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77777777" w:rsidR="009830D6" w:rsidRDefault="009830D6" w:rsidP="0041150E">
      <w:pPr>
        <w:spacing w:after="0" w:line="240" w:lineRule="auto"/>
        <w:rPr>
          <w:rFonts w:ascii="Arial" w:hAnsi="Arial" w:cs="Arial"/>
          <w:b/>
          <w:sz w:val="32"/>
        </w:rPr>
      </w:pPr>
    </w:p>
    <w:p w14:paraId="0770EE59" w14:textId="77777777" w:rsidR="005F6AD4" w:rsidRPr="007E68B5" w:rsidRDefault="007E68B5" w:rsidP="00195D23">
      <w:pPr>
        <w:spacing w:after="0" w:line="240" w:lineRule="auto"/>
        <w:jc w:val="right"/>
        <w:rPr>
          <w:rFonts w:ascii="Century Gothic" w:hAnsi="Century Gothic" w:cs="Arial"/>
          <w:b/>
          <w:sz w:val="32"/>
        </w:rPr>
      </w:pPr>
      <w:r>
        <w:rPr>
          <w:rFonts w:ascii="Century Gothic" w:hAnsi="Century Gothic" w:cs="Arial"/>
          <w:b/>
          <w:sz w:val="32"/>
        </w:rPr>
        <w:t xml:space="preserve">NASA </w:t>
      </w:r>
      <w:r w:rsidRPr="007E68B5">
        <w:rPr>
          <w:rFonts w:ascii="Century Gothic" w:hAnsi="Century Gothic" w:cs="Arial"/>
          <w:b/>
          <w:sz w:val="32"/>
        </w:rPr>
        <w:t>DEVELOP National Program</w:t>
      </w:r>
    </w:p>
    <w:p w14:paraId="1274855B" w14:textId="77777777" w:rsidR="00E578D6" w:rsidRDefault="00E578D6" w:rsidP="00195D23">
      <w:pPr>
        <w:spacing w:after="0" w:line="240" w:lineRule="auto"/>
        <w:jc w:val="right"/>
        <w:rPr>
          <w:rFonts w:ascii="Century Gothic" w:hAnsi="Century Gothic" w:cs="Arial"/>
          <w:sz w:val="32"/>
        </w:rPr>
      </w:pPr>
      <w:r w:rsidRPr="00E578D6">
        <w:rPr>
          <w:rFonts w:ascii="Century Gothic" w:hAnsi="Century Gothic"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1B2CB04E" w14:textId="65E8A120" w:rsidR="006E2A1C" w:rsidRPr="007E68B5" w:rsidRDefault="00120F71" w:rsidP="00195D23">
      <w:pPr>
        <w:spacing w:after="0" w:line="240" w:lineRule="auto"/>
        <w:jc w:val="right"/>
        <w:rPr>
          <w:rFonts w:ascii="Century Gothic" w:hAnsi="Century Gothic" w:cs="Arial"/>
          <w:sz w:val="32"/>
        </w:rPr>
      </w:pPr>
      <w:r>
        <w:rPr>
          <w:rFonts w:ascii="Century Gothic" w:hAnsi="Century Gothic" w:cs="Arial"/>
          <w:sz w:val="32"/>
        </w:rPr>
        <w:t>NASA Marshall Space Flight Center</w:t>
      </w:r>
    </w:p>
    <w:p w14:paraId="1C745550" w14:textId="7B0AE165" w:rsidR="00B265D9" w:rsidRPr="00FC670A" w:rsidRDefault="00A2773A" w:rsidP="00195D23">
      <w:pPr>
        <w:spacing w:after="0" w:line="240" w:lineRule="auto"/>
        <w:jc w:val="right"/>
        <w:rPr>
          <w:rFonts w:ascii="Century Gothic" w:hAnsi="Century Gothic" w:cs="Arial"/>
          <w:i/>
          <w:sz w:val="28"/>
        </w:rPr>
      </w:pPr>
      <w:r>
        <w:rPr>
          <w:rFonts w:ascii="Century Gothic" w:hAnsi="Century Gothic" w:cs="Arial"/>
          <w:i/>
          <w:sz w:val="28"/>
        </w:rPr>
        <w:t>Spring 2016</w:t>
      </w:r>
    </w:p>
    <w:p w14:paraId="35F9A1A6" w14:textId="77777777" w:rsidR="00B265D9" w:rsidRPr="00E00E6B" w:rsidRDefault="00B265D9" w:rsidP="00B265D9">
      <w:pPr>
        <w:spacing w:after="0" w:line="240" w:lineRule="auto"/>
        <w:jc w:val="center"/>
        <w:rPr>
          <w:rFonts w:ascii="Century Gothic" w:hAnsi="Century Gothic" w:cs="Arial"/>
          <w:sz w:val="36"/>
        </w:rPr>
      </w:pPr>
    </w:p>
    <w:p w14:paraId="44BB3100" w14:textId="75404A95" w:rsidR="009830D6" w:rsidRPr="00E578D6" w:rsidRDefault="00120F71" w:rsidP="00E578D6">
      <w:pPr>
        <w:spacing w:after="0" w:line="240" w:lineRule="auto"/>
        <w:jc w:val="right"/>
        <w:rPr>
          <w:rFonts w:ascii="Century Gothic" w:hAnsi="Century Gothic" w:cs="Arial"/>
          <w:sz w:val="40"/>
        </w:rPr>
      </w:pPr>
      <w:r>
        <w:rPr>
          <w:rFonts w:ascii="Century Gothic" w:hAnsi="Century Gothic" w:cs="Arial"/>
          <w:sz w:val="40"/>
        </w:rPr>
        <w:t>Alabama Ecological Forecasting</w:t>
      </w:r>
    </w:p>
    <w:p w14:paraId="5C53A2B7" w14:textId="5370453D" w:rsidR="009830D6" w:rsidRPr="00B265D9" w:rsidRDefault="00120F71" w:rsidP="00E578D6">
      <w:pPr>
        <w:spacing w:after="0" w:line="240" w:lineRule="auto"/>
        <w:jc w:val="right"/>
        <w:rPr>
          <w:rFonts w:ascii="Century Gothic" w:hAnsi="Century Gothic" w:cs="Arial"/>
          <w:sz w:val="28"/>
        </w:rPr>
      </w:pPr>
      <w:r>
        <w:rPr>
          <w:rFonts w:ascii="Century Gothic" w:hAnsi="Century Gothic" w:cs="Arial"/>
          <w:sz w:val="28"/>
        </w:rPr>
        <w:t>Assessing Southern Pine Beetle Epidemics in Alabama’s Bankhead National Forest Using NASA Earth Observations</w:t>
      </w:r>
    </w:p>
    <w:p w14:paraId="0F963EE5" w14:textId="77777777" w:rsidR="009830D6" w:rsidRDefault="009830D6" w:rsidP="00916AAB">
      <w:pPr>
        <w:spacing w:after="0" w:line="240" w:lineRule="auto"/>
        <w:rPr>
          <w:rFonts w:ascii="Century Gothic" w:hAnsi="Century Gothic" w:cs="Arial"/>
          <w:sz w:val="32"/>
        </w:rPr>
      </w:pPr>
    </w:p>
    <w:p w14:paraId="11F786B3" w14:textId="77777777" w:rsidR="00E578D6" w:rsidRDefault="00E578D6" w:rsidP="00916AAB">
      <w:pPr>
        <w:spacing w:after="0" w:line="240" w:lineRule="auto"/>
        <w:rPr>
          <w:rFonts w:ascii="Century Gothic" w:hAnsi="Century Gothic" w:cs="Arial"/>
          <w:sz w:val="32"/>
        </w:rPr>
      </w:pPr>
    </w:p>
    <w:p w14:paraId="5FF73AA5" w14:textId="77777777" w:rsidR="00E578D6" w:rsidRDefault="00E578D6" w:rsidP="00916AAB">
      <w:pPr>
        <w:spacing w:after="0" w:line="240" w:lineRule="auto"/>
        <w:rPr>
          <w:rFonts w:ascii="Century Gothic" w:hAnsi="Century Gothic" w:cs="Arial"/>
          <w:sz w:val="32"/>
        </w:rPr>
      </w:pPr>
    </w:p>
    <w:p w14:paraId="2A91BFEF" w14:textId="77777777" w:rsidR="00E578D6" w:rsidRDefault="00E578D6" w:rsidP="00916AAB">
      <w:pPr>
        <w:spacing w:after="0" w:line="240" w:lineRule="auto"/>
        <w:rPr>
          <w:rFonts w:ascii="Century Gothic" w:hAnsi="Century Gothic" w:cs="Arial"/>
          <w:sz w:val="32"/>
        </w:rPr>
      </w:pPr>
    </w:p>
    <w:p w14:paraId="347CEE32" w14:textId="77777777" w:rsidR="00FC670A" w:rsidRDefault="00FC670A" w:rsidP="00E578D6">
      <w:pPr>
        <w:spacing w:after="0" w:line="240" w:lineRule="auto"/>
        <w:jc w:val="center"/>
        <w:rPr>
          <w:rFonts w:ascii="Century Gothic" w:hAnsi="Century Gothic" w:cs="Arial"/>
          <w:b/>
          <w:sz w:val="32"/>
        </w:rPr>
      </w:pPr>
    </w:p>
    <w:p w14:paraId="37CABABF" w14:textId="77777777" w:rsidR="00FC670A" w:rsidRDefault="00FC670A" w:rsidP="00E578D6">
      <w:pPr>
        <w:spacing w:after="0" w:line="240" w:lineRule="auto"/>
        <w:jc w:val="center"/>
        <w:rPr>
          <w:rFonts w:ascii="Century Gothic" w:hAnsi="Century Gothic" w:cs="Arial"/>
          <w:b/>
          <w:sz w:val="32"/>
        </w:rPr>
      </w:pPr>
    </w:p>
    <w:p w14:paraId="776B0F45" w14:textId="77777777" w:rsidR="0064280B" w:rsidRPr="0064280B" w:rsidRDefault="0064280B" w:rsidP="00E578D6">
      <w:pPr>
        <w:spacing w:after="0" w:line="240" w:lineRule="auto"/>
        <w:jc w:val="center"/>
        <w:rPr>
          <w:rFonts w:ascii="Century Gothic" w:hAnsi="Century Gothic" w:cs="Arial"/>
          <w:b/>
          <w:sz w:val="32"/>
        </w:rPr>
      </w:pPr>
      <w:r>
        <w:rPr>
          <w:rFonts w:ascii="Century Gothic" w:hAnsi="Century Gothic" w:cs="Arial"/>
          <w:noProof/>
          <w:sz w:val="32"/>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Pr>
          <w:rFonts w:ascii="Century Gothic" w:hAnsi="Century Gothic" w:cs="Arial"/>
          <w:b/>
          <w:sz w:val="32"/>
        </w:rPr>
        <w:t xml:space="preserve">                 </w:t>
      </w:r>
      <w:r w:rsidR="00FB5846" w:rsidRPr="0064280B">
        <w:rPr>
          <w:rFonts w:ascii="Century Gothic" w:hAnsi="Century Gothic" w:cs="Arial"/>
          <w:b/>
          <w:sz w:val="32"/>
        </w:rPr>
        <w:t xml:space="preserve">Technical Report </w:t>
      </w:r>
    </w:p>
    <w:p w14:paraId="6135BAC2" w14:textId="2C1A4A2D" w:rsidR="00916AAB" w:rsidRPr="00B265D9" w:rsidRDefault="00120F71" w:rsidP="00E578D6">
      <w:pPr>
        <w:spacing w:after="0" w:line="240" w:lineRule="auto"/>
        <w:jc w:val="center"/>
        <w:rPr>
          <w:rFonts w:ascii="Century Gothic" w:hAnsi="Century Gothic" w:cs="Arial"/>
          <w:sz w:val="28"/>
        </w:rPr>
      </w:pPr>
      <w:r>
        <w:rPr>
          <w:rFonts w:ascii="Century Gothic" w:hAnsi="Century Gothic" w:cs="Arial"/>
          <w:sz w:val="28"/>
        </w:rPr>
        <w:t>Final</w:t>
      </w:r>
      <w:r w:rsidR="00BA41F7" w:rsidRPr="0064280B">
        <w:rPr>
          <w:rFonts w:ascii="Century Gothic" w:hAnsi="Century Gothic" w:cs="Arial"/>
          <w:sz w:val="28"/>
        </w:rPr>
        <w:t xml:space="preserve"> Draft</w:t>
      </w:r>
      <w:r w:rsidR="0064280B">
        <w:rPr>
          <w:rFonts w:ascii="Century Gothic" w:hAnsi="Century Gothic" w:cs="Arial"/>
          <w:sz w:val="28"/>
        </w:rPr>
        <w:t xml:space="preserve"> </w:t>
      </w:r>
      <w:r w:rsidR="009A20ED">
        <w:rPr>
          <w:rFonts w:ascii="Century Gothic" w:hAnsi="Century Gothic" w:cs="Arial"/>
          <w:sz w:val="28"/>
        </w:rPr>
        <w:t>–</w:t>
      </w:r>
      <w:r w:rsidR="0064280B">
        <w:rPr>
          <w:rFonts w:ascii="Century Gothic" w:hAnsi="Century Gothic" w:cs="Arial"/>
          <w:sz w:val="28"/>
        </w:rPr>
        <w:t xml:space="preserve"> </w:t>
      </w:r>
      <w:r>
        <w:rPr>
          <w:rFonts w:ascii="Century Gothic" w:hAnsi="Century Gothic" w:cs="Arial"/>
          <w:sz w:val="28"/>
        </w:rPr>
        <w:t>March 31</w:t>
      </w:r>
      <w:r w:rsidR="00A2773A">
        <w:rPr>
          <w:rFonts w:ascii="Century Gothic" w:hAnsi="Century Gothic" w:cs="Arial"/>
          <w:sz w:val="28"/>
        </w:rPr>
        <w:t>, 2016</w:t>
      </w:r>
    </w:p>
    <w:p w14:paraId="654A8582" w14:textId="77777777" w:rsidR="00916AAB" w:rsidRPr="00E00E6B" w:rsidRDefault="00916AAB" w:rsidP="00E578D6">
      <w:pPr>
        <w:spacing w:after="0" w:line="240" w:lineRule="auto"/>
        <w:jc w:val="center"/>
        <w:rPr>
          <w:rFonts w:ascii="Century Gothic" w:hAnsi="Century Gothic" w:cs="Arial"/>
          <w:sz w:val="24"/>
          <w:szCs w:val="24"/>
        </w:rPr>
      </w:pPr>
    </w:p>
    <w:p w14:paraId="76F0AEAE" w14:textId="2CFAB393" w:rsidR="0041150E" w:rsidRPr="00FC670A" w:rsidRDefault="00120F71" w:rsidP="00E578D6">
      <w:pPr>
        <w:spacing w:after="0" w:line="240" w:lineRule="auto"/>
        <w:jc w:val="center"/>
        <w:rPr>
          <w:rFonts w:ascii="Century Gothic" w:hAnsi="Century Gothic" w:cs="Arial"/>
          <w:sz w:val="20"/>
          <w:szCs w:val="20"/>
        </w:rPr>
      </w:pPr>
      <w:r>
        <w:rPr>
          <w:rFonts w:ascii="Century Gothic" w:hAnsi="Century Gothic" w:cs="Arial"/>
          <w:sz w:val="20"/>
          <w:szCs w:val="20"/>
        </w:rPr>
        <w:t>Ryan Schick</w:t>
      </w:r>
      <w:r w:rsidR="00FC670A" w:rsidRPr="00FC670A">
        <w:rPr>
          <w:rFonts w:ascii="Century Gothic" w:hAnsi="Century Gothic" w:cs="Arial"/>
          <w:sz w:val="20"/>
          <w:szCs w:val="20"/>
        </w:rPr>
        <w:t xml:space="preserve"> </w:t>
      </w:r>
      <w:r w:rsidR="00BA41F7" w:rsidRPr="00FC670A">
        <w:rPr>
          <w:rFonts w:ascii="Century Gothic" w:hAnsi="Century Gothic" w:cs="Arial"/>
          <w:sz w:val="20"/>
          <w:szCs w:val="20"/>
        </w:rPr>
        <w:t>(Project L</w:t>
      </w:r>
      <w:r w:rsidR="00B265D9" w:rsidRPr="00FC670A">
        <w:rPr>
          <w:rFonts w:ascii="Century Gothic" w:hAnsi="Century Gothic" w:cs="Arial"/>
          <w:sz w:val="20"/>
          <w:szCs w:val="20"/>
        </w:rPr>
        <w:t>ead)</w:t>
      </w:r>
    </w:p>
    <w:p w14:paraId="0A6A3CFB" w14:textId="157942FA" w:rsidR="00B265D9" w:rsidRPr="00FC670A" w:rsidRDefault="00120F71" w:rsidP="00FC670A">
      <w:pPr>
        <w:spacing w:after="0" w:line="240" w:lineRule="auto"/>
        <w:jc w:val="center"/>
        <w:rPr>
          <w:rFonts w:ascii="Century Gothic" w:hAnsi="Century Gothic" w:cs="Arial"/>
          <w:sz w:val="20"/>
          <w:szCs w:val="20"/>
        </w:rPr>
      </w:pPr>
      <w:r>
        <w:rPr>
          <w:rFonts w:ascii="Century Gothic" w:hAnsi="Century Gothic" w:cs="Arial"/>
          <w:sz w:val="20"/>
          <w:szCs w:val="20"/>
        </w:rPr>
        <w:t>Kelsey Herndon</w:t>
      </w:r>
    </w:p>
    <w:p w14:paraId="28B20EB9" w14:textId="11ACA48E" w:rsidR="00FC670A" w:rsidRPr="00FC670A" w:rsidRDefault="00120F71" w:rsidP="00FC670A">
      <w:pPr>
        <w:spacing w:after="0" w:line="240" w:lineRule="auto"/>
        <w:jc w:val="center"/>
        <w:rPr>
          <w:rFonts w:ascii="Century Gothic" w:hAnsi="Century Gothic" w:cs="Arial"/>
          <w:sz w:val="20"/>
          <w:szCs w:val="20"/>
        </w:rPr>
      </w:pPr>
      <w:r>
        <w:rPr>
          <w:rFonts w:ascii="Century Gothic" w:hAnsi="Century Gothic" w:cs="Arial"/>
          <w:sz w:val="20"/>
          <w:szCs w:val="20"/>
        </w:rPr>
        <w:t>Maggi Klug</w:t>
      </w:r>
    </w:p>
    <w:p w14:paraId="51EBA91F" w14:textId="360D4AAC" w:rsidR="00FC670A" w:rsidRPr="00FC670A" w:rsidRDefault="00120F71" w:rsidP="00FC670A">
      <w:pPr>
        <w:spacing w:after="0" w:line="240" w:lineRule="auto"/>
        <w:jc w:val="center"/>
        <w:rPr>
          <w:rFonts w:ascii="Century Gothic" w:hAnsi="Century Gothic" w:cs="Arial"/>
          <w:sz w:val="20"/>
          <w:szCs w:val="20"/>
        </w:rPr>
      </w:pPr>
      <w:r>
        <w:rPr>
          <w:rFonts w:ascii="Century Gothic" w:hAnsi="Century Gothic" w:cs="Arial"/>
          <w:sz w:val="20"/>
          <w:szCs w:val="20"/>
        </w:rPr>
        <w:t>Leigh Sinclair</w:t>
      </w:r>
    </w:p>
    <w:p w14:paraId="58C3E2E7" w14:textId="77777777" w:rsidR="00FC670A" w:rsidRPr="00FC670A" w:rsidRDefault="00FC670A" w:rsidP="00FC670A">
      <w:pPr>
        <w:spacing w:after="0" w:line="240" w:lineRule="auto"/>
        <w:jc w:val="center"/>
        <w:rPr>
          <w:rFonts w:ascii="Century Gothic" w:hAnsi="Century Gothic" w:cs="Arial"/>
          <w:sz w:val="20"/>
          <w:szCs w:val="20"/>
        </w:rPr>
      </w:pPr>
    </w:p>
    <w:p w14:paraId="6DE48D2F" w14:textId="368A3339" w:rsidR="00916AAB" w:rsidRPr="00FC670A" w:rsidRDefault="00120F71" w:rsidP="00E578D6">
      <w:pPr>
        <w:spacing w:after="0" w:line="240" w:lineRule="auto"/>
        <w:jc w:val="center"/>
        <w:rPr>
          <w:rFonts w:ascii="Century Gothic" w:hAnsi="Century Gothic" w:cs="Arial"/>
          <w:sz w:val="20"/>
          <w:szCs w:val="20"/>
        </w:rPr>
      </w:pPr>
      <w:r>
        <w:rPr>
          <w:rFonts w:ascii="Century Gothic" w:hAnsi="Century Gothic" w:cs="Arial"/>
          <w:sz w:val="20"/>
          <w:szCs w:val="20"/>
        </w:rPr>
        <w:t>Dr. Jeffrey Luvall, NASA at National Space Science Technology Center</w:t>
      </w:r>
      <w:r w:rsidR="00916AAB" w:rsidRPr="00FC670A">
        <w:rPr>
          <w:rFonts w:ascii="Century Gothic" w:hAnsi="Century Gothic" w:cs="Arial"/>
          <w:sz w:val="20"/>
          <w:szCs w:val="20"/>
        </w:rPr>
        <w:t xml:space="preserve"> (Science Advisor)</w:t>
      </w:r>
    </w:p>
    <w:p w14:paraId="74093909" w14:textId="6EDD2231" w:rsidR="006E2A1C" w:rsidRPr="00FC670A" w:rsidRDefault="00120F71" w:rsidP="00E578D6">
      <w:pPr>
        <w:spacing w:after="0" w:line="240" w:lineRule="auto"/>
        <w:jc w:val="center"/>
        <w:rPr>
          <w:rFonts w:ascii="Century Gothic" w:hAnsi="Century Gothic" w:cs="Arial"/>
          <w:sz w:val="20"/>
          <w:szCs w:val="20"/>
        </w:rPr>
      </w:pPr>
      <w:r>
        <w:rPr>
          <w:rFonts w:ascii="Century Gothic" w:hAnsi="Century Gothic" w:cs="Arial"/>
          <w:sz w:val="20"/>
          <w:szCs w:val="20"/>
        </w:rPr>
        <w:t>Dr. Robert Griffin, University of Alabama in Huntsville</w:t>
      </w:r>
      <w:r w:rsidR="00916AAB" w:rsidRPr="00FC670A">
        <w:rPr>
          <w:rFonts w:ascii="Century Gothic" w:hAnsi="Century Gothic" w:cs="Arial"/>
          <w:sz w:val="20"/>
          <w:szCs w:val="20"/>
        </w:rPr>
        <w:t xml:space="preserve"> (Science Advisor)</w:t>
      </w:r>
    </w:p>
    <w:p w14:paraId="20DDFCF1" w14:textId="77777777" w:rsidR="00FC670A" w:rsidRPr="00FC670A" w:rsidRDefault="00FC670A" w:rsidP="00E578D6">
      <w:pPr>
        <w:spacing w:after="0" w:line="240" w:lineRule="auto"/>
        <w:jc w:val="center"/>
        <w:rPr>
          <w:rFonts w:ascii="Century Gothic" w:hAnsi="Century Gothic" w:cs="Arial"/>
          <w:sz w:val="20"/>
          <w:szCs w:val="20"/>
        </w:rPr>
      </w:pPr>
    </w:p>
    <w:p w14:paraId="2558426B" w14:textId="77777777" w:rsidR="0064280B" w:rsidRPr="00FC670A" w:rsidRDefault="0064280B">
      <w:pPr>
        <w:rPr>
          <w:rFonts w:ascii="Century Gothic" w:hAnsi="Century Gothic" w:cs="Arial"/>
          <w:sz w:val="20"/>
          <w:szCs w:val="20"/>
        </w:rPr>
      </w:pPr>
      <w:r w:rsidRPr="00FC670A">
        <w:rPr>
          <w:rFonts w:ascii="Century Gothic" w:hAnsi="Century Gothic" w:cs="Arial"/>
          <w:b/>
          <w:bCs/>
          <w:sz w:val="20"/>
          <w:szCs w:val="20"/>
        </w:rPr>
        <w:br w:type="page"/>
      </w:r>
    </w:p>
    <w:p w14:paraId="45F8C63B" w14:textId="77777777" w:rsidR="006E2A1C" w:rsidRPr="00B265D9" w:rsidRDefault="008B7071" w:rsidP="006E2A1C">
      <w:pPr>
        <w:pStyle w:val="Heading1"/>
        <w:rPr>
          <w:rFonts w:ascii="Century Gothic" w:hAnsi="Century Gothic"/>
        </w:rPr>
      </w:pPr>
      <w:r>
        <w:rPr>
          <w:rFonts w:ascii="Century Gothic" w:hAnsi="Century Gothic"/>
        </w:rPr>
        <w:lastRenderedPageBreak/>
        <w:t xml:space="preserve">I. </w:t>
      </w:r>
      <w:r w:rsidR="007E508C">
        <w:rPr>
          <w:rFonts w:ascii="Century Gothic" w:hAnsi="Century Gothic"/>
        </w:rPr>
        <w:t>Abstract</w:t>
      </w:r>
    </w:p>
    <w:p w14:paraId="73D9AA95" w14:textId="223778F7" w:rsidR="006E2A1C" w:rsidRPr="00FC670A" w:rsidRDefault="00120F71" w:rsidP="00FC670A">
      <w:pPr>
        <w:spacing w:after="0" w:line="240" w:lineRule="auto"/>
        <w:rPr>
          <w:rFonts w:ascii="Century Gothic" w:hAnsi="Century Gothic" w:cs="Arial"/>
          <w:szCs w:val="24"/>
        </w:rPr>
      </w:pPr>
      <w:r w:rsidRPr="00120F71">
        <w:rPr>
          <w:rFonts w:ascii="Century Gothic" w:hAnsi="Century Gothic" w:cs="Arial"/>
          <w:szCs w:val="24"/>
        </w:rPr>
        <w:t xml:space="preserve">The Southern Pine Beetle (SPB), </w:t>
      </w:r>
      <w:r w:rsidRPr="00427E10">
        <w:rPr>
          <w:rFonts w:ascii="Century Gothic" w:hAnsi="Century Gothic" w:cs="Arial"/>
          <w:i/>
          <w:szCs w:val="24"/>
        </w:rPr>
        <w:t>Dendroctonus frontalis</w:t>
      </w:r>
      <w:r w:rsidRPr="00120F71">
        <w:rPr>
          <w:rFonts w:ascii="Century Gothic" w:hAnsi="Century Gothic" w:cs="Arial"/>
          <w:szCs w:val="24"/>
        </w:rPr>
        <w:t>, is an opportunistic species that attacks stressed trees weakened by drought, storm damage, or fire. In 2000, about 18,600 acres of pine forest were damaged throughout the Bankhead National Forest due to SPB. The United States Department of Agriculture (USDA) Forest Service currently uses expensive manned aerial surveys, such as aerial photography and Light Detection and Ranging (LiDAR), as well as Moderate Resolution Imaging Spectroradiometer (MODIS) ForWarn and Forest Disturbance Monitor data to help with mitigation efforts. This project used remotely sensed data to identify SPB infested areas throughout Alabama and determine outbreak patterns. Landsat 5 Thematic Mapper (TM) and Landsat 8</w:t>
      </w:r>
      <w:r w:rsidR="00833AD9">
        <w:rPr>
          <w:rFonts w:ascii="Century Gothic" w:hAnsi="Century Gothic" w:cs="Arial"/>
          <w:szCs w:val="24"/>
        </w:rPr>
        <w:t xml:space="preserve"> Operational Land Imager (OLI) </w:t>
      </w:r>
      <w:r w:rsidRPr="00120F71">
        <w:rPr>
          <w:rFonts w:ascii="Century Gothic" w:hAnsi="Century Gothic" w:cs="Arial"/>
          <w:szCs w:val="24"/>
        </w:rPr>
        <w:t>were used to derive a Normalized Difference Vegetation Index (NDVI) and a Green-Red Vegetation Index (GRVI) to show vegetation health. Shuttle Radar Topography Mission Version 2 (SRTM-v2) Digital Elevation Models (DEMs) were used to understand how elevation and slope affect SPB susceptibility. In situ SPB data and various environmental variables were analyzed using the Princeton University Maximum Entropy model (MaxEnt) to assess areas susceptible to a SPB outbreak by creating a Southern Pine Beetle Prediction Map for 2050. Additionally, this project determined where mitigation efforts should be focused by creating a Near Real-Time Southern Pine Beetle Susceptibility Model. Historic Southern Pine Beetle Coverage Maps were created to understand patterns of previous outbreaks. The USDA Forest Service used these methodologies and maps to reduce costs and time associated with SPB suppression in Bankhead National Forest and Alabama.</w:t>
      </w:r>
    </w:p>
    <w:p w14:paraId="00721E94" w14:textId="77777777" w:rsidR="00D3013B" w:rsidRPr="005F6AD4" w:rsidRDefault="00D3013B" w:rsidP="006E2A1C">
      <w:pPr>
        <w:spacing w:after="0" w:line="240" w:lineRule="auto"/>
        <w:rPr>
          <w:rFonts w:ascii="Century Gothic" w:hAnsi="Century Gothic" w:cs="Arial"/>
          <w:szCs w:val="24"/>
        </w:rPr>
      </w:pPr>
    </w:p>
    <w:p w14:paraId="350BBE67" w14:textId="77777777" w:rsidR="00770650" w:rsidRPr="00494746" w:rsidRDefault="00770650" w:rsidP="008975BD">
      <w:pPr>
        <w:spacing w:after="0" w:line="240" w:lineRule="auto"/>
        <w:rPr>
          <w:rFonts w:ascii="Century Gothic" w:hAnsi="Century Gothic" w:cs="Arial"/>
          <w:b/>
        </w:rPr>
      </w:pPr>
      <w:r w:rsidRPr="00494746">
        <w:rPr>
          <w:rFonts w:ascii="Century Gothic" w:hAnsi="Century Gothic" w:cs="Arial"/>
          <w:b/>
        </w:rPr>
        <w:t>Keywords</w:t>
      </w:r>
    </w:p>
    <w:p w14:paraId="36F9FEF5" w14:textId="3FA8A25A" w:rsidR="002C4C2E" w:rsidRPr="00494746" w:rsidRDefault="00120F71" w:rsidP="00120F71">
      <w:pPr>
        <w:spacing w:after="0" w:line="240" w:lineRule="auto"/>
        <w:rPr>
          <w:rFonts w:ascii="Century Gothic" w:hAnsi="Century Gothic" w:cs="Arial"/>
        </w:rPr>
      </w:pPr>
      <w:r w:rsidRPr="00120F71">
        <w:rPr>
          <w:rFonts w:ascii="Century Gothic" w:hAnsi="Century Gothic" w:cs="Arial"/>
        </w:rPr>
        <w:t>Remote Sensing, Economy, LANDFIRE, MaxEnt, USDA Forest Service, Alabama, Ecological Forecasting, National Forest</w:t>
      </w:r>
    </w:p>
    <w:p w14:paraId="2FB6D409" w14:textId="77777777" w:rsidR="00FB5846" w:rsidRPr="00B265D9" w:rsidRDefault="008B7071" w:rsidP="00D3013B">
      <w:pPr>
        <w:pStyle w:val="Heading1"/>
        <w:rPr>
          <w:rFonts w:ascii="Century Gothic" w:hAnsi="Century Gothic"/>
        </w:rPr>
      </w:pPr>
      <w:bookmarkStart w:id="0" w:name="_Toc334198720"/>
      <w:r>
        <w:rPr>
          <w:rFonts w:ascii="Century Gothic" w:hAnsi="Century Gothic"/>
        </w:rPr>
        <w:t xml:space="preserve">II. </w:t>
      </w:r>
      <w:r w:rsidR="00FB5846" w:rsidRPr="00B265D9">
        <w:rPr>
          <w:rFonts w:ascii="Century Gothic" w:hAnsi="Century Gothic"/>
        </w:rPr>
        <w:t>Introduction</w:t>
      </w:r>
      <w:bookmarkEnd w:id="0"/>
    </w:p>
    <w:p w14:paraId="3570C3D3" w14:textId="2CD68718" w:rsidR="00120F71" w:rsidRPr="00120F71" w:rsidRDefault="00120F71" w:rsidP="00120F71">
      <w:pPr>
        <w:spacing w:after="0" w:line="240" w:lineRule="auto"/>
        <w:rPr>
          <w:rFonts w:ascii="Century Gothic" w:hAnsi="Century Gothic"/>
        </w:rPr>
      </w:pPr>
      <w:r w:rsidRPr="00120F71">
        <w:rPr>
          <w:rFonts w:ascii="Century Gothic" w:hAnsi="Century Gothic"/>
        </w:rPr>
        <w:t xml:space="preserve">The Southern Pine Beetle (SPB), or </w:t>
      </w:r>
      <w:r w:rsidRPr="00427E10">
        <w:rPr>
          <w:rFonts w:ascii="Century Gothic" w:hAnsi="Century Gothic"/>
          <w:i/>
        </w:rPr>
        <w:t>Dendroctonus frontalis</w:t>
      </w:r>
      <w:r w:rsidRPr="00120F71">
        <w:rPr>
          <w:rFonts w:ascii="Century Gothic" w:hAnsi="Century Gothic"/>
        </w:rPr>
        <w:t xml:space="preserve">, is an opportunistic species that attacks stressed trees weakened by drought, fire, storm damage, or mechanical damage caused during </w:t>
      </w:r>
      <w:r w:rsidR="00427E10">
        <w:rPr>
          <w:rFonts w:ascii="Century Gothic" w:hAnsi="Century Gothic"/>
        </w:rPr>
        <w:t xml:space="preserve">tree </w:t>
      </w:r>
      <w:r w:rsidRPr="00120F71">
        <w:rPr>
          <w:rFonts w:ascii="Century Gothic" w:hAnsi="Century Gothic"/>
        </w:rPr>
        <w:t xml:space="preserve">thinnings. The SPB is considered the most destructive pest throughout pine forests in the southern United States (Bridges 1987). SPB outbreaks typically occur at six to twelve year intervals and are estimated to destroy about 60,000 pine trees per year in Alabama, causing about $800,000 in damages annually (Alabama Forestry Commission). The Bankhead National Forest has lost over $20 million between 1981 and 2001 due to SPB outbreaks (Stanturf et al. 2012). Fluctuations in SPB outbreaks are believed to be caused by variations in climate, both directly and indirectly. For example, severe drought conditions reduce the pressure of oleoresin exudation, as well as lower the amount and duration of resin flow, in pine trees enhancing the susceptibility of a SPB outbreak (Turchin et al. 1991). Efforts, such as tree thinning, are being made by the United States Department of Agriculture (USDA) Forest Service to mitigate outbreaks in Alabama and the Bankhead National Forest by identifying areas susceptible to SPB infestations. Currently, the USDA Forest Service uses expensive manned aerial surveys, such as aerial photographs and Light Detection and Ranging (LiDAR), as well as Moderate Resolution Imaging Spectroradiometer (MODIS) ForWarn and Forest Disturbance Monitor data. With the aerial data, field surveys must </w:t>
      </w:r>
      <w:r w:rsidRPr="00120F71">
        <w:rPr>
          <w:rFonts w:ascii="Century Gothic" w:hAnsi="Century Gothic"/>
        </w:rPr>
        <w:lastRenderedPageBreak/>
        <w:t>also be used since the species of beetle must be positively identified before mitigation efforts can be implemented. For each species of beetle, specific management control and recommendations are needed as the beetles attack different pine trees at varying health and stress levels. Suppression techniques include the removal and salvage of infested trees, cut-and-leave, piling and burning, or chemical control.</w:t>
      </w:r>
    </w:p>
    <w:p w14:paraId="421543F4" w14:textId="77777777" w:rsidR="00120F71" w:rsidRPr="00120F71" w:rsidRDefault="00120F71" w:rsidP="00120F71">
      <w:pPr>
        <w:spacing w:after="0" w:line="240" w:lineRule="auto"/>
        <w:rPr>
          <w:rFonts w:ascii="Century Gothic" w:hAnsi="Century Gothic"/>
        </w:rPr>
      </w:pPr>
    </w:p>
    <w:p w14:paraId="44DCBA5D" w14:textId="77777777" w:rsidR="00120F71" w:rsidRPr="00120F71" w:rsidRDefault="00120F71" w:rsidP="00120F71">
      <w:pPr>
        <w:spacing w:after="0" w:line="240" w:lineRule="auto"/>
        <w:rPr>
          <w:rFonts w:ascii="Century Gothic" w:hAnsi="Century Gothic"/>
          <w:b/>
        </w:rPr>
      </w:pPr>
      <w:r w:rsidRPr="00120F71">
        <w:rPr>
          <w:rFonts w:ascii="Century Gothic" w:hAnsi="Century Gothic"/>
          <w:b/>
        </w:rPr>
        <w:t>Project Objectives</w:t>
      </w:r>
    </w:p>
    <w:p w14:paraId="62E649A4" w14:textId="77777777" w:rsidR="00120F71" w:rsidRPr="00120F71" w:rsidRDefault="00120F71" w:rsidP="00120F71">
      <w:pPr>
        <w:spacing w:after="0" w:line="240" w:lineRule="auto"/>
        <w:rPr>
          <w:rFonts w:ascii="Century Gothic" w:hAnsi="Century Gothic"/>
        </w:rPr>
      </w:pPr>
      <w:r w:rsidRPr="00120F71">
        <w:rPr>
          <w:rFonts w:ascii="Century Gothic" w:hAnsi="Century Gothic"/>
        </w:rPr>
        <w:t xml:space="preserve">The objectives of this project were to create Historic Southern Pine Beetle Coverage Maps, a Southern Pine Beetle Prediction Map, and a Near Real-Time Southern Pine Beetle Susceptibility Model. The Historic Southern Pine Beetle Coverage Maps illustrate previous SPB infestations throughout Alabama, including the Bankhead National Forest, to determine what environmental thresholds SPB prefers. The Southern Pine Beetle Prediction Map was created using the information gathered from the Historic Southern Pine Beetle Coverage Maps using the Maximum Entropy Distribution Model (MaxEnt) developed at Princeton University. The Near Real-Time Southern Pine Beetle Susceptibility Model determines which areas are susceptible to a SPB outbreak in near real-time by automatically downloading and analyzing the most recent Landsat 8 Operational Land Imager (OLI) imagery. Project partners used these methodologies and end products to help with SPB mitigation efforts. This project addressed the ecological forecasting section of NASA Applied Science’s application areas. The partners for this project were Dave Casey, USDA Forest Service Bankhead District Ranger; Dr. John Nowak, USDA Forest Service Southern Pine Beetle Coordinator; and Dr. Chris Asaro, USDA Forest Service Forest Health Monitoring Coordinator. </w:t>
      </w:r>
    </w:p>
    <w:p w14:paraId="37A3F9D6" w14:textId="77777777" w:rsidR="00120F71" w:rsidRPr="00120F71" w:rsidRDefault="00120F71" w:rsidP="00120F71">
      <w:pPr>
        <w:spacing w:after="0" w:line="240" w:lineRule="auto"/>
        <w:rPr>
          <w:rFonts w:ascii="Century Gothic" w:hAnsi="Century Gothic"/>
        </w:rPr>
      </w:pPr>
    </w:p>
    <w:p w14:paraId="28B457BE" w14:textId="77777777" w:rsidR="00120F71" w:rsidRPr="00120F71" w:rsidRDefault="00120F71" w:rsidP="00120F71">
      <w:pPr>
        <w:spacing w:after="0" w:line="240" w:lineRule="auto"/>
        <w:rPr>
          <w:rFonts w:ascii="Century Gothic" w:hAnsi="Century Gothic"/>
          <w:b/>
        </w:rPr>
      </w:pPr>
      <w:r w:rsidRPr="00120F71">
        <w:rPr>
          <w:rFonts w:ascii="Century Gothic" w:hAnsi="Century Gothic"/>
          <w:b/>
        </w:rPr>
        <w:t>Study Area</w:t>
      </w:r>
    </w:p>
    <w:p w14:paraId="78FAF590" w14:textId="63921D4E" w:rsidR="00242822" w:rsidRDefault="00120F71" w:rsidP="00120F71">
      <w:pPr>
        <w:spacing w:after="0" w:line="240" w:lineRule="auto"/>
        <w:rPr>
          <w:rFonts w:ascii="Century Gothic" w:hAnsi="Century Gothic"/>
        </w:rPr>
      </w:pPr>
      <w:r w:rsidRPr="00120F71">
        <w:rPr>
          <w:rFonts w:ascii="Century Gothic" w:hAnsi="Century Gothic"/>
        </w:rPr>
        <w:t>The study area includes Alabama, with a focus on the Bankhead National Forest (Figure 1), which is one of four National Forests in Alabama (USDA Forest Service). Land cover in Alabama is estimated to be 69% forest, consisting of mostly hardwoods and pine trees. Specifically, the pines in Bankhead National Forest are mostly loblolly and longleaf pines, the preferre</w:t>
      </w:r>
      <w:r>
        <w:rPr>
          <w:rFonts w:ascii="Century Gothic" w:hAnsi="Century Gothic"/>
        </w:rPr>
        <w:t xml:space="preserve">d host of the SPB </w:t>
      </w:r>
      <w:r w:rsidRPr="00120F71">
        <w:rPr>
          <w:rFonts w:ascii="Century Gothic" w:hAnsi="Century Gothic"/>
        </w:rPr>
        <w:t>(Alabama Forestry Commission).</w:t>
      </w:r>
    </w:p>
    <w:p w14:paraId="61C1F492" w14:textId="77777777" w:rsidR="00120F71" w:rsidRDefault="00120F71" w:rsidP="00120F71">
      <w:pPr>
        <w:spacing w:after="0" w:line="240" w:lineRule="auto"/>
        <w:rPr>
          <w:rFonts w:ascii="Century Gothic" w:hAnsi="Century Gothic"/>
        </w:rPr>
      </w:pPr>
    </w:p>
    <w:p w14:paraId="243AD189" w14:textId="77777777" w:rsidR="00427E10" w:rsidRDefault="00120F71" w:rsidP="00427E10">
      <w:pPr>
        <w:keepNext/>
        <w:spacing w:after="0" w:line="240" w:lineRule="auto"/>
        <w:jc w:val="center"/>
      </w:pPr>
      <w:r>
        <w:rPr>
          <w:noProof/>
        </w:rPr>
        <w:drawing>
          <wp:inline distT="0" distB="0" distL="0" distR="0" wp14:anchorId="1B4DF7AA" wp14:editId="5ADC4A6D">
            <wp:extent cx="4523873" cy="2743200"/>
            <wp:effectExtent l="0" t="0" r="0" b="0"/>
            <wp:docPr id="12" name="image29.jpg" descr="Study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jpg" descr="StudyArea.jpg"/>
                    <pic:cNvPicPr preferRelativeResize="0"/>
                  </pic:nvPicPr>
                  <pic:blipFill>
                    <a:blip r:embed="rId10"/>
                    <a:srcRect/>
                    <a:stretch>
                      <a:fillRect/>
                    </a:stretch>
                  </pic:blipFill>
                  <pic:spPr>
                    <a:xfrm>
                      <a:off x="0" y="0"/>
                      <a:ext cx="4523873" cy="2743200"/>
                    </a:xfrm>
                    <a:prstGeom prst="rect">
                      <a:avLst/>
                    </a:prstGeom>
                    <a:ln/>
                  </pic:spPr>
                </pic:pic>
              </a:graphicData>
            </a:graphic>
          </wp:inline>
        </w:drawing>
      </w:r>
    </w:p>
    <w:p w14:paraId="68D05FB3" w14:textId="562AC407" w:rsidR="00120F71" w:rsidRPr="00427E10" w:rsidRDefault="00427E10" w:rsidP="00427E10">
      <w:pPr>
        <w:pStyle w:val="Caption"/>
        <w:jc w:val="center"/>
        <w:rPr>
          <w:rFonts w:ascii="Century Gothic" w:hAnsi="Century Gothic"/>
          <w:color w:val="auto"/>
        </w:rPr>
      </w:pPr>
      <w:r w:rsidRPr="00427E10">
        <w:rPr>
          <w:rFonts w:ascii="Century Gothic" w:hAnsi="Century Gothic"/>
          <w:color w:val="auto"/>
        </w:rPr>
        <w:t xml:space="preserve">Figure </w:t>
      </w:r>
      <w:r w:rsidRPr="00427E10">
        <w:rPr>
          <w:rFonts w:ascii="Century Gothic" w:hAnsi="Century Gothic"/>
          <w:color w:val="auto"/>
        </w:rPr>
        <w:fldChar w:fldCharType="begin"/>
      </w:r>
      <w:r w:rsidRPr="00427E10">
        <w:rPr>
          <w:rFonts w:ascii="Century Gothic" w:hAnsi="Century Gothic"/>
          <w:color w:val="auto"/>
        </w:rPr>
        <w:instrText xml:space="preserve"> SEQ Figure \* ARABIC </w:instrText>
      </w:r>
      <w:r w:rsidRPr="00427E10">
        <w:rPr>
          <w:rFonts w:ascii="Century Gothic" w:hAnsi="Century Gothic"/>
          <w:color w:val="auto"/>
        </w:rPr>
        <w:fldChar w:fldCharType="separate"/>
      </w:r>
      <w:r w:rsidR="00A23843">
        <w:rPr>
          <w:rFonts w:ascii="Century Gothic" w:hAnsi="Century Gothic"/>
          <w:noProof/>
          <w:color w:val="auto"/>
        </w:rPr>
        <w:t>1</w:t>
      </w:r>
      <w:r w:rsidRPr="00427E10">
        <w:rPr>
          <w:rFonts w:ascii="Century Gothic" w:hAnsi="Century Gothic"/>
          <w:color w:val="auto"/>
        </w:rPr>
        <w:fldChar w:fldCharType="end"/>
      </w:r>
      <w:r w:rsidRPr="00427E10">
        <w:rPr>
          <w:rFonts w:ascii="Century Gothic" w:hAnsi="Century Gothic"/>
          <w:color w:val="auto"/>
        </w:rPr>
        <w:t>: Study area</w:t>
      </w:r>
    </w:p>
    <w:p w14:paraId="32BEBBBD" w14:textId="77777777" w:rsidR="00120F71" w:rsidRDefault="00120F71" w:rsidP="00120F71">
      <w:pPr>
        <w:spacing w:after="0" w:line="240" w:lineRule="auto"/>
        <w:jc w:val="center"/>
        <w:rPr>
          <w:rFonts w:ascii="Century Gothic" w:hAnsi="Century Gothic"/>
          <w:b/>
        </w:rPr>
      </w:pPr>
    </w:p>
    <w:p w14:paraId="5048522C" w14:textId="77777777" w:rsidR="00120F71" w:rsidRPr="00120F71" w:rsidRDefault="00120F71" w:rsidP="00120F71">
      <w:pPr>
        <w:spacing w:after="0" w:line="240" w:lineRule="auto"/>
        <w:rPr>
          <w:rFonts w:ascii="Century Gothic" w:hAnsi="Century Gothic"/>
          <w:b/>
        </w:rPr>
      </w:pPr>
      <w:r w:rsidRPr="00120F71">
        <w:rPr>
          <w:rFonts w:ascii="Century Gothic" w:hAnsi="Century Gothic"/>
          <w:b/>
        </w:rPr>
        <w:t>Study Period</w:t>
      </w:r>
    </w:p>
    <w:p w14:paraId="79486842" w14:textId="1C3A6478" w:rsidR="00D13591" w:rsidRPr="00D13591" w:rsidRDefault="00120F71" w:rsidP="00D13591">
      <w:pPr>
        <w:spacing w:after="0" w:line="240" w:lineRule="auto"/>
        <w:rPr>
          <w:rFonts w:ascii="Century Gothic" w:hAnsi="Century Gothic"/>
        </w:rPr>
      </w:pPr>
      <w:r w:rsidRPr="00120F71">
        <w:rPr>
          <w:rFonts w:ascii="Century Gothic" w:hAnsi="Century Gothic"/>
        </w:rPr>
        <w:t>The study period was from January 2010 to December 2015, focusing on May to October of each year. These dates were chosen due to availability of SPB in-situ data. Focus was placed on May to October since the peak of the SPB activity is during the summer months before the onset of winter conditions. SPB outbreak susceptibility was forecasted fo</w:t>
      </w:r>
      <w:r w:rsidR="009F0D59">
        <w:rPr>
          <w:rFonts w:ascii="Century Gothic" w:hAnsi="Century Gothic"/>
        </w:rPr>
        <w:t>r 2050. This year was chosen because of restrictions of the future climate projection data used to create the prediction map.</w:t>
      </w:r>
    </w:p>
    <w:p w14:paraId="4EAB8422" w14:textId="77777777" w:rsidR="00E41324" w:rsidRPr="00B265D9" w:rsidRDefault="008B7071" w:rsidP="00D3013B">
      <w:pPr>
        <w:pStyle w:val="Heading1"/>
        <w:rPr>
          <w:rFonts w:ascii="Century Gothic" w:hAnsi="Century Gothic"/>
        </w:rPr>
      </w:pPr>
      <w:bookmarkStart w:id="1" w:name="_Toc334198726"/>
      <w:r>
        <w:rPr>
          <w:rFonts w:ascii="Century Gothic" w:hAnsi="Century Gothic"/>
        </w:rPr>
        <w:t xml:space="preserve">III. </w:t>
      </w:r>
      <w:r w:rsidR="00E41324" w:rsidRPr="00B265D9">
        <w:rPr>
          <w:rFonts w:ascii="Century Gothic" w:hAnsi="Century Gothic"/>
        </w:rPr>
        <w:t>Methodology</w:t>
      </w:r>
      <w:bookmarkEnd w:id="1"/>
    </w:p>
    <w:p w14:paraId="3685F87E" w14:textId="77777777" w:rsidR="00D13591" w:rsidRPr="00D13591" w:rsidRDefault="00D13591" w:rsidP="00D13591">
      <w:pPr>
        <w:spacing w:after="0" w:line="240" w:lineRule="auto"/>
        <w:rPr>
          <w:rFonts w:ascii="Century Gothic" w:hAnsi="Century Gothic"/>
          <w:b/>
        </w:rPr>
      </w:pPr>
      <w:r w:rsidRPr="00D13591">
        <w:rPr>
          <w:rFonts w:ascii="Century Gothic" w:hAnsi="Century Gothic"/>
          <w:b/>
        </w:rPr>
        <w:t xml:space="preserve">Data Acquisition </w:t>
      </w:r>
    </w:p>
    <w:p w14:paraId="7EC15DAF" w14:textId="3E050887" w:rsidR="00D13591" w:rsidRPr="00D13591" w:rsidRDefault="00D13591" w:rsidP="00D13591">
      <w:pPr>
        <w:spacing w:after="0" w:line="240" w:lineRule="auto"/>
        <w:rPr>
          <w:rFonts w:ascii="Century Gothic" w:hAnsi="Century Gothic"/>
        </w:rPr>
      </w:pPr>
      <w:r w:rsidRPr="00D13591">
        <w:rPr>
          <w:rFonts w:ascii="Century Gothic" w:hAnsi="Century Gothic"/>
        </w:rPr>
        <w:t xml:space="preserve">Landscape Fire and Resource Management Planning Tools (LANDFIRE) tree species 30m data were downloaded from the LANDFIRE website. </w:t>
      </w:r>
      <w:r>
        <w:rPr>
          <w:rFonts w:ascii="Century Gothic" w:hAnsi="Century Gothic"/>
        </w:rPr>
        <w:t>Landsat 5 Thematic Mapper (TM),</w:t>
      </w:r>
      <w:r w:rsidRPr="00D13591">
        <w:rPr>
          <w:rFonts w:ascii="Century Gothic" w:hAnsi="Century Gothic"/>
        </w:rPr>
        <w:t xml:space="preserve"> Landsat 8 OLI data were downloaded in monthly timesteps for May through October from USGS EarthExplorer. Shuttle Radar Topography Mission version 2(SRTM-v2) Digital Elevation Models (DEMs) 30m data were also downloaded from USGS EarthExplorer. Bioclim climatic variables and future climate prediction data were downloaded at 1km resolution from the WorldClim website. SPB in situ data for 2010 through 2015 were acquired from the Alabama Forestry Commission.</w:t>
      </w:r>
    </w:p>
    <w:p w14:paraId="5B33F6DD" w14:textId="77777777" w:rsidR="00D13591" w:rsidRDefault="00D13591" w:rsidP="00D13591">
      <w:pPr>
        <w:spacing w:after="0" w:line="240" w:lineRule="auto"/>
        <w:rPr>
          <w:rFonts w:ascii="Century Gothic" w:hAnsi="Century Gothic"/>
          <w:b/>
        </w:rPr>
      </w:pPr>
    </w:p>
    <w:p w14:paraId="2EC69A90" w14:textId="77777777" w:rsidR="00D13591" w:rsidRPr="00120F71" w:rsidRDefault="00D13591" w:rsidP="00D13591">
      <w:pPr>
        <w:spacing w:after="0" w:line="240" w:lineRule="auto"/>
        <w:rPr>
          <w:rFonts w:ascii="Century Gothic" w:hAnsi="Century Gothic"/>
          <w:b/>
        </w:rPr>
      </w:pPr>
      <w:r w:rsidRPr="00120F71">
        <w:rPr>
          <w:rFonts w:ascii="Century Gothic" w:hAnsi="Century Gothic"/>
          <w:b/>
        </w:rPr>
        <w:t>Data Processing</w:t>
      </w:r>
    </w:p>
    <w:p w14:paraId="14245FB4" w14:textId="523A13F4" w:rsidR="00D13591" w:rsidRPr="00120F71" w:rsidRDefault="00D13591" w:rsidP="00D13591">
      <w:pPr>
        <w:spacing w:after="0" w:line="240" w:lineRule="auto"/>
        <w:rPr>
          <w:rFonts w:ascii="Century Gothic" w:hAnsi="Century Gothic"/>
        </w:rPr>
      </w:pPr>
      <w:r w:rsidRPr="00120F71">
        <w:rPr>
          <w:rFonts w:ascii="Century Gothic" w:hAnsi="Century Gothic"/>
        </w:rPr>
        <w:t xml:space="preserve">In situ data were provided by the Alabama Forestry Commission. Locations of SPB outbreaks were provided as a point shapefile for each year from 2010 to 2015. The original point shapefiles from the Alabama Forestry Commission were provided in the </w:t>
      </w:r>
      <w:r w:rsidR="00E60D91">
        <w:rPr>
          <w:rFonts w:ascii="Century Gothic" w:hAnsi="Century Gothic"/>
        </w:rPr>
        <w:t>North American Datum (</w:t>
      </w:r>
      <w:r w:rsidRPr="00120F71">
        <w:rPr>
          <w:rFonts w:ascii="Century Gothic" w:hAnsi="Century Gothic"/>
        </w:rPr>
        <w:t>NAD</w:t>
      </w:r>
      <w:r w:rsidR="00E60D91">
        <w:rPr>
          <w:rFonts w:ascii="Century Gothic" w:hAnsi="Century Gothic"/>
        </w:rPr>
        <w:t>)</w:t>
      </w:r>
      <w:r w:rsidRPr="00120F71">
        <w:rPr>
          <w:rFonts w:ascii="Century Gothic" w:hAnsi="Century Gothic"/>
        </w:rPr>
        <w:t xml:space="preserve"> 1983 </w:t>
      </w:r>
      <w:r w:rsidR="00E60D91">
        <w:rPr>
          <w:rFonts w:ascii="Century Gothic" w:hAnsi="Century Gothic"/>
        </w:rPr>
        <w:t>Universal Transverse Mercator (</w:t>
      </w:r>
      <w:r w:rsidRPr="00120F71">
        <w:rPr>
          <w:rFonts w:ascii="Century Gothic" w:hAnsi="Century Gothic"/>
        </w:rPr>
        <w:t>UTM</w:t>
      </w:r>
      <w:r w:rsidR="00E60D91">
        <w:rPr>
          <w:rFonts w:ascii="Century Gothic" w:hAnsi="Century Gothic"/>
        </w:rPr>
        <w:t>)</w:t>
      </w:r>
      <w:r w:rsidRPr="00120F71">
        <w:rPr>
          <w:rFonts w:ascii="Century Gothic" w:hAnsi="Century Gothic"/>
        </w:rPr>
        <w:t xml:space="preserve"> Zone 16N projection and were reprojected to</w:t>
      </w:r>
      <w:r w:rsidR="00E60D91">
        <w:rPr>
          <w:rFonts w:ascii="Century Gothic" w:hAnsi="Century Gothic"/>
        </w:rPr>
        <w:t xml:space="preserve"> World Geodetic System</w:t>
      </w:r>
      <w:r w:rsidRPr="00120F71">
        <w:rPr>
          <w:rFonts w:ascii="Century Gothic" w:hAnsi="Century Gothic"/>
        </w:rPr>
        <w:t xml:space="preserve"> </w:t>
      </w:r>
      <w:r w:rsidR="00E60D91">
        <w:rPr>
          <w:rFonts w:ascii="Century Gothic" w:hAnsi="Century Gothic"/>
        </w:rPr>
        <w:t>(</w:t>
      </w:r>
      <w:r w:rsidRPr="00120F71">
        <w:rPr>
          <w:rFonts w:ascii="Century Gothic" w:hAnsi="Century Gothic"/>
        </w:rPr>
        <w:t>WGS</w:t>
      </w:r>
      <w:r w:rsidR="00E60D91">
        <w:rPr>
          <w:rFonts w:ascii="Century Gothic" w:hAnsi="Century Gothic"/>
        </w:rPr>
        <w:t>)</w:t>
      </w:r>
      <w:r w:rsidRPr="00120F71">
        <w:rPr>
          <w:rFonts w:ascii="Century Gothic" w:hAnsi="Century Gothic"/>
        </w:rPr>
        <w:t xml:space="preserve"> 1984 UTM Zone 16N by using the “Project” tool in ArcMap 10.3. The shapefiles contained inconsistent attributes between each year. For example, the attribute tables from 2010-2012 did not contain latitude and longitude categories. These values had to be extracted from the plotted point locations in ArcMap 10.3 in order to create a .csv file for use in the Princeton Maximum Entropy Model.   Additionally, 2015 did not include an attribute for pest type, so data from this year includes outbreaks from other beetle specie</w:t>
      </w:r>
      <w:r>
        <w:rPr>
          <w:rFonts w:ascii="Century Gothic" w:hAnsi="Century Gothic"/>
        </w:rPr>
        <w:t>s, such as the engraver beetle,</w:t>
      </w:r>
      <w:r w:rsidRPr="00120F71">
        <w:rPr>
          <w:rFonts w:ascii="Century Gothic" w:hAnsi="Century Gothic"/>
        </w:rPr>
        <w:t xml:space="preserve"> in addition to the southern pine beetle. </w:t>
      </w:r>
    </w:p>
    <w:p w14:paraId="52784A9D" w14:textId="77777777" w:rsidR="00D13591" w:rsidRPr="00120F71" w:rsidRDefault="00D13591" w:rsidP="00D13591">
      <w:pPr>
        <w:spacing w:after="0" w:line="240" w:lineRule="auto"/>
        <w:rPr>
          <w:rFonts w:ascii="Century Gothic" w:hAnsi="Century Gothic"/>
        </w:rPr>
      </w:pPr>
    </w:p>
    <w:p w14:paraId="6BD35B26" w14:textId="759D17F1" w:rsidR="00D13591" w:rsidRDefault="00D13591" w:rsidP="00D13591">
      <w:pPr>
        <w:spacing w:after="0" w:line="240" w:lineRule="auto"/>
        <w:rPr>
          <w:rFonts w:ascii="Century Gothic" w:hAnsi="Century Gothic"/>
        </w:rPr>
      </w:pPr>
      <w:r w:rsidRPr="00120F71">
        <w:rPr>
          <w:rFonts w:ascii="Century Gothic" w:hAnsi="Century Gothic"/>
        </w:rPr>
        <w:t>Landsat 5 TM data were projected to WGS 1984 UTM Zone 16N using the “Project Raster” tool and clipped to Alabama using the “Clip” tool. These data were used to calculate the Green-Red Vegetation Index (GRVI) and Normalized Difference Vegetation Index (NDVI) for use in the creation of the Southern Pine Beetle Prediction Map and the Near Real-Time Southern Pine Beet</w:t>
      </w:r>
      <w:r w:rsidR="003C6B4C">
        <w:rPr>
          <w:rFonts w:ascii="Century Gothic" w:hAnsi="Century Gothic"/>
        </w:rPr>
        <w:t>le Susceptibility Model</w:t>
      </w:r>
      <w:r w:rsidRPr="00120F71">
        <w:rPr>
          <w:rFonts w:ascii="Century Gothic" w:hAnsi="Century Gothic"/>
        </w:rPr>
        <w:t>. NDVI and GRVI measure the health of vegetation. NDVI was calculated using the following equation:</w:t>
      </w:r>
    </w:p>
    <w:p w14:paraId="265CB326" w14:textId="77777777" w:rsidR="00D13591" w:rsidRPr="00E365F6" w:rsidRDefault="00D13591" w:rsidP="00D13591">
      <w:pPr>
        <w:spacing w:after="0" w:line="240" w:lineRule="auto"/>
        <w:rPr>
          <w:rFonts w:ascii="Century Gothic" w:hAnsi="Century Gothic" w:cs="Arial"/>
          <w:szCs w:val="24"/>
        </w:rPr>
      </w:pPr>
    </w:p>
    <w:p w14:paraId="4D517379" w14:textId="77777777" w:rsidR="00D13591" w:rsidRPr="00E365F6" w:rsidRDefault="00AB2958" w:rsidP="00D13591">
      <w:pPr>
        <w:spacing w:after="0" w:line="240" w:lineRule="auto"/>
        <w:jc w:val="center"/>
        <w:rPr>
          <w:rFonts w:ascii="Century Gothic" w:hAnsi="Century Gothic" w:cs="Arial"/>
          <w:szCs w:val="24"/>
        </w:rPr>
      </w:pPr>
      <m:oMathPara>
        <m:oMathParaPr>
          <m:jc m:val="center"/>
        </m:oMathParaPr>
        <m:oMath>
          <m:f>
            <m:fPr>
              <m:ctrlPr>
                <w:rPr>
                  <w:rFonts w:ascii="Cambria Math" w:hAnsi="Cambria Math" w:cs="Arial"/>
                  <w:i/>
                  <w:szCs w:val="24"/>
                </w:rPr>
              </m:ctrlPr>
            </m:fPr>
            <m:num>
              <m:r>
                <w:rPr>
                  <w:rFonts w:ascii="Cambria Math" w:hAnsi="Cambria Math" w:cs="Arial"/>
                  <w:szCs w:val="24"/>
                </w:rPr>
                <m:t>NIR-RED</m:t>
              </m:r>
            </m:num>
            <m:den>
              <m:r>
                <w:rPr>
                  <w:rFonts w:ascii="Cambria Math" w:hAnsi="Cambria Math" w:cs="Arial"/>
                  <w:szCs w:val="24"/>
                </w:rPr>
                <m:t>NIR+RED</m:t>
              </m:r>
            </m:den>
          </m:f>
        </m:oMath>
      </m:oMathPara>
    </w:p>
    <w:p w14:paraId="48C7CB6A" w14:textId="77777777" w:rsidR="00D13591" w:rsidRDefault="00D13591" w:rsidP="00D13591">
      <w:pPr>
        <w:spacing w:after="0" w:line="240" w:lineRule="auto"/>
        <w:rPr>
          <w:rFonts w:ascii="Century Gothic" w:hAnsi="Century Gothic"/>
        </w:rPr>
      </w:pPr>
    </w:p>
    <w:p w14:paraId="33D36EE9" w14:textId="77777777" w:rsidR="00D13591" w:rsidRPr="00120F71" w:rsidRDefault="00D13591" w:rsidP="00D13591">
      <w:pPr>
        <w:spacing w:after="0" w:line="240" w:lineRule="auto"/>
        <w:rPr>
          <w:rFonts w:ascii="Century Gothic" w:hAnsi="Century Gothic"/>
        </w:rPr>
      </w:pPr>
      <w:r w:rsidRPr="00120F71">
        <w:rPr>
          <w:rFonts w:ascii="Century Gothic" w:hAnsi="Century Gothic"/>
        </w:rPr>
        <w:t>With,</w:t>
      </w:r>
    </w:p>
    <w:p w14:paraId="5152AC79" w14:textId="798BE462" w:rsidR="00D13591" w:rsidRPr="00120F71" w:rsidRDefault="00D13591" w:rsidP="00D13591">
      <w:pPr>
        <w:spacing w:after="0" w:line="240" w:lineRule="auto"/>
        <w:rPr>
          <w:rFonts w:ascii="Century Gothic" w:hAnsi="Century Gothic"/>
        </w:rPr>
      </w:pPr>
      <w:r w:rsidRPr="00427E10">
        <w:rPr>
          <w:rFonts w:ascii="Century Gothic" w:hAnsi="Century Gothic"/>
          <w:i/>
        </w:rPr>
        <w:t>RED</w:t>
      </w:r>
      <w:r>
        <w:rPr>
          <w:rFonts w:ascii="Century Gothic" w:hAnsi="Century Gothic"/>
        </w:rPr>
        <w:t xml:space="preserve"> = </w:t>
      </w:r>
      <w:r w:rsidRPr="00120F71">
        <w:rPr>
          <w:rFonts w:ascii="Century Gothic" w:hAnsi="Century Gothic"/>
        </w:rPr>
        <w:t>visible red (</w:t>
      </w:r>
      <w:r w:rsidR="00427E10">
        <w:rPr>
          <w:rFonts w:ascii="Century Gothic" w:hAnsi="Century Gothic"/>
        </w:rPr>
        <w:t>0</w:t>
      </w:r>
      <w:r w:rsidRPr="00120F71">
        <w:rPr>
          <w:rFonts w:ascii="Century Gothic" w:hAnsi="Century Gothic"/>
        </w:rPr>
        <w:t xml:space="preserve">.62 - </w:t>
      </w:r>
      <w:r w:rsidR="00427E10">
        <w:rPr>
          <w:rFonts w:ascii="Century Gothic" w:hAnsi="Century Gothic"/>
        </w:rPr>
        <w:t>0</w:t>
      </w:r>
      <w:r w:rsidRPr="00120F71">
        <w:rPr>
          <w:rFonts w:ascii="Century Gothic" w:hAnsi="Century Gothic"/>
        </w:rPr>
        <w:t>.70μm)</w:t>
      </w:r>
    </w:p>
    <w:p w14:paraId="6BAF70E6" w14:textId="06C5714D" w:rsidR="00D13591" w:rsidRDefault="00D13591" w:rsidP="00D13591">
      <w:pPr>
        <w:spacing w:after="0" w:line="240" w:lineRule="auto"/>
        <w:rPr>
          <w:rFonts w:ascii="Century Gothic" w:hAnsi="Century Gothic"/>
        </w:rPr>
      </w:pPr>
      <w:r w:rsidRPr="00427E10">
        <w:rPr>
          <w:rFonts w:ascii="Century Gothic" w:hAnsi="Century Gothic"/>
          <w:i/>
        </w:rPr>
        <w:lastRenderedPageBreak/>
        <w:t>NIR</w:t>
      </w:r>
      <w:r w:rsidRPr="00120F71">
        <w:rPr>
          <w:rFonts w:ascii="Century Gothic" w:hAnsi="Century Gothic"/>
        </w:rPr>
        <w:t xml:space="preserve"> = near-infrared (</w:t>
      </w:r>
      <w:r w:rsidR="00427E10">
        <w:rPr>
          <w:rFonts w:ascii="Century Gothic" w:hAnsi="Century Gothic"/>
        </w:rPr>
        <w:t>0</w:t>
      </w:r>
      <w:r w:rsidRPr="00120F71">
        <w:rPr>
          <w:rFonts w:ascii="Century Gothic" w:hAnsi="Century Gothic"/>
        </w:rPr>
        <w:t>.725 - 1.1μm)</w:t>
      </w:r>
    </w:p>
    <w:p w14:paraId="26AC7F20" w14:textId="77777777" w:rsidR="00E60D91" w:rsidRPr="00120F71" w:rsidRDefault="00E60D91" w:rsidP="00D13591">
      <w:pPr>
        <w:spacing w:after="0" w:line="240" w:lineRule="auto"/>
        <w:rPr>
          <w:rFonts w:ascii="Century Gothic" w:hAnsi="Century Gothic"/>
        </w:rPr>
      </w:pPr>
    </w:p>
    <w:p w14:paraId="448B2AAE" w14:textId="587B2E4A" w:rsidR="00D13591" w:rsidRPr="00120F71" w:rsidRDefault="00D13591" w:rsidP="00D13591">
      <w:pPr>
        <w:spacing w:after="0" w:line="240" w:lineRule="auto"/>
        <w:rPr>
          <w:rFonts w:ascii="Century Gothic" w:hAnsi="Century Gothic"/>
        </w:rPr>
      </w:pPr>
      <w:r w:rsidRPr="00120F71">
        <w:rPr>
          <w:rFonts w:ascii="Century Gothic" w:hAnsi="Century Gothic"/>
        </w:rPr>
        <w:t>The application of the NDVI equation results in a raster with values ranging from -1 to 1. Values closer to 1 represent areas with dense green vegetation, values closer to zero represent areas with no green leaves, and values of zero and below represent areas without vegetation</w:t>
      </w:r>
      <w:r w:rsidR="003C6B4C">
        <w:rPr>
          <w:rFonts w:ascii="Century Gothic" w:hAnsi="Century Gothic"/>
        </w:rPr>
        <w:t xml:space="preserve"> (Figure 2)</w:t>
      </w:r>
      <w:r w:rsidRPr="00120F71">
        <w:rPr>
          <w:rFonts w:ascii="Century Gothic" w:hAnsi="Century Gothic"/>
        </w:rPr>
        <w:t xml:space="preserve">. </w:t>
      </w:r>
    </w:p>
    <w:p w14:paraId="29F12A42" w14:textId="77777777" w:rsidR="00D13591" w:rsidRPr="00120F71" w:rsidRDefault="00D13591" w:rsidP="00D13591">
      <w:pPr>
        <w:spacing w:after="0" w:line="240" w:lineRule="auto"/>
        <w:rPr>
          <w:rFonts w:ascii="Century Gothic" w:hAnsi="Century Gothic"/>
        </w:rPr>
      </w:pPr>
    </w:p>
    <w:p w14:paraId="23EEDFAC" w14:textId="77777777" w:rsidR="00D13591" w:rsidRDefault="00D13591" w:rsidP="00D13591">
      <w:pPr>
        <w:spacing w:after="0" w:line="240" w:lineRule="auto"/>
        <w:rPr>
          <w:rFonts w:ascii="Century Gothic" w:hAnsi="Century Gothic"/>
        </w:rPr>
      </w:pPr>
      <w:r w:rsidRPr="00120F71">
        <w:rPr>
          <w:rFonts w:ascii="Century Gothic" w:hAnsi="Century Gothic"/>
        </w:rPr>
        <w:t>GRVI was c</w:t>
      </w:r>
      <w:r>
        <w:rPr>
          <w:rFonts w:ascii="Century Gothic" w:hAnsi="Century Gothic"/>
        </w:rPr>
        <w:t>alculated</w:t>
      </w:r>
      <w:r w:rsidRPr="00120F71">
        <w:rPr>
          <w:rFonts w:ascii="Century Gothic" w:hAnsi="Century Gothic"/>
        </w:rPr>
        <w:t xml:space="preserve"> using the following equation:</w:t>
      </w:r>
    </w:p>
    <w:p w14:paraId="1E079E15" w14:textId="77777777" w:rsidR="00D13591" w:rsidRDefault="00D13591" w:rsidP="00D13591">
      <w:pPr>
        <w:spacing w:after="0" w:line="240" w:lineRule="auto"/>
        <w:rPr>
          <w:rFonts w:ascii="Century Gothic" w:hAnsi="Century Gothic"/>
        </w:rPr>
      </w:pPr>
    </w:p>
    <w:p w14:paraId="254841E1" w14:textId="77777777" w:rsidR="00D13591" w:rsidRPr="00120F71" w:rsidRDefault="00AB2958" w:rsidP="00D13591">
      <w:pPr>
        <w:spacing w:after="0" w:line="240" w:lineRule="auto"/>
        <w:jc w:val="center"/>
        <w:rPr>
          <w:rFonts w:ascii="Century Gothic" w:hAnsi="Century Gothic" w:cs="Arial"/>
          <w:szCs w:val="24"/>
        </w:rPr>
      </w:pPr>
      <m:oMathPara>
        <m:oMath>
          <m:f>
            <m:fPr>
              <m:ctrlPr>
                <w:rPr>
                  <w:rFonts w:ascii="Cambria Math" w:hAnsi="Cambria Math" w:cs="Arial"/>
                  <w:i/>
                  <w:szCs w:val="24"/>
                </w:rPr>
              </m:ctrlPr>
            </m:fPr>
            <m:num>
              <m:r>
                <w:rPr>
                  <w:rFonts w:ascii="Cambria Math" w:hAnsi="Cambria Math" w:cs="Arial"/>
                  <w:szCs w:val="24"/>
                </w:rPr>
                <m:t>GREEN-RED</m:t>
              </m:r>
            </m:num>
            <m:den>
              <m:r>
                <w:rPr>
                  <w:rFonts w:ascii="Cambria Math" w:hAnsi="Cambria Math" w:cs="Arial"/>
                  <w:szCs w:val="24"/>
                </w:rPr>
                <m:t>GREEN+RED</m:t>
              </m:r>
            </m:den>
          </m:f>
        </m:oMath>
      </m:oMathPara>
    </w:p>
    <w:p w14:paraId="60141BB2" w14:textId="77777777" w:rsidR="00D13591" w:rsidRDefault="00D13591" w:rsidP="00D13591">
      <w:pPr>
        <w:spacing w:after="0" w:line="240" w:lineRule="auto"/>
        <w:rPr>
          <w:rFonts w:ascii="Century Gothic" w:hAnsi="Century Gothic" w:cs="Arial"/>
          <w:szCs w:val="24"/>
        </w:rPr>
      </w:pPr>
    </w:p>
    <w:p w14:paraId="7E775606" w14:textId="77777777" w:rsidR="00D13591" w:rsidRPr="00120F71" w:rsidRDefault="00D13591" w:rsidP="00D13591">
      <w:pPr>
        <w:spacing w:after="0" w:line="240" w:lineRule="auto"/>
        <w:rPr>
          <w:rFonts w:ascii="Century Gothic" w:hAnsi="Century Gothic" w:cs="Arial"/>
          <w:szCs w:val="24"/>
        </w:rPr>
      </w:pPr>
      <w:r w:rsidRPr="00120F71">
        <w:rPr>
          <w:rFonts w:ascii="Century Gothic" w:hAnsi="Century Gothic" w:cs="Arial"/>
          <w:szCs w:val="24"/>
        </w:rPr>
        <w:t>With,</w:t>
      </w:r>
    </w:p>
    <w:p w14:paraId="432C26A1" w14:textId="6FF9F49F" w:rsidR="00D13591" w:rsidRPr="00120F71" w:rsidRDefault="00D13591" w:rsidP="00D13591">
      <w:pPr>
        <w:spacing w:after="0" w:line="240" w:lineRule="auto"/>
        <w:rPr>
          <w:rFonts w:ascii="Century Gothic" w:hAnsi="Century Gothic" w:cs="Arial"/>
          <w:szCs w:val="24"/>
        </w:rPr>
      </w:pPr>
      <w:r w:rsidRPr="00427E10">
        <w:rPr>
          <w:rFonts w:ascii="Century Gothic" w:hAnsi="Century Gothic" w:cs="Arial"/>
          <w:i/>
          <w:szCs w:val="24"/>
        </w:rPr>
        <w:t>GREEN</w:t>
      </w:r>
      <w:r>
        <w:rPr>
          <w:rFonts w:ascii="Century Gothic" w:hAnsi="Century Gothic" w:cs="Arial"/>
          <w:szCs w:val="24"/>
        </w:rPr>
        <w:t xml:space="preserve"> = visible green </w:t>
      </w:r>
      <w:r w:rsidRPr="00120F71">
        <w:rPr>
          <w:rFonts w:ascii="Century Gothic" w:hAnsi="Century Gothic" w:cs="Arial"/>
          <w:szCs w:val="24"/>
        </w:rPr>
        <w:t>(</w:t>
      </w:r>
      <w:r w:rsidR="00427E10">
        <w:rPr>
          <w:rFonts w:ascii="Century Gothic" w:hAnsi="Century Gothic" w:cs="Arial"/>
          <w:szCs w:val="24"/>
        </w:rPr>
        <w:t>0</w:t>
      </w:r>
      <w:r w:rsidRPr="00120F71">
        <w:rPr>
          <w:rFonts w:ascii="Century Gothic" w:hAnsi="Century Gothic" w:cs="Arial"/>
          <w:szCs w:val="24"/>
        </w:rPr>
        <w:t xml:space="preserve">.500 - </w:t>
      </w:r>
      <w:r w:rsidR="00427E10">
        <w:rPr>
          <w:rFonts w:ascii="Century Gothic" w:hAnsi="Century Gothic" w:cs="Arial"/>
          <w:szCs w:val="24"/>
        </w:rPr>
        <w:t>0</w:t>
      </w:r>
      <w:r w:rsidRPr="00120F71">
        <w:rPr>
          <w:rFonts w:ascii="Century Gothic" w:hAnsi="Century Gothic" w:cs="Arial"/>
          <w:szCs w:val="24"/>
        </w:rPr>
        <w:t xml:space="preserve">.570μm) </w:t>
      </w:r>
    </w:p>
    <w:p w14:paraId="0FD2D179" w14:textId="6B2CFFCF" w:rsidR="00D13591" w:rsidRDefault="00D13591" w:rsidP="00D13591">
      <w:pPr>
        <w:spacing w:after="0" w:line="240" w:lineRule="auto"/>
        <w:rPr>
          <w:rFonts w:ascii="Century Gothic" w:hAnsi="Century Gothic" w:cs="Arial"/>
          <w:szCs w:val="24"/>
        </w:rPr>
      </w:pPr>
      <w:r w:rsidRPr="00427E10">
        <w:rPr>
          <w:rFonts w:ascii="Century Gothic" w:hAnsi="Century Gothic" w:cs="Arial"/>
          <w:i/>
          <w:szCs w:val="24"/>
        </w:rPr>
        <w:t>RED</w:t>
      </w:r>
      <w:r w:rsidRPr="00120F71">
        <w:rPr>
          <w:rFonts w:ascii="Century Gothic" w:hAnsi="Century Gothic" w:cs="Arial"/>
          <w:szCs w:val="24"/>
        </w:rPr>
        <w:t xml:space="preserve"> = visible red (</w:t>
      </w:r>
      <w:r w:rsidR="00427E10">
        <w:rPr>
          <w:rFonts w:ascii="Century Gothic" w:hAnsi="Century Gothic" w:cs="Arial"/>
          <w:szCs w:val="24"/>
        </w:rPr>
        <w:t>0</w:t>
      </w:r>
      <w:r w:rsidRPr="00120F71">
        <w:rPr>
          <w:rFonts w:ascii="Century Gothic" w:hAnsi="Century Gothic" w:cs="Arial"/>
          <w:szCs w:val="24"/>
        </w:rPr>
        <w:t xml:space="preserve">.62 - </w:t>
      </w:r>
      <w:r w:rsidR="00427E10">
        <w:rPr>
          <w:rFonts w:ascii="Century Gothic" w:hAnsi="Century Gothic" w:cs="Arial"/>
          <w:szCs w:val="24"/>
        </w:rPr>
        <w:t>0</w:t>
      </w:r>
      <w:r w:rsidRPr="00120F71">
        <w:rPr>
          <w:rFonts w:ascii="Century Gothic" w:hAnsi="Century Gothic" w:cs="Arial"/>
          <w:szCs w:val="24"/>
        </w:rPr>
        <w:t>.70 μm)</w:t>
      </w:r>
    </w:p>
    <w:p w14:paraId="385E94B2" w14:textId="77777777" w:rsidR="00427E10" w:rsidRPr="00120F71" w:rsidRDefault="00427E10" w:rsidP="00D13591">
      <w:pPr>
        <w:spacing w:after="0" w:line="240" w:lineRule="auto"/>
        <w:rPr>
          <w:rFonts w:ascii="Century Gothic" w:hAnsi="Century Gothic" w:cs="Arial"/>
          <w:szCs w:val="24"/>
        </w:rPr>
      </w:pPr>
    </w:p>
    <w:p w14:paraId="25BAC069" w14:textId="08ABBFFA" w:rsidR="00D13591" w:rsidRDefault="00D13591" w:rsidP="00D13591">
      <w:pPr>
        <w:spacing w:after="0" w:line="240" w:lineRule="auto"/>
        <w:rPr>
          <w:rFonts w:ascii="Century Gothic" w:hAnsi="Century Gothic" w:cs="Arial"/>
          <w:szCs w:val="24"/>
        </w:rPr>
      </w:pPr>
      <w:r w:rsidRPr="00120F71">
        <w:rPr>
          <w:rFonts w:ascii="Century Gothic" w:hAnsi="Century Gothic" w:cs="Arial"/>
          <w:szCs w:val="24"/>
        </w:rPr>
        <w:t>The application of the GRV</w:t>
      </w:r>
      <w:r>
        <w:rPr>
          <w:rFonts w:ascii="Century Gothic" w:hAnsi="Century Gothic" w:cs="Arial"/>
          <w:szCs w:val="24"/>
        </w:rPr>
        <w:t xml:space="preserve">I equation results in a raster </w:t>
      </w:r>
      <w:r w:rsidRPr="00120F71">
        <w:rPr>
          <w:rFonts w:ascii="Century Gothic" w:hAnsi="Century Gothic" w:cs="Arial"/>
          <w:szCs w:val="24"/>
        </w:rPr>
        <w:t>with values ranging from -1 to 1. Values closer to 1 represent areas with dense green vegetation, values closer to zero represent water/snow, and values below zero represent soil</w:t>
      </w:r>
      <w:r w:rsidR="003C6B4C">
        <w:rPr>
          <w:rFonts w:ascii="Century Gothic" w:hAnsi="Century Gothic" w:cs="Arial"/>
          <w:szCs w:val="24"/>
        </w:rPr>
        <w:t xml:space="preserve"> (Figure 3)</w:t>
      </w:r>
      <w:r w:rsidRPr="00120F71">
        <w:rPr>
          <w:rFonts w:ascii="Century Gothic" w:hAnsi="Century Gothic" w:cs="Arial"/>
          <w:szCs w:val="24"/>
        </w:rPr>
        <w:t>.</w:t>
      </w:r>
    </w:p>
    <w:p w14:paraId="0874517E" w14:textId="77777777" w:rsidR="00D13591" w:rsidRDefault="00D13591" w:rsidP="00D13591">
      <w:pPr>
        <w:spacing w:after="0" w:line="240" w:lineRule="auto"/>
        <w:rPr>
          <w:rFonts w:ascii="Century Gothic" w:hAnsi="Century Gothic" w:cs="Arial"/>
          <w:szCs w:val="24"/>
        </w:rPr>
      </w:pPr>
    </w:p>
    <w:p w14:paraId="547FF9BE" w14:textId="77777777" w:rsidR="00427E10" w:rsidRDefault="00D13591" w:rsidP="00427E10">
      <w:pPr>
        <w:keepNext/>
        <w:spacing w:after="0" w:line="240" w:lineRule="auto"/>
        <w:jc w:val="center"/>
      </w:pPr>
      <w:r>
        <w:rPr>
          <w:noProof/>
        </w:rPr>
        <w:drawing>
          <wp:inline distT="114300" distB="114300" distL="114300" distR="114300" wp14:anchorId="4C79B3FF" wp14:editId="56E573F0">
            <wp:extent cx="2743200" cy="4498848"/>
            <wp:effectExtent l="0" t="0" r="0" b="0"/>
            <wp:docPr id="2" name="image31.jpg" descr="NDVI_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jpg" descr="NDVI_2010.jpg"/>
                    <pic:cNvPicPr preferRelativeResize="0"/>
                  </pic:nvPicPr>
                  <pic:blipFill>
                    <a:blip r:embed="rId11"/>
                    <a:srcRect/>
                    <a:stretch>
                      <a:fillRect/>
                    </a:stretch>
                  </pic:blipFill>
                  <pic:spPr>
                    <a:xfrm>
                      <a:off x="0" y="0"/>
                      <a:ext cx="2743200" cy="4498848"/>
                    </a:xfrm>
                    <a:prstGeom prst="rect">
                      <a:avLst/>
                    </a:prstGeom>
                    <a:ln/>
                  </pic:spPr>
                </pic:pic>
              </a:graphicData>
            </a:graphic>
          </wp:inline>
        </w:drawing>
      </w:r>
    </w:p>
    <w:p w14:paraId="4C70FD6E" w14:textId="7F8E5181" w:rsidR="00D13591" w:rsidRPr="00427E10" w:rsidRDefault="00427E10" w:rsidP="00427E10">
      <w:pPr>
        <w:pStyle w:val="Caption"/>
        <w:jc w:val="center"/>
        <w:rPr>
          <w:rFonts w:ascii="Century Gothic" w:hAnsi="Century Gothic" w:cs="Arial"/>
          <w:color w:val="auto"/>
          <w:szCs w:val="24"/>
        </w:rPr>
      </w:pPr>
      <w:r w:rsidRPr="00427E10">
        <w:rPr>
          <w:rFonts w:ascii="Century Gothic" w:hAnsi="Century Gothic"/>
          <w:color w:val="auto"/>
        </w:rPr>
        <w:t xml:space="preserve">Figure </w:t>
      </w:r>
      <w:r w:rsidRPr="00427E10">
        <w:rPr>
          <w:rFonts w:ascii="Century Gothic" w:hAnsi="Century Gothic"/>
          <w:color w:val="auto"/>
        </w:rPr>
        <w:fldChar w:fldCharType="begin"/>
      </w:r>
      <w:r w:rsidRPr="00427E10">
        <w:rPr>
          <w:rFonts w:ascii="Century Gothic" w:hAnsi="Century Gothic"/>
          <w:color w:val="auto"/>
        </w:rPr>
        <w:instrText xml:space="preserve"> SEQ Figure \* ARABIC </w:instrText>
      </w:r>
      <w:r w:rsidRPr="00427E10">
        <w:rPr>
          <w:rFonts w:ascii="Century Gothic" w:hAnsi="Century Gothic"/>
          <w:color w:val="auto"/>
        </w:rPr>
        <w:fldChar w:fldCharType="separate"/>
      </w:r>
      <w:r w:rsidR="00A23843">
        <w:rPr>
          <w:rFonts w:ascii="Century Gothic" w:hAnsi="Century Gothic"/>
          <w:noProof/>
          <w:color w:val="auto"/>
        </w:rPr>
        <w:t>2</w:t>
      </w:r>
      <w:r w:rsidRPr="00427E10">
        <w:rPr>
          <w:rFonts w:ascii="Century Gothic" w:hAnsi="Century Gothic"/>
          <w:color w:val="auto"/>
        </w:rPr>
        <w:fldChar w:fldCharType="end"/>
      </w:r>
      <w:r w:rsidRPr="00427E10">
        <w:rPr>
          <w:rFonts w:ascii="Century Gothic" w:hAnsi="Century Gothic"/>
          <w:color w:val="auto"/>
        </w:rPr>
        <w:t>: NDVI for 2010</w:t>
      </w:r>
    </w:p>
    <w:p w14:paraId="17528657" w14:textId="77777777" w:rsidR="00427E10" w:rsidRDefault="00D13591" w:rsidP="00427E10">
      <w:pPr>
        <w:keepNext/>
        <w:spacing w:after="0" w:line="240" w:lineRule="auto"/>
        <w:jc w:val="center"/>
      </w:pPr>
      <w:r>
        <w:rPr>
          <w:noProof/>
        </w:rPr>
        <w:lastRenderedPageBreak/>
        <w:drawing>
          <wp:inline distT="114300" distB="114300" distL="114300" distR="114300" wp14:anchorId="04AEDEC1" wp14:editId="2690A538">
            <wp:extent cx="2743200" cy="4498848"/>
            <wp:effectExtent l="0" t="0" r="0" b="0"/>
            <wp:docPr id="3" name="image21.jpg" descr="GRVI_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jpg" descr="GRVI_2010.jpg"/>
                    <pic:cNvPicPr preferRelativeResize="0"/>
                  </pic:nvPicPr>
                  <pic:blipFill>
                    <a:blip r:embed="rId12"/>
                    <a:srcRect/>
                    <a:stretch>
                      <a:fillRect/>
                    </a:stretch>
                  </pic:blipFill>
                  <pic:spPr>
                    <a:xfrm>
                      <a:off x="0" y="0"/>
                      <a:ext cx="2743200" cy="4498848"/>
                    </a:xfrm>
                    <a:prstGeom prst="rect">
                      <a:avLst/>
                    </a:prstGeom>
                    <a:ln/>
                  </pic:spPr>
                </pic:pic>
              </a:graphicData>
            </a:graphic>
          </wp:inline>
        </w:drawing>
      </w:r>
    </w:p>
    <w:p w14:paraId="2B6774CB" w14:textId="02202C6B" w:rsidR="00D13591" w:rsidRPr="00427E10" w:rsidRDefault="00427E10" w:rsidP="00427E10">
      <w:pPr>
        <w:pStyle w:val="Caption"/>
        <w:jc w:val="center"/>
        <w:rPr>
          <w:rFonts w:ascii="Century Gothic" w:hAnsi="Century Gothic"/>
          <w:b w:val="0"/>
          <w:color w:val="auto"/>
        </w:rPr>
      </w:pPr>
      <w:r w:rsidRPr="00427E10">
        <w:rPr>
          <w:rFonts w:ascii="Century Gothic" w:hAnsi="Century Gothic"/>
          <w:color w:val="auto"/>
        </w:rPr>
        <w:t xml:space="preserve">Figure </w:t>
      </w:r>
      <w:r w:rsidRPr="00427E10">
        <w:rPr>
          <w:rFonts w:ascii="Century Gothic" w:hAnsi="Century Gothic"/>
          <w:color w:val="auto"/>
        </w:rPr>
        <w:fldChar w:fldCharType="begin"/>
      </w:r>
      <w:r w:rsidRPr="00427E10">
        <w:rPr>
          <w:rFonts w:ascii="Century Gothic" w:hAnsi="Century Gothic"/>
          <w:color w:val="auto"/>
        </w:rPr>
        <w:instrText xml:space="preserve"> SEQ Figure \* ARABIC </w:instrText>
      </w:r>
      <w:r w:rsidRPr="00427E10">
        <w:rPr>
          <w:rFonts w:ascii="Century Gothic" w:hAnsi="Century Gothic"/>
          <w:color w:val="auto"/>
        </w:rPr>
        <w:fldChar w:fldCharType="separate"/>
      </w:r>
      <w:r w:rsidR="00A23843">
        <w:rPr>
          <w:rFonts w:ascii="Century Gothic" w:hAnsi="Century Gothic"/>
          <w:noProof/>
          <w:color w:val="auto"/>
        </w:rPr>
        <w:t>3</w:t>
      </w:r>
      <w:r w:rsidRPr="00427E10">
        <w:rPr>
          <w:rFonts w:ascii="Century Gothic" w:hAnsi="Century Gothic"/>
          <w:color w:val="auto"/>
        </w:rPr>
        <w:fldChar w:fldCharType="end"/>
      </w:r>
      <w:r w:rsidRPr="00427E10">
        <w:rPr>
          <w:rFonts w:ascii="Century Gothic" w:hAnsi="Century Gothic"/>
          <w:color w:val="auto"/>
        </w:rPr>
        <w:t>: GRVI for 2010</w:t>
      </w:r>
    </w:p>
    <w:p w14:paraId="3AF84F10" w14:textId="77777777" w:rsidR="00D13591" w:rsidRPr="00D13591" w:rsidRDefault="00D13591" w:rsidP="00D13591">
      <w:pPr>
        <w:spacing w:after="0" w:line="240" w:lineRule="auto"/>
        <w:rPr>
          <w:rFonts w:ascii="Century Gothic" w:hAnsi="Century Gothic"/>
        </w:rPr>
      </w:pPr>
      <w:r w:rsidRPr="00D13591">
        <w:rPr>
          <w:rFonts w:ascii="Century Gothic" w:hAnsi="Century Gothic"/>
        </w:rPr>
        <w:t xml:space="preserve">The LANDFIRE land cover data were projected to WGS 1984 UTM Zone 16N using the “Project Raster” tool and clipped to Alabama using the “Clip” tool in ArcMap 10.3. These data were used in creating the Southern Pine Beetle Prediction Map and the Near Real-Time Southern Pine Beetle Susceptibility Model. </w:t>
      </w:r>
    </w:p>
    <w:p w14:paraId="62FDDEF2" w14:textId="77777777" w:rsidR="00D13591" w:rsidRPr="00D13591" w:rsidRDefault="00D13591" w:rsidP="00D13591">
      <w:pPr>
        <w:spacing w:after="0" w:line="240" w:lineRule="auto"/>
        <w:rPr>
          <w:rFonts w:ascii="Century Gothic" w:hAnsi="Century Gothic"/>
        </w:rPr>
      </w:pPr>
    </w:p>
    <w:p w14:paraId="405EC45A" w14:textId="77777777" w:rsidR="00D13591" w:rsidRPr="00D13591" w:rsidRDefault="00D13591" w:rsidP="00D13591">
      <w:pPr>
        <w:spacing w:after="0" w:line="240" w:lineRule="auto"/>
        <w:rPr>
          <w:rFonts w:ascii="Century Gothic" w:hAnsi="Century Gothic"/>
        </w:rPr>
      </w:pPr>
      <w:r w:rsidRPr="00D13591">
        <w:rPr>
          <w:rFonts w:ascii="Century Gothic" w:hAnsi="Century Gothic"/>
        </w:rPr>
        <w:t xml:space="preserve">Future climatic variables for 2050, including minimum temperature, maximum temperature, mean temperature, and 19 bioclimatic variables were downloaded from the WorldClim website. These variables were used in the Near Real-Time Southern Pine Beetle Susceptibility Model to help predict future SPB susceptibility. </w:t>
      </w:r>
    </w:p>
    <w:p w14:paraId="0E9F93C1" w14:textId="77777777" w:rsidR="00D13591" w:rsidRPr="00D13591" w:rsidRDefault="00D13591" w:rsidP="00D13591">
      <w:pPr>
        <w:spacing w:after="0" w:line="240" w:lineRule="auto"/>
        <w:rPr>
          <w:rFonts w:ascii="Century Gothic" w:hAnsi="Century Gothic"/>
        </w:rPr>
      </w:pPr>
    </w:p>
    <w:p w14:paraId="1AF40B89" w14:textId="25779C56" w:rsidR="00D13591" w:rsidRPr="00D13591" w:rsidRDefault="00D13591" w:rsidP="00D13591">
      <w:pPr>
        <w:spacing w:after="0" w:line="240" w:lineRule="auto"/>
        <w:rPr>
          <w:rFonts w:ascii="Century Gothic" w:hAnsi="Century Gothic"/>
        </w:rPr>
      </w:pPr>
      <w:r w:rsidRPr="00D13591">
        <w:rPr>
          <w:rFonts w:ascii="Century Gothic" w:hAnsi="Century Gothic"/>
        </w:rPr>
        <w:t xml:space="preserve">SRTM-v2 C-band data were reprojected to WGS 1984 UTM Zone 16N using the “Project Raster” tool, mosaicked using the “Mosaic to New Raster” tool,  and clipped to Alabama using the “Clip” tool. These data were used to derive slope and elevation. The original SRTM-v2 C-band data already contained the elevation values for the study area. Slope was calculated using the “Slope” tool in ArcMap 10.3. The slope and elevation rasters were used as inputs for the Southern Pine Beetle Prediction Map. </w:t>
      </w:r>
    </w:p>
    <w:p w14:paraId="1F6B57FE" w14:textId="77777777" w:rsidR="00D13591" w:rsidRPr="00D13591" w:rsidRDefault="00D13591" w:rsidP="00D13591">
      <w:pPr>
        <w:spacing w:after="0" w:line="240" w:lineRule="auto"/>
        <w:rPr>
          <w:rFonts w:ascii="Century Gothic" w:hAnsi="Century Gothic"/>
        </w:rPr>
      </w:pPr>
    </w:p>
    <w:p w14:paraId="741B8137" w14:textId="77777777" w:rsidR="00D13591" w:rsidRPr="00D13591" w:rsidRDefault="00D13591" w:rsidP="00D13591">
      <w:pPr>
        <w:spacing w:after="0" w:line="240" w:lineRule="auto"/>
        <w:rPr>
          <w:rFonts w:ascii="Century Gothic" w:hAnsi="Century Gothic"/>
          <w:i/>
          <w:u w:val="single"/>
        </w:rPr>
      </w:pPr>
      <w:r w:rsidRPr="00D13591">
        <w:rPr>
          <w:rFonts w:ascii="Century Gothic" w:hAnsi="Century Gothic"/>
          <w:i/>
          <w:u w:val="single"/>
        </w:rPr>
        <w:t>Historic Southern Pine Beetle Coverage Maps</w:t>
      </w:r>
    </w:p>
    <w:p w14:paraId="5E3901EE" w14:textId="77777777" w:rsidR="00D13591" w:rsidRPr="00D13591" w:rsidRDefault="00D13591" w:rsidP="00D13591">
      <w:pPr>
        <w:spacing w:after="0" w:line="240" w:lineRule="auto"/>
        <w:rPr>
          <w:rFonts w:ascii="Century Gothic" w:hAnsi="Century Gothic"/>
        </w:rPr>
      </w:pPr>
      <w:r w:rsidRPr="00D13591">
        <w:rPr>
          <w:rFonts w:ascii="Century Gothic" w:hAnsi="Century Gothic"/>
        </w:rPr>
        <w:t xml:space="preserve">SPB density maps for each year from 2010 to 2015 were created using the “Point Density” tool in ArcMap 10.3. The symbology for each year was recategorized to </w:t>
      </w:r>
      <w:r w:rsidRPr="00D13591">
        <w:rPr>
          <w:rFonts w:ascii="Century Gothic" w:hAnsi="Century Gothic"/>
        </w:rPr>
        <w:lastRenderedPageBreak/>
        <w:t xml:space="preserve">include the entire range of possible values for all years. This allowed the density maps to be quickly compared between years. The minimum value for any given point in Alabama from 2010 to 2015 was 0 SPB outbreaks per square kilometer. The maximum value for any given point in Alabama from 2010 to 2015 was 0.4095 SPB outbreaks per square kilometer.  This product illustrates temporal and spatial patterns of historic SPB outbreaks. </w:t>
      </w:r>
    </w:p>
    <w:p w14:paraId="4C0BF77A" w14:textId="77777777" w:rsidR="00D13591" w:rsidRPr="00D13591" w:rsidRDefault="00D13591" w:rsidP="00D13591">
      <w:pPr>
        <w:spacing w:after="0" w:line="240" w:lineRule="auto"/>
        <w:rPr>
          <w:rFonts w:ascii="Century Gothic" w:hAnsi="Century Gothic"/>
        </w:rPr>
      </w:pPr>
    </w:p>
    <w:p w14:paraId="0221F25E" w14:textId="77777777" w:rsidR="00D13591" w:rsidRPr="00D13591" w:rsidRDefault="00D13591" w:rsidP="00D13591">
      <w:pPr>
        <w:spacing w:after="0" w:line="240" w:lineRule="auto"/>
        <w:rPr>
          <w:rFonts w:ascii="Century Gothic" w:hAnsi="Century Gothic"/>
          <w:i/>
          <w:u w:val="single"/>
        </w:rPr>
      </w:pPr>
      <w:r w:rsidRPr="00D13591">
        <w:rPr>
          <w:rFonts w:ascii="Century Gothic" w:hAnsi="Century Gothic"/>
          <w:i/>
          <w:u w:val="single"/>
        </w:rPr>
        <w:t>Southern Pine Beetle Prediction Map</w:t>
      </w:r>
    </w:p>
    <w:p w14:paraId="6B5BBAF7" w14:textId="52D51681" w:rsidR="00D13591" w:rsidRPr="00D13591" w:rsidRDefault="00D13591" w:rsidP="00D13591">
      <w:pPr>
        <w:spacing w:after="0" w:line="240" w:lineRule="auto"/>
        <w:rPr>
          <w:rFonts w:ascii="Century Gothic" w:hAnsi="Century Gothic"/>
        </w:rPr>
      </w:pPr>
      <w:r w:rsidRPr="00D13591">
        <w:rPr>
          <w:rFonts w:ascii="Century Gothic" w:hAnsi="Century Gothic"/>
        </w:rPr>
        <w:t xml:space="preserve">In situ SPB data and environmental variables were loaded into MaxEnt to show which areas are predicted to be susceptible to a SPB outbreak in 2050. This year was chosen because 2050 was the earliest climate prediction from BioClim that were available for use in the model. The variables consist of elevation, slope, NDVI, GRVI, tree species, and 19 </w:t>
      </w:r>
      <w:r>
        <w:rPr>
          <w:rFonts w:ascii="Century Gothic" w:hAnsi="Century Gothic"/>
        </w:rPr>
        <w:t>WorldClim bioclimatic variables</w:t>
      </w:r>
      <w:r w:rsidRPr="00D13591">
        <w:rPr>
          <w:rFonts w:ascii="Century Gothic" w:hAnsi="Century Gothic"/>
        </w:rPr>
        <w:t xml:space="preserve"> (Appendix Table 1).  All</w:t>
      </w:r>
      <w:r>
        <w:rPr>
          <w:rFonts w:ascii="Century Gothic" w:hAnsi="Century Gothic"/>
        </w:rPr>
        <w:t xml:space="preserve"> of these variables were set to </w:t>
      </w:r>
      <w:r w:rsidRPr="00D13591">
        <w:rPr>
          <w:rFonts w:ascii="Century Gothic" w:hAnsi="Century Gothic"/>
        </w:rPr>
        <w:t>have the same projection, snap raster, mask, cel</w:t>
      </w:r>
      <w:r>
        <w:rPr>
          <w:rFonts w:ascii="Century Gothic" w:hAnsi="Century Gothic"/>
        </w:rPr>
        <w:t>l size, and extent by using the</w:t>
      </w:r>
      <w:r w:rsidRPr="00D13591">
        <w:rPr>
          <w:rFonts w:ascii="Century Gothic" w:hAnsi="Century Gothic"/>
        </w:rPr>
        <w:t xml:space="preserve"> “Extract by Mask” tool in ArcMap 10.3.  The data were then converted into </w:t>
      </w:r>
      <w:r w:rsidR="006D072F">
        <w:rPr>
          <w:rFonts w:ascii="Century Gothic" w:hAnsi="Century Gothic"/>
        </w:rPr>
        <w:t>ascii (</w:t>
      </w:r>
      <w:r w:rsidRPr="00D13591">
        <w:rPr>
          <w:rFonts w:ascii="Century Gothic" w:hAnsi="Century Gothic"/>
        </w:rPr>
        <w:t>.asc</w:t>
      </w:r>
      <w:r w:rsidR="006D072F">
        <w:rPr>
          <w:rFonts w:ascii="Century Gothic" w:hAnsi="Century Gothic"/>
        </w:rPr>
        <w:t>)</w:t>
      </w:r>
      <w:r w:rsidRPr="00D13591">
        <w:rPr>
          <w:rFonts w:ascii="Century Gothic" w:hAnsi="Century Gothic"/>
        </w:rPr>
        <w:t xml:space="preserve"> files and in situ data were converted into a </w:t>
      </w:r>
      <w:r w:rsidR="006D072F">
        <w:rPr>
          <w:rFonts w:ascii="Century Gothic" w:hAnsi="Century Gothic"/>
        </w:rPr>
        <w:t>comma separated values (</w:t>
      </w:r>
      <w:r w:rsidRPr="00D13591">
        <w:rPr>
          <w:rFonts w:ascii="Century Gothic" w:hAnsi="Century Gothic"/>
        </w:rPr>
        <w:t>.csv</w:t>
      </w:r>
      <w:r w:rsidR="006D072F">
        <w:rPr>
          <w:rFonts w:ascii="Century Gothic" w:hAnsi="Century Gothic"/>
        </w:rPr>
        <w:t>)</w:t>
      </w:r>
      <w:r w:rsidRPr="00D13591">
        <w:rPr>
          <w:rFonts w:ascii="Century Gothic" w:hAnsi="Century Gothic"/>
        </w:rPr>
        <w:t xml:space="preserve"> file to use in the model. </w:t>
      </w:r>
    </w:p>
    <w:p w14:paraId="39208620" w14:textId="77777777" w:rsidR="00D13591" w:rsidRPr="00D13591" w:rsidRDefault="00D13591" w:rsidP="00D13591">
      <w:pPr>
        <w:spacing w:after="0" w:line="240" w:lineRule="auto"/>
        <w:rPr>
          <w:rFonts w:ascii="Century Gothic" w:hAnsi="Century Gothic"/>
        </w:rPr>
      </w:pPr>
    </w:p>
    <w:p w14:paraId="2FC655DD" w14:textId="77777777" w:rsidR="00D13591" w:rsidRPr="00D13591" w:rsidRDefault="00D13591" w:rsidP="00D13591">
      <w:pPr>
        <w:spacing w:after="0" w:line="240" w:lineRule="auto"/>
        <w:rPr>
          <w:rFonts w:ascii="Century Gothic" w:hAnsi="Century Gothic"/>
        </w:rPr>
      </w:pPr>
      <w:r w:rsidRPr="00D13591">
        <w:rPr>
          <w:rFonts w:ascii="Century Gothic" w:hAnsi="Century Gothic"/>
        </w:rPr>
        <w:t>The in situ data consisted of 1,794 points and 25% were withheld as test data. The model ran with 1,000 maximum iterations and 10 randomized replicates. In addition, the projection layer was the BioClim future climate prediction data for 2050. It consisted of monthly average maximum temperature, monthly average minimum temperature, and monthly average precipitation. The climate data factored in the Representative Concentration Pathway (RCP) 8.5, which calculates a climate prediction based on greenhouse gases continuing to rise throughout the end of the 21st century.</w:t>
      </w:r>
    </w:p>
    <w:p w14:paraId="66D8C9C3" w14:textId="77777777" w:rsidR="00D13591" w:rsidRPr="00D13591" w:rsidRDefault="00D13591" w:rsidP="00D13591">
      <w:pPr>
        <w:spacing w:after="0" w:line="240" w:lineRule="auto"/>
        <w:rPr>
          <w:rFonts w:ascii="Century Gothic" w:hAnsi="Century Gothic"/>
        </w:rPr>
      </w:pPr>
    </w:p>
    <w:p w14:paraId="25C12CD0" w14:textId="77777777" w:rsidR="00D13591" w:rsidRPr="00D13591" w:rsidRDefault="00D13591" w:rsidP="00D13591">
      <w:pPr>
        <w:spacing w:after="0" w:line="240" w:lineRule="auto"/>
        <w:rPr>
          <w:rFonts w:ascii="Century Gothic" w:hAnsi="Century Gothic"/>
          <w:i/>
          <w:u w:val="single"/>
        </w:rPr>
      </w:pPr>
      <w:r w:rsidRPr="00D13591">
        <w:rPr>
          <w:rFonts w:ascii="Century Gothic" w:hAnsi="Century Gothic"/>
          <w:i/>
          <w:u w:val="single"/>
        </w:rPr>
        <w:t>Near Real-Time Southern Pine Beetle Susceptibility Model</w:t>
      </w:r>
    </w:p>
    <w:p w14:paraId="7EE0DB69" w14:textId="77777777" w:rsidR="00D13591" w:rsidRPr="00D13591" w:rsidRDefault="00D13591" w:rsidP="00D13591">
      <w:pPr>
        <w:spacing w:after="0" w:line="240" w:lineRule="auto"/>
        <w:rPr>
          <w:rFonts w:ascii="Century Gothic" w:hAnsi="Century Gothic"/>
        </w:rPr>
      </w:pPr>
      <w:r w:rsidRPr="00D13591">
        <w:rPr>
          <w:rFonts w:ascii="Century Gothic" w:hAnsi="Century Gothic"/>
        </w:rPr>
        <w:t>NDVI and GRVI were calculated for the months May through October from 2010 to 2015. To pull out the NDVI and GRVI values at the location of SPB outbreaks, 80% of the in situ data was put into the “Extract Multi Values to Points” tool in ArcMap 10.3. This determined the SPB preferred thresholds for NDVI and GRVI. The remaining 20% of the in situ data was used as test data to see how accurate the model is.</w:t>
      </w:r>
    </w:p>
    <w:p w14:paraId="134E3FA9" w14:textId="77777777" w:rsidR="00D13591" w:rsidRPr="00D13591" w:rsidRDefault="00D13591" w:rsidP="00D13591">
      <w:pPr>
        <w:spacing w:after="0" w:line="240" w:lineRule="auto"/>
        <w:rPr>
          <w:rFonts w:ascii="Century Gothic" w:hAnsi="Century Gothic"/>
        </w:rPr>
      </w:pPr>
    </w:p>
    <w:p w14:paraId="3BECFB41" w14:textId="16A18CFE" w:rsidR="00D13591" w:rsidRPr="00D13591" w:rsidRDefault="00D13591" w:rsidP="00D13591">
      <w:pPr>
        <w:spacing w:after="0" w:line="240" w:lineRule="auto"/>
        <w:rPr>
          <w:rFonts w:ascii="Century Gothic" w:hAnsi="Century Gothic"/>
        </w:rPr>
      </w:pPr>
      <w:r w:rsidRPr="00D13591">
        <w:rPr>
          <w:rFonts w:ascii="Century Gothic" w:hAnsi="Century Gothic"/>
        </w:rPr>
        <w:t>The Near Real-Time Southern Pine Beetle Susceptibility Model consists of a semi-automated Python script. This model downloads the most recent Landsat 8 OLI data for Alabama (</w:t>
      </w:r>
      <w:r w:rsidR="0025331E">
        <w:rPr>
          <w:rFonts w:ascii="Century Gothic" w:hAnsi="Century Gothic"/>
        </w:rPr>
        <w:t>Appendices Table 2</w:t>
      </w:r>
      <w:r w:rsidRPr="00D13591">
        <w:rPr>
          <w:rFonts w:ascii="Century Gothic" w:hAnsi="Century Gothic"/>
        </w:rPr>
        <w:t>) and mosaics all of the tiles together to create one image. Cloud cover caused errors in the reflectance data by giving negative values for reflectance, so the Near Real-Time Southern Pine Beetle Susceptibility Model removes these negative values by using the “Con” tool in ArcMap 10.3. NDVI and GRVI are then calculated and clipped to the shape of Alabama. LANDFIRE tree species data is then reclassified to only show tree species that are desired by the SPB with values closer to 0 being tree species not preferred and values closer to 1 being tree species preferred by SPB</w:t>
      </w:r>
      <w:r w:rsidR="003C6B4C">
        <w:rPr>
          <w:rFonts w:ascii="Century Gothic" w:hAnsi="Century Gothic"/>
        </w:rPr>
        <w:t xml:space="preserve"> (Appendices Table 4)</w:t>
      </w:r>
      <w:r w:rsidRPr="00D13591">
        <w:rPr>
          <w:rFonts w:ascii="Century Gothic" w:hAnsi="Century Gothic"/>
        </w:rPr>
        <w:t>.  It is then also clipped to th</w:t>
      </w:r>
      <w:r w:rsidR="003C6B4C">
        <w:rPr>
          <w:rFonts w:ascii="Century Gothic" w:hAnsi="Century Gothic"/>
        </w:rPr>
        <w:t>e shape of Alabama</w:t>
      </w:r>
      <w:r w:rsidRPr="00D13591">
        <w:rPr>
          <w:rFonts w:ascii="Century Gothic" w:hAnsi="Century Gothic"/>
        </w:rPr>
        <w:t xml:space="preserve">. </w:t>
      </w:r>
    </w:p>
    <w:p w14:paraId="0D6FC3AF" w14:textId="77777777" w:rsidR="00D13591" w:rsidRPr="00D13591" w:rsidRDefault="00D13591" w:rsidP="00D13591">
      <w:pPr>
        <w:spacing w:after="0" w:line="240" w:lineRule="auto"/>
        <w:rPr>
          <w:rFonts w:ascii="Century Gothic" w:hAnsi="Century Gothic"/>
        </w:rPr>
      </w:pPr>
    </w:p>
    <w:p w14:paraId="4D826B19" w14:textId="28F7BFD8" w:rsidR="00242822" w:rsidRPr="00E03B8E" w:rsidRDefault="00D13591" w:rsidP="00D13591">
      <w:pPr>
        <w:spacing w:after="0" w:line="240" w:lineRule="auto"/>
        <w:rPr>
          <w:rFonts w:ascii="Century Gothic" w:hAnsi="Century Gothic"/>
        </w:rPr>
      </w:pPr>
      <w:r w:rsidRPr="00D13591">
        <w:rPr>
          <w:rFonts w:ascii="Century Gothic" w:hAnsi="Century Gothic"/>
        </w:rPr>
        <w:t xml:space="preserve">The Fuzzy Logic Model is more of a heuristic approach to make the Near Real-Time Southern Pine Beetle Susceptibility Model. This means that a list </w:t>
      </w:r>
      <w:r w:rsidR="006D072F">
        <w:rPr>
          <w:rFonts w:ascii="Century Gothic" w:hAnsi="Century Gothic"/>
        </w:rPr>
        <w:t>of</w:t>
      </w:r>
      <w:r w:rsidRPr="00D13591">
        <w:rPr>
          <w:rFonts w:ascii="Century Gothic" w:hAnsi="Century Gothic"/>
        </w:rPr>
        <w:t xml:space="preserve"> variables and Southern Pine Beetle preferred thresholds were determined based on a combination of expert opinion from scientific journal articles, in situ data, and educated guesses on </w:t>
      </w:r>
      <w:r w:rsidRPr="00D13591">
        <w:rPr>
          <w:rFonts w:ascii="Century Gothic" w:hAnsi="Century Gothic"/>
        </w:rPr>
        <w:lastRenderedPageBreak/>
        <w:t xml:space="preserve">behalf of the team. This approach is appropriate for Southern Pine Beetle susceptibility studies because the details of what causes any individual Southern Pine Beetle outbreaks can be difficult to pinpoint. The </w:t>
      </w:r>
      <w:r w:rsidR="006D072F">
        <w:rPr>
          <w:rFonts w:ascii="Century Gothic" w:hAnsi="Century Gothic"/>
        </w:rPr>
        <w:t>“</w:t>
      </w:r>
      <w:r w:rsidRPr="00D13591">
        <w:rPr>
          <w:rFonts w:ascii="Century Gothic" w:hAnsi="Century Gothic"/>
        </w:rPr>
        <w:t>Fuzzy Membership</w:t>
      </w:r>
      <w:r w:rsidR="006D072F">
        <w:rPr>
          <w:rFonts w:ascii="Century Gothic" w:hAnsi="Century Gothic"/>
        </w:rPr>
        <w:t>”</w:t>
      </w:r>
      <w:r w:rsidRPr="00D13591">
        <w:rPr>
          <w:rFonts w:ascii="Century Gothic" w:hAnsi="Century Gothic"/>
        </w:rPr>
        <w:t xml:space="preserve"> tool was used to rescale NDVI and GRVI on a scale from 0 to 1, with values closer to 0 representing lower Southern Pine Beetle susceptibility and 1 representing higher susceptibility. These Fuzzy Memberships were then combined with the </w:t>
      </w:r>
      <w:r w:rsidR="006D072F">
        <w:rPr>
          <w:rFonts w:ascii="Century Gothic" w:hAnsi="Century Gothic"/>
        </w:rPr>
        <w:t>“</w:t>
      </w:r>
      <w:r w:rsidRPr="00D13591">
        <w:rPr>
          <w:rFonts w:ascii="Century Gothic" w:hAnsi="Century Gothic"/>
        </w:rPr>
        <w:t>Fuzzy Overlay</w:t>
      </w:r>
      <w:r w:rsidR="006D072F">
        <w:rPr>
          <w:rFonts w:ascii="Century Gothic" w:hAnsi="Century Gothic"/>
        </w:rPr>
        <w:t>”</w:t>
      </w:r>
      <w:r w:rsidRPr="00D13591">
        <w:rPr>
          <w:rFonts w:ascii="Century Gothic" w:hAnsi="Century Gothic"/>
        </w:rPr>
        <w:t xml:space="preserve"> tool using the “AND” operator. This takes the lowest value of all the variables and assign</w:t>
      </w:r>
      <w:r>
        <w:rPr>
          <w:rFonts w:ascii="Century Gothic" w:hAnsi="Century Gothic"/>
        </w:rPr>
        <w:t>s</w:t>
      </w:r>
      <w:r w:rsidRPr="00D13591">
        <w:rPr>
          <w:rFonts w:ascii="Century Gothic" w:hAnsi="Century Gothic"/>
        </w:rPr>
        <w:t xml:space="preserve"> that value on a pixel per pixel basis, resulting in a single layer with values from 0 to 1 with values closer to 0 representing lower Southern Pine Beetle susceptibility and 1 representing higher susceptibility.</w:t>
      </w:r>
    </w:p>
    <w:p w14:paraId="1F53876F" w14:textId="77777777" w:rsidR="00E41324" w:rsidRPr="00B265D9" w:rsidRDefault="008B7071" w:rsidP="00D3013B">
      <w:pPr>
        <w:pStyle w:val="Heading1"/>
        <w:rPr>
          <w:rFonts w:ascii="Century Gothic" w:hAnsi="Century Gothic"/>
        </w:rPr>
      </w:pPr>
      <w:bookmarkStart w:id="2" w:name="_Toc334198730"/>
      <w:r>
        <w:rPr>
          <w:rFonts w:ascii="Century Gothic" w:hAnsi="Century Gothic"/>
        </w:rPr>
        <w:t xml:space="preserve">IV. </w:t>
      </w:r>
      <w:r w:rsidR="00E41324" w:rsidRPr="00B265D9">
        <w:rPr>
          <w:rFonts w:ascii="Century Gothic" w:hAnsi="Century Gothic"/>
        </w:rPr>
        <w:t>Results</w:t>
      </w:r>
      <w:bookmarkEnd w:id="2"/>
      <w:r w:rsidR="001F1328">
        <w:rPr>
          <w:rFonts w:ascii="Century Gothic" w:hAnsi="Century Gothic"/>
        </w:rPr>
        <w:t xml:space="preserve"> &amp; Discussion</w:t>
      </w:r>
    </w:p>
    <w:p w14:paraId="71860EA6" w14:textId="07756B4D" w:rsidR="00290F50" w:rsidRPr="00290F50" w:rsidRDefault="00290F50" w:rsidP="00290F50">
      <w:pPr>
        <w:spacing w:after="0" w:line="240" w:lineRule="auto"/>
        <w:rPr>
          <w:rFonts w:ascii="Century Gothic" w:hAnsi="Century Gothic"/>
          <w:i/>
          <w:szCs w:val="24"/>
          <w:u w:val="single"/>
        </w:rPr>
      </w:pPr>
      <w:r w:rsidRPr="00290F50">
        <w:rPr>
          <w:rFonts w:ascii="Century Gothic" w:hAnsi="Century Gothic"/>
          <w:i/>
          <w:szCs w:val="24"/>
          <w:u w:val="single"/>
        </w:rPr>
        <w:t>Historic Southern Pine Beetle Density Maps</w:t>
      </w:r>
    </w:p>
    <w:p w14:paraId="6FCCDE43" w14:textId="538D1782" w:rsidR="001F1328" w:rsidRDefault="00290F50" w:rsidP="00290F50">
      <w:pPr>
        <w:spacing w:after="0" w:line="240" w:lineRule="auto"/>
        <w:rPr>
          <w:rFonts w:ascii="Century Gothic" w:hAnsi="Century Gothic"/>
          <w:szCs w:val="24"/>
        </w:rPr>
      </w:pPr>
      <w:r w:rsidRPr="00290F50">
        <w:rPr>
          <w:rFonts w:ascii="Century Gothic" w:hAnsi="Century Gothic"/>
          <w:szCs w:val="24"/>
        </w:rPr>
        <w:t>The Historic Sout</w:t>
      </w:r>
      <w:r>
        <w:rPr>
          <w:rFonts w:ascii="Century Gothic" w:hAnsi="Century Gothic"/>
          <w:szCs w:val="24"/>
        </w:rPr>
        <w:t xml:space="preserve">hern Pine Beetle Density Maps </w:t>
      </w:r>
      <w:r w:rsidRPr="00290F50">
        <w:rPr>
          <w:rFonts w:ascii="Century Gothic" w:hAnsi="Century Gothic"/>
          <w:szCs w:val="24"/>
        </w:rPr>
        <w:t>illustrate the prevalence of SPB outbreaks across the state, as well as the cyclical nature of SPB outbreaks. The southwestern portion of Alabama consistently had the highest density of outbreaks except for a brief respite in 2011 and 2012</w:t>
      </w:r>
      <w:r w:rsidR="0025331E">
        <w:rPr>
          <w:rFonts w:ascii="Century Gothic" w:hAnsi="Century Gothic"/>
          <w:szCs w:val="24"/>
        </w:rPr>
        <w:t xml:space="preserve"> (Appendices Figures 8 - 9)</w:t>
      </w:r>
      <w:r w:rsidRPr="00290F50">
        <w:rPr>
          <w:rFonts w:ascii="Century Gothic" w:hAnsi="Century Gothic"/>
          <w:szCs w:val="24"/>
        </w:rPr>
        <w:t xml:space="preserve">. 2012 had the fewest cases reported throughout the state. There were only a few SPB outbreaks in or near Bankhead National Forest between 2010 </w:t>
      </w:r>
      <w:r w:rsidR="0025331E">
        <w:rPr>
          <w:rFonts w:ascii="Century Gothic" w:hAnsi="Century Gothic"/>
          <w:szCs w:val="24"/>
        </w:rPr>
        <w:t xml:space="preserve">(Figure 4) </w:t>
      </w:r>
      <w:r w:rsidRPr="00290F50">
        <w:rPr>
          <w:rFonts w:ascii="Century Gothic" w:hAnsi="Century Gothic"/>
          <w:szCs w:val="24"/>
        </w:rPr>
        <w:t>and 2015</w:t>
      </w:r>
      <w:r w:rsidR="0025331E">
        <w:rPr>
          <w:rFonts w:ascii="Century Gothic" w:hAnsi="Century Gothic"/>
          <w:szCs w:val="24"/>
        </w:rPr>
        <w:t xml:space="preserve"> (Appendices Figure 12)</w:t>
      </w:r>
      <w:r w:rsidRPr="00290F50">
        <w:rPr>
          <w:rFonts w:ascii="Century Gothic" w:hAnsi="Century Gothic"/>
          <w:szCs w:val="24"/>
        </w:rPr>
        <w:t>.</w:t>
      </w:r>
    </w:p>
    <w:p w14:paraId="3C31A030" w14:textId="77777777" w:rsidR="000D6F7C" w:rsidRDefault="000D6F7C" w:rsidP="00290F50">
      <w:pPr>
        <w:spacing w:after="0" w:line="240" w:lineRule="auto"/>
        <w:rPr>
          <w:rFonts w:ascii="Century Gothic" w:hAnsi="Century Gothic"/>
          <w:szCs w:val="24"/>
        </w:rPr>
      </w:pPr>
    </w:p>
    <w:p w14:paraId="02584BDE" w14:textId="77777777" w:rsidR="00427E10" w:rsidRDefault="00290F50" w:rsidP="00427E10">
      <w:pPr>
        <w:keepNext/>
        <w:spacing w:after="0" w:line="240" w:lineRule="auto"/>
        <w:jc w:val="center"/>
      </w:pPr>
      <w:r>
        <w:rPr>
          <w:noProof/>
        </w:rPr>
        <w:lastRenderedPageBreak/>
        <w:drawing>
          <wp:inline distT="114300" distB="114300" distL="114300" distR="114300" wp14:anchorId="2939AC6A" wp14:editId="781FC0C7">
            <wp:extent cx="2743200" cy="4526280"/>
            <wp:effectExtent l="0" t="0" r="0" b="7620"/>
            <wp:docPr id="8" name="image24.jpg" descr="SPB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g" descr="SPB2010.jpg"/>
                    <pic:cNvPicPr preferRelativeResize="0"/>
                  </pic:nvPicPr>
                  <pic:blipFill>
                    <a:blip r:embed="rId13"/>
                    <a:srcRect/>
                    <a:stretch>
                      <a:fillRect/>
                    </a:stretch>
                  </pic:blipFill>
                  <pic:spPr>
                    <a:xfrm>
                      <a:off x="0" y="0"/>
                      <a:ext cx="2743200" cy="4526280"/>
                    </a:xfrm>
                    <a:prstGeom prst="rect">
                      <a:avLst/>
                    </a:prstGeom>
                    <a:ln/>
                  </pic:spPr>
                </pic:pic>
              </a:graphicData>
            </a:graphic>
          </wp:inline>
        </w:drawing>
      </w:r>
    </w:p>
    <w:p w14:paraId="4372D070" w14:textId="55048652" w:rsidR="00290F50" w:rsidRPr="00427E10" w:rsidRDefault="00427E10" w:rsidP="00427E10">
      <w:pPr>
        <w:pStyle w:val="Caption"/>
        <w:jc w:val="center"/>
        <w:rPr>
          <w:rFonts w:ascii="Century Gothic" w:hAnsi="Century Gothic"/>
          <w:color w:val="auto"/>
          <w:szCs w:val="24"/>
        </w:rPr>
      </w:pPr>
      <w:r w:rsidRPr="00427E10">
        <w:rPr>
          <w:rFonts w:ascii="Century Gothic" w:hAnsi="Century Gothic"/>
          <w:color w:val="auto"/>
        </w:rPr>
        <w:t xml:space="preserve">Figure </w:t>
      </w:r>
      <w:r w:rsidRPr="00427E10">
        <w:rPr>
          <w:rFonts w:ascii="Century Gothic" w:hAnsi="Century Gothic"/>
          <w:color w:val="auto"/>
        </w:rPr>
        <w:fldChar w:fldCharType="begin"/>
      </w:r>
      <w:r w:rsidRPr="00427E10">
        <w:rPr>
          <w:rFonts w:ascii="Century Gothic" w:hAnsi="Century Gothic"/>
          <w:color w:val="auto"/>
        </w:rPr>
        <w:instrText xml:space="preserve"> SEQ Figure \* ARABIC </w:instrText>
      </w:r>
      <w:r w:rsidRPr="00427E10">
        <w:rPr>
          <w:rFonts w:ascii="Century Gothic" w:hAnsi="Century Gothic"/>
          <w:color w:val="auto"/>
        </w:rPr>
        <w:fldChar w:fldCharType="separate"/>
      </w:r>
      <w:r w:rsidR="00A23843">
        <w:rPr>
          <w:rFonts w:ascii="Century Gothic" w:hAnsi="Century Gothic"/>
          <w:noProof/>
          <w:color w:val="auto"/>
        </w:rPr>
        <w:t>4</w:t>
      </w:r>
      <w:r w:rsidRPr="00427E10">
        <w:rPr>
          <w:rFonts w:ascii="Century Gothic" w:hAnsi="Century Gothic"/>
          <w:color w:val="auto"/>
        </w:rPr>
        <w:fldChar w:fldCharType="end"/>
      </w:r>
      <w:r w:rsidRPr="00427E10">
        <w:rPr>
          <w:rFonts w:ascii="Century Gothic" w:hAnsi="Century Gothic"/>
          <w:color w:val="auto"/>
        </w:rPr>
        <w:t>: Historic Southern Pine Beetle Map for 2010</w:t>
      </w:r>
    </w:p>
    <w:p w14:paraId="1591BC10" w14:textId="6FBD20D4" w:rsidR="00290F50" w:rsidRPr="00290F50" w:rsidRDefault="00290F50" w:rsidP="00290F50">
      <w:pPr>
        <w:spacing w:after="0" w:line="240" w:lineRule="auto"/>
        <w:rPr>
          <w:rFonts w:ascii="Century Gothic" w:hAnsi="Century Gothic"/>
          <w:i/>
          <w:szCs w:val="24"/>
          <w:u w:val="single"/>
        </w:rPr>
      </w:pPr>
      <w:r w:rsidRPr="00290F50">
        <w:rPr>
          <w:rFonts w:ascii="Century Gothic" w:hAnsi="Century Gothic"/>
          <w:i/>
          <w:szCs w:val="24"/>
          <w:u w:val="single"/>
        </w:rPr>
        <w:t>Southern Pine Beetle Prediction Map</w:t>
      </w:r>
    </w:p>
    <w:p w14:paraId="26B3269D" w14:textId="2CF4FC42" w:rsidR="00290F50" w:rsidRPr="00290F50" w:rsidRDefault="00290F50" w:rsidP="00290F50">
      <w:pPr>
        <w:spacing w:after="0" w:line="240" w:lineRule="auto"/>
        <w:rPr>
          <w:rFonts w:ascii="Century Gothic" w:hAnsi="Century Gothic"/>
          <w:szCs w:val="24"/>
        </w:rPr>
      </w:pPr>
      <w:r w:rsidRPr="00290F50">
        <w:rPr>
          <w:rFonts w:ascii="Century Gothic" w:hAnsi="Century Gothic"/>
          <w:szCs w:val="24"/>
        </w:rPr>
        <w:t>The variables that had the greatest impact in the MaxEnt model (</w:t>
      </w:r>
      <w:r w:rsidR="0025331E">
        <w:rPr>
          <w:rFonts w:ascii="Century Gothic" w:hAnsi="Century Gothic"/>
          <w:szCs w:val="24"/>
        </w:rPr>
        <w:t xml:space="preserve">Appendices </w:t>
      </w:r>
      <w:r w:rsidRPr="00290F50">
        <w:rPr>
          <w:rFonts w:ascii="Century Gothic" w:hAnsi="Century Gothic"/>
          <w:szCs w:val="24"/>
        </w:rPr>
        <w:t>Table</w:t>
      </w:r>
      <w:r w:rsidR="0025331E">
        <w:rPr>
          <w:rFonts w:ascii="Century Gothic" w:hAnsi="Century Gothic"/>
          <w:szCs w:val="24"/>
        </w:rPr>
        <w:t xml:space="preserve"> 3</w:t>
      </w:r>
      <w:r w:rsidRPr="00290F50">
        <w:rPr>
          <w:rFonts w:ascii="Century Gothic" w:hAnsi="Century Gothic"/>
          <w:szCs w:val="24"/>
        </w:rPr>
        <w:t>) were Bio 4 (temperature seasonality), Bio 5 (max temperature of the warmest month), Bio 11 (mean temperature of the coldest quarter), and tree species. The variable that had the least impact was the Bio 16 (precipitation of wettest q</w:t>
      </w:r>
      <w:r>
        <w:rPr>
          <w:rFonts w:ascii="Century Gothic" w:hAnsi="Century Gothic"/>
          <w:szCs w:val="24"/>
        </w:rPr>
        <w:t xml:space="preserve">uarter).  Furthermore, the Area </w:t>
      </w:r>
      <w:r w:rsidRPr="00290F50">
        <w:rPr>
          <w:rFonts w:ascii="Century Gothic" w:hAnsi="Century Gothic"/>
          <w:szCs w:val="24"/>
        </w:rPr>
        <w:t xml:space="preserve">Under the Curve (AUC) for the MaxEnt results was 0.86 as an average of the ten trials conducted.  The MaxEnt model calculated the AUC by ranking the outputs from 0 to 1, with 0 to 0.5 being no greater than random and values closer to 1 being the most accurate.  The Southern Pine Beetle Prediction Map also showed that southwest Alabama was at greatest risk for a SPB outbreak in 2050 (Figure </w:t>
      </w:r>
      <w:r w:rsidR="0025331E">
        <w:rPr>
          <w:rFonts w:ascii="Century Gothic" w:hAnsi="Century Gothic"/>
          <w:szCs w:val="24"/>
        </w:rPr>
        <w:t>5</w:t>
      </w:r>
      <w:r w:rsidRPr="00290F50">
        <w:rPr>
          <w:rFonts w:ascii="Century Gothic" w:hAnsi="Century Gothic"/>
          <w:szCs w:val="24"/>
        </w:rPr>
        <w:t>).</w:t>
      </w:r>
    </w:p>
    <w:p w14:paraId="01A3D4A7" w14:textId="77777777" w:rsidR="00290F50" w:rsidRDefault="00290F50" w:rsidP="00290F50">
      <w:pPr>
        <w:spacing w:after="0" w:line="240" w:lineRule="auto"/>
        <w:rPr>
          <w:rFonts w:ascii="Century Gothic" w:hAnsi="Century Gothic"/>
          <w:szCs w:val="24"/>
        </w:rPr>
      </w:pPr>
    </w:p>
    <w:p w14:paraId="3681C282" w14:textId="07C53B10" w:rsidR="00427E10" w:rsidRDefault="000D6F7C" w:rsidP="000D6F7C">
      <w:pPr>
        <w:keepNext/>
        <w:spacing w:after="0" w:line="240" w:lineRule="auto"/>
        <w:jc w:val="center"/>
      </w:pPr>
      <w:r>
        <w:rPr>
          <w:noProof/>
        </w:rPr>
        <w:lastRenderedPageBreak/>
        <w:drawing>
          <wp:inline distT="0" distB="0" distL="0" distR="0" wp14:anchorId="347777E1" wp14:editId="295AC018">
            <wp:extent cx="2743200" cy="451713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ture_Susceptibility.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43200" cy="4517136"/>
                    </a:xfrm>
                    <a:prstGeom prst="rect">
                      <a:avLst/>
                    </a:prstGeom>
                  </pic:spPr>
                </pic:pic>
              </a:graphicData>
            </a:graphic>
          </wp:inline>
        </w:drawing>
      </w:r>
    </w:p>
    <w:p w14:paraId="73A6A8A2" w14:textId="3B0F8F4A" w:rsidR="00290F50" w:rsidRPr="00427E10" w:rsidRDefault="00427E10" w:rsidP="00427E10">
      <w:pPr>
        <w:pStyle w:val="Caption"/>
        <w:jc w:val="center"/>
        <w:rPr>
          <w:rFonts w:ascii="Century Gothic" w:hAnsi="Century Gothic"/>
          <w:color w:val="auto"/>
          <w:szCs w:val="24"/>
        </w:rPr>
      </w:pPr>
      <w:r w:rsidRPr="00427E10">
        <w:rPr>
          <w:rFonts w:ascii="Century Gothic" w:hAnsi="Century Gothic"/>
          <w:color w:val="auto"/>
        </w:rPr>
        <w:t xml:space="preserve">Figure </w:t>
      </w:r>
      <w:r w:rsidRPr="00427E10">
        <w:rPr>
          <w:rFonts w:ascii="Century Gothic" w:hAnsi="Century Gothic"/>
          <w:color w:val="auto"/>
        </w:rPr>
        <w:fldChar w:fldCharType="begin"/>
      </w:r>
      <w:r w:rsidRPr="00427E10">
        <w:rPr>
          <w:rFonts w:ascii="Century Gothic" w:hAnsi="Century Gothic"/>
          <w:color w:val="auto"/>
        </w:rPr>
        <w:instrText xml:space="preserve"> SEQ Figure \* ARABIC </w:instrText>
      </w:r>
      <w:r w:rsidRPr="00427E10">
        <w:rPr>
          <w:rFonts w:ascii="Century Gothic" w:hAnsi="Century Gothic"/>
          <w:color w:val="auto"/>
        </w:rPr>
        <w:fldChar w:fldCharType="separate"/>
      </w:r>
      <w:r w:rsidR="00A23843">
        <w:rPr>
          <w:rFonts w:ascii="Century Gothic" w:hAnsi="Century Gothic"/>
          <w:noProof/>
          <w:color w:val="auto"/>
        </w:rPr>
        <w:t>5</w:t>
      </w:r>
      <w:r w:rsidRPr="00427E10">
        <w:rPr>
          <w:rFonts w:ascii="Century Gothic" w:hAnsi="Century Gothic"/>
          <w:color w:val="auto"/>
        </w:rPr>
        <w:fldChar w:fldCharType="end"/>
      </w:r>
      <w:r w:rsidRPr="00427E10">
        <w:rPr>
          <w:rFonts w:ascii="Century Gothic" w:hAnsi="Century Gothic"/>
          <w:color w:val="auto"/>
        </w:rPr>
        <w:t>: Southern Pine Beetle Prediction Map for 2050 using MaxEnt</w:t>
      </w:r>
    </w:p>
    <w:p w14:paraId="0628CD9B" w14:textId="77777777" w:rsidR="00290F50" w:rsidRPr="00290F50" w:rsidRDefault="00290F50" w:rsidP="00290F50">
      <w:pPr>
        <w:spacing w:after="0" w:line="240" w:lineRule="auto"/>
        <w:rPr>
          <w:rFonts w:ascii="Century Gothic" w:hAnsi="Century Gothic"/>
          <w:i/>
          <w:szCs w:val="24"/>
          <w:u w:val="single"/>
        </w:rPr>
      </w:pPr>
      <w:r w:rsidRPr="00290F50">
        <w:rPr>
          <w:rFonts w:ascii="Century Gothic" w:hAnsi="Century Gothic"/>
          <w:i/>
          <w:szCs w:val="24"/>
          <w:u w:val="single"/>
        </w:rPr>
        <w:t>Near Real-Time Southern Pine Beetle Susceptibility Model</w:t>
      </w:r>
    </w:p>
    <w:p w14:paraId="2D8A5A7D" w14:textId="6452EA32" w:rsidR="00290F50" w:rsidRDefault="00290F50" w:rsidP="00290F50">
      <w:pPr>
        <w:spacing w:after="0" w:line="240" w:lineRule="auto"/>
        <w:rPr>
          <w:rFonts w:ascii="Century Gothic" w:hAnsi="Century Gothic"/>
          <w:szCs w:val="24"/>
        </w:rPr>
      </w:pPr>
      <w:r w:rsidRPr="00290F50">
        <w:rPr>
          <w:rFonts w:ascii="Century Gothic" w:hAnsi="Century Gothic"/>
          <w:szCs w:val="24"/>
        </w:rPr>
        <w:t xml:space="preserve">The Near Real-Time Southern Pine Beetle Susceptibility Model has an overall accuracy of 88%. As of March 28, 2016, southwest and northeast Alabama were highly susceptible to a SPB outbreak (Figure </w:t>
      </w:r>
      <w:r w:rsidR="0025331E">
        <w:rPr>
          <w:rFonts w:ascii="Century Gothic" w:hAnsi="Century Gothic"/>
          <w:szCs w:val="24"/>
        </w:rPr>
        <w:t>6</w:t>
      </w:r>
      <w:r w:rsidRPr="00290F50">
        <w:rPr>
          <w:rFonts w:ascii="Century Gothic" w:hAnsi="Century Gothic"/>
          <w:szCs w:val="24"/>
        </w:rPr>
        <w:t xml:space="preserve">). Also, northern Bankhead National Forest was highly susceptible to a SPB outbreak (Figure </w:t>
      </w:r>
      <w:r w:rsidR="0025331E">
        <w:rPr>
          <w:rFonts w:ascii="Century Gothic" w:hAnsi="Century Gothic"/>
          <w:szCs w:val="24"/>
        </w:rPr>
        <w:t>7)</w:t>
      </w:r>
      <w:r w:rsidRPr="00290F50">
        <w:rPr>
          <w:rFonts w:ascii="Century Gothic" w:hAnsi="Century Gothic"/>
          <w:szCs w:val="24"/>
        </w:rPr>
        <w:t>.</w:t>
      </w:r>
    </w:p>
    <w:p w14:paraId="342705EF" w14:textId="77777777" w:rsidR="00290F50" w:rsidRDefault="00290F50" w:rsidP="00290F50">
      <w:pPr>
        <w:spacing w:after="0" w:line="240" w:lineRule="auto"/>
        <w:rPr>
          <w:rFonts w:ascii="Century Gothic" w:hAnsi="Century Gothic"/>
          <w:szCs w:val="24"/>
        </w:rPr>
      </w:pPr>
    </w:p>
    <w:p w14:paraId="11D6D252" w14:textId="77777777" w:rsidR="00427E10" w:rsidRDefault="00290F50" w:rsidP="00427E10">
      <w:pPr>
        <w:keepNext/>
        <w:spacing w:after="0" w:line="240" w:lineRule="auto"/>
        <w:jc w:val="center"/>
      </w:pPr>
      <w:r>
        <w:rPr>
          <w:noProof/>
        </w:rPr>
        <w:lastRenderedPageBreak/>
        <w:drawing>
          <wp:inline distT="114300" distB="114300" distL="114300" distR="114300" wp14:anchorId="22C08C17" wp14:editId="0B791693">
            <wp:extent cx="2743200" cy="4526280"/>
            <wp:effectExtent l="0" t="0" r="0" b="7620"/>
            <wp:docPr id="4" name="image15.jpg" descr="SPBsusctoday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g" descr="SPBsusctoday0328.jpg"/>
                    <pic:cNvPicPr preferRelativeResize="0"/>
                  </pic:nvPicPr>
                  <pic:blipFill>
                    <a:blip r:embed="rId15"/>
                    <a:srcRect/>
                    <a:stretch>
                      <a:fillRect/>
                    </a:stretch>
                  </pic:blipFill>
                  <pic:spPr>
                    <a:xfrm>
                      <a:off x="0" y="0"/>
                      <a:ext cx="2743200" cy="4526280"/>
                    </a:xfrm>
                    <a:prstGeom prst="rect">
                      <a:avLst/>
                    </a:prstGeom>
                    <a:ln/>
                  </pic:spPr>
                </pic:pic>
              </a:graphicData>
            </a:graphic>
          </wp:inline>
        </w:drawing>
      </w:r>
    </w:p>
    <w:p w14:paraId="7AEA93B5" w14:textId="15C7031D" w:rsidR="00290F50" w:rsidRPr="00427E10" w:rsidRDefault="00427E10" w:rsidP="00427E10">
      <w:pPr>
        <w:pStyle w:val="Caption"/>
        <w:jc w:val="center"/>
        <w:rPr>
          <w:rFonts w:ascii="Century Gothic" w:hAnsi="Century Gothic"/>
          <w:color w:val="auto"/>
          <w:szCs w:val="24"/>
        </w:rPr>
      </w:pPr>
      <w:r w:rsidRPr="00427E10">
        <w:rPr>
          <w:rFonts w:ascii="Century Gothic" w:hAnsi="Century Gothic"/>
          <w:color w:val="auto"/>
        </w:rPr>
        <w:t xml:space="preserve">Figure </w:t>
      </w:r>
      <w:r w:rsidRPr="00427E10">
        <w:rPr>
          <w:rFonts w:ascii="Century Gothic" w:hAnsi="Century Gothic"/>
          <w:color w:val="auto"/>
        </w:rPr>
        <w:fldChar w:fldCharType="begin"/>
      </w:r>
      <w:r w:rsidRPr="00427E10">
        <w:rPr>
          <w:rFonts w:ascii="Century Gothic" w:hAnsi="Century Gothic"/>
          <w:color w:val="auto"/>
        </w:rPr>
        <w:instrText xml:space="preserve"> SEQ Figure \* ARABIC </w:instrText>
      </w:r>
      <w:r w:rsidRPr="00427E10">
        <w:rPr>
          <w:rFonts w:ascii="Century Gothic" w:hAnsi="Century Gothic"/>
          <w:color w:val="auto"/>
        </w:rPr>
        <w:fldChar w:fldCharType="separate"/>
      </w:r>
      <w:r w:rsidR="00A23843">
        <w:rPr>
          <w:rFonts w:ascii="Century Gothic" w:hAnsi="Century Gothic"/>
          <w:noProof/>
          <w:color w:val="auto"/>
        </w:rPr>
        <w:t>6</w:t>
      </w:r>
      <w:r w:rsidRPr="00427E10">
        <w:rPr>
          <w:rFonts w:ascii="Century Gothic" w:hAnsi="Century Gothic"/>
          <w:color w:val="auto"/>
        </w:rPr>
        <w:fldChar w:fldCharType="end"/>
      </w:r>
      <w:r w:rsidRPr="00427E10">
        <w:rPr>
          <w:rFonts w:ascii="Century Gothic" w:hAnsi="Century Gothic"/>
          <w:color w:val="auto"/>
        </w:rPr>
        <w:t>: Near Real-Time Southern Pine Beetle Susceptibility Model output on March 28, 2016</w:t>
      </w:r>
    </w:p>
    <w:p w14:paraId="5562EABE" w14:textId="77777777" w:rsidR="00290F50" w:rsidRDefault="00290F50" w:rsidP="00290F50">
      <w:pPr>
        <w:spacing w:after="0" w:line="240" w:lineRule="auto"/>
        <w:jc w:val="center"/>
        <w:rPr>
          <w:rFonts w:ascii="Century Gothic" w:hAnsi="Century Gothic"/>
          <w:b/>
          <w:szCs w:val="24"/>
        </w:rPr>
      </w:pPr>
    </w:p>
    <w:p w14:paraId="26969B18" w14:textId="77777777" w:rsidR="00427E10" w:rsidRDefault="00290F50" w:rsidP="00427E10">
      <w:pPr>
        <w:keepNext/>
        <w:spacing w:after="0" w:line="240" w:lineRule="auto"/>
        <w:jc w:val="center"/>
      </w:pPr>
      <w:r>
        <w:rPr>
          <w:noProof/>
        </w:rPr>
        <w:lastRenderedPageBreak/>
        <w:drawing>
          <wp:inline distT="114300" distB="114300" distL="114300" distR="114300" wp14:anchorId="69C8F11D" wp14:editId="3D424775">
            <wp:extent cx="2743200" cy="4526280"/>
            <wp:effectExtent l="0" t="0" r="0" b="7620"/>
            <wp:docPr id="5" name="image09.jpg" descr="bankhead03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9.jpg" descr="bankhead03282.jpg"/>
                    <pic:cNvPicPr preferRelativeResize="0"/>
                  </pic:nvPicPr>
                  <pic:blipFill>
                    <a:blip r:embed="rId16"/>
                    <a:srcRect/>
                    <a:stretch>
                      <a:fillRect/>
                    </a:stretch>
                  </pic:blipFill>
                  <pic:spPr>
                    <a:xfrm>
                      <a:off x="0" y="0"/>
                      <a:ext cx="2743200" cy="4526280"/>
                    </a:xfrm>
                    <a:prstGeom prst="rect">
                      <a:avLst/>
                    </a:prstGeom>
                    <a:ln/>
                  </pic:spPr>
                </pic:pic>
              </a:graphicData>
            </a:graphic>
          </wp:inline>
        </w:drawing>
      </w:r>
    </w:p>
    <w:p w14:paraId="4ED4596F" w14:textId="3B4E3DE8" w:rsidR="00290F50" w:rsidRPr="00427E10" w:rsidRDefault="00427E10" w:rsidP="00427E10">
      <w:pPr>
        <w:pStyle w:val="Caption"/>
        <w:jc w:val="center"/>
        <w:rPr>
          <w:rFonts w:ascii="Century Gothic" w:hAnsi="Century Gothic"/>
          <w:b w:val="0"/>
          <w:color w:val="auto"/>
          <w:szCs w:val="24"/>
        </w:rPr>
      </w:pPr>
      <w:r w:rsidRPr="00427E10">
        <w:rPr>
          <w:rFonts w:ascii="Century Gothic" w:hAnsi="Century Gothic"/>
          <w:color w:val="auto"/>
        </w:rPr>
        <w:t xml:space="preserve">Figure </w:t>
      </w:r>
      <w:r w:rsidRPr="00427E10">
        <w:rPr>
          <w:rFonts w:ascii="Century Gothic" w:hAnsi="Century Gothic"/>
          <w:color w:val="auto"/>
        </w:rPr>
        <w:fldChar w:fldCharType="begin"/>
      </w:r>
      <w:r w:rsidRPr="00427E10">
        <w:rPr>
          <w:rFonts w:ascii="Century Gothic" w:hAnsi="Century Gothic"/>
          <w:color w:val="auto"/>
        </w:rPr>
        <w:instrText xml:space="preserve"> SEQ Figure \* ARABIC </w:instrText>
      </w:r>
      <w:r w:rsidRPr="00427E10">
        <w:rPr>
          <w:rFonts w:ascii="Century Gothic" w:hAnsi="Century Gothic"/>
          <w:color w:val="auto"/>
        </w:rPr>
        <w:fldChar w:fldCharType="separate"/>
      </w:r>
      <w:r w:rsidR="00A23843">
        <w:rPr>
          <w:rFonts w:ascii="Century Gothic" w:hAnsi="Century Gothic"/>
          <w:noProof/>
          <w:color w:val="auto"/>
        </w:rPr>
        <w:t>7</w:t>
      </w:r>
      <w:r w:rsidRPr="00427E10">
        <w:rPr>
          <w:rFonts w:ascii="Century Gothic" w:hAnsi="Century Gothic"/>
          <w:color w:val="auto"/>
        </w:rPr>
        <w:fldChar w:fldCharType="end"/>
      </w:r>
      <w:r w:rsidRPr="00427E10">
        <w:rPr>
          <w:rFonts w:ascii="Century Gothic" w:hAnsi="Century Gothic"/>
          <w:color w:val="auto"/>
        </w:rPr>
        <w:t>: Near Real-Time Southern Pine Beetle Susceptibility Model output for Bankhead National Forest on March 28, 2016</w:t>
      </w:r>
      <w:r>
        <w:rPr>
          <w:rFonts w:ascii="Century Gothic" w:hAnsi="Century Gothic"/>
          <w:color w:val="auto"/>
        </w:rPr>
        <w:br/>
      </w:r>
    </w:p>
    <w:p w14:paraId="1FF33F66" w14:textId="77777777" w:rsidR="00290F50" w:rsidRPr="00290F50" w:rsidRDefault="00290F50" w:rsidP="00290F50">
      <w:pPr>
        <w:spacing w:after="0" w:line="240" w:lineRule="auto"/>
        <w:rPr>
          <w:rFonts w:ascii="Century Gothic" w:hAnsi="Century Gothic"/>
          <w:b/>
          <w:szCs w:val="24"/>
        </w:rPr>
      </w:pPr>
      <w:r w:rsidRPr="00290F50">
        <w:rPr>
          <w:rFonts w:ascii="Century Gothic" w:hAnsi="Century Gothic"/>
          <w:b/>
          <w:szCs w:val="24"/>
        </w:rPr>
        <w:t>Errors and Uncertainties</w:t>
      </w:r>
    </w:p>
    <w:p w14:paraId="51D400F3" w14:textId="2BD46143" w:rsidR="00290F50" w:rsidRPr="00290F50" w:rsidRDefault="00290F50" w:rsidP="00290F50">
      <w:pPr>
        <w:spacing w:after="0" w:line="240" w:lineRule="auto"/>
        <w:rPr>
          <w:rFonts w:ascii="Century Gothic" w:hAnsi="Century Gothic"/>
          <w:szCs w:val="24"/>
        </w:rPr>
      </w:pPr>
      <w:r w:rsidRPr="00290F50">
        <w:rPr>
          <w:rFonts w:ascii="Century Gothic" w:hAnsi="Century Gothic"/>
          <w:szCs w:val="24"/>
        </w:rPr>
        <w:t>One potential source of error comes from the in situ SPB data. The 2015 in situ SPB data provided by the Alabama Forestry Commission included infestations of beetle species other than the SPB, such as the Engraver Beetle. It was not possible to differentiate between infestations of different species. Additionally, for some years in situ GPS points were taken from an aircraft and thus are not always located directly over the infestation spot. Another possible source of error is cloud cover in the imagery, as well as dashes of erroneous data in the Landsat 5 imagery (Appendi</w:t>
      </w:r>
      <w:r w:rsidR="00A92B4D">
        <w:rPr>
          <w:rFonts w:ascii="Century Gothic" w:hAnsi="Century Gothic"/>
          <w:szCs w:val="24"/>
        </w:rPr>
        <w:t>ces</w:t>
      </w:r>
      <w:r w:rsidRPr="00290F50">
        <w:rPr>
          <w:rFonts w:ascii="Century Gothic" w:hAnsi="Century Gothic"/>
          <w:szCs w:val="24"/>
        </w:rPr>
        <w:t xml:space="preserve"> Figure </w:t>
      </w:r>
      <w:r w:rsidR="00A92B4D">
        <w:rPr>
          <w:rFonts w:ascii="Century Gothic" w:hAnsi="Century Gothic"/>
          <w:szCs w:val="24"/>
        </w:rPr>
        <w:t>14</w:t>
      </w:r>
      <w:r w:rsidRPr="00290F50">
        <w:rPr>
          <w:rFonts w:ascii="Century Gothic" w:hAnsi="Century Gothic"/>
          <w:szCs w:val="24"/>
        </w:rPr>
        <w:t>).</w:t>
      </w:r>
    </w:p>
    <w:p w14:paraId="4D353C66" w14:textId="77777777" w:rsidR="00290F50" w:rsidRPr="00290F50" w:rsidRDefault="00290F50" w:rsidP="00290F50">
      <w:pPr>
        <w:spacing w:after="0" w:line="240" w:lineRule="auto"/>
        <w:rPr>
          <w:rFonts w:ascii="Century Gothic" w:hAnsi="Century Gothic"/>
          <w:szCs w:val="24"/>
        </w:rPr>
      </w:pPr>
    </w:p>
    <w:p w14:paraId="0E5AF1E5" w14:textId="77777777" w:rsidR="00290F50" w:rsidRPr="00290F50" w:rsidRDefault="00290F50" w:rsidP="00290F50">
      <w:pPr>
        <w:spacing w:after="0" w:line="240" w:lineRule="auto"/>
        <w:rPr>
          <w:rFonts w:ascii="Century Gothic" w:hAnsi="Century Gothic"/>
          <w:b/>
          <w:szCs w:val="24"/>
        </w:rPr>
      </w:pPr>
      <w:r w:rsidRPr="00290F50">
        <w:rPr>
          <w:rFonts w:ascii="Century Gothic" w:hAnsi="Century Gothic"/>
          <w:b/>
          <w:szCs w:val="24"/>
        </w:rPr>
        <w:t>Future Work</w:t>
      </w:r>
    </w:p>
    <w:p w14:paraId="4377CC11" w14:textId="51FE93B0" w:rsidR="00290F50" w:rsidRPr="00290F50" w:rsidRDefault="00290F50" w:rsidP="00290F50">
      <w:pPr>
        <w:spacing w:after="0" w:line="240" w:lineRule="auto"/>
        <w:rPr>
          <w:rFonts w:ascii="Century Gothic" w:hAnsi="Century Gothic"/>
          <w:szCs w:val="24"/>
        </w:rPr>
      </w:pPr>
      <w:r w:rsidRPr="00290F50">
        <w:rPr>
          <w:rFonts w:ascii="Century Gothic" w:hAnsi="Century Gothic"/>
          <w:szCs w:val="24"/>
        </w:rPr>
        <w:t xml:space="preserve">Future work for this project could include improving the Near Real-Time Southern Pine Beetle Susceptibility Model by increasing the number of variables to include land surface temperature, a thermal band drought index, proximity to previous and current outbreaks, proximity to storm damage, and tree density. Future work could also include improvement of the Southern Pine Beetle Prediction Map by including the location of planned mitigation procedures. It would also be beneficial to extend the time depth of the Historic Southern Pine Beetle Prediction Maps to include years prior to 2010 in order </w:t>
      </w:r>
      <w:r w:rsidRPr="00290F50">
        <w:rPr>
          <w:rFonts w:ascii="Century Gothic" w:hAnsi="Century Gothic"/>
          <w:szCs w:val="24"/>
        </w:rPr>
        <w:lastRenderedPageBreak/>
        <w:t>to strengthen the variable thresholds. Finally, future work could consider the relationship between SPB outbreaks and historic conditions.</w:t>
      </w:r>
    </w:p>
    <w:p w14:paraId="2177AADA" w14:textId="41FE267A" w:rsidR="00E41324" w:rsidRPr="00B265D9" w:rsidRDefault="008B7071" w:rsidP="00D3013B">
      <w:pPr>
        <w:pStyle w:val="Heading1"/>
        <w:rPr>
          <w:rFonts w:ascii="Century Gothic" w:hAnsi="Century Gothic"/>
        </w:rPr>
      </w:pPr>
      <w:bookmarkStart w:id="3" w:name="_Toc334198735"/>
      <w:r>
        <w:rPr>
          <w:rFonts w:ascii="Century Gothic" w:hAnsi="Century Gothic"/>
        </w:rPr>
        <w:t xml:space="preserve">V. </w:t>
      </w:r>
      <w:r w:rsidR="00E41324" w:rsidRPr="00B265D9">
        <w:rPr>
          <w:rFonts w:ascii="Century Gothic" w:hAnsi="Century Gothic"/>
        </w:rPr>
        <w:t>Conclusions</w:t>
      </w:r>
      <w:bookmarkEnd w:id="3"/>
    </w:p>
    <w:p w14:paraId="06E22013" w14:textId="6CB71E43" w:rsidR="00E41324" w:rsidRPr="00494746" w:rsidRDefault="00683B9A" w:rsidP="008975BD">
      <w:pPr>
        <w:spacing w:after="0" w:line="240" w:lineRule="auto"/>
        <w:rPr>
          <w:rFonts w:ascii="Century Gothic" w:hAnsi="Century Gothic"/>
          <w:szCs w:val="24"/>
        </w:rPr>
      </w:pPr>
      <w:r w:rsidRPr="00683B9A">
        <w:rPr>
          <w:rFonts w:ascii="Century Gothic" w:hAnsi="Century Gothic"/>
          <w:szCs w:val="24"/>
        </w:rPr>
        <w:t>While other parts of Alabama are at greater risk and see SPB outbreaks more frequently and with higher density, Bankhead National Forest is still considered at risk. The end products from this project will help the USDA Forest Service decide wh</w:t>
      </w:r>
      <w:r>
        <w:rPr>
          <w:rFonts w:ascii="Century Gothic" w:hAnsi="Century Gothic"/>
          <w:szCs w:val="24"/>
        </w:rPr>
        <w:t>ere to focus mitigation efforts</w:t>
      </w:r>
      <w:r w:rsidRPr="00683B9A">
        <w:rPr>
          <w:rFonts w:ascii="Century Gothic" w:hAnsi="Century Gothic"/>
          <w:szCs w:val="24"/>
        </w:rPr>
        <w:t xml:space="preserve"> to reduce or even prevent future SPB outbreaks.</w:t>
      </w:r>
    </w:p>
    <w:p w14:paraId="2BF53931" w14:textId="77777777" w:rsidR="00E41324" w:rsidRPr="00B265D9" w:rsidRDefault="008B7071" w:rsidP="00D3013B">
      <w:pPr>
        <w:pStyle w:val="Heading1"/>
        <w:rPr>
          <w:rFonts w:ascii="Century Gothic" w:hAnsi="Century Gothic"/>
        </w:rPr>
      </w:pPr>
      <w:bookmarkStart w:id="4" w:name="_Toc334198736"/>
      <w:r>
        <w:rPr>
          <w:rFonts w:ascii="Century Gothic" w:hAnsi="Century Gothic"/>
        </w:rPr>
        <w:t xml:space="preserve">VI. </w:t>
      </w:r>
      <w:r w:rsidR="00E41324" w:rsidRPr="00B265D9">
        <w:rPr>
          <w:rFonts w:ascii="Century Gothic" w:hAnsi="Century Gothic"/>
        </w:rPr>
        <w:t>Acknowledgments</w:t>
      </w:r>
      <w:bookmarkEnd w:id="4"/>
    </w:p>
    <w:p w14:paraId="33FE94FA"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The Alabama Ecological Forecasting team would like to acknowledge their advisors and project partners for their guidance and support for this project:</w:t>
      </w:r>
    </w:p>
    <w:p w14:paraId="48A60DB1" w14:textId="77777777" w:rsidR="00683B9A" w:rsidRPr="00683B9A" w:rsidRDefault="00683B9A" w:rsidP="00683B9A">
      <w:pPr>
        <w:spacing w:after="0" w:line="240" w:lineRule="auto"/>
        <w:rPr>
          <w:rFonts w:ascii="Century Gothic" w:hAnsi="Century Gothic"/>
          <w:szCs w:val="24"/>
        </w:rPr>
      </w:pPr>
    </w:p>
    <w:p w14:paraId="25681518"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Science Advisors:</w:t>
      </w:r>
    </w:p>
    <w:p w14:paraId="24FE12BC"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w:t>
      </w:r>
      <w:r w:rsidRPr="00683B9A">
        <w:rPr>
          <w:rFonts w:ascii="Century Gothic" w:hAnsi="Century Gothic"/>
          <w:szCs w:val="24"/>
        </w:rPr>
        <w:tab/>
        <w:t>Dr. Jeffrey Luvall, NASA at the National Space Science and Technology Center</w:t>
      </w:r>
    </w:p>
    <w:p w14:paraId="4221880B"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w:t>
      </w:r>
      <w:r w:rsidRPr="00683B9A">
        <w:rPr>
          <w:rFonts w:ascii="Century Gothic" w:hAnsi="Century Gothic"/>
          <w:szCs w:val="24"/>
        </w:rPr>
        <w:tab/>
        <w:t>Dr. Robert Griffin, University of Alabama in Huntsville</w:t>
      </w:r>
    </w:p>
    <w:p w14:paraId="1B6CEE5B" w14:textId="77777777" w:rsidR="00683B9A" w:rsidRPr="00683B9A" w:rsidRDefault="00683B9A" w:rsidP="00683B9A">
      <w:pPr>
        <w:spacing w:after="0" w:line="240" w:lineRule="auto"/>
        <w:rPr>
          <w:rFonts w:ascii="Century Gothic" w:hAnsi="Century Gothic"/>
          <w:szCs w:val="24"/>
        </w:rPr>
      </w:pPr>
    </w:p>
    <w:p w14:paraId="3D00E32A"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Project Partners:</w:t>
      </w:r>
    </w:p>
    <w:p w14:paraId="66178E62"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w:t>
      </w:r>
      <w:r w:rsidRPr="00683B9A">
        <w:rPr>
          <w:rFonts w:ascii="Century Gothic" w:hAnsi="Century Gothic"/>
          <w:szCs w:val="24"/>
        </w:rPr>
        <w:tab/>
        <w:t xml:space="preserve">Dave Casey, USDA Forest Service </w:t>
      </w:r>
    </w:p>
    <w:p w14:paraId="30BE346C"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w:t>
      </w:r>
      <w:r w:rsidRPr="00683B9A">
        <w:rPr>
          <w:rFonts w:ascii="Century Gothic" w:hAnsi="Century Gothic"/>
          <w:szCs w:val="24"/>
        </w:rPr>
        <w:tab/>
        <w:t xml:space="preserve">Dr. Chris Asaro, USDA Forest Service </w:t>
      </w:r>
    </w:p>
    <w:p w14:paraId="0BEDDF84"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w:t>
      </w:r>
      <w:r w:rsidRPr="00683B9A">
        <w:rPr>
          <w:rFonts w:ascii="Century Gothic" w:hAnsi="Century Gothic"/>
          <w:szCs w:val="24"/>
        </w:rPr>
        <w:tab/>
        <w:t xml:space="preserve">Dr. John Nowak, USDA Forest Service </w:t>
      </w:r>
    </w:p>
    <w:p w14:paraId="3FA47AFC" w14:textId="77777777" w:rsidR="00683B9A" w:rsidRPr="00683B9A" w:rsidRDefault="00683B9A" w:rsidP="00683B9A">
      <w:pPr>
        <w:spacing w:after="0" w:line="240" w:lineRule="auto"/>
        <w:rPr>
          <w:rFonts w:ascii="Century Gothic" w:hAnsi="Century Gothic"/>
          <w:szCs w:val="24"/>
        </w:rPr>
      </w:pPr>
    </w:p>
    <w:p w14:paraId="240ED995"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Other:</w:t>
      </w:r>
    </w:p>
    <w:p w14:paraId="68BE0045"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w:t>
      </w:r>
      <w:r w:rsidRPr="00683B9A">
        <w:rPr>
          <w:rFonts w:ascii="Century Gothic" w:hAnsi="Century Gothic"/>
          <w:szCs w:val="24"/>
        </w:rPr>
        <w:tab/>
        <w:t xml:space="preserve">Daryl Ann Winstead, NASA DEVELOP </w:t>
      </w:r>
    </w:p>
    <w:p w14:paraId="5C1D3A6C"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w:t>
      </w:r>
      <w:r w:rsidRPr="00683B9A">
        <w:rPr>
          <w:rFonts w:ascii="Century Gothic" w:hAnsi="Century Gothic"/>
          <w:szCs w:val="24"/>
        </w:rPr>
        <w:tab/>
        <w:t>Tim Klug, University of Alabama in Huntsville Graduate Research Assistant</w:t>
      </w:r>
    </w:p>
    <w:p w14:paraId="68571587"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w:t>
      </w:r>
      <w:r w:rsidRPr="00683B9A">
        <w:rPr>
          <w:rFonts w:ascii="Century Gothic" w:hAnsi="Century Gothic"/>
          <w:szCs w:val="24"/>
        </w:rPr>
        <w:tab/>
        <w:t>Kel Markert, SERVIR Graduate Research Assistant</w:t>
      </w:r>
    </w:p>
    <w:p w14:paraId="6FE1C324"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w:t>
      </w:r>
      <w:r w:rsidRPr="00683B9A">
        <w:rPr>
          <w:rFonts w:ascii="Century Gothic" w:hAnsi="Century Gothic"/>
          <w:szCs w:val="24"/>
        </w:rPr>
        <w:tab/>
        <w:t xml:space="preserve">Alabama Forestry Commission </w:t>
      </w:r>
    </w:p>
    <w:p w14:paraId="430839E2" w14:textId="77777777" w:rsidR="00683B9A" w:rsidRPr="00683B9A" w:rsidRDefault="00683B9A" w:rsidP="00683B9A">
      <w:pPr>
        <w:spacing w:after="0" w:line="240" w:lineRule="auto"/>
        <w:rPr>
          <w:rFonts w:ascii="Century Gothic" w:hAnsi="Century Gothic"/>
          <w:szCs w:val="24"/>
        </w:rPr>
      </w:pPr>
    </w:p>
    <w:p w14:paraId="799FE0CB" w14:textId="2DA16C0B" w:rsidR="0015019B" w:rsidRDefault="00683B9A" w:rsidP="00683B9A">
      <w:pPr>
        <w:spacing w:after="0" w:line="240" w:lineRule="auto"/>
        <w:rPr>
          <w:rFonts w:ascii="Century Gothic" w:hAnsi="Century Gothic"/>
          <w:szCs w:val="24"/>
        </w:rPr>
      </w:pPr>
      <w:r w:rsidRPr="00683B9A">
        <w:rPr>
          <w:rFonts w:ascii="Century Gothic" w:hAnsi="Century Gothic"/>
          <w:szCs w:val="24"/>
        </w:rPr>
        <w:t>Any opinions, findings, and conclusions or recommendations expressed in this material are those of the author(s) and do not necessarily reflect the views of the National Aeronautics and Space Administration</w:t>
      </w:r>
    </w:p>
    <w:p w14:paraId="057FBD57" w14:textId="77777777" w:rsidR="00FC670A" w:rsidRDefault="00FC670A" w:rsidP="008975BD">
      <w:pPr>
        <w:spacing w:after="0" w:line="240" w:lineRule="auto"/>
        <w:rPr>
          <w:rFonts w:ascii="Century Gothic" w:hAnsi="Century Gothic"/>
          <w:szCs w:val="24"/>
        </w:rPr>
      </w:pPr>
    </w:p>
    <w:p w14:paraId="108F742C" w14:textId="77777777" w:rsidR="00FC670A" w:rsidRDefault="00FC670A" w:rsidP="008975BD">
      <w:pPr>
        <w:spacing w:after="0" w:line="240" w:lineRule="auto"/>
        <w:rPr>
          <w:rFonts w:ascii="Century Gothic" w:hAnsi="Century Gothic"/>
          <w:szCs w:val="24"/>
        </w:rPr>
      </w:pPr>
      <w:r w:rsidRPr="00FC670A">
        <w:rPr>
          <w:rFonts w:ascii="Century Gothic" w:hAnsi="Century Gothic"/>
          <w:szCs w:val="24"/>
        </w:rPr>
        <w:t xml:space="preserve">This material is based upon work supported by NASA </w:t>
      </w:r>
      <w:r w:rsidR="00855532">
        <w:rPr>
          <w:rFonts w:ascii="Century Gothic" w:hAnsi="Century Gothic"/>
          <w:szCs w:val="24"/>
        </w:rPr>
        <w:t>through</w:t>
      </w:r>
      <w:r w:rsidRPr="00FC670A">
        <w:rPr>
          <w:rFonts w:ascii="Century Gothic" w:hAnsi="Century Gothic"/>
          <w:szCs w:val="24"/>
        </w:rPr>
        <w:t xml:space="preserve"> contract NNL11AA00B </w:t>
      </w:r>
      <w:r>
        <w:rPr>
          <w:rFonts w:ascii="Century Gothic" w:hAnsi="Century Gothic"/>
          <w:szCs w:val="24"/>
        </w:rPr>
        <w:t xml:space="preserve">and </w:t>
      </w:r>
      <w:r w:rsidRPr="00FC670A">
        <w:rPr>
          <w:rFonts w:ascii="Century Gothic" w:hAnsi="Century Gothic"/>
          <w:szCs w:val="24"/>
        </w:rPr>
        <w:t>cooperative agreement NNX14AB60A.</w:t>
      </w:r>
    </w:p>
    <w:p w14:paraId="6A686CFC" w14:textId="77777777" w:rsidR="00E41324" w:rsidRPr="00B265D9" w:rsidRDefault="008B7071" w:rsidP="00D3013B">
      <w:pPr>
        <w:pStyle w:val="Heading1"/>
        <w:rPr>
          <w:rFonts w:ascii="Century Gothic" w:hAnsi="Century Gothic"/>
        </w:rPr>
      </w:pPr>
      <w:bookmarkStart w:id="5" w:name="_Toc334198737"/>
      <w:r>
        <w:rPr>
          <w:rFonts w:ascii="Century Gothic" w:hAnsi="Century Gothic"/>
        </w:rPr>
        <w:t xml:space="preserve">VII. </w:t>
      </w:r>
      <w:r w:rsidR="00E41324" w:rsidRPr="00B265D9">
        <w:rPr>
          <w:rFonts w:ascii="Century Gothic" w:hAnsi="Century Gothic"/>
        </w:rPr>
        <w:t>References</w:t>
      </w:r>
      <w:bookmarkEnd w:id="5"/>
    </w:p>
    <w:p w14:paraId="2E3CFFA7" w14:textId="77777777" w:rsidR="00683B9A" w:rsidRPr="00683B9A" w:rsidRDefault="00683B9A" w:rsidP="00683B9A">
      <w:pPr>
        <w:spacing w:after="0" w:line="240" w:lineRule="auto"/>
        <w:ind w:left="720" w:hanging="720"/>
        <w:rPr>
          <w:rFonts w:ascii="Century Gothic" w:hAnsi="Century Gothic"/>
          <w:szCs w:val="24"/>
        </w:rPr>
      </w:pPr>
      <w:r w:rsidRPr="00494746">
        <w:rPr>
          <w:rFonts w:ascii="Century Gothic" w:hAnsi="Century Gothic"/>
          <w:szCs w:val="24"/>
        </w:rPr>
        <w:t xml:space="preserve"> </w:t>
      </w:r>
      <w:r w:rsidRPr="00683B9A">
        <w:rPr>
          <w:rFonts w:ascii="Century Gothic" w:hAnsi="Century Gothic"/>
          <w:szCs w:val="24"/>
        </w:rPr>
        <w:t>"Alabama Forest Facts." Alabama Forestry Commission. Web. 17 Feb. 2016</w:t>
      </w:r>
    </w:p>
    <w:p w14:paraId="75286336" w14:textId="77777777" w:rsidR="00683B9A" w:rsidRPr="00683B9A" w:rsidRDefault="00683B9A" w:rsidP="00683B9A">
      <w:pPr>
        <w:spacing w:after="0" w:line="240" w:lineRule="auto"/>
        <w:ind w:left="720" w:hanging="720"/>
        <w:rPr>
          <w:rFonts w:ascii="Century Gothic" w:hAnsi="Century Gothic"/>
          <w:szCs w:val="24"/>
        </w:rPr>
      </w:pPr>
    </w:p>
    <w:p w14:paraId="2972FBA4" w14:textId="77777777" w:rsidR="00683B9A" w:rsidRPr="00683B9A" w:rsidRDefault="00683B9A" w:rsidP="00683B9A">
      <w:pPr>
        <w:spacing w:after="0" w:line="240" w:lineRule="auto"/>
        <w:ind w:left="720" w:hanging="720"/>
        <w:rPr>
          <w:rFonts w:ascii="Century Gothic" w:hAnsi="Century Gothic"/>
          <w:szCs w:val="24"/>
        </w:rPr>
      </w:pPr>
      <w:r w:rsidRPr="00683B9A">
        <w:rPr>
          <w:rFonts w:ascii="Century Gothic" w:hAnsi="Century Gothic"/>
          <w:szCs w:val="24"/>
        </w:rPr>
        <w:t>Bridges, J. Robert. “Effects of Terpenoid Compounds on Growth of Symbiotic Fungi Associated with the Southern Pine Beetle.” Phytopathology 77.1 (1987): 83-85. 1 Nov. 1987. Web. 26 Jan. 2016.</w:t>
      </w:r>
    </w:p>
    <w:p w14:paraId="3B2C8125" w14:textId="77777777" w:rsidR="00683B9A" w:rsidRPr="00683B9A" w:rsidRDefault="00683B9A" w:rsidP="00683B9A">
      <w:pPr>
        <w:spacing w:after="0" w:line="240" w:lineRule="auto"/>
        <w:ind w:left="720" w:hanging="720"/>
        <w:rPr>
          <w:rFonts w:ascii="Century Gothic" w:hAnsi="Century Gothic"/>
          <w:szCs w:val="24"/>
        </w:rPr>
      </w:pPr>
    </w:p>
    <w:p w14:paraId="3563359E" w14:textId="77777777" w:rsidR="00683B9A" w:rsidRPr="00683B9A" w:rsidRDefault="00683B9A" w:rsidP="00683B9A">
      <w:pPr>
        <w:spacing w:after="0" w:line="240" w:lineRule="auto"/>
        <w:ind w:left="720" w:hanging="720"/>
        <w:rPr>
          <w:rFonts w:ascii="Century Gothic" w:hAnsi="Century Gothic"/>
          <w:szCs w:val="24"/>
        </w:rPr>
      </w:pPr>
      <w:r w:rsidRPr="00683B9A">
        <w:rPr>
          <w:rFonts w:ascii="Century Gothic" w:hAnsi="Century Gothic"/>
          <w:szCs w:val="24"/>
        </w:rPr>
        <w:t>“National Forests in Alabama.” National Forests in Alabama. United States Department of Agriculture Forest Service, n.d. Web. 26 Jan. 2016.</w:t>
      </w:r>
    </w:p>
    <w:p w14:paraId="3A0CCBAF" w14:textId="77777777" w:rsidR="00683B9A" w:rsidRPr="00683B9A" w:rsidRDefault="00683B9A" w:rsidP="00683B9A">
      <w:pPr>
        <w:spacing w:after="0" w:line="240" w:lineRule="auto"/>
        <w:ind w:left="720" w:hanging="720"/>
        <w:rPr>
          <w:rFonts w:ascii="Century Gothic" w:hAnsi="Century Gothic"/>
          <w:szCs w:val="24"/>
        </w:rPr>
      </w:pPr>
    </w:p>
    <w:p w14:paraId="17EED7E3" w14:textId="77777777" w:rsidR="00683B9A" w:rsidRPr="00683B9A" w:rsidRDefault="00683B9A" w:rsidP="00683B9A">
      <w:pPr>
        <w:spacing w:after="0" w:line="240" w:lineRule="auto"/>
        <w:ind w:left="720" w:hanging="720"/>
        <w:rPr>
          <w:rFonts w:ascii="Century Gothic" w:hAnsi="Century Gothic"/>
          <w:szCs w:val="24"/>
        </w:rPr>
      </w:pPr>
      <w:r w:rsidRPr="00683B9A">
        <w:rPr>
          <w:rFonts w:ascii="Century Gothic" w:hAnsi="Century Gothic"/>
          <w:szCs w:val="24"/>
        </w:rPr>
        <w:t>Turchin, P., P. L. Lorio, A. D. Taylor, and R. F. Billings. “Why Do Populations of Southern Pine Beetles (Cleoptera: Scolytidae) Fluctuate?” Environmental Entomology 20.2 (1991): 401-09. Web. 26 Jan. 2016.</w:t>
      </w:r>
    </w:p>
    <w:p w14:paraId="40DCD4BD" w14:textId="77777777" w:rsidR="00683B9A" w:rsidRPr="00683B9A" w:rsidRDefault="00683B9A" w:rsidP="00683B9A">
      <w:pPr>
        <w:spacing w:after="0" w:line="240" w:lineRule="auto"/>
        <w:ind w:left="720" w:hanging="720"/>
        <w:rPr>
          <w:rFonts w:ascii="Century Gothic" w:hAnsi="Century Gothic"/>
          <w:szCs w:val="24"/>
        </w:rPr>
      </w:pPr>
    </w:p>
    <w:p w14:paraId="72DA361E" w14:textId="77777777" w:rsidR="00683B9A" w:rsidRPr="00683B9A" w:rsidRDefault="00683B9A" w:rsidP="00683B9A">
      <w:pPr>
        <w:spacing w:after="0" w:line="240" w:lineRule="auto"/>
        <w:ind w:left="720" w:hanging="720"/>
        <w:rPr>
          <w:rFonts w:ascii="Century Gothic" w:hAnsi="Century Gothic"/>
          <w:szCs w:val="24"/>
        </w:rPr>
      </w:pPr>
      <w:r w:rsidRPr="00683B9A">
        <w:rPr>
          <w:rFonts w:ascii="Century Gothic" w:hAnsi="Century Gothic"/>
          <w:szCs w:val="24"/>
        </w:rPr>
        <w:t>"Southern Pine Bark Beetles." Alabama Forestry Commission. Web. 01 Mar. 2016.</w:t>
      </w:r>
    </w:p>
    <w:p w14:paraId="385B0679" w14:textId="77777777" w:rsidR="00683B9A" w:rsidRPr="00683B9A" w:rsidRDefault="00683B9A" w:rsidP="00683B9A">
      <w:pPr>
        <w:spacing w:after="0" w:line="240" w:lineRule="auto"/>
        <w:ind w:left="720" w:hanging="720"/>
        <w:rPr>
          <w:rFonts w:ascii="Century Gothic" w:hAnsi="Century Gothic"/>
          <w:szCs w:val="24"/>
        </w:rPr>
      </w:pPr>
    </w:p>
    <w:p w14:paraId="1F6E458E" w14:textId="17142740" w:rsidR="00494746" w:rsidRPr="00494746" w:rsidRDefault="00683B9A" w:rsidP="00683B9A">
      <w:pPr>
        <w:spacing w:after="0" w:line="240" w:lineRule="auto"/>
        <w:ind w:left="720" w:hanging="720"/>
        <w:rPr>
          <w:rFonts w:ascii="Century Gothic" w:hAnsi="Century Gothic"/>
          <w:szCs w:val="24"/>
        </w:rPr>
      </w:pPr>
      <w:r w:rsidRPr="00683B9A">
        <w:rPr>
          <w:rFonts w:ascii="Century Gothic" w:hAnsi="Century Gothic"/>
          <w:szCs w:val="24"/>
        </w:rPr>
        <w:t>Stanturf, John A., Palle Madsen, David Lamb, Weimin Xi, et. al. “Chapter 12: Restoration of Southern Pine Forests After the Southern Pine Beetle.” A Goal-oriented Approach to Forest Landscape Restoration. Dordrecht: Springer Verlag, 2012. 322. Web. 10 Feb 2016.</w:t>
      </w:r>
    </w:p>
    <w:p w14:paraId="646F2E87" w14:textId="54152A40" w:rsidR="00E41324" w:rsidRPr="00B265D9" w:rsidRDefault="008B7071" w:rsidP="00D3013B">
      <w:pPr>
        <w:pStyle w:val="Heading1"/>
        <w:rPr>
          <w:rFonts w:ascii="Century Gothic" w:hAnsi="Century Gothic"/>
        </w:rPr>
      </w:pPr>
      <w:bookmarkStart w:id="6" w:name="_Toc334198738"/>
      <w:r>
        <w:rPr>
          <w:rFonts w:ascii="Century Gothic" w:hAnsi="Century Gothic"/>
        </w:rPr>
        <w:t xml:space="preserve">VIII. </w:t>
      </w:r>
      <w:r w:rsidR="006528A0">
        <w:rPr>
          <w:rFonts w:ascii="Century Gothic" w:hAnsi="Century Gothic"/>
        </w:rPr>
        <w:t>Content Innovation</w:t>
      </w:r>
      <w:bookmarkEnd w:id="6"/>
    </w:p>
    <w:p w14:paraId="3A9D1CD6" w14:textId="51D490F2"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VPS</w:t>
      </w:r>
      <w:r w:rsidR="00B74EBA">
        <w:rPr>
          <w:rFonts w:ascii="Century Gothic" w:hAnsi="Century Gothic"/>
          <w:szCs w:val="24"/>
        </w:rPr>
        <w:t>: 2016Spring_MSFC_AlabamaEco_VPS.mp4</w:t>
      </w:r>
      <w:bookmarkStart w:id="7" w:name="_GoBack"/>
      <w:bookmarkEnd w:id="7"/>
    </w:p>
    <w:p w14:paraId="3868047A" w14:textId="16BFA974"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Interactive Map Viewer</w:t>
      </w:r>
      <w:r w:rsidR="00B74EBA">
        <w:rPr>
          <w:rFonts w:ascii="Century Gothic" w:hAnsi="Century Gothic"/>
          <w:szCs w:val="24"/>
        </w:rPr>
        <w:t>: 2016Spring_MSFC_AlabamaEco_InteractiveMapViewer.kmz</w:t>
      </w:r>
    </w:p>
    <w:p w14:paraId="167503C3" w14:textId="6408BC58" w:rsidR="00482519" w:rsidRDefault="00683B9A" w:rsidP="00683B9A">
      <w:pPr>
        <w:spacing w:after="0" w:line="240" w:lineRule="auto"/>
        <w:rPr>
          <w:rFonts w:ascii="Century Gothic" w:hAnsi="Century Gothic"/>
          <w:szCs w:val="24"/>
        </w:rPr>
      </w:pPr>
      <w:r w:rsidRPr="00683B9A">
        <w:rPr>
          <w:rFonts w:ascii="Century Gothic" w:hAnsi="Century Gothic"/>
          <w:szCs w:val="24"/>
        </w:rPr>
        <w:t>AudioSlides</w:t>
      </w:r>
      <w:r w:rsidR="00B74EBA">
        <w:rPr>
          <w:rFonts w:ascii="Century Gothic" w:hAnsi="Century Gothic"/>
          <w:szCs w:val="24"/>
        </w:rPr>
        <w:t>: 2016Spring_MSFC_AlabamaEco_AudioSlides.mp4</w:t>
      </w:r>
    </w:p>
    <w:p w14:paraId="12C538AD" w14:textId="46F6D1D4" w:rsidR="00615E3A" w:rsidRPr="00683B9A" w:rsidRDefault="007157EC" w:rsidP="00683B9A">
      <w:pPr>
        <w:pStyle w:val="Heading1"/>
        <w:rPr>
          <w:rFonts w:ascii="Century Gothic" w:hAnsi="Century Gothic"/>
        </w:rPr>
      </w:pPr>
      <w:r>
        <w:rPr>
          <w:rFonts w:ascii="Century Gothic" w:hAnsi="Century Gothic"/>
        </w:rPr>
        <w:t>IX</w:t>
      </w:r>
      <w:r w:rsidR="00615E3A">
        <w:rPr>
          <w:rFonts w:ascii="Century Gothic" w:hAnsi="Century Gothic"/>
        </w:rPr>
        <w:t xml:space="preserve">. </w:t>
      </w:r>
      <w:r w:rsidR="00615E3A" w:rsidRPr="00B265D9">
        <w:rPr>
          <w:rFonts w:ascii="Century Gothic" w:hAnsi="Century Gothic"/>
        </w:rPr>
        <w:t>Appendices</w:t>
      </w:r>
    </w:p>
    <w:p w14:paraId="09EF5491" w14:textId="1B6590C0" w:rsidR="00427E10" w:rsidRPr="00427E10" w:rsidRDefault="00427E10" w:rsidP="00A23843">
      <w:pPr>
        <w:pStyle w:val="Caption"/>
        <w:keepNext/>
        <w:jc w:val="center"/>
        <w:rPr>
          <w:rFonts w:ascii="Century Gothic" w:hAnsi="Century Gothic"/>
          <w:color w:val="auto"/>
        </w:rPr>
      </w:pPr>
      <w:r w:rsidRPr="00427E10">
        <w:rPr>
          <w:rFonts w:ascii="Century Gothic" w:hAnsi="Century Gothic"/>
          <w:color w:val="auto"/>
        </w:rPr>
        <w:t xml:space="preserve">Table </w:t>
      </w:r>
      <w:r w:rsidRPr="00427E10">
        <w:rPr>
          <w:rFonts w:ascii="Century Gothic" w:hAnsi="Century Gothic"/>
          <w:color w:val="auto"/>
        </w:rPr>
        <w:fldChar w:fldCharType="begin"/>
      </w:r>
      <w:r w:rsidRPr="00427E10">
        <w:rPr>
          <w:rFonts w:ascii="Century Gothic" w:hAnsi="Century Gothic"/>
          <w:color w:val="auto"/>
        </w:rPr>
        <w:instrText xml:space="preserve"> SEQ Table \* ARABIC </w:instrText>
      </w:r>
      <w:r w:rsidRPr="00427E10">
        <w:rPr>
          <w:rFonts w:ascii="Century Gothic" w:hAnsi="Century Gothic"/>
          <w:color w:val="auto"/>
        </w:rPr>
        <w:fldChar w:fldCharType="separate"/>
      </w:r>
      <w:r w:rsidR="00A23843">
        <w:rPr>
          <w:rFonts w:ascii="Century Gothic" w:hAnsi="Century Gothic"/>
          <w:noProof/>
          <w:color w:val="auto"/>
        </w:rPr>
        <w:t>1</w:t>
      </w:r>
      <w:r w:rsidRPr="00427E10">
        <w:rPr>
          <w:rFonts w:ascii="Century Gothic" w:hAnsi="Century Gothic"/>
          <w:color w:val="auto"/>
        </w:rPr>
        <w:fldChar w:fldCharType="end"/>
      </w:r>
      <w:r w:rsidRPr="00427E10">
        <w:rPr>
          <w:rFonts w:ascii="Century Gothic" w:hAnsi="Century Gothic"/>
          <w:color w:val="auto"/>
        </w:rPr>
        <w:t>: BioClim variables</w:t>
      </w:r>
    </w:p>
    <w:tbl>
      <w:tblPr>
        <w:tblW w:w="936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2340"/>
        <w:gridCol w:w="7020"/>
      </w:tblGrid>
      <w:tr w:rsidR="00683B9A" w:rsidRPr="00683B9A" w14:paraId="43A77816" w14:textId="77777777" w:rsidTr="007520BE">
        <w:tc>
          <w:tcPr>
            <w:tcW w:w="2340" w:type="dxa"/>
            <w:shd w:val="clear" w:color="auto" w:fill="B6D7A8"/>
            <w:tcMar>
              <w:top w:w="28" w:type="dxa"/>
              <w:left w:w="28" w:type="dxa"/>
              <w:bottom w:w="28" w:type="dxa"/>
              <w:right w:w="28" w:type="dxa"/>
            </w:tcMar>
          </w:tcPr>
          <w:p w14:paraId="7611A43B"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Variable Title</w:t>
            </w:r>
          </w:p>
        </w:tc>
        <w:tc>
          <w:tcPr>
            <w:tcW w:w="7020" w:type="dxa"/>
            <w:shd w:val="clear" w:color="auto" w:fill="B6D7A8"/>
            <w:tcMar>
              <w:top w:w="28" w:type="dxa"/>
              <w:left w:w="28" w:type="dxa"/>
              <w:bottom w:w="28" w:type="dxa"/>
              <w:right w:w="28" w:type="dxa"/>
            </w:tcMar>
          </w:tcPr>
          <w:p w14:paraId="1DD65C81"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Variable</w:t>
            </w:r>
          </w:p>
        </w:tc>
      </w:tr>
      <w:tr w:rsidR="00683B9A" w:rsidRPr="00683B9A" w14:paraId="17F32371" w14:textId="77777777" w:rsidTr="007520BE">
        <w:tc>
          <w:tcPr>
            <w:tcW w:w="2340" w:type="dxa"/>
            <w:shd w:val="clear" w:color="auto" w:fill="B6D7A8"/>
            <w:tcMar>
              <w:top w:w="28" w:type="dxa"/>
              <w:left w:w="28" w:type="dxa"/>
              <w:bottom w:w="28" w:type="dxa"/>
              <w:right w:w="28" w:type="dxa"/>
            </w:tcMar>
          </w:tcPr>
          <w:p w14:paraId="0AB6B8D1"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1</w:t>
            </w:r>
          </w:p>
        </w:tc>
        <w:tc>
          <w:tcPr>
            <w:tcW w:w="7020" w:type="dxa"/>
            <w:shd w:val="clear" w:color="auto" w:fill="F3F3F3"/>
            <w:tcMar>
              <w:top w:w="28" w:type="dxa"/>
              <w:left w:w="28" w:type="dxa"/>
              <w:bottom w:w="28" w:type="dxa"/>
              <w:right w:w="28" w:type="dxa"/>
            </w:tcMar>
          </w:tcPr>
          <w:p w14:paraId="1EDCCEB8"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Annual Mean Temperature</w:t>
            </w:r>
          </w:p>
        </w:tc>
      </w:tr>
      <w:tr w:rsidR="00683B9A" w:rsidRPr="00683B9A" w14:paraId="572357B2" w14:textId="77777777" w:rsidTr="007520BE">
        <w:tc>
          <w:tcPr>
            <w:tcW w:w="2340" w:type="dxa"/>
            <w:shd w:val="clear" w:color="auto" w:fill="B6D7A8"/>
            <w:tcMar>
              <w:top w:w="28" w:type="dxa"/>
              <w:left w:w="28" w:type="dxa"/>
              <w:bottom w:w="28" w:type="dxa"/>
              <w:right w:w="28" w:type="dxa"/>
            </w:tcMar>
          </w:tcPr>
          <w:p w14:paraId="65A35B2C"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2</w:t>
            </w:r>
          </w:p>
        </w:tc>
        <w:tc>
          <w:tcPr>
            <w:tcW w:w="7020" w:type="dxa"/>
            <w:shd w:val="clear" w:color="auto" w:fill="D9EAD3"/>
            <w:tcMar>
              <w:top w:w="28" w:type="dxa"/>
              <w:left w:w="28" w:type="dxa"/>
              <w:bottom w:w="28" w:type="dxa"/>
              <w:right w:w="28" w:type="dxa"/>
            </w:tcMar>
          </w:tcPr>
          <w:p w14:paraId="46ED9EDF"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Mean Diurnal Range</w:t>
            </w:r>
          </w:p>
          <w:p w14:paraId="24F49C77"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 Mean of monthly (max temp - min temp) ]</w:t>
            </w:r>
          </w:p>
        </w:tc>
      </w:tr>
      <w:tr w:rsidR="00683B9A" w:rsidRPr="00683B9A" w14:paraId="6ED021CA" w14:textId="77777777" w:rsidTr="007520BE">
        <w:tc>
          <w:tcPr>
            <w:tcW w:w="2340" w:type="dxa"/>
            <w:shd w:val="clear" w:color="auto" w:fill="B6D7A8"/>
            <w:tcMar>
              <w:top w:w="28" w:type="dxa"/>
              <w:left w:w="28" w:type="dxa"/>
              <w:bottom w:w="28" w:type="dxa"/>
              <w:right w:w="28" w:type="dxa"/>
            </w:tcMar>
          </w:tcPr>
          <w:p w14:paraId="01E83909"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3</w:t>
            </w:r>
          </w:p>
        </w:tc>
        <w:tc>
          <w:tcPr>
            <w:tcW w:w="7020" w:type="dxa"/>
            <w:shd w:val="clear" w:color="auto" w:fill="F3F3F3"/>
            <w:tcMar>
              <w:top w:w="28" w:type="dxa"/>
              <w:left w:w="28" w:type="dxa"/>
              <w:bottom w:w="28" w:type="dxa"/>
              <w:right w:w="28" w:type="dxa"/>
            </w:tcMar>
          </w:tcPr>
          <w:p w14:paraId="44E0BAED"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 xml:space="preserve">Isothermality </w:t>
            </w:r>
          </w:p>
          <w:p w14:paraId="7C6FF9D4"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 (Bio 2 / Bio 7) * 100 ]</w:t>
            </w:r>
          </w:p>
        </w:tc>
      </w:tr>
      <w:tr w:rsidR="00683B9A" w:rsidRPr="00683B9A" w14:paraId="0380D639" w14:textId="77777777" w:rsidTr="007520BE">
        <w:tc>
          <w:tcPr>
            <w:tcW w:w="2340" w:type="dxa"/>
            <w:shd w:val="clear" w:color="auto" w:fill="B6D7A8"/>
            <w:tcMar>
              <w:top w:w="28" w:type="dxa"/>
              <w:left w:w="28" w:type="dxa"/>
              <w:bottom w:w="28" w:type="dxa"/>
              <w:right w:w="28" w:type="dxa"/>
            </w:tcMar>
          </w:tcPr>
          <w:p w14:paraId="41AD3240"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4</w:t>
            </w:r>
          </w:p>
        </w:tc>
        <w:tc>
          <w:tcPr>
            <w:tcW w:w="7020" w:type="dxa"/>
            <w:shd w:val="clear" w:color="auto" w:fill="D9EAD3"/>
            <w:tcMar>
              <w:top w:w="28" w:type="dxa"/>
              <w:left w:w="28" w:type="dxa"/>
              <w:bottom w:w="28" w:type="dxa"/>
              <w:right w:w="28" w:type="dxa"/>
            </w:tcMar>
          </w:tcPr>
          <w:p w14:paraId="2C6DA26F"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Temperature Seasonality</w:t>
            </w:r>
          </w:p>
          <w:p w14:paraId="04FD465B"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 Standard Deviation of Weekly Mean Temperature * 100 ]</w:t>
            </w:r>
          </w:p>
        </w:tc>
      </w:tr>
      <w:tr w:rsidR="00683B9A" w:rsidRPr="00683B9A" w14:paraId="74810A21" w14:textId="77777777" w:rsidTr="007520BE">
        <w:tc>
          <w:tcPr>
            <w:tcW w:w="2340" w:type="dxa"/>
            <w:shd w:val="clear" w:color="auto" w:fill="B6D7A8"/>
            <w:tcMar>
              <w:top w:w="28" w:type="dxa"/>
              <w:left w:w="28" w:type="dxa"/>
              <w:bottom w:w="28" w:type="dxa"/>
              <w:right w:w="28" w:type="dxa"/>
            </w:tcMar>
          </w:tcPr>
          <w:p w14:paraId="00A6EEED"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5</w:t>
            </w:r>
          </w:p>
        </w:tc>
        <w:tc>
          <w:tcPr>
            <w:tcW w:w="7020" w:type="dxa"/>
            <w:shd w:val="clear" w:color="auto" w:fill="F3F3F3"/>
            <w:tcMar>
              <w:top w:w="28" w:type="dxa"/>
              <w:left w:w="28" w:type="dxa"/>
              <w:bottom w:w="28" w:type="dxa"/>
              <w:right w:w="28" w:type="dxa"/>
            </w:tcMar>
          </w:tcPr>
          <w:p w14:paraId="1F289FA4"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Max Temperature of Warmest Month</w:t>
            </w:r>
          </w:p>
        </w:tc>
      </w:tr>
      <w:tr w:rsidR="00683B9A" w:rsidRPr="00683B9A" w14:paraId="00A07C1A" w14:textId="77777777" w:rsidTr="007520BE">
        <w:tc>
          <w:tcPr>
            <w:tcW w:w="2340" w:type="dxa"/>
            <w:shd w:val="clear" w:color="auto" w:fill="B6D7A8"/>
            <w:tcMar>
              <w:top w:w="28" w:type="dxa"/>
              <w:left w:w="28" w:type="dxa"/>
              <w:bottom w:w="28" w:type="dxa"/>
              <w:right w:w="28" w:type="dxa"/>
            </w:tcMar>
          </w:tcPr>
          <w:p w14:paraId="156E7822"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6</w:t>
            </w:r>
          </w:p>
        </w:tc>
        <w:tc>
          <w:tcPr>
            <w:tcW w:w="7020" w:type="dxa"/>
            <w:shd w:val="clear" w:color="auto" w:fill="D9EAD3"/>
            <w:tcMar>
              <w:top w:w="28" w:type="dxa"/>
              <w:left w:w="28" w:type="dxa"/>
              <w:bottom w:w="28" w:type="dxa"/>
              <w:right w:w="28" w:type="dxa"/>
            </w:tcMar>
          </w:tcPr>
          <w:p w14:paraId="4A036E04"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Min Temperature of Coldest Month</w:t>
            </w:r>
          </w:p>
        </w:tc>
      </w:tr>
      <w:tr w:rsidR="00683B9A" w:rsidRPr="00683B9A" w14:paraId="05F3D7BC" w14:textId="77777777" w:rsidTr="007520BE">
        <w:tc>
          <w:tcPr>
            <w:tcW w:w="2340" w:type="dxa"/>
            <w:shd w:val="clear" w:color="auto" w:fill="B6D7A8"/>
            <w:tcMar>
              <w:top w:w="28" w:type="dxa"/>
              <w:left w:w="28" w:type="dxa"/>
              <w:bottom w:w="28" w:type="dxa"/>
              <w:right w:w="28" w:type="dxa"/>
            </w:tcMar>
          </w:tcPr>
          <w:p w14:paraId="27C5B375"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7</w:t>
            </w:r>
          </w:p>
        </w:tc>
        <w:tc>
          <w:tcPr>
            <w:tcW w:w="7020" w:type="dxa"/>
            <w:shd w:val="clear" w:color="auto" w:fill="F3F3F3"/>
            <w:tcMar>
              <w:top w:w="28" w:type="dxa"/>
              <w:left w:w="28" w:type="dxa"/>
              <w:bottom w:w="28" w:type="dxa"/>
              <w:right w:w="28" w:type="dxa"/>
            </w:tcMar>
          </w:tcPr>
          <w:p w14:paraId="66826A51"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Temperature Annual Range</w:t>
            </w:r>
          </w:p>
          <w:p w14:paraId="34359076"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 Bio  - Bio 6 ]</w:t>
            </w:r>
          </w:p>
        </w:tc>
      </w:tr>
      <w:tr w:rsidR="00683B9A" w:rsidRPr="00683B9A" w14:paraId="638CCC7F" w14:textId="77777777" w:rsidTr="007520BE">
        <w:tc>
          <w:tcPr>
            <w:tcW w:w="2340" w:type="dxa"/>
            <w:shd w:val="clear" w:color="auto" w:fill="B6D7A8"/>
            <w:tcMar>
              <w:top w:w="28" w:type="dxa"/>
              <w:left w:w="28" w:type="dxa"/>
              <w:bottom w:w="28" w:type="dxa"/>
              <w:right w:w="28" w:type="dxa"/>
            </w:tcMar>
          </w:tcPr>
          <w:p w14:paraId="76A80B1B"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8</w:t>
            </w:r>
          </w:p>
        </w:tc>
        <w:tc>
          <w:tcPr>
            <w:tcW w:w="7020" w:type="dxa"/>
            <w:shd w:val="clear" w:color="auto" w:fill="D9EAD3"/>
            <w:tcMar>
              <w:top w:w="28" w:type="dxa"/>
              <w:left w:w="28" w:type="dxa"/>
              <w:bottom w:w="28" w:type="dxa"/>
              <w:right w:w="28" w:type="dxa"/>
            </w:tcMar>
          </w:tcPr>
          <w:p w14:paraId="27BEF369"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Mean of Temperature of Wettest Quarter</w:t>
            </w:r>
          </w:p>
        </w:tc>
      </w:tr>
      <w:tr w:rsidR="00683B9A" w:rsidRPr="00683B9A" w14:paraId="72B17FE9" w14:textId="77777777" w:rsidTr="007520BE">
        <w:tc>
          <w:tcPr>
            <w:tcW w:w="2340" w:type="dxa"/>
            <w:shd w:val="clear" w:color="auto" w:fill="B6D7A8"/>
            <w:tcMar>
              <w:top w:w="28" w:type="dxa"/>
              <w:left w:w="28" w:type="dxa"/>
              <w:bottom w:w="28" w:type="dxa"/>
              <w:right w:w="28" w:type="dxa"/>
            </w:tcMar>
          </w:tcPr>
          <w:p w14:paraId="2B8E1DAC"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9</w:t>
            </w:r>
          </w:p>
        </w:tc>
        <w:tc>
          <w:tcPr>
            <w:tcW w:w="7020" w:type="dxa"/>
            <w:shd w:val="clear" w:color="auto" w:fill="F3F3F3"/>
            <w:tcMar>
              <w:top w:w="28" w:type="dxa"/>
              <w:left w:w="28" w:type="dxa"/>
              <w:bottom w:w="28" w:type="dxa"/>
              <w:right w:w="28" w:type="dxa"/>
            </w:tcMar>
          </w:tcPr>
          <w:p w14:paraId="06151ACB"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Mean Temperature of Driest Quarter</w:t>
            </w:r>
          </w:p>
        </w:tc>
      </w:tr>
      <w:tr w:rsidR="00683B9A" w:rsidRPr="00683B9A" w14:paraId="313B1ABF" w14:textId="77777777" w:rsidTr="007520BE">
        <w:tc>
          <w:tcPr>
            <w:tcW w:w="2340" w:type="dxa"/>
            <w:shd w:val="clear" w:color="auto" w:fill="B6D7A8"/>
            <w:tcMar>
              <w:top w:w="28" w:type="dxa"/>
              <w:left w:w="28" w:type="dxa"/>
              <w:bottom w:w="28" w:type="dxa"/>
              <w:right w:w="28" w:type="dxa"/>
            </w:tcMar>
          </w:tcPr>
          <w:p w14:paraId="1E850741"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10</w:t>
            </w:r>
          </w:p>
        </w:tc>
        <w:tc>
          <w:tcPr>
            <w:tcW w:w="7020" w:type="dxa"/>
            <w:shd w:val="clear" w:color="auto" w:fill="D9EAD3"/>
            <w:tcMar>
              <w:top w:w="28" w:type="dxa"/>
              <w:left w:w="28" w:type="dxa"/>
              <w:bottom w:w="28" w:type="dxa"/>
              <w:right w:w="28" w:type="dxa"/>
            </w:tcMar>
          </w:tcPr>
          <w:p w14:paraId="70741AF5"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Mean Temperature of Warmest Quarter</w:t>
            </w:r>
          </w:p>
        </w:tc>
      </w:tr>
      <w:tr w:rsidR="00683B9A" w:rsidRPr="00683B9A" w14:paraId="5739CE48" w14:textId="77777777" w:rsidTr="007520BE">
        <w:tc>
          <w:tcPr>
            <w:tcW w:w="2340" w:type="dxa"/>
            <w:shd w:val="clear" w:color="auto" w:fill="B6D7A8"/>
            <w:tcMar>
              <w:top w:w="28" w:type="dxa"/>
              <w:left w:w="28" w:type="dxa"/>
              <w:bottom w:w="28" w:type="dxa"/>
              <w:right w:w="28" w:type="dxa"/>
            </w:tcMar>
          </w:tcPr>
          <w:p w14:paraId="437DE109"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11</w:t>
            </w:r>
          </w:p>
        </w:tc>
        <w:tc>
          <w:tcPr>
            <w:tcW w:w="7020" w:type="dxa"/>
            <w:shd w:val="clear" w:color="auto" w:fill="F3F3F3"/>
            <w:tcMar>
              <w:top w:w="28" w:type="dxa"/>
              <w:left w:w="28" w:type="dxa"/>
              <w:bottom w:w="28" w:type="dxa"/>
              <w:right w:w="28" w:type="dxa"/>
            </w:tcMar>
          </w:tcPr>
          <w:p w14:paraId="4F2EF354"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Mean Temperature of Coldest Quarter</w:t>
            </w:r>
          </w:p>
        </w:tc>
      </w:tr>
      <w:tr w:rsidR="00683B9A" w:rsidRPr="00683B9A" w14:paraId="76C5C66C" w14:textId="77777777" w:rsidTr="007520BE">
        <w:tc>
          <w:tcPr>
            <w:tcW w:w="2340" w:type="dxa"/>
            <w:shd w:val="clear" w:color="auto" w:fill="B6D7A8"/>
            <w:tcMar>
              <w:top w:w="28" w:type="dxa"/>
              <w:left w:w="28" w:type="dxa"/>
              <w:bottom w:w="28" w:type="dxa"/>
              <w:right w:w="28" w:type="dxa"/>
            </w:tcMar>
          </w:tcPr>
          <w:p w14:paraId="5FAB8828"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12</w:t>
            </w:r>
          </w:p>
        </w:tc>
        <w:tc>
          <w:tcPr>
            <w:tcW w:w="7020" w:type="dxa"/>
            <w:shd w:val="clear" w:color="auto" w:fill="D9EAD3"/>
            <w:tcMar>
              <w:top w:w="28" w:type="dxa"/>
              <w:left w:w="28" w:type="dxa"/>
              <w:bottom w:w="28" w:type="dxa"/>
              <w:right w:w="28" w:type="dxa"/>
            </w:tcMar>
          </w:tcPr>
          <w:p w14:paraId="529344DD"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Annual Precipitation</w:t>
            </w:r>
          </w:p>
        </w:tc>
      </w:tr>
      <w:tr w:rsidR="00683B9A" w:rsidRPr="00683B9A" w14:paraId="7A876F43" w14:textId="77777777" w:rsidTr="007520BE">
        <w:tc>
          <w:tcPr>
            <w:tcW w:w="2340" w:type="dxa"/>
            <w:shd w:val="clear" w:color="auto" w:fill="B6D7A8"/>
            <w:tcMar>
              <w:top w:w="28" w:type="dxa"/>
              <w:left w:w="28" w:type="dxa"/>
              <w:bottom w:w="28" w:type="dxa"/>
              <w:right w:w="28" w:type="dxa"/>
            </w:tcMar>
          </w:tcPr>
          <w:p w14:paraId="1C5A0BE8"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13</w:t>
            </w:r>
          </w:p>
        </w:tc>
        <w:tc>
          <w:tcPr>
            <w:tcW w:w="7020" w:type="dxa"/>
            <w:shd w:val="clear" w:color="auto" w:fill="F3F3F3"/>
            <w:tcMar>
              <w:top w:w="28" w:type="dxa"/>
              <w:left w:w="28" w:type="dxa"/>
              <w:bottom w:w="28" w:type="dxa"/>
              <w:right w:w="28" w:type="dxa"/>
            </w:tcMar>
          </w:tcPr>
          <w:p w14:paraId="458781B2"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Precipitation of Wettest Month</w:t>
            </w:r>
          </w:p>
        </w:tc>
      </w:tr>
      <w:tr w:rsidR="00683B9A" w:rsidRPr="00683B9A" w14:paraId="15B204D4" w14:textId="77777777" w:rsidTr="007520BE">
        <w:tc>
          <w:tcPr>
            <w:tcW w:w="2340" w:type="dxa"/>
            <w:shd w:val="clear" w:color="auto" w:fill="B6D7A8"/>
            <w:tcMar>
              <w:top w:w="28" w:type="dxa"/>
              <w:left w:w="28" w:type="dxa"/>
              <w:bottom w:w="28" w:type="dxa"/>
              <w:right w:w="28" w:type="dxa"/>
            </w:tcMar>
          </w:tcPr>
          <w:p w14:paraId="38C4693B"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14</w:t>
            </w:r>
          </w:p>
        </w:tc>
        <w:tc>
          <w:tcPr>
            <w:tcW w:w="7020" w:type="dxa"/>
            <w:shd w:val="clear" w:color="auto" w:fill="D9EAD3"/>
            <w:tcMar>
              <w:top w:w="28" w:type="dxa"/>
              <w:left w:w="28" w:type="dxa"/>
              <w:bottom w:w="28" w:type="dxa"/>
              <w:right w:w="28" w:type="dxa"/>
            </w:tcMar>
          </w:tcPr>
          <w:p w14:paraId="6205DB11"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Precipitation of Driest Month</w:t>
            </w:r>
          </w:p>
        </w:tc>
      </w:tr>
      <w:tr w:rsidR="00683B9A" w:rsidRPr="00683B9A" w14:paraId="694375D2" w14:textId="77777777" w:rsidTr="007520BE">
        <w:tc>
          <w:tcPr>
            <w:tcW w:w="2340" w:type="dxa"/>
            <w:shd w:val="clear" w:color="auto" w:fill="B6D7A8"/>
            <w:tcMar>
              <w:top w:w="28" w:type="dxa"/>
              <w:left w:w="28" w:type="dxa"/>
              <w:bottom w:w="28" w:type="dxa"/>
              <w:right w:w="28" w:type="dxa"/>
            </w:tcMar>
          </w:tcPr>
          <w:p w14:paraId="696FF0D6"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15</w:t>
            </w:r>
          </w:p>
        </w:tc>
        <w:tc>
          <w:tcPr>
            <w:tcW w:w="7020" w:type="dxa"/>
            <w:shd w:val="clear" w:color="auto" w:fill="F3F3F3"/>
            <w:tcMar>
              <w:top w:w="28" w:type="dxa"/>
              <w:left w:w="28" w:type="dxa"/>
              <w:bottom w:w="28" w:type="dxa"/>
              <w:right w:w="28" w:type="dxa"/>
            </w:tcMar>
          </w:tcPr>
          <w:p w14:paraId="067727F3"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 xml:space="preserve">Precipitation of Seasonality </w:t>
            </w:r>
          </w:p>
          <w:p w14:paraId="24443F77"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 Coefficient of Variation ]</w:t>
            </w:r>
          </w:p>
        </w:tc>
      </w:tr>
      <w:tr w:rsidR="00683B9A" w:rsidRPr="00683B9A" w14:paraId="10110983" w14:textId="77777777" w:rsidTr="007520BE">
        <w:tc>
          <w:tcPr>
            <w:tcW w:w="2340" w:type="dxa"/>
            <w:shd w:val="clear" w:color="auto" w:fill="B6D7A8"/>
            <w:tcMar>
              <w:top w:w="28" w:type="dxa"/>
              <w:left w:w="28" w:type="dxa"/>
              <w:bottom w:w="28" w:type="dxa"/>
              <w:right w:w="28" w:type="dxa"/>
            </w:tcMar>
          </w:tcPr>
          <w:p w14:paraId="5C0BDEF7"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lastRenderedPageBreak/>
              <w:t>Bio 16</w:t>
            </w:r>
          </w:p>
        </w:tc>
        <w:tc>
          <w:tcPr>
            <w:tcW w:w="7020" w:type="dxa"/>
            <w:shd w:val="clear" w:color="auto" w:fill="D9EAD3"/>
            <w:tcMar>
              <w:top w:w="28" w:type="dxa"/>
              <w:left w:w="28" w:type="dxa"/>
              <w:bottom w:w="28" w:type="dxa"/>
              <w:right w:w="28" w:type="dxa"/>
            </w:tcMar>
          </w:tcPr>
          <w:p w14:paraId="4E75963A"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Precipitation of Wettest Quarter</w:t>
            </w:r>
          </w:p>
        </w:tc>
      </w:tr>
      <w:tr w:rsidR="00683B9A" w:rsidRPr="00683B9A" w14:paraId="53E5F1D9" w14:textId="77777777" w:rsidTr="007520BE">
        <w:tc>
          <w:tcPr>
            <w:tcW w:w="2340" w:type="dxa"/>
            <w:shd w:val="clear" w:color="auto" w:fill="B6D7A8"/>
            <w:tcMar>
              <w:top w:w="28" w:type="dxa"/>
              <w:left w:w="28" w:type="dxa"/>
              <w:bottom w:w="28" w:type="dxa"/>
              <w:right w:w="28" w:type="dxa"/>
            </w:tcMar>
          </w:tcPr>
          <w:p w14:paraId="78A6A347"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17</w:t>
            </w:r>
          </w:p>
        </w:tc>
        <w:tc>
          <w:tcPr>
            <w:tcW w:w="7020" w:type="dxa"/>
            <w:shd w:val="clear" w:color="auto" w:fill="F3F3F3"/>
            <w:tcMar>
              <w:top w:w="28" w:type="dxa"/>
              <w:left w:w="28" w:type="dxa"/>
              <w:bottom w:w="28" w:type="dxa"/>
              <w:right w:w="28" w:type="dxa"/>
            </w:tcMar>
          </w:tcPr>
          <w:p w14:paraId="2BD2DFF1"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Precipitation of Driest Quarter</w:t>
            </w:r>
          </w:p>
        </w:tc>
      </w:tr>
      <w:tr w:rsidR="00683B9A" w:rsidRPr="00683B9A" w14:paraId="3DB98870" w14:textId="77777777" w:rsidTr="007520BE">
        <w:tc>
          <w:tcPr>
            <w:tcW w:w="2340" w:type="dxa"/>
            <w:shd w:val="clear" w:color="auto" w:fill="B6D7A8"/>
            <w:tcMar>
              <w:top w:w="28" w:type="dxa"/>
              <w:left w:w="28" w:type="dxa"/>
              <w:bottom w:w="28" w:type="dxa"/>
              <w:right w:w="28" w:type="dxa"/>
            </w:tcMar>
          </w:tcPr>
          <w:p w14:paraId="377BEEBE"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18</w:t>
            </w:r>
          </w:p>
        </w:tc>
        <w:tc>
          <w:tcPr>
            <w:tcW w:w="7020" w:type="dxa"/>
            <w:shd w:val="clear" w:color="auto" w:fill="D9EAD3"/>
            <w:tcMar>
              <w:top w:w="28" w:type="dxa"/>
              <w:left w:w="28" w:type="dxa"/>
              <w:bottom w:w="28" w:type="dxa"/>
              <w:right w:w="28" w:type="dxa"/>
            </w:tcMar>
          </w:tcPr>
          <w:p w14:paraId="2882D1DB"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Precipitation of Warmest Quarter</w:t>
            </w:r>
          </w:p>
        </w:tc>
      </w:tr>
      <w:tr w:rsidR="00683B9A" w:rsidRPr="00683B9A" w14:paraId="2F702A68" w14:textId="77777777" w:rsidTr="007520BE">
        <w:tc>
          <w:tcPr>
            <w:tcW w:w="2340" w:type="dxa"/>
            <w:shd w:val="clear" w:color="auto" w:fill="B6D7A8"/>
            <w:tcMar>
              <w:top w:w="28" w:type="dxa"/>
              <w:left w:w="28" w:type="dxa"/>
              <w:bottom w:w="28" w:type="dxa"/>
              <w:right w:w="28" w:type="dxa"/>
            </w:tcMar>
          </w:tcPr>
          <w:p w14:paraId="11B40E47"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19</w:t>
            </w:r>
          </w:p>
        </w:tc>
        <w:tc>
          <w:tcPr>
            <w:tcW w:w="7020" w:type="dxa"/>
            <w:shd w:val="clear" w:color="auto" w:fill="F3F3F3"/>
            <w:tcMar>
              <w:top w:w="28" w:type="dxa"/>
              <w:left w:w="28" w:type="dxa"/>
              <w:bottom w:w="28" w:type="dxa"/>
              <w:right w:w="28" w:type="dxa"/>
            </w:tcMar>
          </w:tcPr>
          <w:p w14:paraId="43946840"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Precipitation of Coldest Quarter</w:t>
            </w:r>
          </w:p>
        </w:tc>
      </w:tr>
    </w:tbl>
    <w:p w14:paraId="245B0FF1" w14:textId="77777777" w:rsidR="00683B9A" w:rsidRDefault="00683B9A" w:rsidP="00427E10">
      <w:pPr>
        <w:spacing w:after="0" w:line="240" w:lineRule="auto"/>
        <w:rPr>
          <w:rFonts w:ascii="Century Gothic" w:hAnsi="Century Gothic"/>
          <w:b/>
          <w:szCs w:val="24"/>
        </w:rPr>
      </w:pPr>
    </w:p>
    <w:p w14:paraId="4B7E83B9" w14:textId="77777777" w:rsidR="00427E10" w:rsidRDefault="00427E10" w:rsidP="00427E10">
      <w:pPr>
        <w:spacing w:after="0" w:line="240" w:lineRule="auto"/>
        <w:rPr>
          <w:rFonts w:ascii="Century Gothic" w:hAnsi="Century Gothic"/>
          <w:b/>
          <w:szCs w:val="24"/>
        </w:rPr>
      </w:pPr>
    </w:p>
    <w:p w14:paraId="421FB6BD" w14:textId="0275077D" w:rsidR="00427E10" w:rsidRPr="00427E10" w:rsidRDefault="00427E10" w:rsidP="00A23843">
      <w:pPr>
        <w:pStyle w:val="Caption"/>
        <w:keepNext/>
        <w:jc w:val="center"/>
        <w:rPr>
          <w:rFonts w:ascii="Century Gothic" w:hAnsi="Century Gothic"/>
          <w:color w:val="auto"/>
        </w:rPr>
      </w:pPr>
      <w:r w:rsidRPr="00427E10">
        <w:rPr>
          <w:rFonts w:ascii="Century Gothic" w:hAnsi="Century Gothic"/>
          <w:color w:val="auto"/>
        </w:rPr>
        <w:t xml:space="preserve">Table </w:t>
      </w:r>
      <w:r w:rsidRPr="00427E10">
        <w:rPr>
          <w:rFonts w:ascii="Century Gothic" w:hAnsi="Century Gothic"/>
          <w:color w:val="auto"/>
        </w:rPr>
        <w:fldChar w:fldCharType="begin"/>
      </w:r>
      <w:r w:rsidRPr="00427E10">
        <w:rPr>
          <w:rFonts w:ascii="Century Gothic" w:hAnsi="Century Gothic"/>
          <w:color w:val="auto"/>
        </w:rPr>
        <w:instrText xml:space="preserve"> SEQ Table \* ARABIC </w:instrText>
      </w:r>
      <w:r w:rsidRPr="00427E10">
        <w:rPr>
          <w:rFonts w:ascii="Century Gothic" w:hAnsi="Century Gothic"/>
          <w:color w:val="auto"/>
        </w:rPr>
        <w:fldChar w:fldCharType="separate"/>
      </w:r>
      <w:r w:rsidR="00A23843">
        <w:rPr>
          <w:rFonts w:ascii="Century Gothic" w:hAnsi="Century Gothic"/>
          <w:noProof/>
          <w:color w:val="auto"/>
        </w:rPr>
        <w:t>2</w:t>
      </w:r>
      <w:r w:rsidRPr="00427E10">
        <w:rPr>
          <w:rFonts w:ascii="Century Gothic" w:hAnsi="Century Gothic"/>
          <w:color w:val="auto"/>
        </w:rPr>
        <w:fldChar w:fldCharType="end"/>
      </w:r>
      <w:r w:rsidRPr="00427E10">
        <w:rPr>
          <w:rFonts w:ascii="Century Gothic" w:hAnsi="Century Gothic"/>
          <w:color w:val="auto"/>
        </w:rPr>
        <w:t>: Path and row numbers of Landsat 8 OLI tiles downloaded</w:t>
      </w:r>
    </w:p>
    <w:tbl>
      <w:tblPr>
        <w:tblW w:w="495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20"/>
        <w:gridCol w:w="2430"/>
      </w:tblGrid>
      <w:tr w:rsidR="00683B9A" w:rsidRPr="00683B9A" w14:paraId="4AC3E271" w14:textId="77777777" w:rsidTr="007520BE">
        <w:trPr>
          <w:trHeight w:val="460"/>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B6D7A8"/>
            <w:tcMar>
              <w:top w:w="28" w:type="dxa"/>
              <w:left w:w="28" w:type="dxa"/>
              <w:bottom w:w="28" w:type="dxa"/>
              <w:right w:w="28" w:type="dxa"/>
            </w:tcMar>
          </w:tcPr>
          <w:p w14:paraId="61BB38E8"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Path</w:t>
            </w:r>
          </w:p>
        </w:tc>
        <w:tc>
          <w:tcPr>
            <w:tcW w:w="2430" w:type="dxa"/>
            <w:tcBorders>
              <w:top w:val="single" w:sz="8" w:space="0" w:color="FFFFFF"/>
              <w:left w:val="single" w:sz="8" w:space="0" w:color="FFFFFF"/>
              <w:bottom w:val="single" w:sz="8" w:space="0" w:color="FFFFFF"/>
              <w:right w:val="single" w:sz="8" w:space="0" w:color="FFFFFF"/>
            </w:tcBorders>
            <w:shd w:val="clear" w:color="auto" w:fill="B6D7A8"/>
            <w:tcMar>
              <w:top w:w="28" w:type="dxa"/>
              <w:left w:w="28" w:type="dxa"/>
              <w:bottom w:w="28" w:type="dxa"/>
              <w:right w:w="28" w:type="dxa"/>
            </w:tcMar>
          </w:tcPr>
          <w:p w14:paraId="668300D5"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Row</w:t>
            </w:r>
          </w:p>
        </w:tc>
      </w:tr>
      <w:tr w:rsidR="00683B9A" w:rsidRPr="00683B9A" w14:paraId="717E04C5" w14:textId="77777777" w:rsidTr="007520BE">
        <w:trPr>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F3F3F3"/>
            <w:tcMar>
              <w:top w:w="28" w:type="dxa"/>
              <w:left w:w="28" w:type="dxa"/>
              <w:bottom w:w="28" w:type="dxa"/>
              <w:right w:w="28" w:type="dxa"/>
            </w:tcMar>
          </w:tcPr>
          <w:p w14:paraId="57D2D494"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19</w:t>
            </w:r>
          </w:p>
        </w:tc>
        <w:tc>
          <w:tcPr>
            <w:tcW w:w="2430" w:type="dxa"/>
            <w:tcBorders>
              <w:top w:val="single" w:sz="8" w:space="0" w:color="FFFFFF"/>
              <w:left w:val="single" w:sz="8" w:space="0" w:color="FFFFFF"/>
              <w:bottom w:val="single" w:sz="8" w:space="0" w:color="FFFFFF"/>
              <w:right w:val="single" w:sz="8" w:space="0" w:color="FFFFFF"/>
            </w:tcBorders>
            <w:shd w:val="clear" w:color="auto" w:fill="F3F3F3"/>
            <w:tcMar>
              <w:top w:w="28" w:type="dxa"/>
              <w:left w:w="28" w:type="dxa"/>
              <w:bottom w:w="28" w:type="dxa"/>
              <w:right w:w="28" w:type="dxa"/>
            </w:tcMar>
          </w:tcPr>
          <w:p w14:paraId="4E320F33"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36</w:t>
            </w:r>
          </w:p>
        </w:tc>
      </w:tr>
      <w:tr w:rsidR="00683B9A" w:rsidRPr="00683B9A" w14:paraId="20E666D3" w14:textId="77777777" w:rsidTr="007520BE">
        <w:trPr>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D9EAD3"/>
            <w:tcMar>
              <w:top w:w="28" w:type="dxa"/>
              <w:left w:w="28" w:type="dxa"/>
              <w:bottom w:w="28" w:type="dxa"/>
              <w:right w:w="28" w:type="dxa"/>
            </w:tcMar>
          </w:tcPr>
          <w:p w14:paraId="0A89F354"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19</w:t>
            </w:r>
          </w:p>
        </w:tc>
        <w:tc>
          <w:tcPr>
            <w:tcW w:w="2430" w:type="dxa"/>
            <w:tcBorders>
              <w:top w:val="single" w:sz="8" w:space="0" w:color="FFFFFF"/>
              <w:left w:val="single" w:sz="8" w:space="0" w:color="FFFFFF"/>
              <w:bottom w:val="single" w:sz="8" w:space="0" w:color="FFFFFF"/>
              <w:right w:val="single" w:sz="8" w:space="0" w:color="FFFFFF"/>
            </w:tcBorders>
            <w:shd w:val="clear" w:color="auto" w:fill="D9EAD3"/>
            <w:tcMar>
              <w:top w:w="28" w:type="dxa"/>
              <w:left w:w="28" w:type="dxa"/>
              <w:bottom w:w="28" w:type="dxa"/>
              <w:right w:w="28" w:type="dxa"/>
            </w:tcMar>
          </w:tcPr>
          <w:p w14:paraId="6948976F"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37</w:t>
            </w:r>
          </w:p>
        </w:tc>
      </w:tr>
      <w:tr w:rsidR="00683B9A" w:rsidRPr="00683B9A" w14:paraId="6FB139CC" w14:textId="77777777" w:rsidTr="007520BE">
        <w:trPr>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F3F3F3"/>
            <w:tcMar>
              <w:top w:w="28" w:type="dxa"/>
              <w:left w:w="28" w:type="dxa"/>
              <w:bottom w:w="28" w:type="dxa"/>
              <w:right w:w="28" w:type="dxa"/>
            </w:tcMar>
          </w:tcPr>
          <w:p w14:paraId="42037CE7"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19</w:t>
            </w:r>
          </w:p>
        </w:tc>
        <w:tc>
          <w:tcPr>
            <w:tcW w:w="2430" w:type="dxa"/>
            <w:tcBorders>
              <w:top w:val="single" w:sz="8" w:space="0" w:color="FFFFFF"/>
              <w:left w:val="single" w:sz="8" w:space="0" w:color="FFFFFF"/>
              <w:bottom w:val="single" w:sz="8" w:space="0" w:color="FFFFFF"/>
              <w:right w:val="single" w:sz="8" w:space="0" w:color="FFFFFF"/>
            </w:tcBorders>
            <w:shd w:val="clear" w:color="auto" w:fill="F3F3F3"/>
            <w:tcMar>
              <w:top w:w="28" w:type="dxa"/>
              <w:left w:w="28" w:type="dxa"/>
              <w:bottom w:w="28" w:type="dxa"/>
              <w:right w:w="28" w:type="dxa"/>
            </w:tcMar>
          </w:tcPr>
          <w:p w14:paraId="1ADB7200"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38</w:t>
            </w:r>
          </w:p>
        </w:tc>
      </w:tr>
      <w:tr w:rsidR="00683B9A" w:rsidRPr="00683B9A" w14:paraId="45E68BB4" w14:textId="77777777" w:rsidTr="007520BE">
        <w:trPr>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D9EAD3"/>
            <w:tcMar>
              <w:top w:w="28" w:type="dxa"/>
              <w:left w:w="28" w:type="dxa"/>
              <w:bottom w:w="28" w:type="dxa"/>
              <w:right w:w="28" w:type="dxa"/>
            </w:tcMar>
          </w:tcPr>
          <w:p w14:paraId="7D03321B"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20</w:t>
            </w:r>
          </w:p>
        </w:tc>
        <w:tc>
          <w:tcPr>
            <w:tcW w:w="2430" w:type="dxa"/>
            <w:tcBorders>
              <w:top w:val="single" w:sz="8" w:space="0" w:color="FFFFFF"/>
              <w:left w:val="single" w:sz="8" w:space="0" w:color="FFFFFF"/>
              <w:bottom w:val="single" w:sz="8" w:space="0" w:color="FFFFFF"/>
              <w:right w:val="single" w:sz="8" w:space="0" w:color="FFFFFF"/>
            </w:tcBorders>
            <w:shd w:val="clear" w:color="auto" w:fill="D9EAD3"/>
            <w:tcMar>
              <w:top w:w="28" w:type="dxa"/>
              <w:left w:w="28" w:type="dxa"/>
              <w:bottom w:w="28" w:type="dxa"/>
              <w:right w:w="28" w:type="dxa"/>
            </w:tcMar>
          </w:tcPr>
          <w:p w14:paraId="7EA61E54"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36</w:t>
            </w:r>
          </w:p>
        </w:tc>
      </w:tr>
      <w:tr w:rsidR="00683B9A" w:rsidRPr="00683B9A" w14:paraId="32AA7DA4" w14:textId="77777777" w:rsidTr="007520BE">
        <w:trPr>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F3F3F3"/>
            <w:tcMar>
              <w:top w:w="28" w:type="dxa"/>
              <w:left w:w="28" w:type="dxa"/>
              <w:bottom w:w="28" w:type="dxa"/>
              <w:right w:w="28" w:type="dxa"/>
            </w:tcMar>
          </w:tcPr>
          <w:p w14:paraId="388A56BA"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20</w:t>
            </w:r>
          </w:p>
        </w:tc>
        <w:tc>
          <w:tcPr>
            <w:tcW w:w="2430" w:type="dxa"/>
            <w:tcBorders>
              <w:top w:val="single" w:sz="8" w:space="0" w:color="FFFFFF"/>
              <w:left w:val="single" w:sz="8" w:space="0" w:color="FFFFFF"/>
              <w:bottom w:val="single" w:sz="8" w:space="0" w:color="FFFFFF"/>
              <w:right w:val="single" w:sz="8" w:space="0" w:color="FFFFFF"/>
            </w:tcBorders>
            <w:shd w:val="clear" w:color="auto" w:fill="F3F3F3"/>
            <w:tcMar>
              <w:top w:w="28" w:type="dxa"/>
              <w:left w:w="28" w:type="dxa"/>
              <w:bottom w:w="28" w:type="dxa"/>
              <w:right w:w="28" w:type="dxa"/>
            </w:tcMar>
          </w:tcPr>
          <w:p w14:paraId="2E2DEB59"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37</w:t>
            </w:r>
          </w:p>
        </w:tc>
      </w:tr>
      <w:tr w:rsidR="00683B9A" w:rsidRPr="00683B9A" w14:paraId="20DF1804" w14:textId="77777777" w:rsidTr="007520BE">
        <w:trPr>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D9EAD3"/>
            <w:tcMar>
              <w:top w:w="28" w:type="dxa"/>
              <w:left w:w="28" w:type="dxa"/>
              <w:bottom w:w="28" w:type="dxa"/>
              <w:right w:w="28" w:type="dxa"/>
            </w:tcMar>
          </w:tcPr>
          <w:p w14:paraId="51A2BAEB"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20</w:t>
            </w:r>
          </w:p>
        </w:tc>
        <w:tc>
          <w:tcPr>
            <w:tcW w:w="2430" w:type="dxa"/>
            <w:tcBorders>
              <w:top w:val="single" w:sz="8" w:space="0" w:color="FFFFFF"/>
              <w:left w:val="single" w:sz="8" w:space="0" w:color="FFFFFF"/>
              <w:bottom w:val="single" w:sz="8" w:space="0" w:color="FFFFFF"/>
              <w:right w:val="single" w:sz="8" w:space="0" w:color="FFFFFF"/>
            </w:tcBorders>
            <w:shd w:val="clear" w:color="auto" w:fill="D9EAD3"/>
            <w:tcMar>
              <w:top w:w="28" w:type="dxa"/>
              <w:left w:w="28" w:type="dxa"/>
              <w:bottom w:w="28" w:type="dxa"/>
              <w:right w:w="28" w:type="dxa"/>
            </w:tcMar>
          </w:tcPr>
          <w:p w14:paraId="6AE9A801"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38</w:t>
            </w:r>
          </w:p>
        </w:tc>
      </w:tr>
      <w:tr w:rsidR="00683B9A" w:rsidRPr="00683B9A" w14:paraId="003FF32F" w14:textId="77777777" w:rsidTr="007520BE">
        <w:trPr>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F3F3F3"/>
            <w:tcMar>
              <w:top w:w="28" w:type="dxa"/>
              <w:left w:w="28" w:type="dxa"/>
              <w:bottom w:w="28" w:type="dxa"/>
              <w:right w:w="28" w:type="dxa"/>
            </w:tcMar>
          </w:tcPr>
          <w:p w14:paraId="29A9096D"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21</w:t>
            </w:r>
          </w:p>
        </w:tc>
        <w:tc>
          <w:tcPr>
            <w:tcW w:w="2430" w:type="dxa"/>
            <w:tcBorders>
              <w:top w:val="single" w:sz="8" w:space="0" w:color="FFFFFF"/>
              <w:left w:val="single" w:sz="8" w:space="0" w:color="FFFFFF"/>
              <w:bottom w:val="single" w:sz="8" w:space="0" w:color="FFFFFF"/>
              <w:right w:val="single" w:sz="8" w:space="0" w:color="FFFFFF"/>
            </w:tcBorders>
            <w:shd w:val="clear" w:color="auto" w:fill="F3F3F3"/>
            <w:tcMar>
              <w:top w:w="28" w:type="dxa"/>
              <w:left w:w="28" w:type="dxa"/>
              <w:bottom w:w="28" w:type="dxa"/>
              <w:right w:w="28" w:type="dxa"/>
            </w:tcMar>
          </w:tcPr>
          <w:p w14:paraId="54DB685F"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36</w:t>
            </w:r>
          </w:p>
        </w:tc>
      </w:tr>
      <w:tr w:rsidR="00683B9A" w:rsidRPr="00683B9A" w14:paraId="4E300A1D" w14:textId="77777777" w:rsidTr="007520BE">
        <w:trPr>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D9EAD3"/>
            <w:tcMar>
              <w:top w:w="28" w:type="dxa"/>
              <w:left w:w="28" w:type="dxa"/>
              <w:bottom w:w="28" w:type="dxa"/>
              <w:right w:w="28" w:type="dxa"/>
            </w:tcMar>
          </w:tcPr>
          <w:p w14:paraId="3061106A"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21</w:t>
            </w:r>
          </w:p>
        </w:tc>
        <w:tc>
          <w:tcPr>
            <w:tcW w:w="2430" w:type="dxa"/>
            <w:tcBorders>
              <w:top w:val="single" w:sz="8" w:space="0" w:color="FFFFFF"/>
              <w:left w:val="single" w:sz="8" w:space="0" w:color="FFFFFF"/>
              <w:bottom w:val="single" w:sz="8" w:space="0" w:color="FFFFFF"/>
              <w:right w:val="single" w:sz="8" w:space="0" w:color="FFFFFF"/>
            </w:tcBorders>
            <w:shd w:val="clear" w:color="auto" w:fill="D9EAD3"/>
            <w:tcMar>
              <w:top w:w="28" w:type="dxa"/>
              <w:left w:w="28" w:type="dxa"/>
              <w:bottom w:w="28" w:type="dxa"/>
              <w:right w:w="28" w:type="dxa"/>
            </w:tcMar>
          </w:tcPr>
          <w:p w14:paraId="16BF9126"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37</w:t>
            </w:r>
          </w:p>
        </w:tc>
      </w:tr>
      <w:tr w:rsidR="00683B9A" w:rsidRPr="00683B9A" w14:paraId="753FB0E7" w14:textId="77777777" w:rsidTr="007520BE">
        <w:trPr>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F3F3F3"/>
            <w:tcMar>
              <w:top w:w="28" w:type="dxa"/>
              <w:left w:w="28" w:type="dxa"/>
              <w:bottom w:w="28" w:type="dxa"/>
              <w:right w:w="28" w:type="dxa"/>
            </w:tcMar>
          </w:tcPr>
          <w:p w14:paraId="2400D3ED"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21</w:t>
            </w:r>
          </w:p>
        </w:tc>
        <w:tc>
          <w:tcPr>
            <w:tcW w:w="2430" w:type="dxa"/>
            <w:tcBorders>
              <w:top w:val="single" w:sz="8" w:space="0" w:color="FFFFFF"/>
              <w:left w:val="single" w:sz="8" w:space="0" w:color="FFFFFF"/>
              <w:bottom w:val="single" w:sz="8" w:space="0" w:color="FFFFFF"/>
              <w:right w:val="single" w:sz="8" w:space="0" w:color="FFFFFF"/>
            </w:tcBorders>
            <w:shd w:val="clear" w:color="auto" w:fill="F3F3F3"/>
            <w:tcMar>
              <w:top w:w="28" w:type="dxa"/>
              <w:left w:w="28" w:type="dxa"/>
              <w:bottom w:w="28" w:type="dxa"/>
              <w:right w:w="28" w:type="dxa"/>
            </w:tcMar>
          </w:tcPr>
          <w:p w14:paraId="4ECEF952"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38</w:t>
            </w:r>
          </w:p>
        </w:tc>
      </w:tr>
    </w:tbl>
    <w:p w14:paraId="02FC4665" w14:textId="77777777" w:rsidR="00683B9A" w:rsidRDefault="00683B9A" w:rsidP="00683B9A">
      <w:pPr>
        <w:spacing w:after="0" w:line="240" w:lineRule="auto"/>
        <w:jc w:val="center"/>
        <w:rPr>
          <w:rFonts w:ascii="Century Gothic" w:hAnsi="Century Gothic"/>
          <w:b/>
          <w:szCs w:val="24"/>
        </w:rPr>
      </w:pPr>
    </w:p>
    <w:p w14:paraId="3D1B159E" w14:textId="77777777" w:rsidR="00427E10" w:rsidRDefault="00427E10" w:rsidP="00683B9A">
      <w:pPr>
        <w:spacing w:after="0" w:line="240" w:lineRule="auto"/>
        <w:jc w:val="center"/>
        <w:rPr>
          <w:rFonts w:ascii="Century Gothic" w:hAnsi="Century Gothic"/>
          <w:b/>
          <w:szCs w:val="24"/>
        </w:rPr>
      </w:pPr>
    </w:p>
    <w:p w14:paraId="544AB973" w14:textId="781E6CE2" w:rsidR="00427E10" w:rsidRPr="00427E10" w:rsidRDefault="00427E10" w:rsidP="00A23843">
      <w:pPr>
        <w:pStyle w:val="Caption"/>
        <w:keepNext/>
        <w:jc w:val="center"/>
        <w:rPr>
          <w:rFonts w:ascii="Century Gothic" w:hAnsi="Century Gothic"/>
          <w:color w:val="auto"/>
        </w:rPr>
      </w:pPr>
      <w:r w:rsidRPr="00427E10">
        <w:rPr>
          <w:rFonts w:ascii="Century Gothic" w:hAnsi="Century Gothic"/>
          <w:color w:val="auto"/>
        </w:rPr>
        <w:t xml:space="preserve">Table </w:t>
      </w:r>
      <w:r w:rsidRPr="00427E10">
        <w:rPr>
          <w:rFonts w:ascii="Century Gothic" w:hAnsi="Century Gothic"/>
          <w:color w:val="auto"/>
        </w:rPr>
        <w:fldChar w:fldCharType="begin"/>
      </w:r>
      <w:r w:rsidRPr="00427E10">
        <w:rPr>
          <w:rFonts w:ascii="Century Gothic" w:hAnsi="Century Gothic"/>
          <w:color w:val="auto"/>
        </w:rPr>
        <w:instrText xml:space="preserve"> SEQ Table \* ARABIC </w:instrText>
      </w:r>
      <w:r w:rsidRPr="00427E10">
        <w:rPr>
          <w:rFonts w:ascii="Century Gothic" w:hAnsi="Century Gothic"/>
          <w:color w:val="auto"/>
        </w:rPr>
        <w:fldChar w:fldCharType="separate"/>
      </w:r>
      <w:r w:rsidR="00A23843">
        <w:rPr>
          <w:rFonts w:ascii="Century Gothic" w:hAnsi="Century Gothic"/>
          <w:noProof/>
          <w:color w:val="auto"/>
        </w:rPr>
        <w:t>3</w:t>
      </w:r>
      <w:r w:rsidRPr="00427E10">
        <w:rPr>
          <w:rFonts w:ascii="Century Gothic" w:hAnsi="Century Gothic"/>
          <w:color w:val="auto"/>
        </w:rPr>
        <w:fldChar w:fldCharType="end"/>
      </w:r>
      <w:r w:rsidRPr="00427E10">
        <w:rPr>
          <w:rFonts w:ascii="Century Gothic" w:hAnsi="Century Gothic"/>
          <w:color w:val="auto"/>
        </w:rPr>
        <w:t>: Contribution and Permutation Importance averages over the 10 trials in MaxEnt</w:t>
      </w:r>
    </w:p>
    <w:tbl>
      <w:tblPr>
        <w:tblW w:w="9360"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1725"/>
        <w:gridCol w:w="3765"/>
        <w:gridCol w:w="3870"/>
      </w:tblGrid>
      <w:tr w:rsidR="00683B9A" w:rsidRPr="00683B9A" w14:paraId="4218A3B5" w14:textId="77777777" w:rsidTr="007520BE">
        <w:trPr>
          <w:jc w:val="center"/>
        </w:trPr>
        <w:tc>
          <w:tcPr>
            <w:tcW w:w="1725" w:type="dxa"/>
            <w:shd w:val="clear" w:color="auto" w:fill="B6D7A8"/>
            <w:tcMar>
              <w:top w:w="28" w:type="dxa"/>
              <w:left w:w="28" w:type="dxa"/>
              <w:bottom w:w="28" w:type="dxa"/>
              <w:right w:w="28" w:type="dxa"/>
            </w:tcMar>
          </w:tcPr>
          <w:p w14:paraId="36E7FE00"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Variable</w:t>
            </w:r>
          </w:p>
        </w:tc>
        <w:tc>
          <w:tcPr>
            <w:tcW w:w="3765" w:type="dxa"/>
            <w:shd w:val="clear" w:color="auto" w:fill="B6D7A8"/>
            <w:tcMar>
              <w:top w:w="28" w:type="dxa"/>
              <w:left w:w="28" w:type="dxa"/>
              <w:bottom w:w="28" w:type="dxa"/>
              <w:right w:w="28" w:type="dxa"/>
            </w:tcMar>
          </w:tcPr>
          <w:p w14:paraId="7D081904"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Average Percent Contribution (%)</w:t>
            </w:r>
          </w:p>
        </w:tc>
        <w:tc>
          <w:tcPr>
            <w:tcW w:w="3870" w:type="dxa"/>
            <w:shd w:val="clear" w:color="auto" w:fill="B6D7A8"/>
            <w:tcMar>
              <w:top w:w="28" w:type="dxa"/>
              <w:left w:w="28" w:type="dxa"/>
              <w:bottom w:w="28" w:type="dxa"/>
              <w:right w:w="28" w:type="dxa"/>
            </w:tcMar>
          </w:tcPr>
          <w:p w14:paraId="3AB4B88C"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Average Permutation Importance (%)</w:t>
            </w:r>
          </w:p>
        </w:tc>
      </w:tr>
      <w:tr w:rsidR="00683B9A" w:rsidRPr="00683B9A" w14:paraId="20705D8F" w14:textId="77777777" w:rsidTr="007520BE">
        <w:trPr>
          <w:jc w:val="center"/>
        </w:trPr>
        <w:tc>
          <w:tcPr>
            <w:tcW w:w="1725" w:type="dxa"/>
            <w:shd w:val="clear" w:color="auto" w:fill="B6D7A8"/>
            <w:tcMar>
              <w:top w:w="28" w:type="dxa"/>
              <w:left w:w="28" w:type="dxa"/>
              <w:bottom w:w="28" w:type="dxa"/>
              <w:right w:w="28" w:type="dxa"/>
            </w:tcMar>
          </w:tcPr>
          <w:p w14:paraId="464D3038"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4</w:t>
            </w:r>
          </w:p>
        </w:tc>
        <w:tc>
          <w:tcPr>
            <w:tcW w:w="3765" w:type="dxa"/>
            <w:shd w:val="clear" w:color="auto" w:fill="F3F3F3"/>
            <w:tcMar>
              <w:top w:w="28" w:type="dxa"/>
              <w:left w:w="28" w:type="dxa"/>
              <w:bottom w:w="28" w:type="dxa"/>
              <w:right w:w="28" w:type="dxa"/>
            </w:tcMar>
          </w:tcPr>
          <w:p w14:paraId="1A3FA98A"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20.98</w:t>
            </w:r>
          </w:p>
        </w:tc>
        <w:tc>
          <w:tcPr>
            <w:tcW w:w="3870" w:type="dxa"/>
            <w:shd w:val="clear" w:color="auto" w:fill="F3F3F3"/>
            <w:tcMar>
              <w:top w:w="28" w:type="dxa"/>
              <w:left w:w="28" w:type="dxa"/>
              <w:bottom w:w="28" w:type="dxa"/>
              <w:right w:w="28" w:type="dxa"/>
            </w:tcMar>
          </w:tcPr>
          <w:p w14:paraId="1757DAC4"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8.27</w:t>
            </w:r>
          </w:p>
        </w:tc>
      </w:tr>
      <w:tr w:rsidR="00683B9A" w:rsidRPr="00683B9A" w14:paraId="1CF5B143" w14:textId="77777777" w:rsidTr="007520BE">
        <w:trPr>
          <w:jc w:val="center"/>
        </w:trPr>
        <w:tc>
          <w:tcPr>
            <w:tcW w:w="1725" w:type="dxa"/>
            <w:shd w:val="clear" w:color="auto" w:fill="B6D7A8"/>
            <w:tcMar>
              <w:top w:w="28" w:type="dxa"/>
              <w:left w:w="28" w:type="dxa"/>
              <w:bottom w:w="28" w:type="dxa"/>
              <w:right w:w="28" w:type="dxa"/>
            </w:tcMar>
          </w:tcPr>
          <w:p w14:paraId="11C1EDF3"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5</w:t>
            </w:r>
          </w:p>
        </w:tc>
        <w:tc>
          <w:tcPr>
            <w:tcW w:w="3765" w:type="dxa"/>
            <w:shd w:val="clear" w:color="auto" w:fill="D9EAD3"/>
            <w:tcMar>
              <w:top w:w="28" w:type="dxa"/>
              <w:left w:w="28" w:type="dxa"/>
              <w:bottom w:w="28" w:type="dxa"/>
              <w:right w:w="28" w:type="dxa"/>
            </w:tcMar>
          </w:tcPr>
          <w:p w14:paraId="57D24331"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20.08</w:t>
            </w:r>
          </w:p>
        </w:tc>
        <w:tc>
          <w:tcPr>
            <w:tcW w:w="3870" w:type="dxa"/>
            <w:shd w:val="clear" w:color="auto" w:fill="D9EAD3"/>
            <w:tcMar>
              <w:top w:w="28" w:type="dxa"/>
              <w:left w:w="28" w:type="dxa"/>
              <w:bottom w:w="28" w:type="dxa"/>
              <w:right w:w="28" w:type="dxa"/>
            </w:tcMar>
          </w:tcPr>
          <w:p w14:paraId="38688651"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0.89</w:t>
            </w:r>
          </w:p>
        </w:tc>
      </w:tr>
      <w:tr w:rsidR="00683B9A" w:rsidRPr="00683B9A" w14:paraId="1990CABC" w14:textId="77777777" w:rsidTr="007520BE">
        <w:trPr>
          <w:jc w:val="center"/>
        </w:trPr>
        <w:tc>
          <w:tcPr>
            <w:tcW w:w="1725" w:type="dxa"/>
            <w:shd w:val="clear" w:color="auto" w:fill="B6D7A8"/>
            <w:tcMar>
              <w:top w:w="28" w:type="dxa"/>
              <w:left w:w="28" w:type="dxa"/>
              <w:bottom w:w="28" w:type="dxa"/>
              <w:right w:w="28" w:type="dxa"/>
            </w:tcMar>
          </w:tcPr>
          <w:p w14:paraId="189E1708"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11</w:t>
            </w:r>
          </w:p>
        </w:tc>
        <w:tc>
          <w:tcPr>
            <w:tcW w:w="3765" w:type="dxa"/>
            <w:shd w:val="clear" w:color="auto" w:fill="F3F3F3"/>
            <w:tcMar>
              <w:top w:w="28" w:type="dxa"/>
              <w:left w:w="28" w:type="dxa"/>
              <w:bottom w:w="28" w:type="dxa"/>
              <w:right w:w="28" w:type="dxa"/>
            </w:tcMar>
          </w:tcPr>
          <w:p w14:paraId="03E65086"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9.53</w:t>
            </w:r>
          </w:p>
        </w:tc>
        <w:tc>
          <w:tcPr>
            <w:tcW w:w="3870" w:type="dxa"/>
            <w:shd w:val="clear" w:color="auto" w:fill="F3F3F3"/>
            <w:tcMar>
              <w:top w:w="28" w:type="dxa"/>
              <w:left w:w="28" w:type="dxa"/>
              <w:bottom w:w="28" w:type="dxa"/>
              <w:right w:w="28" w:type="dxa"/>
            </w:tcMar>
          </w:tcPr>
          <w:p w14:paraId="35ABC427"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0.38</w:t>
            </w:r>
          </w:p>
        </w:tc>
      </w:tr>
      <w:tr w:rsidR="00683B9A" w:rsidRPr="00683B9A" w14:paraId="50B8AA04" w14:textId="77777777" w:rsidTr="007520BE">
        <w:trPr>
          <w:jc w:val="center"/>
        </w:trPr>
        <w:tc>
          <w:tcPr>
            <w:tcW w:w="1725" w:type="dxa"/>
            <w:shd w:val="clear" w:color="auto" w:fill="B6D7A8"/>
            <w:tcMar>
              <w:top w:w="28" w:type="dxa"/>
              <w:left w:w="28" w:type="dxa"/>
              <w:bottom w:w="28" w:type="dxa"/>
              <w:right w:w="28" w:type="dxa"/>
            </w:tcMar>
          </w:tcPr>
          <w:p w14:paraId="62BE5B79"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Tree Species</w:t>
            </w:r>
          </w:p>
        </w:tc>
        <w:tc>
          <w:tcPr>
            <w:tcW w:w="3765" w:type="dxa"/>
            <w:shd w:val="clear" w:color="auto" w:fill="D9EAD3"/>
            <w:tcMar>
              <w:top w:w="28" w:type="dxa"/>
              <w:left w:w="28" w:type="dxa"/>
              <w:bottom w:w="28" w:type="dxa"/>
              <w:right w:w="28" w:type="dxa"/>
            </w:tcMar>
          </w:tcPr>
          <w:p w14:paraId="3BC80E3E"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7.29</w:t>
            </w:r>
          </w:p>
        </w:tc>
        <w:tc>
          <w:tcPr>
            <w:tcW w:w="3870" w:type="dxa"/>
            <w:shd w:val="clear" w:color="auto" w:fill="D9EAD3"/>
            <w:tcMar>
              <w:top w:w="28" w:type="dxa"/>
              <w:left w:w="28" w:type="dxa"/>
              <w:bottom w:w="28" w:type="dxa"/>
              <w:right w:w="28" w:type="dxa"/>
            </w:tcMar>
          </w:tcPr>
          <w:p w14:paraId="04D73FD6"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8.64</w:t>
            </w:r>
          </w:p>
        </w:tc>
      </w:tr>
      <w:tr w:rsidR="00683B9A" w:rsidRPr="00683B9A" w14:paraId="54D85D46" w14:textId="77777777" w:rsidTr="007520BE">
        <w:trPr>
          <w:jc w:val="center"/>
        </w:trPr>
        <w:tc>
          <w:tcPr>
            <w:tcW w:w="1725" w:type="dxa"/>
            <w:shd w:val="clear" w:color="auto" w:fill="B6D7A8"/>
            <w:tcMar>
              <w:top w:w="28" w:type="dxa"/>
              <w:left w:w="28" w:type="dxa"/>
              <w:bottom w:w="28" w:type="dxa"/>
              <w:right w:w="28" w:type="dxa"/>
            </w:tcMar>
          </w:tcPr>
          <w:p w14:paraId="575F3AE9"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GRVI 10</w:t>
            </w:r>
          </w:p>
        </w:tc>
        <w:tc>
          <w:tcPr>
            <w:tcW w:w="3765" w:type="dxa"/>
            <w:shd w:val="clear" w:color="auto" w:fill="F3F3F3"/>
            <w:tcMar>
              <w:top w:w="28" w:type="dxa"/>
              <w:left w:w="28" w:type="dxa"/>
              <w:bottom w:w="28" w:type="dxa"/>
              <w:right w:w="28" w:type="dxa"/>
            </w:tcMar>
          </w:tcPr>
          <w:p w14:paraId="7B63E637"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7.26</w:t>
            </w:r>
          </w:p>
        </w:tc>
        <w:tc>
          <w:tcPr>
            <w:tcW w:w="3870" w:type="dxa"/>
            <w:shd w:val="clear" w:color="auto" w:fill="F3F3F3"/>
            <w:tcMar>
              <w:top w:w="28" w:type="dxa"/>
              <w:left w:w="28" w:type="dxa"/>
              <w:bottom w:w="28" w:type="dxa"/>
              <w:right w:w="28" w:type="dxa"/>
            </w:tcMar>
          </w:tcPr>
          <w:p w14:paraId="4283C98F"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8.31</w:t>
            </w:r>
          </w:p>
        </w:tc>
      </w:tr>
      <w:tr w:rsidR="00683B9A" w:rsidRPr="00683B9A" w14:paraId="0C495ACB" w14:textId="77777777" w:rsidTr="007520BE">
        <w:trPr>
          <w:jc w:val="center"/>
        </w:trPr>
        <w:tc>
          <w:tcPr>
            <w:tcW w:w="1725" w:type="dxa"/>
            <w:shd w:val="clear" w:color="auto" w:fill="B6D7A8"/>
            <w:tcMar>
              <w:top w:w="28" w:type="dxa"/>
              <w:left w:w="28" w:type="dxa"/>
              <w:bottom w:w="28" w:type="dxa"/>
              <w:right w:w="28" w:type="dxa"/>
            </w:tcMar>
          </w:tcPr>
          <w:p w14:paraId="0B7F169B"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13</w:t>
            </w:r>
          </w:p>
        </w:tc>
        <w:tc>
          <w:tcPr>
            <w:tcW w:w="3765" w:type="dxa"/>
            <w:shd w:val="clear" w:color="auto" w:fill="D9EAD3"/>
            <w:tcMar>
              <w:top w:w="28" w:type="dxa"/>
              <w:left w:w="28" w:type="dxa"/>
              <w:bottom w:w="28" w:type="dxa"/>
              <w:right w:w="28" w:type="dxa"/>
            </w:tcMar>
          </w:tcPr>
          <w:p w14:paraId="2592F96C"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5.91</w:t>
            </w:r>
          </w:p>
        </w:tc>
        <w:tc>
          <w:tcPr>
            <w:tcW w:w="3870" w:type="dxa"/>
            <w:shd w:val="clear" w:color="auto" w:fill="D9EAD3"/>
            <w:tcMar>
              <w:top w:w="28" w:type="dxa"/>
              <w:left w:w="28" w:type="dxa"/>
              <w:bottom w:w="28" w:type="dxa"/>
              <w:right w:w="28" w:type="dxa"/>
            </w:tcMar>
          </w:tcPr>
          <w:p w14:paraId="12777828"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10.50</w:t>
            </w:r>
          </w:p>
        </w:tc>
      </w:tr>
      <w:tr w:rsidR="00683B9A" w:rsidRPr="00683B9A" w14:paraId="62EFDADB" w14:textId="77777777" w:rsidTr="007520BE">
        <w:trPr>
          <w:jc w:val="center"/>
        </w:trPr>
        <w:tc>
          <w:tcPr>
            <w:tcW w:w="1725" w:type="dxa"/>
            <w:shd w:val="clear" w:color="auto" w:fill="B6D7A8"/>
            <w:tcMar>
              <w:top w:w="28" w:type="dxa"/>
              <w:left w:w="28" w:type="dxa"/>
              <w:bottom w:w="28" w:type="dxa"/>
              <w:right w:w="28" w:type="dxa"/>
            </w:tcMar>
          </w:tcPr>
          <w:p w14:paraId="752CE36D"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NDVI 10</w:t>
            </w:r>
          </w:p>
        </w:tc>
        <w:tc>
          <w:tcPr>
            <w:tcW w:w="3765" w:type="dxa"/>
            <w:shd w:val="clear" w:color="auto" w:fill="F3F3F3"/>
            <w:tcMar>
              <w:top w:w="28" w:type="dxa"/>
              <w:left w:w="28" w:type="dxa"/>
              <w:bottom w:w="28" w:type="dxa"/>
              <w:right w:w="28" w:type="dxa"/>
            </w:tcMar>
          </w:tcPr>
          <w:p w14:paraId="561DC9F4"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4.33</w:t>
            </w:r>
          </w:p>
        </w:tc>
        <w:tc>
          <w:tcPr>
            <w:tcW w:w="3870" w:type="dxa"/>
            <w:shd w:val="clear" w:color="auto" w:fill="F3F3F3"/>
            <w:tcMar>
              <w:top w:w="28" w:type="dxa"/>
              <w:left w:w="28" w:type="dxa"/>
              <w:bottom w:w="28" w:type="dxa"/>
              <w:right w:w="28" w:type="dxa"/>
            </w:tcMar>
          </w:tcPr>
          <w:p w14:paraId="4FD96B22"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4.37</w:t>
            </w:r>
          </w:p>
        </w:tc>
      </w:tr>
      <w:tr w:rsidR="00683B9A" w:rsidRPr="00683B9A" w14:paraId="10F5554E" w14:textId="77777777" w:rsidTr="007520BE">
        <w:trPr>
          <w:jc w:val="center"/>
        </w:trPr>
        <w:tc>
          <w:tcPr>
            <w:tcW w:w="1725" w:type="dxa"/>
            <w:shd w:val="clear" w:color="auto" w:fill="B6D7A8"/>
            <w:tcMar>
              <w:top w:w="28" w:type="dxa"/>
              <w:left w:w="28" w:type="dxa"/>
              <w:bottom w:w="28" w:type="dxa"/>
              <w:right w:w="28" w:type="dxa"/>
            </w:tcMar>
          </w:tcPr>
          <w:p w14:paraId="26ABE5CB"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9</w:t>
            </w:r>
          </w:p>
        </w:tc>
        <w:tc>
          <w:tcPr>
            <w:tcW w:w="3765" w:type="dxa"/>
            <w:shd w:val="clear" w:color="auto" w:fill="D9EAD3"/>
            <w:tcMar>
              <w:top w:w="28" w:type="dxa"/>
              <w:left w:w="28" w:type="dxa"/>
              <w:bottom w:w="28" w:type="dxa"/>
              <w:right w:w="28" w:type="dxa"/>
            </w:tcMar>
          </w:tcPr>
          <w:p w14:paraId="2B9B553E"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3.81</w:t>
            </w:r>
          </w:p>
        </w:tc>
        <w:tc>
          <w:tcPr>
            <w:tcW w:w="3870" w:type="dxa"/>
            <w:shd w:val="clear" w:color="auto" w:fill="D9EAD3"/>
            <w:tcMar>
              <w:top w:w="28" w:type="dxa"/>
              <w:left w:w="28" w:type="dxa"/>
              <w:bottom w:w="28" w:type="dxa"/>
              <w:right w:w="28" w:type="dxa"/>
            </w:tcMar>
          </w:tcPr>
          <w:p w14:paraId="012203B8"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0.97</w:t>
            </w:r>
          </w:p>
        </w:tc>
      </w:tr>
      <w:tr w:rsidR="00683B9A" w:rsidRPr="00683B9A" w14:paraId="0E6FF67E" w14:textId="77777777" w:rsidTr="007520BE">
        <w:trPr>
          <w:jc w:val="center"/>
        </w:trPr>
        <w:tc>
          <w:tcPr>
            <w:tcW w:w="1725" w:type="dxa"/>
            <w:shd w:val="clear" w:color="auto" w:fill="B6D7A8"/>
            <w:tcMar>
              <w:top w:w="28" w:type="dxa"/>
              <w:left w:w="28" w:type="dxa"/>
              <w:bottom w:w="28" w:type="dxa"/>
              <w:right w:w="28" w:type="dxa"/>
            </w:tcMar>
          </w:tcPr>
          <w:p w14:paraId="2ED6524D"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1</w:t>
            </w:r>
          </w:p>
        </w:tc>
        <w:tc>
          <w:tcPr>
            <w:tcW w:w="3765" w:type="dxa"/>
            <w:shd w:val="clear" w:color="auto" w:fill="F3F3F3"/>
            <w:tcMar>
              <w:top w:w="28" w:type="dxa"/>
              <w:left w:w="28" w:type="dxa"/>
              <w:bottom w:w="28" w:type="dxa"/>
              <w:right w:w="28" w:type="dxa"/>
            </w:tcMar>
          </w:tcPr>
          <w:p w14:paraId="6F202574"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3.12</w:t>
            </w:r>
          </w:p>
        </w:tc>
        <w:tc>
          <w:tcPr>
            <w:tcW w:w="3870" w:type="dxa"/>
            <w:shd w:val="clear" w:color="auto" w:fill="F3F3F3"/>
            <w:tcMar>
              <w:top w:w="28" w:type="dxa"/>
              <w:left w:w="28" w:type="dxa"/>
              <w:bottom w:w="28" w:type="dxa"/>
              <w:right w:w="28" w:type="dxa"/>
            </w:tcMar>
          </w:tcPr>
          <w:p w14:paraId="3F49D4A8"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0.48</w:t>
            </w:r>
          </w:p>
        </w:tc>
      </w:tr>
      <w:tr w:rsidR="00683B9A" w:rsidRPr="00683B9A" w14:paraId="26AAF343" w14:textId="77777777" w:rsidTr="007520BE">
        <w:trPr>
          <w:jc w:val="center"/>
        </w:trPr>
        <w:tc>
          <w:tcPr>
            <w:tcW w:w="1725" w:type="dxa"/>
            <w:shd w:val="clear" w:color="auto" w:fill="B6D7A8"/>
            <w:tcMar>
              <w:top w:w="28" w:type="dxa"/>
              <w:left w:w="28" w:type="dxa"/>
              <w:bottom w:w="28" w:type="dxa"/>
              <w:right w:w="28" w:type="dxa"/>
            </w:tcMar>
          </w:tcPr>
          <w:p w14:paraId="785001DB"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NDVI 15</w:t>
            </w:r>
          </w:p>
        </w:tc>
        <w:tc>
          <w:tcPr>
            <w:tcW w:w="3765" w:type="dxa"/>
            <w:shd w:val="clear" w:color="auto" w:fill="D9EAD3"/>
            <w:tcMar>
              <w:top w:w="28" w:type="dxa"/>
              <w:left w:w="28" w:type="dxa"/>
              <w:bottom w:w="28" w:type="dxa"/>
              <w:right w:w="28" w:type="dxa"/>
            </w:tcMar>
          </w:tcPr>
          <w:p w14:paraId="306436B4"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2.80</w:t>
            </w:r>
          </w:p>
        </w:tc>
        <w:tc>
          <w:tcPr>
            <w:tcW w:w="3870" w:type="dxa"/>
            <w:shd w:val="clear" w:color="auto" w:fill="D9EAD3"/>
            <w:tcMar>
              <w:top w:w="28" w:type="dxa"/>
              <w:left w:w="28" w:type="dxa"/>
              <w:bottom w:w="28" w:type="dxa"/>
              <w:right w:w="28" w:type="dxa"/>
            </w:tcMar>
          </w:tcPr>
          <w:p w14:paraId="0F9372E2"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4.26</w:t>
            </w:r>
          </w:p>
        </w:tc>
      </w:tr>
      <w:tr w:rsidR="00683B9A" w:rsidRPr="00683B9A" w14:paraId="39E6DC91" w14:textId="77777777" w:rsidTr="007520BE">
        <w:trPr>
          <w:jc w:val="center"/>
        </w:trPr>
        <w:tc>
          <w:tcPr>
            <w:tcW w:w="1725" w:type="dxa"/>
            <w:shd w:val="clear" w:color="auto" w:fill="B6D7A8"/>
            <w:tcMar>
              <w:top w:w="28" w:type="dxa"/>
              <w:left w:w="28" w:type="dxa"/>
              <w:bottom w:w="28" w:type="dxa"/>
              <w:right w:w="28" w:type="dxa"/>
            </w:tcMar>
          </w:tcPr>
          <w:p w14:paraId="07431CCC"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18</w:t>
            </w:r>
          </w:p>
        </w:tc>
        <w:tc>
          <w:tcPr>
            <w:tcW w:w="3765" w:type="dxa"/>
            <w:shd w:val="clear" w:color="auto" w:fill="F3F3F3"/>
            <w:tcMar>
              <w:top w:w="28" w:type="dxa"/>
              <w:left w:w="28" w:type="dxa"/>
              <w:bottom w:w="28" w:type="dxa"/>
              <w:right w:w="28" w:type="dxa"/>
            </w:tcMar>
          </w:tcPr>
          <w:p w14:paraId="34B46E37"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2.50</w:t>
            </w:r>
          </w:p>
        </w:tc>
        <w:tc>
          <w:tcPr>
            <w:tcW w:w="3870" w:type="dxa"/>
            <w:shd w:val="clear" w:color="auto" w:fill="F3F3F3"/>
            <w:tcMar>
              <w:top w:w="28" w:type="dxa"/>
              <w:left w:w="28" w:type="dxa"/>
              <w:bottom w:w="28" w:type="dxa"/>
              <w:right w:w="28" w:type="dxa"/>
            </w:tcMar>
          </w:tcPr>
          <w:p w14:paraId="08F4FEFD"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4.11</w:t>
            </w:r>
          </w:p>
        </w:tc>
      </w:tr>
      <w:tr w:rsidR="00683B9A" w:rsidRPr="00683B9A" w14:paraId="560438F1" w14:textId="77777777" w:rsidTr="007520BE">
        <w:trPr>
          <w:jc w:val="center"/>
        </w:trPr>
        <w:tc>
          <w:tcPr>
            <w:tcW w:w="1725" w:type="dxa"/>
            <w:shd w:val="clear" w:color="auto" w:fill="B6D7A8"/>
            <w:tcMar>
              <w:top w:w="28" w:type="dxa"/>
              <w:left w:w="28" w:type="dxa"/>
              <w:bottom w:w="28" w:type="dxa"/>
              <w:right w:w="28" w:type="dxa"/>
            </w:tcMar>
          </w:tcPr>
          <w:p w14:paraId="68A88A67"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7</w:t>
            </w:r>
          </w:p>
        </w:tc>
        <w:tc>
          <w:tcPr>
            <w:tcW w:w="3765" w:type="dxa"/>
            <w:shd w:val="clear" w:color="auto" w:fill="D9EAD3"/>
            <w:tcMar>
              <w:top w:w="28" w:type="dxa"/>
              <w:left w:w="28" w:type="dxa"/>
              <w:bottom w:w="28" w:type="dxa"/>
              <w:right w:w="28" w:type="dxa"/>
            </w:tcMar>
          </w:tcPr>
          <w:p w14:paraId="24D2888E"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1.88</w:t>
            </w:r>
          </w:p>
        </w:tc>
        <w:tc>
          <w:tcPr>
            <w:tcW w:w="3870" w:type="dxa"/>
            <w:shd w:val="clear" w:color="auto" w:fill="D9EAD3"/>
            <w:tcMar>
              <w:top w:w="28" w:type="dxa"/>
              <w:left w:w="28" w:type="dxa"/>
              <w:bottom w:w="28" w:type="dxa"/>
              <w:right w:w="28" w:type="dxa"/>
            </w:tcMar>
          </w:tcPr>
          <w:p w14:paraId="3BCD8215"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12.45</w:t>
            </w:r>
          </w:p>
        </w:tc>
      </w:tr>
      <w:tr w:rsidR="00683B9A" w:rsidRPr="00683B9A" w14:paraId="09865DD4" w14:textId="77777777" w:rsidTr="007520BE">
        <w:trPr>
          <w:jc w:val="center"/>
        </w:trPr>
        <w:tc>
          <w:tcPr>
            <w:tcW w:w="1725" w:type="dxa"/>
            <w:shd w:val="clear" w:color="auto" w:fill="B6D7A8"/>
            <w:tcMar>
              <w:top w:w="28" w:type="dxa"/>
              <w:left w:w="28" w:type="dxa"/>
              <w:bottom w:w="28" w:type="dxa"/>
              <w:right w:w="28" w:type="dxa"/>
            </w:tcMar>
          </w:tcPr>
          <w:p w14:paraId="7B09632B"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Elevation</w:t>
            </w:r>
          </w:p>
        </w:tc>
        <w:tc>
          <w:tcPr>
            <w:tcW w:w="3765" w:type="dxa"/>
            <w:shd w:val="clear" w:color="auto" w:fill="F3F3F3"/>
            <w:tcMar>
              <w:top w:w="28" w:type="dxa"/>
              <w:left w:w="28" w:type="dxa"/>
              <w:bottom w:w="28" w:type="dxa"/>
              <w:right w:w="28" w:type="dxa"/>
            </w:tcMar>
          </w:tcPr>
          <w:p w14:paraId="322E5EDC"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1.57</w:t>
            </w:r>
          </w:p>
        </w:tc>
        <w:tc>
          <w:tcPr>
            <w:tcW w:w="3870" w:type="dxa"/>
            <w:shd w:val="clear" w:color="auto" w:fill="F3F3F3"/>
            <w:tcMar>
              <w:top w:w="28" w:type="dxa"/>
              <w:left w:w="28" w:type="dxa"/>
              <w:bottom w:w="28" w:type="dxa"/>
              <w:right w:w="28" w:type="dxa"/>
            </w:tcMar>
          </w:tcPr>
          <w:p w14:paraId="37F9E9AD"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0.65</w:t>
            </w:r>
          </w:p>
        </w:tc>
      </w:tr>
      <w:tr w:rsidR="00683B9A" w:rsidRPr="00683B9A" w14:paraId="002A7D21" w14:textId="77777777" w:rsidTr="007520BE">
        <w:trPr>
          <w:jc w:val="center"/>
        </w:trPr>
        <w:tc>
          <w:tcPr>
            <w:tcW w:w="1725" w:type="dxa"/>
            <w:shd w:val="clear" w:color="auto" w:fill="B6D7A8"/>
            <w:tcMar>
              <w:top w:w="28" w:type="dxa"/>
              <w:left w:w="28" w:type="dxa"/>
              <w:bottom w:w="28" w:type="dxa"/>
              <w:right w:w="28" w:type="dxa"/>
            </w:tcMar>
          </w:tcPr>
          <w:p w14:paraId="02CA488A"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10</w:t>
            </w:r>
          </w:p>
        </w:tc>
        <w:tc>
          <w:tcPr>
            <w:tcW w:w="3765" w:type="dxa"/>
            <w:shd w:val="clear" w:color="auto" w:fill="D9EAD3"/>
            <w:tcMar>
              <w:top w:w="28" w:type="dxa"/>
              <w:left w:w="28" w:type="dxa"/>
              <w:bottom w:w="28" w:type="dxa"/>
              <w:right w:w="28" w:type="dxa"/>
            </w:tcMar>
          </w:tcPr>
          <w:p w14:paraId="254D844A"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1.44</w:t>
            </w:r>
          </w:p>
        </w:tc>
        <w:tc>
          <w:tcPr>
            <w:tcW w:w="3870" w:type="dxa"/>
            <w:shd w:val="clear" w:color="auto" w:fill="D9EAD3"/>
            <w:tcMar>
              <w:top w:w="28" w:type="dxa"/>
              <w:left w:w="28" w:type="dxa"/>
              <w:bottom w:w="28" w:type="dxa"/>
              <w:right w:w="28" w:type="dxa"/>
            </w:tcMar>
          </w:tcPr>
          <w:p w14:paraId="29D8E088"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9.86</w:t>
            </w:r>
          </w:p>
        </w:tc>
      </w:tr>
      <w:tr w:rsidR="00683B9A" w:rsidRPr="00683B9A" w14:paraId="708BFAD5" w14:textId="77777777" w:rsidTr="007520BE">
        <w:trPr>
          <w:jc w:val="center"/>
        </w:trPr>
        <w:tc>
          <w:tcPr>
            <w:tcW w:w="1725" w:type="dxa"/>
            <w:shd w:val="clear" w:color="auto" w:fill="B6D7A8"/>
            <w:tcMar>
              <w:top w:w="28" w:type="dxa"/>
              <w:left w:w="28" w:type="dxa"/>
              <w:bottom w:w="28" w:type="dxa"/>
              <w:right w:w="28" w:type="dxa"/>
            </w:tcMar>
          </w:tcPr>
          <w:p w14:paraId="790F058B"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3</w:t>
            </w:r>
          </w:p>
        </w:tc>
        <w:tc>
          <w:tcPr>
            <w:tcW w:w="3765" w:type="dxa"/>
            <w:shd w:val="clear" w:color="auto" w:fill="F3F3F3"/>
            <w:tcMar>
              <w:top w:w="28" w:type="dxa"/>
              <w:left w:w="28" w:type="dxa"/>
              <w:bottom w:w="28" w:type="dxa"/>
              <w:right w:w="28" w:type="dxa"/>
            </w:tcMar>
          </w:tcPr>
          <w:p w14:paraId="5054AC4B"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1.44</w:t>
            </w:r>
          </w:p>
        </w:tc>
        <w:tc>
          <w:tcPr>
            <w:tcW w:w="3870" w:type="dxa"/>
            <w:shd w:val="clear" w:color="auto" w:fill="F3F3F3"/>
            <w:tcMar>
              <w:top w:w="28" w:type="dxa"/>
              <w:left w:w="28" w:type="dxa"/>
              <w:bottom w:w="28" w:type="dxa"/>
              <w:right w:w="28" w:type="dxa"/>
            </w:tcMar>
          </w:tcPr>
          <w:p w14:paraId="5B6298C7"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1.94</w:t>
            </w:r>
          </w:p>
        </w:tc>
      </w:tr>
      <w:tr w:rsidR="00683B9A" w:rsidRPr="00683B9A" w14:paraId="57388F27" w14:textId="77777777" w:rsidTr="007520BE">
        <w:trPr>
          <w:jc w:val="center"/>
        </w:trPr>
        <w:tc>
          <w:tcPr>
            <w:tcW w:w="1725" w:type="dxa"/>
            <w:shd w:val="clear" w:color="auto" w:fill="B6D7A8"/>
            <w:tcMar>
              <w:top w:w="28" w:type="dxa"/>
              <w:left w:w="28" w:type="dxa"/>
              <w:bottom w:w="28" w:type="dxa"/>
              <w:right w:w="28" w:type="dxa"/>
            </w:tcMar>
          </w:tcPr>
          <w:p w14:paraId="4522B6D6"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lastRenderedPageBreak/>
              <w:t>Bio 8</w:t>
            </w:r>
          </w:p>
        </w:tc>
        <w:tc>
          <w:tcPr>
            <w:tcW w:w="3765" w:type="dxa"/>
            <w:shd w:val="clear" w:color="auto" w:fill="D9EAD3"/>
            <w:tcMar>
              <w:top w:w="28" w:type="dxa"/>
              <w:left w:w="28" w:type="dxa"/>
              <w:bottom w:w="28" w:type="dxa"/>
              <w:right w:w="28" w:type="dxa"/>
            </w:tcMar>
          </w:tcPr>
          <w:p w14:paraId="5FCD1A83"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1.38</w:t>
            </w:r>
          </w:p>
        </w:tc>
        <w:tc>
          <w:tcPr>
            <w:tcW w:w="3870" w:type="dxa"/>
            <w:shd w:val="clear" w:color="auto" w:fill="D9EAD3"/>
            <w:tcMar>
              <w:top w:w="28" w:type="dxa"/>
              <w:left w:w="28" w:type="dxa"/>
              <w:bottom w:w="28" w:type="dxa"/>
              <w:right w:w="28" w:type="dxa"/>
            </w:tcMar>
          </w:tcPr>
          <w:p w14:paraId="5A7F0D92"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4.00</w:t>
            </w:r>
          </w:p>
        </w:tc>
      </w:tr>
      <w:tr w:rsidR="00683B9A" w:rsidRPr="00683B9A" w14:paraId="7D5CAAB3" w14:textId="77777777" w:rsidTr="007520BE">
        <w:trPr>
          <w:jc w:val="center"/>
        </w:trPr>
        <w:tc>
          <w:tcPr>
            <w:tcW w:w="1725" w:type="dxa"/>
            <w:shd w:val="clear" w:color="auto" w:fill="B6D7A8"/>
            <w:tcMar>
              <w:top w:w="28" w:type="dxa"/>
              <w:left w:w="28" w:type="dxa"/>
              <w:bottom w:w="28" w:type="dxa"/>
              <w:right w:w="28" w:type="dxa"/>
            </w:tcMar>
          </w:tcPr>
          <w:p w14:paraId="2FD8A156"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17</w:t>
            </w:r>
          </w:p>
        </w:tc>
        <w:tc>
          <w:tcPr>
            <w:tcW w:w="3765" w:type="dxa"/>
            <w:shd w:val="clear" w:color="auto" w:fill="F3F3F3"/>
            <w:tcMar>
              <w:top w:w="28" w:type="dxa"/>
              <w:left w:w="28" w:type="dxa"/>
              <w:bottom w:w="28" w:type="dxa"/>
              <w:right w:w="28" w:type="dxa"/>
            </w:tcMar>
          </w:tcPr>
          <w:p w14:paraId="24B235BD"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0.87</w:t>
            </w:r>
          </w:p>
        </w:tc>
        <w:tc>
          <w:tcPr>
            <w:tcW w:w="3870" w:type="dxa"/>
            <w:shd w:val="clear" w:color="auto" w:fill="F3F3F3"/>
            <w:tcMar>
              <w:top w:w="28" w:type="dxa"/>
              <w:left w:w="28" w:type="dxa"/>
              <w:bottom w:w="28" w:type="dxa"/>
              <w:right w:w="28" w:type="dxa"/>
            </w:tcMar>
          </w:tcPr>
          <w:p w14:paraId="63C450CD"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2.27</w:t>
            </w:r>
          </w:p>
        </w:tc>
      </w:tr>
      <w:tr w:rsidR="00683B9A" w:rsidRPr="00683B9A" w14:paraId="732E0F1E" w14:textId="77777777" w:rsidTr="007520BE">
        <w:trPr>
          <w:jc w:val="center"/>
        </w:trPr>
        <w:tc>
          <w:tcPr>
            <w:tcW w:w="1725" w:type="dxa"/>
            <w:shd w:val="clear" w:color="auto" w:fill="B6D7A8"/>
            <w:tcMar>
              <w:top w:w="28" w:type="dxa"/>
              <w:left w:w="28" w:type="dxa"/>
              <w:bottom w:w="28" w:type="dxa"/>
              <w:right w:w="28" w:type="dxa"/>
            </w:tcMar>
          </w:tcPr>
          <w:p w14:paraId="670D9A3F"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2</w:t>
            </w:r>
          </w:p>
        </w:tc>
        <w:tc>
          <w:tcPr>
            <w:tcW w:w="3765" w:type="dxa"/>
            <w:shd w:val="clear" w:color="auto" w:fill="D9EAD3"/>
            <w:tcMar>
              <w:top w:w="28" w:type="dxa"/>
              <w:left w:w="28" w:type="dxa"/>
              <w:bottom w:w="28" w:type="dxa"/>
              <w:right w:w="28" w:type="dxa"/>
            </w:tcMar>
          </w:tcPr>
          <w:p w14:paraId="0FE36198"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0.85</w:t>
            </w:r>
          </w:p>
        </w:tc>
        <w:tc>
          <w:tcPr>
            <w:tcW w:w="3870" w:type="dxa"/>
            <w:shd w:val="clear" w:color="auto" w:fill="D9EAD3"/>
            <w:tcMar>
              <w:top w:w="28" w:type="dxa"/>
              <w:left w:w="28" w:type="dxa"/>
              <w:bottom w:w="28" w:type="dxa"/>
              <w:right w:w="28" w:type="dxa"/>
            </w:tcMar>
          </w:tcPr>
          <w:p w14:paraId="2123BD9E"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4.58</w:t>
            </w:r>
          </w:p>
        </w:tc>
      </w:tr>
      <w:tr w:rsidR="00683B9A" w:rsidRPr="00683B9A" w14:paraId="2ADE6267" w14:textId="77777777" w:rsidTr="007520BE">
        <w:trPr>
          <w:jc w:val="center"/>
        </w:trPr>
        <w:tc>
          <w:tcPr>
            <w:tcW w:w="1725" w:type="dxa"/>
            <w:shd w:val="clear" w:color="auto" w:fill="B6D7A8"/>
            <w:tcMar>
              <w:top w:w="28" w:type="dxa"/>
              <w:left w:w="28" w:type="dxa"/>
              <w:bottom w:w="28" w:type="dxa"/>
              <w:right w:w="28" w:type="dxa"/>
            </w:tcMar>
          </w:tcPr>
          <w:p w14:paraId="4906DEFE"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15</w:t>
            </w:r>
          </w:p>
        </w:tc>
        <w:tc>
          <w:tcPr>
            <w:tcW w:w="3765" w:type="dxa"/>
            <w:shd w:val="clear" w:color="auto" w:fill="F3F3F3"/>
            <w:tcMar>
              <w:top w:w="28" w:type="dxa"/>
              <w:left w:w="28" w:type="dxa"/>
              <w:bottom w:w="28" w:type="dxa"/>
              <w:right w:w="28" w:type="dxa"/>
            </w:tcMar>
          </w:tcPr>
          <w:p w14:paraId="27A5A219"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0.70</w:t>
            </w:r>
          </w:p>
        </w:tc>
        <w:tc>
          <w:tcPr>
            <w:tcW w:w="3870" w:type="dxa"/>
            <w:shd w:val="clear" w:color="auto" w:fill="F3F3F3"/>
            <w:tcMar>
              <w:top w:w="28" w:type="dxa"/>
              <w:left w:w="28" w:type="dxa"/>
              <w:bottom w:w="28" w:type="dxa"/>
              <w:right w:w="28" w:type="dxa"/>
            </w:tcMar>
          </w:tcPr>
          <w:p w14:paraId="18485B2C"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1.18</w:t>
            </w:r>
          </w:p>
        </w:tc>
      </w:tr>
      <w:tr w:rsidR="00683B9A" w:rsidRPr="00683B9A" w14:paraId="6E9AD025" w14:textId="77777777" w:rsidTr="007520BE">
        <w:trPr>
          <w:jc w:val="center"/>
        </w:trPr>
        <w:tc>
          <w:tcPr>
            <w:tcW w:w="1725" w:type="dxa"/>
            <w:shd w:val="clear" w:color="auto" w:fill="B6D7A8"/>
            <w:tcMar>
              <w:top w:w="28" w:type="dxa"/>
              <w:left w:w="28" w:type="dxa"/>
              <w:bottom w:w="28" w:type="dxa"/>
              <w:right w:w="28" w:type="dxa"/>
            </w:tcMar>
          </w:tcPr>
          <w:p w14:paraId="3071E4D5"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14</w:t>
            </w:r>
          </w:p>
        </w:tc>
        <w:tc>
          <w:tcPr>
            <w:tcW w:w="3765" w:type="dxa"/>
            <w:shd w:val="clear" w:color="auto" w:fill="D9EAD3"/>
            <w:tcMar>
              <w:top w:w="28" w:type="dxa"/>
              <w:left w:w="28" w:type="dxa"/>
              <w:bottom w:w="28" w:type="dxa"/>
              <w:right w:w="28" w:type="dxa"/>
            </w:tcMar>
          </w:tcPr>
          <w:p w14:paraId="1C6489EF"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0.69</w:t>
            </w:r>
          </w:p>
        </w:tc>
        <w:tc>
          <w:tcPr>
            <w:tcW w:w="3870" w:type="dxa"/>
            <w:shd w:val="clear" w:color="auto" w:fill="D9EAD3"/>
            <w:tcMar>
              <w:top w:w="28" w:type="dxa"/>
              <w:left w:w="28" w:type="dxa"/>
              <w:bottom w:w="28" w:type="dxa"/>
              <w:right w:w="28" w:type="dxa"/>
            </w:tcMar>
          </w:tcPr>
          <w:p w14:paraId="580C6566"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3.61</w:t>
            </w:r>
          </w:p>
        </w:tc>
      </w:tr>
      <w:tr w:rsidR="00683B9A" w:rsidRPr="00683B9A" w14:paraId="53B25F35" w14:textId="77777777" w:rsidTr="007520BE">
        <w:trPr>
          <w:jc w:val="center"/>
        </w:trPr>
        <w:tc>
          <w:tcPr>
            <w:tcW w:w="1725" w:type="dxa"/>
            <w:shd w:val="clear" w:color="auto" w:fill="B6D7A8"/>
            <w:tcMar>
              <w:top w:w="28" w:type="dxa"/>
              <w:left w:w="28" w:type="dxa"/>
              <w:bottom w:w="28" w:type="dxa"/>
              <w:right w:w="28" w:type="dxa"/>
            </w:tcMar>
          </w:tcPr>
          <w:p w14:paraId="44301054"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6</w:t>
            </w:r>
          </w:p>
        </w:tc>
        <w:tc>
          <w:tcPr>
            <w:tcW w:w="3765" w:type="dxa"/>
            <w:shd w:val="clear" w:color="auto" w:fill="F3F3F3"/>
            <w:tcMar>
              <w:top w:w="28" w:type="dxa"/>
              <w:left w:w="28" w:type="dxa"/>
              <w:bottom w:w="28" w:type="dxa"/>
              <w:right w:w="28" w:type="dxa"/>
            </w:tcMar>
          </w:tcPr>
          <w:p w14:paraId="02EF4E25"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0.65</w:t>
            </w:r>
          </w:p>
        </w:tc>
        <w:tc>
          <w:tcPr>
            <w:tcW w:w="3870" w:type="dxa"/>
            <w:shd w:val="clear" w:color="auto" w:fill="F3F3F3"/>
            <w:tcMar>
              <w:top w:w="28" w:type="dxa"/>
              <w:left w:w="28" w:type="dxa"/>
              <w:bottom w:w="28" w:type="dxa"/>
              <w:right w:w="28" w:type="dxa"/>
            </w:tcMar>
          </w:tcPr>
          <w:p w14:paraId="31959CF0"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1.18</w:t>
            </w:r>
          </w:p>
        </w:tc>
      </w:tr>
      <w:tr w:rsidR="00683B9A" w:rsidRPr="00683B9A" w14:paraId="38354B8B" w14:textId="77777777" w:rsidTr="007520BE">
        <w:trPr>
          <w:jc w:val="center"/>
        </w:trPr>
        <w:tc>
          <w:tcPr>
            <w:tcW w:w="1725" w:type="dxa"/>
            <w:shd w:val="clear" w:color="auto" w:fill="B6D7A8"/>
            <w:tcMar>
              <w:top w:w="28" w:type="dxa"/>
              <w:left w:w="28" w:type="dxa"/>
              <w:bottom w:w="28" w:type="dxa"/>
              <w:right w:w="28" w:type="dxa"/>
            </w:tcMar>
          </w:tcPr>
          <w:p w14:paraId="7CFB51B0"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19</w:t>
            </w:r>
          </w:p>
        </w:tc>
        <w:tc>
          <w:tcPr>
            <w:tcW w:w="3765" w:type="dxa"/>
            <w:shd w:val="clear" w:color="auto" w:fill="D9EAD3"/>
            <w:tcMar>
              <w:top w:w="28" w:type="dxa"/>
              <w:left w:w="28" w:type="dxa"/>
              <w:bottom w:w="28" w:type="dxa"/>
              <w:right w:w="28" w:type="dxa"/>
            </w:tcMar>
          </w:tcPr>
          <w:p w14:paraId="5079BA2F"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0.43</w:t>
            </w:r>
          </w:p>
        </w:tc>
        <w:tc>
          <w:tcPr>
            <w:tcW w:w="3870" w:type="dxa"/>
            <w:shd w:val="clear" w:color="auto" w:fill="D9EAD3"/>
            <w:tcMar>
              <w:top w:w="28" w:type="dxa"/>
              <w:left w:w="28" w:type="dxa"/>
              <w:bottom w:w="28" w:type="dxa"/>
              <w:right w:w="28" w:type="dxa"/>
            </w:tcMar>
          </w:tcPr>
          <w:p w14:paraId="68E8709E"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4.80</w:t>
            </w:r>
          </w:p>
        </w:tc>
      </w:tr>
      <w:tr w:rsidR="00683B9A" w:rsidRPr="00683B9A" w14:paraId="2F63EF7F" w14:textId="77777777" w:rsidTr="007520BE">
        <w:trPr>
          <w:jc w:val="center"/>
        </w:trPr>
        <w:tc>
          <w:tcPr>
            <w:tcW w:w="1725" w:type="dxa"/>
            <w:shd w:val="clear" w:color="auto" w:fill="B6D7A8"/>
            <w:tcMar>
              <w:top w:w="28" w:type="dxa"/>
              <w:left w:w="28" w:type="dxa"/>
              <w:bottom w:w="28" w:type="dxa"/>
              <w:right w:w="28" w:type="dxa"/>
            </w:tcMar>
          </w:tcPr>
          <w:p w14:paraId="6F9FEDC8"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12</w:t>
            </w:r>
          </w:p>
        </w:tc>
        <w:tc>
          <w:tcPr>
            <w:tcW w:w="3765" w:type="dxa"/>
            <w:shd w:val="clear" w:color="auto" w:fill="F3F3F3"/>
            <w:tcMar>
              <w:top w:w="28" w:type="dxa"/>
              <w:left w:w="28" w:type="dxa"/>
              <w:bottom w:w="28" w:type="dxa"/>
              <w:right w:w="28" w:type="dxa"/>
            </w:tcMar>
          </w:tcPr>
          <w:p w14:paraId="65720D23"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0.28</w:t>
            </w:r>
          </w:p>
        </w:tc>
        <w:tc>
          <w:tcPr>
            <w:tcW w:w="3870" w:type="dxa"/>
            <w:shd w:val="clear" w:color="auto" w:fill="F3F3F3"/>
            <w:tcMar>
              <w:top w:w="28" w:type="dxa"/>
              <w:left w:w="28" w:type="dxa"/>
              <w:bottom w:w="28" w:type="dxa"/>
              <w:right w:w="28" w:type="dxa"/>
            </w:tcMar>
          </w:tcPr>
          <w:p w14:paraId="636EDEBD"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1.76</w:t>
            </w:r>
          </w:p>
        </w:tc>
      </w:tr>
      <w:tr w:rsidR="00683B9A" w:rsidRPr="00683B9A" w14:paraId="0FAA3D14" w14:textId="77777777" w:rsidTr="007520BE">
        <w:trPr>
          <w:jc w:val="center"/>
        </w:trPr>
        <w:tc>
          <w:tcPr>
            <w:tcW w:w="1725" w:type="dxa"/>
            <w:shd w:val="clear" w:color="auto" w:fill="B6D7A8"/>
            <w:tcMar>
              <w:top w:w="28" w:type="dxa"/>
              <w:left w:w="28" w:type="dxa"/>
              <w:bottom w:w="28" w:type="dxa"/>
              <w:right w:w="28" w:type="dxa"/>
            </w:tcMar>
          </w:tcPr>
          <w:p w14:paraId="27E7B820"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Slope</w:t>
            </w:r>
          </w:p>
        </w:tc>
        <w:tc>
          <w:tcPr>
            <w:tcW w:w="3765" w:type="dxa"/>
            <w:shd w:val="clear" w:color="auto" w:fill="D9EAD3"/>
            <w:tcMar>
              <w:top w:w="28" w:type="dxa"/>
              <w:left w:w="28" w:type="dxa"/>
              <w:bottom w:w="28" w:type="dxa"/>
              <w:right w:w="28" w:type="dxa"/>
            </w:tcMar>
          </w:tcPr>
          <w:p w14:paraId="7F8F670F"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0.10</w:t>
            </w:r>
          </w:p>
        </w:tc>
        <w:tc>
          <w:tcPr>
            <w:tcW w:w="3870" w:type="dxa"/>
            <w:shd w:val="clear" w:color="auto" w:fill="D9EAD3"/>
            <w:tcMar>
              <w:top w:w="28" w:type="dxa"/>
              <w:left w:w="28" w:type="dxa"/>
              <w:bottom w:w="28" w:type="dxa"/>
              <w:right w:w="28" w:type="dxa"/>
            </w:tcMar>
          </w:tcPr>
          <w:p w14:paraId="3B719692"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0.13</w:t>
            </w:r>
          </w:p>
        </w:tc>
      </w:tr>
      <w:tr w:rsidR="00683B9A" w:rsidRPr="00683B9A" w14:paraId="7EFE620D" w14:textId="77777777" w:rsidTr="007520BE">
        <w:trPr>
          <w:jc w:val="center"/>
        </w:trPr>
        <w:tc>
          <w:tcPr>
            <w:tcW w:w="1725" w:type="dxa"/>
            <w:shd w:val="clear" w:color="auto" w:fill="B6D7A8"/>
            <w:tcMar>
              <w:top w:w="28" w:type="dxa"/>
              <w:left w:w="28" w:type="dxa"/>
              <w:bottom w:w="28" w:type="dxa"/>
              <w:right w:w="28" w:type="dxa"/>
            </w:tcMar>
          </w:tcPr>
          <w:p w14:paraId="10F5DA2C"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GRVI 15</w:t>
            </w:r>
          </w:p>
        </w:tc>
        <w:tc>
          <w:tcPr>
            <w:tcW w:w="3765" w:type="dxa"/>
            <w:shd w:val="clear" w:color="auto" w:fill="F3F3F3"/>
            <w:tcMar>
              <w:top w:w="28" w:type="dxa"/>
              <w:left w:w="28" w:type="dxa"/>
              <w:bottom w:w="28" w:type="dxa"/>
              <w:right w:w="28" w:type="dxa"/>
            </w:tcMar>
          </w:tcPr>
          <w:p w14:paraId="42BF7C69"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0.09</w:t>
            </w:r>
          </w:p>
        </w:tc>
        <w:tc>
          <w:tcPr>
            <w:tcW w:w="3870" w:type="dxa"/>
            <w:shd w:val="clear" w:color="auto" w:fill="F3F3F3"/>
            <w:tcMar>
              <w:top w:w="28" w:type="dxa"/>
              <w:left w:w="28" w:type="dxa"/>
              <w:bottom w:w="28" w:type="dxa"/>
              <w:right w:w="28" w:type="dxa"/>
            </w:tcMar>
          </w:tcPr>
          <w:p w14:paraId="4714AB59"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0.25</w:t>
            </w:r>
          </w:p>
        </w:tc>
      </w:tr>
      <w:tr w:rsidR="00683B9A" w:rsidRPr="00683B9A" w14:paraId="1E2E8841" w14:textId="77777777" w:rsidTr="007520BE">
        <w:trPr>
          <w:jc w:val="center"/>
        </w:trPr>
        <w:tc>
          <w:tcPr>
            <w:tcW w:w="1725" w:type="dxa"/>
            <w:shd w:val="clear" w:color="auto" w:fill="B6D7A8"/>
            <w:tcMar>
              <w:top w:w="28" w:type="dxa"/>
              <w:left w:w="28" w:type="dxa"/>
              <w:bottom w:w="28" w:type="dxa"/>
              <w:right w:w="28" w:type="dxa"/>
            </w:tcMar>
          </w:tcPr>
          <w:p w14:paraId="00047C12"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Bio16</w:t>
            </w:r>
          </w:p>
        </w:tc>
        <w:tc>
          <w:tcPr>
            <w:tcW w:w="3765" w:type="dxa"/>
            <w:shd w:val="clear" w:color="auto" w:fill="D9EAD3"/>
            <w:tcMar>
              <w:top w:w="28" w:type="dxa"/>
              <w:left w:w="28" w:type="dxa"/>
              <w:bottom w:w="28" w:type="dxa"/>
              <w:right w:w="28" w:type="dxa"/>
            </w:tcMar>
          </w:tcPr>
          <w:p w14:paraId="47186F04"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0.06</w:t>
            </w:r>
          </w:p>
        </w:tc>
        <w:tc>
          <w:tcPr>
            <w:tcW w:w="3870" w:type="dxa"/>
            <w:shd w:val="clear" w:color="auto" w:fill="D9EAD3"/>
            <w:tcMar>
              <w:top w:w="28" w:type="dxa"/>
              <w:left w:w="28" w:type="dxa"/>
              <w:bottom w:w="28" w:type="dxa"/>
              <w:right w:w="28" w:type="dxa"/>
            </w:tcMar>
          </w:tcPr>
          <w:p w14:paraId="0F67DA4D"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0.58</w:t>
            </w:r>
          </w:p>
        </w:tc>
      </w:tr>
    </w:tbl>
    <w:p w14:paraId="15762D8F" w14:textId="77777777" w:rsidR="00427E10" w:rsidRDefault="00427E10" w:rsidP="00A23843">
      <w:pPr>
        <w:spacing w:after="0" w:line="240" w:lineRule="auto"/>
        <w:rPr>
          <w:rFonts w:ascii="Century Gothic" w:hAnsi="Century Gothic"/>
          <w:b/>
          <w:szCs w:val="24"/>
        </w:rPr>
      </w:pPr>
    </w:p>
    <w:p w14:paraId="53F0171A" w14:textId="22007668" w:rsidR="00427E10" w:rsidRDefault="00427E10" w:rsidP="00427E10">
      <w:pPr>
        <w:keepNext/>
        <w:spacing w:after="0" w:line="240" w:lineRule="auto"/>
        <w:jc w:val="center"/>
      </w:pPr>
    </w:p>
    <w:p w14:paraId="24C0C3B6" w14:textId="77777777" w:rsidR="00A23843" w:rsidRDefault="00683B9A" w:rsidP="00A23843">
      <w:pPr>
        <w:keepNext/>
        <w:spacing w:after="0" w:line="240" w:lineRule="auto"/>
        <w:jc w:val="center"/>
      </w:pPr>
      <w:r>
        <w:rPr>
          <w:noProof/>
        </w:rPr>
        <w:drawing>
          <wp:inline distT="114300" distB="114300" distL="114300" distR="114300" wp14:anchorId="62CCD9A4" wp14:editId="5880F83F">
            <wp:extent cx="1828800" cy="3011424"/>
            <wp:effectExtent l="0" t="0" r="0" b="0"/>
            <wp:docPr id="7" name="image11.jpg" descr="SPB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g" descr="SPB2011.jpg"/>
                    <pic:cNvPicPr preferRelativeResize="0"/>
                  </pic:nvPicPr>
                  <pic:blipFill>
                    <a:blip r:embed="rId17"/>
                    <a:srcRect/>
                    <a:stretch>
                      <a:fillRect/>
                    </a:stretch>
                  </pic:blipFill>
                  <pic:spPr>
                    <a:xfrm>
                      <a:off x="0" y="0"/>
                      <a:ext cx="1828800" cy="3011424"/>
                    </a:xfrm>
                    <a:prstGeom prst="rect">
                      <a:avLst/>
                    </a:prstGeom>
                    <a:ln/>
                  </pic:spPr>
                </pic:pic>
              </a:graphicData>
            </a:graphic>
          </wp:inline>
        </w:drawing>
      </w:r>
    </w:p>
    <w:p w14:paraId="50B6B3DC" w14:textId="1B332759" w:rsidR="00427E10" w:rsidRPr="00A23843" w:rsidRDefault="00A23843" w:rsidP="00A23843">
      <w:pPr>
        <w:pStyle w:val="Caption"/>
        <w:jc w:val="center"/>
        <w:rPr>
          <w:rFonts w:ascii="Century Gothic" w:hAnsi="Century Gothic"/>
          <w:color w:val="auto"/>
        </w:rPr>
      </w:pPr>
      <w:r w:rsidRPr="00A23843">
        <w:rPr>
          <w:rFonts w:ascii="Century Gothic" w:hAnsi="Century Gothic"/>
          <w:color w:val="auto"/>
        </w:rPr>
        <w:t xml:space="preserve">Figure </w:t>
      </w:r>
      <w:r w:rsidRPr="00A23843">
        <w:rPr>
          <w:rFonts w:ascii="Century Gothic" w:hAnsi="Century Gothic"/>
          <w:color w:val="auto"/>
        </w:rPr>
        <w:fldChar w:fldCharType="begin"/>
      </w:r>
      <w:r w:rsidRPr="00A23843">
        <w:rPr>
          <w:rFonts w:ascii="Century Gothic" w:hAnsi="Century Gothic"/>
          <w:color w:val="auto"/>
        </w:rPr>
        <w:instrText xml:space="preserve"> SEQ Figure \* ARABIC </w:instrText>
      </w:r>
      <w:r w:rsidRPr="00A23843">
        <w:rPr>
          <w:rFonts w:ascii="Century Gothic" w:hAnsi="Century Gothic"/>
          <w:color w:val="auto"/>
        </w:rPr>
        <w:fldChar w:fldCharType="separate"/>
      </w:r>
      <w:r>
        <w:rPr>
          <w:rFonts w:ascii="Century Gothic" w:hAnsi="Century Gothic"/>
          <w:noProof/>
          <w:color w:val="auto"/>
        </w:rPr>
        <w:t>8</w:t>
      </w:r>
      <w:r w:rsidRPr="00A23843">
        <w:rPr>
          <w:rFonts w:ascii="Century Gothic" w:hAnsi="Century Gothic"/>
          <w:color w:val="auto"/>
        </w:rPr>
        <w:fldChar w:fldCharType="end"/>
      </w:r>
      <w:r w:rsidRPr="00A23843">
        <w:rPr>
          <w:rFonts w:ascii="Century Gothic" w:hAnsi="Century Gothic"/>
          <w:color w:val="auto"/>
        </w:rPr>
        <w:t>: Historic Southern Pine Beetle Map for 2011</w:t>
      </w:r>
    </w:p>
    <w:p w14:paraId="4077AB4A" w14:textId="77777777" w:rsidR="00A23843" w:rsidRDefault="00683B9A" w:rsidP="00A23843">
      <w:pPr>
        <w:keepNext/>
        <w:spacing w:after="0" w:line="240" w:lineRule="auto"/>
        <w:jc w:val="center"/>
      </w:pPr>
      <w:r>
        <w:rPr>
          <w:noProof/>
        </w:rPr>
        <w:lastRenderedPageBreak/>
        <w:drawing>
          <wp:inline distT="114300" distB="114300" distL="114300" distR="114300" wp14:anchorId="37DA6A50" wp14:editId="48A881FF">
            <wp:extent cx="1828800" cy="3017520"/>
            <wp:effectExtent l="0" t="0" r="0" b="0"/>
            <wp:docPr id="9" name="image20.jpg" descr="SPB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jpg" descr="SPB2012.jpg"/>
                    <pic:cNvPicPr preferRelativeResize="0"/>
                  </pic:nvPicPr>
                  <pic:blipFill>
                    <a:blip r:embed="rId18"/>
                    <a:srcRect/>
                    <a:stretch>
                      <a:fillRect/>
                    </a:stretch>
                  </pic:blipFill>
                  <pic:spPr>
                    <a:xfrm>
                      <a:off x="0" y="0"/>
                      <a:ext cx="1828800" cy="3017520"/>
                    </a:xfrm>
                    <a:prstGeom prst="rect">
                      <a:avLst/>
                    </a:prstGeom>
                    <a:ln/>
                  </pic:spPr>
                </pic:pic>
              </a:graphicData>
            </a:graphic>
          </wp:inline>
        </w:drawing>
      </w:r>
    </w:p>
    <w:p w14:paraId="27D2EEEA" w14:textId="0BAC73AE" w:rsidR="00427E10" w:rsidRPr="00A23843" w:rsidRDefault="00A23843" w:rsidP="00A23843">
      <w:pPr>
        <w:pStyle w:val="Caption"/>
        <w:jc w:val="center"/>
        <w:rPr>
          <w:rFonts w:ascii="Century Gothic" w:hAnsi="Century Gothic"/>
          <w:color w:val="auto"/>
        </w:rPr>
      </w:pPr>
      <w:r w:rsidRPr="00A23843">
        <w:rPr>
          <w:rFonts w:ascii="Century Gothic" w:hAnsi="Century Gothic"/>
          <w:color w:val="auto"/>
        </w:rPr>
        <w:t xml:space="preserve">Figure </w:t>
      </w:r>
      <w:r w:rsidRPr="00A23843">
        <w:rPr>
          <w:rFonts w:ascii="Century Gothic" w:hAnsi="Century Gothic"/>
          <w:color w:val="auto"/>
        </w:rPr>
        <w:fldChar w:fldCharType="begin"/>
      </w:r>
      <w:r w:rsidRPr="00A23843">
        <w:rPr>
          <w:rFonts w:ascii="Century Gothic" w:hAnsi="Century Gothic"/>
          <w:color w:val="auto"/>
        </w:rPr>
        <w:instrText xml:space="preserve"> SEQ Figure \* ARABIC </w:instrText>
      </w:r>
      <w:r w:rsidRPr="00A23843">
        <w:rPr>
          <w:rFonts w:ascii="Century Gothic" w:hAnsi="Century Gothic"/>
          <w:color w:val="auto"/>
        </w:rPr>
        <w:fldChar w:fldCharType="separate"/>
      </w:r>
      <w:r>
        <w:rPr>
          <w:rFonts w:ascii="Century Gothic" w:hAnsi="Century Gothic"/>
          <w:noProof/>
          <w:color w:val="auto"/>
        </w:rPr>
        <w:t>9</w:t>
      </w:r>
      <w:r w:rsidRPr="00A23843">
        <w:rPr>
          <w:rFonts w:ascii="Century Gothic" w:hAnsi="Century Gothic"/>
          <w:color w:val="auto"/>
        </w:rPr>
        <w:fldChar w:fldCharType="end"/>
      </w:r>
      <w:r w:rsidRPr="00A23843">
        <w:rPr>
          <w:rFonts w:ascii="Century Gothic" w:hAnsi="Century Gothic"/>
          <w:color w:val="auto"/>
        </w:rPr>
        <w:t>: Historic Southern Pine Beetle Map for 2012</w:t>
      </w:r>
    </w:p>
    <w:p w14:paraId="2127FE0E" w14:textId="77777777" w:rsidR="00A23843" w:rsidRDefault="00683B9A" w:rsidP="00A23843">
      <w:pPr>
        <w:keepNext/>
        <w:spacing w:after="0" w:line="240" w:lineRule="auto"/>
        <w:jc w:val="center"/>
      </w:pPr>
      <w:r>
        <w:rPr>
          <w:noProof/>
        </w:rPr>
        <w:drawing>
          <wp:inline distT="114300" distB="114300" distL="114300" distR="114300" wp14:anchorId="56168EED" wp14:editId="0FC8756A">
            <wp:extent cx="1828800" cy="2980944"/>
            <wp:effectExtent l="0" t="0" r="0" b="0"/>
            <wp:docPr id="15" name="image32.jpg" descr="SPB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jpg" descr="SPB2013.jpg"/>
                    <pic:cNvPicPr preferRelativeResize="0"/>
                  </pic:nvPicPr>
                  <pic:blipFill>
                    <a:blip r:embed="rId19"/>
                    <a:srcRect/>
                    <a:stretch>
                      <a:fillRect/>
                    </a:stretch>
                  </pic:blipFill>
                  <pic:spPr>
                    <a:xfrm>
                      <a:off x="0" y="0"/>
                      <a:ext cx="1828800" cy="2980944"/>
                    </a:xfrm>
                    <a:prstGeom prst="rect">
                      <a:avLst/>
                    </a:prstGeom>
                    <a:ln/>
                  </pic:spPr>
                </pic:pic>
              </a:graphicData>
            </a:graphic>
          </wp:inline>
        </w:drawing>
      </w:r>
    </w:p>
    <w:p w14:paraId="3C7AB2D5" w14:textId="62EE16E3" w:rsidR="00683B9A" w:rsidRPr="00A23843" w:rsidRDefault="00A23843" w:rsidP="00A23843">
      <w:pPr>
        <w:pStyle w:val="Caption"/>
        <w:jc w:val="center"/>
        <w:rPr>
          <w:rFonts w:ascii="Century Gothic" w:hAnsi="Century Gothic"/>
          <w:color w:val="auto"/>
        </w:rPr>
      </w:pPr>
      <w:r w:rsidRPr="00A23843">
        <w:rPr>
          <w:rFonts w:ascii="Century Gothic" w:hAnsi="Century Gothic"/>
          <w:color w:val="auto"/>
        </w:rPr>
        <w:t xml:space="preserve">Figure </w:t>
      </w:r>
      <w:r w:rsidRPr="00A23843">
        <w:rPr>
          <w:rFonts w:ascii="Century Gothic" w:hAnsi="Century Gothic"/>
          <w:color w:val="auto"/>
        </w:rPr>
        <w:fldChar w:fldCharType="begin"/>
      </w:r>
      <w:r w:rsidRPr="00A23843">
        <w:rPr>
          <w:rFonts w:ascii="Century Gothic" w:hAnsi="Century Gothic"/>
          <w:color w:val="auto"/>
        </w:rPr>
        <w:instrText xml:space="preserve"> SEQ Figure \* ARABIC </w:instrText>
      </w:r>
      <w:r w:rsidRPr="00A23843">
        <w:rPr>
          <w:rFonts w:ascii="Century Gothic" w:hAnsi="Century Gothic"/>
          <w:color w:val="auto"/>
        </w:rPr>
        <w:fldChar w:fldCharType="separate"/>
      </w:r>
      <w:r>
        <w:rPr>
          <w:rFonts w:ascii="Century Gothic" w:hAnsi="Century Gothic"/>
          <w:noProof/>
          <w:color w:val="auto"/>
        </w:rPr>
        <w:t>10</w:t>
      </w:r>
      <w:r w:rsidRPr="00A23843">
        <w:rPr>
          <w:rFonts w:ascii="Century Gothic" w:hAnsi="Century Gothic"/>
          <w:color w:val="auto"/>
        </w:rPr>
        <w:fldChar w:fldCharType="end"/>
      </w:r>
      <w:r w:rsidRPr="00A23843">
        <w:rPr>
          <w:rFonts w:ascii="Century Gothic" w:hAnsi="Century Gothic"/>
          <w:color w:val="auto"/>
        </w:rPr>
        <w:t>: Historic Southern Pine Beetle Map for 2013</w:t>
      </w:r>
    </w:p>
    <w:p w14:paraId="5AA12524" w14:textId="77777777" w:rsidR="00A23843" w:rsidRDefault="00683B9A" w:rsidP="00A23843">
      <w:pPr>
        <w:keepNext/>
        <w:spacing w:after="0" w:line="240" w:lineRule="auto"/>
        <w:jc w:val="center"/>
      </w:pPr>
      <w:r>
        <w:rPr>
          <w:noProof/>
        </w:rPr>
        <w:lastRenderedPageBreak/>
        <w:drawing>
          <wp:inline distT="114300" distB="114300" distL="114300" distR="114300" wp14:anchorId="4EC1814A" wp14:editId="6DC92BF2">
            <wp:extent cx="1828800" cy="3017520"/>
            <wp:effectExtent l="0" t="0" r="0" b="0"/>
            <wp:docPr id="11" name="image33.jpg" descr="SPB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jpg" descr="SPB2014.jpg"/>
                    <pic:cNvPicPr preferRelativeResize="0"/>
                  </pic:nvPicPr>
                  <pic:blipFill>
                    <a:blip r:embed="rId20"/>
                    <a:srcRect/>
                    <a:stretch>
                      <a:fillRect/>
                    </a:stretch>
                  </pic:blipFill>
                  <pic:spPr>
                    <a:xfrm>
                      <a:off x="0" y="0"/>
                      <a:ext cx="1828800" cy="3017520"/>
                    </a:xfrm>
                    <a:prstGeom prst="rect">
                      <a:avLst/>
                    </a:prstGeom>
                    <a:ln/>
                  </pic:spPr>
                </pic:pic>
              </a:graphicData>
            </a:graphic>
          </wp:inline>
        </w:drawing>
      </w:r>
    </w:p>
    <w:p w14:paraId="679F3749" w14:textId="6C8BE00D" w:rsidR="00427E10" w:rsidRPr="00A23843" w:rsidRDefault="00A23843" w:rsidP="00A23843">
      <w:pPr>
        <w:pStyle w:val="Caption"/>
        <w:jc w:val="center"/>
        <w:rPr>
          <w:rFonts w:ascii="Century Gothic" w:hAnsi="Century Gothic"/>
          <w:color w:val="auto"/>
        </w:rPr>
      </w:pPr>
      <w:r w:rsidRPr="00A23843">
        <w:rPr>
          <w:rFonts w:ascii="Century Gothic" w:hAnsi="Century Gothic"/>
          <w:color w:val="auto"/>
        </w:rPr>
        <w:t xml:space="preserve">Figure </w:t>
      </w:r>
      <w:r w:rsidRPr="00A23843">
        <w:rPr>
          <w:rFonts w:ascii="Century Gothic" w:hAnsi="Century Gothic"/>
          <w:color w:val="auto"/>
        </w:rPr>
        <w:fldChar w:fldCharType="begin"/>
      </w:r>
      <w:r w:rsidRPr="00A23843">
        <w:rPr>
          <w:rFonts w:ascii="Century Gothic" w:hAnsi="Century Gothic"/>
          <w:color w:val="auto"/>
        </w:rPr>
        <w:instrText xml:space="preserve"> SEQ Figure \* ARABIC </w:instrText>
      </w:r>
      <w:r w:rsidRPr="00A23843">
        <w:rPr>
          <w:rFonts w:ascii="Century Gothic" w:hAnsi="Century Gothic"/>
          <w:color w:val="auto"/>
        </w:rPr>
        <w:fldChar w:fldCharType="separate"/>
      </w:r>
      <w:r>
        <w:rPr>
          <w:rFonts w:ascii="Century Gothic" w:hAnsi="Century Gothic"/>
          <w:noProof/>
          <w:color w:val="auto"/>
        </w:rPr>
        <w:t>11</w:t>
      </w:r>
      <w:r w:rsidRPr="00A23843">
        <w:rPr>
          <w:rFonts w:ascii="Century Gothic" w:hAnsi="Century Gothic"/>
          <w:color w:val="auto"/>
        </w:rPr>
        <w:fldChar w:fldCharType="end"/>
      </w:r>
      <w:r w:rsidRPr="00A23843">
        <w:rPr>
          <w:rFonts w:ascii="Century Gothic" w:hAnsi="Century Gothic"/>
          <w:color w:val="auto"/>
        </w:rPr>
        <w:t>: Historic Southern Pine Beetle Map for 2014</w:t>
      </w:r>
    </w:p>
    <w:p w14:paraId="3A9DC762" w14:textId="77777777" w:rsidR="00A23843" w:rsidRDefault="00683B9A" w:rsidP="00A23843">
      <w:pPr>
        <w:keepNext/>
        <w:spacing w:after="0" w:line="240" w:lineRule="auto"/>
        <w:jc w:val="center"/>
      </w:pPr>
      <w:r>
        <w:rPr>
          <w:noProof/>
        </w:rPr>
        <w:drawing>
          <wp:inline distT="114300" distB="114300" distL="114300" distR="114300" wp14:anchorId="03043444" wp14:editId="6BD12B0A">
            <wp:extent cx="1828800" cy="3008376"/>
            <wp:effectExtent l="0" t="0" r="0" b="1905"/>
            <wp:docPr id="13" name="image25.jpg" descr="SPB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jpg" descr="SPB2015.jpg"/>
                    <pic:cNvPicPr preferRelativeResize="0"/>
                  </pic:nvPicPr>
                  <pic:blipFill>
                    <a:blip r:embed="rId21"/>
                    <a:srcRect/>
                    <a:stretch>
                      <a:fillRect/>
                    </a:stretch>
                  </pic:blipFill>
                  <pic:spPr>
                    <a:xfrm>
                      <a:off x="0" y="0"/>
                      <a:ext cx="1828800" cy="3008376"/>
                    </a:xfrm>
                    <a:prstGeom prst="rect">
                      <a:avLst/>
                    </a:prstGeom>
                    <a:ln/>
                  </pic:spPr>
                </pic:pic>
              </a:graphicData>
            </a:graphic>
          </wp:inline>
        </w:drawing>
      </w:r>
    </w:p>
    <w:p w14:paraId="51AF35BD" w14:textId="297EA876" w:rsidR="00683B9A" w:rsidRPr="00A23843" w:rsidRDefault="00A23843" w:rsidP="00A23843">
      <w:pPr>
        <w:pStyle w:val="Caption"/>
        <w:jc w:val="center"/>
        <w:rPr>
          <w:rFonts w:ascii="Century Gothic" w:hAnsi="Century Gothic"/>
          <w:b w:val="0"/>
          <w:color w:val="auto"/>
          <w:szCs w:val="24"/>
        </w:rPr>
      </w:pPr>
      <w:r w:rsidRPr="00A23843">
        <w:rPr>
          <w:rFonts w:ascii="Century Gothic" w:hAnsi="Century Gothic"/>
          <w:color w:val="auto"/>
        </w:rPr>
        <w:t xml:space="preserve">Figure </w:t>
      </w:r>
      <w:r w:rsidRPr="00A23843">
        <w:rPr>
          <w:rFonts w:ascii="Century Gothic" w:hAnsi="Century Gothic"/>
          <w:color w:val="auto"/>
        </w:rPr>
        <w:fldChar w:fldCharType="begin"/>
      </w:r>
      <w:r w:rsidRPr="00A23843">
        <w:rPr>
          <w:rFonts w:ascii="Century Gothic" w:hAnsi="Century Gothic"/>
          <w:color w:val="auto"/>
        </w:rPr>
        <w:instrText xml:space="preserve"> SEQ Figure \* ARABIC </w:instrText>
      </w:r>
      <w:r w:rsidRPr="00A23843">
        <w:rPr>
          <w:rFonts w:ascii="Century Gothic" w:hAnsi="Century Gothic"/>
          <w:color w:val="auto"/>
        </w:rPr>
        <w:fldChar w:fldCharType="separate"/>
      </w:r>
      <w:r>
        <w:rPr>
          <w:rFonts w:ascii="Century Gothic" w:hAnsi="Century Gothic"/>
          <w:noProof/>
          <w:color w:val="auto"/>
        </w:rPr>
        <w:t>12</w:t>
      </w:r>
      <w:r w:rsidRPr="00A23843">
        <w:rPr>
          <w:rFonts w:ascii="Century Gothic" w:hAnsi="Century Gothic"/>
          <w:color w:val="auto"/>
        </w:rPr>
        <w:fldChar w:fldCharType="end"/>
      </w:r>
      <w:r w:rsidRPr="00A23843">
        <w:rPr>
          <w:rFonts w:ascii="Century Gothic" w:hAnsi="Century Gothic"/>
          <w:color w:val="auto"/>
        </w:rPr>
        <w:t>: Historic Southern Pine Beetle Map for 2015</w:t>
      </w:r>
    </w:p>
    <w:p w14:paraId="11273DCF" w14:textId="77777777" w:rsidR="00A23843" w:rsidRDefault="00683B9A" w:rsidP="00A23843">
      <w:pPr>
        <w:keepNext/>
        <w:spacing w:after="0" w:line="240" w:lineRule="auto"/>
        <w:jc w:val="center"/>
      </w:pPr>
      <w:r>
        <w:rPr>
          <w:noProof/>
        </w:rPr>
        <w:lastRenderedPageBreak/>
        <w:drawing>
          <wp:inline distT="114300" distB="114300" distL="114300" distR="114300" wp14:anchorId="5FAB92C0" wp14:editId="7767FB32">
            <wp:extent cx="4123485" cy="2651760"/>
            <wp:effectExtent l="0" t="0" r="0" b="0"/>
            <wp:docPr id="18"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2"/>
                    <a:srcRect/>
                    <a:stretch>
                      <a:fillRect/>
                    </a:stretch>
                  </pic:blipFill>
                  <pic:spPr>
                    <a:xfrm>
                      <a:off x="0" y="0"/>
                      <a:ext cx="4123485" cy="2651760"/>
                    </a:xfrm>
                    <a:prstGeom prst="rect">
                      <a:avLst/>
                    </a:prstGeom>
                    <a:ln/>
                  </pic:spPr>
                </pic:pic>
              </a:graphicData>
            </a:graphic>
          </wp:inline>
        </w:drawing>
      </w:r>
    </w:p>
    <w:p w14:paraId="42FA56B2" w14:textId="2E6FE4DF" w:rsidR="00AE1463" w:rsidRPr="00A23843" w:rsidRDefault="00A23843" w:rsidP="00A23843">
      <w:pPr>
        <w:pStyle w:val="Caption"/>
        <w:jc w:val="center"/>
        <w:rPr>
          <w:rFonts w:ascii="Century Gothic" w:hAnsi="Century Gothic"/>
          <w:b w:val="0"/>
          <w:color w:val="auto"/>
          <w:szCs w:val="24"/>
        </w:rPr>
      </w:pPr>
      <w:r w:rsidRPr="00A23843">
        <w:rPr>
          <w:rFonts w:ascii="Century Gothic" w:hAnsi="Century Gothic"/>
          <w:color w:val="auto"/>
        </w:rPr>
        <w:t xml:space="preserve">Figure </w:t>
      </w:r>
      <w:r w:rsidRPr="00A23843">
        <w:rPr>
          <w:rFonts w:ascii="Century Gothic" w:hAnsi="Century Gothic"/>
          <w:color w:val="auto"/>
        </w:rPr>
        <w:fldChar w:fldCharType="begin"/>
      </w:r>
      <w:r w:rsidRPr="00A23843">
        <w:rPr>
          <w:rFonts w:ascii="Century Gothic" w:hAnsi="Century Gothic"/>
          <w:color w:val="auto"/>
        </w:rPr>
        <w:instrText xml:space="preserve"> SEQ Figure \* ARABIC </w:instrText>
      </w:r>
      <w:r w:rsidRPr="00A23843">
        <w:rPr>
          <w:rFonts w:ascii="Century Gothic" w:hAnsi="Century Gothic"/>
          <w:color w:val="auto"/>
        </w:rPr>
        <w:fldChar w:fldCharType="separate"/>
      </w:r>
      <w:r>
        <w:rPr>
          <w:rFonts w:ascii="Century Gothic" w:hAnsi="Century Gothic"/>
          <w:noProof/>
          <w:color w:val="auto"/>
        </w:rPr>
        <w:t>13</w:t>
      </w:r>
      <w:r w:rsidRPr="00A23843">
        <w:rPr>
          <w:rFonts w:ascii="Century Gothic" w:hAnsi="Century Gothic"/>
          <w:color w:val="auto"/>
        </w:rPr>
        <w:fldChar w:fldCharType="end"/>
      </w:r>
      <w:r w:rsidRPr="00A23843">
        <w:rPr>
          <w:rFonts w:ascii="Century Gothic" w:hAnsi="Century Gothic"/>
          <w:color w:val="auto"/>
        </w:rPr>
        <w:t>: AUC for Southern Pine Beetle Prediction Map using MaxEnt</w:t>
      </w:r>
    </w:p>
    <w:p w14:paraId="573096D6" w14:textId="77777777" w:rsidR="00A23843" w:rsidRDefault="00AE1463" w:rsidP="00A23843">
      <w:pPr>
        <w:keepNext/>
        <w:spacing w:after="0" w:line="240" w:lineRule="auto"/>
        <w:jc w:val="center"/>
      </w:pPr>
      <w:r>
        <w:rPr>
          <w:noProof/>
        </w:rPr>
        <w:drawing>
          <wp:inline distT="114300" distB="114300" distL="114300" distR="114300" wp14:anchorId="57E5651C" wp14:editId="456F46CB">
            <wp:extent cx="4978911" cy="2743200"/>
            <wp:effectExtent l="0" t="0" r="0" b="0"/>
            <wp:docPr id="19" name="image16.jpg" descr="errord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g" descr="errordash.jpg"/>
                    <pic:cNvPicPr preferRelativeResize="0"/>
                  </pic:nvPicPr>
                  <pic:blipFill>
                    <a:blip r:embed="rId23"/>
                    <a:srcRect/>
                    <a:stretch>
                      <a:fillRect/>
                    </a:stretch>
                  </pic:blipFill>
                  <pic:spPr>
                    <a:xfrm>
                      <a:off x="0" y="0"/>
                      <a:ext cx="4978911" cy="2743200"/>
                    </a:xfrm>
                    <a:prstGeom prst="rect">
                      <a:avLst/>
                    </a:prstGeom>
                    <a:ln/>
                  </pic:spPr>
                </pic:pic>
              </a:graphicData>
            </a:graphic>
          </wp:inline>
        </w:drawing>
      </w:r>
    </w:p>
    <w:p w14:paraId="208305A7" w14:textId="49BD41D9" w:rsidR="00AE1463" w:rsidRPr="00A23843" w:rsidRDefault="00A23843" w:rsidP="00A23843">
      <w:pPr>
        <w:pStyle w:val="Caption"/>
        <w:jc w:val="center"/>
        <w:rPr>
          <w:rFonts w:ascii="Century Gothic" w:hAnsi="Century Gothic" w:cs="Times New Roman"/>
          <w:b w:val="0"/>
          <w:color w:val="auto"/>
          <w:szCs w:val="24"/>
        </w:rPr>
      </w:pPr>
      <w:r w:rsidRPr="00A23843">
        <w:rPr>
          <w:rFonts w:ascii="Century Gothic" w:hAnsi="Century Gothic" w:cs="Times New Roman"/>
          <w:color w:val="auto"/>
        </w:rPr>
        <w:t xml:space="preserve">Figure </w:t>
      </w:r>
      <w:r w:rsidRPr="00A23843">
        <w:rPr>
          <w:rFonts w:ascii="Century Gothic" w:hAnsi="Century Gothic" w:cs="Times New Roman"/>
          <w:color w:val="auto"/>
        </w:rPr>
        <w:fldChar w:fldCharType="begin"/>
      </w:r>
      <w:r w:rsidRPr="00A23843">
        <w:rPr>
          <w:rFonts w:ascii="Century Gothic" w:hAnsi="Century Gothic" w:cs="Times New Roman"/>
          <w:color w:val="auto"/>
        </w:rPr>
        <w:instrText xml:space="preserve"> SEQ Figure \* ARABIC </w:instrText>
      </w:r>
      <w:r w:rsidRPr="00A23843">
        <w:rPr>
          <w:rFonts w:ascii="Century Gothic" w:hAnsi="Century Gothic" w:cs="Times New Roman"/>
          <w:color w:val="auto"/>
        </w:rPr>
        <w:fldChar w:fldCharType="separate"/>
      </w:r>
      <w:r w:rsidRPr="00A23843">
        <w:rPr>
          <w:rFonts w:ascii="Century Gothic" w:hAnsi="Century Gothic" w:cs="Times New Roman"/>
          <w:noProof/>
          <w:color w:val="auto"/>
        </w:rPr>
        <w:t>14</w:t>
      </w:r>
      <w:r w:rsidRPr="00A23843">
        <w:rPr>
          <w:rFonts w:ascii="Century Gothic" w:hAnsi="Century Gothic" w:cs="Times New Roman"/>
          <w:color w:val="auto"/>
        </w:rPr>
        <w:fldChar w:fldCharType="end"/>
      </w:r>
      <w:r w:rsidRPr="00A23843">
        <w:rPr>
          <w:rFonts w:ascii="Century Gothic" w:hAnsi="Century Gothic" w:cs="Times New Roman"/>
          <w:color w:val="auto"/>
        </w:rPr>
        <w:t>: Dashes of erroneous data in Landsat 5 TM imagery</w:t>
      </w:r>
    </w:p>
    <w:p w14:paraId="2DBF6D91" w14:textId="4F2B6DC2" w:rsidR="00A23843" w:rsidRPr="00A23843" w:rsidRDefault="00A23843" w:rsidP="00A23843">
      <w:pPr>
        <w:pStyle w:val="Caption"/>
        <w:keepNext/>
        <w:jc w:val="center"/>
        <w:rPr>
          <w:rFonts w:ascii="Century Gothic" w:hAnsi="Century Gothic"/>
          <w:color w:val="auto"/>
        </w:rPr>
      </w:pPr>
      <w:r w:rsidRPr="00A23843">
        <w:rPr>
          <w:rFonts w:ascii="Century Gothic" w:hAnsi="Century Gothic"/>
          <w:color w:val="auto"/>
        </w:rPr>
        <w:lastRenderedPageBreak/>
        <w:t xml:space="preserve">Table </w:t>
      </w:r>
      <w:r w:rsidRPr="00A23843">
        <w:rPr>
          <w:rFonts w:ascii="Century Gothic" w:hAnsi="Century Gothic"/>
          <w:color w:val="auto"/>
        </w:rPr>
        <w:fldChar w:fldCharType="begin"/>
      </w:r>
      <w:r w:rsidRPr="00A23843">
        <w:rPr>
          <w:rFonts w:ascii="Century Gothic" w:hAnsi="Century Gothic"/>
          <w:color w:val="auto"/>
        </w:rPr>
        <w:instrText xml:space="preserve"> SEQ Table \* ARABIC </w:instrText>
      </w:r>
      <w:r w:rsidRPr="00A23843">
        <w:rPr>
          <w:rFonts w:ascii="Century Gothic" w:hAnsi="Century Gothic"/>
          <w:color w:val="auto"/>
        </w:rPr>
        <w:fldChar w:fldCharType="separate"/>
      </w:r>
      <w:r w:rsidRPr="00A23843">
        <w:rPr>
          <w:rFonts w:ascii="Century Gothic" w:hAnsi="Century Gothic"/>
          <w:noProof/>
          <w:color w:val="auto"/>
        </w:rPr>
        <w:t>4</w:t>
      </w:r>
      <w:r w:rsidRPr="00A23843">
        <w:rPr>
          <w:rFonts w:ascii="Century Gothic" w:hAnsi="Century Gothic"/>
          <w:color w:val="auto"/>
        </w:rPr>
        <w:fldChar w:fldCharType="end"/>
      </w:r>
      <w:r w:rsidRPr="00A23843">
        <w:rPr>
          <w:rFonts w:ascii="Century Gothic" w:hAnsi="Century Gothic"/>
          <w:color w:val="auto"/>
        </w:rPr>
        <w:t>: SPB preferred tree species from LANDFIRE</w:t>
      </w:r>
    </w:p>
    <w:p w14:paraId="26C46DED" w14:textId="3DAB2913" w:rsidR="00AE1463" w:rsidRPr="00683B9A" w:rsidRDefault="00AE1463" w:rsidP="00A23843">
      <w:pPr>
        <w:spacing w:after="0" w:line="240" w:lineRule="auto"/>
        <w:jc w:val="center"/>
        <w:rPr>
          <w:rFonts w:ascii="Century Gothic" w:hAnsi="Century Gothic"/>
          <w:b/>
          <w:szCs w:val="24"/>
        </w:rPr>
      </w:pPr>
      <w:r>
        <w:rPr>
          <w:noProof/>
        </w:rPr>
        <w:drawing>
          <wp:inline distT="114300" distB="114300" distL="114300" distR="114300" wp14:anchorId="46819496" wp14:editId="742E140F">
            <wp:extent cx="4191000" cy="5595038"/>
            <wp:effectExtent l="0" t="0" r="0" b="0"/>
            <wp:docPr id="20" name="image22.jpg" descr="spbdesired.jpg"/>
            <wp:cNvGraphicFramePr/>
            <a:graphic xmlns:a="http://schemas.openxmlformats.org/drawingml/2006/main">
              <a:graphicData uri="http://schemas.openxmlformats.org/drawingml/2006/picture">
                <pic:pic xmlns:pic="http://schemas.openxmlformats.org/drawingml/2006/picture">
                  <pic:nvPicPr>
                    <pic:cNvPr id="0" name="image22.jpg" descr="spbdesired.jpg"/>
                    <pic:cNvPicPr preferRelativeResize="0"/>
                  </pic:nvPicPr>
                  <pic:blipFill>
                    <a:blip r:embed="rId24"/>
                    <a:srcRect/>
                    <a:stretch>
                      <a:fillRect/>
                    </a:stretch>
                  </pic:blipFill>
                  <pic:spPr>
                    <a:xfrm>
                      <a:off x="0" y="0"/>
                      <a:ext cx="4191000" cy="5595038"/>
                    </a:xfrm>
                    <a:prstGeom prst="rect">
                      <a:avLst/>
                    </a:prstGeom>
                    <a:ln/>
                  </pic:spPr>
                </pic:pic>
              </a:graphicData>
            </a:graphic>
          </wp:inline>
        </w:drawing>
      </w:r>
    </w:p>
    <w:sectPr w:rsidR="00AE1463" w:rsidRPr="00683B9A" w:rsidSect="0064280B">
      <w:footerReference w:type="default" r:id="rId25"/>
      <w:headerReference w:type="first" r:id="rId26"/>
      <w:footerReference w:type="first" r:id="rId27"/>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F71DE8" w14:textId="77777777" w:rsidR="00AB2958" w:rsidRDefault="00AB2958" w:rsidP="00242822">
      <w:pPr>
        <w:spacing w:after="0" w:line="240" w:lineRule="auto"/>
      </w:pPr>
      <w:r>
        <w:separator/>
      </w:r>
    </w:p>
  </w:endnote>
  <w:endnote w:type="continuationSeparator" w:id="0">
    <w:p w14:paraId="6D976095" w14:textId="77777777" w:rsidR="00AB2958" w:rsidRDefault="00AB2958"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77777777" w:rsidR="0064280B" w:rsidRDefault="00B2307C">
        <w:pPr>
          <w:pStyle w:val="Footer"/>
          <w:jc w:val="center"/>
        </w:pPr>
        <w:r>
          <w:fldChar w:fldCharType="begin"/>
        </w:r>
        <w:r w:rsidR="0064280B">
          <w:instrText xml:space="preserve"> PAGE   \* MERGEFORMAT </w:instrText>
        </w:r>
        <w:r>
          <w:fldChar w:fldCharType="separate"/>
        </w:r>
        <w:r w:rsidR="007157EC">
          <w:rPr>
            <w:noProof/>
          </w:rPr>
          <w:t>13</w:t>
        </w:r>
        <w:r>
          <w:rPr>
            <w:noProof/>
          </w:rPr>
          <w:fldChar w:fldCharType="end"/>
        </w:r>
      </w:p>
    </w:sdtContent>
  </w:sdt>
  <w:p w14:paraId="472788A1" w14:textId="77777777" w:rsidR="00A44FFF" w:rsidRDefault="00A44FF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7E68B5" w:rsidRDefault="007E68B5"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4FF703" w14:textId="77777777" w:rsidR="00AB2958" w:rsidRDefault="00AB2958" w:rsidP="00242822">
      <w:pPr>
        <w:spacing w:after="0" w:line="240" w:lineRule="auto"/>
      </w:pPr>
      <w:r>
        <w:separator/>
      </w:r>
    </w:p>
  </w:footnote>
  <w:footnote w:type="continuationSeparator" w:id="0">
    <w:p w14:paraId="6ECCABF9" w14:textId="77777777" w:rsidR="00AB2958" w:rsidRDefault="00AB2958"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49D9A" w14:textId="77777777" w:rsidR="005F6AD4" w:rsidRDefault="005F6AD4"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150E"/>
    <w:rsid w:val="00030B13"/>
    <w:rsid w:val="000D6F7C"/>
    <w:rsid w:val="000F1545"/>
    <w:rsid w:val="00120F71"/>
    <w:rsid w:val="00123E5F"/>
    <w:rsid w:val="0014039E"/>
    <w:rsid w:val="0014286F"/>
    <w:rsid w:val="0015019B"/>
    <w:rsid w:val="001556CC"/>
    <w:rsid w:val="00163111"/>
    <w:rsid w:val="001821EB"/>
    <w:rsid w:val="00193744"/>
    <w:rsid w:val="00195D23"/>
    <w:rsid w:val="001F1328"/>
    <w:rsid w:val="0023574D"/>
    <w:rsid w:val="00242822"/>
    <w:rsid w:val="0025331E"/>
    <w:rsid w:val="00290F50"/>
    <w:rsid w:val="00293F47"/>
    <w:rsid w:val="002A37F8"/>
    <w:rsid w:val="002B2BE4"/>
    <w:rsid w:val="002C4C2E"/>
    <w:rsid w:val="00366BA2"/>
    <w:rsid w:val="003C6B4C"/>
    <w:rsid w:val="003F39BF"/>
    <w:rsid w:val="0041150E"/>
    <w:rsid w:val="00427E10"/>
    <w:rsid w:val="0043112E"/>
    <w:rsid w:val="004569BE"/>
    <w:rsid w:val="00482519"/>
    <w:rsid w:val="00494746"/>
    <w:rsid w:val="004951A9"/>
    <w:rsid w:val="004D19D3"/>
    <w:rsid w:val="00525530"/>
    <w:rsid w:val="0054057F"/>
    <w:rsid w:val="005C723F"/>
    <w:rsid w:val="005F6AD4"/>
    <w:rsid w:val="00615E3A"/>
    <w:rsid w:val="0064280B"/>
    <w:rsid w:val="006528A0"/>
    <w:rsid w:val="00683B9A"/>
    <w:rsid w:val="00684FE5"/>
    <w:rsid w:val="00695331"/>
    <w:rsid w:val="006C7B8F"/>
    <w:rsid w:val="006D072F"/>
    <w:rsid w:val="006D1A28"/>
    <w:rsid w:val="006E1497"/>
    <w:rsid w:val="006E2A1C"/>
    <w:rsid w:val="007157EC"/>
    <w:rsid w:val="00716586"/>
    <w:rsid w:val="00732B10"/>
    <w:rsid w:val="00744B32"/>
    <w:rsid w:val="00770650"/>
    <w:rsid w:val="00771691"/>
    <w:rsid w:val="007775D4"/>
    <w:rsid w:val="007E508C"/>
    <w:rsid w:val="007E68B5"/>
    <w:rsid w:val="007F6093"/>
    <w:rsid w:val="00801435"/>
    <w:rsid w:val="00806C45"/>
    <w:rsid w:val="0081261B"/>
    <w:rsid w:val="00833AD9"/>
    <w:rsid w:val="00855532"/>
    <w:rsid w:val="00870E95"/>
    <w:rsid w:val="008741CE"/>
    <w:rsid w:val="008975BD"/>
    <w:rsid w:val="008B7071"/>
    <w:rsid w:val="00916AAB"/>
    <w:rsid w:val="00933965"/>
    <w:rsid w:val="009830D6"/>
    <w:rsid w:val="009A20ED"/>
    <w:rsid w:val="009F0D59"/>
    <w:rsid w:val="009F5966"/>
    <w:rsid w:val="00A11DB7"/>
    <w:rsid w:val="00A23843"/>
    <w:rsid w:val="00A2773A"/>
    <w:rsid w:val="00A44FFF"/>
    <w:rsid w:val="00A60645"/>
    <w:rsid w:val="00A92B4D"/>
    <w:rsid w:val="00AB12D0"/>
    <w:rsid w:val="00AB2958"/>
    <w:rsid w:val="00AD5D0D"/>
    <w:rsid w:val="00AE1463"/>
    <w:rsid w:val="00B2307C"/>
    <w:rsid w:val="00B24E61"/>
    <w:rsid w:val="00B265D9"/>
    <w:rsid w:val="00B64CCF"/>
    <w:rsid w:val="00B74EBA"/>
    <w:rsid w:val="00BA41F7"/>
    <w:rsid w:val="00C3045C"/>
    <w:rsid w:val="00C60F7D"/>
    <w:rsid w:val="00C82473"/>
    <w:rsid w:val="00CB1C0F"/>
    <w:rsid w:val="00CD092A"/>
    <w:rsid w:val="00CE553B"/>
    <w:rsid w:val="00CE7909"/>
    <w:rsid w:val="00CF6083"/>
    <w:rsid w:val="00D13591"/>
    <w:rsid w:val="00D3013B"/>
    <w:rsid w:val="00D523CD"/>
    <w:rsid w:val="00DA7F96"/>
    <w:rsid w:val="00E00E6B"/>
    <w:rsid w:val="00E03B8E"/>
    <w:rsid w:val="00E41324"/>
    <w:rsid w:val="00E578D6"/>
    <w:rsid w:val="00E60D91"/>
    <w:rsid w:val="00E6105B"/>
    <w:rsid w:val="00E64FEA"/>
    <w:rsid w:val="00E74845"/>
    <w:rsid w:val="00E75D54"/>
    <w:rsid w:val="00F24FCE"/>
    <w:rsid w:val="00F85D9B"/>
    <w:rsid w:val="00FB2F9A"/>
    <w:rsid w:val="00FB5846"/>
    <w:rsid w:val="00FC3146"/>
    <w:rsid w:val="00FC670A"/>
    <w:rsid w:val="00FE08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154387"/>
    </o:shapedefaults>
    <o:shapelayout v:ext="edit">
      <o:idmap v:ext="edit" data="1"/>
    </o:shapelayout>
  </w:shapeDefaults>
  <w:decimalSymbol w:val="."/>
  <w:listSeparator w:val=","/>
  <w14:docId w14:val="5B7ACDF7"/>
  <w15:docId w15:val="{20824393-8BD5-4666-A226-39A7B622A4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paragraph" w:styleId="Caption">
    <w:name w:val="caption"/>
    <w:basedOn w:val="Normal"/>
    <w:next w:val="Normal"/>
    <w:uiPriority w:val="35"/>
    <w:unhideWhenUsed/>
    <w:qFormat/>
    <w:rsid w:val="00427E10"/>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7ECCAD-A41A-4262-AAC2-E698135918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20</Pages>
  <Words>3531</Words>
  <Characters>20132</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23616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Arya, Vishal (LARC)[DEVELOP]</cp:lastModifiedBy>
  <cp:revision>5</cp:revision>
  <dcterms:created xsi:type="dcterms:W3CDTF">2016-03-30T13:12:00Z</dcterms:created>
  <dcterms:modified xsi:type="dcterms:W3CDTF">2016-04-12T13:14:00Z</dcterms:modified>
</cp:coreProperties>
</file>