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2DE8" w:rsidRDefault="006B362C">
      <w:pPr>
        <w:pStyle w:val="Normal1"/>
        <w:spacing w:after="0" w:line="240" w:lineRule="auto"/>
        <w:jc w:val="right"/>
      </w:pPr>
      <w:r>
        <w:rPr>
          <w:rFonts w:ascii="Century Gothic" w:eastAsia="Century Gothic" w:hAnsi="Century Gothic" w:cs="Century Gothic"/>
          <w:b/>
          <w:sz w:val="28"/>
          <w:szCs w:val="28"/>
        </w:rPr>
        <w:t>NASA DEVELOP National Program</w:t>
      </w:r>
    </w:p>
    <w:p w:rsidR="00682DE8" w:rsidRDefault="006B362C">
      <w:pPr>
        <w:pStyle w:val="Normal1"/>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5943600" cy="297180"/>
                    </a:xfrm>
                    <a:prstGeom prst="rect">
                      <a:avLst/>
                    </a:prstGeom>
                    <a:ln/>
                  </pic:spPr>
                </pic:pic>
              </a:graphicData>
            </a:graphic>
          </wp:inline>
        </w:drawing>
      </w:r>
      <w:r>
        <w:rPr>
          <w:rFonts w:ascii="Century Gothic" w:eastAsia="Century Gothic" w:hAnsi="Century Gothic" w:cs="Century Gothic"/>
          <w:sz w:val="24"/>
          <w:szCs w:val="24"/>
        </w:rPr>
        <w:t>Mobile County Health Department</w:t>
      </w:r>
    </w:p>
    <w:p w:rsidR="00682DE8" w:rsidRDefault="006B362C">
      <w:pPr>
        <w:pStyle w:val="Normal1"/>
        <w:spacing w:after="0" w:line="240" w:lineRule="auto"/>
        <w:jc w:val="right"/>
      </w:pPr>
      <w:r>
        <w:rPr>
          <w:rFonts w:ascii="Century Gothic" w:eastAsia="Century Gothic" w:hAnsi="Century Gothic" w:cs="Century Gothic"/>
          <w:b/>
        </w:rPr>
        <w:t>Summer 2015</w:t>
      </w:r>
    </w:p>
    <w:p w:rsidR="00682DE8" w:rsidRDefault="00682DE8">
      <w:pPr>
        <w:pStyle w:val="Normal1"/>
        <w:spacing w:after="0" w:line="240" w:lineRule="auto"/>
      </w:pPr>
    </w:p>
    <w:p w:rsidR="00682DE8" w:rsidRDefault="006B362C">
      <w:pPr>
        <w:pStyle w:val="Normal1"/>
        <w:spacing w:after="120" w:line="240" w:lineRule="auto"/>
      </w:pPr>
      <w:r>
        <w:rPr>
          <w:rFonts w:ascii="Century Gothic" w:eastAsia="Century Gothic" w:hAnsi="Century Gothic" w:cs="Century Gothic"/>
          <w:b/>
          <w:sz w:val="24"/>
          <w:szCs w:val="24"/>
        </w:rPr>
        <w:t xml:space="preserve">Short Title: </w:t>
      </w:r>
      <w:r w:rsidR="00C211A4">
        <w:rPr>
          <w:rFonts w:ascii="Century Gothic" w:eastAsia="Century Gothic" w:hAnsi="Century Gothic" w:cs="Century Gothic"/>
          <w:b/>
          <w:sz w:val="24"/>
          <w:szCs w:val="24"/>
        </w:rPr>
        <w:t>Coastal Texas Water Resources</w:t>
      </w:r>
    </w:p>
    <w:p w:rsidR="00682DE8" w:rsidRDefault="006B362C">
      <w:pPr>
        <w:pStyle w:val="Normal1"/>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Assess Estuary Health and Enhance Management of Water Resources in Coastal Texas through Land Cover and Precipitation Mapping</w:t>
      </w:r>
    </w:p>
    <w:p w:rsidR="00682DE8" w:rsidRDefault="006B362C">
      <w:pPr>
        <w:pStyle w:val="Normal1"/>
        <w:spacing w:after="120" w:line="240" w:lineRule="auto"/>
      </w:pPr>
      <w:r>
        <w:rPr>
          <w:rFonts w:ascii="Century Gothic" w:eastAsia="Century Gothic" w:hAnsi="Century Gothic" w:cs="Century Gothic"/>
          <w:b/>
        </w:rPr>
        <w:t>VPS Title:</w:t>
      </w:r>
      <w:r>
        <w:rPr>
          <w:rFonts w:ascii="Century Gothic" w:eastAsia="Century Gothic" w:hAnsi="Century Gothic" w:cs="Century Gothic"/>
        </w:rPr>
        <w:t xml:space="preserve"> Rooting Out the Problem: Mesquite Trees’ Effect on Estuary Health</w:t>
      </w:r>
    </w:p>
    <w:p w:rsidR="00682DE8" w:rsidRDefault="00682DE8">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rsidR="00682DE8" w:rsidRDefault="006B362C">
      <w:pPr>
        <w:pStyle w:val="Normal1"/>
        <w:spacing w:after="0" w:line="240" w:lineRule="auto"/>
      </w:pPr>
      <w:r>
        <w:rPr>
          <w:rFonts w:ascii="Century Gothic" w:eastAsia="Century Gothic" w:hAnsi="Century Gothic" w:cs="Century Gothic"/>
          <w:b/>
          <w:sz w:val="20"/>
          <w:szCs w:val="20"/>
        </w:rPr>
        <w:t>Project Team:</w:t>
      </w:r>
    </w:p>
    <w:p w:rsidR="00682DE8" w:rsidRDefault="006B362C">
      <w:pPr>
        <w:pStyle w:val="Normal1"/>
        <w:spacing w:after="0" w:line="240" w:lineRule="auto"/>
      </w:pPr>
      <w:r>
        <w:rPr>
          <w:rFonts w:ascii="Century Gothic" w:eastAsia="Century Gothic" w:hAnsi="Century Gothic" w:cs="Century Gothic"/>
          <w:sz w:val="20"/>
          <w:szCs w:val="20"/>
        </w:rPr>
        <w:t xml:space="preserve">Elaina </w:t>
      </w:r>
      <w:proofErr w:type="spellStart"/>
      <w:r>
        <w:rPr>
          <w:rFonts w:ascii="Century Gothic" w:eastAsia="Century Gothic" w:hAnsi="Century Gothic" w:cs="Century Gothic"/>
          <w:sz w:val="20"/>
          <w:szCs w:val="20"/>
        </w:rPr>
        <w:t>Gonsoroski</w:t>
      </w:r>
      <w:proofErr w:type="spellEnd"/>
      <w:r>
        <w:rPr>
          <w:rFonts w:ascii="Century Gothic" w:eastAsia="Century Gothic" w:hAnsi="Century Gothic" w:cs="Century Gothic"/>
          <w:sz w:val="20"/>
          <w:szCs w:val="20"/>
        </w:rPr>
        <w:t xml:space="preserve"> (Co-Team Lead), </w:t>
      </w:r>
      <w:r w:rsidR="00202CE3" w:rsidRPr="001A6DED">
        <w:rPr>
          <w:rFonts w:ascii="Century Gothic" w:eastAsia="Century Gothic" w:hAnsi="Century Gothic" w:cs="Century Gothic"/>
          <w:sz w:val="20"/>
          <w:szCs w:val="20"/>
        </w:rPr>
        <w:t>egonsoroski@gmail.com</w:t>
      </w:r>
      <w:r w:rsidR="00202CE3">
        <w:rPr>
          <w:rFonts w:ascii="Century Gothic" w:eastAsia="Century Gothic" w:hAnsi="Century Gothic" w:cs="Century Gothic"/>
          <w:sz w:val="20"/>
          <w:szCs w:val="20"/>
        </w:rPr>
        <w:t xml:space="preserve"> </w:t>
      </w:r>
    </w:p>
    <w:p w:rsidR="00682DE8" w:rsidRDefault="006B362C">
      <w:pPr>
        <w:pStyle w:val="Normal1"/>
        <w:spacing w:after="0" w:line="240" w:lineRule="auto"/>
      </w:pPr>
      <w:r>
        <w:rPr>
          <w:rFonts w:ascii="Century Gothic" w:eastAsia="Century Gothic" w:hAnsi="Century Gothic" w:cs="Century Gothic"/>
          <w:sz w:val="20"/>
          <w:szCs w:val="20"/>
        </w:rPr>
        <w:t xml:space="preserve">Tyler Lynn (Co-Team Lead), </w:t>
      </w:r>
      <w:r w:rsidR="001A6DED" w:rsidRPr="001A6DED">
        <w:rPr>
          <w:rFonts w:ascii="Century Gothic" w:eastAsia="Century Gothic" w:hAnsi="Century Gothic" w:cs="Century Gothic"/>
          <w:sz w:val="20"/>
          <w:szCs w:val="20"/>
        </w:rPr>
        <w:t>tclynn11@gmail.com</w:t>
      </w:r>
      <w:r w:rsidR="00202CE3">
        <w:rPr>
          <w:rFonts w:ascii="Century Gothic" w:eastAsia="Century Gothic" w:hAnsi="Century Gothic" w:cs="Century Gothic"/>
          <w:sz w:val="20"/>
          <w:szCs w:val="20"/>
        </w:rPr>
        <w:t xml:space="preserve"> </w:t>
      </w:r>
    </w:p>
    <w:p w:rsidR="00682DE8" w:rsidRDefault="006B362C">
      <w:pPr>
        <w:pStyle w:val="Normal1"/>
        <w:spacing w:after="0" w:line="240" w:lineRule="auto"/>
      </w:pPr>
      <w:r>
        <w:rPr>
          <w:rFonts w:ascii="Century Gothic" w:eastAsia="Century Gothic" w:hAnsi="Century Gothic" w:cs="Century Gothic"/>
          <w:sz w:val="20"/>
          <w:szCs w:val="20"/>
        </w:rPr>
        <w:t xml:space="preserve">Georgina </w:t>
      </w:r>
      <w:proofErr w:type="spellStart"/>
      <w:r>
        <w:rPr>
          <w:rFonts w:ascii="Century Gothic" w:eastAsia="Century Gothic" w:hAnsi="Century Gothic" w:cs="Century Gothic"/>
          <w:sz w:val="20"/>
          <w:szCs w:val="20"/>
        </w:rPr>
        <w:t>Crepps</w:t>
      </w:r>
      <w:proofErr w:type="spellEnd"/>
    </w:p>
    <w:p w:rsidR="0056624A" w:rsidRPr="0056624A" w:rsidRDefault="0056624A">
      <w:pPr>
        <w:pStyle w:val="Normal1"/>
        <w:spacing w:after="0" w:line="240" w:lineRule="auto"/>
      </w:pPr>
      <w:r>
        <w:rPr>
          <w:rFonts w:ascii="Century Gothic" w:eastAsia="Century Gothic" w:hAnsi="Century Gothic" w:cs="Century Gothic"/>
          <w:sz w:val="20"/>
          <w:szCs w:val="20"/>
        </w:rPr>
        <w:t xml:space="preserve">Rodrigo Pereira </w:t>
      </w:r>
      <w:proofErr w:type="spellStart"/>
      <w:r>
        <w:rPr>
          <w:rFonts w:ascii="Century Gothic" w:eastAsia="Century Gothic" w:hAnsi="Century Gothic" w:cs="Century Gothic"/>
          <w:sz w:val="20"/>
          <w:szCs w:val="20"/>
        </w:rPr>
        <w:t>da</w:t>
      </w:r>
      <w:proofErr w:type="spellEnd"/>
      <w:r>
        <w:rPr>
          <w:rFonts w:ascii="Century Gothic" w:eastAsia="Century Gothic" w:hAnsi="Century Gothic" w:cs="Century Gothic"/>
          <w:sz w:val="20"/>
          <w:szCs w:val="20"/>
        </w:rPr>
        <w:t xml:space="preserve"> Silva</w:t>
      </w:r>
    </w:p>
    <w:p w:rsidR="00682DE8" w:rsidRDefault="006B362C">
      <w:pPr>
        <w:pStyle w:val="Normal1"/>
        <w:spacing w:after="0" w:line="240" w:lineRule="auto"/>
      </w:pPr>
      <w:r>
        <w:rPr>
          <w:rFonts w:ascii="Century Gothic" w:eastAsia="Century Gothic" w:hAnsi="Century Gothic" w:cs="Century Gothic"/>
          <w:sz w:val="20"/>
          <w:szCs w:val="20"/>
        </w:rPr>
        <w:t>Ryan Schick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Advisors &amp; Mentors:</w:t>
      </w:r>
    </w:p>
    <w:p w:rsidR="00682DE8" w:rsidRDefault="006B362C">
      <w:pPr>
        <w:pStyle w:val="Normal1"/>
        <w:spacing w:after="0" w:line="240" w:lineRule="auto"/>
      </w:pPr>
      <w:r>
        <w:rPr>
          <w:rFonts w:ascii="Century Gothic" w:eastAsia="Century Gothic" w:hAnsi="Century Gothic" w:cs="Century Gothic"/>
          <w:sz w:val="20"/>
          <w:szCs w:val="20"/>
        </w:rPr>
        <w:t xml:space="preserve">Joe Spruce (NASA </w:t>
      </w:r>
      <w:proofErr w:type="spellStart"/>
      <w:r>
        <w:rPr>
          <w:rFonts w:ascii="Century Gothic" w:eastAsia="Century Gothic" w:hAnsi="Century Gothic" w:cs="Century Gothic"/>
          <w:sz w:val="20"/>
          <w:szCs w:val="20"/>
        </w:rPr>
        <w:t>Stennis</w:t>
      </w:r>
      <w:proofErr w:type="spellEnd"/>
      <w:r>
        <w:rPr>
          <w:rFonts w:ascii="Century Gothic" w:eastAsia="Century Gothic" w:hAnsi="Century Gothic" w:cs="Century Gothic"/>
          <w:sz w:val="20"/>
          <w:szCs w:val="20"/>
        </w:rPr>
        <w:t xml:space="preserve"> Space Center)</w:t>
      </w: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Bernard </w:t>
      </w:r>
      <w:proofErr w:type="spellStart"/>
      <w:r>
        <w:rPr>
          <w:rFonts w:ascii="Century Gothic" w:eastAsia="Century Gothic" w:hAnsi="Century Gothic" w:cs="Century Gothic"/>
          <w:sz w:val="20"/>
          <w:szCs w:val="20"/>
        </w:rPr>
        <w:t>Eichold</w:t>
      </w:r>
      <w:proofErr w:type="spellEnd"/>
      <w:r>
        <w:rPr>
          <w:rFonts w:ascii="Century Gothic" w:eastAsia="Century Gothic" w:hAnsi="Century Gothic" w:cs="Century Gothic"/>
          <w:sz w:val="20"/>
          <w:szCs w:val="20"/>
        </w:rPr>
        <w:t>, M.D., Dr.PH (Mobile County Health Department)</w:t>
      </w:r>
    </w:p>
    <w:p w:rsidR="009D22FF" w:rsidRDefault="009D22FF">
      <w:pPr>
        <w:pStyle w:val="Normal1"/>
        <w:spacing w:after="0" w:line="240" w:lineRule="auto"/>
      </w:pPr>
      <w:r>
        <w:rPr>
          <w:rFonts w:ascii="Century Gothic" w:eastAsia="Century Gothic" w:hAnsi="Century Gothic" w:cs="Century Gothic"/>
          <w:sz w:val="20"/>
          <w:szCs w:val="20"/>
        </w:rPr>
        <w:t xml:space="preserve">James “Doc” Smoot (NASA </w:t>
      </w:r>
      <w:proofErr w:type="spellStart"/>
      <w:r>
        <w:rPr>
          <w:rFonts w:ascii="Century Gothic" w:eastAsia="Century Gothic" w:hAnsi="Century Gothic" w:cs="Century Gothic"/>
          <w:sz w:val="20"/>
          <w:szCs w:val="20"/>
        </w:rPr>
        <w:t>Stennis</w:t>
      </w:r>
      <w:proofErr w:type="spellEnd"/>
      <w:r>
        <w:rPr>
          <w:rFonts w:ascii="Century Gothic" w:eastAsia="Century Gothic" w:hAnsi="Century Gothic" w:cs="Century Gothic"/>
          <w:sz w:val="20"/>
          <w:szCs w:val="20"/>
        </w:rPr>
        <w:t xml:space="preserve"> Space Center)</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Partner Organizations</w:t>
      </w:r>
    </w:p>
    <w:p w:rsidR="00682DE8" w:rsidRDefault="006B362C">
      <w:pPr>
        <w:pStyle w:val="Normal1"/>
        <w:spacing w:after="0" w:line="240" w:lineRule="auto"/>
      </w:pPr>
      <w:r>
        <w:rPr>
          <w:rFonts w:ascii="Century Gothic" w:eastAsia="Century Gothic" w:hAnsi="Century Gothic" w:cs="Century Gothic"/>
          <w:sz w:val="20"/>
          <w:szCs w:val="20"/>
        </w:rPr>
        <w:t xml:space="preserve">National Park Service, End-user, POC: Joe </w:t>
      </w:r>
      <w:proofErr w:type="spellStart"/>
      <w:r>
        <w:rPr>
          <w:rFonts w:ascii="Century Gothic" w:eastAsia="Century Gothic" w:hAnsi="Century Gothic" w:cs="Century Gothic"/>
          <w:sz w:val="20"/>
          <w:szCs w:val="20"/>
        </w:rPr>
        <w:t>Meiman</w:t>
      </w:r>
      <w:proofErr w:type="spellEnd"/>
    </w:p>
    <w:p w:rsidR="00682DE8" w:rsidRDefault="00682DE8">
      <w:pPr>
        <w:pStyle w:val="Normal1"/>
        <w:spacing w:after="0" w:line="240" w:lineRule="auto"/>
      </w:pPr>
    </w:p>
    <w:p w:rsidR="00AC375F" w:rsidRDefault="00AC375F">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rsidR="00682DE8" w:rsidRDefault="006B362C">
      <w:pPr>
        <w:pStyle w:val="Normal1"/>
        <w:spacing w:after="0" w:line="240" w:lineRule="auto"/>
      </w:pPr>
      <w:r>
        <w:rPr>
          <w:rFonts w:ascii="Century Gothic" w:eastAsia="Century Gothic" w:hAnsi="Century Gothic" w:cs="Century Gothic"/>
          <w:b/>
          <w:sz w:val="20"/>
          <w:szCs w:val="20"/>
        </w:rPr>
        <w:t>Applied Sciences National Applications Addressed:</w:t>
      </w:r>
      <w:r w:rsidR="0040343D">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Water Resources</w:t>
      </w:r>
    </w:p>
    <w:p w:rsidR="00682DE8" w:rsidRDefault="00682DE8">
      <w:pPr>
        <w:pStyle w:val="Normal1"/>
        <w:spacing w:after="0" w:line="240" w:lineRule="auto"/>
      </w:pP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Study Area:</w:t>
      </w:r>
      <w:r>
        <w:rPr>
          <w:rFonts w:ascii="Century Gothic" w:eastAsia="Century Gothic" w:hAnsi="Century Gothic" w:cs="Century Gothic"/>
          <w:sz w:val="20"/>
          <w:szCs w:val="20"/>
        </w:rPr>
        <w:t xml:space="preserve"> Texas (TX): </w:t>
      </w:r>
      <w:r w:rsidR="00236A54" w:rsidRPr="00236A54">
        <w:rPr>
          <w:rFonts w:ascii="Century Gothic" w:eastAsia="Century Gothic" w:hAnsi="Century Gothic" w:cs="Century Gothic"/>
          <w:sz w:val="20"/>
          <w:szCs w:val="20"/>
        </w:rPr>
        <w:t>The project study area was the Laguna Madre of the Padre Island National Seashore located in southern Texas along the Gulf of Mexico. The latitude lines 27.6 N and 26.2 N were used for the northern and southern boundaries of the study area, respectively. The western boundary stretched past US Highway 77 while the eastern boundary extended into the Gulf of Mexico.</w:t>
      </w:r>
    </w:p>
    <w:p w:rsidR="00AC375F" w:rsidRDefault="00AC375F">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2000 - 2015</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Earth Observations &amp; Parameters</w:t>
      </w:r>
    </w:p>
    <w:p w:rsidR="0056624A" w:rsidRPr="0056624A" w:rsidRDefault="0056624A">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 - Thermal bands, land cover</w:t>
      </w:r>
    </w:p>
    <w:p w:rsidR="00682DE8" w:rsidRDefault="006B362C">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 - </w:t>
      </w:r>
      <w:r w:rsidR="00F65487">
        <w:rPr>
          <w:rFonts w:ascii="Century Gothic" w:eastAsia="Century Gothic" w:hAnsi="Century Gothic" w:cs="Century Gothic"/>
          <w:sz w:val="20"/>
          <w:szCs w:val="20"/>
        </w:rPr>
        <w:t xml:space="preserve">Thermal bands, </w:t>
      </w:r>
      <w:r>
        <w:rPr>
          <w:rFonts w:ascii="Century Gothic" w:eastAsia="Century Gothic" w:hAnsi="Century Gothic" w:cs="Century Gothic"/>
          <w:sz w:val="20"/>
          <w:szCs w:val="20"/>
        </w:rPr>
        <w:t>Land cover</w:t>
      </w:r>
    </w:p>
    <w:p w:rsidR="00682DE8" w:rsidRDefault="006B362C">
      <w:pPr>
        <w:pStyle w:val="Normal1"/>
        <w:spacing w:after="0" w:line="240" w:lineRule="auto"/>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 &amp; OLI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GRACE, ACC/SCA/KBR - </w:t>
      </w:r>
      <w:r w:rsidR="00C203E6">
        <w:rPr>
          <w:rFonts w:ascii="Century Gothic" w:eastAsia="Century Gothic" w:hAnsi="Century Gothic" w:cs="Century Gothic"/>
          <w:sz w:val="20"/>
          <w:szCs w:val="20"/>
        </w:rPr>
        <w:t>R</w:t>
      </w:r>
      <w:r w:rsidR="001C2706">
        <w:rPr>
          <w:rFonts w:ascii="Century Gothic" w:eastAsia="Century Gothic" w:hAnsi="Century Gothic" w:cs="Century Gothic"/>
          <w:sz w:val="20"/>
          <w:szCs w:val="20"/>
        </w:rPr>
        <w:t>oot zone soil moisture content</w:t>
      </w:r>
    </w:p>
    <w:p w:rsidR="00682DE8" w:rsidRDefault="006B362C">
      <w:pPr>
        <w:pStyle w:val="Normal1"/>
        <w:spacing w:after="0" w:line="240" w:lineRule="auto"/>
      </w:pPr>
      <w:r>
        <w:rPr>
          <w:rFonts w:ascii="Century Gothic" w:eastAsia="Century Gothic" w:hAnsi="Century Gothic" w:cs="Century Gothic"/>
          <w:sz w:val="20"/>
          <w:szCs w:val="20"/>
        </w:rPr>
        <w:t xml:space="preserve">TRMM, Precipitation Radar </w:t>
      </w:r>
      <w:r w:rsidR="00AC375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 accumulation</w:t>
      </w:r>
    </w:p>
    <w:p w:rsidR="00230053" w:rsidRDefault="00230053">
      <w:pPr>
        <w:pStyle w:val="Normal1"/>
        <w:spacing w:after="0" w:line="240" w:lineRule="auto"/>
        <w:rPr>
          <w:rFonts w:ascii="Century Gothic" w:eastAsia="Century Gothic" w:hAnsi="Century Gothic" w:cs="Century Gothic"/>
          <w:b/>
          <w:sz w:val="20"/>
          <w:szCs w:val="20"/>
        </w:rPr>
      </w:pPr>
    </w:p>
    <w:p w:rsidR="00682DE8" w:rsidRDefault="006B362C">
      <w:pPr>
        <w:pStyle w:val="Normal1"/>
        <w:spacing w:after="0" w:line="240" w:lineRule="auto"/>
      </w:pPr>
      <w:r>
        <w:rPr>
          <w:rFonts w:ascii="Century Gothic" w:eastAsia="Century Gothic" w:hAnsi="Century Gothic" w:cs="Century Gothic"/>
          <w:b/>
          <w:sz w:val="20"/>
          <w:szCs w:val="20"/>
        </w:rPr>
        <w:t>Ancillary Datasets Utilized</w:t>
      </w:r>
    </w:p>
    <w:p w:rsidR="00682DE8" w:rsidRDefault="006B362C">
      <w:pPr>
        <w:pStyle w:val="Normal1"/>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National Park Service - </w:t>
      </w:r>
      <w:r w:rsidR="00A34652" w:rsidRPr="00A34652">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and historic water temperature and salinity data</w:t>
      </w:r>
    </w:p>
    <w:p w:rsidR="00682DE8" w:rsidRDefault="006B362C">
      <w:pPr>
        <w:pStyle w:val="Normal1"/>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Texas State Data Center - County </w:t>
      </w:r>
      <w:proofErr w:type="spellStart"/>
      <w:r w:rsidR="009D22FF">
        <w:rPr>
          <w:rFonts w:ascii="Century Gothic" w:eastAsia="Century Gothic" w:hAnsi="Century Gothic" w:cs="Century Gothic"/>
          <w:sz w:val="20"/>
          <w:szCs w:val="20"/>
        </w:rPr>
        <w:t>s</w:t>
      </w:r>
      <w:r>
        <w:rPr>
          <w:rFonts w:ascii="Century Gothic" w:eastAsia="Century Gothic" w:hAnsi="Century Gothic" w:cs="Century Gothic"/>
          <w:sz w:val="20"/>
          <w:szCs w:val="20"/>
        </w:rPr>
        <w:t>hapefiles</w:t>
      </w:r>
      <w:proofErr w:type="spellEnd"/>
      <w:r>
        <w:rPr>
          <w:rFonts w:ascii="Century Gothic" w:eastAsia="Century Gothic" w:hAnsi="Century Gothic" w:cs="Century Gothic"/>
          <w:sz w:val="20"/>
          <w:szCs w:val="20"/>
        </w:rPr>
        <w:t xml:space="preserve"> of Kleberg and </w:t>
      </w:r>
      <w:proofErr w:type="spellStart"/>
      <w:r>
        <w:rPr>
          <w:rFonts w:ascii="Century Gothic" w:eastAsia="Century Gothic" w:hAnsi="Century Gothic" w:cs="Century Gothic"/>
          <w:sz w:val="20"/>
          <w:szCs w:val="20"/>
        </w:rPr>
        <w:t>Kenedy</w:t>
      </w:r>
      <w:proofErr w:type="spellEnd"/>
      <w:r>
        <w:rPr>
          <w:rFonts w:ascii="Century Gothic" w:eastAsia="Century Gothic" w:hAnsi="Century Gothic" w:cs="Century Gothic"/>
          <w:sz w:val="20"/>
          <w:szCs w:val="20"/>
        </w:rPr>
        <w:t xml:space="preserve"> counties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Software Utilized</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ERDAS IMAGINE - land classification of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imagery</w:t>
      </w:r>
    </w:p>
    <w:p w:rsidR="00682DE8" w:rsidRDefault="006B362C">
      <w:pPr>
        <w:pStyle w:val="Normal1"/>
        <w:spacing w:after="0" w:line="240" w:lineRule="auto"/>
        <w:ind w:left="720" w:hanging="720"/>
      </w:pPr>
      <w:proofErr w:type="spellStart"/>
      <w:r>
        <w:rPr>
          <w:rFonts w:ascii="Century Gothic" w:eastAsia="Century Gothic" w:hAnsi="Century Gothic" w:cs="Century Gothic"/>
          <w:sz w:val="20"/>
          <w:szCs w:val="20"/>
        </w:rPr>
        <w:t>ArcGIS</w:t>
      </w:r>
      <w:proofErr w:type="spellEnd"/>
      <w:r>
        <w:rPr>
          <w:rFonts w:ascii="Century Gothic" w:eastAsia="Century Gothic" w:hAnsi="Century Gothic" w:cs="Century Gothic"/>
          <w:sz w:val="20"/>
          <w:szCs w:val="20"/>
        </w:rPr>
        <w:t xml:space="preserve"> - </w:t>
      </w:r>
      <w:r w:rsidR="00D04822">
        <w:rPr>
          <w:rFonts w:ascii="Century Gothic" w:eastAsia="Century Gothic" w:hAnsi="Century Gothic" w:cs="Century Gothic"/>
          <w:sz w:val="20"/>
          <w:szCs w:val="20"/>
        </w:rPr>
        <w:t>r</w:t>
      </w:r>
      <w:r>
        <w:rPr>
          <w:rFonts w:ascii="Century Gothic" w:eastAsia="Century Gothic" w:hAnsi="Century Gothic" w:cs="Century Gothic"/>
          <w:sz w:val="20"/>
          <w:szCs w:val="20"/>
        </w:rPr>
        <w:t xml:space="preserve">aster </w:t>
      </w:r>
      <w:r w:rsidR="00D04822">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nalysis of GRACE </w:t>
      </w:r>
      <w:r w:rsidR="001C2706">
        <w:rPr>
          <w:rFonts w:ascii="Century Gothic" w:eastAsia="Century Gothic" w:hAnsi="Century Gothic" w:cs="Century Gothic"/>
          <w:sz w:val="20"/>
          <w:szCs w:val="20"/>
        </w:rPr>
        <w:t xml:space="preserve">derived </w:t>
      </w:r>
      <w:r>
        <w:rPr>
          <w:rFonts w:ascii="Century Gothic" w:eastAsia="Century Gothic" w:hAnsi="Century Gothic" w:cs="Century Gothic"/>
          <w:sz w:val="20"/>
          <w:szCs w:val="20"/>
        </w:rPr>
        <w:t xml:space="preserve">data,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 and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 map creati</w:t>
      </w:r>
      <w:r w:rsidR="00AC375F">
        <w:rPr>
          <w:rFonts w:ascii="Century Gothic" w:eastAsia="Century Gothic" w:hAnsi="Century Gothic" w:cs="Century Gothic"/>
          <w:sz w:val="20"/>
          <w:szCs w:val="20"/>
        </w:rPr>
        <w:t>on, TRMM precipitation analysis</w:t>
      </w:r>
    </w:p>
    <w:p w:rsidR="00682DE8" w:rsidRDefault="006B362C">
      <w:pPr>
        <w:pStyle w:val="Normal1"/>
        <w:spacing w:after="0" w:line="240" w:lineRule="auto"/>
        <w:ind w:left="720" w:hanging="720"/>
        <w:rPr>
          <w:rFonts w:ascii="Century Gothic" w:eastAsia="Century Gothic" w:hAnsi="Century Gothic" w:cs="Century Gothic"/>
          <w:sz w:val="20"/>
          <w:szCs w:val="20"/>
        </w:rPr>
      </w:pPr>
      <w:proofErr w:type="spellStart"/>
      <w:proofErr w:type="gramStart"/>
      <w:r>
        <w:rPr>
          <w:rFonts w:ascii="Century Gothic" w:eastAsia="Century Gothic" w:hAnsi="Century Gothic" w:cs="Century Gothic"/>
          <w:sz w:val="20"/>
          <w:szCs w:val="20"/>
        </w:rPr>
        <w:t>dn</w:t>
      </w:r>
      <w:r w:rsidR="00F65487">
        <w:rPr>
          <w:rFonts w:ascii="Century Gothic" w:eastAsia="Century Gothic" w:hAnsi="Century Gothic" w:cs="Century Gothic"/>
          <w:sz w:val="20"/>
          <w:szCs w:val="20"/>
        </w:rPr>
        <w:t>p</w:t>
      </w:r>
      <w:r>
        <w:rPr>
          <w:rFonts w:ascii="Century Gothic" w:eastAsia="Century Gothic" w:hAnsi="Century Gothic" w:cs="Century Gothic"/>
          <w:sz w:val="20"/>
          <w:szCs w:val="20"/>
        </w:rPr>
        <w:t>py</w:t>
      </w:r>
      <w:proofErr w:type="spellEnd"/>
      <w:proofErr w:type="gramEnd"/>
      <w:r>
        <w:rPr>
          <w:rFonts w:ascii="Century Gothic" w:eastAsia="Century Gothic" w:hAnsi="Century Gothic" w:cs="Century Gothic"/>
          <w:sz w:val="20"/>
          <w:szCs w:val="20"/>
        </w:rPr>
        <w:t xml:space="preserve"> - scripts for converting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imagery to TOA reflectance and surface temperature with Python</w:t>
      </w:r>
    </w:p>
    <w:p w:rsidR="0056624A" w:rsidRDefault="0056624A">
      <w:pPr>
        <w:pStyle w:val="Normal1"/>
        <w:spacing w:after="0" w:line="240" w:lineRule="auto"/>
        <w:ind w:left="720" w:hanging="72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TerrSET</w:t>
      </w:r>
      <w:proofErr w:type="spellEnd"/>
      <w:r>
        <w:rPr>
          <w:rFonts w:ascii="Century Gothic" w:eastAsia="Century Gothic" w:hAnsi="Century Gothic" w:cs="Century Gothic"/>
          <w:sz w:val="20"/>
          <w:szCs w:val="20"/>
        </w:rPr>
        <w:t xml:space="preserve"> Geospatial Monitoring and Modeling System - Land Change Modeler to compute changes in land cover over the study period</w:t>
      </w:r>
    </w:p>
    <w:p w:rsidR="0037140E" w:rsidRDefault="00673D9D" w:rsidP="0037140E">
      <w:pPr>
        <w:pStyle w:val="Normal1"/>
        <w:spacing w:after="0" w:line="240" w:lineRule="auto"/>
        <w:rPr>
          <w:rFonts w:ascii="Century Gothic" w:hAnsi="Century Gothic"/>
          <w:sz w:val="20"/>
          <w:szCs w:val="20"/>
        </w:rPr>
      </w:pPr>
      <w:proofErr w:type="spellStart"/>
      <w:r w:rsidRPr="00673D9D">
        <w:rPr>
          <w:rFonts w:ascii="Century Gothic" w:hAnsi="Century Gothic"/>
          <w:sz w:val="20"/>
          <w:szCs w:val="20"/>
        </w:rPr>
        <w:t>Exelis</w:t>
      </w:r>
      <w:proofErr w:type="spellEnd"/>
      <w:r w:rsidRPr="00673D9D">
        <w:rPr>
          <w:rFonts w:ascii="Century Gothic" w:hAnsi="Century Gothic"/>
          <w:sz w:val="20"/>
          <w:szCs w:val="20"/>
        </w:rPr>
        <w:t xml:space="preserve"> ENVI +IDL – </w:t>
      </w:r>
      <w:proofErr w:type="spellStart"/>
      <w:r w:rsidRPr="00673D9D">
        <w:rPr>
          <w:rFonts w:ascii="Century Gothic" w:hAnsi="Century Gothic"/>
          <w:sz w:val="20"/>
          <w:szCs w:val="20"/>
        </w:rPr>
        <w:t>Landsat</w:t>
      </w:r>
      <w:proofErr w:type="spellEnd"/>
      <w:r w:rsidRPr="00673D9D">
        <w:rPr>
          <w:rFonts w:ascii="Century Gothic" w:hAnsi="Century Gothic"/>
          <w:sz w:val="20"/>
          <w:szCs w:val="20"/>
        </w:rPr>
        <w:t xml:space="preserve"> 7 radiance calibration, digital numbers to radiance</w:t>
      </w:r>
    </w:p>
    <w:p w:rsid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R – Statistical analysis</w:t>
      </w:r>
    </w:p>
    <w:p w:rsid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Microsoft Excel – Statistical analysis, creation of graphs and tables</w:t>
      </w:r>
    </w:p>
    <w:p w:rsidR="0037140E" w:rsidRPr="0037140E" w:rsidRDefault="0037140E" w:rsidP="0037140E">
      <w:pPr>
        <w:pStyle w:val="Normal1"/>
        <w:spacing w:after="0" w:line="240" w:lineRule="auto"/>
        <w:rPr>
          <w:rFonts w:ascii="Century Gothic" w:hAnsi="Century Gothic"/>
          <w:sz w:val="20"/>
          <w:szCs w:val="20"/>
        </w:rPr>
      </w:pPr>
      <w:r>
        <w:rPr>
          <w:rFonts w:ascii="Century Gothic" w:hAnsi="Century Gothic"/>
          <w:sz w:val="20"/>
          <w:szCs w:val="20"/>
        </w:rPr>
        <w:t>Python IDLE Graphical User Interface – Raster processing, applying TOA reflectance and cloud masks to raster data, calculating and exporting statistics from raster data</w:t>
      </w:r>
    </w:p>
    <w:p w:rsidR="00682DE8" w:rsidRDefault="00682DE8">
      <w:pPr>
        <w:pStyle w:val="Normal1"/>
        <w:spacing w:after="0" w:line="240" w:lineRule="auto"/>
      </w:pPr>
    </w:p>
    <w:p w:rsidR="00AC375F" w:rsidRPr="00603BB8" w:rsidRDefault="00AC375F" w:rsidP="000A66B1">
      <w:pPr>
        <w:pBdr>
          <w:bottom w:val="single" w:sz="4" w:space="0"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rsidR="00682DE8" w:rsidRDefault="006B362C">
      <w:pPr>
        <w:pStyle w:val="Normal1"/>
        <w:spacing w:after="0" w:line="240" w:lineRule="auto"/>
      </w:pPr>
      <w:r>
        <w:rPr>
          <w:rFonts w:ascii="Century Gothic" w:eastAsia="Century Gothic" w:hAnsi="Century Gothic" w:cs="Century Gothic"/>
          <w:b/>
          <w:sz w:val="20"/>
          <w:szCs w:val="20"/>
        </w:rPr>
        <w:t>80-100 Word Objectives Overview</w:t>
      </w:r>
    </w:p>
    <w:p w:rsidR="00682DE8" w:rsidRDefault="006B362C">
      <w:pPr>
        <w:pStyle w:val="Normal1"/>
        <w:spacing w:after="0" w:line="240" w:lineRule="auto"/>
      </w:pPr>
      <w:r>
        <w:rPr>
          <w:rFonts w:ascii="Century Gothic" w:eastAsia="Century Gothic" w:hAnsi="Century Gothic" w:cs="Century Gothic"/>
          <w:sz w:val="20"/>
          <w:szCs w:val="20"/>
        </w:rPr>
        <w:t>The project was conducted in conjunction with the National Park Service to address concerns regarding the salinity of the Laguna Madre in the Padre Island National Seashore. NASA Earth observation data were utilized to conduct precipitation analysis, in addition to creating a land use/land cover (LULC) map time series of vegetation in the study area,</w:t>
      </w:r>
      <w:r w:rsidR="001467DC">
        <w:rPr>
          <w:rFonts w:ascii="Century Gothic" w:eastAsia="Century Gothic" w:hAnsi="Century Gothic" w:cs="Century Gothic"/>
          <w:sz w:val="20"/>
          <w:szCs w:val="20"/>
        </w:rPr>
        <w:t xml:space="preserve"> a root zone soil moisture content map time series</w:t>
      </w:r>
      <w:r w:rsidR="00D63C1A">
        <w:rPr>
          <w:rFonts w:ascii="Century Gothic" w:eastAsia="Century Gothic" w:hAnsi="Century Gothic" w:cs="Century Gothic"/>
          <w:sz w:val="20"/>
          <w:szCs w:val="20"/>
        </w:rPr>
        <w:t>,</w:t>
      </w:r>
      <w:r w:rsidR="001467DC">
        <w:rPr>
          <w:rFonts w:ascii="Century Gothic" w:eastAsia="Century Gothic" w:hAnsi="Century Gothic" w:cs="Century Gothic"/>
          <w:sz w:val="20"/>
          <w:szCs w:val="20"/>
        </w:rPr>
        <w:t xml:space="preserve"> </w:t>
      </w:r>
      <w:r w:rsidR="0040343D">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thermal map</w:t>
      </w:r>
      <w:r w:rsidR="0040343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the </w:t>
      </w:r>
      <w:r w:rsidR="00000051">
        <w:rPr>
          <w:rFonts w:ascii="Century Gothic" w:eastAsia="Century Gothic" w:hAnsi="Century Gothic" w:cs="Century Gothic"/>
          <w:sz w:val="20"/>
          <w:szCs w:val="20"/>
        </w:rPr>
        <w:t>lagoon</w:t>
      </w:r>
      <w:r>
        <w:rPr>
          <w:rFonts w:ascii="Century Gothic" w:eastAsia="Century Gothic" w:hAnsi="Century Gothic" w:cs="Century Gothic"/>
          <w:sz w:val="20"/>
          <w:szCs w:val="20"/>
        </w:rPr>
        <w:t xml:space="preserve">. These products were ultimately used to understand the suspected </w:t>
      </w:r>
      <w:r w:rsidR="0056624A">
        <w:rPr>
          <w:rFonts w:ascii="Century Gothic" w:eastAsia="Century Gothic" w:hAnsi="Century Gothic" w:cs="Century Gothic"/>
          <w:sz w:val="20"/>
          <w:szCs w:val="20"/>
        </w:rPr>
        <w:t xml:space="preserve">positive </w:t>
      </w:r>
      <w:r>
        <w:rPr>
          <w:rFonts w:ascii="Century Gothic" w:eastAsia="Century Gothic" w:hAnsi="Century Gothic" w:cs="Century Gothic"/>
          <w:sz w:val="20"/>
          <w:szCs w:val="20"/>
        </w:rPr>
        <w:t>correlation between the increased salinity of the lagoon and the increase</w:t>
      </w:r>
      <w:r w:rsidR="0056624A">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w:t>
      </w:r>
      <w:r w:rsidR="009D22FF">
        <w:rPr>
          <w:rFonts w:ascii="Century Gothic" w:eastAsia="Century Gothic" w:hAnsi="Century Gothic" w:cs="Century Gothic"/>
          <w:sz w:val="20"/>
          <w:szCs w:val="20"/>
        </w:rPr>
        <w:t>occurrence</w:t>
      </w:r>
      <w:r>
        <w:rPr>
          <w:rFonts w:ascii="Century Gothic" w:eastAsia="Century Gothic" w:hAnsi="Century Gothic" w:cs="Century Gothic"/>
          <w:sz w:val="20"/>
          <w:szCs w:val="20"/>
        </w:rPr>
        <w:t xml:space="preserve"> of mesquite trees in the surrounding area.</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Abstract</w:t>
      </w:r>
    </w:p>
    <w:p w:rsidR="00BE624D" w:rsidRDefault="00BE624D" w:rsidP="00BE624D">
      <w:pPr>
        <w:pStyle w:val="Normal1"/>
        <w:spacing w:after="0" w:line="240" w:lineRule="auto"/>
      </w:pPr>
      <w:r>
        <w:rPr>
          <w:rFonts w:ascii="Century Gothic" w:eastAsia="Century Gothic" w:hAnsi="Century Gothic" w:cs="Century Gothic"/>
          <w:sz w:val="20"/>
          <w:szCs w:val="20"/>
        </w:rPr>
        <w:t xml:space="preserve">This project partnered with the National Park Service (NPS) to help analyze the correlation between mesquite trees and the salinity of the Laguna Madre of Padre Island National Seashore. The lagoon is a </w:t>
      </w:r>
      <w:proofErr w:type="spellStart"/>
      <w:r>
        <w:rPr>
          <w:rFonts w:ascii="Century Gothic" w:eastAsia="Century Gothic" w:hAnsi="Century Gothic" w:cs="Century Gothic"/>
          <w:sz w:val="20"/>
          <w:szCs w:val="20"/>
        </w:rPr>
        <w:t>hypersaline</w:t>
      </w:r>
      <w:proofErr w:type="spellEnd"/>
      <w:r>
        <w:rPr>
          <w:rFonts w:ascii="Century Gothic" w:eastAsia="Century Gothic" w:hAnsi="Century Gothic" w:cs="Century Gothic"/>
          <w:sz w:val="20"/>
          <w:szCs w:val="20"/>
        </w:rPr>
        <w:t xml:space="preserve"> estuary; however, there is historical evidence that this was not always the case. It is hypothesized that the increase in the number of honey mesquite trees (</w:t>
      </w:r>
      <w:proofErr w:type="spellStart"/>
      <w:r>
        <w:rPr>
          <w:rFonts w:ascii="Century Gothic" w:eastAsia="Century Gothic" w:hAnsi="Century Gothic" w:cs="Century Gothic"/>
          <w:i/>
          <w:sz w:val="20"/>
          <w:szCs w:val="20"/>
        </w:rPr>
        <w:t>Prosopis</w:t>
      </w:r>
      <w:proofErr w:type="spellEnd"/>
      <w:r>
        <w:rPr>
          <w:rFonts w:ascii="Century Gothic" w:eastAsia="Century Gothic" w:hAnsi="Century Gothic" w:cs="Century Gothic"/>
          <w:i/>
          <w:sz w:val="20"/>
          <w:szCs w:val="20"/>
        </w:rPr>
        <w:t xml:space="preserve"> </w:t>
      </w:r>
      <w:proofErr w:type="spellStart"/>
      <w:r w:rsidR="00654C6E">
        <w:rPr>
          <w:rFonts w:ascii="Century Gothic" w:eastAsia="Century Gothic" w:hAnsi="Century Gothic" w:cs="Century Gothic"/>
          <w:i/>
          <w:sz w:val="20"/>
          <w:szCs w:val="20"/>
        </w:rPr>
        <w:t>gl</w:t>
      </w:r>
      <w:bookmarkStart w:id="0" w:name="_GoBack"/>
      <w:bookmarkEnd w:id="0"/>
      <w:r w:rsidR="00654C6E">
        <w:rPr>
          <w:rFonts w:ascii="Century Gothic" w:eastAsia="Century Gothic" w:hAnsi="Century Gothic" w:cs="Century Gothic"/>
          <w:i/>
          <w:sz w:val="20"/>
          <w:szCs w:val="20"/>
        </w:rPr>
        <w:t>andulosa</w:t>
      </w:r>
      <w:proofErr w:type="spellEnd"/>
      <w:r w:rsidR="00654C6E">
        <w:rPr>
          <w:rFonts w:ascii="Century Gothic" w:eastAsia="Century Gothic" w:hAnsi="Century Gothic" w:cs="Century Gothic"/>
          <w:i/>
          <w:sz w:val="20"/>
          <w:szCs w:val="20"/>
        </w:rPr>
        <w:t xml:space="preserve"> </w:t>
      </w:r>
      <w:r>
        <w:rPr>
          <w:rFonts w:ascii="Century Gothic" w:eastAsia="Century Gothic" w:hAnsi="Century Gothic" w:cs="Century Gothic"/>
          <w:i/>
          <w:sz w:val="20"/>
          <w:szCs w:val="20"/>
        </w:rPr>
        <w:t xml:space="preserve">var. </w:t>
      </w:r>
      <w:proofErr w:type="spellStart"/>
      <w:r>
        <w:rPr>
          <w:rFonts w:ascii="Century Gothic" w:eastAsia="Century Gothic" w:hAnsi="Century Gothic" w:cs="Century Gothic"/>
          <w:i/>
          <w:sz w:val="20"/>
          <w:szCs w:val="20"/>
        </w:rPr>
        <w:t>glandulosa</w:t>
      </w:r>
      <w:proofErr w:type="spellEnd"/>
      <w:r>
        <w:rPr>
          <w:rFonts w:ascii="Century Gothic" w:eastAsia="Century Gothic" w:hAnsi="Century Gothic" w:cs="Century Gothic"/>
          <w:i/>
          <w:sz w:val="20"/>
          <w:szCs w:val="20"/>
        </w:rPr>
        <w:t>)</w:t>
      </w:r>
      <w:r>
        <w:rPr>
          <w:rFonts w:ascii="Century Gothic" w:eastAsia="Century Gothic" w:hAnsi="Century Gothic" w:cs="Century Gothic"/>
          <w:sz w:val="20"/>
          <w:szCs w:val="20"/>
        </w:rPr>
        <w:t xml:space="preserve"> in the area has contributed to the Laguna Madre’s increased salinity by decreasing the groundwater inflow to the lagoon. These mesquite trees have long taproots capable of extracting significant amounts of groundwater. This project utilized Earth observation data in ERDAS IMAGINE and </w:t>
      </w:r>
      <w:proofErr w:type="spellStart"/>
      <w:r>
        <w:rPr>
          <w:rFonts w:ascii="Century Gothic" w:eastAsia="Century Gothic" w:hAnsi="Century Gothic" w:cs="Century Gothic"/>
          <w:sz w:val="20"/>
          <w:szCs w:val="20"/>
        </w:rPr>
        <w:t>ArcGIS</w:t>
      </w:r>
      <w:proofErr w:type="spellEnd"/>
      <w:r>
        <w:rPr>
          <w:rFonts w:ascii="Century Gothic" w:eastAsia="Century Gothic" w:hAnsi="Century Gothic" w:cs="Century Gothic"/>
          <w:sz w:val="20"/>
          <w:szCs w:val="20"/>
        </w:rPr>
        <w:t xml:space="preserve"> software to create map time series and analyze the data.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7, and 8 data were used to create land use/land cover (LULC) maps in order to analyze the change in the occurrence of mesquite trees over time. Thermal maps of the lagoon were generated using </w:t>
      </w: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w:t>
      </w:r>
      <w:r w:rsidR="0040343D">
        <w:rPr>
          <w:rFonts w:ascii="Century Gothic" w:eastAsia="Century Gothic" w:hAnsi="Century Gothic" w:cs="Century Gothic"/>
          <w:sz w:val="20"/>
          <w:szCs w:val="20"/>
        </w:rPr>
        <w:t>, 7,</w:t>
      </w:r>
      <w:r>
        <w:rPr>
          <w:rFonts w:ascii="Century Gothic" w:eastAsia="Century Gothic" w:hAnsi="Century Gothic" w:cs="Century Gothic"/>
          <w:sz w:val="20"/>
          <w:szCs w:val="20"/>
        </w:rPr>
        <w:t xml:space="preserve"> and 8 data to understand changes in groundwater inflow. In addition, TRMM and GRACE derived changes in root zone soil moisture content data were compared over the study period. By investigating the suspected positive correlation between the mesquite trees and the salinity of the Laguna Madre, the NPS can improve future land management practices.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Community Concerns</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 xml:space="preserve">Increasing salinity of Laguna Madre of the Padre Island National Seashore, an already </w:t>
      </w:r>
      <w:proofErr w:type="spellStart"/>
      <w:r>
        <w:rPr>
          <w:rFonts w:ascii="Century Gothic" w:eastAsia="Century Gothic" w:hAnsi="Century Gothic" w:cs="Century Gothic"/>
          <w:sz w:val="20"/>
          <w:szCs w:val="20"/>
        </w:rPr>
        <w:t>hypersaline</w:t>
      </w:r>
      <w:proofErr w:type="spellEnd"/>
      <w:r>
        <w:rPr>
          <w:rFonts w:ascii="Century Gothic" w:eastAsia="Century Gothic" w:hAnsi="Century Gothic" w:cs="Century Gothic"/>
          <w:sz w:val="20"/>
          <w:szCs w:val="20"/>
        </w:rPr>
        <w:t xml:space="preserve"> estuary</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Proliferation of mesquite trees (</w:t>
      </w:r>
      <w:r w:rsidR="00146196">
        <w:rPr>
          <w:rFonts w:ascii="Century Gothic" w:eastAsia="Century Gothic" w:hAnsi="Century Gothic" w:cs="Century Gothic"/>
          <w:sz w:val="20"/>
          <w:szCs w:val="20"/>
        </w:rPr>
        <w:t>n</w:t>
      </w:r>
      <w:r>
        <w:rPr>
          <w:rFonts w:ascii="Century Gothic" w:eastAsia="Century Gothic" w:hAnsi="Century Gothic" w:cs="Century Gothic"/>
          <w:sz w:val="20"/>
          <w:szCs w:val="20"/>
        </w:rPr>
        <w:t xml:space="preserve">ative but harmful to </w:t>
      </w:r>
      <w:r w:rsidR="00AC375F">
        <w:rPr>
          <w:rFonts w:ascii="Century Gothic" w:eastAsia="Century Gothic" w:hAnsi="Century Gothic" w:cs="Century Gothic"/>
          <w:sz w:val="20"/>
          <w:szCs w:val="20"/>
        </w:rPr>
        <w:t>the ecosystem) in the ecosystem</w:t>
      </w:r>
    </w:p>
    <w:p w:rsidR="00682DE8" w:rsidRPr="0037140E" w:rsidRDefault="006B362C">
      <w:pPr>
        <w:pStyle w:val="Normal1"/>
        <w:numPr>
          <w:ilvl w:val="0"/>
          <w:numId w:val="3"/>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Decrease</w:t>
      </w:r>
      <w:r w:rsidR="001A6DED">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gr</w:t>
      </w:r>
      <w:r w:rsidR="00AC375F">
        <w:rPr>
          <w:rFonts w:ascii="Century Gothic" w:eastAsia="Century Gothic" w:hAnsi="Century Gothic" w:cs="Century Gothic"/>
          <w:sz w:val="20"/>
          <w:szCs w:val="20"/>
        </w:rPr>
        <w:t>oundwater inflow to the estuary</w:t>
      </w:r>
    </w:p>
    <w:p w:rsidR="0037140E" w:rsidRPr="0037140E" w:rsidRDefault="0037140E">
      <w:pPr>
        <w:pStyle w:val="Normal1"/>
        <w:numPr>
          <w:ilvl w:val="0"/>
          <w:numId w:val="3"/>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Increasing salinity could potentially disrupt the current ecosystem which is home to multiple threatened species including </w:t>
      </w:r>
      <w:proofErr w:type="spellStart"/>
      <w:r>
        <w:rPr>
          <w:rFonts w:ascii="Century Gothic" w:eastAsia="Century Gothic" w:hAnsi="Century Gothic" w:cs="Century Gothic"/>
          <w:sz w:val="20"/>
          <w:szCs w:val="20"/>
        </w:rPr>
        <w:t>seagrasses</w:t>
      </w:r>
      <w:proofErr w:type="spellEnd"/>
      <w:r>
        <w:rPr>
          <w:rFonts w:ascii="Century Gothic" w:eastAsia="Century Gothic" w:hAnsi="Century Gothic" w:cs="Century Gothic"/>
          <w:sz w:val="20"/>
          <w:szCs w:val="20"/>
        </w:rPr>
        <w:t xml:space="preserve"> and sea turtles</w:t>
      </w:r>
    </w:p>
    <w:p w:rsidR="0037140E" w:rsidRDefault="0037140E">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 xml:space="preserve">The Laguna Madre is also a productive fishery and changes in salinity  </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Current Management Practices &amp; Policies</w:t>
      </w:r>
    </w:p>
    <w:p w:rsidR="00682DE8" w:rsidRDefault="006B362C">
      <w:pPr>
        <w:pStyle w:val="Normal1"/>
        <w:spacing w:after="0" w:line="240" w:lineRule="auto"/>
      </w:pPr>
      <w:r>
        <w:rPr>
          <w:rFonts w:ascii="Century Gothic" w:eastAsia="Century Gothic" w:hAnsi="Century Gothic" w:cs="Century Gothic"/>
          <w:sz w:val="20"/>
          <w:szCs w:val="20"/>
        </w:rPr>
        <w:t>As part of the Padre Island National Seashore, the Laguna Madre falls under federal land management. Currently</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 water quality and nutrient levels of the Laguna Madre are monitored with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data collection in limited locations by the National Park Service. However, the relationship between mesquite trees, groundwater and the salinity of the lagoon is not systematically being studied. One challenge in conducting studies of the Laguna Madre is that much of the surrounding land is privately owned. There are policies on both the state and federal levels which protect the health of the Laguna Madre. The Texas General Land Office (TGLO) manages the Texas Coastal Management Program, which is federally approved, and allocates funds to a number of projects that address issues concerning coastal health (TGLO 2015). The lagoon also falls within national park boundaries and</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therefore</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is under the care of the National Park Service (NPS). Additionally on the federal level, the Office of Water (OW) under the Environmental Protection Agency (EPA) is responsible for ensuring water health nationwide with the help of entities at the regional, state and local level (EPA 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The National Estuary Program (NEP), which was established by the 1987 Clean Water Act (CWA), is also managed by the EPA. The NEP is charged with creating a Comprehensive Conservation and Management Plan (CCMP) designed to ensure water quality and overall estuary health (EPA 2014). Some other federal policies which address the estuary’s health include the Shore Protection Act (SPA) of 1988, the BEACH Act of 2000 and the Coastal Zone Manag</w:t>
      </w:r>
      <w:r w:rsidR="00AC375F">
        <w:rPr>
          <w:rFonts w:ascii="Century Gothic" w:eastAsia="Century Gothic" w:hAnsi="Century Gothic" w:cs="Century Gothic"/>
          <w:sz w:val="20"/>
          <w:szCs w:val="20"/>
        </w:rPr>
        <w:t>ement Act of 1972 (EPA 2014</w:t>
      </w:r>
      <w:r w:rsidR="0040343D">
        <w:rPr>
          <w:rFonts w:ascii="Century Gothic" w:eastAsia="Century Gothic" w:hAnsi="Century Gothic" w:cs="Century Gothic"/>
          <w:sz w:val="20"/>
          <w:szCs w:val="20"/>
        </w:rPr>
        <w:t>b</w:t>
      </w:r>
      <w:r w:rsidR="00AC375F">
        <w:rPr>
          <w:rFonts w:ascii="Century Gothic" w:eastAsia="Century Gothic" w:hAnsi="Century Gothic" w:cs="Century Gothic"/>
          <w:sz w:val="20"/>
          <w:szCs w:val="20"/>
        </w:rPr>
        <w:t>).</w:t>
      </w:r>
      <w:r w:rsidR="0056624A">
        <w:rPr>
          <w:rFonts w:ascii="Century Gothic" w:eastAsia="Century Gothic" w:hAnsi="Century Gothic" w:cs="Century Gothic"/>
          <w:sz w:val="20"/>
          <w:szCs w:val="20"/>
        </w:rPr>
        <w:t xml:space="preserve"> </w:t>
      </w:r>
      <w:r w:rsidR="00683144">
        <w:rPr>
          <w:rFonts w:ascii="Century Gothic" w:eastAsia="Century Gothic" w:hAnsi="Century Gothic" w:cs="Century Gothic"/>
          <w:sz w:val="20"/>
          <w:szCs w:val="20"/>
        </w:rPr>
        <w:t>Knowledge of the various environmental variables affecting the health of the lagoon is needed for the NPS’s effective management of the estuary and will be utilized in future management strategies for the park.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Decision Support Tools &amp; Benefits</w:t>
      </w:r>
      <w:r>
        <w:rPr>
          <w:rFonts w:ascii="Century Gothic" w:eastAsia="Century Gothic" w:hAnsi="Century Gothic" w:cs="Century Gothic"/>
          <w:sz w:val="20"/>
          <w:szCs w:val="20"/>
        </w:rPr>
        <w:t xml:space="preserve"> </w:t>
      </w:r>
    </w:p>
    <w:tbl>
      <w:tblPr>
        <w:tblStyle w:val="a"/>
        <w:tblW w:w="93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9"/>
        <w:gridCol w:w="2880"/>
        <w:gridCol w:w="3798"/>
      </w:tblGrid>
      <w:tr w:rsidR="00682DE8" w:rsidTr="00F90138">
        <w:tc>
          <w:tcPr>
            <w:tcW w:w="2669"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End-Product</w:t>
            </w:r>
          </w:p>
        </w:tc>
        <w:tc>
          <w:tcPr>
            <w:tcW w:w="2880"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Benefit &amp; Impact</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Precipitation Analysis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Precipitation Radar</w:t>
            </w:r>
          </w:p>
        </w:tc>
        <w:tc>
          <w:tcPr>
            <w:tcW w:w="3798"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data will be used to identify how precipitation relates to the change in lagoon salinity, analyzing precipitation trends that may have affected groundwater levels. This will aid in assessing any potential correlation between mesquite trees and decreas</w:t>
            </w:r>
            <w:r w:rsidR="00AC375F">
              <w:rPr>
                <w:rFonts w:ascii="Century Gothic" w:eastAsia="Century Gothic" w:hAnsi="Century Gothic" w:cs="Century Gothic"/>
                <w:sz w:val="20"/>
                <w:szCs w:val="20"/>
              </w:rPr>
              <w:t>ed groundwater.</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 Use/Land Cover Map Time Series</w:t>
            </w:r>
          </w:p>
        </w:tc>
        <w:tc>
          <w:tcPr>
            <w:tcW w:w="2880" w:type="dxa"/>
            <w:vAlign w:val="center"/>
          </w:tcPr>
          <w:p w:rsidR="007D02FD" w:rsidRDefault="007D02FD" w:rsidP="00AC375F">
            <w:pPr>
              <w:pStyle w:val="Normal1"/>
              <w:spacing w:after="0" w:line="240" w:lineRule="auto"/>
              <w:contextualSpacing w:val="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OLI</w:t>
            </w:r>
          </w:p>
        </w:tc>
        <w:tc>
          <w:tcPr>
            <w:tcW w:w="3798" w:type="dxa"/>
            <w:vAlign w:val="center"/>
          </w:tcPr>
          <w:p w:rsidR="00682DE8" w:rsidRDefault="006B362C" w:rsidP="009951F7">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w:t>
            </w:r>
            <w:r w:rsidR="00000051">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7</w:t>
            </w:r>
            <w:r w:rsidR="0000005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and 8 data will be used to identify possible correlations between mesquite tree density, a decrease in groundwater flow, and an increase in salinity to aid in land management practices</w:t>
            </w:r>
            <w:r w:rsidR="00F90138">
              <w:rPr>
                <w:rFonts w:ascii="Century Gothic" w:eastAsia="Century Gothic" w:hAnsi="Century Gothic" w:cs="Century Gothic"/>
                <w:sz w:val="20"/>
                <w:szCs w:val="20"/>
              </w:rPr>
              <w:t>.</w:t>
            </w:r>
          </w:p>
        </w:tc>
      </w:tr>
      <w:tr w:rsidR="00682DE8" w:rsidTr="00AC375F">
        <w:trPr>
          <w:trHeight w:val="560"/>
        </w:trPr>
        <w:tc>
          <w:tcPr>
            <w:tcW w:w="2669" w:type="dxa"/>
            <w:vAlign w:val="center"/>
          </w:tcPr>
          <w:p w:rsidR="00682DE8" w:rsidRDefault="007D02FD" w:rsidP="00AC375F">
            <w:pPr>
              <w:pStyle w:val="Normal1"/>
              <w:spacing w:after="0" w:line="240" w:lineRule="auto"/>
              <w:contextualSpacing w:val="0"/>
            </w:pPr>
            <w:r>
              <w:rPr>
                <w:rFonts w:ascii="Century Gothic" w:eastAsia="Century Gothic" w:hAnsi="Century Gothic" w:cs="Century Gothic"/>
                <w:sz w:val="20"/>
                <w:szCs w:val="20"/>
              </w:rPr>
              <w:t xml:space="preserve"> Root Zone Soil Moisture Content Map Time Series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GRACE ACC/SCA/KBR</w:t>
            </w:r>
          </w:p>
        </w:tc>
        <w:tc>
          <w:tcPr>
            <w:tcW w:w="3798" w:type="dxa"/>
            <w:vAlign w:val="center"/>
          </w:tcPr>
          <w:p w:rsidR="00682DE8" w:rsidRDefault="006B362C" w:rsidP="001C2706">
            <w:pPr>
              <w:pStyle w:val="Normal1"/>
              <w:spacing w:after="0" w:line="240" w:lineRule="auto"/>
              <w:contextualSpacing w:val="0"/>
            </w:pPr>
            <w:r>
              <w:rPr>
                <w:rFonts w:ascii="Century Gothic" w:eastAsia="Century Gothic" w:hAnsi="Century Gothic" w:cs="Century Gothic"/>
                <w:sz w:val="20"/>
                <w:szCs w:val="20"/>
              </w:rPr>
              <w:t xml:space="preserve">GRACE data will be used to identify if there have been changes in </w:t>
            </w:r>
            <w:r w:rsidR="001C2706">
              <w:rPr>
                <w:rFonts w:ascii="Century Gothic" w:eastAsia="Century Gothic" w:hAnsi="Century Gothic" w:cs="Century Gothic"/>
                <w:sz w:val="20"/>
                <w:szCs w:val="20"/>
              </w:rPr>
              <w:t>root zone soil moisture content</w:t>
            </w:r>
            <w:r>
              <w:rPr>
                <w:rFonts w:ascii="Century Gothic" w:eastAsia="Century Gothic" w:hAnsi="Century Gothic" w:cs="Century Gothic"/>
                <w:sz w:val="20"/>
                <w:szCs w:val="20"/>
              </w:rPr>
              <w:t xml:space="preserve"> so these changes can be addressed through land management practices.</w:t>
            </w:r>
          </w:p>
        </w:tc>
      </w:tr>
      <w:tr w:rsidR="00682DE8" w:rsidTr="00AC375F">
        <w:trPr>
          <w:trHeight w:val="560"/>
        </w:trPr>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lastRenderedPageBreak/>
              <w:t>Thermal Maps of Lagoon</w:t>
            </w:r>
          </w:p>
        </w:tc>
        <w:tc>
          <w:tcPr>
            <w:tcW w:w="2880" w:type="dxa"/>
            <w:vAlign w:val="center"/>
          </w:tcPr>
          <w:p w:rsidR="00682DE8" w:rsidRDefault="007D02FD" w:rsidP="00AC375F">
            <w:pPr>
              <w:pStyle w:val="Normal1"/>
              <w:spacing w:after="0" w:line="240" w:lineRule="auto"/>
              <w:contextualSpacing w:val="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5 TM,</w:t>
            </w:r>
          </w:p>
          <w:p w:rsidR="007D02FD" w:rsidRDefault="007D02FD"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7 ETM+,</w:t>
            </w:r>
          </w:p>
          <w:p w:rsidR="00682DE8" w:rsidRDefault="006B362C" w:rsidP="00AC375F">
            <w:pPr>
              <w:pStyle w:val="Normal1"/>
              <w:spacing w:after="0" w:line="240" w:lineRule="auto"/>
              <w:contextualSpacing w:val="0"/>
            </w:pPr>
            <w:proofErr w:type="spellStart"/>
            <w:r>
              <w:rPr>
                <w:rFonts w:ascii="Century Gothic" w:eastAsia="Century Gothic" w:hAnsi="Century Gothic" w:cs="Century Gothic"/>
                <w:sz w:val="20"/>
                <w:szCs w:val="20"/>
              </w:rPr>
              <w:t>Landsat</w:t>
            </w:r>
            <w:proofErr w:type="spellEnd"/>
            <w:r>
              <w:rPr>
                <w:rFonts w:ascii="Century Gothic" w:eastAsia="Century Gothic" w:hAnsi="Century Gothic" w:cs="Century Gothic"/>
                <w:sz w:val="20"/>
                <w:szCs w:val="20"/>
              </w:rPr>
              <w:t xml:space="preserve"> 8 TIRS</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Landsat</w:t>
            </w:r>
            <w:proofErr w:type="spellEnd"/>
            <w:r w:rsidR="00000051">
              <w:rPr>
                <w:rFonts w:ascii="Century Gothic" w:eastAsia="Century Gothic" w:hAnsi="Century Gothic" w:cs="Century Gothic"/>
                <w:sz w:val="20"/>
                <w:szCs w:val="20"/>
              </w:rPr>
              <w:t xml:space="preserve"> 5, 7, and</w:t>
            </w:r>
            <w:r>
              <w:rPr>
                <w:rFonts w:ascii="Century Gothic" w:eastAsia="Century Gothic" w:hAnsi="Century Gothic" w:cs="Century Gothic"/>
                <w:sz w:val="20"/>
                <w:szCs w:val="20"/>
              </w:rPr>
              <w:t xml:space="preserve"> 8 data will be used to identify changes in groundwater inflow to the lagoon and if these changes can be addressed through altered land management practices.</w:t>
            </w:r>
          </w:p>
        </w:tc>
      </w:tr>
    </w:tbl>
    <w:p w:rsidR="00682DE8" w:rsidRDefault="00682DE8">
      <w:pPr>
        <w:pStyle w:val="Normal1"/>
        <w:spacing w:after="0" w:line="240" w:lineRule="auto"/>
      </w:pPr>
    </w:p>
    <w:p w:rsidR="0040343D" w:rsidRDefault="0040343D">
      <w:pPr>
        <w:rPr>
          <w:rFonts w:ascii="Century Gothic" w:hAnsi="Century Gothic" w:cs="Arial"/>
          <w:b/>
          <w:szCs w:val="20"/>
        </w:rPr>
      </w:pPr>
      <w:r>
        <w:rPr>
          <w:rFonts w:ascii="Century Gothic" w:hAnsi="Century Gothic" w:cs="Arial"/>
          <w:b/>
          <w:szCs w:val="20"/>
        </w:rPr>
        <w:br w:type="page"/>
      </w: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rsidR="00682DE8" w:rsidRDefault="00682DE8">
      <w:pPr>
        <w:pStyle w:val="Normal1"/>
        <w:spacing w:after="0" w:line="240" w:lineRule="auto"/>
        <w:ind w:left="720" w:hanging="720"/>
      </w:pPr>
    </w:p>
    <w:p w:rsidR="00211A17" w:rsidRDefault="00211A17">
      <w:pPr>
        <w:pStyle w:val="Normal1"/>
        <w:spacing w:after="0" w:line="240" w:lineRule="auto"/>
        <w:ind w:left="720" w:hanging="720"/>
      </w:pPr>
      <w:r>
        <w:rPr>
          <w:noProof/>
        </w:rPr>
        <w:drawing>
          <wp:inline distT="0" distB="0" distL="0" distR="0">
            <wp:extent cx="1648580" cy="2570760"/>
            <wp:effectExtent l="19050" t="0" r="8770" b="0"/>
            <wp:docPr id="3" name="Picture 2" descr="2015Sum_MCHD_CoastalTXWaterResources_FinalIma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jpg"/>
                    <pic:cNvPicPr/>
                  </pic:nvPicPr>
                  <pic:blipFill>
                    <a:blip r:embed="rId9"/>
                    <a:stretch>
                      <a:fillRect/>
                    </a:stretch>
                  </pic:blipFill>
                  <pic:spPr>
                    <a:xfrm>
                      <a:off x="0" y="0"/>
                      <a:ext cx="1648778" cy="2571069"/>
                    </a:xfrm>
                    <a:prstGeom prst="rect">
                      <a:avLst/>
                    </a:prstGeom>
                  </pic:spPr>
                </pic:pic>
              </a:graphicData>
            </a:graphic>
          </wp:inline>
        </w:drawing>
      </w:r>
      <w:r>
        <w:rPr>
          <w:noProof/>
        </w:rPr>
        <w:drawing>
          <wp:inline distT="0" distB="0" distL="0" distR="0">
            <wp:extent cx="1310115" cy="1695450"/>
            <wp:effectExtent l="19050" t="0" r="4335" b="0"/>
            <wp:docPr id="6" name="Picture 5" descr="2015Sum_MCHD_CoastalTXWaterResources_FinalImagery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Legend.jpg"/>
                    <pic:cNvPicPr/>
                  </pic:nvPicPr>
                  <pic:blipFill>
                    <a:blip r:embed="rId10"/>
                    <a:stretch>
                      <a:fillRect/>
                    </a:stretch>
                  </pic:blipFill>
                  <pic:spPr>
                    <a:xfrm>
                      <a:off x="0" y="0"/>
                      <a:ext cx="1311956" cy="1697833"/>
                    </a:xfrm>
                    <a:prstGeom prst="rect">
                      <a:avLst/>
                    </a:prstGeom>
                  </pic:spPr>
                </pic:pic>
              </a:graphicData>
            </a:graphic>
          </wp:inline>
        </w:drawing>
      </w:r>
    </w:p>
    <w:p w:rsidR="00682DE8" w:rsidRDefault="00682DE8">
      <w:pPr>
        <w:pStyle w:val="Normal1"/>
        <w:spacing w:after="0" w:line="240" w:lineRule="auto"/>
        <w:ind w:left="720" w:hanging="720"/>
      </w:pPr>
    </w:p>
    <w:p w:rsidR="00682DE8" w:rsidRDefault="006B362C">
      <w:pPr>
        <w:pStyle w:val="Normal1"/>
        <w:spacing w:after="0" w:line="240" w:lineRule="auto"/>
        <w:ind w:left="720" w:hanging="720"/>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5203AB" w:rsidRPr="0080304B">
        <w:rPr>
          <w:rFonts w:ascii="Century Gothic" w:eastAsia="Century Gothic" w:hAnsi="Century Gothic" w:cs="Century Gothic"/>
          <w:sz w:val="20"/>
          <w:szCs w:val="20"/>
        </w:rPr>
        <w:t>Thermal Map of the Laguna Madre</w:t>
      </w:r>
      <w:r w:rsidR="0080304B">
        <w:rPr>
          <w:rFonts w:ascii="Century Gothic" w:eastAsia="Century Gothic" w:hAnsi="Century Gothic" w:cs="Century Gothic"/>
          <w:sz w:val="20"/>
          <w:szCs w:val="20"/>
        </w:rPr>
        <w:t xml:space="preserve"> for January 15, 2014</w:t>
      </w:r>
      <w:r w:rsidR="00CA2AC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Image Credit: </w:t>
      </w:r>
      <w:r w:rsidR="005203AB">
        <w:rPr>
          <w:rFonts w:ascii="Century Gothic" w:eastAsia="Century Gothic" w:hAnsi="Century Gothic" w:cs="Century Gothic"/>
          <w:sz w:val="20"/>
          <w:szCs w:val="20"/>
        </w:rPr>
        <w:t>Coastal Texas Water Resources</w:t>
      </w:r>
      <w:r>
        <w:rPr>
          <w:rFonts w:ascii="Century Gothic" w:eastAsia="Century Gothic" w:hAnsi="Century Gothic" w:cs="Century Gothic"/>
          <w:sz w:val="20"/>
          <w:szCs w:val="20"/>
        </w:rPr>
        <w:t xml:space="preserve"> Team.</w:t>
      </w:r>
    </w:p>
    <w:p w:rsidR="00682DE8" w:rsidRDefault="006B362C">
      <w:pPr>
        <w:pStyle w:val="Normal1"/>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File Name (</w:t>
      </w:r>
      <w:r w:rsidR="005203AB" w:rsidRPr="005203AB">
        <w:rPr>
          <w:rFonts w:ascii="Century Gothic" w:eastAsia="Century Gothic" w:hAnsi="Century Gothic" w:cs="Century Gothic"/>
          <w:sz w:val="20"/>
          <w:szCs w:val="20"/>
        </w:rPr>
        <w:t>2015Sum_MCHD_CoastalTXWaterResources_FinalImagery.jpg</w:t>
      </w:r>
      <w:r w:rsidR="005203AB">
        <w:rPr>
          <w:rFonts w:ascii="Century Gothic" w:eastAsia="Century Gothic" w:hAnsi="Century Gothic" w:cs="Century Gothic"/>
          <w:sz w:val="20"/>
          <w:szCs w:val="20"/>
        </w:rPr>
        <w:t xml:space="preserve"> </w:t>
      </w:r>
      <w:r w:rsidR="005203AB" w:rsidRPr="005203AB">
        <w:rPr>
          <w:rFonts w:ascii="Century Gothic" w:eastAsia="Century Gothic" w:hAnsi="Century Gothic" w:cs="Century Gothic"/>
          <w:sz w:val="20"/>
          <w:szCs w:val="20"/>
        </w:rPr>
        <w:t>2015Sum_MCHD_CoastalTXWaterResources_FinalImageryLegend.jpg</w:t>
      </w:r>
      <w:r w:rsidR="00AC375F">
        <w:rPr>
          <w:rFonts w:ascii="Century Gothic" w:eastAsia="Century Gothic" w:hAnsi="Century Gothic" w:cs="Century Gothic"/>
          <w:sz w:val="20"/>
          <w:szCs w:val="20"/>
        </w:rPr>
        <w:t>)</w:t>
      </w:r>
    </w:p>
    <w:p w:rsidR="00682DE8" w:rsidRDefault="00682DE8">
      <w:pPr>
        <w:pStyle w:val="Normal1"/>
        <w:spacing w:after="0" w:line="240" w:lineRule="auto"/>
        <w:ind w:left="720" w:hanging="720"/>
      </w:pPr>
    </w:p>
    <w:p w:rsidR="00682DE8" w:rsidRDefault="006B362C" w:rsidP="006B362C">
      <w:pPr>
        <w:pStyle w:val="Normal1"/>
        <w:spacing w:after="0" w:line="240" w:lineRule="auto"/>
        <w:ind w:left="720" w:hanging="720"/>
      </w:pPr>
      <w:r>
        <w:rPr>
          <w:rFonts w:ascii="Century Gothic" w:eastAsia="Century Gothic" w:hAnsi="Century Gothic" w:cs="Century Gothic"/>
          <w:b/>
          <w:sz w:val="20"/>
          <w:szCs w:val="20"/>
        </w:rPr>
        <w:t>References:</w:t>
      </w:r>
    </w:p>
    <w:p w:rsidR="00682DE8" w:rsidRDefault="006B362C">
      <w:pPr>
        <w:pStyle w:val="Normal1"/>
        <w:spacing w:after="0" w:line="240" w:lineRule="auto"/>
        <w:ind w:left="720" w:hanging="720"/>
      </w:pPr>
      <w:proofErr w:type="gramStart"/>
      <w:r>
        <w:rPr>
          <w:rFonts w:ascii="Century Gothic" w:eastAsia="Century Gothic" w:hAnsi="Century Gothic" w:cs="Century Gothic"/>
          <w:sz w:val="20"/>
          <w:szCs w:val="20"/>
        </w:rPr>
        <w:t>Environmental Protection Agency.</w:t>
      </w:r>
      <w:proofErr w:type="gramEnd"/>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“About the Office of Water.” http://www2.epa.gov/aboutepa/about-office-water.</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proofErr w:type="gramStart"/>
      <w:r>
        <w:rPr>
          <w:rFonts w:ascii="Century Gothic" w:eastAsia="Century Gothic" w:hAnsi="Century Gothic" w:cs="Century Gothic"/>
          <w:sz w:val="20"/>
          <w:szCs w:val="20"/>
        </w:rPr>
        <w:t>Environmental Protection Agency.</w:t>
      </w:r>
      <w:proofErr w:type="gramEnd"/>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b</w:t>
      </w:r>
      <w:r>
        <w:rPr>
          <w:rFonts w:ascii="Century Gothic" w:eastAsia="Century Gothic" w:hAnsi="Century Gothic" w:cs="Century Gothic"/>
          <w:sz w:val="20"/>
          <w:szCs w:val="20"/>
        </w:rPr>
        <w:t>. “National Estuary Program (NEP) Overview.” http://water.epa.gov/type/oceb/nep/index.cfm#tabs-2.</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Texas General Land Office. 2015. “Coastal Management Program.” http://www.glo.texas.gov/what-we-do/caring-for-the-coast/grants-funding/cmp/. (June 15, 2015).</w:t>
      </w:r>
    </w:p>
    <w:sectPr w:rsidR="00682DE8" w:rsidSect="00682DE8">
      <w:footerReference w:type="default" r:id="rId11"/>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4BB" w:rsidRDefault="001564BB" w:rsidP="00682DE8">
      <w:pPr>
        <w:spacing w:after="0" w:line="240" w:lineRule="auto"/>
      </w:pPr>
      <w:r>
        <w:separator/>
      </w:r>
    </w:p>
  </w:endnote>
  <w:endnote w:type="continuationSeparator" w:id="0">
    <w:p w:rsidR="001564BB" w:rsidRDefault="001564BB" w:rsidP="00682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7DC" w:rsidRDefault="001467DC">
    <w:pPr>
      <w:pStyle w:val="Normal1"/>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4BB" w:rsidRDefault="001564BB" w:rsidP="00682DE8">
      <w:pPr>
        <w:spacing w:after="0" w:line="240" w:lineRule="auto"/>
      </w:pPr>
      <w:r>
        <w:separator/>
      </w:r>
    </w:p>
  </w:footnote>
  <w:footnote w:type="continuationSeparator" w:id="0">
    <w:p w:rsidR="001564BB" w:rsidRDefault="001564BB" w:rsidP="00682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641E8"/>
    <w:multiLevelType w:val="multilevel"/>
    <w:tmpl w:val="5C06E9F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1">
    <w:nsid w:val="3CE302DE"/>
    <w:multiLevelType w:val="multilevel"/>
    <w:tmpl w:val="561ABF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C647057"/>
    <w:multiLevelType w:val="multilevel"/>
    <w:tmpl w:val="C888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682DE8"/>
    <w:rsid w:val="00000051"/>
    <w:rsid w:val="000A66B1"/>
    <w:rsid w:val="000B7E2A"/>
    <w:rsid w:val="000F1772"/>
    <w:rsid w:val="00146196"/>
    <w:rsid w:val="001467DC"/>
    <w:rsid w:val="001564BB"/>
    <w:rsid w:val="001A6DED"/>
    <w:rsid w:val="001C2706"/>
    <w:rsid w:val="00202CE3"/>
    <w:rsid w:val="00211A17"/>
    <w:rsid w:val="00230053"/>
    <w:rsid w:val="00236A54"/>
    <w:rsid w:val="0026627B"/>
    <w:rsid w:val="002756AD"/>
    <w:rsid w:val="0032601D"/>
    <w:rsid w:val="0036371B"/>
    <w:rsid w:val="0037140E"/>
    <w:rsid w:val="0040343D"/>
    <w:rsid w:val="00441838"/>
    <w:rsid w:val="004E4B0E"/>
    <w:rsid w:val="004E6869"/>
    <w:rsid w:val="005203AB"/>
    <w:rsid w:val="0056624A"/>
    <w:rsid w:val="00621442"/>
    <w:rsid w:val="00633282"/>
    <w:rsid w:val="00654C6E"/>
    <w:rsid w:val="00673D9D"/>
    <w:rsid w:val="00682DE8"/>
    <w:rsid w:val="00683144"/>
    <w:rsid w:val="006B362C"/>
    <w:rsid w:val="006C30D0"/>
    <w:rsid w:val="006C610C"/>
    <w:rsid w:val="007015A0"/>
    <w:rsid w:val="00745F3B"/>
    <w:rsid w:val="0079623B"/>
    <w:rsid w:val="007D02FD"/>
    <w:rsid w:val="007D42E9"/>
    <w:rsid w:val="0080304B"/>
    <w:rsid w:val="0083050D"/>
    <w:rsid w:val="00985C04"/>
    <w:rsid w:val="009951F7"/>
    <w:rsid w:val="009D22FF"/>
    <w:rsid w:val="00A34652"/>
    <w:rsid w:val="00A70091"/>
    <w:rsid w:val="00A71ADF"/>
    <w:rsid w:val="00AB78DE"/>
    <w:rsid w:val="00AC375F"/>
    <w:rsid w:val="00BE624D"/>
    <w:rsid w:val="00C1505D"/>
    <w:rsid w:val="00C203E6"/>
    <w:rsid w:val="00C211A4"/>
    <w:rsid w:val="00CA2AC2"/>
    <w:rsid w:val="00CF21B9"/>
    <w:rsid w:val="00D04822"/>
    <w:rsid w:val="00D63C1A"/>
    <w:rsid w:val="00DD6275"/>
    <w:rsid w:val="00EE7258"/>
    <w:rsid w:val="00F004B6"/>
    <w:rsid w:val="00F65487"/>
    <w:rsid w:val="00F9013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EEA85-018A-4667-8D9D-39F2045E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Tiffani N. (LARC-E3)[SSAI DEVELOP]</dc:creator>
  <cp:lastModifiedBy>gscrepps</cp:lastModifiedBy>
  <cp:revision>5</cp:revision>
  <dcterms:created xsi:type="dcterms:W3CDTF">2015-08-03T20:29:00Z</dcterms:created>
  <dcterms:modified xsi:type="dcterms:W3CDTF">2015-08-07T17:09:00Z</dcterms:modified>
</cp:coreProperties>
</file>