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57F0" w:rsidRDefault="00EC60AB">
      <w:pPr>
        <w:spacing w:after="0" w:line="240" w:lineRule="auto"/>
        <w:jc w:val="right"/>
        <w:rPr>
          <w:rFonts w:ascii="Garamond" w:eastAsia="Garamond" w:hAnsi="Garamond" w:cs="Garamond"/>
          <w:color w:val="000000"/>
          <w:sz w:val="40"/>
          <w:szCs w:val="40"/>
        </w:rPr>
      </w:pPr>
      <w:r>
        <w:rPr>
          <w:rFonts w:ascii="Garamond" w:eastAsia="Garamond" w:hAnsi="Garamond" w:cs="Garamond"/>
          <w:sz w:val="40"/>
          <w:szCs w:val="40"/>
        </w:rPr>
        <w:t>Hawai’i</w:t>
      </w:r>
      <w:r>
        <w:rPr>
          <w:rFonts w:ascii="Garamond" w:eastAsia="Garamond" w:hAnsi="Garamond" w:cs="Garamond"/>
          <w:color w:val="000000"/>
          <w:sz w:val="40"/>
          <w:szCs w:val="40"/>
        </w:rPr>
        <w:t xml:space="preserve"> Water Resources</w:t>
      </w:r>
    </w:p>
    <w:p w:rsidR="006557F0" w:rsidRDefault="00EC60AB">
      <w:pPr>
        <w:spacing w:after="0" w:line="240" w:lineRule="auto"/>
        <w:jc w:val="right"/>
        <w:rPr>
          <w:rFonts w:ascii="Garamond" w:eastAsia="Garamond" w:hAnsi="Garamond" w:cs="Garamond"/>
          <w:sz w:val="32"/>
          <w:szCs w:val="32"/>
        </w:rPr>
      </w:pPr>
      <w:r>
        <w:rPr>
          <w:rFonts w:ascii="Garamond" w:eastAsia="Garamond" w:hAnsi="Garamond" w:cs="Garamond"/>
          <w:color w:val="000000"/>
          <w:sz w:val="28"/>
          <w:szCs w:val="28"/>
        </w:rPr>
        <w:t xml:space="preserve">Monitoring the Impacts of Land-Based Sources of Pollution on Water Quality Along the Coast of West Maui, </w:t>
      </w:r>
      <w:r>
        <w:rPr>
          <w:rFonts w:ascii="Garamond" w:eastAsia="Garamond" w:hAnsi="Garamond" w:cs="Garamond"/>
          <w:sz w:val="28"/>
          <w:szCs w:val="28"/>
        </w:rPr>
        <w:t>Hawai’i</w:t>
      </w:r>
      <w:r>
        <w:rPr>
          <w:rFonts w:ascii="Garamond" w:eastAsia="Garamond" w:hAnsi="Garamond" w:cs="Garamond"/>
          <w:color w:val="000000"/>
          <w:sz w:val="28"/>
          <w:szCs w:val="28"/>
        </w:rPr>
        <w:t>, to Assess Coral Reef Condition</w:t>
      </w:r>
    </w:p>
    <w:p w:rsidR="006557F0" w:rsidRDefault="006557F0">
      <w:pPr>
        <w:spacing w:after="0" w:line="240" w:lineRule="auto"/>
        <w:rPr>
          <w:rFonts w:ascii="Garamond" w:eastAsia="Garamond" w:hAnsi="Garamond" w:cs="Garamond"/>
          <w:sz w:val="32"/>
          <w:szCs w:val="32"/>
        </w:rPr>
      </w:pPr>
    </w:p>
    <w:p w:rsidR="006557F0" w:rsidRDefault="006557F0">
      <w:pPr>
        <w:spacing w:after="0" w:line="240" w:lineRule="auto"/>
        <w:rPr>
          <w:rFonts w:ascii="Garamond" w:eastAsia="Garamond" w:hAnsi="Garamond" w:cs="Garamond"/>
          <w:sz w:val="32"/>
          <w:szCs w:val="32"/>
        </w:rPr>
      </w:pPr>
    </w:p>
    <w:p w:rsidR="006557F0" w:rsidRDefault="006557F0">
      <w:pPr>
        <w:spacing w:after="0" w:line="240" w:lineRule="auto"/>
        <w:rPr>
          <w:rFonts w:ascii="Garamond" w:eastAsia="Garamond" w:hAnsi="Garamond" w:cs="Garamond"/>
          <w:sz w:val="32"/>
          <w:szCs w:val="32"/>
        </w:rPr>
      </w:pPr>
    </w:p>
    <w:p w:rsidR="006557F0" w:rsidRDefault="006557F0">
      <w:pPr>
        <w:spacing w:after="0" w:line="240" w:lineRule="auto"/>
        <w:jc w:val="center"/>
        <w:rPr>
          <w:rFonts w:ascii="Garamond" w:eastAsia="Garamond" w:hAnsi="Garamond" w:cs="Garamond"/>
          <w:b/>
          <w:sz w:val="32"/>
          <w:szCs w:val="32"/>
        </w:rPr>
      </w:pPr>
    </w:p>
    <w:p w:rsidR="006557F0" w:rsidRDefault="006557F0">
      <w:pPr>
        <w:spacing w:after="0" w:line="240" w:lineRule="auto"/>
        <w:jc w:val="center"/>
        <w:rPr>
          <w:rFonts w:ascii="Garamond" w:eastAsia="Garamond" w:hAnsi="Garamond" w:cs="Garamond"/>
          <w:b/>
          <w:sz w:val="32"/>
          <w:szCs w:val="32"/>
        </w:rPr>
      </w:pPr>
    </w:p>
    <w:p w:rsidR="006557F0" w:rsidRDefault="00EC60AB">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simplePos x="0" y="0"/>
            <wp:positionH relativeFrom="column">
              <wp:posOffset>1628140</wp:posOffset>
            </wp:positionH>
            <wp:positionV relativeFrom="paragraph">
              <wp:posOffset>56432</wp:posOffset>
            </wp:positionV>
            <wp:extent cx="968735" cy="182880"/>
            <wp:effectExtent l="0" t="0" r="0" b="0"/>
            <wp:wrapNone/>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6557F0" w:rsidRDefault="006557F0">
      <w:pPr>
        <w:spacing w:after="0" w:line="240" w:lineRule="auto"/>
        <w:jc w:val="center"/>
        <w:rPr>
          <w:rFonts w:ascii="Garamond" w:eastAsia="Garamond" w:hAnsi="Garamond" w:cs="Garamond"/>
          <w:sz w:val="20"/>
          <w:szCs w:val="20"/>
        </w:rPr>
      </w:pPr>
    </w:p>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Arev Markarian (Project Lead)</w:t>
      </w:r>
    </w:p>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Emily Deardorff</w:t>
      </w:r>
    </w:p>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 xml:space="preserve">Arthur </w:t>
      </w:r>
      <w:proofErr w:type="spellStart"/>
      <w:r>
        <w:rPr>
          <w:rFonts w:ascii="Garamond" w:eastAsia="Garamond" w:hAnsi="Garamond" w:cs="Garamond"/>
          <w:color w:val="000000"/>
          <w:sz w:val="20"/>
          <w:szCs w:val="20"/>
        </w:rPr>
        <w:t>Platel</w:t>
      </w:r>
      <w:proofErr w:type="spellEnd"/>
    </w:p>
    <w:p w:rsidR="006557F0" w:rsidRDefault="00EC60AB">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Sophia Skoglund</w:t>
      </w:r>
    </w:p>
    <w:p w:rsidR="006557F0" w:rsidRDefault="006557F0">
      <w:pPr>
        <w:spacing w:after="0" w:line="240" w:lineRule="auto"/>
        <w:jc w:val="center"/>
        <w:rPr>
          <w:rFonts w:ascii="Garamond" w:eastAsia="Garamond" w:hAnsi="Garamond" w:cs="Garamond"/>
          <w:sz w:val="20"/>
          <w:szCs w:val="20"/>
        </w:rPr>
      </w:pPr>
    </w:p>
    <w:p w:rsidR="006557F0" w:rsidRDefault="006557F0">
      <w:pPr>
        <w:spacing w:after="0" w:line="240" w:lineRule="auto"/>
        <w:rPr>
          <w:rFonts w:ascii="Times New Roman" w:eastAsia="Times New Roman" w:hAnsi="Times New Roman" w:cs="Times New Roman"/>
          <w:sz w:val="24"/>
          <w:szCs w:val="24"/>
        </w:rPr>
      </w:pPr>
    </w:p>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Dr. Juan Torres-Pérez, Bay Area Environmental Research Institute, NASA Ames Research Center (Science Advisor)</w:t>
      </w:r>
    </w:p>
    <w:p w:rsidR="006557F0" w:rsidRDefault="00EC60AB">
      <w:pPr>
        <w:spacing w:after="0" w:line="240" w:lineRule="auto"/>
        <w:rPr>
          <w:rFonts w:ascii="Garamond" w:eastAsia="Garamond" w:hAnsi="Garamond" w:cs="Garamond"/>
          <w:sz w:val="20"/>
          <w:szCs w:val="20"/>
        </w:rPr>
      </w:pPr>
      <w:r>
        <w:br w:type="page"/>
      </w:r>
    </w:p>
    <w:p w:rsidR="006557F0" w:rsidRDefault="00EC60AB">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rsidR="006557F0" w:rsidRDefault="00EC60AB">
      <w:pPr>
        <w:spacing w:after="0" w:line="240" w:lineRule="auto"/>
        <w:rPr>
          <w:rFonts w:ascii="Garamond" w:eastAsia="Garamond" w:hAnsi="Garamond" w:cs="Garamond"/>
        </w:rPr>
      </w:pPr>
      <w:r>
        <w:rPr>
          <w:rFonts w:ascii="Garamond" w:eastAsia="Garamond" w:hAnsi="Garamond" w:cs="Garamond"/>
        </w:rPr>
        <w:t xml:space="preserve">West Maui is at risk of losing ecosystem services provided by coral reefs due to land-based sources of pollution (LBSP). In 2011, the US Coral Reef Task Force (USCRTF) identified the West Maui watershed as a priority watershed (along with its sub-watersheds of </w:t>
      </w:r>
      <w:proofErr w:type="spellStart"/>
      <w:r>
        <w:rPr>
          <w:rFonts w:ascii="Garamond" w:eastAsia="Garamond" w:hAnsi="Garamond" w:cs="Garamond"/>
        </w:rPr>
        <w:t>Wahikuli</w:t>
      </w:r>
      <w:proofErr w:type="spellEnd"/>
      <w:r>
        <w:rPr>
          <w:rFonts w:ascii="Garamond" w:eastAsia="Garamond" w:hAnsi="Garamond" w:cs="Garamond"/>
        </w:rPr>
        <w:t xml:space="preserve">, </w:t>
      </w:r>
      <w:proofErr w:type="spellStart"/>
      <w:r>
        <w:rPr>
          <w:rFonts w:ascii="Garamond" w:eastAsia="Garamond" w:hAnsi="Garamond" w:cs="Garamond"/>
        </w:rPr>
        <w:t>Honokōwai</w:t>
      </w:r>
      <w:proofErr w:type="spellEnd"/>
      <w:r>
        <w:rPr>
          <w:rFonts w:ascii="Garamond" w:eastAsia="Garamond" w:hAnsi="Garamond" w:cs="Garamond"/>
        </w:rPr>
        <w:t xml:space="preserve">, </w:t>
      </w:r>
      <w:proofErr w:type="spellStart"/>
      <w:r>
        <w:rPr>
          <w:rFonts w:ascii="Garamond" w:eastAsia="Garamond" w:hAnsi="Garamond" w:cs="Garamond"/>
        </w:rPr>
        <w:t>Kahana</w:t>
      </w:r>
      <w:proofErr w:type="spellEnd"/>
      <w:r>
        <w:rPr>
          <w:rFonts w:ascii="Garamond" w:eastAsia="Garamond" w:hAnsi="Garamond" w:cs="Garamond"/>
        </w:rPr>
        <w:t xml:space="preserve">, </w:t>
      </w:r>
      <w:proofErr w:type="spellStart"/>
      <w:r>
        <w:rPr>
          <w:rFonts w:ascii="Garamond" w:eastAsia="Garamond" w:hAnsi="Garamond" w:cs="Garamond"/>
        </w:rPr>
        <w:t>Honokahua</w:t>
      </w:r>
      <w:proofErr w:type="spellEnd"/>
      <w:r>
        <w:rPr>
          <w:rFonts w:ascii="Garamond" w:eastAsia="Garamond" w:hAnsi="Garamond" w:cs="Garamond"/>
        </w:rPr>
        <w:t xml:space="preserve">, and </w:t>
      </w:r>
      <w:proofErr w:type="spellStart"/>
      <w:r>
        <w:rPr>
          <w:rFonts w:ascii="Garamond" w:eastAsia="Garamond" w:hAnsi="Garamond" w:cs="Garamond"/>
        </w:rPr>
        <w:t>Honolua</w:t>
      </w:r>
      <w:proofErr w:type="spellEnd"/>
      <w:r>
        <w:rPr>
          <w:rFonts w:ascii="Garamond" w:eastAsia="Garamond" w:hAnsi="Garamond" w:cs="Garamond"/>
        </w:rPr>
        <w:t>) after decades of coral decline, giving rise to the multi-agency West Maui Ridge to Reef (R2R) Initiative. The DEVELOP Hawai’i Water Resources team partnered with the R2R Initiative and the Hawai’i Department of Land and Natural Resources Division of Aquatic Resources (DLNR-DAR) to address the need for better watershed management practices. The team provided the partners with a Google Earth Engine tool that displays land use and land cover changes (LULCC) in the five watersheds and detects near-shore turbidity, chlorophyll-a (</w:t>
      </w:r>
      <w:proofErr w:type="spellStart"/>
      <w:r>
        <w:rPr>
          <w:rFonts w:ascii="Garamond" w:eastAsia="Garamond" w:hAnsi="Garamond" w:cs="Garamond"/>
        </w:rPr>
        <w:t>chl</w:t>
      </w:r>
      <w:proofErr w:type="spellEnd"/>
      <w:r>
        <w:rPr>
          <w:rFonts w:ascii="Garamond" w:eastAsia="Garamond" w:hAnsi="Garamond" w:cs="Garamond"/>
        </w:rPr>
        <w:t>-a), and sea surface temperature using Landsat 4 Thematic Mapper (TM</w:t>
      </w:r>
      <w:r>
        <w:rPr>
          <w:rFonts w:ascii="Century Gothic" w:eastAsia="Century Gothic" w:hAnsi="Century Gothic" w:cs="Century Gothic"/>
        </w:rPr>
        <w:t>)</w:t>
      </w:r>
      <w:r>
        <w:rPr>
          <w:rFonts w:ascii="Garamond" w:eastAsia="Garamond" w:hAnsi="Garamond" w:cs="Garamond"/>
        </w:rPr>
        <w:t>, Landsat 5 TM, Landsat 7 Enhanced Thematic Mapper Plus (ETM+), Landsat 8 Operational Land Imager (OLI), Terra Moderate Resolution Imaging Spectroradiometer (MODIS), and Aqua MODIS. Team members used ancillary data provided by the R2R Initiative and the</w:t>
      </w:r>
      <w:r>
        <w:rPr>
          <w:rFonts w:ascii="Garamond" w:eastAsia="Garamond" w:hAnsi="Garamond" w:cs="Garamond"/>
          <w:b/>
        </w:rPr>
        <w:t xml:space="preserve"> </w:t>
      </w:r>
      <w:r>
        <w:rPr>
          <w:rFonts w:ascii="Garamond" w:eastAsia="Garamond" w:hAnsi="Garamond" w:cs="Garamond"/>
        </w:rPr>
        <w:t>USGS Pacific Coastal and Marine Science Center (PCMSC) to validate satellite parameter values.</w:t>
      </w:r>
      <w:r>
        <w:rPr>
          <w:rFonts w:ascii="Garamond" w:eastAsia="Garamond" w:hAnsi="Garamond" w:cs="Garamond"/>
          <w:i/>
        </w:rPr>
        <w:t xml:space="preserve"> </w:t>
      </w:r>
      <w:r>
        <w:rPr>
          <w:rFonts w:ascii="Garamond" w:eastAsia="Garamond" w:hAnsi="Garamond" w:cs="Garamond"/>
        </w:rPr>
        <w:t>The land cover analysis captured a general trend of increasing impervious cover and decreasing vegetated cover from 1989 to 2019; however, the extent of this change varied between each watershed</w:t>
      </w:r>
      <w:r>
        <w:rPr>
          <w:rFonts w:ascii="Garamond" w:eastAsia="Garamond" w:hAnsi="Garamond" w:cs="Garamond"/>
          <w:i/>
        </w:rPr>
        <w:t xml:space="preserve">. </w:t>
      </w:r>
      <w:r>
        <w:rPr>
          <w:rFonts w:ascii="Garamond" w:eastAsia="Garamond" w:hAnsi="Garamond" w:cs="Garamond"/>
        </w:rPr>
        <w:t xml:space="preserve">This analysis, coupled with the tool, can help project partners continually monitor terrestrial and marine patterns associated with coral decline. </w:t>
      </w:r>
    </w:p>
    <w:p w:rsidR="006557F0" w:rsidRDefault="006557F0">
      <w:pPr>
        <w:spacing w:after="0" w:line="240" w:lineRule="auto"/>
        <w:rPr>
          <w:rFonts w:ascii="Garamond" w:eastAsia="Garamond" w:hAnsi="Garamond" w:cs="Garamond"/>
        </w:rPr>
      </w:pPr>
    </w:p>
    <w:p w:rsidR="006557F0" w:rsidRDefault="00EC60AB">
      <w:pPr>
        <w:spacing w:after="0" w:line="240" w:lineRule="auto"/>
        <w:rPr>
          <w:rFonts w:ascii="Garamond" w:eastAsia="Garamond" w:hAnsi="Garamond" w:cs="Garamond"/>
          <w:b/>
        </w:rPr>
      </w:pPr>
      <w:r>
        <w:rPr>
          <w:rFonts w:ascii="Garamond" w:eastAsia="Garamond" w:hAnsi="Garamond" w:cs="Garamond"/>
          <w:b/>
        </w:rPr>
        <w:t>Keywords</w:t>
      </w:r>
    </w:p>
    <w:p w:rsidR="006557F0" w:rsidRDefault="00EC60AB">
      <w:pPr>
        <w:spacing w:after="0" w:line="240" w:lineRule="auto"/>
        <w:rPr>
          <w:rFonts w:ascii="Garamond" w:eastAsia="Garamond" w:hAnsi="Garamond" w:cs="Garamond"/>
          <w:color w:val="000000"/>
        </w:rPr>
      </w:pPr>
      <w:r>
        <w:rPr>
          <w:rFonts w:ascii="Garamond" w:eastAsia="Garamond" w:hAnsi="Garamond" w:cs="Garamond"/>
        </w:rPr>
        <w:t>remote sensing, Landsat, land use and land cover change (LULCC), turbidity, coral reefs, Google Earth Engine</w:t>
      </w:r>
    </w:p>
    <w:p w:rsidR="006557F0" w:rsidRDefault="006557F0">
      <w:pPr>
        <w:spacing w:after="0" w:line="240" w:lineRule="auto"/>
        <w:rPr>
          <w:rFonts w:ascii="Garamond" w:eastAsia="Garamond" w:hAnsi="Garamond" w:cs="Garamond"/>
        </w:rPr>
      </w:pPr>
    </w:p>
    <w:p w:rsidR="006557F0" w:rsidRDefault="00EC60AB">
      <w:pPr>
        <w:pStyle w:val="Heading1"/>
        <w:spacing w:before="200" w:line="240" w:lineRule="auto"/>
        <w:rPr>
          <w:rFonts w:ascii="Garamond" w:eastAsia="Garamond" w:hAnsi="Garamond" w:cs="Garamond"/>
        </w:rPr>
      </w:pPr>
      <w:r>
        <w:rPr>
          <w:rFonts w:ascii="Garamond" w:eastAsia="Garamond" w:hAnsi="Garamond" w:cs="Garamond"/>
        </w:rPr>
        <w:t>2. Introduction</w:t>
      </w:r>
    </w:p>
    <w:p w:rsidR="00DE2950" w:rsidRDefault="00EC60AB" w:rsidP="00DE2950">
      <w:pPr>
        <w:numPr>
          <w:ilvl w:val="1"/>
          <w:numId w:val="1"/>
        </w:numPr>
        <w:pBdr>
          <w:top w:val="nil"/>
          <w:left w:val="nil"/>
          <w:bottom w:val="nil"/>
          <w:right w:val="nil"/>
          <w:between w:val="nil"/>
        </w:pBdr>
        <w:spacing w:before="200" w:after="0" w:line="240" w:lineRule="auto"/>
        <w:rPr>
          <w:rFonts w:ascii="Garamond" w:eastAsia="Garamond" w:hAnsi="Garamond" w:cs="Garamond"/>
          <w:b/>
          <w:i/>
          <w:color w:val="000000"/>
        </w:rPr>
      </w:pPr>
      <w:r>
        <w:rPr>
          <w:rFonts w:ascii="Garamond" w:eastAsia="Garamond" w:hAnsi="Garamond" w:cs="Garamond"/>
          <w:b/>
          <w:i/>
          <w:color w:val="000000"/>
        </w:rPr>
        <w:t>Background Information</w:t>
      </w:r>
    </w:p>
    <w:p w:rsidR="00DE2950" w:rsidRDefault="00EC60AB" w:rsidP="00DE2950">
      <w:pPr>
        <w:pBdr>
          <w:top w:val="nil"/>
          <w:left w:val="nil"/>
          <w:bottom w:val="nil"/>
          <w:right w:val="nil"/>
          <w:between w:val="nil"/>
        </w:pBdr>
        <w:spacing w:before="200" w:after="0" w:line="240" w:lineRule="auto"/>
        <w:rPr>
          <w:rFonts w:ascii="Garamond" w:eastAsia="Garamond" w:hAnsi="Garamond" w:cs="Garamond"/>
          <w:color w:val="000000"/>
        </w:rPr>
      </w:pPr>
      <w:r w:rsidRPr="00DE2950">
        <w:rPr>
          <w:rFonts w:ascii="Garamond" w:eastAsia="Garamond" w:hAnsi="Garamond" w:cs="Garamond"/>
          <w:color w:val="000000"/>
        </w:rPr>
        <w:t xml:space="preserve">Maui, </w:t>
      </w:r>
      <w:r w:rsidRPr="00DE2950">
        <w:rPr>
          <w:rFonts w:ascii="Garamond" w:eastAsia="Garamond" w:hAnsi="Garamond" w:cs="Garamond"/>
        </w:rPr>
        <w:t>Hawai’i</w:t>
      </w:r>
      <w:r w:rsidRPr="00DE2950">
        <w:rPr>
          <w:rFonts w:ascii="Garamond" w:eastAsia="Garamond" w:hAnsi="Garamond" w:cs="Garamond"/>
          <w:color w:val="000000"/>
        </w:rPr>
        <w:t xml:space="preserve"> is the second largest island in the </w:t>
      </w:r>
      <w:r w:rsidRPr="00DE2950">
        <w:rPr>
          <w:rFonts w:ascii="Garamond" w:eastAsia="Garamond" w:hAnsi="Garamond" w:cs="Garamond"/>
        </w:rPr>
        <w:t>Hawai’i</w:t>
      </w:r>
      <w:r w:rsidRPr="00DE2950">
        <w:rPr>
          <w:rFonts w:ascii="Garamond" w:eastAsia="Garamond" w:hAnsi="Garamond" w:cs="Garamond"/>
          <w:color w:val="000000"/>
        </w:rPr>
        <w:t xml:space="preserve">an archipelago and is located between the Big Island of </w:t>
      </w:r>
      <w:r w:rsidRPr="00DE2950">
        <w:rPr>
          <w:rFonts w:ascii="Garamond" w:eastAsia="Garamond" w:hAnsi="Garamond" w:cs="Garamond"/>
        </w:rPr>
        <w:t>Hawai’i</w:t>
      </w:r>
      <w:r w:rsidRPr="00DE2950">
        <w:rPr>
          <w:rFonts w:ascii="Garamond" w:eastAsia="Garamond" w:hAnsi="Garamond" w:cs="Garamond"/>
          <w:color w:val="000000"/>
        </w:rPr>
        <w:t xml:space="preserve"> and </w:t>
      </w:r>
      <w:proofErr w:type="spellStart"/>
      <w:r w:rsidRPr="00DE2950">
        <w:rPr>
          <w:rFonts w:ascii="Garamond" w:eastAsia="Garamond" w:hAnsi="Garamond" w:cs="Garamond"/>
          <w:color w:val="000000"/>
        </w:rPr>
        <w:t>Moloka’i</w:t>
      </w:r>
      <w:proofErr w:type="spellEnd"/>
      <w:r w:rsidRPr="00DE2950">
        <w:rPr>
          <w:rFonts w:ascii="Garamond" w:eastAsia="Garamond" w:hAnsi="Garamond" w:cs="Garamond"/>
          <w:color w:val="000000"/>
        </w:rPr>
        <w:t>, approximately 2,500 miles off the west coast of the United States (Fig</w:t>
      </w:r>
      <w:r w:rsidRPr="00DE2950">
        <w:rPr>
          <w:rFonts w:ascii="Garamond" w:eastAsia="Garamond" w:hAnsi="Garamond" w:cs="Garamond"/>
        </w:rPr>
        <w:t>.</w:t>
      </w:r>
      <w:r w:rsidRPr="00DE2950">
        <w:rPr>
          <w:rFonts w:ascii="Garamond" w:eastAsia="Garamond" w:hAnsi="Garamond" w:cs="Garamond"/>
          <w:color w:val="000000"/>
        </w:rPr>
        <w:t xml:space="preserve"> 1). The island was formed by two shield volcanoes, West Maui Mountain (now West Maui) and Haleakala, which are connected by a low-lying isthmus.</w:t>
      </w:r>
    </w:p>
    <w:p w:rsidR="00DE2950" w:rsidRDefault="00DE2950" w:rsidP="00DE2950">
      <w:pPr>
        <w:pBdr>
          <w:top w:val="nil"/>
          <w:left w:val="nil"/>
          <w:bottom w:val="nil"/>
          <w:right w:val="nil"/>
          <w:between w:val="nil"/>
        </w:pBdr>
        <w:spacing w:before="200" w:after="0" w:line="240" w:lineRule="auto"/>
        <w:jc w:val="center"/>
        <w:rPr>
          <w:rFonts w:ascii="Garamond" w:eastAsia="Garamond" w:hAnsi="Garamond" w:cs="Garamond"/>
          <w:color w:val="000000"/>
        </w:rPr>
      </w:pPr>
      <w:r>
        <w:rPr>
          <w:noProof/>
        </w:rPr>
        <w:drawing>
          <wp:inline distT="114300" distB="114300" distL="114300" distR="114300" wp14:anchorId="3FA1F57C" wp14:editId="435359EF">
            <wp:extent cx="4562475" cy="2886075"/>
            <wp:effectExtent l="0" t="0" r="9525" b="9525"/>
            <wp:docPr id="1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4562475" cy="2886075"/>
                    </a:xfrm>
                    <a:prstGeom prst="rect">
                      <a:avLst/>
                    </a:prstGeom>
                    <a:ln/>
                  </pic:spPr>
                </pic:pic>
              </a:graphicData>
            </a:graphic>
          </wp:inline>
        </w:drawing>
      </w:r>
    </w:p>
    <w:p w:rsidR="00DE2950" w:rsidRDefault="00DE2950" w:rsidP="00DE2950">
      <w:pPr>
        <w:pBdr>
          <w:top w:val="nil"/>
          <w:left w:val="nil"/>
          <w:bottom w:val="nil"/>
          <w:right w:val="nil"/>
          <w:between w:val="nil"/>
        </w:pBdr>
        <w:spacing w:before="200" w:after="0" w:line="240" w:lineRule="auto"/>
        <w:jc w:val="center"/>
        <w:rPr>
          <w:rFonts w:ascii="Garamond" w:eastAsia="Garamond" w:hAnsi="Garamond" w:cs="Garamond"/>
          <w:color w:val="000000"/>
        </w:rPr>
      </w:pPr>
      <w:r>
        <w:rPr>
          <w:rFonts w:ascii="Garamond" w:eastAsia="Garamond" w:hAnsi="Garamond" w:cs="Garamond"/>
          <w:i/>
          <w:color w:val="000000"/>
        </w:rPr>
        <w:t xml:space="preserve">Figure 1. </w:t>
      </w:r>
      <w:r>
        <w:rPr>
          <w:rFonts w:ascii="Garamond" w:eastAsia="Garamond" w:hAnsi="Garamond" w:cs="Garamond"/>
          <w:color w:val="000000"/>
        </w:rPr>
        <w:t xml:space="preserve">The study area is comprised of </w:t>
      </w:r>
      <w:r>
        <w:rPr>
          <w:rFonts w:ascii="Garamond" w:eastAsia="Garamond" w:hAnsi="Garamond" w:cs="Garamond"/>
        </w:rPr>
        <w:t xml:space="preserve">five </w:t>
      </w:r>
      <w:r>
        <w:rPr>
          <w:rFonts w:ascii="Garamond" w:eastAsia="Garamond" w:hAnsi="Garamond" w:cs="Garamond"/>
          <w:color w:val="000000"/>
        </w:rPr>
        <w:t xml:space="preserve">watersheds </w:t>
      </w:r>
      <w:r>
        <w:rPr>
          <w:rFonts w:ascii="Garamond" w:eastAsia="Garamond" w:hAnsi="Garamond" w:cs="Garamond"/>
        </w:rPr>
        <w:t xml:space="preserve">in </w:t>
      </w:r>
      <w:r>
        <w:rPr>
          <w:rFonts w:ascii="Garamond" w:eastAsia="Garamond" w:hAnsi="Garamond" w:cs="Garamond"/>
          <w:color w:val="000000"/>
        </w:rPr>
        <w:t>West Maui, HI.</w:t>
      </w:r>
    </w:p>
    <w:p w:rsidR="006557F0" w:rsidRPr="00DE2950" w:rsidRDefault="00EC60AB" w:rsidP="00DE2950">
      <w:pPr>
        <w:pBdr>
          <w:top w:val="nil"/>
          <w:left w:val="nil"/>
          <w:bottom w:val="nil"/>
          <w:right w:val="nil"/>
          <w:between w:val="nil"/>
        </w:pBdr>
        <w:spacing w:before="200" w:after="0" w:line="240" w:lineRule="auto"/>
        <w:rPr>
          <w:rFonts w:ascii="Garamond" w:eastAsia="Garamond" w:hAnsi="Garamond" w:cs="Garamond"/>
          <w:b/>
          <w:i/>
          <w:color w:val="000000"/>
        </w:rPr>
      </w:pPr>
      <w:r w:rsidRPr="00DE2950">
        <w:rPr>
          <w:rFonts w:ascii="Garamond" w:eastAsia="Garamond" w:hAnsi="Garamond" w:cs="Garamond"/>
          <w:color w:val="000000"/>
        </w:rPr>
        <w:lastRenderedPageBreak/>
        <w:t xml:space="preserve">This geology offers a steep vegetated terrain with shallow </w:t>
      </w:r>
      <w:proofErr w:type="spellStart"/>
      <w:r w:rsidRPr="00DE2950">
        <w:rPr>
          <w:rFonts w:ascii="Garamond" w:eastAsia="Garamond" w:hAnsi="Garamond" w:cs="Garamond"/>
          <w:color w:val="000000"/>
        </w:rPr>
        <w:t>embayments</w:t>
      </w:r>
      <w:proofErr w:type="spellEnd"/>
      <w:r w:rsidRPr="00DE2950">
        <w:rPr>
          <w:rFonts w:ascii="Garamond" w:eastAsia="Garamond" w:hAnsi="Garamond" w:cs="Garamond"/>
          <w:color w:val="000000"/>
        </w:rPr>
        <w:t xml:space="preserve"> composed of easily erodible basalt. The average temperatures are between 17°C and 31°C, with </w:t>
      </w:r>
      <w:r w:rsidRPr="00DE2950">
        <w:rPr>
          <w:rFonts w:ascii="Garamond" w:eastAsia="Garamond" w:hAnsi="Garamond" w:cs="Garamond"/>
        </w:rPr>
        <w:t xml:space="preserve">a </w:t>
      </w:r>
      <w:r w:rsidRPr="00DE2950">
        <w:rPr>
          <w:rFonts w:ascii="Garamond" w:eastAsia="Garamond" w:hAnsi="Garamond" w:cs="Garamond"/>
          <w:color w:val="000000"/>
        </w:rPr>
        <w:t xml:space="preserve">wet season </w:t>
      </w:r>
      <w:r w:rsidRPr="00DE2950">
        <w:rPr>
          <w:rFonts w:ascii="Garamond" w:eastAsia="Garamond" w:hAnsi="Garamond" w:cs="Garamond"/>
        </w:rPr>
        <w:t>from</w:t>
      </w:r>
      <w:r w:rsidRPr="00DE2950">
        <w:rPr>
          <w:rFonts w:ascii="Garamond" w:eastAsia="Garamond" w:hAnsi="Garamond" w:cs="Garamond"/>
          <w:color w:val="000000"/>
        </w:rPr>
        <w:t xml:space="preserve"> October </w:t>
      </w:r>
      <w:r w:rsidRPr="00DE2950">
        <w:rPr>
          <w:rFonts w:ascii="Garamond" w:eastAsia="Garamond" w:hAnsi="Garamond" w:cs="Garamond"/>
        </w:rPr>
        <w:t>to</w:t>
      </w:r>
      <w:r w:rsidRPr="00DE2950">
        <w:rPr>
          <w:rFonts w:ascii="Garamond" w:eastAsia="Garamond" w:hAnsi="Garamond" w:cs="Garamond"/>
          <w:color w:val="000000"/>
        </w:rPr>
        <w:t xml:space="preserve"> April (US News, n.d.) and average annual rainfall between 200 and 300 cm (Department of Geology and Geophysics, n.d.).  </w:t>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West Maui is the western peninsula of Maui, which is surrounded by diverse coral reef beds that provide measurable economic and ecological benefits to the community. Reefs protect the shoreline and are habitat for many marine species while also attracting tourists for recreation and environmental education (Cesar &amp; van </w:t>
      </w:r>
      <w:proofErr w:type="spellStart"/>
      <w:r>
        <w:rPr>
          <w:rFonts w:ascii="Garamond" w:eastAsia="Garamond" w:hAnsi="Garamond" w:cs="Garamond"/>
        </w:rPr>
        <w:t>Beukering</w:t>
      </w:r>
      <w:proofErr w:type="spellEnd"/>
      <w:r>
        <w:rPr>
          <w:rFonts w:ascii="Garamond" w:eastAsia="Garamond" w:hAnsi="Garamond" w:cs="Garamond"/>
        </w:rPr>
        <w:t>, 2004). High volumes of visitors to the island promote development</w:t>
      </w:r>
      <w:r w:rsidR="007B7901">
        <w:rPr>
          <w:rFonts w:ascii="Garamond" w:eastAsia="Garamond" w:hAnsi="Garamond" w:cs="Garamond"/>
        </w:rPr>
        <w:t>,</w:t>
      </w:r>
      <w:r>
        <w:rPr>
          <w:rFonts w:ascii="Garamond" w:eastAsia="Garamond" w:hAnsi="Garamond" w:cs="Garamond"/>
        </w:rPr>
        <w:t xml:space="preserve"> and the popularity of the island as a destination has led to a population increase of 40 percent</w:t>
      </w:r>
      <w:r>
        <w:rPr>
          <w:rFonts w:ascii="Garamond" w:eastAsia="Garamond" w:hAnsi="Garamond" w:cs="Garamond"/>
          <w:color w:val="000000"/>
        </w:rPr>
        <w:t xml:space="preserve"> </w:t>
      </w:r>
      <w:r>
        <w:rPr>
          <w:rFonts w:ascii="Garamond" w:eastAsia="Garamond" w:hAnsi="Garamond" w:cs="Garamond"/>
        </w:rPr>
        <w:t>in</w:t>
      </w:r>
      <w:r>
        <w:rPr>
          <w:rFonts w:ascii="Garamond" w:eastAsia="Garamond" w:hAnsi="Garamond" w:cs="Garamond"/>
          <w:color w:val="000000"/>
        </w:rPr>
        <w:t xml:space="preserve"> </w:t>
      </w:r>
      <w:r>
        <w:rPr>
          <w:rFonts w:ascii="Garamond" w:eastAsia="Garamond" w:hAnsi="Garamond" w:cs="Garamond"/>
        </w:rPr>
        <w:t xml:space="preserve">the last two decades </w:t>
      </w:r>
      <w:r>
        <w:rPr>
          <w:rFonts w:ascii="Garamond" w:eastAsia="Garamond" w:hAnsi="Garamond" w:cs="Garamond"/>
          <w:color w:val="000000"/>
        </w:rPr>
        <w:t>(</w:t>
      </w:r>
      <w:r>
        <w:rPr>
          <w:rFonts w:ascii="Garamond" w:eastAsia="Garamond" w:hAnsi="Garamond" w:cs="Garamond"/>
        </w:rPr>
        <w:t>Department of Planning</w:t>
      </w:r>
      <w:r>
        <w:rPr>
          <w:rFonts w:ascii="Garamond" w:eastAsia="Garamond" w:hAnsi="Garamond" w:cs="Garamond"/>
          <w:color w:val="000000"/>
        </w:rPr>
        <w:t xml:space="preserve">, 2018). </w:t>
      </w:r>
    </w:p>
    <w:p w:rsidR="006557F0" w:rsidRPr="00DE2950" w:rsidRDefault="00EC60AB" w:rsidP="00DE2950">
      <w:pPr>
        <w:spacing w:before="200" w:after="0" w:line="240" w:lineRule="auto"/>
        <w:rPr>
          <w:rFonts w:ascii="Times New Roman" w:eastAsia="Times New Roman" w:hAnsi="Times New Roman" w:cs="Times New Roman"/>
          <w:sz w:val="24"/>
          <w:szCs w:val="24"/>
        </w:rPr>
      </w:pPr>
      <w:r>
        <w:rPr>
          <w:rFonts w:ascii="Garamond" w:eastAsia="Garamond" w:hAnsi="Garamond" w:cs="Garamond"/>
        </w:rPr>
        <w:t>Contemporaneous with these terrestrial changes, c</w:t>
      </w:r>
      <w:r>
        <w:rPr>
          <w:rFonts w:ascii="Garamond" w:eastAsia="Garamond" w:hAnsi="Garamond" w:cs="Garamond"/>
          <w:color w:val="000000"/>
        </w:rPr>
        <w:t>oral reef</w:t>
      </w:r>
      <w:r>
        <w:rPr>
          <w:rFonts w:ascii="Garamond" w:eastAsia="Garamond" w:hAnsi="Garamond" w:cs="Garamond"/>
        </w:rPr>
        <w:t xml:space="preserve"> </w:t>
      </w:r>
      <w:proofErr w:type="gramStart"/>
      <w:r>
        <w:rPr>
          <w:rFonts w:ascii="Garamond" w:eastAsia="Garamond" w:hAnsi="Garamond" w:cs="Garamond"/>
        </w:rPr>
        <w:t>cover</w:t>
      </w:r>
      <w:proofErr w:type="gramEnd"/>
      <w:r>
        <w:rPr>
          <w:rFonts w:ascii="Garamond" w:eastAsia="Garamond" w:hAnsi="Garamond" w:cs="Garamond"/>
          <w:color w:val="000000"/>
        </w:rPr>
        <w:t xml:space="preserve"> off the coast of West Maui ha</w:t>
      </w:r>
      <w:r>
        <w:rPr>
          <w:rFonts w:ascii="Garamond" w:eastAsia="Garamond" w:hAnsi="Garamond" w:cs="Garamond"/>
        </w:rPr>
        <w:t>s</w:t>
      </w:r>
      <w:r>
        <w:rPr>
          <w:rFonts w:ascii="Garamond" w:eastAsia="Garamond" w:hAnsi="Garamond" w:cs="Garamond"/>
          <w:color w:val="000000"/>
        </w:rPr>
        <w:t xml:space="preserve"> </w:t>
      </w:r>
      <w:r>
        <w:rPr>
          <w:rFonts w:ascii="Garamond" w:eastAsia="Garamond" w:hAnsi="Garamond" w:cs="Garamond"/>
        </w:rPr>
        <w:t xml:space="preserve">decreased between 30 and 75 percent </w:t>
      </w:r>
      <w:r w:rsidR="00FE40EF">
        <w:rPr>
          <w:rFonts w:ascii="Garamond" w:eastAsia="Garamond" w:hAnsi="Garamond" w:cs="Garamond"/>
        </w:rPr>
        <w:t xml:space="preserve">in the last two decades </w:t>
      </w:r>
      <w:r>
        <w:rPr>
          <w:rFonts w:ascii="Garamond" w:eastAsia="Garamond" w:hAnsi="Garamond" w:cs="Garamond"/>
        </w:rPr>
        <w:t>(PIFSC, 2017).</w:t>
      </w:r>
      <w:r>
        <w:rPr>
          <w:rFonts w:ascii="Garamond" w:eastAsia="Garamond" w:hAnsi="Garamond" w:cs="Garamond"/>
          <w:color w:val="000000"/>
        </w:rPr>
        <w:t xml:space="preserve"> In response to this decline, the U.S. Coral Reef Task Force (USCRTF) identified West Maui</w:t>
      </w:r>
      <w:r>
        <w:rPr>
          <w:rFonts w:ascii="Garamond" w:eastAsia="Garamond" w:hAnsi="Garamond" w:cs="Garamond"/>
        </w:rPr>
        <w:t xml:space="preserve"> watershed as a priority watershed (along with its sub-watersheds of </w:t>
      </w:r>
      <w:proofErr w:type="spellStart"/>
      <w:r>
        <w:rPr>
          <w:rFonts w:ascii="Garamond" w:eastAsia="Garamond" w:hAnsi="Garamond" w:cs="Garamond"/>
        </w:rPr>
        <w:t>Wahikuli</w:t>
      </w:r>
      <w:proofErr w:type="spellEnd"/>
      <w:r>
        <w:rPr>
          <w:rFonts w:ascii="Garamond" w:eastAsia="Garamond" w:hAnsi="Garamond" w:cs="Garamond"/>
        </w:rPr>
        <w:t xml:space="preserve">, </w:t>
      </w:r>
      <w:proofErr w:type="spellStart"/>
      <w:r>
        <w:rPr>
          <w:rFonts w:ascii="Garamond" w:eastAsia="Garamond" w:hAnsi="Garamond" w:cs="Garamond"/>
        </w:rPr>
        <w:t>Honokōwai</w:t>
      </w:r>
      <w:proofErr w:type="spellEnd"/>
      <w:r>
        <w:rPr>
          <w:rFonts w:ascii="Garamond" w:eastAsia="Garamond" w:hAnsi="Garamond" w:cs="Garamond"/>
        </w:rPr>
        <w:t xml:space="preserve">, </w:t>
      </w:r>
      <w:proofErr w:type="spellStart"/>
      <w:r>
        <w:rPr>
          <w:rFonts w:ascii="Garamond" w:eastAsia="Garamond" w:hAnsi="Garamond" w:cs="Garamond"/>
        </w:rPr>
        <w:t>Kahana</w:t>
      </w:r>
      <w:proofErr w:type="spellEnd"/>
      <w:r>
        <w:rPr>
          <w:rFonts w:ascii="Garamond" w:eastAsia="Garamond" w:hAnsi="Garamond" w:cs="Garamond"/>
        </w:rPr>
        <w:t xml:space="preserve">, </w:t>
      </w:r>
      <w:proofErr w:type="spellStart"/>
      <w:r>
        <w:rPr>
          <w:rFonts w:ascii="Garamond" w:eastAsia="Garamond" w:hAnsi="Garamond" w:cs="Garamond"/>
        </w:rPr>
        <w:t>Honokahua</w:t>
      </w:r>
      <w:proofErr w:type="spellEnd"/>
      <w:r>
        <w:rPr>
          <w:rFonts w:ascii="Garamond" w:eastAsia="Garamond" w:hAnsi="Garamond" w:cs="Garamond"/>
        </w:rPr>
        <w:t xml:space="preserve">, and </w:t>
      </w:r>
      <w:proofErr w:type="spellStart"/>
      <w:r>
        <w:rPr>
          <w:rFonts w:ascii="Garamond" w:eastAsia="Garamond" w:hAnsi="Garamond" w:cs="Garamond"/>
        </w:rPr>
        <w:t>Honolua</w:t>
      </w:r>
      <w:proofErr w:type="spellEnd"/>
      <w:r>
        <w:rPr>
          <w:rFonts w:ascii="Garamond" w:eastAsia="Garamond" w:hAnsi="Garamond" w:cs="Garamond"/>
        </w:rPr>
        <w:t>)</w:t>
      </w:r>
      <w:r>
        <w:rPr>
          <w:rFonts w:ascii="Garamond" w:eastAsia="Garamond" w:hAnsi="Garamond" w:cs="Garamond"/>
          <w:color w:val="000000"/>
        </w:rPr>
        <w:t xml:space="preserve"> for coral reef protection in 2011, which has underscored an increasing effort across agencies to protect these valuable habitats (Fig</w:t>
      </w:r>
      <w:r w:rsidR="007B7901">
        <w:rPr>
          <w:rFonts w:ascii="Garamond" w:eastAsia="Garamond" w:hAnsi="Garamond" w:cs="Garamond"/>
          <w:color w:val="000000"/>
        </w:rPr>
        <w:t>ure</w:t>
      </w:r>
      <w:r>
        <w:rPr>
          <w:rFonts w:ascii="Garamond" w:eastAsia="Garamond" w:hAnsi="Garamond" w:cs="Garamond"/>
          <w:color w:val="000000"/>
        </w:rPr>
        <w:t xml:space="preserve"> 1). The steep terrain of the region, coupled with its tropical climate, results in high sediment flow from the heights of the mountains, through the </w:t>
      </w:r>
      <w:proofErr w:type="spellStart"/>
      <w:r>
        <w:rPr>
          <w:rFonts w:ascii="Garamond" w:eastAsia="Garamond" w:hAnsi="Garamond" w:cs="Garamond"/>
          <w:color w:val="000000"/>
        </w:rPr>
        <w:t>embayments</w:t>
      </w:r>
      <w:proofErr w:type="spellEnd"/>
      <w:r>
        <w:rPr>
          <w:rFonts w:ascii="Garamond" w:eastAsia="Garamond" w:hAnsi="Garamond" w:cs="Garamond"/>
          <w:color w:val="000000"/>
        </w:rPr>
        <w:t xml:space="preserve">, and into near-shore waters (Department of Geology and Geophysics, n.d.). Heavy development and overgrazing from feral </w:t>
      </w:r>
      <w:r>
        <w:rPr>
          <w:rFonts w:ascii="Garamond" w:eastAsia="Garamond" w:hAnsi="Garamond" w:cs="Garamond"/>
        </w:rPr>
        <w:t xml:space="preserve">livestock </w:t>
      </w:r>
      <w:proofErr w:type="gramStart"/>
      <w:r>
        <w:rPr>
          <w:rFonts w:ascii="Garamond" w:eastAsia="Garamond" w:hAnsi="Garamond" w:cs="Garamond"/>
          <w:color w:val="000000"/>
        </w:rPr>
        <w:t>is</w:t>
      </w:r>
      <w:proofErr w:type="gramEnd"/>
      <w:r>
        <w:rPr>
          <w:rFonts w:ascii="Garamond" w:eastAsia="Garamond" w:hAnsi="Garamond" w:cs="Garamond"/>
          <w:color w:val="000000"/>
        </w:rPr>
        <w:t xml:space="preserve"> destabilizing soil and leading to more erosion (Timmons, n.d.). Sugarcane and pineapple production </w:t>
      </w:r>
      <w:proofErr w:type="gramStart"/>
      <w:r>
        <w:rPr>
          <w:rFonts w:ascii="Garamond" w:eastAsia="Garamond" w:hAnsi="Garamond" w:cs="Garamond"/>
          <w:color w:val="000000"/>
        </w:rPr>
        <w:t>was</w:t>
      </w:r>
      <w:proofErr w:type="gramEnd"/>
      <w:r>
        <w:rPr>
          <w:rFonts w:ascii="Garamond" w:eastAsia="Garamond" w:hAnsi="Garamond" w:cs="Garamond"/>
          <w:color w:val="000000"/>
        </w:rPr>
        <w:t xml:space="preserve"> also phased out during this period i</w:t>
      </w:r>
      <w:r>
        <w:rPr>
          <w:rFonts w:ascii="Garamond" w:eastAsia="Garamond" w:hAnsi="Garamond" w:cs="Garamond"/>
        </w:rPr>
        <w:t xml:space="preserve">n the island’s history (Silver, 2013). </w:t>
      </w:r>
      <w:r>
        <w:rPr>
          <w:rFonts w:ascii="Garamond" w:eastAsia="Garamond" w:hAnsi="Garamond" w:cs="Garamond"/>
          <w:color w:val="000000"/>
        </w:rPr>
        <w:t xml:space="preserve">These land based sources of pollution (LBSP), along with other environmental factors, </w:t>
      </w:r>
      <w:r>
        <w:rPr>
          <w:rFonts w:ascii="Garamond" w:eastAsia="Garamond" w:hAnsi="Garamond" w:cs="Garamond"/>
        </w:rPr>
        <w:t>drive</w:t>
      </w:r>
      <w:r>
        <w:rPr>
          <w:rFonts w:ascii="Garamond" w:eastAsia="Garamond" w:hAnsi="Garamond" w:cs="Garamond"/>
          <w:color w:val="000000"/>
        </w:rPr>
        <w:t xml:space="preserve"> the decline of coral reef coverage along the western coast of Maui</w:t>
      </w:r>
      <w:r>
        <w:rPr>
          <w:rFonts w:ascii="Garamond" w:eastAsia="Garamond" w:hAnsi="Garamond" w:cs="Garamond"/>
        </w:rPr>
        <w:t>.</w:t>
      </w:r>
    </w:p>
    <w:p w:rsidR="00DE2950" w:rsidRDefault="007F2A3C" w:rsidP="00DE2950">
      <w:pPr>
        <w:spacing w:before="200" w:after="0" w:line="240" w:lineRule="auto"/>
        <w:rPr>
          <w:rFonts w:ascii="Garamond" w:eastAsia="Garamond" w:hAnsi="Garamond" w:cs="Garamond"/>
          <w:color w:val="000000"/>
        </w:rPr>
      </w:pPr>
      <w:r>
        <w:rPr>
          <w:noProof/>
        </w:rPr>
        <w:drawing>
          <wp:anchor distT="114300" distB="114300" distL="114300" distR="114300" simplePos="0" relativeHeight="251662336" behindDoc="0" locked="0" layoutInCell="1" hidden="0" allowOverlap="1" wp14:anchorId="6F3CC346" wp14:editId="091C5336">
            <wp:simplePos x="0" y="0"/>
            <wp:positionH relativeFrom="margin">
              <wp:align>left</wp:align>
            </wp:positionH>
            <wp:positionV relativeFrom="paragraph">
              <wp:posOffset>133780</wp:posOffset>
            </wp:positionV>
            <wp:extent cx="3824288" cy="3824288"/>
            <wp:effectExtent l="0" t="0" r="5080" b="5080"/>
            <wp:wrapSquare wrapText="bothSides" distT="114300" distB="114300" distL="114300" distR="114300"/>
            <wp:docPr id="46"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0"/>
                    <a:srcRect/>
                    <a:stretch>
                      <a:fillRect/>
                    </a:stretch>
                  </pic:blipFill>
                  <pic:spPr>
                    <a:xfrm>
                      <a:off x="0" y="0"/>
                      <a:ext cx="3824288" cy="3824288"/>
                    </a:xfrm>
                    <a:prstGeom prst="rect">
                      <a:avLst/>
                    </a:prstGeom>
                    <a:ln/>
                  </pic:spPr>
                </pic:pic>
              </a:graphicData>
            </a:graphic>
          </wp:anchor>
        </w:drawing>
      </w:r>
      <w:r w:rsidR="00EC60AB">
        <w:rPr>
          <w:rFonts w:ascii="Garamond" w:eastAsia="Garamond" w:hAnsi="Garamond" w:cs="Garamond"/>
          <w:color w:val="000000"/>
        </w:rPr>
        <w:t xml:space="preserve">While the USCRTF has recently initiated citizen science efforts to </w:t>
      </w:r>
      <w:r w:rsidR="00EC60AB">
        <w:rPr>
          <w:rFonts w:ascii="Garamond" w:eastAsia="Garamond" w:hAnsi="Garamond" w:cs="Garamond"/>
        </w:rPr>
        <w:t>monitor water quality</w:t>
      </w:r>
      <w:r w:rsidR="00EC60AB">
        <w:rPr>
          <w:rFonts w:ascii="Garamond" w:eastAsia="Garamond" w:hAnsi="Garamond" w:cs="Garamond"/>
          <w:color w:val="000000"/>
        </w:rPr>
        <w:t xml:space="preserve"> through the West Maui Ridge to Reef Initiative (R2R), Hui O Ka Wai Ola group, limited funding and capabilities still result in insufficient monitoring. There are currently t</w:t>
      </w:r>
      <w:r w:rsidR="00EC60AB">
        <w:rPr>
          <w:rFonts w:ascii="Garamond" w:eastAsia="Garamond" w:hAnsi="Garamond" w:cs="Garamond"/>
        </w:rPr>
        <w:t>hirteen</w:t>
      </w:r>
      <w:r w:rsidR="00EC60AB">
        <w:rPr>
          <w:rFonts w:ascii="Garamond" w:eastAsia="Garamond" w:hAnsi="Garamond" w:cs="Garamond"/>
          <w:color w:val="000000"/>
        </w:rPr>
        <w:t xml:space="preserve"> </w:t>
      </w:r>
      <w:r w:rsidR="00EC60AB">
        <w:rPr>
          <w:rFonts w:ascii="Garamond" w:eastAsia="Garamond" w:hAnsi="Garamond" w:cs="Garamond"/>
        </w:rPr>
        <w:t>sampling sites along the five priority watersheds that are monitored by Hui O Ka Wai Ola (Fig</w:t>
      </w:r>
      <w:r w:rsidR="007B7901">
        <w:rPr>
          <w:rFonts w:ascii="Garamond" w:eastAsia="Garamond" w:hAnsi="Garamond" w:cs="Garamond"/>
        </w:rPr>
        <w:t>ure</w:t>
      </w:r>
      <w:r w:rsidR="00EC60AB">
        <w:rPr>
          <w:rFonts w:ascii="Garamond" w:eastAsia="Garamond" w:hAnsi="Garamond" w:cs="Garamond"/>
        </w:rPr>
        <w:t xml:space="preserve"> 2).</w:t>
      </w:r>
      <w:r w:rsidR="00EC60AB">
        <w:rPr>
          <w:rFonts w:ascii="Garamond" w:eastAsia="Garamond" w:hAnsi="Garamond" w:cs="Garamond"/>
          <w:color w:val="000000"/>
        </w:rPr>
        <w:t xml:space="preserve"> To monitor at a greater spatial and temporal scale, sever</w:t>
      </w:r>
      <w:r w:rsidR="00EC60AB">
        <w:rPr>
          <w:rFonts w:ascii="Garamond" w:eastAsia="Garamond" w:hAnsi="Garamond" w:cs="Garamond"/>
        </w:rPr>
        <w:t xml:space="preserve">al studies have employed </w:t>
      </w:r>
      <w:r w:rsidR="00EC60AB">
        <w:rPr>
          <w:rFonts w:ascii="Garamond" w:eastAsia="Garamond" w:hAnsi="Garamond" w:cs="Garamond"/>
          <w:color w:val="000000"/>
        </w:rPr>
        <w:t xml:space="preserve">satellite remote sensing in environmental data collection efforts. Satellite-derived datasets have enabled the quantification of environmental and anthropogenic drivers on coral cover, supporting individual and cumulative impact analyses that reveal complex </w:t>
      </w:r>
      <w:r w:rsidR="00EC60AB">
        <w:rPr>
          <w:rFonts w:ascii="Garamond" w:eastAsia="Garamond" w:hAnsi="Garamond" w:cs="Garamond"/>
        </w:rPr>
        <w:t>systems</w:t>
      </w:r>
      <w:r w:rsidR="00EC60AB">
        <w:rPr>
          <w:rFonts w:ascii="Garamond" w:eastAsia="Garamond" w:hAnsi="Garamond" w:cs="Garamond"/>
          <w:color w:val="000000"/>
        </w:rPr>
        <w:t xml:space="preserve"> of relationships between land and water in </w:t>
      </w:r>
      <w:r w:rsidR="00EC60AB">
        <w:rPr>
          <w:rFonts w:ascii="Garamond" w:eastAsia="Garamond" w:hAnsi="Garamond" w:cs="Garamond"/>
        </w:rPr>
        <w:t>Hawai’i</w:t>
      </w:r>
      <w:r w:rsidR="00EC60AB">
        <w:rPr>
          <w:rFonts w:ascii="Garamond" w:eastAsia="Garamond" w:hAnsi="Garamond" w:cs="Garamond"/>
          <w:color w:val="000000"/>
        </w:rPr>
        <w:t xml:space="preserve"> (Wedding et al., 2018). </w:t>
      </w:r>
    </w:p>
    <w:p w:rsidR="007F2A3C" w:rsidRDefault="007F2A3C" w:rsidP="00DE2950">
      <w:pPr>
        <w:spacing w:before="200" w:after="0" w:line="240" w:lineRule="auto"/>
        <w:rPr>
          <w:rFonts w:ascii="Garamond" w:eastAsia="Garamond" w:hAnsi="Garamond" w:cs="Garamond"/>
          <w:i/>
        </w:rPr>
      </w:pPr>
    </w:p>
    <w:p w:rsidR="00DE2950" w:rsidRPr="00DE2950" w:rsidRDefault="00DE2950" w:rsidP="007F2A3C">
      <w:pPr>
        <w:spacing w:before="200" w:after="0" w:line="240" w:lineRule="auto"/>
        <w:jc w:val="center"/>
        <w:rPr>
          <w:rFonts w:ascii="Garamond" w:eastAsia="Garamond" w:hAnsi="Garamond" w:cs="Garamond"/>
          <w:color w:val="000000"/>
        </w:rPr>
      </w:pPr>
      <w:r>
        <w:rPr>
          <w:rFonts w:ascii="Garamond" w:eastAsia="Garamond" w:hAnsi="Garamond" w:cs="Garamond"/>
          <w:i/>
        </w:rPr>
        <w:t xml:space="preserve">Figure 2. </w:t>
      </w:r>
      <w:r>
        <w:rPr>
          <w:rFonts w:ascii="Garamond" w:eastAsia="Garamond" w:hAnsi="Garamond" w:cs="Garamond"/>
        </w:rPr>
        <w:t xml:space="preserve">Thirteen sampling sites monitored by citizen science group Hui O Ka Wai Ola within our study area. Buffer zones around these sites are denoted in light blue and were used to </w:t>
      </w:r>
      <w:r w:rsidR="007F2A3C">
        <w:rPr>
          <w:rFonts w:ascii="Garamond" w:eastAsia="Garamond" w:hAnsi="Garamond" w:cs="Garamond"/>
        </w:rPr>
        <w:t xml:space="preserve">remotely </w:t>
      </w:r>
      <w:r>
        <w:rPr>
          <w:rFonts w:ascii="Garamond" w:eastAsia="Garamond" w:hAnsi="Garamond" w:cs="Garamond"/>
        </w:rPr>
        <w:t>aggregate water quality data.</w:t>
      </w:r>
    </w:p>
    <w:p w:rsidR="00DE2950" w:rsidRDefault="00DE2950" w:rsidP="00DE2950">
      <w:pPr>
        <w:spacing w:before="200" w:after="0" w:line="240" w:lineRule="auto"/>
        <w:rPr>
          <w:rFonts w:ascii="Garamond" w:eastAsia="Garamond" w:hAnsi="Garamond" w:cs="Garamond"/>
          <w:color w:val="000000"/>
        </w:rPr>
      </w:pPr>
    </w:p>
    <w:p w:rsidR="00DE2950" w:rsidRPr="00DE2950" w:rsidRDefault="00EC60AB" w:rsidP="00DE2950">
      <w:pPr>
        <w:spacing w:before="200" w:after="0" w:line="240" w:lineRule="auto"/>
        <w:rPr>
          <w:rFonts w:ascii="Garamond" w:eastAsia="Garamond" w:hAnsi="Garamond" w:cs="Garamond"/>
          <w:color w:val="000000"/>
        </w:rPr>
      </w:pPr>
      <w:r>
        <w:rPr>
          <w:rFonts w:ascii="Garamond" w:eastAsia="Garamond" w:hAnsi="Garamond" w:cs="Garamond"/>
          <w:color w:val="000000"/>
        </w:rPr>
        <w:t xml:space="preserve">Classifying land use land cover change (LULCC) using remotely sensed data has also proven effective for island-scale analyses (Keuchel et al., 2003). </w:t>
      </w:r>
      <w:r>
        <w:rPr>
          <w:rFonts w:ascii="Garamond" w:eastAsia="Garamond" w:hAnsi="Garamond" w:cs="Garamond"/>
        </w:rPr>
        <w:t>T</w:t>
      </w:r>
      <w:r>
        <w:rPr>
          <w:rFonts w:ascii="Garamond" w:eastAsia="Garamond" w:hAnsi="Garamond" w:cs="Garamond"/>
          <w:color w:val="000000"/>
        </w:rPr>
        <w:t>here are efforts to ground-truth and</w:t>
      </w:r>
      <w:r w:rsidR="00DE2950">
        <w:rPr>
          <w:rFonts w:ascii="Garamond" w:eastAsia="Garamond" w:hAnsi="Garamond" w:cs="Garamond"/>
          <w:color w:val="000000"/>
        </w:rPr>
        <w:t xml:space="preserve"> validate satellite imagery for use in ocean waters ranging from deep, turbid waters to shallow, clear reef waters (Wei et al., 2018).</w:t>
      </w:r>
    </w:p>
    <w:p w:rsidR="00DE2950" w:rsidRDefault="00DE2950">
      <w:pPr>
        <w:spacing w:before="200" w:after="0" w:line="240" w:lineRule="auto"/>
        <w:rPr>
          <w:rFonts w:ascii="Garamond" w:eastAsia="Garamond" w:hAnsi="Garamond" w:cs="Garamond"/>
        </w:rPr>
      </w:pPr>
      <w:r>
        <w:rPr>
          <w:rFonts w:ascii="Garamond" w:eastAsia="Garamond" w:hAnsi="Garamond" w:cs="Garamond"/>
          <w:color w:val="000000"/>
        </w:rPr>
        <w:t>Building off the progress made by th</w:t>
      </w:r>
      <w:r>
        <w:rPr>
          <w:rFonts w:ascii="Garamond" w:eastAsia="Garamond" w:hAnsi="Garamond" w:cs="Garamond"/>
        </w:rPr>
        <w:t>ose previous</w:t>
      </w:r>
      <w:r>
        <w:rPr>
          <w:rFonts w:ascii="Garamond" w:eastAsia="Garamond" w:hAnsi="Garamond" w:cs="Garamond"/>
          <w:color w:val="000000"/>
        </w:rPr>
        <w:t xml:space="preserve"> studies, </w:t>
      </w:r>
      <w:r w:rsidR="007B7901">
        <w:rPr>
          <w:rFonts w:ascii="Garamond" w:eastAsia="Garamond" w:hAnsi="Garamond" w:cs="Garamond"/>
        </w:rPr>
        <w:t>this</w:t>
      </w:r>
      <w:r>
        <w:rPr>
          <w:rFonts w:ascii="Garamond" w:eastAsia="Garamond" w:hAnsi="Garamond" w:cs="Garamond"/>
        </w:rPr>
        <w:t xml:space="preserve"> </w:t>
      </w:r>
      <w:r>
        <w:rPr>
          <w:rFonts w:ascii="Garamond" w:eastAsia="Garamond" w:hAnsi="Garamond" w:cs="Garamond"/>
          <w:color w:val="000000"/>
        </w:rPr>
        <w:t xml:space="preserve">project focuses on investigating the historical changes in water quality as a consequence of LULCCs within the five priority watersheds of West Maui: </w:t>
      </w:r>
      <w:proofErr w:type="spellStart"/>
      <w:r>
        <w:rPr>
          <w:rFonts w:ascii="Garamond" w:eastAsia="Garamond" w:hAnsi="Garamond" w:cs="Garamond"/>
          <w:color w:val="000000"/>
        </w:rPr>
        <w:t>Wahikuli</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Honokōwai</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Kahana</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Honokahua</w:t>
      </w:r>
      <w:proofErr w:type="spellEnd"/>
      <w:r>
        <w:rPr>
          <w:rFonts w:ascii="Garamond" w:eastAsia="Garamond" w:hAnsi="Garamond" w:cs="Garamond"/>
          <w:color w:val="000000"/>
        </w:rPr>
        <w:t xml:space="preserve">, and </w:t>
      </w:r>
      <w:proofErr w:type="spellStart"/>
      <w:r>
        <w:rPr>
          <w:rFonts w:ascii="Garamond" w:eastAsia="Garamond" w:hAnsi="Garamond" w:cs="Garamond"/>
          <w:color w:val="000000"/>
        </w:rPr>
        <w:t>Honolua</w:t>
      </w:r>
      <w:proofErr w:type="spellEnd"/>
      <w:r>
        <w:rPr>
          <w:rFonts w:ascii="Garamond" w:eastAsia="Garamond" w:hAnsi="Garamond" w:cs="Garamond"/>
          <w:color w:val="000000"/>
        </w:rPr>
        <w:t xml:space="preserve">. Monitoring the water quality surrounding coral reefs via proxies including turbidity and </w:t>
      </w:r>
      <w:r w:rsidR="00D6578A">
        <w:rPr>
          <w:rFonts w:ascii="Garamond" w:eastAsia="Garamond" w:hAnsi="Garamond" w:cs="Garamond"/>
          <w:color w:val="000000"/>
        </w:rPr>
        <w:t>chlorophyll-a (</w:t>
      </w:r>
      <w:proofErr w:type="spellStart"/>
      <w:r>
        <w:rPr>
          <w:rFonts w:ascii="Garamond" w:eastAsia="Garamond" w:hAnsi="Garamond" w:cs="Garamond"/>
        </w:rPr>
        <w:t>chl</w:t>
      </w:r>
      <w:proofErr w:type="spellEnd"/>
      <w:r>
        <w:rPr>
          <w:rFonts w:ascii="Garamond" w:eastAsia="Garamond" w:hAnsi="Garamond" w:cs="Garamond"/>
        </w:rPr>
        <w:t>-a</w:t>
      </w:r>
      <w:r w:rsidR="00D6578A">
        <w:rPr>
          <w:rFonts w:ascii="Garamond" w:eastAsia="Garamond" w:hAnsi="Garamond" w:cs="Garamond"/>
        </w:rPr>
        <w:t>)</w:t>
      </w:r>
      <w:r>
        <w:rPr>
          <w:rFonts w:ascii="Garamond" w:eastAsia="Garamond" w:hAnsi="Garamond" w:cs="Garamond"/>
        </w:rPr>
        <w:t xml:space="preserve"> </w:t>
      </w:r>
      <w:r>
        <w:rPr>
          <w:rFonts w:ascii="Garamond" w:eastAsia="Garamond" w:hAnsi="Garamond" w:cs="Garamond"/>
          <w:color w:val="000000"/>
        </w:rPr>
        <w:t xml:space="preserve">can encourage better watershed management upstream. Watershed managers have had limited capacity for conducting historical and present-day analyses </w:t>
      </w:r>
      <w:r>
        <w:rPr>
          <w:rFonts w:ascii="Garamond" w:eastAsia="Garamond" w:hAnsi="Garamond" w:cs="Garamond"/>
        </w:rPr>
        <w:t>since</w:t>
      </w:r>
      <w:r>
        <w:rPr>
          <w:rFonts w:ascii="Garamond" w:eastAsia="Garamond" w:hAnsi="Garamond" w:cs="Garamond"/>
          <w:color w:val="000000"/>
        </w:rPr>
        <w:t xml:space="preserve"> the majority of </w:t>
      </w:r>
      <w:r>
        <w:rPr>
          <w:rFonts w:ascii="Garamond" w:eastAsia="Garamond" w:hAnsi="Garamond" w:cs="Garamond"/>
          <w:i/>
          <w:color w:val="000000"/>
        </w:rPr>
        <w:t>in situ</w:t>
      </w:r>
      <w:r>
        <w:rPr>
          <w:rFonts w:ascii="Garamond" w:eastAsia="Garamond" w:hAnsi="Garamond" w:cs="Garamond"/>
          <w:color w:val="000000"/>
        </w:rPr>
        <w:t xml:space="preserve"> data has only been collected in the last few years. Therefore, this study aims to procure the historic data and analyze ecosystem patterns in the last 30 years and provide a geospatial tool within Google Earth Engine to analyze future trends</w:t>
      </w:r>
      <w:r>
        <w:rPr>
          <w:rFonts w:ascii="Garamond" w:eastAsia="Garamond" w:hAnsi="Garamond" w:cs="Garamond"/>
        </w:rPr>
        <w:t>.</w:t>
      </w:r>
    </w:p>
    <w:p w:rsidR="006557F0" w:rsidRDefault="00EC60AB">
      <w:pPr>
        <w:numPr>
          <w:ilvl w:val="1"/>
          <w:numId w:val="1"/>
        </w:numPr>
        <w:pBdr>
          <w:top w:val="nil"/>
          <w:left w:val="nil"/>
          <w:bottom w:val="nil"/>
          <w:right w:val="nil"/>
          <w:between w:val="nil"/>
        </w:pBdr>
        <w:spacing w:before="200" w:after="0" w:line="240" w:lineRule="auto"/>
        <w:rPr>
          <w:rFonts w:ascii="Garamond" w:eastAsia="Garamond" w:hAnsi="Garamond" w:cs="Garamond"/>
          <w:b/>
          <w:i/>
          <w:color w:val="000000"/>
        </w:rPr>
      </w:pPr>
      <w:r>
        <w:rPr>
          <w:rFonts w:ascii="Garamond" w:eastAsia="Garamond" w:hAnsi="Garamond" w:cs="Garamond"/>
          <w:b/>
          <w:i/>
          <w:color w:val="000000"/>
        </w:rPr>
        <w:t>Project Partners &amp; Objectives</w:t>
      </w:r>
    </w:p>
    <w:p w:rsidR="006557F0" w:rsidRPr="00DE2950" w:rsidRDefault="00EC60AB" w:rsidP="00DE2950">
      <w:pPr>
        <w:pBdr>
          <w:top w:val="nil"/>
          <w:left w:val="nil"/>
          <w:bottom w:val="nil"/>
          <w:right w:val="nil"/>
          <w:between w:val="nil"/>
        </w:pBdr>
        <w:spacing w:before="200"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xml:space="preserve">The </w:t>
      </w:r>
      <w:r>
        <w:rPr>
          <w:rFonts w:ascii="Garamond" w:eastAsia="Garamond" w:hAnsi="Garamond" w:cs="Garamond"/>
        </w:rPr>
        <w:t>Hawai’i</w:t>
      </w:r>
      <w:r>
        <w:rPr>
          <w:rFonts w:ascii="Garamond" w:eastAsia="Garamond" w:hAnsi="Garamond" w:cs="Garamond"/>
          <w:color w:val="000000"/>
        </w:rPr>
        <w:t xml:space="preserve"> Water Resources team, in collaboration with the USGS Pacific Coastal and Marine Science Center, partnered with the West Maui Ridge to Reef Initiative (R2R) and the </w:t>
      </w:r>
      <w:r>
        <w:rPr>
          <w:rFonts w:ascii="Garamond" w:eastAsia="Garamond" w:hAnsi="Garamond" w:cs="Garamond"/>
        </w:rPr>
        <w:t>Hawai’i</w:t>
      </w:r>
      <w:r>
        <w:rPr>
          <w:rFonts w:ascii="Garamond" w:eastAsia="Garamond" w:hAnsi="Garamond" w:cs="Garamond"/>
          <w:color w:val="000000"/>
        </w:rPr>
        <w:t xml:space="preserve"> Department of Land and Natural Resources Division of Aquatic Resources (DLNR-DAR) for this study. These organizations are responsible for statewide marine management and require spatial analysis for effective mitigation. The R2R aims to create management plans for highly impacted watersheds that drain into critical reef habitat, with the goal of facilitating healthier reefs by mitigating LBSP inflows (West Maui Ridge to Reef, n.d.). Previously collected data is either temporally or geographically limited, which has greatly hindered the long-term planning capabilities of </w:t>
      </w:r>
      <w:r>
        <w:rPr>
          <w:rFonts w:ascii="Garamond" w:eastAsia="Garamond" w:hAnsi="Garamond" w:cs="Garamond"/>
        </w:rPr>
        <w:t>R2R</w:t>
      </w:r>
      <w:r>
        <w:rPr>
          <w:rFonts w:ascii="Garamond" w:eastAsia="Garamond" w:hAnsi="Garamond" w:cs="Garamond"/>
          <w:color w:val="000000"/>
        </w:rPr>
        <w:t xml:space="preserve">. The DLNR-DAR oversees herbivore management, subsistence fishing, and direct restoration efforts in the state. Monitoring the vast coral reef communities along the coastline of West Maui will help identify areas in need of restoration in the future. The USGS Pacific Coastal and Marine Science Center collaborated on the project to provide sediment data for validation of satellite-derived information for recent years. This study aims to classify land cover and land use in West Maui over a 30-year time period to assist partners in detecting patterns of development and to analyze eutrophication and water clarity trends around West Maui annually and seasonally. It also </w:t>
      </w:r>
      <w:r>
        <w:rPr>
          <w:rFonts w:ascii="Garamond" w:eastAsia="Garamond" w:hAnsi="Garamond" w:cs="Garamond"/>
        </w:rPr>
        <w:t>explores</w:t>
      </w:r>
      <w:r>
        <w:rPr>
          <w:rFonts w:ascii="Garamond" w:eastAsia="Garamond" w:hAnsi="Garamond" w:cs="Garamond"/>
          <w:color w:val="000000"/>
        </w:rPr>
        <w:t xml:space="preserve"> the relationship between LULCC and water quality degradation and produces a Google Earth Engine (GEE) application that allows partners to </w:t>
      </w:r>
      <w:r>
        <w:rPr>
          <w:rFonts w:ascii="Garamond" w:eastAsia="Garamond" w:hAnsi="Garamond" w:cs="Garamond"/>
        </w:rPr>
        <w:t>monitor these relationships</w:t>
      </w:r>
      <w:r>
        <w:rPr>
          <w:rFonts w:ascii="Garamond" w:eastAsia="Garamond" w:hAnsi="Garamond" w:cs="Garamond"/>
          <w:color w:val="000000"/>
        </w:rPr>
        <w:t xml:space="preserve"> over time.</w:t>
      </w:r>
    </w:p>
    <w:p w:rsidR="006557F0" w:rsidRDefault="00EC60AB">
      <w:pPr>
        <w:pStyle w:val="Heading1"/>
        <w:spacing w:before="200" w:line="240" w:lineRule="auto"/>
        <w:rPr>
          <w:rFonts w:ascii="Garamond" w:eastAsia="Garamond" w:hAnsi="Garamond" w:cs="Garamond"/>
        </w:rPr>
      </w:pPr>
      <w:bookmarkStart w:id="0" w:name="_1fob9te" w:colFirst="0" w:colLast="0"/>
      <w:bookmarkEnd w:id="0"/>
      <w:r>
        <w:rPr>
          <w:rFonts w:ascii="Garamond" w:eastAsia="Garamond" w:hAnsi="Garamond" w:cs="Garamond"/>
        </w:rPr>
        <w:t>3. Methodology</w:t>
      </w:r>
    </w:p>
    <w:p w:rsidR="006557F0" w:rsidRDefault="00EC60AB">
      <w:pPr>
        <w:spacing w:before="200" w:after="0" w:line="240" w:lineRule="auto"/>
        <w:rPr>
          <w:rFonts w:ascii="Times New Roman" w:eastAsia="Times New Roman" w:hAnsi="Times New Roman" w:cs="Times New Roman"/>
          <w:sz w:val="24"/>
          <w:szCs w:val="24"/>
        </w:rPr>
      </w:pPr>
      <w:r>
        <w:rPr>
          <w:rFonts w:ascii="Garamond" w:eastAsia="Garamond" w:hAnsi="Garamond" w:cs="Garamond"/>
          <w:b/>
          <w:i/>
        </w:rPr>
        <w:t xml:space="preserve">3.1 Data Acquisition </w:t>
      </w:r>
    </w:p>
    <w:p w:rsidR="006557F0" w:rsidRDefault="00EC60AB">
      <w:pPr>
        <w:spacing w:before="200" w:after="0" w:line="240" w:lineRule="auto"/>
        <w:rPr>
          <w:rFonts w:ascii="Garamond" w:eastAsia="Garamond" w:hAnsi="Garamond" w:cs="Garamond"/>
          <w:highlight w:val="yellow"/>
        </w:rPr>
      </w:pPr>
      <w:r>
        <w:rPr>
          <w:rFonts w:ascii="Garamond" w:eastAsia="Garamond" w:hAnsi="Garamond" w:cs="Garamond"/>
          <w:color w:val="000000"/>
        </w:rPr>
        <w:t>We embedded our imagery acquisition</w:t>
      </w:r>
      <w:r>
        <w:rPr>
          <w:rFonts w:ascii="Garamond" w:eastAsia="Garamond" w:hAnsi="Garamond" w:cs="Garamond"/>
        </w:rPr>
        <w:t xml:space="preserve">, processing, and analysis into a GEE application </w:t>
      </w:r>
      <w:r w:rsidR="0082336B">
        <w:rPr>
          <w:rFonts w:ascii="Garamond" w:eastAsia="Garamond" w:hAnsi="Garamond" w:cs="Garamond"/>
        </w:rPr>
        <w:t xml:space="preserve">we developed </w:t>
      </w:r>
      <w:r>
        <w:rPr>
          <w:rFonts w:ascii="Garamond" w:eastAsia="Garamond" w:hAnsi="Garamond" w:cs="Garamond"/>
        </w:rPr>
        <w:t>called the Terrestrial Impacts on Marine Ecosystems (TIME) Tool. Within the tool, we acquire</w:t>
      </w:r>
      <w:r>
        <w:rPr>
          <w:rFonts w:ascii="Garamond" w:eastAsia="Garamond" w:hAnsi="Garamond" w:cs="Garamond"/>
          <w:color w:val="000000"/>
        </w:rPr>
        <w:t xml:space="preserve"> optical imagery from the GEE data catalog, an online repository that is easily accessed </w:t>
      </w:r>
      <w:r>
        <w:rPr>
          <w:rFonts w:ascii="Garamond" w:eastAsia="Garamond" w:hAnsi="Garamond" w:cs="Garamond"/>
        </w:rPr>
        <w:t>through the platform’s</w:t>
      </w:r>
      <w:r>
        <w:rPr>
          <w:rFonts w:ascii="Garamond" w:eastAsia="Garamond" w:hAnsi="Garamond" w:cs="Garamond"/>
          <w:color w:val="000000"/>
        </w:rPr>
        <w:t xml:space="preserve"> </w:t>
      </w:r>
      <w:r>
        <w:rPr>
          <w:rFonts w:ascii="Garamond" w:eastAsia="Garamond" w:hAnsi="Garamond" w:cs="Garamond"/>
        </w:rPr>
        <w:t>application programming interface</w:t>
      </w:r>
      <w:r>
        <w:rPr>
          <w:rFonts w:ascii="Garamond" w:eastAsia="Garamond" w:hAnsi="Garamond" w:cs="Garamond"/>
          <w:color w:val="000000"/>
        </w:rPr>
        <w:t>. Cloud cover and historic</w:t>
      </w:r>
      <w:r>
        <w:rPr>
          <w:rFonts w:ascii="Garamond" w:eastAsia="Garamond" w:hAnsi="Garamond" w:cs="Garamond"/>
        </w:rPr>
        <w:t>al Landsat sensor malfunctions</w:t>
      </w:r>
      <w:r>
        <w:rPr>
          <w:rFonts w:ascii="Garamond" w:eastAsia="Garamond" w:hAnsi="Garamond" w:cs="Garamond"/>
          <w:color w:val="000000"/>
        </w:rPr>
        <w:t xml:space="preserve"> limited the av</w:t>
      </w:r>
      <w:r>
        <w:rPr>
          <w:rFonts w:ascii="Garamond" w:eastAsia="Garamond" w:hAnsi="Garamond" w:cs="Garamond"/>
        </w:rPr>
        <w:t>ailability of usable imagery, resulting in two seven-year gaps in the data. We drew from the Landsat 4 and 5 Thematic Mapper (TM), Landsat 7 Enhanced Thematic Mapper (ETM+), and Landsat 8 Operational Land Imager (OLI) t</w:t>
      </w:r>
      <w:r>
        <w:rPr>
          <w:rFonts w:ascii="Garamond" w:eastAsia="Garamond" w:hAnsi="Garamond" w:cs="Garamond"/>
          <w:color w:val="000000"/>
        </w:rPr>
        <w:t xml:space="preserve">o obtain usable optical imagery </w:t>
      </w:r>
      <w:r>
        <w:rPr>
          <w:rFonts w:ascii="Garamond" w:eastAsia="Garamond" w:hAnsi="Garamond" w:cs="Garamond"/>
        </w:rPr>
        <w:t>to cover the entire study period</w:t>
      </w:r>
      <w:r>
        <w:rPr>
          <w:rFonts w:ascii="Garamond" w:eastAsia="Garamond" w:hAnsi="Garamond" w:cs="Garamond"/>
          <w:color w:val="000000"/>
        </w:rPr>
        <w:t xml:space="preserve"> (Table </w:t>
      </w:r>
      <w:r>
        <w:rPr>
          <w:rFonts w:ascii="Garamond" w:eastAsia="Garamond" w:hAnsi="Garamond" w:cs="Garamond"/>
        </w:rPr>
        <w:t>A</w:t>
      </w:r>
      <w:r>
        <w:rPr>
          <w:rFonts w:ascii="Garamond" w:eastAsia="Garamond" w:hAnsi="Garamond" w:cs="Garamond"/>
          <w:color w:val="000000"/>
        </w:rPr>
        <w:t>1). Imagery from Terra and Aqua Moderate Resolution Imaging Spectroradiometer (MODIS) provided supplementary sea surface temperature (SST) data to be displayed in the</w:t>
      </w:r>
      <w:r>
        <w:rPr>
          <w:rFonts w:ascii="Garamond" w:eastAsia="Garamond" w:hAnsi="Garamond" w:cs="Garamond"/>
        </w:rPr>
        <w:t xml:space="preserve"> TIME T</w:t>
      </w:r>
      <w:r>
        <w:rPr>
          <w:rFonts w:ascii="Garamond" w:eastAsia="Garamond" w:hAnsi="Garamond" w:cs="Garamond"/>
          <w:color w:val="000000"/>
        </w:rPr>
        <w:t xml:space="preserve">ool. </w:t>
      </w:r>
    </w:p>
    <w:p w:rsidR="006557F0" w:rsidRDefault="00EC60AB">
      <w:pPr>
        <w:spacing w:before="200" w:after="0" w:line="240" w:lineRule="auto"/>
        <w:rPr>
          <w:rFonts w:ascii="Garamond" w:eastAsia="Garamond" w:hAnsi="Garamond" w:cs="Garamond"/>
        </w:rPr>
      </w:pPr>
      <w:r>
        <w:rPr>
          <w:rFonts w:ascii="Garamond" w:eastAsia="Garamond" w:hAnsi="Garamond" w:cs="Garamond"/>
          <w:color w:val="000000"/>
        </w:rPr>
        <w:t xml:space="preserve">In addition to satellite data, several ancillary datasets were compiled to reference within the GEE tool and bolster analysis (Table A2). A regional bathymetry map was used as a guide to identify the outer edge of the shallow nearshore marine habitat, which served as the outer boundary of the coastal portion of the study area. Hydrology and watershed boundary shapefiles were also used to contain </w:t>
      </w:r>
      <w:r w:rsidR="006A0F83">
        <w:rPr>
          <w:rFonts w:ascii="Garamond" w:eastAsia="Garamond" w:hAnsi="Garamond" w:cs="Garamond"/>
          <w:color w:val="000000"/>
        </w:rPr>
        <w:t>data used for analysis</w:t>
      </w:r>
      <w:r>
        <w:rPr>
          <w:rFonts w:ascii="Garamond" w:eastAsia="Garamond" w:hAnsi="Garamond" w:cs="Garamond"/>
          <w:color w:val="000000"/>
        </w:rPr>
        <w:t xml:space="preserve">. </w:t>
      </w:r>
      <w:r>
        <w:rPr>
          <w:rFonts w:ascii="Garamond" w:eastAsia="Garamond" w:hAnsi="Garamond" w:cs="Garamond"/>
          <w:i/>
          <w:color w:val="000000"/>
        </w:rPr>
        <w:t>In situ</w:t>
      </w:r>
      <w:r>
        <w:rPr>
          <w:rFonts w:ascii="Garamond" w:eastAsia="Garamond" w:hAnsi="Garamond" w:cs="Garamond"/>
          <w:color w:val="000000"/>
        </w:rPr>
        <w:t xml:space="preserve"> turbidity data were used to evaluate the accuracy of values output by the turbidity algorithms. Precipitation</w:t>
      </w:r>
      <w:r w:rsidR="006A0F83">
        <w:rPr>
          <w:rFonts w:ascii="Garamond" w:eastAsia="Garamond" w:hAnsi="Garamond" w:cs="Garamond"/>
          <w:color w:val="000000"/>
        </w:rPr>
        <w:t xml:space="preserve"> </w:t>
      </w:r>
      <w:r w:rsidR="006A0F83">
        <w:rPr>
          <w:rFonts w:ascii="Garamond" w:eastAsia="Garamond" w:hAnsi="Garamond" w:cs="Garamond"/>
          <w:color w:val="000000"/>
        </w:rPr>
        <w:lastRenderedPageBreak/>
        <w:t>data</w:t>
      </w:r>
      <w:r>
        <w:rPr>
          <w:rFonts w:ascii="Garamond" w:eastAsia="Garamond" w:hAnsi="Garamond" w:cs="Garamond"/>
          <w:color w:val="000000"/>
        </w:rPr>
        <w:t xml:space="preserve"> collected at a gage </w:t>
      </w:r>
      <w:r>
        <w:rPr>
          <w:rFonts w:ascii="Garamond" w:eastAsia="Garamond" w:hAnsi="Garamond" w:cs="Garamond"/>
        </w:rPr>
        <w:t>near</w:t>
      </w:r>
      <w:r>
        <w:rPr>
          <w:rFonts w:ascii="Garamond" w:eastAsia="Garamond" w:hAnsi="Garamond" w:cs="Garamond"/>
          <w:color w:val="000000"/>
        </w:rPr>
        <w:t xml:space="preserve"> Kapalua</w:t>
      </w:r>
      <w:r>
        <w:rPr>
          <w:rFonts w:ascii="Garamond" w:eastAsia="Garamond" w:hAnsi="Garamond" w:cs="Garamond"/>
        </w:rPr>
        <w:t xml:space="preserve"> Airport was </w:t>
      </w:r>
      <w:r w:rsidR="006A0F83">
        <w:rPr>
          <w:rFonts w:ascii="Garamond" w:eastAsia="Garamond" w:hAnsi="Garamond" w:cs="Garamond"/>
        </w:rPr>
        <w:t xml:space="preserve">compared </w:t>
      </w:r>
      <w:r>
        <w:rPr>
          <w:rFonts w:ascii="Garamond" w:eastAsia="Garamond" w:hAnsi="Garamond" w:cs="Garamond"/>
        </w:rPr>
        <w:t xml:space="preserve">with near-shore </w:t>
      </w:r>
      <w:r>
        <w:rPr>
          <w:rFonts w:ascii="Garamond" w:eastAsia="Garamond" w:hAnsi="Garamond" w:cs="Garamond"/>
          <w:i/>
        </w:rPr>
        <w:t xml:space="preserve">in situ </w:t>
      </w:r>
      <w:r>
        <w:rPr>
          <w:rFonts w:ascii="Garamond" w:eastAsia="Garamond" w:hAnsi="Garamond" w:cs="Garamond"/>
        </w:rPr>
        <w:t xml:space="preserve">turbidity data collected at a nearby site. Remotely sensed precipitation was used from </w:t>
      </w:r>
      <w:proofErr w:type="spellStart"/>
      <w:r>
        <w:rPr>
          <w:rFonts w:ascii="Garamond" w:eastAsia="Garamond" w:hAnsi="Garamond" w:cs="Garamond"/>
        </w:rPr>
        <w:t>Daymet</w:t>
      </w:r>
      <w:proofErr w:type="spellEnd"/>
      <w:r>
        <w:rPr>
          <w:rFonts w:ascii="Garamond" w:eastAsia="Garamond" w:hAnsi="Garamond" w:cs="Garamond"/>
        </w:rPr>
        <w:t xml:space="preserve"> to capture regional precipitation levels between watersheds as they differed and was used to display averages in the tool as well.</w:t>
      </w:r>
    </w:p>
    <w:p w:rsidR="006557F0" w:rsidRDefault="00EC60AB">
      <w:pPr>
        <w:spacing w:before="200" w:after="0" w:line="240" w:lineRule="auto"/>
        <w:rPr>
          <w:rFonts w:ascii="Garamond" w:eastAsia="Garamond" w:hAnsi="Garamond" w:cs="Garamond"/>
          <w:b/>
          <w:i/>
        </w:rPr>
      </w:pPr>
      <w:r>
        <w:rPr>
          <w:rFonts w:ascii="Garamond" w:eastAsia="Garamond" w:hAnsi="Garamond" w:cs="Garamond"/>
          <w:b/>
          <w:i/>
        </w:rPr>
        <w:t>3.2 Data Processing</w:t>
      </w:r>
    </w:p>
    <w:p w:rsidR="006557F0" w:rsidRDefault="006A0F83">
      <w:pPr>
        <w:spacing w:before="200" w:after="0" w:line="240" w:lineRule="auto"/>
        <w:rPr>
          <w:rFonts w:ascii="Times New Roman" w:eastAsia="Times New Roman" w:hAnsi="Times New Roman" w:cs="Times New Roman"/>
          <w:sz w:val="24"/>
          <w:szCs w:val="24"/>
        </w:rPr>
      </w:pPr>
      <w:r>
        <w:rPr>
          <w:noProof/>
        </w:rPr>
        <w:drawing>
          <wp:anchor distT="0" distB="0" distL="0" distR="0" simplePos="0" relativeHeight="251660288" behindDoc="0" locked="0" layoutInCell="1" hidden="0" allowOverlap="1">
            <wp:simplePos x="0" y="0"/>
            <wp:positionH relativeFrom="column">
              <wp:posOffset>0</wp:posOffset>
            </wp:positionH>
            <wp:positionV relativeFrom="paragraph">
              <wp:posOffset>161544</wp:posOffset>
            </wp:positionV>
            <wp:extent cx="2905125" cy="2905125"/>
            <wp:effectExtent l="0" t="0" r="3175" b="3175"/>
            <wp:wrapSquare wrapText="bothSides" distT="0" distB="0" distL="0" distR="0"/>
            <wp:docPr id="27" name="image21.jpg" descr="https://lh3.googleusercontent.com/uFqYkuZPWPK3_m3iSfDsLFbeVhxnMTY_rCdDvhpHktOyxwNzASLzLoFv_Q-ThqUzIAzUz_-xwcJ5srEOiQFfKu0_ZVWNVQ4AJPNd80AYbtqi3f3e5cz0Ie2I3vRcwHveKj6Hr_ye"/>
            <wp:cNvGraphicFramePr/>
            <a:graphic xmlns:a="http://schemas.openxmlformats.org/drawingml/2006/main">
              <a:graphicData uri="http://schemas.openxmlformats.org/drawingml/2006/picture">
                <pic:pic xmlns:pic="http://schemas.openxmlformats.org/drawingml/2006/picture">
                  <pic:nvPicPr>
                    <pic:cNvPr id="0" name="image21.jpg" descr="https://lh3.googleusercontent.com/uFqYkuZPWPK3_m3iSfDsLFbeVhxnMTY_rCdDvhpHktOyxwNzASLzLoFv_Q-ThqUzIAzUz_-xwcJ5srEOiQFfKu0_ZVWNVQ4AJPNd80AYbtqi3f3e5cz0Ie2I3vRcwHveKj6Hr_ye"/>
                    <pic:cNvPicPr preferRelativeResize="0"/>
                  </pic:nvPicPr>
                  <pic:blipFill>
                    <a:blip r:embed="rId11"/>
                    <a:srcRect/>
                    <a:stretch>
                      <a:fillRect/>
                    </a:stretch>
                  </pic:blipFill>
                  <pic:spPr>
                    <a:xfrm>
                      <a:off x="0" y="0"/>
                      <a:ext cx="2905125" cy="2905125"/>
                    </a:xfrm>
                    <a:prstGeom prst="rect">
                      <a:avLst/>
                    </a:prstGeom>
                    <a:ln/>
                  </pic:spPr>
                </pic:pic>
              </a:graphicData>
            </a:graphic>
          </wp:anchor>
        </w:drawing>
      </w:r>
      <w:r w:rsidR="00EC60AB">
        <w:rPr>
          <w:rFonts w:ascii="Garamond" w:eastAsia="Garamond" w:hAnsi="Garamond" w:cs="Garamond"/>
        </w:rPr>
        <w:t>To process our data, we first imported our imagery into the G</w:t>
      </w:r>
      <w:r>
        <w:rPr>
          <w:rFonts w:ascii="Garamond" w:eastAsia="Garamond" w:hAnsi="Garamond" w:cs="Garamond"/>
        </w:rPr>
        <w:t>EE</w:t>
      </w:r>
      <w:r w:rsidR="00EC60AB">
        <w:rPr>
          <w:rFonts w:ascii="Garamond" w:eastAsia="Garamond" w:hAnsi="Garamond" w:cs="Garamond"/>
          <w:color w:val="000000"/>
        </w:rPr>
        <w:t xml:space="preserve"> tool starting from 1989 through present day. Next, </w:t>
      </w:r>
      <w:r w:rsidR="00EC60AB">
        <w:rPr>
          <w:rFonts w:ascii="Garamond" w:eastAsia="Garamond" w:hAnsi="Garamond" w:cs="Garamond"/>
        </w:rPr>
        <w:t xml:space="preserve">we </w:t>
      </w:r>
      <w:r w:rsidR="00EC60AB">
        <w:rPr>
          <w:rFonts w:ascii="Garamond" w:eastAsia="Garamond" w:hAnsi="Garamond" w:cs="Garamond"/>
          <w:color w:val="000000"/>
        </w:rPr>
        <w:t xml:space="preserve">masked </w:t>
      </w:r>
      <w:r w:rsidR="00EC60AB">
        <w:rPr>
          <w:rFonts w:ascii="Garamond" w:eastAsia="Garamond" w:hAnsi="Garamond" w:cs="Garamond"/>
        </w:rPr>
        <w:t>out the clouds by removing pixels detected to be cloud cover. This was determined by examining spectral characteristics and using pixel quality assessment metadata associated with Landsat imagery</w:t>
      </w:r>
      <w:r w:rsidR="00EC60AB">
        <w:rPr>
          <w:rFonts w:ascii="Garamond" w:eastAsia="Garamond" w:hAnsi="Garamond" w:cs="Garamond"/>
          <w:color w:val="000000"/>
        </w:rPr>
        <w:t>.</w:t>
      </w:r>
      <w:r w:rsidR="00EC60AB">
        <w:rPr>
          <w:rFonts w:ascii="Garamond" w:eastAsia="Garamond" w:hAnsi="Garamond" w:cs="Garamond"/>
        </w:rPr>
        <w:t xml:space="preserve"> For land cover analysis, the cloud-masked images had to be composited before they could be analyzed. To create composites, the median</w:t>
      </w:r>
      <w:r w:rsidR="00EC60AB">
        <w:rPr>
          <w:rFonts w:ascii="Garamond" w:eastAsia="Garamond" w:hAnsi="Garamond" w:cs="Garamond"/>
          <w:color w:val="000000"/>
        </w:rPr>
        <w:t xml:space="preserve"> brightness values of cloud-free pixels were taken for a given year and </w:t>
      </w:r>
      <w:r w:rsidR="00EC60AB">
        <w:rPr>
          <w:rFonts w:ascii="Garamond" w:eastAsia="Garamond" w:hAnsi="Garamond" w:cs="Garamond"/>
        </w:rPr>
        <w:t xml:space="preserve">compiled over the study region to create </w:t>
      </w:r>
      <w:r w:rsidR="00EC60AB">
        <w:rPr>
          <w:rFonts w:ascii="Garamond" w:eastAsia="Garamond" w:hAnsi="Garamond" w:cs="Garamond"/>
          <w:color w:val="000000"/>
        </w:rPr>
        <w:t xml:space="preserve">a single </w:t>
      </w:r>
      <w:r w:rsidR="00EC60AB">
        <w:rPr>
          <w:rFonts w:ascii="Garamond" w:eastAsia="Garamond" w:hAnsi="Garamond" w:cs="Garamond"/>
        </w:rPr>
        <w:t>yearly composited image</w:t>
      </w:r>
      <w:r w:rsidR="00EC60AB">
        <w:rPr>
          <w:rFonts w:ascii="Garamond" w:eastAsia="Garamond" w:hAnsi="Garamond" w:cs="Garamond"/>
          <w:color w:val="000000"/>
        </w:rPr>
        <w:t xml:space="preserve">. </w:t>
      </w:r>
      <w:r w:rsidR="00EC60AB">
        <w:rPr>
          <w:rFonts w:ascii="Garamond" w:eastAsia="Garamond" w:hAnsi="Garamond" w:cs="Garamond"/>
        </w:rPr>
        <w:t>Finally, the yearly composites were clipped</w:t>
      </w:r>
      <w:r w:rsidR="00EC60AB">
        <w:rPr>
          <w:rFonts w:ascii="Garamond" w:eastAsia="Garamond" w:hAnsi="Garamond" w:cs="Garamond"/>
          <w:color w:val="000000"/>
        </w:rPr>
        <w:t xml:space="preserve"> </w:t>
      </w:r>
      <w:r w:rsidR="00EC60AB">
        <w:rPr>
          <w:rFonts w:ascii="Garamond" w:eastAsia="Garamond" w:hAnsi="Garamond" w:cs="Garamond"/>
        </w:rPr>
        <w:t>by</w:t>
      </w:r>
      <w:r w:rsidR="00EC60AB">
        <w:rPr>
          <w:rFonts w:ascii="Garamond" w:eastAsia="Garamond" w:hAnsi="Garamond" w:cs="Garamond"/>
          <w:color w:val="000000"/>
        </w:rPr>
        <w:t xml:space="preserve"> the five priority watersheds identified by the project partners for land cover </w:t>
      </w:r>
      <w:r w:rsidR="00EC60AB">
        <w:rPr>
          <w:rFonts w:ascii="Garamond" w:eastAsia="Garamond" w:hAnsi="Garamond" w:cs="Garamond"/>
        </w:rPr>
        <w:t xml:space="preserve">analysis while the non-composited individual images were clipped to a region beginning 5m from the coastline and extending 5km offshore for water quality analysis </w:t>
      </w:r>
      <w:r w:rsidR="00EC60AB">
        <w:rPr>
          <w:rFonts w:ascii="Garamond" w:eastAsia="Garamond" w:hAnsi="Garamond" w:cs="Garamond"/>
          <w:color w:val="000000"/>
        </w:rPr>
        <w:t>(Fig</w:t>
      </w:r>
      <w:r>
        <w:rPr>
          <w:rFonts w:ascii="Garamond" w:eastAsia="Garamond" w:hAnsi="Garamond" w:cs="Garamond"/>
        </w:rPr>
        <w:t>ure</w:t>
      </w:r>
      <w:r w:rsidR="00EC60AB">
        <w:rPr>
          <w:rFonts w:ascii="Garamond" w:eastAsia="Garamond" w:hAnsi="Garamond" w:cs="Garamond"/>
          <w:color w:val="000000"/>
        </w:rPr>
        <w:t xml:space="preserve"> </w:t>
      </w:r>
      <w:r w:rsidR="00EC60AB">
        <w:rPr>
          <w:rFonts w:ascii="Garamond" w:eastAsia="Garamond" w:hAnsi="Garamond" w:cs="Garamond"/>
        </w:rPr>
        <w:t>3</w:t>
      </w:r>
      <w:r w:rsidR="00EC60AB">
        <w:rPr>
          <w:rFonts w:ascii="Garamond" w:eastAsia="Garamond" w:hAnsi="Garamond" w:cs="Garamond"/>
          <w:color w:val="000000"/>
        </w:rPr>
        <w:t>). </w:t>
      </w:r>
    </w:p>
    <w:p w:rsidR="006A0F83" w:rsidRDefault="006A0F83">
      <w:pPr>
        <w:spacing w:before="200" w:after="0" w:line="240" w:lineRule="auto"/>
        <w:jc w:val="center"/>
        <w:rPr>
          <w:rFonts w:ascii="Garamond" w:eastAsia="Garamond" w:hAnsi="Garamond" w:cs="Garamond"/>
          <w:i/>
          <w:color w:val="000000"/>
        </w:rPr>
      </w:pPr>
    </w:p>
    <w:p w:rsidR="006557F0" w:rsidRDefault="00EC60AB">
      <w:pPr>
        <w:spacing w:before="200" w:after="0" w:line="240" w:lineRule="auto"/>
        <w:jc w:val="center"/>
        <w:rPr>
          <w:rFonts w:ascii="Times New Roman" w:eastAsia="Times New Roman" w:hAnsi="Times New Roman" w:cs="Times New Roman"/>
          <w:sz w:val="24"/>
          <w:szCs w:val="24"/>
        </w:rPr>
      </w:pPr>
      <w:r>
        <w:rPr>
          <w:rFonts w:ascii="Garamond" w:eastAsia="Garamond" w:hAnsi="Garamond" w:cs="Garamond"/>
          <w:i/>
          <w:color w:val="000000"/>
        </w:rPr>
        <w:t xml:space="preserve">Figure </w:t>
      </w:r>
      <w:r>
        <w:rPr>
          <w:rFonts w:ascii="Garamond" w:eastAsia="Garamond" w:hAnsi="Garamond" w:cs="Garamond"/>
          <w:i/>
        </w:rPr>
        <w:t>3</w:t>
      </w:r>
      <w:r>
        <w:rPr>
          <w:rFonts w:ascii="Garamond" w:eastAsia="Garamond" w:hAnsi="Garamond" w:cs="Garamond"/>
          <w:i/>
          <w:color w:val="000000"/>
        </w:rPr>
        <w:t xml:space="preserve">. </w:t>
      </w:r>
      <w:r>
        <w:rPr>
          <w:rFonts w:ascii="Garamond" w:eastAsia="Garamond" w:hAnsi="Garamond" w:cs="Garamond"/>
          <w:color w:val="000000"/>
        </w:rPr>
        <w:t xml:space="preserve">West Maui study area divisions. The five priority watersheds for land use analysis are shaded in orange. </w:t>
      </w:r>
      <w:r w:rsidR="006A0F83">
        <w:rPr>
          <w:rFonts w:ascii="Garamond" w:eastAsia="Garamond" w:hAnsi="Garamond" w:cs="Garamond"/>
          <w:color w:val="000000"/>
        </w:rPr>
        <w:t>T</w:t>
      </w:r>
      <w:r>
        <w:rPr>
          <w:rFonts w:ascii="Garamond" w:eastAsia="Garamond" w:hAnsi="Garamond" w:cs="Garamond"/>
          <w:color w:val="000000"/>
        </w:rPr>
        <w:t>he hatched area</w:t>
      </w:r>
      <w:r w:rsidR="006A0F83">
        <w:rPr>
          <w:rFonts w:ascii="Garamond" w:eastAsia="Garamond" w:hAnsi="Garamond" w:cs="Garamond"/>
          <w:color w:val="000000"/>
        </w:rPr>
        <w:t xml:space="preserve"> represents </w:t>
      </w:r>
      <w:r w:rsidR="00397F59">
        <w:rPr>
          <w:rFonts w:ascii="Garamond" w:eastAsia="Garamond" w:hAnsi="Garamond" w:cs="Garamond"/>
          <w:color w:val="000000"/>
        </w:rPr>
        <w:t>the study area for water quality assessment</w:t>
      </w:r>
      <w:r>
        <w:rPr>
          <w:rFonts w:ascii="Garamond" w:eastAsia="Garamond" w:hAnsi="Garamond" w:cs="Garamond"/>
          <w:color w:val="000000"/>
        </w:rPr>
        <w:t>.</w:t>
      </w:r>
    </w:p>
    <w:p w:rsidR="006557F0" w:rsidRDefault="00EC60AB">
      <w:pPr>
        <w:spacing w:before="200" w:after="0" w:line="240" w:lineRule="auto"/>
        <w:rPr>
          <w:rFonts w:ascii="Times New Roman" w:eastAsia="Times New Roman" w:hAnsi="Times New Roman" w:cs="Times New Roman"/>
          <w:sz w:val="24"/>
          <w:szCs w:val="24"/>
        </w:rPr>
      </w:pPr>
      <w:r>
        <w:rPr>
          <w:rFonts w:ascii="Garamond" w:eastAsia="Garamond" w:hAnsi="Garamond" w:cs="Garamond"/>
          <w:i/>
          <w:color w:val="000000"/>
        </w:rPr>
        <w:t>3.2.1 Land Cover Classification</w:t>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The Landsat imagery was classified into five different land cover types: pineapple, other agriculture, vegetated non-agriculture, barren soil, and urban.  These classes were selected because they encompass the majority of the land cover </w:t>
      </w:r>
      <w:r w:rsidR="00397F59">
        <w:rPr>
          <w:rFonts w:ascii="Garamond" w:eastAsia="Garamond" w:hAnsi="Garamond" w:cs="Garamond"/>
        </w:rPr>
        <w:t>observed in</w:t>
      </w:r>
      <w:r>
        <w:rPr>
          <w:rFonts w:ascii="Garamond" w:eastAsia="Garamond" w:hAnsi="Garamond" w:cs="Garamond"/>
        </w:rPr>
        <w:t xml:space="preserve"> the priority watersheds throughout </w:t>
      </w:r>
      <w:r w:rsidR="00397F59">
        <w:rPr>
          <w:rFonts w:ascii="Garamond" w:eastAsia="Garamond" w:hAnsi="Garamond" w:cs="Garamond"/>
        </w:rPr>
        <w:t>the last 30 years and can be</w:t>
      </w:r>
      <w:r>
        <w:rPr>
          <w:rFonts w:ascii="Garamond" w:eastAsia="Garamond" w:hAnsi="Garamond" w:cs="Garamond"/>
        </w:rPr>
        <w:t xml:space="preserve"> accurately detectable from the 30m resolution Landsat imagery. </w:t>
      </w:r>
      <w:r>
        <w:rPr>
          <w:rFonts w:ascii="Garamond" w:eastAsia="Garamond" w:hAnsi="Garamond" w:cs="Garamond"/>
          <w:color w:val="000000"/>
        </w:rPr>
        <w:t xml:space="preserve">Land cover types were mapped using the Classification and Regression Tree (CART) supervised classification </w:t>
      </w:r>
      <w:r>
        <w:rPr>
          <w:rFonts w:ascii="Garamond" w:eastAsia="Garamond" w:hAnsi="Garamond" w:cs="Garamond"/>
        </w:rPr>
        <w:t>function</w:t>
      </w:r>
      <w:r>
        <w:rPr>
          <w:rFonts w:ascii="Garamond" w:eastAsia="Garamond" w:hAnsi="Garamond" w:cs="Garamond"/>
          <w:color w:val="000000"/>
        </w:rPr>
        <w:t xml:space="preserve"> </w:t>
      </w:r>
      <w:r>
        <w:rPr>
          <w:rFonts w:ascii="Garamond" w:eastAsia="Garamond" w:hAnsi="Garamond" w:cs="Garamond"/>
        </w:rPr>
        <w:t>in</w:t>
      </w:r>
      <w:r w:rsidR="00DE2950">
        <w:rPr>
          <w:rFonts w:ascii="Garamond" w:eastAsia="Garamond" w:hAnsi="Garamond" w:cs="Garamond"/>
        </w:rPr>
        <w:t xml:space="preserve"> </w:t>
      </w:r>
      <w:r>
        <w:rPr>
          <w:rFonts w:ascii="Garamond" w:eastAsia="Garamond" w:hAnsi="Garamond" w:cs="Garamond"/>
          <w:color w:val="000000"/>
        </w:rPr>
        <w:t xml:space="preserve">GEE. </w:t>
      </w:r>
      <w:r w:rsidR="00397F59">
        <w:rPr>
          <w:rFonts w:ascii="Garamond" w:eastAsia="Garamond" w:hAnsi="Garamond" w:cs="Garamond"/>
          <w:color w:val="000000"/>
        </w:rPr>
        <w:t>We chose the</w:t>
      </w:r>
      <w:r>
        <w:rPr>
          <w:rFonts w:ascii="Garamond" w:eastAsia="Garamond" w:hAnsi="Garamond" w:cs="Garamond"/>
          <w:color w:val="000000"/>
        </w:rPr>
        <w:t xml:space="preserve"> CART</w:t>
      </w:r>
      <w:r>
        <w:rPr>
          <w:rFonts w:ascii="Garamond" w:eastAsia="Garamond" w:hAnsi="Garamond" w:cs="Garamond"/>
        </w:rPr>
        <w:t xml:space="preserve"> method due to </w:t>
      </w:r>
      <w:r>
        <w:rPr>
          <w:rFonts w:ascii="Garamond" w:eastAsia="Garamond" w:hAnsi="Garamond" w:cs="Garamond"/>
          <w:color w:val="000000"/>
        </w:rPr>
        <w:t>its consistently high accuracy</w:t>
      </w:r>
      <w:r>
        <w:rPr>
          <w:rFonts w:ascii="Garamond" w:eastAsia="Garamond" w:hAnsi="Garamond" w:cs="Garamond"/>
        </w:rPr>
        <w:t xml:space="preserve"> as compared to </w:t>
      </w:r>
      <w:r>
        <w:rPr>
          <w:rFonts w:ascii="Garamond" w:eastAsia="Garamond" w:hAnsi="Garamond" w:cs="Garamond"/>
          <w:color w:val="000000"/>
        </w:rPr>
        <w:t xml:space="preserve">other GEE supervised classification </w:t>
      </w:r>
      <w:r>
        <w:rPr>
          <w:rFonts w:ascii="Garamond" w:eastAsia="Garamond" w:hAnsi="Garamond" w:cs="Garamond"/>
        </w:rPr>
        <w:t>methods</w:t>
      </w:r>
      <w:r>
        <w:rPr>
          <w:rFonts w:ascii="Garamond" w:eastAsia="Garamond" w:hAnsi="Garamond" w:cs="Garamond"/>
          <w:color w:val="000000"/>
        </w:rPr>
        <w:t xml:space="preserve"> (</w:t>
      </w:r>
      <w:proofErr w:type="spellStart"/>
      <w:r>
        <w:rPr>
          <w:rFonts w:ascii="Garamond" w:eastAsia="Garamond" w:hAnsi="Garamond" w:cs="Garamond"/>
          <w:color w:val="000000"/>
        </w:rPr>
        <w:t>Farda</w:t>
      </w:r>
      <w:proofErr w:type="spellEnd"/>
      <w:r>
        <w:rPr>
          <w:rFonts w:ascii="Garamond" w:eastAsia="Garamond" w:hAnsi="Garamond" w:cs="Garamond"/>
          <w:color w:val="000000"/>
        </w:rPr>
        <w:t xml:space="preserve">, 2017). </w:t>
      </w:r>
      <w:r>
        <w:rPr>
          <w:rFonts w:ascii="Garamond" w:eastAsia="Garamond" w:hAnsi="Garamond" w:cs="Garamond"/>
        </w:rPr>
        <w:t xml:space="preserve">We considered using a threshold classification method based on pixel values for each training band, but opted for the CART method because of difficulties in differentiating vegetated land cover classes with overlapping spectral values. </w:t>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This analysis utilized three different satellite image collecting sensors: Landsat </w:t>
      </w:r>
      <w:r w:rsidR="00397F59">
        <w:rPr>
          <w:rFonts w:ascii="Garamond" w:eastAsia="Garamond" w:hAnsi="Garamond" w:cs="Garamond"/>
        </w:rPr>
        <w:t xml:space="preserve">4/5 </w:t>
      </w:r>
      <w:r>
        <w:rPr>
          <w:rFonts w:ascii="Garamond" w:eastAsia="Garamond" w:hAnsi="Garamond" w:cs="Garamond"/>
        </w:rPr>
        <w:t xml:space="preserve">Thematic Mapper, Landsat </w:t>
      </w:r>
      <w:r w:rsidR="00397F59">
        <w:rPr>
          <w:rFonts w:ascii="Garamond" w:eastAsia="Garamond" w:hAnsi="Garamond" w:cs="Garamond"/>
        </w:rPr>
        <w:t xml:space="preserve">7 </w:t>
      </w:r>
      <w:r>
        <w:rPr>
          <w:rFonts w:ascii="Garamond" w:eastAsia="Garamond" w:hAnsi="Garamond" w:cs="Garamond"/>
        </w:rPr>
        <w:t xml:space="preserve">Enhanced Thematic Mapper Plus, and Landsat </w:t>
      </w:r>
      <w:r w:rsidR="00397F59">
        <w:rPr>
          <w:rFonts w:ascii="Garamond" w:eastAsia="Garamond" w:hAnsi="Garamond" w:cs="Garamond"/>
        </w:rPr>
        <w:t xml:space="preserve">8 </w:t>
      </w:r>
      <w:r>
        <w:rPr>
          <w:rFonts w:ascii="Garamond" w:eastAsia="Garamond" w:hAnsi="Garamond" w:cs="Garamond"/>
        </w:rPr>
        <w:t>Operational Land Imager. Each sensor records slightly different spectral reflectance values for each band</w:t>
      </w:r>
      <w:r w:rsidR="006E68D7">
        <w:rPr>
          <w:rFonts w:ascii="Garamond" w:eastAsia="Garamond" w:hAnsi="Garamond" w:cs="Garamond"/>
        </w:rPr>
        <w:t xml:space="preserve"> (Table A4)</w:t>
      </w:r>
      <w:r w:rsidR="00397F59">
        <w:rPr>
          <w:rFonts w:ascii="Garamond" w:eastAsia="Garamond" w:hAnsi="Garamond" w:cs="Garamond"/>
        </w:rPr>
        <w:t>.</w:t>
      </w:r>
      <w:r>
        <w:rPr>
          <w:rFonts w:ascii="Garamond" w:eastAsia="Garamond" w:hAnsi="Garamond" w:cs="Garamond"/>
        </w:rPr>
        <w:t xml:space="preserve"> </w:t>
      </w:r>
      <w:r w:rsidR="00397F59">
        <w:rPr>
          <w:rFonts w:ascii="Garamond" w:eastAsia="Garamond" w:hAnsi="Garamond" w:cs="Garamond"/>
        </w:rPr>
        <w:t>When</w:t>
      </w:r>
      <w:r>
        <w:rPr>
          <w:rFonts w:ascii="Garamond" w:eastAsia="Garamond" w:hAnsi="Garamond" w:cs="Garamond"/>
        </w:rPr>
        <w:t xml:space="preserve"> looking at the histograms of the images collected </w:t>
      </w:r>
      <w:r w:rsidR="00397F59">
        <w:rPr>
          <w:rFonts w:ascii="Garamond" w:eastAsia="Garamond" w:hAnsi="Garamond" w:cs="Garamond"/>
        </w:rPr>
        <w:t>from</w:t>
      </w:r>
      <w:r>
        <w:rPr>
          <w:rFonts w:ascii="Garamond" w:eastAsia="Garamond" w:hAnsi="Garamond" w:cs="Garamond"/>
        </w:rPr>
        <w:t xml:space="preserve"> each sensor, we determined that the differences in spectral reflectance between sensors were large enough to necessitate the creation of a separate land classifier for each sensor</w:t>
      </w:r>
      <w:r w:rsidR="006E68D7">
        <w:rPr>
          <w:rFonts w:ascii="Garamond" w:eastAsia="Garamond" w:hAnsi="Garamond" w:cs="Garamond"/>
        </w:rPr>
        <w:t xml:space="preserve"> (Table A5)</w:t>
      </w:r>
      <w:r>
        <w:rPr>
          <w:rFonts w:ascii="Garamond" w:eastAsia="Garamond" w:hAnsi="Garamond" w:cs="Garamond"/>
        </w:rPr>
        <w:t>.</w:t>
      </w:r>
    </w:p>
    <w:p w:rsidR="006557F0" w:rsidRDefault="00817A6D">
      <w:pPr>
        <w:spacing w:before="200" w:after="0" w:line="240" w:lineRule="auto"/>
        <w:rPr>
          <w:rFonts w:ascii="Garamond" w:eastAsia="Garamond" w:hAnsi="Garamond" w:cs="Garamond"/>
          <w:highlight w:val="yellow"/>
        </w:rPr>
      </w:pPr>
      <w:r>
        <w:rPr>
          <w:rFonts w:ascii="Garamond" w:eastAsia="Garamond" w:hAnsi="Garamond" w:cs="Garamond"/>
        </w:rPr>
        <w:t>We selected</w:t>
      </w:r>
      <w:r w:rsidR="00EC60AB">
        <w:rPr>
          <w:rFonts w:ascii="Garamond" w:eastAsia="Garamond" w:hAnsi="Garamond" w:cs="Garamond"/>
        </w:rPr>
        <w:t xml:space="preserve"> 100 to 200 training points for each of the five classes in GEE. </w:t>
      </w:r>
      <w:r w:rsidR="00EC60AB">
        <w:rPr>
          <w:rFonts w:ascii="Garamond" w:eastAsia="Garamond" w:hAnsi="Garamond" w:cs="Garamond"/>
          <w:color w:val="000000"/>
        </w:rPr>
        <w:t xml:space="preserve">To train the classifier, </w:t>
      </w:r>
      <w:r w:rsidR="00EC60AB">
        <w:rPr>
          <w:rFonts w:ascii="Garamond" w:eastAsia="Garamond" w:hAnsi="Garamond" w:cs="Garamond"/>
        </w:rPr>
        <w:t xml:space="preserve">the training pixels for each </w:t>
      </w:r>
      <w:r w:rsidR="00EC60AB">
        <w:rPr>
          <w:rFonts w:ascii="Garamond" w:eastAsia="Garamond" w:hAnsi="Garamond" w:cs="Garamond"/>
          <w:color w:val="000000"/>
        </w:rPr>
        <w:t xml:space="preserve">land cover category </w:t>
      </w:r>
      <w:r w:rsidR="00EC60AB">
        <w:rPr>
          <w:rFonts w:ascii="Garamond" w:eastAsia="Garamond" w:hAnsi="Garamond" w:cs="Garamond"/>
        </w:rPr>
        <w:t>were</w:t>
      </w:r>
      <w:r w:rsidR="00EC60AB">
        <w:rPr>
          <w:rFonts w:ascii="Garamond" w:eastAsia="Garamond" w:hAnsi="Garamond" w:cs="Garamond"/>
          <w:color w:val="000000"/>
        </w:rPr>
        <w:t xml:space="preserve"> sampled </w:t>
      </w:r>
      <w:r w:rsidR="00EC60AB">
        <w:rPr>
          <w:rFonts w:ascii="Garamond" w:eastAsia="Garamond" w:hAnsi="Garamond" w:cs="Garamond"/>
        </w:rPr>
        <w:t>for the parameters listed in Table A3 (Rasul et l., 2018</w:t>
      </w:r>
      <w:r w:rsidR="00C77374">
        <w:rPr>
          <w:rFonts w:ascii="Garamond" w:eastAsia="Garamond" w:hAnsi="Garamond" w:cs="Garamond"/>
        </w:rPr>
        <w:t>;</w:t>
      </w:r>
      <w:r w:rsidR="00A05010">
        <w:rPr>
          <w:rFonts w:ascii="Garamond" w:eastAsia="Garamond" w:hAnsi="Garamond" w:cs="Garamond"/>
        </w:rPr>
        <w:t xml:space="preserve"> </w:t>
      </w:r>
      <w:proofErr w:type="spellStart"/>
      <w:r w:rsidR="00EC60AB">
        <w:rPr>
          <w:rFonts w:ascii="Garamond" w:eastAsia="Garamond" w:hAnsi="Garamond" w:cs="Garamond"/>
        </w:rPr>
        <w:t>Clow</w:t>
      </w:r>
      <w:proofErr w:type="spellEnd"/>
      <w:r w:rsidR="00EC60AB">
        <w:rPr>
          <w:rFonts w:ascii="Garamond" w:eastAsia="Garamond" w:hAnsi="Garamond" w:cs="Garamond"/>
        </w:rPr>
        <w:t>,</w:t>
      </w:r>
      <w:r w:rsidR="0061303A">
        <w:rPr>
          <w:rFonts w:ascii="Garamond" w:eastAsia="Garamond" w:hAnsi="Garamond" w:cs="Garamond"/>
        </w:rPr>
        <w:t xml:space="preserve"> Cova, Breen, &amp; Zhang,</w:t>
      </w:r>
      <w:r w:rsidR="00EC60AB">
        <w:rPr>
          <w:rFonts w:ascii="Garamond" w:eastAsia="Garamond" w:hAnsi="Garamond" w:cs="Garamond"/>
        </w:rPr>
        <w:t xml:space="preserve"> 2019). Using the sampled values for each of the bands and indices, the classifier differentiated the unique spectral characteristics of each land class and accurately identified the land</w:t>
      </w:r>
      <w:r w:rsidR="0061303A">
        <w:rPr>
          <w:rFonts w:ascii="Garamond" w:eastAsia="Garamond" w:hAnsi="Garamond" w:cs="Garamond"/>
        </w:rPr>
        <w:t xml:space="preserve"> </w:t>
      </w:r>
      <w:r w:rsidR="00EC60AB">
        <w:rPr>
          <w:rFonts w:ascii="Garamond" w:eastAsia="Garamond" w:hAnsi="Garamond" w:cs="Garamond"/>
        </w:rPr>
        <w:t xml:space="preserve">class for each pixel in the image. Due to similarities in spectral reflectance of most agricultural land, pineapple was the only agricultural area that we isolated from other types of agriculture in West Maui. The other agriculture </w:t>
      </w:r>
      <w:r w:rsidR="00EC60AB">
        <w:rPr>
          <w:rFonts w:ascii="Garamond" w:eastAsia="Garamond" w:hAnsi="Garamond" w:cs="Garamond"/>
        </w:rPr>
        <w:lastRenderedPageBreak/>
        <w:t>classification encompasses a wide variety of land types, including sugarcane, fallow agriculture</w:t>
      </w:r>
      <w:r w:rsidR="0061303A">
        <w:rPr>
          <w:rFonts w:ascii="Garamond" w:eastAsia="Garamond" w:hAnsi="Garamond" w:cs="Garamond"/>
        </w:rPr>
        <w:t>,</w:t>
      </w:r>
      <w:r w:rsidR="00EC60AB">
        <w:rPr>
          <w:rFonts w:ascii="Garamond" w:eastAsia="Garamond" w:hAnsi="Garamond" w:cs="Garamond"/>
        </w:rPr>
        <w:t xml:space="preserve"> and golf courses. </w:t>
      </w:r>
    </w:p>
    <w:p w:rsidR="006557F0" w:rsidRDefault="00EC60AB">
      <w:pPr>
        <w:spacing w:before="200" w:after="0" w:line="240" w:lineRule="auto"/>
        <w:rPr>
          <w:rFonts w:ascii="Garamond" w:eastAsia="Garamond" w:hAnsi="Garamond" w:cs="Garamond"/>
        </w:rPr>
      </w:pPr>
      <w:r>
        <w:rPr>
          <w:rFonts w:ascii="Garamond" w:eastAsia="Garamond" w:hAnsi="Garamond" w:cs="Garamond"/>
        </w:rPr>
        <w:t>Our training data was visually validated through the high-resolution free imagery available in Google Earth, with further input being provided by our partners in West Maui. The validation of our land classification was done by employing a G</w:t>
      </w:r>
      <w:r w:rsidR="0061303A">
        <w:rPr>
          <w:rFonts w:ascii="Garamond" w:eastAsia="Garamond" w:hAnsi="Garamond" w:cs="Garamond"/>
        </w:rPr>
        <w:t xml:space="preserve">EE </w:t>
      </w:r>
      <w:r>
        <w:rPr>
          <w:rFonts w:ascii="Garamond" w:eastAsia="Garamond" w:hAnsi="Garamond" w:cs="Garamond"/>
        </w:rPr>
        <w:t>confusion matrix to assess the overall accuracy as well as an error matrix to assess the accuracy for each specific land class. The data used to run these validation tests were manually created for each of the classifiers. The classifiers had an average accuracy of 94% across classes.</w:t>
      </w:r>
    </w:p>
    <w:p w:rsidR="006557F0" w:rsidRDefault="00EC60AB">
      <w:pPr>
        <w:spacing w:before="200" w:after="0" w:line="240" w:lineRule="auto"/>
        <w:rPr>
          <w:rFonts w:ascii="Garamond" w:eastAsia="Garamond" w:hAnsi="Garamond" w:cs="Garamond"/>
        </w:rPr>
      </w:pPr>
      <w:r>
        <w:rPr>
          <w:rFonts w:ascii="Garamond" w:eastAsia="Garamond" w:hAnsi="Garamond" w:cs="Garamond"/>
        </w:rPr>
        <w:t>In addition to the land classification, NDVI change maps were created to further analyze changes in land cover over the study period. These maps were produced in G</w:t>
      </w:r>
      <w:r w:rsidR="0061303A">
        <w:rPr>
          <w:rFonts w:ascii="Garamond" w:eastAsia="Garamond" w:hAnsi="Garamond" w:cs="Garamond"/>
        </w:rPr>
        <w:t xml:space="preserve">EE </w:t>
      </w:r>
      <w:r>
        <w:rPr>
          <w:rFonts w:ascii="Garamond" w:eastAsia="Garamond" w:hAnsi="Garamond" w:cs="Garamond"/>
        </w:rPr>
        <w:t>by calculating the NDVI values of two different yearly-composite images</w:t>
      </w:r>
      <w:r w:rsidR="00D45585">
        <w:rPr>
          <w:rFonts w:ascii="Garamond" w:eastAsia="Garamond" w:hAnsi="Garamond" w:cs="Garamond"/>
        </w:rPr>
        <w:t xml:space="preserve"> and completing an image difference with these values</w:t>
      </w:r>
      <w:r>
        <w:rPr>
          <w:rFonts w:ascii="Garamond" w:eastAsia="Garamond" w:hAnsi="Garamond" w:cs="Garamond"/>
        </w:rPr>
        <w:t>, as shown in Equation 1.</w:t>
      </w:r>
      <w:r w:rsidR="00D45585">
        <w:rPr>
          <w:rFonts w:ascii="Garamond" w:eastAsia="Garamond" w:hAnsi="Garamond" w:cs="Garamond"/>
        </w:rPr>
        <w:t xml:space="preserve"> </w:t>
      </w:r>
      <w:r>
        <w:rPr>
          <w:rFonts w:ascii="Garamond" w:eastAsia="Garamond" w:hAnsi="Garamond" w:cs="Garamond"/>
        </w:rPr>
        <w:t xml:space="preserve">Once calculated, the change maps were visualized as a single three-band composite image consisting of the </w:t>
      </w:r>
      <w:proofErr w:type="spellStart"/>
      <w:r>
        <w:rPr>
          <w:rFonts w:ascii="Garamond" w:eastAsia="Garamond" w:hAnsi="Garamond" w:cs="Garamond"/>
        </w:rPr>
        <w:t>NDVI</w:t>
      </w:r>
      <w:r>
        <w:rPr>
          <w:rFonts w:ascii="Garamond" w:eastAsia="Garamond" w:hAnsi="Garamond" w:cs="Garamond"/>
          <w:vertAlign w:val="subscript"/>
        </w:rPr>
        <w:t>Year</w:t>
      </w:r>
      <w:proofErr w:type="spellEnd"/>
      <w:r>
        <w:rPr>
          <w:rFonts w:ascii="Garamond" w:eastAsia="Garamond" w:hAnsi="Garamond" w:cs="Garamond"/>
          <w:vertAlign w:val="subscript"/>
        </w:rPr>
        <w:t xml:space="preserve"> 2</w:t>
      </w:r>
      <w:r>
        <w:rPr>
          <w:rFonts w:ascii="Garamond" w:eastAsia="Garamond" w:hAnsi="Garamond" w:cs="Garamond"/>
        </w:rPr>
        <w:t xml:space="preserve"> as the red band, the NDVI</w:t>
      </w:r>
      <w:r>
        <w:rPr>
          <w:rFonts w:ascii="Garamond" w:eastAsia="Garamond" w:hAnsi="Garamond" w:cs="Garamond"/>
          <w:vertAlign w:val="subscript"/>
        </w:rPr>
        <w:t>Year1</w:t>
      </w:r>
      <w:r>
        <w:rPr>
          <w:rFonts w:ascii="Garamond" w:eastAsia="Garamond" w:hAnsi="Garamond" w:cs="Garamond"/>
        </w:rPr>
        <w:t xml:space="preserve"> band as the green band, and the </w:t>
      </w:r>
      <w:proofErr w:type="spellStart"/>
      <w:r>
        <w:rPr>
          <w:rFonts w:ascii="Garamond" w:eastAsia="Garamond" w:hAnsi="Garamond" w:cs="Garamond"/>
        </w:rPr>
        <w:t>NDVI</w:t>
      </w:r>
      <w:r>
        <w:rPr>
          <w:rFonts w:ascii="Garamond" w:eastAsia="Garamond" w:hAnsi="Garamond" w:cs="Garamond"/>
          <w:vertAlign w:val="subscript"/>
        </w:rPr>
        <w:t>Change</w:t>
      </w:r>
      <w:proofErr w:type="spellEnd"/>
      <w:r>
        <w:rPr>
          <w:rFonts w:ascii="Garamond" w:eastAsia="Garamond" w:hAnsi="Garamond" w:cs="Garamond"/>
        </w:rPr>
        <w:t xml:space="preserve"> as the blue band. </w:t>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                                           </w:t>
      </w:r>
    </w:p>
    <w:p w:rsidR="006557F0" w:rsidRPr="00EC60AB" w:rsidRDefault="00EC60AB" w:rsidP="00EC60AB">
      <w:pPr>
        <w:spacing w:before="200" w:after="0" w:line="240" w:lineRule="auto"/>
        <w:ind w:left="2160"/>
        <w:rPr>
          <w:rFonts w:ascii="Garamond" w:eastAsia="Garamond" w:hAnsi="Garamond" w:cs="Garamond"/>
        </w:rPr>
      </w:pPr>
      <w:r>
        <w:rPr>
          <w:rFonts w:ascii="Times New Roman" w:eastAsia="Times New Roman" w:hAnsi="Times New Roman" w:cs="Times New Roman"/>
          <w:sz w:val="24"/>
          <w:szCs w:val="24"/>
        </w:rPr>
        <w:t xml:space="preserve">   </w:t>
      </w:r>
      <m:oMath>
        <m:sSub>
          <m:sSubPr>
            <m:ctrlPr>
              <w:rPr>
                <w:rFonts w:ascii="Garamond" w:eastAsia="Garamond" w:hAnsi="Garamond" w:cs="Garamond"/>
              </w:rPr>
            </m:ctrlPr>
          </m:sSubPr>
          <m:e>
            <m:r>
              <w:rPr>
                <w:rFonts w:ascii="Cambria Math" w:eastAsia="Garamond" w:hAnsi="Garamond" w:cs="Garamond"/>
              </w:rPr>
              <m:t>NDVI</m:t>
            </m:r>
          </m:e>
          <m:sub>
            <m:r>
              <w:rPr>
                <w:rFonts w:ascii="Cambria Math" w:eastAsia="Cambria Math" w:hAnsi="Cambria Math" w:cs="Cambria Math"/>
              </w:rPr>
              <m:t xml:space="preserve">Year </m:t>
            </m:r>
            <m:r>
              <w:rPr>
                <w:rFonts w:ascii="Garamond" w:eastAsia="Garamond" w:hAnsi="Garamond" w:cs="Garamond"/>
              </w:rPr>
              <m:t xml:space="preserve"> </m:t>
            </m:r>
          </m:sub>
        </m:sSub>
        <m:r>
          <w:rPr>
            <w:rFonts w:ascii="Cambria Math" w:eastAsia="Cambria Math" w:hAnsi="Cambria Math" w:cs="Cambria Math"/>
          </w:rPr>
          <m:t xml:space="preserve"> = </m:t>
        </m:r>
        <m:sSub>
          <m:sSubPr>
            <m:ctrlPr>
              <w:rPr>
                <w:rFonts w:ascii="Garamond" w:eastAsia="Garamond" w:hAnsi="Garamond" w:cs="Garamond"/>
              </w:rPr>
            </m:ctrlPr>
          </m:sSubPr>
          <m:e>
            <m:r>
              <w:rPr>
                <w:rFonts w:ascii="Cambria Math" w:eastAsia="Garamond" w:hAnsi="Garamond" w:cs="Garamond"/>
              </w:rPr>
              <m:t>NDVI</m:t>
            </m:r>
          </m:e>
          <m:sub>
            <m:r>
              <w:rPr>
                <w:rFonts w:ascii="Cambria Math" w:eastAsia="Cambria Math" w:hAnsi="Cambria Math" w:cs="Cambria Math"/>
              </w:rPr>
              <m:t>Year 2</m:t>
            </m:r>
            <m:r>
              <w:rPr>
                <w:rFonts w:ascii="Garamond" w:eastAsia="Garamond" w:hAnsi="Garamond" w:cs="Garamond"/>
              </w:rPr>
              <m:t xml:space="preserve"> </m:t>
            </m:r>
          </m:sub>
        </m:sSub>
        <m:r>
          <w:rPr>
            <w:rFonts w:ascii="Garamond" w:eastAsia="Garamond" w:hAnsi="Garamond" w:cs="Garamond"/>
          </w:rPr>
          <m:t xml:space="preserve">- </m:t>
        </m:r>
        <m:sSub>
          <m:sSubPr>
            <m:ctrlPr>
              <w:rPr>
                <w:rFonts w:ascii="Garamond" w:eastAsia="Garamond" w:hAnsi="Garamond" w:cs="Garamond"/>
              </w:rPr>
            </m:ctrlPr>
          </m:sSubPr>
          <m:e>
            <m:r>
              <w:rPr>
                <w:rFonts w:ascii="Cambria Math" w:eastAsia="Garamond" w:hAnsi="Garamond" w:cs="Garamond"/>
              </w:rPr>
              <m:t>NDVI</m:t>
            </m:r>
          </m:e>
          <m:sub>
            <m:r>
              <w:rPr>
                <w:rFonts w:ascii="Garamond" w:eastAsia="Garamond" w:hAnsi="Garamond" w:cs="Garamond"/>
              </w:rPr>
              <m:t>Year 1</m:t>
            </m:r>
          </m:sub>
        </m:sSub>
      </m:oMath>
      <w:r>
        <w:rPr>
          <w:rFonts w:ascii="Garamond" w:eastAsia="Garamond" w:hAnsi="Garamond" w:cs="Garamond"/>
        </w:rPr>
        <w:t xml:space="preserve">                 </w:t>
      </w:r>
      <w:r w:rsidR="00C17762">
        <w:rPr>
          <w:rFonts w:ascii="Garamond" w:eastAsia="Garamond" w:hAnsi="Garamond" w:cs="Garamond"/>
        </w:rPr>
        <w:t xml:space="preserve">        </w:t>
      </w:r>
      <w:r>
        <w:rPr>
          <w:rFonts w:ascii="Garamond" w:eastAsia="Garamond" w:hAnsi="Garamond" w:cs="Garamond"/>
        </w:rPr>
        <w:t xml:space="preserve">         </w:t>
      </w:r>
      <w:r w:rsidR="00C17762">
        <w:rPr>
          <w:rFonts w:ascii="Garamond" w:eastAsia="Garamond" w:hAnsi="Garamond" w:cs="Garamond"/>
        </w:rPr>
        <w:t xml:space="preserve">              </w:t>
      </w:r>
      <w:r>
        <w:rPr>
          <w:rFonts w:ascii="Garamond" w:eastAsia="Garamond" w:hAnsi="Garamond" w:cs="Garamond"/>
        </w:rPr>
        <w:t xml:space="preserve">(1) </w:t>
      </w:r>
    </w:p>
    <w:p w:rsidR="006557F0" w:rsidRDefault="00EC60AB">
      <w:pPr>
        <w:spacing w:before="200" w:after="0" w:line="240" w:lineRule="auto"/>
        <w:rPr>
          <w:rFonts w:ascii="Garamond" w:eastAsia="Garamond" w:hAnsi="Garamond" w:cs="Garamond"/>
        </w:rPr>
      </w:pPr>
      <w:r>
        <w:rPr>
          <w:rFonts w:ascii="Garamond" w:eastAsia="Garamond" w:hAnsi="Garamond" w:cs="Garamond"/>
          <w:i/>
          <w:color w:val="000000"/>
        </w:rPr>
        <w:t>3.2.2 Water Quality</w:t>
      </w:r>
    </w:p>
    <w:p w:rsidR="006557F0" w:rsidRDefault="00EC60AB">
      <w:pPr>
        <w:spacing w:before="200" w:after="0" w:line="240" w:lineRule="auto"/>
        <w:rPr>
          <w:rFonts w:ascii="Garamond" w:eastAsia="Garamond" w:hAnsi="Garamond" w:cs="Garamond"/>
        </w:rPr>
      </w:pPr>
      <w:r>
        <w:rPr>
          <w:rFonts w:ascii="Garamond" w:eastAsia="Garamond" w:hAnsi="Garamond" w:cs="Garamond"/>
        </w:rPr>
        <w:t>Several different algorithms were chosen to explore water quality along the West Maui coastline. Examining multiple parameters allowed for the detection of a variety of patterns as well as improved ability to validate the algorithm outputs with field measurements. These algorithms provide measures of water clarity and greenness, derived from ocean color, which give insight on pollution and light availability that affect corals.</w:t>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Raster layers of turbidity in </w:t>
      </w:r>
      <w:proofErr w:type="spellStart"/>
      <w:r>
        <w:rPr>
          <w:rFonts w:ascii="Garamond" w:eastAsia="Garamond" w:hAnsi="Garamond" w:cs="Garamond"/>
        </w:rPr>
        <w:t>Formazin</w:t>
      </w:r>
      <w:proofErr w:type="spellEnd"/>
      <w:r>
        <w:rPr>
          <w:rFonts w:ascii="Garamond" w:eastAsia="Garamond" w:hAnsi="Garamond" w:cs="Garamond"/>
        </w:rPr>
        <w:t xml:space="preserve"> Nephelometric Units (FNUs) were produced using the algorithm by </w:t>
      </w:r>
      <w:proofErr w:type="spellStart"/>
      <w:r>
        <w:rPr>
          <w:rFonts w:ascii="Garamond" w:eastAsia="Garamond" w:hAnsi="Garamond" w:cs="Garamond"/>
        </w:rPr>
        <w:t>Nechad</w:t>
      </w:r>
      <w:proofErr w:type="spellEnd"/>
      <w:r>
        <w:rPr>
          <w:rFonts w:ascii="Garamond" w:eastAsia="Garamond" w:hAnsi="Garamond" w:cs="Garamond"/>
        </w:rPr>
        <w:t xml:space="preserve">, Ruddick, &amp; </w:t>
      </w:r>
      <w:proofErr w:type="spellStart"/>
      <w:r>
        <w:rPr>
          <w:rFonts w:ascii="Garamond" w:eastAsia="Garamond" w:hAnsi="Garamond" w:cs="Garamond"/>
        </w:rPr>
        <w:t>Neukermans</w:t>
      </w:r>
      <w:proofErr w:type="spellEnd"/>
      <w:r>
        <w:rPr>
          <w:rFonts w:ascii="Garamond" w:eastAsia="Garamond" w:hAnsi="Garamond" w:cs="Garamond"/>
        </w:rPr>
        <w:t xml:space="preserve"> (2009) (Equation 2).</w:t>
      </w:r>
    </w:p>
    <w:p w:rsidR="006557F0" w:rsidRDefault="00EC60AB">
      <w:pPr>
        <w:spacing w:before="200" w:after="0" w:line="240" w:lineRule="auto"/>
        <w:rPr>
          <w:rFonts w:ascii="Garamond" w:eastAsia="Garamond" w:hAnsi="Garamond" w:cs="Garamond"/>
        </w:rPr>
      </w:pPr>
      <w:r>
        <w:rPr>
          <w:rFonts w:ascii="Garamond" w:eastAsia="Garamond" w:hAnsi="Garamond" w:cs="Garamond"/>
        </w:rPr>
        <w:t>                                                                  </w:t>
      </w:r>
      <m:oMath>
        <m:r>
          <w:rPr>
            <w:rFonts w:ascii="Garamond" w:eastAsia="Garamond" w:hAnsi="Garamond" w:cs="Garamond"/>
          </w:rPr>
          <m:t xml:space="preserve">Turbidity (FNU) = </m:t>
        </m:r>
        <m:f>
          <m:fPr>
            <m:ctrlPr>
              <w:rPr>
                <w:rFonts w:ascii="Garamond" w:eastAsia="Garamond" w:hAnsi="Garamond" w:cs="Garamond"/>
              </w:rPr>
            </m:ctrlPr>
          </m:fPr>
          <m:num>
            <m:sSub>
              <m:sSubPr>
                <m:ctrlPr>
                  <w:rPr>
                    <w:rFonts w:ascii="Garamond" w:eastAsia="Garamond" w:hAnsi="Garamond" w:cs="Garamond"/>
                  </w:rPr>
                </m:ctrlPr>
              </m:sSubPr>
              <m:e>
                <m:r>
                  <w:rPr>
                    <w:rFonts w:ascii="Garamond" w:eastAsia="Garamond" w:hAnsi="Garamond" w:cs="Garamond"/>
                  </w:rPr>
                  <m:t>A</m:t>
                </m:r>
              </m:e>
              <m:sub>
                <m:r>
                  <w:rPr>
                    <w:rFonts w:ascii="Garamond" w:eastAsia="Garamond" w:hAnsi="Garamond" w:cs="Garamond"/>
                  </w:rPr>
                  <m:t>T</m:t>
                </m:r>
              </m:sub>
            </m:sSub>
            <m:r>
              <w:rPr>
                <w:rFonts w:ascii="Garamond" w:eastAsia="Garamond" w:hAnsi="Garamond" w:cs="Garamond"/>
              </w:rPr>
              <m:t>*ρw</m:t>
            </m:r>
          </m:num>
          <m:den>
            <m:r>
              <w:rPr>
                <w:rFonts w:ascii="Garamond" w:eastAsia="Garamond" w:hAnsi="Garamond" w:cs="Garamond"/>
              </w:rPr>
              <m:t>1-ρw/C</m:t>
            </m:r>
          </m:den>
        </m:f>
      </m:oMath>
      <w:r>
        <w:rPr>
          <w:rFonts w:ascii="Garamond" w:eastAsia="Garamond" w:hAnsi="Garamond" w:cs="Garamond"/>
        </w:rPr>
        <w:t xml:space="preserve">                                                   (2)</w:t>
      </w:r>
    </w:p>
    <w:p w:rsidR="006557F0" w:rsidRDefault="00EC60AB">
      <w:pPr>
        <w:spacing w:before="200" w:after="0" w:line="240" w:lineRule="auto"/>
        <w:rPr>
          <w:rFonts w:ascii="Garamond" w:eastAsia="Garamond" w:hAnsi="Garamond" w:cs="Garamond"/>
        </w:rPr>
      </w:pPr>
      <w:r>
        <w:rPr>
          <w:rFonts w:ascii="Garamond" w:eastAsia="Garamond" w:hAnsi="Garamond" w:cs="Garamond"/>
        </w:rPr>
        <w:t>In this function, A</w:t>
      </w:r>
      <w:r>
        <w:rPr>
          <w:rFonts w:ascii="Garamond" w:eastAsia="Garamond" w:hAnsi="Garamond" w:cs="Garamond"/>
          <w:vertAlign w:val="subscript"/>
        </w:rPr>
        <w:t>T</w:t>
      </w:r>
      <w:r>
        <w:rPr>
          <w:rFonts w:ascii="Garamond" w:eastAsia="Garamond" w:hAnsi="Garamond" w:cs="Garamond"/>
        </w:rPr>
        <w:t xml:space="preserve"> and C are wavelength-dependent calibration coefficients derived from absorption and backscattering with the Inherent Optical Property (IOP) model, while </w:t>
      </w:r>
      <w:proofErr w:type="spellStart"/>
      <w:r>
        <w:rPr>
          <w:rFonts w:ascii="Garamond" w:eastAsia="Garamond" w:hAnsi="Garamond" w:cs="Garamond"/>
        </w:rPr>
        <w:t>ρw</w:t>
      </w:r>
      <w:proofErr w:type="spellEnd"/>
      <w:r>
        <w:rPr>
          <w:rFonts w:ascii="Garamond" w:eastAsia="Garamond" w:hAnsi="Garamond" w:cs="Garamond"/>
        </w:rPr>
        <w:t xml:space="preserve"> is the water leaving reflectance at red and near-infrared wavelengths highly correlated to turbidity (</w:t>
      </w:r>
      <w:proofErr w:type="spellStart"/>
      <w:r>
        <w:rPr>
          <w:rFonts w:ascii="Garamond" w:eastAsia="Garamond" w:hAnsi="Garamond" w:cs="Garamond"/>
        </w:rPr>
        <w:t>Nechad</w:t>
      </w:r>
      <w:proofErr w:type="spellEnd"/>
      <w:r>
        <w:rPr>
          <w:rFonts w:ascii="Garamond" w:eastAsia="Garamond" w:hAnsi="Garamond" w:cs="Garamond"/>
        </w:rPr>
        <w:t xml:space="preserve"> et al., 2009). These wavelengths also minimally penetrate the water column, thereby reducing interference by benthic reflectance. For comparison with Hui O Ka Wai Ola’s </w:t>
      </w:r>
      <w:r w:rsidRPr="009317DC">
        <w:rPr>
          <w:rFonts w:ascii="Garamond" w:eastAsia="Garamond" w:hAnsi="Garamond" w:cs="Garamond"/>
          <w:i/>
        </w:rPr>
        <w:t>in situ</w:t>
      </w:r>
      <w:r>
        <w:rPr>
          <w:rFonts w:ascii="Garamond" w:eastAsia="Garamond" w:hAnsi="Garamond" w:cs="Garamond"/>
        </w:rPr>
        <w:t xml:space="preserve"> turbidity measurements, the algorithm output was converted from FNUs to Nephelometric Turbidity Units (NTUs) (</w:t>
      </w:r>
      <w:proofErr w:type="spellStart"/>
      <w:r>
        <w:rPr>
          <w:rFonts w:ascii="Garamond" w:eastAsia="Garamond" w:hAnsi="Garamond" w:cs="Garamond"/>
        </w:rPr>
        <w:t>Gohin</w:t>
      </w:r>
      <w:proofErr w:type="spellEnd"/>
      <w:r>
        <w:rPr>
          <w:rFonts w:ascii="Garamond" w:eastAsia="Garamond" w:hAnsi="Garamond" w:cs="Garamond"/>
        </w:rPr>
        <w:t>, 2011) (Equation 3).</w:t>
      </w:r>
    </w:p>
    <w:p w:rsidR="006557F0" w:rsidRDefault="00EC60AB">
      <w:pPr>
        <w:spacing w:before="200" w:after="0" w:line="240" w:lineRule="auto"/>
        <w:rPr>
          <w:rFonts w:ascii="Garamond" w:eastAsia="Garamond" w:hAnsi="Garamond" w:cs="Garamond"/>
        </w:rPr>
      </w:pPr>
      <w:r>
        <w:rPr>
          <w:rFonts w:ascii="Garamond" w:eastAsia="Garamond" w:hAnsi="Garamond" w:cs="Garamond"/>
        </w:rPr>
        <w:t>                                                                  </w:t>
      </w:r>
      <m:oMath>
        <m:r>
          <w:rPr>
            <w:rFonts w:ascii="Garamond" w:eastAsia="Garamond" w:hAnsi="Garamond" w:cs="Garamond"/>
          </w:rPr>
          <m:t xml:space="preserve">Turbidity (NTU) = </m:t>
        </m:r>
        <m:f>
          <m:fPr>
            <m:ctrlPr>
              <w:rPr>
                <w:rFonts w:ascii="Garamond" w:eastAsia="Garamond" w:hAnsi="Garamond" w:cs="Garamond"/>
              </w:rPr>
            </m:ctrlPr>
          </m:fPr>
          <m:num>
            <m:r>
              <w:rPr>
                <w:rFonts w:ascii="Garamond" w:eastAsia="Garamond" w:hAnsi="Garamond" w:cs="Garamond"/>
              </w:rPr>
              <m:t>Turbidity (FNU)</m:t>
            </m:r>
          </m:num>
          <m:den>
            <m:r>
              <w:rPr>
                <w:rFonts w:ascii="Garamond" w:eastAsia="Garamond" w:hAnsi="Garamond" w:cs="Garamond"/>
              </w:rPr>
              <m:t>1.267</m:t>
            </m:r>
          </m:den>
        </m:f>
      </m:oMath>
      <w:r>
        <w:rPr>
          <w:rFonts w:ascii="Garamond" w:eastAsia="Garamond" w:hAnsi="Garamond" w:cs="Garamond"/>
        </w:rPr>
        <w:t xml:space="preserve">                                       (3)</w:t>
      </w:r>
    </w:p>
    <w:p w:rsidR="006557F0" w:rsidRPr="00235FB6" w:rsidRDefault="00EC60AB">
      <w:pPr>
        <w:spacing w:before="200" w:after="0" w:line="240" w:lineRule="auto"/>
        <w:rPr>
          <w:rFonts w:ascii="Times New Roman" w:eastAsia="Times New Roman" w:hAnsi="Times New Roman" w:cs="Times New Roman"/>
          <w:sz w:val="24"/>
          <w:szCs w:val="24"/>
        </w:rPr>
      </w:pPr>
      <w:r>
        <w:rPr>
          <w:rFonts w:ascii="Garamond" w:eastAsia="Garamond" w:hAnsi="Garamond" w:cs="Garamond"/>
        </w:rPr>
        <w:t>Light attenuation in the photosynthetically active radiation domain (</w:t>
      </w:r>
      <w:proofErr w:type="spellStart"/>
      <w:proofErr w:type="gramStart"/>
      <w:r>
        <w:rPr>
          <w:rFonts w:ascii="Garamond" w:eastAsia="Garamond" w:hAnsi="Garamond" w:cs="Garamond"/>
        </w:rPr>
        <w:t>K</w:t>
      </w:r>
      <w:r>
        <w:rPr>
          <w:rFonts w:ascii="Garamond" w:eastAsia="Garamond" w:hAnsi="Garamond" w:cs="Garamond"/>
          <w:vertAlign w:val="subscript"/>
        </w:rPr>
        <w:t>d</w:t>
      </w:r>
      <w:proofErr w:type="spellEnd"/>
      <w:r>
        <w:rPr>
          <w:rFonts w:ascii="Garamond" w:eastAsia="Garamond" w:hAnsi="Garamond" w:cs="Garamond"/>
        </w:rPr>
        <w:t>(</w:t>
      </w:r>
      <w:proofErr w:type="gramEnd"/>
      <w:r>
        <w:rPr>
          <w:rFonts w:ascii="Garamond" w:eastAsia="Garamond" w:hAnsi="Garamond" w:cs="Garamond"/>
        </w:rPr>
        <w:t xml:space="preserve">PAR)) was derived from optical imagery using the Landsat-specific algorithm developed by Song et al. (2017) via regression analysis (Equation 4). The blue-red spectral combination was shown to be the most effective in </w:t>
      </w:r>
      <w:proofErr w:type="spellStart"/>
      <w:proofErr w:type="gramStart"/>
      <w:r>
        <w:rPr>
          <w:rFonts w:ascii="Garamond" w:eastAsia="Garamond" w:hAnsi="Garamond" w:cs="Garamond"/>
        </w:rPr>
        <w:t>K</w:t>
      </w:r>
      <w:r>
        <w:rPr>
          <w:rFonts w:ascii="Garamond" w:eastAsia="Garamond" w:hAnsi="Garamond" w:cs="Garamond"/>
          <w:vertAlign w:val="subscript"/>
        </w:rPr>
        <w:t>d</w:t>
      </w:r>
      <w:proofErr w:type="spellEnd"/>
      <w:r>
        <w:rPr>
          <w:rFonts w:ascii="Garamond" w:eastAsia="Garamond" w:hAnsi="Garamond" w:cs="Garamond"/>
        </w:rPr>
        <w:t>(</w:t>
      </w:r>
      <w:proofErr w:type="gramEnd"/>
      <w:r>
        <w:rPr>
          <w:rFonts w:ascii="Garamond" w:eastAsia="Garamond" w:hAnsi="Garamond" w:cs="Garamond"/>
        </w:rPr>
        <w:t>PAR) estimation. The red band typically exhibits strong association with suspended matter, while the blue band’s ability to penetrate the sea surface is thought to mimic the attenuation of light traveling through the water column (Song et al., 2017).</w:t>
      </w:r>
    </w:p>
    <w:p w:rsidR="006557F0" w:rsidRPr="00235FB6" w:rsidRDefault="00EC60AB" w:rsidP="00235FB6">
      <w:pPr>
        <w:spacing w:before="200" w:after="0" w:line="240" w:lineRule="auto"/>
        <w:jc w:val="right"/>
        <w:rPr>
          <w:rFonts w:ascii="Garamond" w:eastAsia="Garamond" w:hAnsi="Garamond" w:cs="Garamond"/>
        </w:rPr>
      </w:pPr>
      <w:proofErr w:type="spellStart"/>
      <w:proofErr w:type="gramStart"/>
      <w:r>
        <w:rPr>
          <w:rFonts w:ascii="Garamond" w:eastAsia="Garamond" w:hAnsi="Garamond" w:cs="Garamond"/>
          <w:i/>
        </w:rPr>
        <w:t>K</w:t>
      </w:r>
      <w:r>
        <w:rPr>
          <w:rFonts w:ascii="Garamond" w:eastAsia="Garamond" w:hAnsi="Garamond" w:cs="Garamond"/>
          <w:i/>
          <w:vertAlign w:val="subscript"/>
        </w:rPr>
        <w:t>d</w:t>
      </w:r>
      <w:proofErr w:type="spellEnd"/>
      <w:r>
        <w:rPr>
          <w:rFonts w:ascii="Garamond" w:eastAsia="Garamond" w:hAnsi="Garamond" w:cs="Garamond"/>
          <w:i/>
        </w:rPr>
        <w:t>(</w:t>
      </w:r>
      <w:proofErr w:type="gramEnd"/>
      <w:r>
        <w:rPr>
          <w:rFonts w:ascii="Garamond" w:eastAsia="Garamond" w:hAnsi="Garamond" w:cs="Garamond"/>
          <w:i/>
        </w:rPr>
        <w:t xml:space="preserve">PAR) </w:t>
      </w:r>
      <w:r>
        <w:rPr>
          <w:rFonts w:ascii="Garamond" w:eastAsia="Garamond" w:hAnsi="Garamond" w:cs="Garamond"/>
          <w:i/>
          <w:color w:val="000000"/>
        </w:rPr>
        <w:t xml:space="preserve">= -199.75 </w:t>
      </w:r>
      <w:r>
        <w:rPr>
          <w:rFonts w:ascii="Garamond" w:eastAsia="Garamond" w:hAnsi="Garamond" w:cs="Garamond"/>
          <w:i/>
        </w:rPr>
        <w:t xml:space="preserve">* </w:t>
      </w:r>
      <w:r>
        <w:rPr>
          <w:rFonts w:ascii="Garamond" w:eastAsia="Garamond" w:hAnsi="Garamond" w:cs="Garamond"/>
          <w:i/>
          <w:color w:val="000000"/>
        </w:rPr>
        <w:t>(</w:t>
      </w:r>
      <w:r>
        <w:rPr>
          <w:rFonts w:ascii="Garamond" w:eastAsia="Garamond" w:hAnsi="Garamond" w:cs="Garamond"/>
          <w:i/>
        </w:rPr>
        <w:t>B</w:t>
      </w:r>
      <w:r>
        <w:rPr>
          <w:rFonts w:ascii="Garamond" w:eastAsia="Garamond" w:hAnsi="Garamond" w:cs="Garamond"/>
          <w:i/>
          <w:color w:val="000000"/>
        </w:rPr>
        <w:t xml:space="preserve">lue - </w:t>
      </w:r>
      <w:r>
        <w:rPr>
          <w:rFonts w:ascii="Garamond" w:eastAsia="Garamond" w:hAnsi="Garamond" w:cs="Garamond"/>
          <w:i/>
        </w:rPr>
        <w:t>R</w:t>
      </w:r>
      <w:r>
        <w:rPr>
          <w:rFonts w:ascii="Garamond" w:eastAsia="Garamond" w:hAnsi="Garamond" w:cs="Garamond"/>
          <w:i/>
          <w:color w:val="000000"/>
        </w:rPr>
        <w:t>ed)</w:t>
      </w:r>
      <w:r>
        <w:rPr>
          <w:rFonts w:ascii="Garamond" w:eastAsia="Garamond" w:hAnsi="Garamond" w:cs="Garamond"/>
          <w:i/>
        </w:rPr>
        <w:t xml:space="preserve"> + 11.702</w:t>
      </w:r>
      <w:r>
        <w:rPr>
          <w:rFonts w:ascii="Garamond" w:eastAsia="Garamond" w:hAnsi="Garamond" w:cs="Garamond"/>
          <w:color w:val="000000"/>
        </w:rPr>
        <w:t xml:space="preserve">                                                   (</w:t>
      </w:r>
      <w:r>
        <w:rPr>
          <w:rFonts w:ascii="Garamond" w:eastAsia="Garamond" w:hAnsi="Garamond" w:cs="Garamond"/>
        </w:rPr>
        <w:t>4</w:t>
      </w:r>
      <w:r>
        <w:rPr>
          <w:rFonts w:ascii="Garamond" w:eastAsia="Garamond" w:hAnsi="Garamond" w:cs="Garamond"/>
          <w:color w:val="000000"/>
        </w:rPr>
        <w:t>)</w:t>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A relative measure of </w:t>
      </w:r>
      <w:proofErr w:type="spellStart"/>
      <w:r>
        <w:rPr>
          <w:rFonts w:ascii="Garamond" w:eastAsia="Garamond" w:hAnsi="Garamond" w:cs="Garamond"/>
        </w:rPr>
        <w:t>c</w:t>
      </w:r>
      <w:r>
        <w:rPr>
          <w:rFonts w:ascii="Garamond" w:eastAsia="Garamond" w:hAnsi="Garamond" w:cs="Garamond"/>
          <w:color w:val="000000"/>
        </w:rPr>
        <w:t>hl</w:t>
      </w:r>
      <w:proofErr w:type="spellEnd"/>
      <w:r>
        <w:rPr>
          <w:rFonts w:ascii="Garamond" w:eastAsia="Garamond" w:hAnsi="Garamond" w:cs="Garamond"/>
          <w:color w:val="000000"/>
        </w:rPr>
        <w:t xml:space="preserve">-a concentration was derived from the satellite imagery with the Normalized Difference Chlorophyll Index (NDCI) created by Mishra &amp; Mishra (2012) (Equation </w:t>
      </w:r>
      <w:r>
        <w:rPr>
          <w:rFonts w:ascii="Garamond" w:eastAsia="Garamond" w:hAnsi="Garamond" w:cs="Garamond"/>
        </w:rPr>
        <w:t>5</w:t>
      </w:r>
      <w:r>
        <w:rPr>
          <w:rFonts w:ascii="Garamond" w:eastAsia="Garamond" w:hAnsi="Garamond" w:cs="Garamond"/>
          <w:color w:val="000000"/>
        </w:rPr>
        <w:t xml:space="preserve">). This index displays a raster of relative values between -1 and +1, which allows for application to remote areas that lack </w:t>
      </w:r>
      <w:r>
        <w:rPr>
          <w:rFonts w:ascii="Garamond" w:eastAsia="Garamond" w:hAnsi="Garamond" w:cs="Garamond"/>
          <w:i/>
          <w:color w:val="000000"/>
        </w:rPr>
        <w:t>in situ</w:t>
      </w:r>
      <w:r>
        <w:rPr>
          <w:rFonts w:ascii="Garamond" w:eastAsia="Garamond" w:hAnsi="Garamond" w:cs="Garamond"/>
          <w:color w:val="000000"/>
        </w:rPr>
        <w:t xml:space="preserve"> data necessary for calibration (Mishra et al., 2014).</w:t>
      </w:r>
    </w:p>
    <w:p w:rsidR="006557F0" w:rsidRDefault="00EC60AB">
      <w:pPr>
        <w:spacing w:before="200" w:after="0" w:line="240" w:lineRule="auto"/>
        <w:jc w:val="right"/>
        <w:rPr>
          <w:rFonts w:ascii="Times New Roman" w:eastAsia="Times New Roman" w:hAnsi="Times New Roman" w:cs="Times New Roman"/>
          <w:sz w:val="24"/>
          <w:szCs w:val="24"/>
        </w:rPr>
      </w:pPr>
      <m:oMath>
        <m:r>
          <w:rPr>
            <w:rFonts w:ascii="Cambria Math" w:eastAsia="Cambria Math" w:hAnsi="Cambria Math" w:cs="Cambria Math"/>
          </w:rPr>
          <w:lastRenderedPageBreak/>
          <m:t xml:space="preserve">NDCI =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rs</m:t>
                </m:r>
              </m:sub>
            </m:sSub>
            <m:r>
              <w:rPr>
                <w:rFonts w:ascii="Cambria Math" w:eastAsia="Cambria Math" w:hAnsi="Cambria Math" w:cs="Cambria Math"/>
              </w:rPr>
              <m:t xml:space="preserve">(708) - </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rs</m:t>
                </m:r>
              </m:sub>
            </m:sSub>
            <m:r>
              <w:rPr>
                <w:rFonts w:ascii="Cambria Math" w:eastAsia="Cambria Math" w:hAnsi="Cambria Math" w:cs="Cambria Math"/>
              </w:rPr>
              <m:t>(665)</m:t>
            </m:r>
          </m:num>
          <m:den>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rs</m:t>
                </m:r>
              </m:sub>
            </m:sSub>
            <m:r>
              <w:rPr>
                <w:rFonts w:ascii="Cambria Math" w:eastAsia="Cambria Math" w:hAnsi="Cambria Math" w:cs="Cambria Math"/>
              </w:rPr>
              <m:t xml:space="preserve">(708) + </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rs</m:t>
                </m:r>
              </m:sub>
            </m:sSub>
            <m:r>
              <w:rPr>
                <w:rFonts w:ascii="Cambria Math" w:eastAsia="Cambria Math" w:hAnsi="Cambria Math" w:cs="Cambria Math"/>
              </w:rPr>
              <m:t>(665)</m:t>
            </m:r>
          </m:den>
        </m:f>
      </m:oMath>
      <w:r>
        <w:rPr>
          <w:rFonts w:ascii="Garamond" w:eastAsia="Garamond" w:hAnsi="Garamond" w:cs="Garamond"/>
        </w:rPr>
        <w:t xml:space="preserve">  </w:t>
      </w:r>
      <w:r>
        <w:rPr>
          <w:rFonts w:ascii="Garamond" w:eastAsia="Garamond" w:hAnsi="Garamond" w:cs="Garamond"/>
          <w:color w:val="000000"/>
        </w:rPr>
        <w:tab/>
        <w:t>                                            (</w:t>
      </w:r>
      <w:r>
        <w:rPr>
          <w:rFonts w:ascii="Garamond" w:eastAsia="Garamond" w:hAnsi="Garamond" w:cs="Garamond"/>
        </w:rPr>
        <w:t>5</w:t>
      </w:r>
      <w:r>
        <w:rPr>
          <w:rFonts w:ascii="Garamond" w:eastAsia="Garamond" w:hAnsi="Garamond" w:cs="Garamond"/>
          <w:color w:val="000000"/>
        </w:rPr>
        <w:t>)   </w:t>
      </w:r>
    </w:p>
    <w:p w:rsidR="006557F0" w:rsidRDefault="006557F0">
      <w:pPr>
        <w:spacing w:before="200" w:after="0" w:line="240" w:lineRule="auto"/>
        <w:rPr>
          <w:rFonts w:ascii="Garamond" w:eastAsia="Garamond" w:hAnsi="Garamond" w:cs="Garamond"/>
        </w:rPr>
      </w:pP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Because the algorithm was developed for use on Sentinel-2 MSI imagery, the wavelengths specified in Equation 5 denote bands of that instrument. The Landsat TM, ETM+, and OLI instruments do not have comparable bands centered around the </w:t>
      </w:r>
      <w:proofErr w:type="gramStart"/>
      <w:r>
        <w:rPr>
          <w:rFonts w:ascii="Garamond" w:eastAsia="Garamond" w:hAnsi="Garamond" w:cs="Garamond"/>
        </w:rPr>
        <w:t>R(</w:t>
      </w:r>
      <w:proofErr w:type="gramEnd"/>
      <w:r>
        <w:rPr>
          <w:rFonts w:ascii="Garamond" w:eastAsia="Garamond" w:hAnsi="Garamond" w:cs="Garamond"/>
        </w:rPr>
        <w:t>708) input, and as a result, the Landsat version of the NDCI incorporates the NIR and red bands and consequently becomes the same function as NDVI.</w:t>
      </w:r>
    </w:p>
    <w:p w:rsidR="006557F0" w:rsidRDefault="00EC60AB">
      <w:pPr>
        <w:pStyle w:val="Heading1"/>
        <w:spacing w:before="200" w:line="240" w:lineRule="auto"/>
        <w:rPr>
          <w:rFonts w:ascii="Garamond" w:eastAsia="Garamond" w:hAnsi="Garamond" w:cs="Garamond"/>
        </w:rPr>
      </w:pPr>
      <w:r>
        <w:rPr>
          <w:rFonts w:ascii="Garamond" w:eastAsia="Garamond" w:hAnsi="Garamond" w:cs="Garamond"/>
        </w:rPr>
        <w:t>4. Results &amp; Discussion</w:t>
      </w:r>
    </w:p>
    <w:p w:rsidR="006557F0" w:rsidRDefault="00EC60AB">
      <w:pPr>
        <w:spacing w:before="200" w:after="0" w:line="240" w:lineRule="auto"/>
        <w:rPr>
          <w:rFonts w:ascii="Garamond" w:eastAsia="Garamond" w:hAnsi="Garamond" w:cs="Garamond"/>
          <w:b/>
          <w:i/>
        </w:rPr>
      </w:pPr>
      <w:r>
        <w:rPr>
          <w:rFonts w:ascii="Garamond" w:eastAsia="Garamond" w:hAnsi="Garamond" w:cs="Garamond"/>
          <w:b/>
          <w:i/>
        </w:rPr>
        <w:t>4.1 Land Cover Results and Analysis</w:t>
      </w:r>
    </w:p>
    <w:p w:rsidR="006557F0" w:rsidRDefault="00EC60AB">
      <w:pPr>
        <w:spacing w:before="200" w:after="0" w:line="240" w:lineRule="auto"/>
        <w:rPr>
          <w:rFonts w:ascii="Garamond" w:eastAsia="Garamond" w:hAnsi="Garamond" w:cs="Garamond"/>
        </w:rPr>
      </w:pPr>
      <w:r>
        <w:rPr>
          <w:rFonts w:ascii="Garamond" w:eastAsia="Garamond" w:hAnsi="Garamond" w:cs="Garamond"/>
        </w:rPr>
        <w:t>The results of our land cover change analysis for West Maui from 1989 to 2019 indicate that there have been two widespread land cover shifts during the study period in the 1990’s and early 2000’s in addition to small scale annual changes</w:t>
      </w:r>
      <w:r w:rsidR="00235FB6">
        <w:rPr>
          <w:rFonts w:ascii="Garamond" w:eastAsia="Garamond" w:hAnsi="Garamond" w:cs="Garamond"/>
        </w:rPr>
        <w:t xml:space="preserve"> </w:t>
      </w:r>
      <w:r>
        <w:rPr>
          <w:rFonts w:ascii="Garamond" w:eastAsia="Garamond" w:hAnsi="Garamond" w:cs="Garamond"/>
        </w:rPr>
        <w:t>(Appendix B). These two major shifts correlate with large-scale economic changes that occurred in West Maui as sugarcane and pineapple production were phased out and replaced by tourism as the leading economic driver of the region (Silver, 2013).</w:t>
      </w:r>
      <w:r w:rsidR="00176C1B">
        <w:rPr>
          <w:rFonts w:ascii="Garamond" w:eastAsia="Garamond" w:hAnsi="Garamond" w:cs="Garamond"/>
        </w:rPr>
        <w:t xml:space="preserve"> The first major shift occurred between 1990 and 2000 and is characterized by a significant decrease in agricultural vegetation and increase of barren land in the region (Fig</w:t>
      </w:r>
      <w:r w:rsidR="00BE4154">
        <w:rPr>
          <w:rFonts w:ascii="Garamond" w:eastAsia="Garamond" w:hAnsi="Garamond" w:cs="Garamond"/>
        </w:rPr>
        <w:t>ure 3</w:t>
      </w:r>
      <w:r w:rsidR="00176C1B">
        <w:rPr>
          <w:rFonts w:ascii="Garamond" w:eastAsia="Garamond" w:hAnsi="Garamond" w:cs="Garamond"/>
        </w:rPr>
        <w:t>).</w:t>
      </w:r>
      <w:r w:rsidR="00F502AC">
        <w:rPr>
          <w:rFonts w:ascii="Garamond" w:eastAsia="Garamond" w:hAnsi="Garamond" w:cs="Garamond"/>
        </w:rPr>
        <w:t xml:space="preserve"> During that period, agricultural vegetation land cover decreased from 22% of the study area in 1990 to only 13% in 2000, a decrease of about 2753 acres (Fig</w:t>
      </w:r>
      <w:r w:rsidR="00BE4154">
        <w:rPr>
          <w:rFonts w:ascii="Garamond" w:eastAsia="Garamond" w:hAnsi="Garamond" w:cs="Garamond"/>
        </w:rPr>
        <w:t>ure</w:t>
      </w:r>
      <w:r w:rsidR="00F502AC">
        <w:rPr>
          <w:rFonts w:ascii="Garamond" w:eastAsia="Garamond" w:hAnsi="Garamond" w:cs="Garamond"/>
        </w:rPr>
        <w:t xml:space="preserve"> 5).</w:t>
      </w:r>
      <w:r w:rsidR="00176C1B">
        <w:rPr>
          <w:rFonts w:ascii="Garamond" w:eastAsia="Garamond" w:hAnsi="Garamond" w:cs="Garamond"/>
        </w:rPr>
        <w:t xml:space="preserve">  </w:t>
      </w:r>
    </w:p>
    <w:p w:rsidR="006557F0" w:rsidRDefault="00EC60AB">
      <w:pPr>
        <w:spacing w:before="200"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2562225" cy="1638300"/>
            <wp:effectExtent l="0" t="0" r="9525" b="0"/>
            <wp:docPr id="3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l="4313" t="49174" r="37980"/>
                    <a:stretch>
                      <a:fillRect/>
                    </a:stretch>
                  </pic:blipFill>
                  <pic:spPr>
                    <a:xfrm>
                      <a:off x="0" y="0"/>
                      <a:ext cx="2562225" cy="1638300"/>
                    </a:xfrm>
                    <a:prstGeom prst="rect">
                      <a:avLst/>
                    </a:prstGeom>
                    <a:ln/>
                  </pic:spPr>
                </pic:pic>
              </a:graphicData>
            </a:graphic>
          </wp:inline>
        </w:drawing>
      </w:r>
      <w:r>
        <w:rPr>
          <w:rFonts w:ascii="Garamond" w:eastAsia="Garamond" w:hAnsi="Garamond" w:cs="Garamond"/>
          <w:noProof/>
        </w:rPr>
        <w:drawing>
          <wp:inline distT="114300" distB="114300" distL="114300" distR="114300">
            <wp:extent cx="2695575" cy="1606550"/>
            <wp:effectExtent l="0" t="0" r="9525"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l="2280" r="39723" b="50564"/>
                    <a:stretch>
                      <a:fillRect/>
                    </a:stretch>
                  </pic:blipFill>
                  <pic:spPr>
                    <a:xfrm>
                      <a:off x="0" y="0"/>
                      <a:ext cx="2695575" cy="1606550"/>
                    </a:xfrm>
                    <a:prstGeom prst="rect">
                      <a:avLst/>
                    </a:prstGeom>
                    <a:ln/>
                  </pic:spPr>
                </pic:pic>
              </a:graphicData>
            </a:graphic>
          </wp:inline>
        </w:drawing>
      </w:r>
    </w:p>
    <w:p w:rsidR="006557F0" w:rsidRDefault="00EC60AB">
      <w:pPr>
        <w:spacing w:before="200"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4705350" cy="390525"/>
            <wp:effectExtent l="0" t="0" r="0" b="0"/>
            <wp:docPr id="2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3"/>
                    <a:srcRect l="1643" t="82307" r="921" b="1923"/>
                    <a:stretch>
                      <a:fillRect/>
                    </a:stretch>
                  </pic:blipFill>
                  <pic:spPr>
                    <a:xfrm>
                      <a:off x="0" y="0"/>
                      <a:ext cx="4705350" cy="390525"/>
                    </a:xfrm>
                    <a:prstGeom prst="rect">
                      <a:avLst/>
                    </a:prstGeom>
                    <a:ln/>
                  </pic:spPr>
                </pic:pic>
              </a:graphicData>
            </a:graphic>
          </wp:inline>
        </w:drawing>
      </w:r>
    </w:p>
    <w:p w:rsidR="006557F0" w:rsidRDefault="00EC60AB">
      <w:pPr>
        <w:spacing w:before="200" w:after="0" w:line="240" w:lineRule="auto"/>
        <w:jc w:val="center"/>
        <w:rPr>
          <w:rFonts w:ascii="Garamond" w:eastAsia="Garamond" w:hAnsi="Garamond" w:cs="Garamond"/>
        </w:rPr>
      </w:pPr>
      <w:r>
        <w:rPr>
          <w:rFonts w:ascii="Garamond" w:eastAsia="Garamond" w:hAnsi="Garamond" w:cs="Garamond"/>
          <w:i/>
        </w:rPr>
        <w:t>Figure 4</w:t>
      </w:r>
      <w:r>
        <w:rPr>
          <w:rFonts w:ascii="Garamond" w:eastAsia="Garamond" w:hAnsi="Garamond" w:cs="Garamond"/>
        </w:rPr>
        <w:t>.  Land cover classifications for the five priority watersheds for 1990, 2000,2001, and 2013 illustrating the phasing out of sugarcane (between 2001 and 2013) and pineapple (between 1990 and 2000) in the region.</w:t>
      </w:r>
    </w:p>
    <w:p w:rsidR="00176C1B" w:rsidRDefault="00176C1B" w:rsidP="00176C1B">
      <w:pPr>
        <w:spacing w:before="200"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47CA37CD" wp14:editId="33CB93E8">
            <wp:extent cx="4591050" cy="2228850"/>
            <wp:effectExtent l="0" t="0" r="0" b="254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4591050" cy="2228850"/>
                    </a:xfrm>
                    <a:prstGeom prst="rect">
                      <a:avLst/>
                    </a:prstGeom>
                    <a:ln/>
                  </pic:spPr>
                </pic:pic>
              </a:graphicData>
            </a:graphic>
          </wp:inline>
        </w:drawing>
      </w:r>
    </w:p>
    <w:p w:rsidR="00176C1B" w:rsidRDefault="00176C1B" w:rsidP="00176C1B">
      <w:pPr>
        <w:spacing w:before="200" w:after="0" w:line="240" w:lineRule="auto"/>
        <w:jc w:val="center"/>
        <w:rPr>
          <w:rFonts w:ascii="Garamond" w:eastAsia="Garamond" w:hAnsi="Garamond" w:cs="Garamond"/>
        </w:rPr>
      </w:pPr>
      <w:r>
        <w:rPr>
          <w:rFonts w:ascii="Garamond" w:eastAsia="Garamond" w:hAnsi="Garamond" w:cs="Garamond"/>
          <w:i/>
        </w:rPr>
        <w:t>Figure 5</w:t>
      </w:r>
      <w:r>
        <w:rPr>
          <w:rFonts w:ascii="Garamond" w:eastAsia="Garamond" w:hAnsi="Garamond" w:cs="Garamond"/>
        </w:rPr>
        <w:t>.  Land cover classifications for the five priority watersheds throughout the study period, displayed as a percentage of the total occupied by each land class</w:t>
      </w:r>
      <w:r w:rsidRPr="00E06818">
        <w:rPr>
          <w:rFonts w:ascii="Garamond" w:eastAsia="Garamond" w:hAnsi="Garamond" w:cs="Garamond"/>
        </w:rPr>
        <w:t xml:space="preserve"> (from Landsat 4/5 </w:t>
      </w:r>
      <w:r w:rsidR="00773405">
        <w:rPr>
          <w:rFonts w:ascii="Garamond" w:eastAsia="Garamond" w:hAnsi="Garamond" w:cs="Garamond"/>
        </w:rPr>
        <w:t>TM</w:t>
      </w:r>
      <w:r w:rsidRPr="00E06818">
        <w:rPr>
          <w:rFonts w:ascii="Garamond" w:eastAsia="Garamond" w:hAnsi="Garamond" w:cs="Garamond"/>
        </w:rPr>
        <w:t>, 7 ETM+, 8 OLI, 2005).</w:t>
      </w:r>
      <w:r>
        <w:rPr>
          <w:rFonts w:ascii="Garamond" w:eastAsia="Garamond" w:hAnsi="Garamond" w:cs="Garamond"/>
        </w:rPr>
        <w:t xml:space="preserve"> </w:t>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This finding is consistent with the disappearance of sugarcane production that took place in West Maui in the 1990’s due to increasing labor conditions and their associated higher costs (Silver, 2013). Many of the fields initially classified as agricultural vegetation became barren and were then left to grow fallow in the years </w:t>
      </w:r>
      <w:r w:rsidR="00773405">
        <w:rPr>
          <w:rFonts w:ascii="Garamond" w:eastAsia="Garamond" w:hAnsi="Garamond" w:cs="Garamond"/>
        </w:rPr>
        <w:t>following</w:t>
      </w:r>
      <w:r>
        <w:rPr>
          <w:rFonts w:ascii="Garamond" w:eastAsia="Garamond" w:hAnsi="Garamond" w:cs="Garamond"/>
        </w:rPr>
        <w:t xml:space="preserve"> the end of sugar cane. The second major shift in Maui's agricultural landscape occurred between 2001 and 2013 in which West Maui saw the near disappearance of pineapple fields in the study area (Fig</w:t>
      </w:r>
      <w:r w:rsidR="00773405">
        <w:rPr>
          <w:rFonts w:ascii="Garamond" w:eastAsia="Garamond" w:hAnsi="Garamond" w:cs="Garamond"/>
        </w:rPr>
        <w:t>ure</w:t>
      </w:r>
      <w:r>
        <w:rPr>
          <w:rFonts w:ascii="Garamond" w:eastAsia="Garamond" w:hAnsi="Garamond" w:cs="Garamond"/>
        </w:rPr>
        <w:t xml:space="preserve"> 4). This result matches the known end of pineapple production statewide indicated by Maui Land and Pineapple Co. Inc., Hawai’i’s largest canned pineapple producer, stopping their planting of pineapple in 2010. </w:t>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In addition to temporal changes in land cover, there were spatial trends in the agricultural distribution that may have affected nearshore water quality in the past and present. As shown in Figure 6, pineapple production was primarily focused in </w:t>
      </w:r>
      <w:proofErr w:type="spellStart"/>
      <w:r>
        <w:rPr>
          <w:rFonts w:ascii="Garamond" w:eastAsia="Garamond" w:hAnsi="Garamond" w:cs="Garamond"/>
        </w:rPr>
        <w:t>Kahana</w:t>
      </w:r>
      <w:proofErr w:type="spellEnd"/>
      <w:r>
        <w:rPr>
          <w:rFonts w:ascii="Garamond" w:eastAsia="Garamond" w:hAnsi="Garamond" w:cs="Garamond"/>
        </w:rPr>
        <w:t xml:space="preserve"> and </w:t>
      </w:r>
      <w:proofErr w:type="spellStart"/>
      <w:r>
        <w:rPr>
          <w:rFonts w:ascii="Garamond" w:eastAsia="Garamond" w:hAnsi="Garamond" w:cs="Garamond"/>
        </w:rPr>
        <w:t>Honokowai</w:t>
      </w:r>
      <w:proofErr w:type="spellEnd"/>
      <w:r>
        <w:rPr>
          <w:rFonts w:ascii="Garamond" w:eastAsia="Garamond" w:hAnsi="Garamond" w:cs="Garamond"/>
        </w:rPr>
        <w:t xml:space="preserve"> watersheds, until its disappearance between 2003 and 2013. Additionally, while we were unable to identify sugarcane individually in the land classification, the largest change in agricultural vegetation, that coincided with the end of sugarcane production in the 1990’s was in the southernmost </w:t>
      </w:r>
      <w:proofErr w:type="spellStart"/>
      <w:r>
        <w:rPr>
          <w:rFonts w:ascii="Garamond" w:eastAsia="Garamond" w:hAnsi="Garamond" w:cs="Garamond"/>
        </w:rPr>
        <w:t>Wahikuli</w:t>
      </w:r>
      <w:proofErr w:type="spellEnd"/>
      <w:r>
        <w:rPr>
          <w:rFonts w:ascii="Garamond" w:eastAsia="Garamond" w:hAnsi="Garamond" w:cs="Garamond"/>
        </w:rPr>
        <w:t xml:space="preserve"> watershed, where agricultural vegetation decreased 39</w:t>
      </w:r>
      <w:r w:rsidR="00235FB6">
        <w:rPr>
          <w:rFonts w:ascii="Garamond" w:eastAsia="Garamond" w:hAnsi="Garamond" w:cs="Garamond"/>
        </w:rPr>
        <w:t xml:space="preserve"> percent </w:t>
      </w:r>
      <w:r>
        <w:rPr>
          <w:rFonts w:ascii="Garamond" w:eastAsia="Garamond" w:hAnsi="Garamond" w:cs="Garamond"/>
        </w:rPr>
        <w:t xml:space="preserve">between 1990 and 2000. </w:t>
      </w:r>
    </w:p>
    <w:p w:rsidR="00E06818" w:rsidRDefault="00E06818">
      <w:pPr>
        <w:spacing w:before="200" w:after="0" w:line="240" w:lineRule="auto"/>
        <w:rPr>
          <w:rFonts w:ascii="Garamond" w:eastAsia="Garamond" w:hAnsi="Garamond" w:cs="Garamond"/>
        </w:rPr>
      </w:pPr>
    </w:p>
    <w:p w:rsidR="00E06818" w:rsidRDefault="00E06818">
      <w:pPr>
        <w:spacing w:before="200" w:after="0" w:line="240" w:lineRule="auto"/>
        <w:rPr>
          <w:rFonts w:ascii="Garamond" w:eastAsia="Garamond" w:hAnsi="Garamond" w:cs="Garamond"/>
        </w:rPr>
      </w:pPr>
    </w:p>
    <w:p w:rsidR="00E06818" w:rsidRDefault="00E06818">
      <w:pPr>
        <w:spacing w:before="200" w:after="0" w:line="240" w:lineRule="auto"/>
        <w:rPr>
          <w:rFonts w:ascii="Garamond" w:eastAsia="Garamond" w:hAnsi="Garamond" w:cs="Garamond"/>
        </w:rPr>
      </w:pPr>
    </w:p>
    <w:p w:rsidR="006557F0" w:rsidRDefault="000E198B">
      <w:pPr>
        <w:spacing w:before="200" w:after="0" w:line="240" w:lineRule="auto"/>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67456" behindDoc="0" locked="0" layoutInCell="1" allowOverlap="1" wp14:anchorId="7F19680C" wp14:editId="0CB9A340">
                <wp:simplePos x="0" y="0"/>
                <wp:positionH relativeFrom="column">
                  <wp:posOffset>2231390</wp:posOffset>
                </wp:positionH>
                <wp:positionV relativeFrom="paragraph">
                  <wp:posOffset>2134616</wp:posOffset>
                </wp:positionV>
                <wp:extent cx="554355" cy="267970"/>
                <wp:effectExtent l="0" t="0" r="4445" b="0"/>
                <wp:wrapNone/>
                <wp:docPr id="51" name="Text Box 51"/>
                <wp:cNvGraphicFramePr/>
                <a:graphic xmlns:a="http://schemas.openxmlformats.org/drawingml/2006/main">
                  <a:graphicData uri="http://schemas.microsoft.com/office/word/2010/wordprocessingShape">
                    <wps:wsp>
                      <wps:cNvSpPr txBox="1"/>
                      <wps:spPr>
                        <a:xfrm>
                          <a:off x="0" y="0"/>
                          <a:ext cx="554355" cy="267970"/>
                        </a:xfrm>
                        <a:prstGeom prst="rect">
                          <a:avLst/>
                        </a:prstGeom>
                        <a:solidFill>
                          <a:schemeClr val="lt1"/>
                        </a:solidFill>
                        <a:ln w="6350">
                          <a:noFill/>
                        </a:ln>
                      </wps:spPr>
                      <wps:txbx>
                        <w:txbxContent>
                          <w:p w:rsidR="000E198B" w:rsidRPr="000E198B" w:rsidRDefault="000E198B" w:rsidP="000E198B">
                            <w:pPr>
                              <w:rPr>
                                <w:rFonts w:ascii="Century Gothic" w:hAnsi="Century Gothic"/>
                              </w:rPr>
                            </w:pPr>
                            <w:r w:rsidRPr="000E198B">
                              <w:rPr>
                                <w:rFonts w:ascii="Century Gothic" w:hAnsi="Century Gothic"/>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19680C" id="_x0000_t202" coordsize="21600,21600" o:spt="202" path="m,l,21600r21600,l21600,xe">
                <v:stroke joinstyle="miter"/>
                <v:path gradientshapeok="t" o:connecttype="rect"/>
              </v:shapetype>
              <v:shape id="Text Box 51" o:spid="_x0000_s1026" type="#_x0000_t202" style="position:absolute;margin-left:175.7pt;margin-top:168.1pt;width:43.65pt;height:21.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EuUQgIAAHoEAAAOAAAAZHJzL2Uyb0RvYy54bWysVMFu2zAMvQ/YPwi6L07SuF2DOEWWosOA&#13;&#10;oi2QDD0rspwYkEVNUmJ3X78nOWmzbqdhF5kiKZKPj/Tspms0OyjnazIFHw2GnCkjqazNtuDf13ef&#13;&#10;PnPmgzCl0GRUwV+U5zfzjx9mrZ2qMe1Il8oxBDF+2tqC70Kw0yzzcqca4QdklYGxIteIgKvbZqUT&#13;&#10;LaI3OhsPh5dZS660jqTyHtrb3sjnKX5VKRkeq8qrwHTBUVtIp0vnJp7ZfCamWyfsrpbHMsQ/VNGI&#13;&#10;2iDpa6hbEQTbu/qPUE0tHXmqwkBSk1FV1VIlDEAzGr5Ds9oJqxIWNMfb1zb5/xdWPhyeHKvLgucj&#13;&#10;zoxowNFadYF9oY5Bhf601k/htrJwDB304Pmk91BG2F3lmvgFIAY7Ov3y2t0YTUKZ55OLPOdMwjS+&#13;&#10;vLq+St3P3h5b58NXRQ2LQsEdyEs9FYd7H1AIXE8uMZcnXZd3tdbpEgdGLbVjBwGqdUgl4sVvXtqw&#13;&#10;tuCXF/kwBTYUn/eRtUGCCLWHFKXQbboj/g2VL4DvqB8gb+VdjSLvhQ9PwmFigBhbEB5xVJqQhI4S&#13;&#10;ZztyP/+mj/4gElbOWkxgwf2PvXCKM/3NgOLr0WQSRzZdJvnVGBd3btmcW8y+WRKQg0VUl8ToH/RJ&#13;&#10;rBw1z1iWRcwKkzASuQseTuIy9HuBZZNqsUhOGFIrwr1ZWRlDx05HCtbds3D2yFMAwQ90mlUxfUdX&#13;&#10;7xtfGlrsA1V14jI2uO/qse8Y8ETxcRnjBp3fk9fbL2P+CwAA//8DAFBLAwQUAAYACAAAACEAkWs5&#13;&#10;neUAAAAQAQAADwAAAGRycy9kb3ducmV2LnhtbExPyU7DMBC9I/EP1iBxQdRpnTZRGqdCbJW40bCI&#13;&#10;mxubJCIeR7GbhL9nOMFlNMubt+S72XZsNINvHUpYLiJgBiunW6wlvJQP1ykwHxRq1Tk0Er6Nh11x&#13;&#10;fparTLsJn814CDUjEvSZktCE0Gec+6oxVvmF6w3S7dMNVgUah5rrQU1Ebju+iqINt6pFUmhUb24b&#13;&#10;U30dTlbCx1X9/uTnx9dJrEV/vx/L5E2XUl5ezHdbKjdbYMHM4e8DfjOQfyjI2NGdUHvWSRDrZUxQ&#13;&#10;asRmBYwQsUgTYEfaJGkMvMj5/yDFDwAAAP//AwBQSwECLQAUAAYACAAAACEAtoM4kv4AAADhAQAA&#13;&#10;EwAAAAAAAAAAAAAAAAAAAAAAW0NvbnRlbnRfVHlwZXNdLnhtbFBLAQItABQABgAIAAAAIQA4/SH/&#13;&#10;1gAAAJQBAAALAAAAAAAAAAAAAAAAAC8BAABfcmVscy8ucmVsc1BLAQItABQABgAIAAAAIQBchEuU&#13;&#10;QgIAAHoEAAAOAAAAAAAAAAAAAAAAAC4CAABkcnMvZTJvRG9jLnhtbFBLAQItABQABgAIAAAAIQCR&#13;&#10;azmd5QAAABABAAAPAAAAAAAAAAAAAAAAAJwEAABkcnMvZG93bnJldi54bWxQSwUGAAAAAAQABADz&#13;&#10;AAAArgUAAAAA&#13;&#10;" fillcolor="white [3201]" stroked="f" strokeweight=".5pt">
                <v:textbox>
                  <w:txbxContent>
                    <w:p w:rsidR="000E198B" w:rsidRPr="000E198B" w:rsidRDefault="000E198B" w:rsidP="000E198B">
                      <w:pPr>
                        <w:rPr>
                          <w:rFonts w:ascii="Century Gothic" w:hAnsi="Century Gothic"/>
                        </w:rPr>
                      </w:pPr>
                      <w:r w:rsidRPr="000E198B">
                        <w:rPr>
                          <w:rFonts w:ascii="Century Gothic" w:hAnsi="Century Gothic"/>
                        </w:rPr>
                        <w:t>Year</w:t>
                      </w:r>
                    </w:p>
                  </w:txbxContent>
                </v:textbox>
              </v:shape>
            </w:pict>
          </mc:Fallback>
        </mc:AlternateContent>
      </w:r>
      <w:r>
        <w:rPr>
          <w:rFonts w:ascii="Garamond" w:eastAsia="Garamond" w:hAnsi="Garamond" w:cs="Garamond"/>
          <w:noProof/>
        </w:rPr>
        <mc:AlternateContent>
          <mc:Choice Requires="wps">
            <w:drawing>
              <wp:anchor distT="0" distB="0" distL="114300" distR="114300" simplePos="0" relativeHeight="251665408" behindDoc="0" locked="0" layoutInCell="1" allowOverlap="1">
                <wp:simplePos x="0" y="0"/>
                <wp:positionH relativeFrom="column">
                  <wp:posOffset>-109791</wp:posOffset>
                </wp:positionH>
                <wp:positionV relativeFrom="paragraph">
                  <wp:posOffset>640779</wp:posOffset>
                </wp:positionV>
                <wp:extent cx="896112" cy="268224"/>
                <wp:effectExtent l="0" t="3492" r="2222" b="2223"/>
                <wp:wrapNone/>
                <wp:docPr id="50" name="Text Box 50"/>
                <wp:cNvGraphicFramePr/>
                <a:graphic xmlns:a="http://schemas.openxmlformats.org/drawingml/2006/main">
                  <a:graphicData uri="http://schemas.microsoft.com/office/word/2010/wordprocessingShape">
                    <wps:wsp>
                      <wps:cNvSpPr txBox="1"/>
                      <wps:spPr>
                        <a:xfrm rot="16200000">
                          <a:off x="0" y="0"/>
                          <a:ext cx="896112" cy="268224"/>
                        </a:xfrm>
                        <a:prstGeom prst="rect">
                          <a:avLst/>
                        </a:prstGeom>
                        <a:solidFill>
                          <a:schemeClr val="lt1"/>
                        </a:solidFill>
                        <a:ln w="6350">
                          <a:noFill/>
                        </a:ln>
                      </wps:spPr>
                      <wps:txbx>
                        <w:txbxContent>
                          <w:p w:rsidR="000E198B" w:rsidRPr="000E198B" w:rsidRDefault="000E198B">
                            <w:pPr>
                              <w:rPr>
                                <w:rFonts w:ascii="Century Gothic" w:hAnsi="Century Gothic"/>
                              </w:rPr>
                            </w:pPr>
                            <w:r w:rsidRPr="000E198B">
                              <w:rPr>
                                <w:rFonts w:ascii="Century Gothic" w:hAnsi="Century Gothic"/>
                              </w:rPr>
                              <w:t>Pixels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27" type="#_x0000_t202" style="position:absolute;margin-left:-8.65pt;margin-top:50.45pt;width:70.55pt;height:21.1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B/kSQIAAJAEAAAOAAAAZHJzL2Uyb0RvYy54bWysVMFu2zAMvQ/YPwi6r469NEuDOkXWosOA&#13;&#10;oC3QDj0rslwbkEVNUmJnX78nOcm6bqdhOQgU+fxEPpK5vBo6zXbK+ZZMyfOzCWfKSKpa81Lyb0+3&#13;&#10;H+ac+SBMJTQZVfK98vxq+f7dZW8XqqCGdKUcA4nxi96WvAnBLrLMy0Z1wp+RVQbBmlwnAq7uJauc&#13;&#10;6MHe6ayYTGZZT66yjqTyHt6bMciXib+ulQz3de1VYLrkyC2k06VzE89seSkWL07YppWHNMQ/ZNGJ&#13;&#10;1uDRE9WNCIJtXfsHVddKR57qcCapy6iuW6lSDagmn7yp5rERVqVaII63J5n8/6OVd7sHx9qq5OeQ&#13;&#10;x4gOPXpSQ2CfaWBwQZ/e+gVgjxbAMMCPPh/9Hs5Y9lC7jjmCvPkMbcEvqYH6GOBg3p/EjuQSzvnF&#13;&#10;LM8LziRCxWxeFNNImo1ckdM6H74o6lg0Su7Qy0QqdmsfRugREuGedFvdtlqnS5wfda0d2wl0XoeU&#13;&#10;Mch/Q2nD+pLPPqLO+JGh+PnIrA1yiZWPFUYrDJshKXWqfkPVHqKkulGjt/K2Ra5r4cODcJgjOLEb&#13;&#10;4R5HrQlv0cHirCH342/+iEd7EeWsx1yW3H/fCqc4018NGn+RT6egDekyPf9U4OJeRzavI2bbXRME&#13;&#10;yFN2yYz4oI9m7ah7xgqt4qsICSPxdsnD0bwO47ZgBaVarRIIo2tFWJtHKyP1sVlPw7Nw9tCugD7f&#13;&#10;0XGCxeJN10bsqPpqG6huU0ujzqOqB/kx9mkoDisa9+r1PaF+/ZEsfwIAAP//AwBQSwMEFAAGAAgA&#13;&#10;AAAhAEDi0EDeAAAADQEAAA8AAABkcnMvZG93bnJldi54bWxMT01PwzAMvSPxHyIjcWPpygajazoh&#13;&#10;Bj+AlQPHrDFNRZNUdbqU/XrMiV1sWe/5fZS72fXihCN1wStYLjIQ6JtgOt8q+Kjf7jYgKGpvdB88&#13;&#10;KvhBgl11fVXqwoTk3/F0iK1gEU+FVmBjHAopqbHoNC3CgJ6xrzA6HfkcW2lGnVjc9TLPsgfpdOfZ&#13;&#10;weoBXyw234fJKaDXlGczpfNmqi3J2rXnz31S6vZm3m95PG9BRJzj/wf8deD8UHGwY5i8IdEruM9z&#13;&#10;ZipYL1cgGH9c8T4y7ylfg6xKedmi+gUAAP//AwBQSwECLQAUAAYACAAAACEAtoM4kv4AAADhAQAA&#13;&#10;EwAAAAAAAAAAAAAAAAAAAAAAW0NvbnRlbnRfVHlwZXNdLnhtbFBLAQItABQABgAIAAAAIQA4/SH/&#13;&#10;1gAAAJQBAAALAAAAAAAAAAAAAAAAAC8BAABfcmVscy8ucmVsc1BLAQItABQABgAIAAAAIQBG9B/k&#13;&#10;SQIAAJAEAAAOAAAAAAAAAAAAAAAAAC4CAABkcnMvZTJvRG9jLnhtbFBLAQItABQABgAIAAAAIQBA&#13;&#10;4tBA3gAAAA0BAAAPAAAAAAAAAAAAAAAAAKMEAABkcnMvZG93bnJldi54bWxQSwUGAAAAAAQABADz&#13;&#10;AAAArgUAAAAA&#13;&#10;" fillcolor="white [3201]" stroked="f" strokeweight=".5pt">
                <v:textbox>
                  <w:txbxContent>
                    <w:p w:rsidR="000E198B" w:rsidRPr="000E198B" w:rsidRDefault="000E198B">
                      <w:pPr>
                        <w:rPr>
                          <w:rFonts w:ascii="Century Gothic" w:hAnsi="Century Gothic"/>
                        </w:rPr>
                      </w:pPr>
                      <w:r w:rsidRPr="000E198B">
                        <w:rPr>
                          <w:rFonts w:ascii="Century Gothic" w:hAnsi="Century Gothic"/>
                        </w:rPr>
                        <w:t>Pixels</w:t>
                      </w:r>
                    </w:p>
                  </w:txbxContent>
                </v:textbox>
              </v:shape>
            </w:pict>
          </mc:Fallback>
        </mc:AlternateContent>
      </w:r>
      <w:r w:rsidR="009317DC">
        <w:rPr>
          <w:rFonts w:ascii="Garamond" w:eastAsia="Garamond" w:hAnsi="Garamond" w:cs="Garamond"/>
        </w:rPr>
        <w:t xml:space="preserve">               </w:t>
      </w:r>
      <w:r w:rsidR="00EC60AB">
        <w:rPr>
          <w:rFonts w:ascii="Garamond" w:eastAsia="Garamond" w:hAnsi="Garamond" w:cs="Garamond"/>
          <w:noProof/>
        </w:rPr>
        <w:drawing>
          <wp:inline distT="114300" distB="114300" distL="114300" distR="114300">
            <wp:extent cx="3695700" cy="200977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695700" cy="2009775"/>
                    </a:xfrm>
                    <a:prstGeom prst="rect">
                      <a:avLst/>
                    </a:prstGeom>
                    <a:ln/>
                  </pic:spPr>
                </pic:pic>
              </a:graphicData>
            </a:graphic>
          </wp:inline>
        </w:drawing>
      </w:r>
      <w:r w:rsidR="00EC60AB">
        <w:rPr>
          <w:rFonts w:ascii="Garamond" w:eastAsia="Garamond" w:hAnsi="Garamond" w:cs="Garamond"/>
          <w:noProof/>
        </w:rPr>
        <w:drawing>
          <wp:inline distT="114300" distB="114300" distL="114300" distR="114300">
            <wp:extent cx="1457325" cy="1905000"/>
            <wp:effectExtent l="0" t="0" r="0" b="0"/>
            <wp:docPr id="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l="60567" t="57173"/>
                    <a:stretch>
                      <a:fillRect/>
                    </a:stretch>
                  </pic:blipFill>
                  <pic:spPr>
                    <a:xfrm>
                      <a:off x="0" y="0"/>
                      <a:ext cx="1457325" cy="1905000"/>
                    </a:xfrm>
                    <a:prstGeom prst="rect">
                      <a:avLst/>
                    </a:prstGeom>
                    <a:ln/>
                  </pic:spPr>
                </pic:pic>
              </a:graphicData>
            </a:graphic>
          </wp:inline>
        </w:drawing>
      </w:r>
    </w:p>
    <w:p w:rsidR="006557F0" w:rsidRDefault="000E198B">
      <w:pPr>
        <w:spacing w:before="200" w:after="0" w:line="240" w:lineRule="auto"/>
        <w:rPr>
          <w:rFonts w:ascii="Garamond" w:eastAsia="Garamond" w:hAnsi="Garamond" w:cs="Garamond"/>
        </w:rPr>
      </w:pPr>
      <w:r>
        <w:rPr>
          <w:rFonts w:ascii="Garamond" w:eastAsia="Garamond" w:hAnsi="Garamond" w:cs="Garamond"/>
          <w:noProof/>
        </w:rPr>
        <w:lastRenderedPageBreak/>
        <mc:AlternateContent>
          <mc:Choice Requires="wps">
            <w:drawing>
              <wp:anchor distT="0" distB="0" distL="114300" distR="114300" simplePos="0" relativeHeight="251671552" behindDoc="0" locked="0" layoutInCell="1" allowOverlap="1" wp14:anchorId="35AC9518" wp14:editId="38E09428">
                <wp:simplePos x="0" y="0"/>
                <wp:positionH relativeFrom="column">
                  <wp:posOffset>2235581</wp:posOffset>
                </wp:positionH>
                <wp:positionV relativeFrom="paragraph">
                  <wp:posOffset>2242820</wp:posOffset>
                </wp:positionV>
                <wp:extent cx="554355" cy="267970"/>
                <wp:effectExtent l="0" t="0" r="4445" b="0"/>
                <wp:wrapNone/>
                <wp:docPr id="53" name="Text Box 53"/>
                <wp:cNvGraphicFramePr/>
                <a:graphic xmlns:a="http://schemas.openxmlformats.org/drawingml/2006/main">
                  <a:graphicData uri="http://schemas.microsoft.com/office/word/2010/wordprocessingShape">
                    <wps:wsp>
                      <wps:cNvSpPr txBox="1"/>
                      <wps:spPr>
                        <a:xfrm>
                          <a:off x="0" y="0"/>
                          <a:ext cx="554355" cy="267970"/>
                        </a:xfrm>
                        <a:prstGeom prst="rect">
                          <a:avLst/>
                        </a:prstGeom>
                        <a:solidFill>
                          <a:schemeClr val="lt1"/>
                        </a:solidFill>
                        <a:ln w="6350">
                          <a:noFill/>
                        </a:ln>
                      </wps:spPr>
                      <wps:txbx>
                        <w:txbxContent>
                          <w:p w:rsidR="000E198B" w:rsidRPr="000E198B" w:rsidRDefault="000E198B" w:rsidP="000E198B">
                            <w:pPr>
                              <w:rPr>
                                <w:rFonts w:ascii="Century Gothic" w:hAnsi="Century Gothic"/>
                              </w:rPr>
                            </w:pPr>
                            <w:r w:rsidRPr="000E198B">
                              <w:rPr>
                                <w:rFonts w:ascii="Century Gothic" w:hAnsi="Century Gothic"/>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C9518" id="Text Box 53" o:spid="_x0000_s1028" type="#_x0000_t202" style="position:absolute;margin-left:176.05pt;margin-top:176.6pt;width:43.65pt;height:21.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61URgIAAIEEAAAOAAAAZHJzL2Uyb0RvYy54bWysVE1v2zAMvQ/YfxB0X50vp2tQp8hadBgQ&#13;&#10;tAXSoWdFlhMDsqhJSuzs1+9JTtKu22nYRaZIih/vkb6+6RrN9sr5mkzBhxcDzpSRVNZmU/Dvz/ef&#13;&#10;PnPmgzCl0GRUwQ/K85v5xw/XrZ2pEW1Jl8oxBDF+1tqCb0Owsyzzcqsa4S/IKgNjRa4RAVe3yUon&#13;&#10;WkRvdDYaDKZZS660jqTyHtq73sjnKX5VKRkeq8qrwHTBUVtIp0vnOp7Z/FrMNk7YbS2PZYh/qKIR&#13;&#10;tUHSc6g7EQTbufqPUE0tHXmqwoWkJqOqqqVKPaCb4eBdN6utsCr1AnC8PcPk/19Y+bB/cqwuC56P&#13;&#10;OTOiAUfPqgvsC3UMKuDTWj+D28rCMXTQg+eT3kMZ2+4q18QvGmKwA+nDGd0YTUKZ55NxnnMmYRpN&#13;&#10;L68uE/rZ62PrfPiqqGFRKLgDeQlTsV/6gELgenKJuTzpuryvtU6XODDqVju2F6Bah1QiXvzmpQ1r&#13;&#10;Cz4d54MU2FB83kfWBgliq31LUQrdukvQjE7trqk8AAVH/Rx5K+9r1LoUPjwJh8FB41iG8Iij0oRc&#13;&#10;dJQ425L7+Td99AefsHLWYhAL7n/shFOc6W8GTF8NJ5M4uekyyS9HuLi3lvVbi9k1twQAhlg7K5MY&#13;&#10;/YM+iZWj5gU7s4hZYRJGInfBw0m8Df16YOekWiySE2bVirA0Kytj6Ah4ZOK5exHOHukK4PmBTiMr&#13;&#10;Zu9Y633jS0OLXaCqTpRGnHtUj/BjzhPTx52Mi/T2nrxe/xzzXwAAAP//AwBQSwMEFAAGAAgAAAAh&#13;&#10;AKBuFNPkAAAAEAEAAA8AAABkcnMvZG93bnJldi54bWxMT8lOwzAQvSPxD9YgcUHUaZwATeNUiKVI&#13;&#10;3GhYxM2NTRIRj6PYTcLfMz3BZTTLm7fkm9l2bDSDbx1KWC4iYAYrp1usJbyWj5c3wHxQqFXn0Ej4&#13;&#10;MR42xelJrjLtJnwx4y7UjEjQZ0pCE0Kfce6rxljlF643SLcvN1gVaBxqrgc1EbnteBxFV9yqFkmh&#13;&#10;Ub25a0z1vTtYCZ8X9cezn7dvk0hF//A0ltfvupTy/Gy+X1O5XQMLZg5/H3DMQP6hIGN7d0DtWSdB&#13;&#10;pPGSoMdGxMAIkYhVAmxPm1WaAC9y/j9I8QsAAP//AwBQSwECLQAUAAYACAAAACEAtoM4kv4AAADh&#13;&#10;AQAAEwAAAAAAAAAAAAAAAAAAAAAAW0NvbnRlbnRfVHlwZXNdLnhtbFBLAQItABQABgAIAAAAIQA4&#13;&#10;/SH/1gAAAJQBAAALAAAAAAAAAAAAAAAAAC8BAABfcmVscy8ucmVsc1BLAQItABQABgAIAAAAIQCj&#13;&#10;G61URgIAAIEEAAAOAAAAAAAAAAAAAAAAAC4CAABkcnMvZTJvRG9jLnhtbFBLAQItABQABgAIAAAA&#13;&#10;IQCgbhTT5AAAABABAAAPAAAAAAAAAAAAAAAAAKAEAABkcnMvZG93bnJldi54bWxQSwUGAAAAAAQA&#13;&#10;BADzAAAAsQUAAAAA&#13;&#10;" fillcolor="white [3201]" stroked="f" strokeweight=".5pt">
                <v:textbox>
                  <w:txbxContent>
                    <w:p w:rsidR="000E198B" w:rsidRPr="000E198B" w:rsidRDefault="000E198B" w:rsidP="000E198B">
                      <w:pPr>
                        <w:rPr>
                          <w:rFonts w:ascii="Century Gothic" w:hAnsi="Century Gothic"/>
                        </w:rPr>
                      </w:pPr>
                      <w:r w:rsidRPr="000E198B">
                        <w:rPr>
                          <w:rFonts w:ascii="Century Gothic" w:hAnsi="Century Gothic"/>
                        </w:rPr>
                        <w:t>Year</w:t>
                      </w:r>
                    </w:p>
                  </w:txbxContent>
                </v:textbox>
              </v:shape>
            </w:pict>
          </mc:Fallback>
        </mc:AlternateContent>
      </w:r>
      <w:r>
        <w:rPr>
          <w:rFonts w:ascii="Garamond" w:eastAsia="Garamond" w:hAnsi="Garamond" w:cs="Garamond"/>
          <w:noProof/>
        </w:rPr>
        <mc:AlternateContent>
          <mc:Choice Requires="wps">
            <w:drawing>
              <wp:anchor distT="0" distB="0" distL="114300" distR="114300" simplePos="0" relativeHeight="251669504" behindDoc="0" locked="0" layoutInCell="1" allowOverlap="1" wp14:anchorId="5EA4FA22" wp14:editId="7A1CCD7A">
                <wp:simplePos x="0" y="0"/>
                <wp:positionH relativeFrom="column">
                  <wp:posOffset>-61278</wp:posOffset>
                </wp:positionH>
                <wp:positionV relativeFrom="paragraph">
                  <wp:posOffset>771208</wp:posOffset>
                </wp:positionV>
                <wp:extent cx="896112" cy="268224"/>
                <wp:effectExtent l="0" t="3492" r="2222" b="2223"/>
                <wp:wrapNone/>
                <wp:docPr id="52" name="Text Box 52"/>
                <wp:cNvGraphicFramePr/>
                <a:graphic xmlns:a="http://schemas.openxmlformats.org/drawingml/2006/main">
                  <a:graphicData uri="http://schemas.microsoft.com/office/word/2010/wordprocessingShape">
                    <wps:wsp>
                      <wps:cNvSpPr txBox="1"/>
                      <wps:spPr>
                        <a:xfrm rot="16200000">
                          <a:off x="0" y="0"/>
                          <a:ext cx="896112" cy="268224"/>
                        </a:xfrm>
                        <a:prstGeom prst="rect">
                          <a:avLst/>
                        </a:prstGeom>
                        <a:solidFill>
                          <a:schemeClr val="lt1"/>
                        </a:solidFill>
                        <a:ln w="6350">
                          <a:noFill/>
                        </a:ln>
                      </wps:spPr>
                      <wps:txbx>
                        <w:txbxContent>
                          <w:p w:rsidR="000E198B" w:rsidRPr="000E198B" w:rsidRDefault="000E198B" w:rsidP="000E198B">
                            <w:pPr>
                              <w:rPr>
                                <w:rFonts w:ascii="Century Gothic" w:hAnsi="Century Gothic"/>
                              </w:rPr>
                            </w:pPr>
                            <w:r w:rsidRPr="000E198B">
                              <w:rPr>
                                <w:rFonts w:ascii="Century Gothic" w:hAnsi="Century Gothic"/>
                              </w:rPr>
                              <w:t>Pixels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A4FA22" id="Text Box 52" o:spid="_x0000_s1029" type="#_x0000_t202" style="position:absolute;margin-left:-4.85pt;margin-top:60.75pt;width:70.55pt;height:21.1pt;rotation:-9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UHASwIAAJAEAAAOAAAAZHJzL2Uyb0RvYy54bWysVMFu2zAMvQ/YPwi6r47dNEuDOEXWosOA&#13;&#10;oi3QDD0rstwYkEVNUmJ3X78nOW67bqdhOQgUST+R75FZXvStZgflfEOm5PnJhDNlJFWNeSr59831&#13;&#10;pzlnPghTCU1GlfxZeX6x+vhh2dmFKmhHulKOAcT4RWdLvgvBLrLMy51qhT8hqwyCNblWBFzdU1Y5&#13;&#10;0QG91VkxmcyyjlxlHUnlPbxXQ5CvEn5dKxnu6tqrwHTJUVtIp0vnNp7ZaikWT07YXSOPZYh/qKIV&#13;&#10;jcGjL1BXIgi2d80fUG0jHXmqw4mkNqO6bqRKPaCbfPKum4edsCr1AnK8faHJ/z9YeXu4d6ypSn5W&#13;&#10;cGZEC402qg/sC/UMLvDTWb9A2oNFYujhh86j38MZ2+5r1zJHoDefQRb8EhvojyEdxD+/kB3BJZzz&#13;&#10;81me402JUDGbF8U0gmYDVsS0zoeviloWjZI7aJlAxeHGhyF1TInpnnRTXTdap0ucH3WpHTsIKK9D&#13;&#10;qhjgv2Vpw7qSz07PhmoNxc8HZG1QS+x86DBaod/2ianTsfstVc8gJfWNHr2V1w1qvRE+3AuHOYIT&#13;&#10;uxHucNSa8BYdLc525H7+zR/zIS+inHWYy5L7H3vhFGf6m4Hw5/l0Ggc5XaZnnwtc3NvI9m3E7NtL&#13;&#10;AgF5qi6ZMT/o0awdtY9YoXV8FSFhJN4ueRjNyzBsC1ZQqvU6JWF0rQg35sHKCD2KtekfhbNHuQJ0&#13;&#10;vqVxgsXinWpDbvzS0HofqG6SpJHngdUj/Rj7NBTHFY179faesl7/SFa/AAAA//8DAFBLAwQUAAYA&#13;&#10;CAAAACEA0+Orld8AAAANAQAADwAAAGRycy9kb3ducmV2LnhtbEyPwU7DMBBE70j9B2srcaNOUglC&#13;&#10;mk2FKHwATQ8c3dgkEfE6ip069OvZnuCyq9VoZt+U+8UO4mIm3ztCSDcJCEON0z21CKf6/SEH4YMi&#13;&#10;rQZHBuHHeNhXq7tSFdpF+jCXY2gFh5AvFEIXwlhI6ZvOWOU3bjTE2pebrAp8Tq3Uk4ocbgeZJcmj&#13;&#10;tKon/tCp0bx2pvk+zhbBv8UsWXy85nPdeVnb9vp5iIj36+Ww4/GyAxHMEv4ccOvA/FAx2NnNpL0Y&#13;&#10;ELbPjB8QnjLuxXp+22eELN2mIKtS/m9R/QIAAP//AwBQSwECLQAUAAYACAAAACEAtoM4kv4AAADh&#13;&#10;AQAAEwAAAAAAAAAAAAAAAAAAAAAAW0NvbnRlbnRfVHlwZXNdLnhtbFBLAQItABQABgAIAAAAIQA4&#13;&#10;/SH/1gAAAJQBAAALAAAAAAAAAAAAAAAAAC8BAABfcmVscy8ucmVsc1BLAQItABQABgAIAAAAIQDU&#13;&#10;AUHASwIAAJAEAAAOAAAAAAAAAAAAAAAAAC4CAABkcnMvZTJvRG9jLnhtbFBLAQItABQABgAIAAAA&#13;&#10;IQDT46uV3wAAAA0BAAAPAAAAAAAAAAAAAAAAAKUEAABkcnMvZG93bnJldi54bWxQSwUGAAAAAAQA&#13;&#10;BADzAAAAsQUAAAAA&#13;&#10;" fillcolor="white [3201]" stroked="f" strokeweight=".5pt">
                <v:textbox>
                  <w:txbxContent>
                    <w:p w:rsidR="000E198B" w:rsidRPr="000E198B" w:rsidRDefault="000E198B" w:rsidP="000E198B">
                      <w:pPr>
                        <w:rPr>
                          <w:rFonts w:ascii="Century Gothic" w:hAnsi="Century Gothic"/>
                        </w:rPr>
                      </w:pPr>
                      <w:r w:rsidRPr="000E198B">
                        <w:rPr>
                          <w:rFonts w:ascii="Century Gothic" w:hAnsi="Century Gothic"/>
                        </w:rPr>
                        <w:t>Pixels</w:t>
                      </w:r>
                    </w:p>
                  </w:txbxContent>
                </v:textbox>
              </v:shape>
            </w:pict>
          </mc:Fallback>
        </mc:AlternateContent>
      </w:r>
      <w:r w:rsidR="009317DC">
        <w:rPr>
          <w:rFonts w:ascii="Garamond" w:eastAsia="Garamond" w:hAnsi="Garamond" w:cs="Garamond"/>
        </w:rPr>
        <w:t xml:space="preserve">                </w:t>
      </w:r>
      <w:r w:rsidR="00EC60AB">
        <w:rPr>
          <w:rFonts w:ascii="Garamond" w:eastAsia="Garamond" w:hAnsi="Garamond" w:cs="Garamond"/>
          <w:noProof/>
        </w:rPr>
        <w:drawing>
          <wp:inline distT="114300" distB="114300" distL="114300" distR="114300">
            <wp:extent cx="3695700" cy="2352675"/>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b="47109"/>
                    <a:stretch>
                      <a:fillRect/>
                    </a:stretch>
                  </pic:blipFill>
                  <pic:spPr>
                    <a:xfrm>
                      <a:off x="0" y="0"/>
                      <a:ext cx="3695700" cy="2352675"/>
                    </a:xfrm>
                    <a:prstGeom prst="rect">
                      <a:avLst/>
                    </a:prstGeom>
                    <a:ln/>
                  </pic:spPr>
                </pic:pic>
              </a:graphicData>
            </a:graphic>
          </wp:inline>
        </w:drawing>
      </w:r>
      <w:r w:rsidR="00EC60AB">
        <w:rPr>
          <w:rFonts w:ascii="Garamond" w:eastAsia="Garamond" w:hAnsi="Garamond" w:cs="Garamond"/>
          <w:noProof/>
        </w:rPr>
        <w:drawing>
          <wp:inline distT="114300" distB="114300" distL="114300" distR="114300">
            <wp:extent cx="1457325" cy="1905000"/>
            <wp:effectExtent l="0" t="0" r="0" b="0"/>
            <wp:docPr id="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l="60567" t="57173"/>
                    <a:stretch>
                      <a:fillRect/>
                    </a:stretch>
                  </pic:blipFill>
                  <pic:spPr>
                    <a:xfrm>
                      <a:off x="0" y="0"/>
                      <a:ext cx="1457325" cy="1905000"/>
                    </a:xfrm>
                    <a:prstGeom prst="rect">
                      <a:avLst/>
                    </a:prstGeom>
                    <a:ln/>
                  </pic:spPr>
                </pic:pic>
              </a:graphicData>
            </a:graphic>
          </wp:inline>
        </w:drawing>
      </w:r>
    </w:p>
    <w:p w:rsidR="006557F0" w:rsidRDefault="00EC60AB" w:rsidP="000E198B">
      <w:pPr>
        <w:spacing w:before="200" w:after="0" w:line="240" w:lineRule="auto"/>
        <w:jc w:val="center"/>
        <w:rPr>
          <w:rFonts w:ascii="Garamond" w:eastAsia="Garamond" w:hAnsi="Garamond" w:cs="Garamond"/>
        </w:rPr>
      </w:pPr>
      <w:r>
        <w:rPr>
          <w:rFonts w:ascii="Garamond" w:eastAsia="Garamond" w:hAnsi="Garamond" w:cs="Garamond"/>
          <w:i/>
        </w:rPr>
        <w:t>Figure 6</w:t>
      </w:r>
      <w:r>
        <w:rPr>
          <w:rFonts w:ascii="Garamond" w:eastAsia="Garamond" w:hAnsi="Garamond" w:cs="Garamond"/>
        </w:rPr>
        <w:t xml:space="preserve">.  </w:t>
      </w:r>
      <w:proofErr w:type="gramStart"/>
      <w:r>
        <w:rPr>
          <w:rFonts w:ascii="Garamond" w:eastAsia="Garamond" w:hAnsi="Garamond" w:cs="Garamond"/>
        </w:rPr>
        <w:t>Amount</w:t>
      </w:r>
      <w:proofErr w:type="gramEnd"/>
      <w:r>
        <w:rPr>
          <w:rFonts w:ascii="Garamond" w:eastAsia="Garamond" w:hAnsi="Garamond" w:cs="Garamond"/>
        </w:rPr>
        <w:t xml:space="preserve"> of pixels classified as agricultural vegetation and pineapple land types for each of the five priority watersheds throughout the study period, displayed as pixel count </w:t>
      </w:r>
      <w:r w:rsidRPr="000E198B">
        <w:rPr>
          <w:rFonts w:ascii="Garamond" w:eastAsia="Cardo" w:hAnsi="Garamond" w:cs="Cardo"/>
        </w:rPr>
        <w:t xml:space="preserve">(from Landsat 4/5 </w:t>
      </w:r>
      <w:r w:rsidR="000E198B">
        <w:rPr>
          <w:rFonts w:ascii="Garamond" w:eastAsia="Cardo" w:hAnsi="Garamond" w:cs="Cardo"/>
        </w:rPr>
        <w:t>TM</w:t>
      </w:r>
      <w:r w:rsidRPr="000E198B">
        <w:rPr>
          <w:rFonts w:ascii="Garamond" w:eastAsia="Cardo" w:hAnsi="Garamond" w:cs="Cardo"/>
        </w:rPr>
        <w:t>, 7 ETM+, 8 OLI, 2005)</w:t>
      </w:r>
      <w:r>
        <w:rPr>
          <w:rFonts w:ascii="Garamond" w:eastAsia="Garamond" w:hAnsi="Garamond" w:cs="Garamond"/>
        </w:rPr>
        <w:t>. The trendline for each watershed consists of the moving average with a window of 2.</w:t>
      </w:r>
    </w:p>
    <w:p w:rsidR="006557F0" w:rsidRDefault="00EC60AB">
      <w:pPr>
        <w:spacing w:before="200" w:after="0" w:line="240" w:lineRule="auto"/>
        <w:rPr>
          <w:rFonts w:ascii="Garamond" w:eastAsia="Garamond" w:hAnsi="Garamond" w:cs="Garamond"/>
        </w:rPr>
      </w:pPr>
      <w:r>
        <w:rPr>
          <w:rFonts w:ascii="Garamond" w:eastAsia="Garamond" w:hAnsi="Garamond" w:cs="Garamond"/>
        </w:rPr>
        <w:t>These spatial trends, which show a majority of the sugarcane and pineapple agriculture collectively in the central and southern watersheds, can also be observed in the NDVI change map over the entirety of our study period from 1989 to 2019 (Fig</w:t>
      </w:r>
      <w:r w:rsidR="001F1B16">
        <w:rPr>
          <w:rFonts w:ascii="Garamond" w:eastAsia="Garamond" w:hAnsi="Garamond" w:cs="Garamond"/>
        </w:rPr>
        <w:t>ure</w:t>
      </w:r>
      <w:r>
        <w:rPr>
          <w:rFonts w:ascii="Garamond" w:eastAsia="Garamond" w:hAnsi="Garamond" w:cs="Garamond"/>
        </w:rPr>
        <w:t xml:space="preserve"> C1). In this map the highest changes in NDVI are located in the southern and central regions of the study area, indicating regions which were much higher in vegetation in 1989 than in 2019. These regions may reflect fields that were once planted with sugarcane and pineapple in 1989</w:t>
      </w:r>
      <w:r w:rsidR="001F1B16">
        <w:rPr>
          <w:rFonts w:ascii="Garamond" w:eastAsia="Garamond" w:hAnsi="Garamond" w:cs="Garamond"/>
        </w:rPr>
        <w:t>,</w:t>
      </w:r>
      <w:r>
        <w:rPr>
          <w:rFonts w:ascii="Garamond" w:eastAsia="Garamond" w:hAnsi="Garamond" w:cs="Garamond"/>
        </w:rPr>
        <w:t xml:space="preserve"> but </w:t>
      </w:r>
      <w:r w:rsidR="001F1B16">
        <w:rPr>
          <w:rFonts w:ascii="Garamond" w:eastAsia="Garamond" w:hAnsi="Garamond" w:cs="Garamond"/>
        </w:rPr>
        <w:t>were l</w:t>
      </w:r>
      <w:r>
        <w:rPr>
          <w:rFonts w:ascii="Garamond" w:eastAsia="Garamond" w:hAnsi="Garamond" w:cs="Garamond"/>
        </w:rPr>
        <w:t>eft to grow fallow after their disappearance. Regions classified as agricultural vegetation further north in the study area appear to have much less significant changes in NDVI and could reflect other agriculture that was not phased out, such as golf courses like the Kapalua Plantation Golf Course, that would likely survive</w:t>
      </w:r>
      <w:r w:rsidR="001F1B16">
        <w:rPr>
          <w:rFonts w:ascii="Garamond" w:eastAsia="Garamond" w:hAnsi="Garamond" w:cs="Garamond"/>
        </w:rPr>
        <w:t>.</w:t>
      </w:r>
    </w:p>
    <w:p w:rsidR="006557F0" w:rsidRDefault="00EC60AB">
      <w:pPr>
        <w:pBdr>
          <w:top w:val="nil"/>
          <w:left w:val="nil"/>
          <w:bottom w:val="nil"/>
          <w:right w:val="nil"/>
          <w:between w:val="nil"/>
        </w:pBdr>
        <w:spacing w:before="200" w:after="0" w:line="240" w:lineRule="auto"/>
        <w:rPr>
          <w:rFonts w:ascii="Garamond" w:eastAsia="Garamond" w:hAnsi="Garamond" w:cs="Garamond"/>
        </w:rPr>
      </w:pPr>
      <w:r>
        <w:rPr>
          <w:rFonts w:ascii="Garamond" w:eastAsia="Garamond" w:hAnsi="Garamond" w:cs="Garamond"/>
          <w:b/>
          <w:i/>
        </w:rPr>
        <w:t>4.2 Water Quality Results and Analysis</w:t>
      </w:r>
    </w:p>
    <w:p w:rsidR="006557F0" w:rsidRDefault="00EC60AB">
      <w:pPr>
        <w:spacing w:before="200" w:after="0" w:line="240" w:lineRule="auto"/>
        <w:rPr>
          <w:rFonts w:ascii="Garamond" w:eastAsia="Garamond" w:hAnsi="Garamond" w:cs="Garamond"/>
        </w:rPr>
      </w:pPr>
      <w:r>
        <w:rPr>
          <w:rFonts w:ascii="Garamond" w:eastAsia="Garamond" w:hAnsi="Garamond" w:cs="Garamond"/>
        </w:rPr>
        <w:t>The results of our water quality analysis for West Maui from 1989 to 2019 indicate that spatial variation is greatest within the first kilometer out from shore (Fig</w:t>
      </w:r>
      <w:r w:rsidR="00EF175D">
        <w:rPr>
          <w:rFonts w:ascii="Garamond" w:eastAsia="Garamond" w:hAnsi="Garamond" w:cs="Garamond"/>
        </w:rPr>
        <w:t>ure</w:t>
      </w:r>
      <w:r>
        <w:rPr>
          <w:rFonts w:ascii="Garamond" w:eastAsia="Garamond" w:hAnsi="Garamond" w:cs="Garamond"/>
        </w:rPr>
        <w:t xml:space="preserve"> 7). NDVI appears to be an inverse of turbidity, which suggests that turbid waters are also less green, characterized by lower </w:t>
      </w:r>
      <w:proofErr w:type="spellStart"/>
      <w:r>
        <w:rPr>
          <w:rFonts w:ascii="Garamond" w:eastAsia="Garamond" w:hAnsi="Garamond" w:cs="Garamond"/>
        </w:rPr>
        <w:t>chl</w:t>
      </w:r>
      <w:proofErr w:type="spellEnd"/>
      <w:r>
        <w:rPr>
          <w:rFonts w:ascii="Garamond" w:eastAsia="Garamond" w:hAnsi="Garamond" w:cs="Garamond"/>
        </w:rPr>
        <w:t xml:space="preserve">-a concentrations. The map of </w:t>
      </w:r>
      <w:proofErr w:type="spellStart"/>
      <w:proofErr w:type="gramStart"/>
      <w:r>
        <w:rPr>
          <w:rFonts w:ascii="Garamond" w:eastAsia="Garamond" w:hAnsi="Garamond" w:cs="Garamond"/>
        </w:rPr>
        <w:t>K</w:t>
      </w:r>
      <w:r>
        <w:rPr>
          <w:rFonts w:ascii="Garamond" w:eastAsia="Garamond" w:hAnsi="Garamond" w:cs="Garamond"/>
          <w:vertAlign w:val="subscript"/>
        </w:rPr>
        <w:t>d</w:t>
      </w:r>
      <w:proofErr w:type="spellEnd"/>
      <w:r>
        <w:rPr>
          <w:rFonts w:ascii="Garamond" w:eastAsia="Garamond" w:hAnsi="Garamond" w:cs="Garamond"/>
        </w:rPr>
        <w:t>(</w:t>
      </w:r>
      <w:proofErr w:type="gramEnd"/>
      <w:r>
        <w:rPr>
          <w:rFonts w:ascii="Garamond" w:eastAsia="Garamond" w:hAnsi="Garamond" w:cs="Garamond"/>
        </w:rPr>
        <w:t xml:space="preserve">PAR) reveals a pattern not seen in the other maps, in which light attenuation is greater adjacent to shore, drops down a short distance from there, and then rises again beyond 1 km out. The increase in </w:t>
      </w:r>
      <w:proofErr w:type="spellStart"/>
      <w:proofErr w:type="gramStart"/>
      <w:r>
        <w:rPr>
          <w:rFonts w:ascii="Garamond" w:eastAsia="Garamond" w:hAnsi="Garamond" w:cs="Garamond"/>
        </w:rPr>
        <w:t>K</w:t>
      </w:r>
      <w:r>
        <w:rPr>
          <w:rFonts w:ascii="Garamond" w:eastAsia="Garamond" w:hAnsi="Garamond" w:cs="Garamond"/>
          <w:vertAlign w:val="subscript"/>
        </w:rPr>
        <w:t>d</w:t>
      </w:r>
      <w:proofErr w:type="spellEnd"/>
      <w:r>
        <w:rPr>
          <w:rFonts w:ascii="Garamond" w:eastAsia="Garamond" w:hAnsi="Garamond" w:cs="Garamond"/>
        </w:rPr>
        <w:t>(</w:t>
      </w:r>
      <w:proofErr w:type="gramEnd"/>
      <w:r>
        <w:rPr>
          <w:rFonts w:ascii="Garamond" w:eastAsia="Garamond" w:hAnsi="Garamond" w:cs="Garamond"/>
        </w:rPr>
        <w:t>PAR) (decrease in clarity) far from shore may be explained by the bathymetry of the area, the ocean current that flows between islands, or a different physical, chemical, or biological feature that influences ocean color.</w:t>
      </w:r>
    </w:p>
    <w:p w:rsidR="006557F0" w:rsidRDefault="00EC60AB">
      <w:pPr>
        <w:spacing w:before="200" w:after="0" w:line="240" w:lineRule="auto"/>
        <w:rPr>
          <w:rFonts w:ascii="Garamond" w:eastAsia="Garamond" w:hAnsi="Garamond" w:cs="Garamond"/>
        </w:rPr>
      </w:pPr>
      <w:r>
        <w:rPr>
          <w:rFonts w:ascii="Garamond" w:eastAsia="Garamond" w:hAnsi="Garamond" w:cs="Garamond"/>
        </w:rPr>
        <w:lastRenderedPageBreak/>
        <w:t xml:space="preserve"> </w:t>
      </w:r>
      <w:r>
        <w:rPr>
          <w:rFonts w:ascii="Garamond" w:eastAsia="Garamond" w:hAnsi="Garamond" w:cs="Garamond"/>
          <w:noProof/>
        </w:rPr>
        <w:drawing>
          <wp:inline distT="114300" distB="114300" distL="114300" distR="114300">
            <wp:extent cx="5885329" cy="2562225"/>
            <wp:effectExtent l="0" t="0" r="0" b="0"/>
            <wp:docPr id="2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5885329" cy="2562225"/>
                    </a:xfrm>
                    <a:prstGeom prst="rect">
                      <a:avLst/>
                    </a:prstGeom>
                    <a:ln/>
                  </pic:spPr>
                </pic:pic>
              </a:graphicData>
            </a:graphic>
          </wp:inline>
        </w:drawing>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a.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b.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c.</w:t>
      </w:r>
    </w:p>
    <w:p w:rsidR="006557F0" w:rsidRDefault="00EC60AB">
      <w:pPr>
        <w:spacing w:before="200" w:after="0" w:line="240" w:lineRule="auto"/>
        <w:jc w:val="center"/>
        <w:rPr>
          <w:rFonts w:ascii="Garamond" w:eastAsia="Garamond" w:hAnsi="Garamond" w:cs="Garamond"/>
        </w:rPr>
      </w:pPr>
      <w:r>
        <w:rPr>
          <w:rFonts w:ascii="Garamond" w:eastAsia="Garamond" w:hAnsi="Garamond" w:cs="Garamond"/>
          <w:i/>
        </w:rPr>
        <w:t xml:space="preserve">Figure 7. </w:t>
      </w:r>
      <w:r>
        <w:rPr>
          <w:rFonts w:ascii="Garamond" w:eastAsia="Garamond" w:hAnsi="Garamond" w:cs="Garamond"/>
        </w:rPr>
        <w:t xml:space="preserve">TIME Tool outputs for (a) turbidity (FNU), (b) </w:t>
      </w:r>
      <w:proofErr w:type="spellStart"/>
      <w:proofErr w:type="gramStart"/>
      <w:r>
        <w:rPr>
          <w:rFonts w:ascii="Garamond" w:eastAsia="Garamond" w:hAnsi="Garamond" w:cs="Garamond"/>
        </w:rPr>
        <w:t>K</w:t>
      </w:r>
      <w:r>
        <w:rPr>
          <w:rFonts w:ascii="Garamond" w:eastAsia="Garamond" w:hAnsi="Garamond" w:cs="Garamond"/>
          <w:vertAlign w:val="subscript"/>
        </w:rPr>
        <w:t>d</w:t>
      </w:r>
      <w:proofErr w:type="spellEnd"/>
      <w:r>
        <w:rPr>
          <w:rFonts w:ascii="Garamond" w:eastAsia="Garamond" w:hAnsi="Garamond" w:cs="Garamond"/>
        </w:rPr>
        <w:t>(</w:t>
      </w:r>
      <w:proofErr w:type="gramEnd"/>
      <w:r>
        <w:rPr>
          <w:rFonts w:ascii="Garamond" w:eastAsia="Garamond" w:hAnsi="Garamond" w:cs="Garamond"/>
        </w:rPr>
        <w:t>PAR), and (c) NDCI on February 10th, 2014 (Landsat 8 OLI).</w:t>
      </w:r>
    </w:p>
    <w:p w:rsidR="006557F0" w:rsidRDefault="00EC60AB">
      <w:pPr>
        <w:spacing w:before="200" w:after="0" w:line="240" w:lineRule="auto"/>
        <w:rPr>
          <w:rFonts w:ascii="Garamond" w:eastAsia="Garamond" w:hAnsi="Garamond" w:cs="Garamond"/>
        </w:rPr>
      </w:pPr>
      <w:r>
        <w:rPr>
          <w:rFonts w:ascii="Garamond" w:eastAsia="Garamond" w:hAnsi="Garamond" w:cs="Garamond"/>
        </w:rPr>
        <w:t>The patterns seen here generally coincide with the locations of coral reefs. This warrants a note of caution that benthic reflectance of the reefs could be skewing the water quality algorithm outputs. For example, our TIME Tool may detect high turbidity when in fact the high values may be attributed to reflectance off the coral reefs themselves. Water quality data were extracted from the TIME Tool for D.T. Fleming Park, where no reefs are present, and for Kaanapali Shores, where a coral reef is present and may contribute to benthic reflectance (Fig</w:t>
      </w:r>
      <w:r w:rsidR="00EF175D">
        <w:rPr>
          <w:rFonts w:ascii="Garamond" w:eastAsia="Garamond" w:hAnsi="Garamond" w:cs="Garamond"/>
        </w:rPr>
        <w:t>ure</w:t>
      </w:r>
      <w:r>
        <w:rPr>
          <w:rFonts w:ascii="Garamond" w:eastAsia="Garamond" w:hAnsi="Garamond" w:cs="Garamond"/>
        </w:rPr>
        <w:t xml:space="preserve"> 8). Both sites are located where streams flow into the ocean. Visual analysis of the 2017 data reveals similar value ranges for both locations.</w:t>
      </w:r>
    </w:p>
    <w:p w:rsidR="006557F0" w:rsidRDefault="00EC60AB">
      <w:pPr>
        <w:spacing w:before="200" w:after="0" w:line="240" w:lineRule="auto"/>
        <w:rPr>
          <w:rFonts w:ascii="Garamond" w:eastAsia="Garamond" w:hAnsi="Garamond" w:cs="Garamond"/>
        </w:rPr>
      </w:pPr>
      <w:r>
        <w:rPr>
          <w:rFonts w:ascii="Garamond" w:eastAsia="Garamond" w:hAnsi="Garamond" w:cs="Garamond"/>
          <w:noProof/>
        </w:rPr>
        <w:drawing>
          <wp:inline distT="114300" distB="114300" distL="114300" distR="114300">
            <wp:extent cx="5943600" cy="2857500"/>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5943600" cy="2857500"/>
                    </a:xfrm>
                    <a:prstGeom prst="rect">
                      <a:avLst/>
                    </a:prstGeom>
                    <a:ln/>
                  </pic:spPr>
                </pic:pic>
              </a:graphicData>
            </a:graphic>
          </wp:inline>
        </w:drawing>
      </w:r>
    </w:p>
    <w:p w:rsidR="006557F0" w:rsidRDefault="00EC60AB">
      <w:pPr>
        <w:spacing w:before="200" w:after="0" w:line="240" w:lineRule="auto"/>
        <w:jc w:val="center"/>
        <w:rPr>
          <w:rFonts w:ascii="Garamond" w:eastAsia="Garamond" w:hAnsi="Garamond" w:cs="Garamond"/>
        </w:rPr>
      </w:pPr>
      <w:r>
        <w:rPr>
          <w:rFonts w:ascii="Garamond" w:eastAsia="Garamond" w:hAnsi="Garamond" w:cs="Garamond"/>
          <w:i/>
        </w:rPr>
        <w:t xml:space="preserve">Figure 8. </w:t>
      </w:r>
      <w:r>
        <w:rPr>
          <w:rFonts w:ascii="Garamond" w:eastAsia="Garamond" w:hAnsi="Garamond" w:cs="Garamond"/>
        </w:rPr>
        <w:t xml:space="preserve">2016 Time series of model-derived turbidity (FNU), </w:t>
      </w:r>
      <w:proofErr w:type="spellStart"/>
      <w:proofErr w:type="gramStart"/>
      <w:r>
        <w:rPr>
          <w:rFonts w:ascii="Garamond" w:eastAsia="Garamond" w:hAnsi="Garamond" w:cs="Garamond"/>
        </w:rPr>
        <w:t>K</w:t>
      </w:r>
      <w:r>
        <w:rPr>
          <w:rFonts w:ascii="Garamond" w:eastAsia="Garamond" w:hAnsi="Garamond" w:cs="Garamond"/>
          <w:vertAlign w:val="subscript"/>
        </w:rPr>
        <w:t>d</w:t>
      </w:r>
      <w:proofErr w:type="spellEnd"/>
      <w:r>
        <w:rPr>
          <w:rFonts w:ascii="Garamond" w:eastAsia="Garamond" w:hAnsi="Garamond" w:cs="Garamond"/>
        </w:rPr>
        <w:t>(</w:t>
      </w:r>
      <w:proofErr w:type="gramEnd"/>
      <w:r>
        <w:rPr>
          <w:rFonts w:ascii="Garamond" w:eastAsia="Garamond" w:hAnsi="Garamond" w:cs="Garamond"/>
        </w:rPr>
        <w:t>PAR), and NDCI at (a) the D.T. Fleming Park sample site where no reefs are present and (b) the Kaanapali Shores sample site where a coral reef is present.</w:t>
      </w:r>
    </w:p>
    <w:p w:rsidR="006557F0" w:rsidRDefault="003C0520">
      <w:pPr>
        <w:spacing w:before="200" w:after="0" w:line="240" w:lineRule="auto"/>
        <w:rPr>
          <w:rFonts w:ascii="Garamond" w:eastAsia="Garamond" w:hAnsi="Garamond" w:cs="Garamond"/>
        </w:rPr>
      </w:pPr>
      <w:r>
        <w:rPr>
          <w:rFonts w:ascii="Garamond" w:eastAsia="Garamond" w:hAnsi="Garamond" w:cs="Garamond"/>
          <w:noProof/>
        </w:rPr>
        <w:lastRenderedPageBreak/>
        <w:drawing>
          <wp:anchor distT="0" distB="0" distL="114300" distR="114300" simplePos="0" relativeHeight="251664384" behindDoc="1" locked="0" layoutInCell="1" allowOverlap="1">
            <wp:simplePos x="0" y="0"/>
            <wp:positionH relativeFrom="column">
              <wp:posOffset>4070985</wp:posOffset>
            </wp:positionH>
            <wp:positionV relativeFrom="paragraph">
              <wp:posOffset>254</wp:posOffset>
            </wp:positionV>
            <wp:extent cx="1768415" cy="1561381"/>
            <wp:effectExtent l="0" t="0" r="0" b="1270"/>
            <wp:wrapTight wrapText="bothSides">
              <wp:wrapPolygon edited="0">
                <wp:start x="0" y="0"/>
                <wp:lineTo x="0" y="21442"/>
                <wp:lineTo x="21414" y="21442"/>
                <wp:lineTo x="21414" y="0"/>
                <wp:lineTo x="0" y="0"/>
              </wp:wrapPolygon>
            </wp:wrapTight>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extLst>
                        <a:ext uri="{28A0092B-C50C-407E-A947-70E740481C1C}">
                          <a14:useLocalDpi xmlns:a14="http://schemas.microsoft.com/office/drawing/2010/main" val="0"/>
                        </a:ext>
                      </a:extLst>
                    </a:blip>
                    <a:srcRect t="4680"/>
                    <a:stretch>
                      <a:fillRect/>
                    </a:stretch>
                  </pic:blipFill>
                  <pic:spPr>
                    <a:xfrm>
                      <a:off x="0" y="0"/>
                      <a:ext cx="1768415" cy="1561381"/>
                    </a:xfrm>
                    <a:prstGeom prst="rect">
                      <a:avLst/>
                    </a:prstGeom>
                    <a:ln/>
                  </pic:spPr>
                </pic:pic>
              </a:graphicData>
            </a:graphic>
            <wp14:sizeRelH relativeFrom="page">
              <wp14:pctWidth>0</wp14:pctWidth>
            </wp14:sizeRelH>
            <wp14:sizeRelV relativeFrom="page">
              <wp14:pctHeight>0</wp14:pctHeight>
            </wp14:sizeRelV>
          </wp:anchor>
        </w:drawing>
      </w:r>
      <w:r w:rsidR="00EC60AB">
        <w:rPr>
          <w:rFonts w:ascii="Garamond" w:eastAsia="Garamond" w:hAnsi="Garamond" w:cs="Garamond"/>
          <w:i/>
        </w:rPr>
        <w:t xml:space="preserve">In situ </w:t>
      </w:r>
      <w:r w:rsidR="00EC60AB">
        <w:rPr>
          <w:rFonts w:ascii="Garamond" w:eastAsia="Garamond" w:hAnsi="Garamond" w:cs="Garamond"/>
        </w:rPr>
        <w:t xml:space="preserve">turbidity data from the Hui O Ka Wai Ola citizen science dataset were used to assess the accuracy of turbidity values extracted from the satellite imagery model. The </w:t>
      </w:r>
      <w:proofErr w:type="gramStart"/>
      <w:r w:rsidR="00EC60AB">
        <w:rPr>
          <w:rFonts w:ascii="Garamond" w:eastAsia="Garamond" w:hAnsi="Garamond" w:cs="Garamond"/>
          <w:i/>
        </w:rPr>
        <w:t>in situ</w:t>
      </w:r>
      <w:proofErr w:type="gramEnd"/>
      <w:r w:rsidR="00EC60AB">
        <w:rPr>
          <w:rFonts w:ascii="Garamond" w:eastAsia="Garamond" w:hAnsi="Garamond" w:cs="Garamond"/>
        </w:rPr>
        <w:t xml:space="preserve"> data were matched to model outputs values from imagery collected within three days of the</w:t>
      </w:r>
      <w:r w:rsidR="00EC60AB">
        <w:rPr>
          <w:rFonts w:ascii="Garamond" w:eastAsia="Garamond" w:hAnsi="Garamond" w:cs="Garamond"/>
          <w:i/>
        </w:rPr>
        <w:t xml:space="preserve"> in situ </w:t>
      </w:r>
      <w:r w:rsidR="00EC60AB">
        <w:rPr>
          <w:rFonts w:ascii="Garamond" w:eastAsia="Garamond" w:hAnsi="Garamond" w:cs="Garamond"/>
        </w:rPr>
        <w:t>sampling. Once the correct data were extracted, we compared the value range and distribution of the two datasets (Fig</w:t>
      </w:r>
      <w:r w:rsidR="00EF175D">
        <w:rPr>
          <w:rFonts w:ascii="Garamond" w:eastAsia="Garamond" w:hAnsi="Garamond" w:cs="Garamond"/>
        </w:rPr>
        <w:t>ure</w:t>
      </w:r>
      <w:r w:rsidR="00EC60AB">
        <w:rPr>
          <w:rFonts w:ascii="Garamond" w:eastAsia="Garamond" w:hAnsi="Garamond" w:cs="Garamond"/>
        </w:rPr>
        <w:t xml:space="preserve"> 9). These values were also analyzed alongside long-term patterns of precipitation, seasonality, and disturbance.</w:t>
      </w:r>
      <w:r w:rsidR="00DA1FFF">
        <w:rPr>
          <w:rFonts w:ascii="Garamond" w:eastAsia="Garamond" w:hAnsi="Garamond" w:cs="Garamond"/>
        </w:rPr>
        <w:t xml:space="preserve"> </w:t>
      </w:r>
      <w:r w:rsidR="00DA1FFF">
        <w:rPr>
          <w:rFonts w:ascii="Garamond" w:eastAsia="Garamond" w:hAnsi="Garamond" w:cs="Garamond"/>
        </w:rPr>
        <w:t xml:space="preserve">The maximum </w:t>
      </w:r>
      <w:r w:rsidR="00DA1FFF" w:rsidRPr="009317DC">
        <w:rPr>
          <w:rFonts w:ascii="Garamond" w:eastAsia="Garamond" w:hAnsi="Garamond" w:cs="Garamond"/>
          <w:i/>
        </w:rPr>
        <w:t>in situ</w:t>
      </w:r>
      <w:r w:rsidR="00DA1FFF">
        <w:rPr>
          <w:rFonts w:ascii="Garamond" w:eastAsia="Garamond" w:hAnsi="Garamond" w:cs="Garamond"/>
        </w:rPr>
        <w:t xml:space="preserve"> value is 160 NTU and the maximum model-derived value is 241 NTU for this timeframe.</w:t>
      </w:r>
    </w:p>
    <w:p w:rsidR="00EF175D" w:rsidRDefault="00EF175D" w:rsidP="00DA1FFF">
      <w:pPr>
        <w:spacing w:before="200" w:after="0" w:line="240" w:lineRule="auto"/>
        <w:rPr>
          <w:rFonts w:ascii="Garamond" w:eastAsia="Garamond" w:hAnsi="Garamond" w:cs="Garamond"/>
          <w:i/>
        </w:rPr>
      </w:pPr>
    </w:p>
    <w:p w:rsidR="00DA1FFF" w:rsidRDefault="00EC60AB" w:rsidP="00DA1FFF">
      <w:pPr>
        <w:spacing w:before="200" w:after="0" w:line="240" w:lineRule="auto"/>
        <w:contextualSpacing/>
        <w:jc w:val="center"/>
        <w:rPr>
          <w:rFonts w:ascii="Garamond" w:eastAsia="Garamond" w:hAnsi="Garamond" w:cs="Garamond"/>
        </w:rPr>
      </w:pPr>
      <w:r>
        <w:rPr>
          <w:rFonts w:ascii="Garamond" w:eastAsia="Garamond" w:hAnsi="Garamond" w:cs="Garamond"/>
          <w:i/>
        </w:rPr>
        <w:t xml:space="preserve">Figure 9. </w:t>
      </w:r>
      <w:r>
        <w:rPr>
          <w:rFonts w:ascii="Garamond" w:eastAsia="Garamond" w:hAnsi="Garamond" w:cs="Garamond"/>
        </w:rPr>
        <w:t xml:space="preserve">Box and whisker plot summarizing 509 </w:t>
      </w:r>
      <w:r w:rsidRPr="009317DC">
        <w:rPr>
          <w:rFonts w:ascii="Garamond" w:eastAsia="Garamond" w:hAnsi="Garamond" w:cs="Garamond"/>
          <w:i/>
        </w:rPr>
        <w:t>in situ</w:t>
      </w:r>
      <w:r>
        <w:rPr>
          <w:rFonts w:ascii="Garamond" w:eastAsia="Garamond" w:hAnsi="Garamond" w:cs="Garamond"/>
        </w:rPr>
        <w:t xml:space="preserve"> and 1,112 model-derived turbidity values from January 2016 to October 2019. Note that outliers extend beyond the plot limits, with 14 additional </w:t>
      </w:r>
      <w:r w:rsidRPr="009317DC">
        <w:rPr>
          <w:rFonts w:ascii="Garamond" w:eastAsia="Garamond" w:hAnsi="Garamond" w:cs="Garamond"/>
          <w:i/>
        </w:rPr>
        <w:t>in situ</w:t>
      </w:r>
      <w:r>
        <w:rPr>
          <w:rFonts w:ascii="Garamond" w:eastAsia="Garamond" w:hAnsi="Garamond" w:cs="Garamond"/>
        </w:rPr>
        <w:t xml:space="preserve"> values and 18 additional model output values.</w:t>
      </w:r>
    </w:p>
    <w:p w:rsidR="00DA1FFF" w:rsidRDefault="00DA1FFF" w:rsidP="00DA1FFF">
      <w:pPr>
        <w:spacing w:before="200" w:after="0" w:line="240" w:lineRule="auto"/>
        <w:contextualSpacing/>
        <w:jc w:val="center"/>
        <w:rPr>
          <w:rFonts w:ascii="Garamond" w:eastAsia="Garamond" w:hAnsi="Garamond" w:cs="Garamond"/>
        </w:rPr>
      </w:pPr>
    </w:p>
    <w:p w:rsidR="006557F0" w:rsidRDefault="00EC60AB">
      <w:pPr>
        <w:pBdr>
          <w:top w:val="nil"/>
          <w:left w:val="nil"/>
          <w:bottom w:val="nil"/>
          <w:right w:val="nil"/>
          <w:between w:val="nil"/>
        </w:pBdr>
        <w:spacing w:before="200" w:after="0" w:line="240" w:lineRule="auto"/>
        <w:rPr>
          <w:rFonts w:ascii="Garamond" w:eastAsia="Garamond" w:hAnsi="Garamond" w:cs="Garamond"/>
        </w:rPr>
      </w:pPr>
      <w:r>
        <w:rPr>
          <w:rFonts w:ascii="Garamond" w:eastAsia="Garamond" w:hAnsi="Garamond" w:cs="Garamond"/>
          <w:b/>
          <w:i/>
        </w:rPr>
        <w:t>4.3 Trend Analysi</w:t>
      </w:r>
      <w:r>
        <w:rPr>
          <w:rFonts w:ascii="Garamond" w:eastAsia="Garamond" w:hAnsi="Garamond" w:cs="Garamond"/>
        </w:rPr>
        <w:t>s</w:t>
      </w:r>
    </w:p>
    <w:p w:rsidR="006557F0" w:rsidRDefault="00EC60AB">
      <w:pPr>
        <w:spacing w:before="200" w:after="0" w:line="240" w:lineRule="auto"/>
        <w:rPr>
          <w:rFonts w:ascii="Garamond" w:eastAsia="Garamond" w:hAnsi="Garamond" w:cs="Garamond"/>
        </w:rPr>
      </w:pPr>
      <w:r>
        <w:rPr>
          <w:rFonts w:ascii="Garamond" w:eastAsia="Garamond" w:hAnsi="Garamond" w:cs="Garamond"/>
        </w:rPr>
        <w:t>Temporal patterns were sought out between the monitored parameters and turbidity to understand potential relationships. Agricultural vegetation cover increased after 2000</w:t>
      </w:r>
      <w:r w:rsidR="00DA1FFF">
        <w:rPr>
          <w:rFonts w:ascii="Garamond" w:eastAsia="Garamond" w:hAnsi="Garamond" w:cs="Garamond"/>
        </w:rPr>
        <w:t>;</w:t>
      </w:r>
      <w:r>
        <w:rPr>
          <w:rFonts w:ascii="Garamond" w:eastAsia="Garamond" w:hAnsi="Garamond" w:cs="Garamond"/>
        </w:rPr>
        <w:t xml:space="preserve"> however</w:t>
      </w:r>
      <w:r w:rsidR="00DA1FFF">
        <w:rPr>
          <w:rFonts w:ascii="Garamond" w:eastAsia="Garamond" w:hAnsi="Garamond" w:cs="Garamond"/>
        </w:rPr>
        <w:t>,</w:t>
      </w:r>
      <w:r>
        <w:rPr>
          <w:rFonts w:ascii="Garamond" w:eastAsia="Garamond" w:hAnsi="Garamond" w:cs="Garamond"/>
        </w:rPr>
        <w:t xml:space="preserve"> </w:t>
      </w:r>
      <w:r w:rsidR="00DA1FFF">
        <w:rPr>
          <w:rFonts w:ascii="Garamond" w:eastAsia="Garamond" w:hAnsi="Garamond" w:cs="Garamond"/>
        </w:rPr>
        <w:t>this increase is</w:t>
      </w:r>
      <w:r>
        <w:rPr>
          <w:rFonts w:ascii="Garamond" w:eastAsia="Garamond" w:hAnsi="Garamond" w:cs="Garamond"/>
        </w:rPr>
        <w:t xml:space="preserve"> not strongly correlated with changes in water quality. Sea surface</w:t>
      </w:r>
      <w:r w:rsidR="00DA1FFF">
        <w:rPr>
          <w:rFonts w:ascii="Garamond" w:eastAsia="Garamond" w:hAnsi="Garamond" w:cs="Garamond"/>
        </w:rPr>
        <w:t xml:space="preserve"> temperature</w:t>
      </w:r>
      <w:r>
        <w:rPr>
          <w:rFonts w:ascii="Garamond" w:eastAsia="Garamond" w:hAnsi="Garamond" w:cs="Garamond"/>
        </w:rPr>
        <w:t xml:space="preserve"> was higher than average in certain years throughout the study period</w:t>
      </w:r>
      <w:r w:rsidR="00DA1FFF">
        <w:rPr>
          <w:rFonts w:ascii="Garamond" w:eastAsia="Garamond" w:hAnsi="Garamond" w:cs="Garamond"/>
        </w:rPr>
        <w:t>, but</w:t>
      </w:r>
      <w:r>
        <w:rPr>
          <w:rFonts w:ascii="Garamond" w:eastAsia="Garamond" w:hAnsi="Garamond" w:cs="Garamond"/>
        </w:rPr>
        <w:t xml:space="preserve"> did not exhibit a significant relationship with turbidity. Of the included variables in this system, precipitation had a significant relationship with turbidity. </w:t>
      </w:r>
    </w:p>
    <w:p w:rsidR="00C93A5A" w:rsidRDefault="00EC60AB" w:rsidP="00C93A5A">
      <w:pPr>
        <w:spacing w:before="200" w:after="0" w:line="240" w:lineRule="auto"/>
        <w:rPr>
          <w:rFonts w:ascii="Garamond" w:eastAsia="Garamond" w:hAnsi="Garamond" w:cs="Garamond"/>
        </w:rPr>
      </w:pPr>
      <w:r>
        <w:rPr>
          <w:rFonts w:ascii="Garamond" w:eastAsia="Garamond" w:hAnsi="Garamond" w:cs="Garamond"/>
        </w:rPr>
        <w:t xml:space="preserve">The relationship between turbidity and precipitation was explored by comparing the model-derived turbidity, and </w:t>
      </w:r>
      <w:proofErr w:type="spellStart"/>
      <w:r>
        <w:rPr>
          <w:rFonts w:ascii="Garamond" w:eastAsia="Garamond" w:hAnsi="Garamond" w:cs="Garamond"/>
        </w:rPr>
        <w:t>Daymet</w:t>
      </w:r>
      <w:proofErr w:type="spellEnd"/>
      <w:r>
        <w:rPr>
          <w:rFonts w:ascii="Garamond" w:eastAsia="Garamond" w:hAnsi="Garamond" w:cs="Garamond"/>
        </w:rPr>
        <w:t xml:space="preserve"> V3 precipitation values averaged regionally, as well as </w:t>
      </w:r>
      <w:r>
        <w:rPr>
          <w:rFonts w:ascii="Garamond" w:eastAsia="Garamond" w:hAnsi="Garamond" w:cs="Garamond"/>
          <w:i/>
        </w:rPr>
        <w:t xml:space="preserve">in situ </w:t>
      </w:r>
      <w:r>
        <w:rPr>
          <w:rFonts w:ascii="Garamond" w:eastAsia="Garamond" w:hAnsi="Garamond" w:cs="Garamond"/>
        </w:rPr>
        <w:t xml:space="preserve">turbidity collected at sample sites and rain gage data collected near Kapalua Airport. </w:t>
      </w:r>
      <w:r w:rsidR="00DA1FFF">
        <w:rPr>
          <w:rFonts w:ascii="Garamond" w:eastAsia="Garamond" w:hAnsi="Garamond" w:cs="Garamond"/>
        </w:rPr>
        <w:t xml:space="preserve">We would </w:t>
      </w:r>
      <w:r>
        <w:rPr>
          <w:rFonts w:ascii="Garamond" w:eastAsia="Garamond" w:hAnsi="Garamond" w:cs="Garamond"/>
        </w:rPr>
        <w:t xml:space="preserve">expect precipitation and turbidity to be correlated. </w:t>
      </w:r>
      <w:r w:rsidR="00DA1FFF">
        <w:rPr>
          <w:rFonts w:ascii="Garamond" w:eastAsia="Garamond" w:hAnsi="Garamond" w:cs="Garamond"/>
        </w:rPr>
        <w:t>A</w:t>
      </w:r>
      <w:r>
        <w:rPr>
          <w:rFonts w:ascii="Garamond" w:eastAsia="Garamond" w:hAnsi="Garamond" w:cs="Garamond"/>
        </w:rPr>
        <w:t>s mentioned before, precipitation in the upper watershed will affect the water quality in the lower watershed and the coastline. Remotely sensed precipitation was a strong predictor of turbidity (</w:t>
      </w:r>
      <w:r>
        <w:rPr>
          <w:rFonts w:ascii="Garamond" w:eastAsia="Garamond" w:hAnsi="Garamond" w:cs="Garamond"/>
          <w:i/>
        </w:rPr>
        <w:t>p = 0.02</w:t>
      </w:r>
      <w:r>
        <w:rPr>
          <w:rFonts w:ascii="Garamond" w:eastAsia="Garamond" w:hAnsi="Garamond" w:cs="Garamond"/>
        </w:rPr>
        <w:t xml:space="preserve">), and </w:t>
      </w:r>
      <w:r>
        <w:rPr>
          <w:rFonts w:ascii="Garamond" w:eastAsia="Garamond" w:hAnsi="Garamond" w:cs="Garamond"/>
          <w:i/>
        </w:rPr>
        <w:t xml:space="preserve">in situ </w:t>
      </w:r>
      <w:r>
        <w:rPr>
          <w:rFonts w:ascii="Garamond" w:eastAsia="Garamond" w:hAnsi="Garamond" w:cs="Garamond"/>
        </w:rPr>
        <w:t>precipitation was a strong predictor of turbidity (</w:t>
      </w:r>
      <w:r>
        <w:rPr>
          <w:rFonts w:ascii="Garamond" w:eastAsia="Garamond" w:hAnsi="Garamond" w:cs="Garamond"/>
          <w:i/>
        </w:rPr>
        <w:t>p = 0.0007</w:t>
      </w:r>
      <w:r>
        <w:rPr>
          <w:rFonts w:ascii="Garamond" w:eastAsia="Garamond" w:hAnsi="Garamond" w:cs="Garamond"/>
        </w:rPr>
        <w:t xml:space="preserve">). As seen in Figure 10, high monthly averages of precipitation correlate with high turbidity values compared to the previous month. Lag time was also seen where turbidity increased after precipitation increased. </w:t>
      </w:r>
    </w:p>
    <w:p w:rsidR="006557F0" w:rsidRDefault="00EC60AB" w:rsidP="00C93A5A">
      <w:pPr>
        <w:spacing w:before="200"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4305300" cy="2314575"/>
            <wp:effectExtent l="0" t="0" r="0" b="9525"/>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4305859" cy="2314876"/>
                    </a:xfrm>
                    <a:prstGeom prst="rect">
                      <a:avLst/>
                    </a:prstGeom>
                    <a:ln/>
                  </pic:spPr>
                </pic:pic>
              </a:graphicData>
            </a:graphic>
          </wp:inline>
        </w:drawing>
      </w:r>
    </w:p>
    <w:p w:rsidR="006557F0" w:rsidRDefault="00EC60AB">
      <w:pPr>
        <w:spacing w:before="200" w:after="0" w:line="240" w:lineRule="auto"/>
        <w:jc w:val="center"/>
        <w:rPr>
          <w:rFonts w:ascii="Garamond" w:eastAsia="Garamond" w:hAnsi="Garamond" w:cs="Garamond"/>
        </w:rPr>
      </w:pPr>
      <w:r>
        <w:rPr>
          <w:rFonts w:ascii="Garamond" w:eastAsia="Garamond" w:hAnsi="Garamond" w:cs="Garamond"/>
          <w:i/>
        </w:rPr>
        <w:t xml:space="preserve">Figure 10. </w:t>
      </w:r>
      <w:r>
        <w:rPr>
          <w:rFonts w:ascii="Garamond" w:eastAsia="Garamond" w:hAnsi="Garamond" w:cs="Garamond"/>
        </w:rPr>
        <w:t xml:space="preserve">Model-derived precipitation over the </w:t>
      </w:r>
      <w:proofErr w:type="spellStart"/>
      <w:r>
        <w:rPr>
          <w:rFonts w:ascii="Garamond" w:eastAsia="Garamond" w:hAnsi="Garamond" w:cs="Garamond"/>
        </w:rPr>
        <w:t>Kahana</w:t>
      </w:r>
      <w:proofErr w:type="spellEnd"/>
      <w:r>
        <w:rPr>
          <w:rFonts w:ascii="Garamond" w:eastAsia="Garamond" w:hAnsi="Garamond" w:cs="Garamond"/>
        </w:rPr>
        <w:t xml:space="preserve"> watershed and turbidity from Kapalua Bay 2016-2019</w:t>
      </w:r>
      <w:r w:rsidR="00DA1FFF">
        <w:rPr>
          <w:rFonts w:ascii="Garamond" w:eastAsia="Garamond" w:hAnsi="Garamond" w:cs="Garamond"/>
        </w:rPr>
        <w:t>.</w:t>
      </w:r>
    </w:p>
    <w:p w:rsidR="006557F0" w:rsidRDefault="00C93A5A">
      <w:pPr>
        <w:spacing w:before="200" w:after="0" w:line="240" w:lineRule="auto"/>
        <w:rPr>
          <w:rFonts w:ascii="Garamond" w:eastAsia="Garamond" w:hAnsi="Garamond" w:cs="Garamond"/>
        </w:rPr>
      </w:pPr>
      <w:r>
        <w:rPr>
          <w:rFonts w:ascii="Garamond" w:eastAsia="Garamond" w:hAnsi="Garamond" w:cs="Garamond"/>
          <w:noProof/>
        </w:rPr>
        <w:lastRenderedPageBreak/>
        <w:drawing>
          <wp:anchor distT="0" distB="0" distL="114300" distR="114300" simplePos="0" relativeHeight="251663360" behindDoc="1" locked="0" layoutInCell="1" allowOverlap="1">
            <wp:simplePos x="0" y="0"/>
            <wp:positionH relativeFrom="margin">
              <wp:align>right</wp:align>
            </wp:positionH>
            <wp:positionV relativeFrom="paragraph">
              <wp:posOffset>48895</wp:posOffset>
            </wp:positionV>
            <wp:extent cx="2952750" cy="2047875"/>
            <wp:effectExtent l="0" t="0" r="0" b="9525"/>
            <wp:wrapTight wrapText="bothSides">
              <wp:wrapPolygon edited="0">
                <wp:start x="0" y="0"/>
                <wp:lineTo x="0" y="21500"/>
                <wp:lineTo x="21461" y="21500"/>
                <wp:lineTo x="21461" y="0"/>
                <wp:lineTo x="0" y="0"/>
              </wp:wrapPolygon>
            </wp:wrapTight>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rotWithShape="1">
                    <a:blip r:embed="rId21">
                      <a:extLst>
                        <a:ext uri="{28A0092B-C50C-407E-A947-70E740481C1C}">
                          <a14:useLocalDpi xmlns:a14="http://schemas.microsoft.com/office/drawing/2010/main" val="0"/>
                        </a:ext>
                      </a:extLst>
                    </a:blip>
                    <a:srcRect t="5445" b="3426"/>
                    <a:stretch/>
                  </pic:blipFill>
                  <pic:spPr bwMode="auto">
                    <a:xfrm>
                      <a:off x="0" y="0"/>
                      <a:ext cx="2952750"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0AB">
        <w:rPr>
          <w:rFonts w:ascii="Garamond" w:eastAsia="Garamond" w:hAnsi="Garamond" w:cs="Garamond"/>
        </w:rPr>
        <w:t>Precipitation did not vary greatly between the five watersheds in the study area, and therefore this comparison within one watershed reflects the general trend seen regionally.</w:t>
      </w:r>
      <w:r>
        <w:rPr>
          <w:rFonts w:ascii="Garamond" w:eastAsia="Garamond" w:hAnsi="Garamond" w:cs="Garamond"/>
        </w:rPr>
        <w:t xml:space="preserve"> </w:t>
      </w:r>
      <w:r w:rsidR="00EC60AB">
        <w:rPr>
          <w:rFonts w:ascii="Garamond" w:eastAsia="Garamond" w:hAnsi="Garamond" w:cs="Garamond"/>
        </w:rPr>
        <w:t>One would also expect to have seasonality in turbidity</w:t>
      </w:r>
      <w:r w:rsidR="00DA1FFF">
        <w:rPr>
          <w:rFonts w:ascii="Garamond" w:eastAsia="Garamond" w:hAnsi="Garamond" w:cs="Garamond"/>
        </w:rPr>
        <w:t>,</w:t>
      </w:r>
      <w:r w:rsidR="00EC60AB">
        <w:rPr>
          <w:rFonts w:ascii="Garamond" w:eastAsia="Garamond" w:hAnsi="Garamond" w:cs="Garamond"/>
        </w:rPr>
        <w:t xml:space="preserve"> given seasonality of precipitation over the years. Generally, the wet season is expected to be correlated with higher turbidity values. We found that fall is the season with the highest average turbidity values, followed by winter (Fig</w:t>
      </w:r>
      <w:r w:rsidR="00DA1FFF">
        <w:rPr>
          <w:rFonts w:ascii="Garamond" w:eastAsia="Garamond" w:hAnsi="Garamond" w:cs="Garamond"/>
        </w:rPr>
        <w:t>ure</w:t>
      </w:r>
      <w:r w:rsidR="00EC60AB">
        <w:rPr>
          <w:rFonts w:ascii="Garamond" w:eastAsia="Garamond" w:hAnsi="Garamond" w:cs="Garamond"/>
        </w:rPr>
        <w:t xml:space="preserve"> 11). </w:t>
      </w:r>
    </w:p>
    <w:p w:rsidR="006557F0" w:rsidRDefault="006557F0">
      <w:pPr>
        <w:spacing w:before="200" w:after="0" w:line="240" w:lineRule="auto"/>
        <w:jc w:val="center"/>
        <w:rPr>
          <w:rFonts w:ascii="Garamond" w:eastAsia="Garamond" w:hAnsi="Garamond" w:cs="Garamond"/>
        </w:rPr>
      </w:pPr>
    </w:p>
    <w:p w:rsidR="00C93A5A" w:rsidRDefault="00C93A5A">
      <w:pPr>
        <w:spacing w:before="200" w:after="0" w:line="240" w:lineRule="auto"/>
        <w:jc w:val="center"/>
        <w:rPr>
          <w:rFonts w:ascii="Garamond" w:eastAsia="Garamond" w:hAnsi="Garamond" w:cs="Garamond"/>
        </w:rPr>
      </w:pPr>
    </w:p>
    <w:p w:rsidR="006557F0" w:rsidRDefault="00EC60AB">
      <w:pPr>
        <w:spacing w:before="200" w:after="0" w:line="240" w:lineRule="auto"/>
        <w:jc w:val="center"/>
        <w:rPr>
          <w:rFonts w:ascii="Garamond" w:eastAsia="Garamond" w:hAnsi="Garamond" w:cs="Garamond"/>
        </w:rPr>
      </w:pPr>
      <w:r>
        <w:rPr>
          <w:rFonts w:ascii="Garamond" w:eastAsia="Garamond" w:hAnsi="Garamond" w:cs="Garamond"/>
          <w:i/>
        </w:rPr>
        <w:t xml:space="preserve">Figure 11. </w:t>
      </w:r>
      <w:r>
        <w:rPr>
          <w:rFonts w:ascii="Garamond" w:eastAsia="Garamond" w:hAnsi="Garamond" w:cs="Garamond"/>
        </w:rPr>
        <w:t>Seasonal precipitation and turbidity values throughout 2016-2019.</w:t>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The high fall turbidity values correspond with the increase in precipitation as the rainy season begins. Earlier precipitation events seem to cause higher turbidity </w:t>
      </w:r>
      <w:r w:rsidR="00DA1FFF">
        <w:rPr>
          <w:rFonts w:ascii="Garamond" w:eastAsia="Garamond" w:hAnsi="Garamond" w:cs="Garamond"/>
        </w:rPr>
        <w:t>compared to</w:t>
      </w:r>
      <w:r>
        <w:rPr>
          <w:rFonts w:ascii="Garamond" w:eastAsia="Garamond" w:hAnsi="Garamond" w:cs="Garamond"/>
        </w:rPr>
        <w:t xml:space="preserve"> later</w:t>
      </w:r>
      <w:r w:rsidR="00DA1FFF">
        <w:rPr>
          <w:rFonts w:ascii="Garamond" w:eastAsia="Garamond" w:hAnsi="Garamond" w:cs="Garamond"/>
        </w:rPr>
        <w:t xml:space="preserve"> </w:t>
      </w:r>
      <w:r>
        <w:rPr>
          <w:rFonts w:ascii="Garamond" w:eastAsia="Garamond" w:hAnsi="Garamond" w:cs="Garamond"/>
        </w:rPr>
        <w:t xml:space="preserve">precipitation events that occur in the winter. </w:t>
      </w:r>
      <w:r w:rsidR="00DA1FFF">
        <w:rPr>
          <w:rFonts w:ascii="Garamond" w:eastAsia="Garamond" w:hAnsi="Garamond" w:cs="Garamond"/>
        </w:rPr>
        <w:t>This is likely explained by the following: a</w:t>
      </w:r>
      <w:r>
        <w:rPr>
          <w:rFonts w:ascii="Garamond" w:eastAsia="Garamond" w:hAnsi="Garamond" w:cs="Garamond"/>
        </w:rPr>
        <w:t>fter the first flush of the season moves the sediment and nutrients off the topsoil, there is less to be carried through runoff later in the season.</w:t>
      </w:r>
    </w:p>
    <w:p w:rsidR="006557F0" w:rsidRDefault="00EC60AB">
      <w:pPr>
        <w:spacing w:before="200" w:after="0" w:line="240" w:lineRule="auto"/>
        <w:rPr>
          <w:rFonts w:ascii="Garamond" w:eastAsia="Garamond" w:hAnsi="Garamond" w:cs="Garamond"/>
        </w:rPr>
      </w:pPr>
      <w:r>
        <w:rPr>
          <w:rFonts w:ascii="Garamond" w:eastAsia="Garamond" w:hAnsi="Garamond" w:cs="Garamond"/>
        </w:rPr>
        <w:t xml:space="preserve">There were clear spatial patterns between the watersheds that were revealed by the land classification process. The two northernmost watersheds, </w:t>
      </w:r>
      <w:proofErr w:type="spellStart"/>
      <w:r>
        <w:rPr>
          <w:rFonts w:ascii="Garamond" w:eastAsia="Garamond" w:hAnsi="Garamond" w:cs="Garamond"/>
        </w:rPr>
        <w:t>Honolua</w:t>
      </w:r>
      <w:proofErr w:type="spellEnd"/>
      <w:r>
        <w:rPr>
          <w:rFonts w:ascii="Garamond" w:eastAsia="Garamond" w:hAnsi="Garamond" w:cs="Garamond"/>
        </w:rPr>
        <w:t xml:space="preserve"> and </w:t>
      </w:r>
      <w:proofErr w:type="spellStart"/>
      <w:r>
        <w:rPr>
          <w:rFonts w:ascii="Garamond" w:eastAsia="Garamond" w:hAnsi="Garamond" w:cs="Garamond"/>
        </w:rPr>
        <w:t>Honokahua</w:t>
      </w:r>
      <w:proofErr w:type="spellEnd"/>
      <w:r>
        <w:rPr>
          <w:rFonts w:ascii="Garamond" w:eastAsia="Garamond" w:hAnsi="Garamond" w:cs="Garamond"/>
        </w:rPr>
        <w:t xml:space="preserve">, were characterized by their high amounts of non-agricultural vegetation as well as an increase in agricultural vegetation in the second half of the study period (Appendix D). The two middle watersheds, </w:t>
      </w:r>
      <w:proofErr w:type="spellStart"/>
      <w:r>
        <w:rPr>
          <w:rFonts w:ascii="Garamond" w:eastAsia="Garamond" w:hAnsi="Garamond" w:cs="Garamond"/>
        </w:rPr>
        <w:t>Honokowai</w:t>
      </w:r>
      <w:proofErr w:type="spellEnd"/>
      <w:r>
        <w:rPr>
          <w:rFonts w:ascii="Garamond" w:eastAsia="Garamond" w:hAnsi="Garamond" w:cs="Garamond"/>
        </w:rPr>
        <w:t xml:space="preserve"> and </w:t>
      </w:r>
      <w:proofErr w:type="spellStart"/>
      <w:r>
        <w:rPr>
          <w:rFonts w:ascii="Garamond" w:eastAsia="Garamond" w:hAnsi="Garamond" w:cs="Garamond"/>
        </w:rPr>
        <w:t>Kahana</w:t>
      </w:r>
      <w:proofErr w:type="spellEnd"/>
      <w:r>
        <w:rPr>
          <w:rFonts w:ascii="Garamond" w:eastAsia="Garamond" w:hAnsi="Garamond" w:cs="Garamond"/>
        </w:rPr>
        <w:t xml:space="preserve">, were characterized by the prominence of pineapple farms in the early parts of the study period and the prominence of agricultural vegetation throughout the entire study period. The southernmost watershed, </w:t>
      </w:r>
      <w:proofErr w:type="spellStart"/>
      <w:r>
        <w:rPr>
          <w:rFonts w:ascii="Garamond" w:eastAsia="Garamond" w:hAnsi="Garamond" w:cs="Garamond"/>
        </w:rPr>
        <w:t>Wahikuli</w:t>
      </w:r>
      <w:proofErr w:type="spellEnd"/>
      <w:r>
        <w:rPr>
          <w:rFonts w:ascii="Garamond" w:eastAsia="Garamond" w:hAnsi="Garamond" w:cs="Garamond"/>
        </w:rPr>
        <w:t>, was characterized by the highest amount of barren land, of which the exact amount fluctuated substantially throughout the study period.</w:t>
      </w:r>
    </w:p>
    <w:p w:rsidR="006557F0" w:rsidRPr="00F6627D" w:rsidRDefault="00EC60AB">
      <w:pPr>
        <w:spacing w:before="200" w:after="0" w:line="240" w:lineRule="auto"/>
        <w:rPr>
          <w:rFonts w:ascii="Garamond" w:eastAsia="Garamond" w:hAnsi="Garamond" w:cs="Garamond"/>
        </w:rPr>
      </w:pPr>
      <w:r w:rsidRPr="00F6627D">
        <w:rPr>
          <w:rFonts w:ascii="Garamond" w:eastAsia="Garamond" w:hAnsi="Garamond" w:cs="Garamond"/>
        </w:rPr>
        <w:t xml:space="preserve">This spatial distribution, particularly that of pineapple and sugarcane, can also be clearly seen in the NDVI change maps (Appendix C). These land shifts occurred most intensely in the </w:t>
      </w:r>
      <w:proofErr w:type="spellStart"/>
      <w:r w:rsidRPr="00F6627D">
        <w:rPr>
          <w:rFonts w:ascii="Garamond" w:eastAsia="Garamond" w:hAnsi="Garamond" w:cs="Garamond"/>
        </w:rPr>
        <w:t>Kaha</w:t>
      </w:r>
      <w:r w:rsidR="00A62E34" w:rsidRPr="00F6627D">
        <w:rPr>
          <w:rFonts w:ascii="Garamond" w:eastAsia="Garamond" w:hAnsi="Garamond" w:cs="Garamond"/>
        </w:rPr>
        <w:t>n</w:t>
      </w:r>
      <w:r w:rsidRPr="00F6627D">
        <w:rPr>
          <w:rFonts w:ascii="Garamond" w:eastAsia="Garamond" w:hAnsi="Garamond" w:cs="Garamond"/>
        </w:rPr>
        <w:t>a</w:t>
      </w:r>
      <w:proofErr w:type="spellEnd"/>
      <w:r w:rsidRPr="00F6627D">
        <w:rPr>
          <w:rFonts w:ascii="Garamond" w:eastAsia="Garamond" w:hAnsi="Garamond" w:cs="Garamond"/>
        </w:rPr>
        <w:t xml:space="preserve">, </w:t>
      </w:r>
      <w:proofErr w:type="spellStart"/>
      <w:r w:rsidRPr="00F6627D">
        <w:rPr>
          <w:rFonts w:ascii="Garamond" w:eastAsia="Garamond" w:hAnsi="Garamond" w:cs="Garamond"/>
        </w:rPr>
        <w:t>Honokowai</w:t>
      </w:r>
      <w:proofErr w:type="spellEnd"/>
      <w:r w:rsidRPr="00F6627D">
        <w:rPr>
          <w:rFonts w:ascii="Garamond" w:eastAsia="Garamond" w:hAnsi="Garamond" w:cs="Garamond"/>
        </w:rPr>
        <w:t xml:space="preserve"> and </w:t>
      </w:r>
      <w:proofErr w:type="spellStart"/>
      <w:r w:rsidRPr="00F6627D">
        <w:rPr>
          <w:rFonts w:ascii="Garamond" w:eastAsia="Garamond" w:hAnsi="Garamond" w:cs="Garamond"/>
        </w:rPr>
        <w:t>Wahikuli</w:t>
      </w:r>
      <w:proofErr w:type="spellEnd"/>
      <w:r w:rsidRPr="00F6627D">
        <w:rPr>
          <w:rFonts w:ascii="Garamond" w:eastAsia="Garamond" w:hAnsi="Garamond" w:cs="Garamond"/>
        </w:rPr>
        <w:t xml:space="preserve"> watersheds</w:t>
      </w:r>
      <w:r w:rsidR="00A62E34" w:rsidRPr="00F6627D">
        <w:rPr>
          <w:rFonts w:ascii="Garamond" w:eastAsia="Garamond" w:hAnsi="Garamond" w:cs="Garamond"/>
        </w:rPr>
        <w:t xml:space="preserve"> (Fig</w:t>
      </w:r>
      <w:r w:rsidR="00F62FE6" w:rsidRPr="00F6627D">
        <w:rPr>
          <w:rFonts w:ascii="Garamond" w:eastAsia="Garamond" w:hAnsi="Garamond" w:cs="Garamond"/>
        </w:rPr>
        <w:t>ure</w:t>
      </w:r>
      <w:r w:rsidR="00A62E34" w:rsidRPr="00F6627D">
        <w:rPr>
          <w:rFonts w:ascii="Garamond" w:eastAsia="Garamond" w:hAnsi="Garamond" w:cs="Garamond"/>
        </w:rPr>
        <w:t xml:space="preserve"> C1c)</w:t>
      </w:r>
      <w:r w:rsidRPr="00F6627D">
        <w:rPr>
          <w:rFonts w:ascii="Garamond" w:eastAsia="Garamond" w:hAnsi="Garamond" w:cs="Garamond"/>
        </w:rPr>
        <w:t>. The usage of land for agricultural purposes correlates with coastal waters having the highest average nitrogen concentrations, as nitrogen-containing fertilizers are used heavily in both pineapple and sugarcane production (</w:t>
      </w:r>
      <w:proofErr w:type="spellStart"/>
      <w:r w:rsidRPr="00F6627D">
        <w:rPr>
          <w:rFonts w:ascii="Garamond" w:eastAsia="Garamond" w:hAnsi="Garamond" w:cs="Garamond"/>
        </w:rPr>
        <w:t>Soicher</w:t>
      </w:r>
      <w:proofErr w:type="spellEnd"/>
      <w:r w:rsidRPr="00F6627D">
        <w:rPr>
          <w:rFonts w:ascii="Garamond" w:eastAsia="Garamond" w:hAnsi="Garamond" w:cs="Garamond"/>
        </w:rPr>
        <w:t xml:space="preserve"> and Peterson, 1997) (</w:t>
      </w:r>
      <w:proofErr w:type="spellStart"/>
      <w:r w:rsidRPr="00F6627D">
        <w:rPr>
          <w:rFonts w:ascii="Garamond" w:eastAsia="Garamond" w:hAnsi="Garamond" w:cs="Garamond"/>
        </w:rPr>
        <w:t>Falinski</w:t>
      </w:r>
      <w:proofErr w:type="spellEnd"/>
      <w:r w:rsidRPr="00F6627D">
        <w:rPr>
          <w:rFonts w:ascii="Garamond" w:eastAsia="Garamond" w:hAnsi="Garamond" w:cs="Garamond"/>
        </w:rPr>
        <w:t xml:space="preserve"> et al., 2019). This effect was </w:t>
      </w:r>
      <w:r w:rsidR="00D119B1" w:rsidRPr="00F6627D">
        <w:rPr>
          <w:rFonts w:ascii="Garamond" w:eastAsia="Garamond" w:hAnsi="Garamond" w:cs="Garamond"/>
        </w:rPr>
        <w:t>observed as</w:t>
      </w:r>
      <w:r w:rsidRPr="00F6627D">
        <w:rPr>
          <w:rFonts w:ascii="Garamond" w:eastAsia="Garamond" w:hAnsi="Garamond" w:cs="Garamond"/>
        </w:rPr>
        <w:t xml:space="preserve"> higher amount</w:t>
      </w:r>
      <w:r w:rsidR="00D119B1" w:rsidRPr="00F6627D">
        <w:rPr>
          <w:rFonts w:ascii="Garamond" w:eastAsia="Garamond" w:hAnsi="Garamond" w:cs="Garamond"/>
        </w:rPr>
        <w:t>s</w:t>
      </w:r>
      <w:r w:rsidRPr="00F6627D">
        <w:rPr>
          <w:rFonts w:ascii="Garamond" w:eastAsia="Garamond" w:hAnsi="Garamond" w:cs="Garamond"/>
        </w:rPr>
        <w:t xml:space="preserve"> of nutrient loading</w:t>
      </w:r>
      <w:r w:rsidR="00D119B1" w:rsidRPr="00F6627D">
        <w:rPr>
          <w:rFonts w:ascii="Garamond" w:eastAsia="Garamond" w:hAnsi="Garamond" w:cs="Garamond"/>
        </w:rPr>
        <w:t>, measured by the citizen science group Hui O Ka Wai Ola,</w:t>
      </w:r>
      <w:r w:rsidRPr="00F6627D">
        <w:rPr>
          <w:rFonts w:ascii="Garamond" w:eastAsia="Garamond" w:hAnsi="Garamond" w:cs="Garamond"/>
        </w:rPr>
        <w:t xml:space="preserve"> in the watersheds where sugarcane and pineapple were most abundant</w:t>
      </w:r>
      <w:r w:rsidR="00D119B1" w:rsidRPr="00F6627D">
        <w:rPr>
          <w:rFonts w:ascii="Garamond" w:eastAsia="Garamond" w:hAnsi="Garamond" w:cs="Garamond"/>
        </w:rPr>
        <w:t>—</w:t>
      </w:r>
      <w:r w:rsidRPr="00F6627D">
        <w:rPr>
          <w:rFonts w:ascii="Garamond" w:eastAsia="Garamond" w:hAnsi="Garamond" w:cs="Garamond"/>
        </w:rPr>
        <w:t xml:space="preserve">especially </w:t>
      </w:r>
      <w:proofErr w:type="spellStart"/>
      <w:r w:rsidRPr="00F6627D">
        <w:rPr>
          <w:rFonts w:ascii="Garamond" w:eastAsia="Garamond" w:hAnsi="Garamond" w:cs="Garamond"/>
        </w:rPr>
        <w:t>Honokowai</w:t>
      </w:r>
      <w:proofErr w:type="spellEnd"/>
      <w:r w:rsidRPr="00F6627D">
        <w:rPr>
          <w:rFonts w:ascii="Garamond" w:eastAsia="Garamond" w:hAnsi="Garamond" w:cs="Garamond"/>
        </w:rPr>
        <w:t xml:space="preserve">, </w:t>
      </w:r>
      <w:proofErr w:type="spellStart"/>
      <w:r w:rsidRPr="00F6627D">
        <w:rPr>
          <w:rFonts w:ascii="Garamond" w:eastAsia="Garamond" w:hAnsi="Garamond" w:cs="Garamond"/>
        </w:rPr>
        <w:t>Kahana</w:t>
      </w:r>
      <w:proofErr w:type="spellEnd"/>
      <w:r w:rsidRPr="00F6627D">
        <w:rPr>
          <w:rFonts w:ascii="Garamond" w:eastAsia="Garamond" w:hAnsi="Garamond" w:cs="Garamond"/>
        </w:rPr>
        <w:t xml:space="preserve">, and </w:t>
      </w:r>
      <w:proofErr w:type="spellStart"/>
      <w:r w:rsidRPr="00F6627D">
        <w:rPr>
          <w:rFonts w:ascii="Garamond" w:eastAsia="Garamond" w:hAnsi="Garamond" w:cs="Garamond"/>
        </w:rPr>
        <w:t>Wahikuli</w:t>
      </w:r>
      <w:proofErr w:type="spellEnd"/>
      <w:r w:rsidRPr="00F6627D">
        <w:rPr>
          <w:rFonts w:ascii="Garamond" w:eastAsia="Garamond" w:hAnsi="Garamond" w:cs="Garamond"/>
        </w:rPr>
        <w:t xml:space="preserve">. This finding indicates that nutrients used in pineapple and sugarcane cultivation, specifically nitrogen, may still be present in the soils today, years after the cultivation ended in the region. The </w:t>
      </w:r>
      <w:proofErr w:type="spellStart"/>
      <w:r w:rsidRPr="00F6627D">
        <w:rPr>
          <w:rFonts w:ascii="Garamond" w:eastAsia="Garamond" w:hAnsi="Garamond" w:cs="Garamond"/>
        </w:rPr>
        <w:t>Honokowai</w:t>
      </w:r>
      <w:proofErr w:type="spellEnd"/>
      <w:r w:rsidRPr="00F6627D">
        <w:rPr>
          <w:rFonts w:ascii="Garamond" w:eastAsia="Garamond" w:hAnsi="Garamond" w:cs="Garamond"/>
        </w:rPr>
        <w:t xml:space="preserve"> watershed in particular, showed the highest average levels of nitrogen of the five priority watersheds. The higher levels of nitrogen may be the result of the region</w:t>
      </w:r>
      <w:r w:rsidR="00F62FE6" w:rsidRPr="00F6627D">
        <w:rPr>
          <w:rFonts w:ascii="Garamond" w:eastAsia="Garamond" w:hAnsi="Garamond" w:cs="Garamond"/>
        </w:rPr>
        <w:t>’</w:t>
      </w:r>
      <w:r w:rsidRPr="00F6627D">
        <w:rPr>
          <w:rFonts w:ascii="Garamond" w:eastAsia="Garamond" w:hAnsi="Garamond" w:cs="Garamond"/>
        </w:rPr>
        <w:t xml:space="preserve">s high pineapple production documented from the beginning of our study until the early 2000’s </w:t>
      </w:r>
      <w:r w:rsidR="00A62E34" w:rsidRPr="00F6627D">
        <w:rPr>
          <w:rFonts w:ascii="Garamond" w:eastAsia="Garamond" w:hAnsi="Garamond" w:cs="Garamond"/>
        </w:rPr>
        <w:t>(Fig</w:t>
      </w:r>
      <w:r w:rsidR="00F62FE6" w:rsidRPr="00F6627D">
        <w:rPr>
          <w:rFonts w:ascii="Garamond" w:eastAsia="Garamond" w:hAnsi="Garamond" w:cs="Garamond"/>
        </w:rPr>
        <w:t>ure</w:t>
      </w:r>
      <w:r w:rsidR="00A62E34" w:rsidRPr="00F6627D">
        <w:rPr>
          <w:rFonts w:ascii="Garamond" w:eastAsia="Garamond" w:hAnsi="Garamond" w:cs="Garamond"/>
        </w:rPr>
        <w:t xml:space="preserve"> B2) </w:t>
      </w:r>
      <w:r w:rsidRPr="00F6627D">
        <w:rPr>
          <w:rFonts w:ascii="Garamond" w:eastAsia="Garamond" w:hAnsi="Garamond" w:cs="Garamond"/>
        </w:rPr>
        <w:t xml:space="preserve">along with the watershed often having the second highest yearly average precipitation of the five priority watersheds. </w:t>
      </w:r>
    </w:p>
    <w:p w:rsidR="006557F0" w:rsidRPr="0038063B" w:rsidRDefault="00EC60AB" w:rsidP="0038063B">
      <w:pPr>
        <w:spacing w:before="200" w:after="0" w:line="240" w:lineRule="auto"/>
        <w:rPr>
          <w:rFonts w:ascii="Garamond" w:eastAsia="Garamond" w:hAnsi="Garamond" w:cs="Garamond"/>
        </w:rPr>
      </w:pPr>
      <w:r w:rsidRPr="00F6627D">
        <w:rPr>
          <w:rFonts w:ascii="Garamond" w:eastAsia="Garamond" w:hAnsi="Garamond" w:cs="Garamond"/>
        </w:rPr>
        <w:t xml:space="preserve">It was also noted by our partners at the Ridge to Reef initiative, that the water quality near the </w:t>
      </w:r>
      <w:proofErr w:type="spellStart"/>
      <w:r w:rsidRPr="00F6627D">
        <w:rPr>
          <w:rFonts w:ascii="Garamond" w:eastAsia="Garamond" w:hAnsi="Garamond" w:cs="Garamond"/>
        </w:rPr>
        <w:t>Honolua</w:t>
      </w:r>
      <w:proofErr w:type="spellEnd"/>
      <w:r w:rsidRPr="00F6627D">
        <w:rPr>
          <w:rFonts w:ascii="Garamond" w:eastAsia="Garamond" w:hAnsi="Garamond" w:cs="Garamond"/>
        </w:rPr>
        <w:t xml:space="preserve"> watershed was most dramatically impacted by sedimentation (Tova </w:t>
      </w:r>
      <w:proofErr w:type="spellStart"/>
      <w:r w:rsidRPr="00F6627D">
        <w:rPr>
          <w:rFonts w:ascii="Garamond" w:eastAsia="Garamond" w:hAnsi="Garamond" w:cs="Garamond"/>
        </w:rPr>
        <w:t>Call</w:t>
      </w:r>
      <w:r w:rsidR="00D119B1" w:rsidRPr="00F6627D">
        <w:rPr>
          <w:rFonts w:ascii="Garamond" w:eastAsia="Garamond" w:hAnsi="Garamond" w:cs="Garamond"/>
        </w:rPr>
        <w:t>e</w:t>
      </w:r>
      <w:r w:rsidRPr="00F6627D">
        <w:rPr>
          <w:rFonts w:ascii="Garamond" w:eastAsia="Garamond" w:hAnsi="Garamond" w:cs="Garamond"/>
        </w:rPr>
        <w:t>nder</w:t>
      </w:r>
      <w:proofErr w:type="spellEnd"/>
      <w:r w:rsidRPr="00F6627D">
        <w:rPr>
          <w:rFonts w:ascii="Garamond" w:eastAsia="Garamond" w:hAnsi="Garamond" w:cs="Garamond"/>
        </w:rPr>
        <w:t xml:space="preserve">, “Personal Correspondence”, Sept. 25, 2019). While we did not notice any specific trends in land cover that may account for this, the </w:t>
      </w:r>
      <w:proofErr w:type="spellStart"/>
      <w:r w:rsidRPr="00F6627D">
        <w:rPr>
          <w:rFonts w:ascii="Garamond" w:eastAsia="Garamond" w:hAnsi="Garamond" w:cs="Garamond"/>
        </w:rPr>
        <w:t>Honolua</w:t>
      </w:r>
      <w:proofErr w:type="spellEnd"/>
      <w:r w:rsidRPr="00F6627D">
        <w:rPr>
          <w:rFonts w:ascii="Garamond" w:eastAsia="Garamond" w:hAnsi="Garamond" w:cs="Garamond"/>
        </w:rPr>
        <w:t xml:space="preserve"> watershed received the highest levels of precipitation in 2013, and the higher precipitation may be responsible for increased erosion and subsequent coastal sediment runoff.</w:t>
      </w:r>
    </w:p>
    <w:p w:rsidR="006557F0" w:rsidRDefault="0038063B">
      <w:pPr>
        <w:pStyle w:val="Heading1"/>
        <w:spacing w:before="200" w:line="240" w:lineRule="auto"/>
        <w:rPr>
          <w:rFonts w:ascii="Garamond" w:eastAsia="Garamond" w:hAnsi="Garamond" w:cs="Garamond"/>
          <w:b w:val="0"/>
          <w:color w:val="000000"/>
          <w:sz w:val="22"/>
          <w:szCs w:val="22"/>
        </w:rPr>
      </w:pPr>
      <w:bookmarkStart w:id="1" w:name="_w4la87qf5wsb" w:colFirst="0" w:colLast="0"/>
      <w:bookmarkEnd w:id="1"/>
      <w:r>
        <w:rPr>
          <w:rFonts w:ascii="Garamond" w:eastAsia="Garamond" w:hAnsi="Garamond" w:cs="Garamond"/>
          <w:i/>
          <w:color w:val="000000"/>
          <w:sz w:val="22"/>
          <w:szCs w:val="22"/>
        </w:rPr>
        <w:lastRenderedPageBreak/>
        <w:t>4.4</w:t>
      </w:r>
      <w:r w:rsidR="00EC60AB">
        <w:rPr>
          <w:rFonts w:ascii="Garamond" w:eastAsia="Garamond" w:hAnsi="Garamond" w:cs="Garamond"/>
          <w:i/>
          <w:color w:val="000000"/>
          <w:sz w:val="22"/>
          <w:szCs w:val="22"/>
        </w:rPr>
        <w:t xml:space="preserve"> Limitations</w:t>
      </w:r>
    </w:p>
    <w:p w:rsidR="006557F0" w:rsidRDefault="00EC60AB">
      <w:pPr>
        <w:pStyle w:val="Heading1"/>
        <w:spacing w:before="200" w:line="240" w:lineRule="auto"/>
        <w:rPr>
          <w:rFonts w:ascii="Garamond" w:eastAsia="Garamond" w:hAnsi="Garamond" w:cs="Garamond"/>
        </w:rPr>
      </w:pPr>
      <w:bookmarkStart w:id="2" w:name="_bze2k0yc30fl" w:colFirst="0" w:colLast="0"/>
      <w:bookmarkEnd w:id="2"/>
      <w:r>
        <w:rPr>
          <w:rFonts w:ascii="Garamond" w:eastAsia="Garamond" w:hAnsi="Garamond" w:cs="Garamond"/>
          <w:b w:val="0"/>
          <w:color w:val="000000"/>
          <w:sz w:val="22"/>
          <w:szCs w:val="22"/>
        </w:rPr>
        <w:t xml:space="preserve">Due to high amounts of cloud cover and Landsat system malfunctions, there are two 7-year gaps in our </w:t>
      </w:r>
      <w:r w:rsidR="00516870">
        <w:rPr>
          <w:rFonts w:ascii="Garamond" w:eastAsia="Garamond" w:hAnsi="Garamond" w:cs="Garamond"/>
          <w:b w:val="0"/>
          <w:color w:val="000000"/>
          <w:sz w:val="22"/>
          <w:szCs w:val="22"/>
        </w:rPr>
        <w:t xml:space="preserve">thirty-year </w:t>
      </w:r>
      <w:r>
        <w:rPr>
          <w:rFonts w:ascii="Garamond" w:eastAsia="Garamond" w:hAnsi="Garamond" w:cs="Garamond"/>
          <w:b w:val="0"/>
          <w:color w:val="000000"/>
          <w:sz w:val="22"/>
          <w:szCs w:val="22"/>
        </w:rPr>
        <w:t>analysis. The first gap occurs between 1992 and 1999, and the second gap occurs between 2003 and 2012. These time gaps hindered our ability to study the detailed processes of land change that occurred during this time frame, so we were required to interpolate the land classes during these periods in our analysis. Since water quality is more erratic than land cover, the gaps in our datasets prevented us from studying the water quality during the years in which we lacked data.</w:t>
      </w:r>
    </w:p>
    <w:p w:rsidR="006557F0" w:rsidRDefault="00EC60AB">
      <w:pPr>
        <w:spacing w:before="200" w:after="0"/>
        <w:rPr>
          <w:rFonts w:ascii="Garamond" w:eastAsia="Garamond" w:hAnsi="Garamond" w:cs="Garamond"/>
        </w:rPr>
      </w:pPr>
      <w:r>
        <w:rPr>
          <w:rFonts w:ascii="Garamond" w:eastAsia="Garamond" w:hAnsi="Garamond" w:cs="Garamond"/>
        </w:rPr>
        <w:t xml:space="preserve">Another limitation that we encountered was the lack of accurate water quality algorithms to use. Satellite imagery water quality algorithms have largely been developed for individual locations, so their validity is heavily diminished when they are applied to a new location. It was difficult to find reliable ocean water quality algorithms suited for the clear and shallow coastal waters of West Maui, with </w:t>
      </w:r>
      <w:r w:rsidR="006B7534">
        <w:rPr>
          <w:rFonts w:ascii="Garamond" w:eastAsia="Garamond" w:hAnsi="Garamond" w:cs="Garamond"/>
        </w:rPr>
        <w:t>‘</w:t>
      </w:r>
      <w:r>
        <w:rPr>
          <w:rFonts w:ascii="Garamond" w:eastAsia="Garamond" w:hAnsi="Garamond" w:cs="Garamond"/>
        </w:rPr>
        <w:t>a particular shortage of high</w:t>
      </w:r>
      <w:r w:rsidR="00C93A5A">
        <w:rPr>
          <w:rFonts w:ascii="Garamond" w:eastAsia="Garamond" w:hAnsi="Garamond" w:cs="Garamond"/>
        </w:rPr>
        <w:t>-</w:t>
      </w:r>
      <w:r>
        <w:rPr>
          <w:rFonts w:ascii="Garamond" w:eastAsia="Garamond" w:hAnsi="Garamond" w:cs="Garamond"/>
        </w:rPr>
        <w:t xml:space="preserve">quality chlorophyll-a algorithms for the area. This means that the water quality values output by the TIME Tool should not be directly compared with </w:t>
      </w:r>
      <w:r>
        <w:rPr>
          <w:rFonts w:ascii="Garamond" w:eastAsia="Garamond" w:hAnsi="Garamond" w:cs="Garamond"/>
          <w:i/>
        </w:rPr>
        <w:t>in situ</w:t>
      </w:r>
      <w:r>
        <w:rPr>
          <w:rFonts w:ascii="Garamond" w:eastAsia="Garamond" w:hAnsi="Garamond" w:cs="Garamond"/>
        </w:rPr>
        <w:t xml:space="preserve"> values or values generated from outside the tool. </w:t>
      </w:r>
    </w:p>
    <w:p w:rsidR="006557F0" w:rsidRDefault="00EC60AB">
      <w:pPr>
        <w:spacing w:before="200" w:after="0"/>
        <w:rPr>
          <w:rFonts w:ascii="Garamond" w:eastAsia="Garamond" w:hAnsi="Garamond" w:cs="Garamond"/>
        </w:rPr>
      </w:pPr>
      <w:r>
        <w:rPr>
          <w:rFonts w:ascii="Garamond" w:eastAsia="Garamond" w:hAnsi="Garamond" w:cs="Garamond"/>
        </w:rPr>
        <w:t>We also found that coral reef bottom reflectance inhibited our ability to accurately detect turbidity and</w:t>
      </w:r>
      <w:r w:rsidR="00C93A5A">
        <w:rPr>
          <w:rFonts w:ascii="Garamond" w:eastAsia="Garamond" w:hAnsi="Garamond" w:cs="Garamond"/>
        </w:rPr>
        <w:t xml:space="preserve"> </w:t>
      </w:r>
      <w:proofErr w:type="spellStart"/>
      <w:proofErr w:type="gramStart"/>
      <w:r>
        <w:rPr>
          <w:rFonts w:ascii="Garamond" w:eastAsia="Garamond" w:hAnsi="Garamond" w:cs="Garamond"/>
        </w:rPr>
        <w:t>K</w:t>
      </w:r>
      <w:r>
        <w:rPr>
          <w:rFonts w:ascii="Garamond" w:eastAsia="Garamond" w:hAnsi="Garamond" w:cs="Garamond"/>
          <w:vertAlign w:val="subscript"/>
        </w:rPr>
        <w:t>d</w:t>
      </w:r>
      <w:proofErr w:type="spellEnd"/>
      <w:r>
        <w:rPr>
          <w:rFonts w:ascii="Garamond" w:eastAsia="Garamond" w:hAnsi="Garamond" w:cs="Garamond"/>
        </w:rPr>
        <w:t>(</w:t>
      </w:r>
      <w:proofErr w:type="gramEnd"/>
      <w:r>
        <w:rPr>
          <w:rFonts w:ascii="Garamond" w:eastAsia="Garamond" w:hAnsi="Garamond" w:cs="Garamond"/>
        </w:rPr>
        <w:t xml:space="preserve">PAR), although this interference did not have a uniform extent over the coral reefs in the region. Due to this interference, we would recommend that tool users interested in turbidity or </w:t>
      </w:r>
      <w:proofErr w:type="spellStart"/>
      <w:proofErr w:type="gramStart"/>
      <w:r>
        <w:rPr>
          <w:rFonts w:ascii="Garamond" w:eastAsia="Garamond" w:hAnsi="Garamond" w:cs="Garamond"/>
        </w:rPr>
        <w:t>K</w:t>
      </w:r>
      <w:r>
        <w:rPr>
          <w:rFonts w:ascii="Garamond" w:eastAsia="Garamond" w:hAnsi="Garamond" w:cs="Garamond"/>
          <w:vertAlign w:val="subscript"/>
        </w:rPr>
        <w:t>d</w:t>
      </w:r>
      <w:proofErr w:type="spellEnd"/>
      <w:r>
        <w:rPr>
          <w:rFonts w:ascii="Garamond" w:eastAsia="Garamond" w:hAnsi="Garamond" w:cs="Garamond"/>
        </w:rPr>
        <w:t>(</w:t>
      </w:r>
      <w:proofErr w:type="gramEnd"/>
      <w:r>
        <w:rPr>
          <w:rFonts w:ascii="Garamond" w:eastAsia="Garamond" w:hAnsi="Garamond" w:cs="Garamond"/>
        </w:rPr>
        <w:t>PAR) in a coral reef area examine the values of areas just outside of the coral reef polygons supplied in the tool.</w:t>
      </w:r>
    </w:p>
    <w:p w:rsidR="006557F0" w:rsidRDefault="00EC60AB">
      <w:pPr>
        <w:spacing w:before="200" w:after="0"/>
        <w:rPr>
          <w:rFonts w:ascii="Garamond" w:eastAsia="Garamond" w:hAnsi="Garamond" w:cs="Garamond"/>
        </w:rPr>
      </w:pPr>
      <w:r>
        <w:rPr>
          <w:rFonts w:ascii="Garamond" w:eastAsia="Garamond" w:hAnsi="Garamond" w:cs="Garamond"/>
        </w:rPr>
        <w:t xml:space="preserve">Another factor that could have influenced the results is seasonality. We found that detected changes in land cover and water quality may be strongly influenced by the dates during which data is available. For example, high turbidity events are known to occur during and after intense rain events, which occur when there is substantial cloud cover. This seasonal impact would likely cause the turbidity outputs from the rainy season calculated by the tool to skew lower, if averaged over a large amount of time. It is also likely that seasonal changes impacted the land classifications and NDVI change outputs, especially if a given year has had significant changes in precipitation from the training year. In order to account for the potential of a seasonal impact, it is important to reference the precipitation values provided by the tool. If two years have substantially different precipitation patterns, this will likely cause a difference in NDVI and potentially a difference in land classification. </w:t>
      </w:r>
    </w:p>
    <w:p w:rsidR="006557F0" w:rsidRDefault="0038063B">
      <w:pPr>
        <w:spacing w:before="200" w:after="0" w:line="240" w:lineRule="auto"/>
        <w:rPr>
          <w:rFonts w:ascii="Garamond" w:eastAsia="Garamond" w:hAnsi="Garamond" w:cs="Garamond"/>
          <w:b/>
          <w:i/>
        </w:rPr>
      </w:pPr>
      <w:r>
        <w:rPr>
          <w:rFonts w:ascii="Garamond" w:eastAsia="Garamond" w:hAnsi="Garamond" w:cs="Garamond"/>
          <w:b/>
          <w:i/>
        </w:rPr>
        <w:t>4.5</w:t>
      </w:r>
      <w:r w:rsidR="00EC60AB">
        <w:rPr>
          <w:rFonts w:ascii="Garamond" w:eastAsia="Garamond" w:hAnsi="Garamond" w:cs="Garamond"/>
          <w:b/>
          <w:i/>
        </w:rPr>
        <w:t xml:space="preserve"> Future Work</w:t>
      </w:r>
    </w:p>
    <w:p w:rsidR="006557F0" w:rsidRDefault="00EC60AB">
      <w:pPr>
        <w:spacing w:before="200" w:after="0" w:line="240" w:lineRule="auto"/>
      </w:pPr>
      <w:r>
        <w:rPr>
          <w:rFonts w:ascii="Garamond" w:eastAsia="Garamond" w:hAnsi="Garamond" w:cs="Garamond"/>
        </w:rPr>
        <w:t>To further this study</w:t>
      </w:r>
      <w:r w:rsidR="00C93A5A">
        <w:rPr>
          <w:rFonts w:ascii="Garamond" w:eastAsia="Garamond" w:hAnsi="Garamond" w:cs="Garamond"/>
        </w:rPr>
        <w:t>,</w:t>
      </w:r>
      <w:r>
        <w:rPr>
          <w:rFonts w:ascii="Garamond" w:eastAsia="Garamond" w:hAnsi="Garamond" w:cs="Garamond"/>
        </w:rPr>
        <w:t xml:space="preserve"> we would recommend employing </w:t>
      </w:r>
      <w:r w:rsidR="00516870">
        <w:rPr>
          <w:rFonts w:ascii="Garamond" w:eastAsia="Garamond" w:hAnsi="Garamond" w:cs="Garamond"/>
        </w:rPr>
        <w:t>S</w:t>
      </w:r>
      <w:r>
        <w:rPr>
          <w:rFonts w:ascii="Garamond" w:eastAsia="Garamond" w:hAnsi="Garamond" w:cs="Garamond"/>
        </w:rPr>
        <w:t xml:space="preserve">entinel imagery for land classifications and producing WQ algorithms to produce water clarity </w:t>
      </w:r>
      <w:proofErr w:type="spellStart"/>
      <w:r>
        <w:rPr>
          <w:rFonts w:ascii="Garamond" w:eastAsia="Garamond" w:hAnsi="Garamond" w:cs="Garamond"/>
        </w:rPr>
        <w:t>rasters</w:t>
      </w:r>
      <w:proofErr w:type="spellEnd"/>
      <w:r>
        <w:rPr>
          <w:rFonts w:ascii="Garamond" w:eastAsia="Garamond" w:hAnsi="Garamond" w:cs="Garamond"/>
        </w:rPr>
        <w:t xml:space="preserve"> in missing years of data. To strengthen the accuracy of our classification we would recommend exploring threshold method to classify land cover and increase distinguishability between classes of agriculture. Using high resolution NLCD and NRCS </w:t>
      </w:r>
      <w:proofErr w:type="spellStart"/>
      <w:r>
        <w:rPr>
          <w:rFonts w:ascii="Garamond" w:eastAsia="Garamond" w:hAnsi="Garamond" w:cs="Garamond"/>
        </w:rPr>
        <w:t>WorldView</w:t>
      </w:r>
      <w:proofErr w:type="spellEnd"/>
      <w:r>
        <w:rPr>
          <w:rFonts w:ascii="Garamond" w:eastAsia="Garamond" w:hAnsi="Garamond" w:cs="Garamond"/>
        </w:rPr>
        <w:t xml:space="preserve"> for available years would help validate areas of small change. Using larger and more continuous sample data sets would help validate turbidity values, as well as calibrated coefficients for WQ parameters' algorithms specific to West Maui. More accurate land classifications coupled with more widely validated water quality parameters with the knowledge of site</w:t>
      </w:r>
      <w:r w:rsidR="00C93A5A">
        <w:rPr>
          <w:rFonts w:ascii="Garamond" w:eastAsia="Garamond" w:hAnsi="Garamond" w:cs="Garamond"/>
        </w:rPr>
        <w:t>-</w:t>
      </w:r>
      <w:r>
        <w:rPr>
          <w:rFonts w:ascii="Garamond" w:eastAsia="Garamond" w:hAnsi="Garamond" w:cs="Garamond"/>
        </w:rPr>
        <w:t xml:space="preserve">specific lag time of the hydrological system would allow statistical significance to be tested to conclude whether LBSP are the min stressor of coral reefs. Correlating coral reef mass coupled with the knowledge of ocean dynamics like currents would also shed light on spatial correlation with certain agricultural regions and decline nearby in coral. </w:t>
      </w:r>
    </w:p>
    <w:p w:rsidR="006557F0" w:rsidRDefault="00EC60AB">
      <w:pPr>
        <w:pStyle w:val="Heading1"/>
        <w:spacing w:before="200" w:line="240" w:lineRule="auto"/>
        <w:rPr>
          <w:rFonts w:ascii="Garamond" w:eastAsia="Garamond" w:hAnsi="Garamond" w:cs="Garamond"/>
        </w:rPr>
      </w:pPr>
      <w:bookmarkStart w:id="3" w:name="_inud1n1xcmrl" w:colFirst="0" w:colLast="0"/>
      <w:bookmarkEnd w:id="3"/>
      <w:r>
        <w:rPr>
          <w:rFonts w:ascii="Garamond" w:eastAsia="Garamond" w:hAnsi="Garamond" w:cs="Garamond"/>
        </w:rPr>
        <w:lastRenderedPageBreak/>
        <w:t>6. Conclusion</w:t>
      </w:r>
    </w:p>
    <w:p w:rsidR="006557F0" w:rsidRDefault="00EC60AB">
      <w:pPr>
        <w:pStyle w:val="Heading1"/>
        <w:spacing w:before="200" w:line="240" w:lineRule="auto"/>
      </w:pPr>
      <w:bookmarkStart w:id="4" w:name="_2uhhsjajwdzj" w:colFirst="0" w:colLast="0"/>
      <w:bookmarkEnd w:id="4"/>
      <w:r>
        <w:rPr>
          <w:rFonts w:ascii="Garamond" w:eastAsia="Garamond" w:hAnsi="Garamond" w:cs="Garamond"/>
          <w:b w:val="0"/>
          <w:color w:val="000000"/>
          <w:sz w:val="22"/>
          <w:szCs w:val="22"/>
        </w:rPr>
        <w:t xml:space="preserve">This project provided the USCRTF and Hawai’i </w:t>
      </w:r>
      <w:bookmarkStart w:id="5" w:name="_GoBack"/>
      <w:r>
        <w:rPr>
          <w:rFonts w:ascii="Garamond" w:eastAsia="Garamond" w:hAnsi="Garamond" w:cs="Garamond"/>
          <w:b w:val="0"/>
          <w:color w:val="000000"/>
          <w:sz w:val="22"/>
          <w:szCs w:val="22"/>
        </w:rPr>
        <w:t xml:space="preserve">DLNR-DAR </w:t>
      </w:r>
      <w:bookmarkEnd w:id="5"/>
      <w:r>
        <w:rPr>
          <w:rFonts w:ascii="Garamond" w:eastAsia="Garamond" w:hAnsi="Garamond" w:cs="Garamond"/>
          <w:b w:val="0"/>
          <w:color w:val="000000"/>
          <w:sz w:val="22"/>
          <w:szCs w:val="22"/>
        </w:rPr>
        <w:t xml:space="preserve">with a tool to monitor LULCC, turbidity, </w:t>
      </w:r>
      <w:proofErr w:type="spellStart"/>
      <w:r>
        <w:rPr>
          <w:rFonts w:ascii="Garamond" w:eastAsia="Garamond" w:hAnsi="Garamond" w:cs="Garamond"/>
          <w:b w:val="0"/>
          <w:color w:val="000000"/>
          <w:sz w:val="22"/>
          <w:szCs w:val="22"/>
        </w:rPr>
        <w:t>chl</w:t>
      </w:r>
      <w:proofErr w:type="spellEnd"/>
      <w:r>
        <w:rPr>
          <w:rFonts w:ascii="Garamond" w:eastAsia="Garamond" w:hAnsi="Garamond" w:cs="Garamond"/>
          <w:b w:val="0"/>
          <w:color w:val="000000"/>
          <w:sz w:val="22"/>
          <w:szCs w:val="22"/>
        </w:rPr>
        <w:t xml:space="preserve">-a, precipitation, and sea surface temperature in West Maui, Hawai’i using NASA Earth observations. The tool allows users to input parameters including date range and desired watersheds. Once parameters have been set, the tool </w:t>
      </w:r>
      <w:r w:rsidR="00516870">
        <w:rPr>
          <w:rFonts w:ascii="Garamond" w:eastAsia="Garamond" w:hAnsi="Garamond" w:cs="Garamond"/>
          <w:b w:val="0"/>
          <w:color w:val="000000"/>
          <w:sz w:val="22"/>
          <w:szCs w:val="22"/>
        </w:rPr>
        <w:t>creates</w:t>
      </w:r>
      <w:r>
        <w:rPr>
          <w:rFonts w:ascii="Garamond" w:eastAsia="Garamond" w:hAnsi="Garamond" w:cs="Garamond"/>
          <w:b w:val="0"/>
          <w:color w:val="000000"/>
          <w:sz w:val="22"/>
          <w:szCs w:val="22"/>
        </w:rPr>
        <w:t xml:space="preserve"> the desired maps of the watersheds along with complimentary time series charts to better understand trends in the data. </w:t>
      </w:r>
    </w:p>
    <w:p w:rsidR="006557F0" w:rsidRDefault="00EC60AB">
      <w:pPr>
        <w:spacing w:before="200" w:after="0"/>
        <w:rPr>
          <w:rFonts w:ascii="Garamond" w:eastAsia="Garamond" w:hAnsi="Garamond" w:cs="Garamond"/>
          <w:color w:val="000000"/>
        </w:rPr>
      </w:pPr>
      <w:r>
        <w:rPr>
          <w:rFonts w:ascii="Garamond" w:eastAsia="Garamond" w:hAnsi="Garamond" w:cs="Garamond"/>
        </w:rPr>
        <w:t xml:space="preserve">In our water quality analysis, we were able to reveal spatial patterns in turbidity, </w:t>
      </w:r>
      <w:proofErr w:type="spellStart"/>
      <w:proofErr w:type="gramStart"/>
      <w:r>
        <w:rPr>
          <w:rFonts w:ascii="Garamond" w:eastAsia="Garamond" w:hAnsi="Garamond" w:cs="Garamond"/>
        </w:rPr>
        <w:t>K</w:t>
      </w:r>
      <w:r>
        <w:rPr>
          <w:rFonts w:ascii="Garamond" w:eastAsia="Garamond" w:hAnsi="Garamond" w:cs="Garamond"/>
          <w:vertAlign w:val="subscript"/>
        </w:rPr>
        <w:t>d</w:t>
      </w:r>
      <w:proofErr w:type="spellEnd"/>
      <w:r>
        <w:rPr>
          <w:rFonts w:ascii="Garamond" w:eastAsia="Garamond" w:hAnsi="Garamond" w:cs="Garamond"/>
        </w:rPr>
        <w:t>(</w:t>
      </w:r>
      <w:proofErr w:type="gramEnd"/>
      <w:r>
        <w:rPr>
          <w:rFonts w:ascii="Garamond" w:eastAsia="Garamond" w:hAnsi="Garamond" w:cs="Garamond"/>
        </w:rPr>
        <w:t xml:space="preserve">PAR), and </w:t>
      </w:r>
      <w:proofErr w:type="spellStart"/>
      <w:r>
        <w:rPr>
          <w:rFonts w:ascii="Garamond" w:eastAsia="Garamond" w:hAnsi="Garamond" w:cs="Garamond"/>
        </w:rPr>
        <w:t>chl</w:t>
      </w:r>
      <w:proofErr w:type="spellEnd"/>
      <w:r>
        <w:rPr>
          <w:rFonts w:ascii="Garamond" w:eastAsia="Garamond" w:hAnsi="Garamond" w:cs="Garamond"/>
        </w:rPr>
        <w:t xml:space="preserve">-a using our water quality algorithms in Google Earth Engine. Due to limitations in validation data and a lack of calibrated algorithms, we were not confident that the scale of the values returned by these algorithms were accurate. We found that the bottom water reflectance of coral reef areas hindered the detection of turbidity in coastal waters, and that the field of remote sensing currently lacks a reliable </w:t>
      </w:r>
      <w:proofErr w:type="spellStart"/>
      <w:r>
        <w:rPr>
          <w:rFonts w:ascii="Garamond" w:eastAsia="Garamond" w:hAnsi="Garamond" w:cs="Garamond"/>
        </w:rPr>
        <w:t>chl</w:t>
      </w:r>
      <w:proofErr w:type="spellEnd"/>
      <w:r>
        <w:rPr>
          <w:rFonts w:ascii="Garamond" w:eastAsia="Garamond" w:hAnsi="Garamond" w:cs="Garamond"/>
        </w:rPr>
        <w:t>-a algorithm that is suited to the tropical waters of West Maui.</w:t>
      </w:r>
    </w:p>
    <w:p w:rsidR="006557F0" w:rsidRDefault="00EC60AB">
      <w:pPr>
        <w:pStyle w:val="Heading1"/>
        <w:spacing w:before="200" w:line="240" w:lineRule="auto"/>
        <w:rPr>
          <w:rFonts w:ascii="Garamond" w:eastAsia="Garamond" w:hAnsi="Garamond" w:cs="Garamond"/>
          <w:b w:val="0"/>
          <w:color w:val="000000"/>
          <w:sz w:val="22"/>
          <w:szCs w:val="22"/>
        </w:rPr>
      </w:pPr>
      <w:bookmarkStart w:id="6" w:name="_9vnzf5i0eiv2" w:colFirst="0" w:colLast="0"/>
      <w:bookmarkEnd w:id="6"/>
      <w:r>
        <w:rPr>
          <w:rFonts w:ascii="Garamond" w:eastAsia="Garamond" w:hAnsi="Garamond" w:cs="Garamond"/>
          <w:b w:val="0"/>
          <w:color w:val="000000"/>
          <w:sz w:val="22"/>
          <w:szCs w:val="22"/>
        </w:rPr>
        <w:t>In addition to the Google Earth Engine tool and the water quality analysis, we provided the end users with a mapped 30-year time series analysis of land cover and vegetation change in West Maui. Our land cover results show that yearly composites of Landsat imagery can reliably detect shifts in agricultural practices when classified by the CART classification method in Google Earth Engine. This process produced usable results for all of the years in the study period that had available imagery, but was severely hindered when there were only a few viable images or in areas that were covered by clouds for an entire year of images. We also found that NDVI change maps using these image composites were useful for studying specific vegetation shifts, and that they gave useful insight into some of the overarching economic and climatic drivers of landscape change in the area.</w:t>
      </w:r>
    </w:p>
    <w:p w:rsidR="006557F0" w:rsidRDefault="00EC60AB">
      <w:pPr>
        <w:pStyle w:val="Heading1"/>
        <w:spacing w:before="200" w:line="240" w:lineRule="auto"/>
      </w:pPr>
      <w:bookmarkStart w:id="7" w:name="_tbpcnnw0tneh" w:colFirst="0" w:colLast="0"/>
      <w:bookmarkEnd w:id="7"/>
      <w:r>
        <w:rPr>
          <w:rFonts w:ascii="Garamond" w:eastAsia="Garamond" w:hAnsi="Garamond" w:cs="Garamond"/>
          <w:b w:val="0"/>
          <w:color w:val="000000"/>
          <w:sz w:val="22"/>
          <w:szCs w:val="22"/>
        </w:rPr>
        <w:t>The TIME Tool and associated static products will improve the geospatial monitoring capabilities of the organizations by enabling them to correlate changes in water quality with changes in land use and potentially identify the sources of observed disturbances in reef cover. By being able to identify the sources of major historical disturbances, stakeholders will be able to create watershed management plans that better consider how changes in land use affect the health of coral reefs.</w:t>
      </w:r>
    </w:p>
    <w:p w:rsidR="006557F0" w:rsidRDefault="00EC60AB">
      <w:pPr>
        <w:pStyle w:val="Heading1"/>
        <w:spacing w:before="200" w:line="240" w:lineRule="auto"/>
        <w:rPr>
          <w:rFonts w:ascii="Garamond" w:eastAsia="Garamond" w:hAnsi="Garamond" w:cs="Garamond"/>
        </w:rPr>
      </w:pPr>
      <w:r>
        <w:rPr>
          <w:rFonts w:ascii="Garamond" w:eastAsia="Garamond" w:hAnsi="Garamond" w:cs="Garamond"/>
        </w:rPr>
        <w:t>7. Acknowledgments</w:t>
      </w:r>
    </w:p>
    <w:p w:rsidR="006557F0" w:rsidRDefault="00EC60AB">
      <w:pPr>
        <w:spacing w:before="200" w:line="240" w:lineRule="auto"/>
        <w:rPr>
          <w:rFonts w:ascii="Times New Roman" w:eastAsia="Times New Roman" w:hAnsi="Times New Roman" w:cs="Times New Roman"/>
          <w:sz w:val="24"/>
          <w:szCs w:val="24"/>
        </w:rPr>
      </w:pPr>
      <w:r>
        <w:rPr>
          <w:rFonts w:ascii="Garamond" w:eastAsia="Garamond" w:hAnsi="Garamond" w:cs="Garamond"/>
          <w:color w:val="000000"/>
        </w:rPr>
        <w:t xml:space="preserve">The </w:t>
      </w:r>
      <w:r>
        <w:rPr>
          <w:rFonts w:ascii="Garamond" w:eastAsia="Garamond" w:hAnsi="Garamond" w:cs="Garamond"/>
        </w:rPr>
        <w:t>Hawai’i</w:t>
      </w:r>
      <w:r>
        <w:rPr>
          <w:rFonts w:ascii="Garamond" w:eastAsia="Garamond" w:hAnsi="Garamond" w:cs="Garamond"/>
          <w:color w:val="000000"/>
        </w:rPr>
        <w:t xml:space="preserve"> Water Resources Team would like to thank all of our mentors and partners who helped make this project possible. We would like to especially thank:</w:t>
      </w:r>
    </w:p>
    <w:p w:rsidR="006557F0" w:rsidRDefault="00EC60AB">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 xml:space="preserve">Tova </w:t>
      </w:r>
      <w:proofErr w:type="spellStart"/>
      <w:r>
        <w:rPr>
          <w:rFonts w:ascii="Garamond" w:eastAsia="Garamond" w:hAnsi="Garamond" w:cs="Garamond"/>
          <w:color w:val="000000"/>
        </w:rPr>
        <w:t>Callender</w:t>
      </w:r>
      <w:proofErr w:type="spellEnd"/>
      <w:r>
        <w:rPr>
          <w:rFonts w:ascii="Garamond" w:eastAsia="Garamond" w:hAnsi="Garamond" w:cs="Garamond"/>
          <w:color w:val="000000"/>
        </w:rPr>
        <w:t xml:space="preserve"> (West Maui Ridge to Reef Initiative)</w:t>
      </w:r>
    </w:p>
    <w:p w:rsidR="006557F0" w:rsidRDefault="00EC60AB">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Russel Sparks (</w:t>
      </w:r>
      <w:r>
        <w:rPr>
          <w:rFonts w:ascii="Garamond" w:eastAsia="Garamond" w:hAnsi="Garamond" w:cs="Garamond"/>
        </w:rPr>
        <w:t>Hawai’i</w:t>
      </w:r>
      <w:r>
        <w:rPr>
          <w:rFonts w:ascii="Garamond" w:eastAsia="Garamond" w:hAnsi="Garamond" w:cs="Garamond"/>
          <w:color w:val="000000"/>
        </w:rPr>
        <w:t xml:space="preserve"> Department of Land and Natural Resources)</w:t>
      </w:r>
    </w:p>
    <w:p w:rsidR="006557F0" w:rsidRDefault="00EC60AB">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 xml:space="preserve">Curt </w:t>
      </w:r>
      <w:proofErr w:type="spellStart"/>
      <w:r>
        <w:rPr>
          <w:rFonts w:ascii="Garamond" w:eastAsia="Garamond" w:hAnsi="Garamond" w:cs="Garamond"/>
          <w:color w:val="000000"/>
        </w:rPr>
        <w:t>Storlazzi</w:t>
      </w:r>
      <w:proofErr w:type="spellEnd"/>
      <w:r>
        <w:rPr>
          <w:rFonts w:ascii="Garamond" w:eastAsia="Garamond" w:hAnsi="Garamond" w:cs="Garamond"/>
          <w:color w:val="000000"/>
        </w:rPr>
        <w:t xml:space="preserve"> (US </w:t>
      </w:r>
      <w:r>
        <w:rPr>
          <w:rFonts w:ascii="Garamond" w:eastAsia="Garamond" w:hAnsi="Garamond" w:cs="Garamond"/>
        </w:rPr>
        <w:t>Geological</w:t>
      </w:r>
      <w:r>
        <w:rPr>
          <w:rFonts w:ascii="Garamond" w:eastAsia="Garamond" w:hAnsi="Garamond" w:cs="Garamond"/>
          <w:color w:val="000000"/>
        </w:rPr>
        <w:t xml:space="preserve"> Survey)</w:t>
      </w:r>
    </w:p>
    <w:p w:rsidR="006557F0" w:rsidRDefault="00EC60AB">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Dr. Juan Torres-Pérez (Bay Area Environmental Research Institute, NASA Ames Research Center)</w:t>
      </w:r>
    </w:p>
    <w:p w:rsidR="006557F0" w:rsidRDefault="00EC60AB">
      <w:pPr>
        <w:numPr>
          <w:ilvl w:val="0"/>
          <w:numId w:val="2"/>
        </w:numPr>
        <w:spacing w:after="0" w:line="240" w:lineRule="auto"/>
        <w:rPr>
          <w:rFonts w:ascii="Garamond" w:eastAsia="Garamond" w:hAnsi="Garamond" w:cs="Garamond"/>
        </w:rPr>
      </w:pPr>
      <w:r>
        <w:rPr>
          <w:rFonts w:ascii="Garamond" w:eastAsia="Garamond" w:hAnsi="Garamond" w:cs="Garamond"/>
        </w:rPr>
        <w:t xml:space="preserve">Dr. William J Hernández-López (University of Puerto Rico) </w:t>
      </w:r>
    </w:p>
    <w:p w:rsidR="006557F0" w:rsidRDefault="00EC60AB">
      <w:pPr>
        <w:numPr>
          <w:ilvl w:val="0"/>
          <w:numId w:val="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Gina Cova, DEVELOP Fellow (NASA Ames Research Center)</w:t>
      </w:r>
    </w:p>
    <w:p w:rsidR="006557F0" w:rsidRDefault="00EC60AB">
      <w:pPr>
        <w:numPr>
          <w:ilvl w:val="0"/>
          <w:numId w:val="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Zachary Bengtsson, DEVELOP Fellow (NASA Ames Research Center)</w:t>
      </w:r>
    </w:p>
    <w:p w:rsidR="006557F0" w:rsidRDefault="00EC60AB">
      <w:pPr>
        <w:numPr>
          <w:ilvl w:val="0"/>
          <w:numId w:val="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John </w:t>
      </w:r>
      <w:proofErr w:type="spellStart"/>
      <w:r>
        <w:rPr>
          <w:rFonts w:ascii="Garamond" w:eastAsia="Garamond" w:hAnsi="Garamond" w:cs="Garamond"/>
        </w:rPr>
        <w:t>Dilger</w:t>
      </w:r>
      <w:proofErr w:type="spellEnd"/>
      <w:r>
        <w:rPr>
          <w:rFonts w:ascii="Garamond" w:eastAsia="Garamond" w:hAnsi="Garamond" w:cs="Garamond"/>
        </w:rPr>
        <w:t>, Science Advisor (Spatial Informatics Group, LLC)</w:t>
      </w:r>
    </w:p>
    <w:p w:rsidR="006557F0" w:rsidRDefault="00EC60AB">
      <w:pPr>
        <w:numPr>
          <w:ilvl w:val="0"/>
          <w:numId w:val="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Lorenzo </w:t>
      </w:r>
      <w:proofErr w:type="spellStart"/>
      <w:r>
        <w:rPr>
          <w:rFonts w:ascii="Garamond" w:eastAsia="Garamond" w:hAnsi="Garamond" w:cs="Garamond"/>
        </w:rPr>
        <w:t>Terezi</w:t>
      </w:r>
      <w:proofErr w:type="spellEnd"/>
      <w:r>
        <w:rPr>
          <w:rFonts w:ascii="Garamond" w:eastAsia="Garamond" w:hAnsi="Garamond" w:cs="Garamond"/>
        </w:rPr>
        <w:t xml:space="preserve"> (NASA Ames Research Center)</w:t>
      </w:r>
    </w:p>
    <w:p w:rsidR="006557F0" w:rsidRDefault="00EC60AB">
      <w:pPr>
        <w:spacing w:before="200" w:after="0" w:line="240" w:lineRule="auto"/>
        <w:rPr>
          <w:rFonts w:ascii="Garamond" w:eastAsia="Garamond" w:hAnsi="Garamond" w:cs="Garamond"/>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rsidR="006557F0" w:rsidRDefault="00EC60AB">
      <w:pPr>
        <w:spacing w:before="200"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rsidR="006557F0" w:rsidRDefault="00EC60AB">
      <w:pPr>
        <w:pStyle w:val="Heading1"/>
        <w:spacing w:before="200" w:after="200" w:line="240" w:lineRule="auto"/>
        <w:rPr>
          <w:rFonts w:ascii="Garamond" w:eastAsia="Garamond" w:hAnsi="Garamond" w:cs="Garamond"/>
        </w:rPr>
      </w:pPr>
      <w:r>
        <w:rPr>
          <w:rFonts w:ascii="Garamond" w:eastAsia="Garamond" w:hAnsi="Garamond" w:cs="Garamond"/>
        </w:rPr>
        <w:lastRenderedPageBreak/>
        <w:t>8. Glossary</w:t>
      </w: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b/>
          <w:color w:val="000000"/>
        </w:rPr>
        <w:t xml:space="preserve">Chlorophyll-a - </w:t>
      </w:r>
      <w:r>
        <w:rPr>
          <w:rFonts w:ascii="Garamond" w:eastAsia="Garamond" w:hAnsi="Garamond" w:cs="Garamond"/>
          <w:color w:val="000000"/>
        </w:rPr>
        <w:t>A form of chlorophyll used in photosynthesis; it reflects visible light in the green wavelength and it can be used to calculate concentrations of photosynthesizing aquatic organisms from satellite imagery.</w:t>
      </w: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b/>
          <w:color w:val="000000"/>
        </w:rPr>
        <w:t xml:space="preserve">DLNR-DAR - </w:t>
      </w:r>
      <w:r>
        <w:rPr>
          <w:rFonts w:ascii="Garamond" w:eastAsia="Garamond" w:hAnsi="Garamond" w:cs="Garamond"/>
          <w:color w:val="000000"/>
        </w:rPr>
        <w:t>Department of Land and Natural Resources- Department of Aquatic Resources</w:t>
      </w: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b/>
          <w:color w:val="000000"/>
        </w:rPr>
        <w:t>Earth observations</w:t>
      </w:r>
      <w:r>
        <w:rPr>
          <w:rFonts w:ascii="Garamond" w:eastAsia="Garamond" w:hAnsi="Garamond" w:cs="Garamond"/>
          <w:color w:val="000000"/>
        </w:rPr>
        <w:t xml:space="preserve"> – Satellites and sensors that collect information about the Earth’s physical, chemical, and biological systems over space and time</w:t>
      </w: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b/>
          <w:color w:val="000000"/>
        </w:rPr>
        <w:t>Ecosystem Services</w:t>
      </w:r>
      <w:r>
        <w:rPr>
          <w:rFonts w:ascii="Garamond" w:eastAsia="Garamond" w:hAnsi="Garamond" w:cs="Garamond"/>
          <w:color w:val="000000"/>
        </w:rPr>
        <w:t xml:space="preserve"> – Natural ecological processes that are beneficial to humans</w:t>
      </w: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b/>
          <w:color w:val="000000"/>
        </w:rPr>
        <w:t>GEE</w:t>
      </w:r>
      <w:r>
        <w:rPr>
          <w:rFonts w:ascii="Garamond" w:eastAsia="Garamond" w:hAnsi="Garamond" w:cs="Garamond"/>
          <w:color w:val="000000"/>
        </w:rPr>
        <w:t xml:space="preserve"> – Google Earth Engine</w:t>
      </w: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b/>
          <w:color w:val="000000"/>
        </w:rPr>
        <w:t xml:space="preserve">LULCC - </w:t>
      </w:r>
      <w:r>
        <w:rPr>
          <w:rFonts w:ascii="Garamond" w:eastAsia="Garamond" w:hAnsi="Garamond" w:cs="Garamond"/>
          <w:color w:val="000000"/>
        </w:rPr>
        <w:t>Land Use Land Cover Change</w:t>
      </w: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b/>
          <w:color w:val="000000"/>
        </w:rPr>
        <w:t xml:space="preserve">LBSP - </w:t>
      </w:r>
      <w:r>
        <w:rPr>
          <w:rFonts w:ascii="Garamond" w:eastAsia="Garamond" w:hAnsi="Garamond" w:cs="Garamond"/>
          <w:color w:val="000000"/>
        </w:rPr>
        <w:t>Land Based Sources of Pollution</w:t>
      </w: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b/>
          <w:color w:val="000000"/>
        </w:rPr>
        <w:t>MODIS</w:t>
      </w:r>
      <w:r>
        <w:rPr>
          <w:rFonts w:ascii="Garamond" w:eastAsia="Garamond" w:hAnsi="Garamond" w:cs="Garamond"/>
          <w:color w:val="000000"/>
        </w:rPr>
        <w:t xml:space="preserve"> – </w:t>
      </w:r>
      <w:proofErr w:type="spellStart"/>
      <w:r>
        <w:rPr>
          <w:rFonts w:ascii="Garamond" w:eastAsia="Garamond" w:hAnsi="Garamond" w:cs="Garamond"/>
          <w:color w:val="000000"/>
        </w:rPr>
        <w:t>MODerate</w:t>
      </w:r>
      <w:proofErr w:type="spellEnd"/>
      <w:r>
        <w:rPr>
          <w:rFonts w:ascii="Garamond" w:eastAsia="Garamond" w:hAnsi="Garamond" w:cs="Garamond"/>
          <w:color w:val="000000"/>
        </w:rPr>
        <w:t xml:space="preserve"> resolution Imaging Spectroradiometer</w:t>
      </w: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b/>
          <w:color w:val="000000"/>
        </w:rPr>
        <w:t>Turbidity</w:t>
      </w:r>
      <w:r>
        <w:rPr>
          <w:rFonts w:ascii="Garamond" w:eastAsia="Garamond" w:hAnsi="Garamond" w:cs="Garamond"/>
          <w:color w:val="000000"/>
        </w:rPr>
        <w:t xml:space="preserve"> – A measure of water clarity in which high turbidity corresponds to a large presence of suspended matter</w:t>
      </w:r>
    </w:p>
    <w:p w:rsidR="006557F0" w:rsidRDefault="00EC60AB" w:rsidP="00494FD8">
      <w:pPr>
        <w:spacing w:after="0" w:line="240" w:lineRule="auto"/>
        <w:rPr>
          <w:rFonts w:ascii="Garamond" w:eastAsia="Garamond" w:hAnsi="Garamond" w:cs="Garamond"/>
          <w:color w:val="000000"/>
        </w:rPr>
      </w:pPr>
      <w:r>
        <w:rPr>
          <w:rFonts w:ascii="Garamond" w:eastAsia="Garamond" w:hAnsi="Garamond" w:cs="Garamond"/>
          <w:b/>
          <w:color w:val="000000"/>
        </w:rPr>
        <w:t xml:space="preserve">USCRTF - </w:t>
      </w:r>
      <w:r>
        <w:rPr>
          <w:rFonts w:ascii="Garamond" w:eastAsia="Garamond" w:hAnsi="Garamond" w:cs="Garamond"/>
          <w:color w:val="000000"/>
        </w:rPr>
        <w:t>United States Coral Reef Task Force</w:t>
      </w:r>
    </w:p>
    <w:p w:rsidR="00516870" w:rsidRPr="00494FD8" w:rsidRDefault="00516870" w:rsidP="00494FD8">
      <w:pPr>
        <w:spacing w:after="0" w:line="240" w:lineRule="auto"/>
        <w:rPr>
          <w:rFonts w:ascii="Times New Roman" w:eastAsia="Times New Roman" w:hAnsi="Times New Roman" w:cs="Times New Roman"/>
          <w:sz w:val="24"/>
          <w:szCs w:val="24"/>
        </w:rPr>
      </w:pPr>
    </w:p>
    <w:p w:rsidR="006557F0" w:rsidRDefault="00EC60AB">
      <w:pPr>
        <w:pStyle w:val="Heading1"/>
        <w:spacing w:before="0" w:after="200" w:line="240" w:lineRule="auto"/>
        <w:rPr>
          <w:rFonts w:ascii="Garamond" w:eastAsia="Garamond" w:hAnsi="Garamond" w:cs="Garamond"/>
        </w:rPr>
      </w:pPr>
      <w:r>
        <w:rPr>
          <w:rFonts w:ascii="Garamond" w:eastAsia="Garamond" w:hAnsi="Garamond" w:cs="Garamond"/>
        </w:rPr>
        <w:t>9. References</w:t>
      </w:r>
    </w:p>
    <w:p w:rsidR="006557F0" w:rsidRDefault="00EC60AB">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 xml:space="preserve">Cesar H. S. J., &amp; van </w:t>
      </w:r>
      <w:proofErr w:type="spellStart"/>
      <w:r>
        <w:rPr>
          <w:rFonts w:ascii="Garamond" w:eastAsia="Garamond" w:hAnsi="Garamond" w:cs="Garamond"/>
          <w:color w:val="000000"/>
        </w:rPr>
        <w:t>Beukering</w:t>
      </w:r>
      <w:proofErr w:type="spellEnd"/>
      <w:r>
        <w:rPr>
          <w:rFonts w:ascii="Garamond" w:eastAsia="Garamond" w:hAnsi="Garamond" w:cs="Garamond"/>
          <w:color w:val="000000"/>
        </w:rPr>
        <w:t xml:space="preserve"> J. H. (2004). Economic Valuation of the Coral Reefs of </w:t>
      </w:r>
      <w:r>
        <w:rPr>
          <w:rFonts w:ascii="Garamond" w:eastAsia="Garamond" w:hAnsi="Garamond" w:cs="Garamond"/>
        </w:rPr>
        <w:t>Hawai’i</w:t>
      </w:r>
      <w:r>
        <w:rPr>
          <w:rFonts w:ascii="Garamond" w:eastAsia="Garamond" w:hAnsi="Garamond" w:cs="Garamond"/>
          <w:color w:val="000000"/>
        </w:rPr>
        <w:t xml:space="preserve">. </w:t>
      </w:r>
      <w:r>
        <w:rPr>
          <w:rFonts w:ascii="Garamond" w:eastAsia="Garamond" w:hAnsi="Garamond" w:cs="Garamond"/>
          <w:i/>
          <w:color w:val="000000"/>
        </w:rPr>
        <w:t>Pacific</w:t>
      </w:r>
      <w:r>
        <w:rPr>
          <w:rFonts w:ascii="Garamond" w:eastAsia="Garamond" w:hAnsi="Garamond" w:cs="Garamond"/>
        </w:rPr>
        <w:t> </w:t>
      </w:r>
    </w:p>
    <w:p w:rsidR="007579C0" w:rsidRDefault="00EC60AB" w:rsidP="007579C0">
      <w:pPr>
        <w:pBdr>
          <w:top w:val="nil"/>
          <w:left w:val="nil"/>
          <w:bottom w:val="nil"/>
          <w:right w:val="nil"/>
          <w:between w:val="nil"/>
        </w:pBdr>
        <w:spacing w:after="0" w:line="240" w:lineRule="auto"/>
        <w:ind w:left="720"/>
        <w:rPr>
          <w:rFonts w:ascii="Garamond" w:eastAsia="Garamond" w:hAnsi="Garamond" w:cs="Garamond"/>
        </w:rPr>
      </w:pPr>
      <w:r>
        <w:rPr>
          <w:rFonts w:ascii="Garamond" w:eastAsia="Garamond" w:hAnsi="Garamond" w:cs="Garamond"/>
        </w:rPr>
        <w:t>Science, 58(2):231-242. </w:t>
      </w:r>
    </w:p>
    <w:p w:rsidR="006557F0" w:rsidRDefault="00EC60AB" w:rsidP="007579C0">
      <w:pPr>
        <w:pBdr>
          <w:top w:val="nil"/>
          <w:left w:val="nil"/>
          <w:bottom w:val="nil"/>
          <w:right w:val="nil"/>
          <w:between w:val="nil"/>
        </w:pBdr>
        <w:spacing w:after="0" w:line="240" w:lineRule="auto"/>
        <w:ind w:left="720"/>
        <w:rPr>
          <w:rFonts w:ascii="Garamond" w:eastAsia="Garamond" w:hAnsi="Garamond" w:cs="Garamond"/>
        </w:rPr>
      </w:pPr>
      <w:r>
        <w:rPr>
          <w:rFonts w:ascii="Garamond" w:eastAsia="Garamond" w:hAnsi="Garamond" w:cs="Garamond"/>
        </w:rPr>
        <w:t>https://www.researchgate.net/publication/29737940_Economic_ Valuation_of_the_Coral_Reefs_of_Hawai’i Hawai’i</w:t>
      </w:r>
    </w:p>
    <w:p w:rsidR="006557F0" w:rsidRDefault="006557F0">
      <w:pPr>
        <w:pBdr>
          <w:top w:val="nil"/>
          <w:left w:val="nil"/>
          <w:bottom w:val="nil"/>
          <w:right w:val="nil"/>
          <w:between w:val="nil"/>
        </w:pBdr>
        <w:spacing w:after="0" w:line="240" w:lineRule="auto"/>
        <w:ind w:firstLine="720"/>
        <w:rPr>
          <w:rFonts w:ascii="Garamond" w:eastAsia="Garamond" w:hAnsi="Garamond" w:cs="Garamond"/>
        </w:rPr>
      </w:pPr>
    </w:p>
    <w:p w:rsidR="006557F0" w:rsidRDefault="00EC60AB" w:rsidP="007579C0">
      <w:pPr>
        <w:pBdr>
          <w:top w:val="nil"/>
          <w:left w:val="nil"/>
          <w:bottom w:val="nil"/>
          <w:right w:val="nil"/>
          <w:between w:val="nil"/>
        </w:pBdr>
        <w:spacing w:after="0" w:line="240" w:lineRule="auto"/>
        <w:ind w:left="720" w:hanging="720"/>
        <w:rPr>
          <w:rFonts w:ascii="Garamond" w:eastAsia="Garamond" w:hAnsi="Garamond" w:cs="Garamond"/>
        </w:rPr>
      </w:pPr>
      <w:proofErr w:type="spellStart"/>
      <w:r>
        <w:rPr>
          <w:rFonts w:ascii="Garamond" w:eastAsia="Garamond" w:hAnsi="Garamond" w:cs="Garamond"/>
        </w:rPr>
        <w:t>Clow</w:t>
      </w:r>
      <w:proofErr w:type="spellEnd"/>
      <w:r>
        <w:rPr>
          <w:rFonts w:ascii="Garamond" w:eastAsia="Garamond" w:hAnsi="Garamond" w:cs="Garamond"/>
        </w:rPr>
        <w:t>, G.,</w:t>
      </w:r>
      <w:r w:rsidR="0061303A">
        <w:rPr>
          <w:rFonts w:ascii="Garamond" w:eastAsia="Garamond" w:hAnsi="Garamond" w:cs="Garamond"/>
        </w:rPr>
        <w:t xml:space="preserve"> Cova, G.,</w:t>
      </w:r>
      <w:r>
        <w:rPr>
          <w:rFonts w:ascii="Garamond" w:eastAsia="Garamond" w:hAnsi="Garamond" w:cs="Garamond"/>
        </w:rPr>
        <w:t xml:space="preserve"> Breen, G., Zhang, M. (2019). Chile Water Resources: Monitoring the Extent and Distribution of Saline Systems in Chile’s Atacama Desert Utilizing NASA Earth Observations. NASA DEVELOP.</w:t>
      </w:r>
    </w:p>
    <w:p w:rsidR="006557F0" w:rsidRDefault="006557F0" w:rsidP="007579C0">
      <w:pPr>
        <w:pBdr>
          <w:top w:val="nil"/>
          <w:left w:val="nil"/>
          <w:bottom w:val="nil"/>
          <w:right w:val="nil"/>
          <w:between w:val="nil"/>
        </w:pBdr>
        <w:spacing w:after="0" w:line="240" w:lineRule="auto"/>
        <w:ind w:left="720"/>
        <w:rPr>
          <w:rFonts w:ascii="Garamond" w:eastAsia="Garamond" w:hAnsi="Garamond" w:cs="Garamond"/>
        </w:rPr>
      </w:pPr>
    </w:p>
    <w:p w:rsidR="00B50DD7" w:rsidRDefault="00EC60AB" w:rsidP="00B50DD7">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Department of Geology and Geophysics (n.d.). Maui. University of </w:t>
      </w:r>
      <w:r>
        <w:rPr>
          <w:rFonts w:ascii="Garamond" w:eastAsia="Garamond" w:hAnsi="Garamond" w:cs="Garamond"/>
        </w:rPr>
        <w:t>Hawai’i</w:t>
      </w:r>
      <w:r>
        <w:rPr>
          <w:rFonts w:ascii="Garamond" w:eastAsia="Garamond" w:hAnsi="Garamond" w:cs="Garamond"/>
          <w:color w:val="000000"/>
        </w:rPr>
        <w:t xml:space="preserve"> Manoa, Coastal Geology Group,</w:t>
      </w:r>
    </w:p>
    <w:p w:rsidR="006557F0" w:rsidRPr="007579C0" w:rsidRDefault="00EC60AB" w:rsidP="00B50DD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Garamond" w:eastAsia="Garamond" w:hAnsi="Garamond" w:cs="Garamond"/>
          <w:color w:val="000000"/>
        </w:rPr>
        <w:t>2013.  Retrieved from</w:t>
      </w:r>
      <w:r w:rsidR="00B50DD7">
        <w:rPr>
          <w:rFonts w:ascii="Garamond" w:eastAsia="Garamond" w:hAnsi="Garamond" w:cs="Garamond"/>
          <w:color w:val="000000"/>
        </w:rPr>
        <w:t xml:space="preserve"> </w:t>
      </w:r>
      <w:r>
        <w:rPr>
          <w:rFonts w:ascii="Garamond" w:eastAsia="Garamond" w:hAnsi="Garamond" w:cs="Garamond"/>
        </w:rPr>
        <w:t>http://www.soest.Hawai’i.edu/coasts/publications/Hawai’iCoastline/maui.html</w:t>
      </w:r>
      <w:r>
        <w:rPr>
          <w:rFonts w:ascii="Garamond" w:eastAsia="Garamond" w:hAnsi="Garamond" w:cs="Garamond"/>
          <w:color w:val="000000"/>
        </w:rPr>
        <w:t>. Last accessed: Oct. 8, 2019 </w:t>
      </w:r>
    </w:p>
    <w:p w:rsidR="006557F0" w:rsidRDefault="006557F0">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6557F0" w:rsidRDefault="00EC60AB">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Department of Planning (2018). West Maui Community Plan. County of Maui. Retrieved from </w:t>
      </w:r>
    </w:p>
    <w:p w:rsidR="006557F0" w:rsidRDefault="00710368">
      <w:pPr>
        <w:pBdr>
          <w:top w:val="nil"/>
          <w:left w:val="nil"/>
          <w:bottom w:val="nil"/>
          <w:right w:val="nil"/>
          <w:between w:val="nil"/>
        </w:pBdr>
        <w:spacing w:after="0" w:line="240" w:lineRule="auto"/>
        <w:ind w:left="720"/>
        <w:rPr>
          <w:rFonts w:ascii="Garamond" w:eastAsia="Garamond" w:hAnsi="Garamond" w:cs="Garamond"/>
        </w:rPr>
      </w:pPr>
      <w:hyperlink r:id="rId22">
        <w:r w:rsidR="00EC60AB">
          <w:rPr>
            <w:rFonts w:ascii="Garamond" w:eastAsia="Garamond" w:hAnsi="Garamond" w:cs="Garamond"/>
          </w:rPr>
          <w:t>https://www.mauicounty.gov/DocumentCenter/View/111422/Draft_WestMauiCommunityProfile_20180111</w:t>
        </w:r>
      </w:hyperlink>
      <w:r w:rsidR="00EC60AB">
        <w:rPr>
          <w:rFonts w:ascii="Garamond" w:eastAsia="Garamond" w:hAnsi="Garamond" w:cs="Garamond"/>
        </w:rPr>
        <w:t>. Last accessed: Nov. 19, 2019</w:t>
      </w:r>
    </w:p>
    <w:p w:rsidR="006557F0" w:rsidRDefault="006557F0">
      <w:pPr>
        <w:pBdr>
          <w:top w:val="nil"/>
          <w:left w:val="nil"/>
          <w:bottom w:val="nil"/>
          <w:right w:val="nil"/>
          <w:between w:val="nil"/>
        </w:pBdr>
        <w:spacing w:after="0" w:line="240" w:lineRule="auto"/>
        <w:rPr>
          <w:rFonts w:ascii="Garamond" w:eastAsia="Garamond" w:hAnsi="Garamond" w:cs="Garamond"/>
        </w:rPr>
      </w:pPr>
    </w:p>
    <w:p w:rsidR="006557F0" w:rsidRDefault="00EC60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xml:space="preserve">Division of Aquatic Resources (n.d.). Status of Maui’s Coral Reefs. </w:t>
      </w:r>
      <w:r>
        <w:rPr>
          <w:rFonts w:ascii="Garamond" w:eastAsia="Garamond" w:hAnsi="Garamond" w:cs="Garamond"/>
        </w:rPr>
        <w:t>Hawai’i</w:t>
      </w:r>
      <w:r>
        <w:rPr>
          <w:rFonts w:ascii="Garamond" w:eastAsia="Garamond" w:hAnsi="Garamond" w:cs="Garamond"/>
          <w:color w:val="000000"/>
        </w:rPr>
        <w:t xml:space="preserve"> Coral Reef Initiative. Retrieved </w:t>
      </w:r>
    </w:p>
    <w:p w:rsidR="006557F0" w:rsidRDefault="00EC60AB">
      <w:pPr>
        <w:pBdr>
          <w:top w:val="nil"/>
          <w:left w:val="nil"/>
          <w:bottom w:val="nil"/>
          <w:right w:val="nil"/>
          <w:between w:val="nil"/>
        </w:pBdr>
        <w:spacing w:after="0" w:line="240" w:lineRule="auto"/>
        <w:ind w:firstLine="720"/>
        <w:rPr>
          <w:rFonts w:ascii="Garamond" w:eastAsia="Garamond" w:hAnsi="Garamond" w:cs="Garamond"/>
          <w:color w:val="000000"/>
        </w:rPr>
      </w:pPr>
      <w:r>
        <w:rPr>
          <w:rFonts w:ascii="Garamond" w:eastAsia="Garamond" w:hAnsi="Garamond" w:cs="Garamond"/>
          <w:color w:val="000000"/>
        </w:rPr>
        <w:t>from http://dlnr.</w:t>
      </w:r>
      <w:r>
        <w:rPr>
          <w:rFonts w:ascii="Garamond" w:eastAsia="Garamond" w:hAnsi="Garamond" w:cs="Garamond"/>
        </w:rPr>
        <w:t>Hawai’i</w:t>
      </w:r>
      <w:r>
        <w:rPr>
          <w:rFonts w:ascii="Garamond" w:eastAsia="Garamond" w:hAnsi="Garamond" w:cs="Garamond"/>
          <w:color w:val="000000"/>
        </w:rPr>
        <w:t>.gov/dar/files/2014/04/MauiReefDeclines.pdf. Last accessed: Oct. 8, 2019</w:t>
      </w:r>
    </w:p>
    <w:p w:rsidR="006557F0" w:rsidRDefault="006557F0">
      <w:pPr>
        <w:pBdr>
          <w:top w:val="nil"/>
          <w:left w:val="nil"/>
          <w:bottom w:val="nil"/>
          <w:right w:val="nil"/>
          <w:between w:val="nil"/>
        </w:pBdr>
        <w:spacing w:after="0" w:line="240" w:lineRule="auto"/>
        <w:rPr>
          <w:rFonts w:ascii="Garamond" w:eastAsia="Garamond" w:hAnsi="Garamond" w:cs="Garamond"/>
        </w:rPr>
      </w:pPr>
    </w:p>
    <w:p w:rsidR="006557F0" w:rsidRDefault="00EC60AB">
      <w:pPr>
        <w:pBdr>
          <w:top w:val="nil"/>
          <w:left w:val="nil"/>
          <w:bottom w:val="nil"/>
          <w:right w:val="nil"/>
          <w:between w:val="nil"/>
        </w:pBdr>
        <w:spacing w:after="0" w:line="240" w:lineRule="auto"/>
        <w:rPr>
          <w:rFonts w:ascii="Garamond" w:eastAsia="Garamond" w:hAnsi="Garamond" w:cs="Garamond"/>
        </w:rPr>
      </w:pPr>
      <w:proofErr w:type="spellStart"/>
      <w:r>
        <w:rPr>
          <w:rFonts w:ascii="Garamond" w:eastAsia="Garamond" w:hAnsi="Garamond" w:cs="Garamond"/>
        </w:rPr>
        <w:t>Falinski</w:t>
      </w:r>
      <w:proofErr w:type="spellEnd"/>
      <w:r>
        <w:rPr>
          <w:rFonts w:ascii="Garamond" w:eastAsia="Garamond" w:hAnsi="Garamond" w:cs="Garamond"/>
        </w:rPr>
        <w:t xml:space="preserve">, K., Reed, D., </w:t>
      </w:r>
      <w:proofErr w:type="spellStart"/>
      <w:r>
        <w:rPr>
          <w:rFonts w:ascii="Garamond" w:eastAsia="Garamond" w:hAnsi="Garamond" w:cs="Garamond"/>
        </w:rPr>
        <w:t>Callender</w:t>
      </w:r>
      <w:proofErr w:type="spellEnd"/>
      <w:r>
        <w:rPr>
          <w:rFonts w:ascii="Garamond" w:eastAsia="Garamond" w:hAnsi="Garamond" w:cs="Garamond"/>
        </w:rPr>
        <w:t xml:space="preserve">, T., Fielding, E., Newbold, R., &amp; </w:t>
      </w:r>
      <w:proofErr w:type="spellStart"/>
      <w:r>
        <w:rPr>
          <w:rFonts w:ascii="Garamond" w:eastAsia="Garamond" w:hAnsi="Garamond" w:cs="Garamond"/>
        </w:rPr>
        <w:t>Yurkanin</w:t>
      </w:r>
      <w:proofErr w:type="spellEnd"/>
      <w:r>
        <w:rPr>
          <w:rFonts w:ascii="Garamond" w:eastAsia="Garamond" w:hAnsi="Garamond" w:cs="Garamond"/>
        </w:rPr>
        <w:t xml:space="preserve">, </w:t>
      </w:r>
      <w:proofErr w:type="gramStart"/>
      <w:r>
        <w:rPr>
          <w:rFonts w:ascii="Garamond" w:eastAsia="Garamond" w:hAnsi="Garamond" w:cs="Garamond"/>
        </w:rPr>
        <w:t>A..</w:t>
      </w:r>
      <w:proofErr w:type="gramEnd"/>
      <w:r>
        <w:rPr>
          <w:rFonts w:ascii="Garamond" w:eastAsia="Garamond" w:hAnsi="Garamond" w:cs="Garamond"/>
        </w:rPr>
        <w:t xml:space="preserve"> (2019). Hui</w:t>
      </w:r>
    </w:p>
    <w:p w:rsidR="006557F0" w:rsidRDefault="00EC60AB">
      <w:pPr>
        <w:pBdr>
          <w:top w:val="nil"/>
          <w:left w:val="nil"/>
          <w:bottom w:val="nil"/>
          <w:right w:val="nil"/>
          <w:between w:val="nil"/>
        </w:pBdr>
        <w:spacing w:after="0" w:line="240" w:lineRule="auto"/>
        <w:ind w:firstLine="720"/>
        <w:rPr>
          <w:rFonts w:ascii="Garamond" w:eastAsia="Garamond" w:hAnsi="Garamond" w:cs="Garamond"/>
        </w:rPr>
      </w:pPr>
      <w:r>
        <w:rPr>
          <w:rFonts w:ascii="Garamond" w:eastAsia="Garamond" w:hAnsi="Garamond" w:cs="Garamond"/>
        </w:rPr>
        <w:t xml:space="preserve">O Ka Wai Ola Water Quality Data [Data set]. </w:t>
      </w:r>
      <w:proofErr w:type="spellStart"/>
      <w:r>
        <w:rPr>
          <w:rFonts w:ascii="Garamond" w:eastAsia="Garamond" w:hAnsi="Garamond" w:cs="Garamond"/>
        </w:rPr>
        <w:t>Zenodo</w:t>
      </w:r>
      <w:proofErr w:type="spellEnd"/>
      <w:r>
        <w:rPr>
          <w:rFonts w:ascii="Garamond" w:eastAsia="Garamond" w:hAnsi="Garamond" w:cs="Garamond"/>
        </w:rPr>
        <w:t>. http://doi.org/10.5281/zenodo.1173717</w:t>
      </w:r>
    </w:p>
    <w:p w:rsidR="006557F0" w:rsidRDefault="006557F0">
      <w:pPr>
        <w:pBdr>
          <w:top w:val="nil"/>
          <w:left w:val="nil"/>
          <w:bottom w:val="nil"/>
          <w:right w:val="nil"/>
          <w:between w:val="nil"/>
        </w:pBdr>
        <w:spacing w:after="0" w:line="240" w:lineRule="auto"/>
        <w:rPr>
          <w:rFonts w:ascii="Garamond" w:eastAsia="Garamond" w:hAnsi="Garamond" w:cs="Garamond"/>
        </w:rPr>
      </w:pPr>
    </w:p>
    <w:p w:rsidR="006557F0" w:rsidRDefault="00EC60AB">
      <w:pPr>
        <w:pBdr>
          <w:top w:val="nil"/>
          <w:left w:val="nil"/>
          <w:bottom w:val="nil"/>
          <w:right w:val="nil"/>
          <w:between w:val="nil"/>
        </w:pBdr>
        <w:spacing w:after="0" w:line="240" w:lineRule="auto"/>
        <w:rPr>
          <w:rFonts w:ascii="Garamond" w:eastAsia="Garamond" w:hAnsi="Garamond" w:cs="Garamond"/>
          <w:color w:val="000000"/>
        </w:rPr>
      </w:pPr>
      <w:proofErr w:type="spellStart"/>
      <w:r>
        <w:rPr>
          <w:rFonts w:ascii="Garamond" w:eastAsia="Garamond" w:hAnsi="Garamond" w:cs="Garamond"/>
          <w:color w:val="000000"/>
          <w:highlight w:val="white"/>
        </w:rPr>
        <w:t>Farda</w:t>
      </w:r>
      <w:proofErr w:type="spellEnd"/>
      <w:r>
        <w:rPr>
          <w:rFonts w:ascii="Garamond" w:eastAsia="Garamond" w:hAnsi="Garamond" w:cs="Garamond"/>
          <w:color w:val="000000"/>
          <w:highlight w:val="white"/>
        </w:rPr>
        <w:t>, N. M. (2017). Multi-temporal Land Use Mapping of Coastal Wetlands Area using Machine Learning </w:t>
      </w:r>
    </w:p>
    <w:p w:rsidR="006557F0" w:rsidRDefault="00EC60AB">
      <w:pPr>
        <w:pBdr>
          <w:top w:val="nil"/>
          <w:left w:val="nil"/>
          <w:bottom w:val="nil"/>
          <w:right w:val="nil"/>
          <w:between w:val="nil"/>
        </w:pBdr>
        <w:spacing w:after="0" w:line="240" w:lineRule="auto"/>
        <w:ind w:firstLine="720"/>
        <w:rPr>
          <w:rFonts w:ascii="Garamond" w:eastAsia="Garamond" w:hAnsi="Garamond" w:cs="Garamond"/>
          <w:color w:val="000000"/>
        </w:rPr>
      </w:pPr>
      <w:r>
        <w:rPr>
          <w:rFonts w:ascii="Garamond" w:eastAsia="Garamond" w:hAnsi="Garamond" w:cs="Garamond"/>
          <w:color w:val="000000"/>
          <w:highlight w:val="white"/>
        </w:rPr>
        <w:t xml:space="preserve">in Google Earth Engine. IOP Conf. Ser.: </w:t>
      </w:r>
      <w:r>
        <w:rPr>
          <w:rFonts w:ascii="Garamond" w:eastAsia="Garamond" w:hAnsi="Garamond" w:cs="Garamond"/>
          <w:i/>
          <w:color w:val="000000"/>
          <w:highlight w:val="white"/>
        </w:rPr>
        <w:t>Earth and Environmental Science, 98</w:t>
      </w:r>
      <w:r>
        <w:rPr>
          <w:rFonts w:ascii="Garamond" w:eastAsia="Garamond" w:hAnsi="Garamond" w:cs="Garamond"/>
          <w:color w:val="000000"/>
          <w:highlight w:val="white"/>
        </w:rPr>
        <w:t>(1), 012042. </w:t>
      </w:r>
    </w:p>
    <w:p w:rsidR="006557F0" w:rsidRDefault="00EC60AB">
      <w:pPr>
        <w:pBdr>
          <w:top w:val="nil"/>
          <w:left w:val="nil"/>
          <w:bottom w:val="nil"/>
          <w:right w:val="nil"/>
          <w:between w:val="nil"/>
        </w:pBdr>
        <w:spacing w:after="0" w:line="240" w:lineRule="auto"/>
        <w:rPr>
          <w:rFonts w:ascii="Garamond" w:eastAsia="Garamond" w:hAnsi="Garamond" w:cs="Garamond"/>
          <w:highlight w:val="white"/>
        </w:rPr>
      </w:pPr>
      <w:r>
        <w:rPr>
          <w:rFonts w:ascii="Garamond" w:eastAsia="Garamond" w:hAnsi="Garamond" w:cs="Garamond"/>
          <w:color w:val="000000"/>
          <w:highlight w:val="white"/>
        </w:rPr>
        <w:t> </w:t>
      </w:r>
      <w:r>
        <w:rPr>
          <w:rFonts w:ascii="Garamond" w:eastAsia="Garamond" w:hAnsi="Garamond" w:cs="Garamond"/>
          <w:color w:val="000000"/>
          <w:highlight w:val="white"/>
        </w:rPr>
        <w:tab/>
        <w:t>doi:10.1088/1755-1315/98/1/012042</w:t>
      </w:r>
    </w:p>
    <w:p w:rsidR="006557F0" w:rsidRDefault="006557F0">
      <w:pPr>
        <w:pBdr>
          <w:top w:val="nil"/>
          <w:left w:val="nil"/>
          <w:bottom w:val="nil"/>
          <w:right w:val="nil"/>
          <w:between w:val="nil"/>
        </w:pBdr>
        <w:spacing w:after="0" w:line="240" w:lineRule="auto"/>
        <w:rPr>
          <w:rFonts w:ascii="Garamond" w:eastAsia="Garamond" w:hAnsi="Garamond" w:cs="Garamond"/>
          <w:highlight w:val="white"/>
        </w:rPr>
      </w:pPr>
    </w:p>
    <w:p w:rsidR="006557F0" w:rsidRDefault="00EC60AB">
      <w:pPr>
        <w:pBdr>
          <w:top w:val="nil"/>
          <w:left w:val="nil"/>
          <w:bottom w:val="nil"/>
          <w:right w:val="nil"/>
          <w:between w:val="nil"/>
        </w:pBdr>
        <w:spacing w:after="0" w:line="240" w:lineRule="auto"/>
        <w:rPr>
          <w:rFonts w:ascii="Garamond" w:eastAsia="Garamond" w:hAnsi="Garamond" w:cs="Garamond"/>
          <w:highlight w:val="white"/>
        </w:rPr>
      </w:pPr>
      <w:proofErr w:type="spellStart"/>
      <w:r>
        <w:rPr>
          <w:rFonts w:ascii="Garamond" w:eastAsia="Garamond" w:hAnsi="Garamond" w:cs="Garamond"/>
          <w:highlight w:val="white"/>
        </w:rPr>
        <w:t>Gohin</w:t>
      </w:r>
      <w:proofErr w:type="spellEnd"/>
      <w:r>
        <w:rPr>
          <w:rFonts w:ascii="Garamond" w:eastAsia="Garamond" w:hAnsi="Garamond" w:cs="Garamond"/>
          <w:highlight w:val="white"/>
        </w:rPr>
        <w:t>, F. (2011). Annual cycles of chlorophyll-a, non-algal suspended particulate matter, and turbidity</w:t>
      </w:r>
    </w:p>
    <w:p w:rsidR="006557F0" w:rsidRDefault="00EC60AB">
      <w:pPr>
        <w:pBdr>
          <w:top w:val="nil"/>
          <w:left w:val="nil"/>
          <w:bottom w:val="nil"/>
          <w:right w:val="nil"/>
          <w:between w:val="nil"/>
        </w:pBdr>
        <w:spacing w:after="0" w:line="240" w:lineRule="auto"/>
        <w:ind w:firstLine="720"/>
        <w:rPr>
          <w:rFonts w:ascii="Garamond" w:eastAsia="Garamond" w:hAnsi="Garamond" w:cs="Garamond"/>
          <w:highlight w:val="white"/>
        </w:rPr>
      </w:pPr>
      <w:r>
        <w:rPr>
          <w:rFonts w:ascii="Garamond" w:eastAsia="Garamond" w:hAnsi="Garamond" w:cs="Garamond"/>
          <w:highlight w:val="white"/>
        </w:rPr>
        <w:t xml:space="preserve">observed from space and in-situ in coastal waters. </w:t>
      </w:r>
      <w:r>
        <w:rPr>
          <w:rFonts w:ascii="Garamond" w:eastAsia="Garamond" w:hAnsi="Garamond" w:cs="Garamond"/>
          <w:i/>
          <w:highlight w:val="white"/>
        </w:rPr>
        <w:t>Ocean Science, 7</w:t>
      </w:r>
      <w:r>
        <w:rPr>
          <w:rFonts w:ascii="Garamond" w:eastAsia="Garamond" w:hAnsi="Garamond" w:cs="Garamond"/>
          <w:highlight w:val="white"/>
        </w:rPr>
        <w:t>(5), 705–732.</w:t>
      </w:r>
    </w:p>
    <w:p w:rsidR="006557F0" w:rsidRDefault="00EC60AB">
      <w:pPr>
        <w:pBdr>
          <w:top w:val="nil"/>
          <w:left w:val="nil"/>
          <w:bottom w:val="nil"/>
          <w:right w:val="nil"/>
          <w:between w:val="nil"/>
        </w:pBdr>
        <w:spacing w:after="0" w:line="240" w:lineRule="auto"/>
        <w:ind w:firstLine="720"/>
        <w:rPr>
          <w:rFonts w:ascii="Garamond" w:eastAsia="Garamond" w:hAnsi="Garamond" w:cs="Garamond"/>
          <w:highlight w:val="white"/>
        </w:rPr>
      </w:pPr>
      <w:r>
        <w:rPr>
          <w:rFonts w:ascii="Garamond" w:eastAsia="Garamond" w:hAnsi="Garamond" w:cs="Garamond"/>
          <w:highlight w:val="white"/>
        </w:rPr>
        <w:t>http://doi.org/10.5194/os-7-705-2011</w:t>
      </w:r>
    </w:p>
    <w:p w:rsidR="006557F0" w:rsidRDefault="006557F0">
      <w:pPr>
        <w:pBdr>
          <w:top w:val="nil"/>
          <w:left w:val="nil"/>
          <w:bottom w:val="nil"/>
          <w:right w:val="nil"/>
          <w:between w:val="nil"/>
        </w:pBdr>
        <w:spacing w:after="0" w:line="240" w:lineRule="auto"/>
        <w:ind w:firstLine="720"/>
        <w:rPr>
          <w:rFonts w:ascii="Garamond" w:eastAsia="Garamond" w:hAnsi="Garamond" w:cs="Garamond"/>
          <w:highlight w:val="white"/>
        </w:rPr>
      </w:pPr>
    </w:p>
    <w:p w:rsidR="00B50DD7" w:rsidRDefault="00EC60AB">
      <w:pPr>
        <w:pBdr>
          <w:top w:val="nil"/>
          <w:left w:val="nil"/>
          <w:bottom w:val="nil"/>
          <w:right w:val="nil"/>
          <w:between w:val="nil"/>
        </w:pBdr>
        <w:spacing w:after="0" w:line="240" w:lineRule="auto"/>
        <w:rPr>
          <w:rFonts w:ascii="Garamond" w:eastAsia="Garamond" w:hAnsi="Garamond" w:cs="Garamond"/>
          <w:highlight w:val="white"/>
        </w:rPr>
      </w:pPr>
      <w:r>
        <w:rPr>
          <w:rFonts w:ascii="Garamond" w:eastAsia="Garamond" w:hAnsi="Garamond" w:cs="Garamond"/>
          <w:highlight w:val="white"/>
        </w:rPr>
        <w:t xml:space="preserve">Hawai’i State Office of Planning. (n.d.). Streams, Watershed Boundaries, Digital Elevation Model. Hawai’i </w:t>
      </w:r>
    </w:p>
    <w:p w:rsidR="006557F0" w:rsidRDefault="00EC60AB" w:rsidP="00B50DD7">
      <w:pPr>
        <w:pBdr>
          <w:top w:val="nil"/>
          <w:left w:val="nil"/>
          <w:bottom w:val="nil"/>
          <w:right w:val="nil"/>
          <w:between w:val="nil"/>
        </w:pBdr>
        <w:spacing w:after="0" w:line="240" w:lineRule="auto"/>
        <w:ind w:left="720"/>
        <w:rPr>
          <w:rFonts w:ascii="Garamond" w:eastAsia="Garamond" w:hAnsi="Garamond" w:cs="Garamond"/>
          <w:highlight w:val="white"/>
        </w:rPr>
      </w:pPr>
      <w:r>
        <w:rPr>
          <w:rFonts w:ascii="Garamond" w:eastAsia="Garamond" w:hAnsi="Garamond" w:cs="Garamond"/>
          <w:highlight w:val="white"/>
        </w:rPr>
        <w:lastRenderedPageBreak/>
        <w:t>Statewide GIS Program: Geospatial Data Portal. http://geoportal.Hawai’i.gov/. Last accessed: Nov. 1, 2019</w:t>
      </w:r>
    </w:p>
    <w:p w:rsidR="006557F0" w:rsidRDefault="006557F0">
      <w:pPr>
        <w:pBdr>
          <w:top w:val="nil"/>
          <w:left w:val="nil"/>
          <w:bottom w:val="nil"/>
          <w:right w:val="nil"/>
          <w:between w:val="nil"/>
        </w:pBdr>
        <w:spacing w:after="0" w:line="240" w:lineRule="auto"/>
        <w:rPr>
          <w:rFonts w:ascii="Garamond" w:eastAsia="Garamond" w:hAnsi="Garamond" w:cs="Garamond"/>
          <w:highlight w:val="white"/>
        </w:rPr>
      </w:pPr>
    </w:p>
    <w:p w:rsidR="00B50DD7" w:rsidRDefault="00EC60AB">
      <w:pPr>
        <w:pBdr>
          <w:top w:val="nil"/>
          <w:left w:val="nil"/>
          <w:bottom w:val="nil"/>
          <w:right w:val="nil"/>
          <w:between w:val="nil"/>
        </w:pBdr>
        <w:spacing w:after="0" w:line="240" w:lineRule="auto"/>
        <w:rPr>
          <w:rFonts w:ascii="Garamond" w:eastAsia="Garamond" w:hAnsi="Garamond" w:cs="Garamond"/>
          <w:highlight w:val="white"/>
        </w:rPr>
      </w:pPr>
      <w:r>
        <w:rPr>
          <w:rFonts w:ascii="Garamond" w:eastAsia="Garamond" w:hAnsi="Garamond" w:cs="Garamond"/>
          <w:highlight w:val="white"/>
        </w:rPr>
        <w:t>Hernandez, W. J. (2018). Ocean Color Water Quality West Maui [ArcGIS Web Map]. Retrieved from</w:t>
      </w:r>
    </w:p>
    <w:p w:rsidR="006557F0" w:rsidRDefault="00EC60AB" w:rsidP="00B50DD7">
      <w:pPr>
        <w:pBdr>
          <w:top w:val="nil"/>
          <w:left w:val="nil"/>
          <w:bottom w:val="nil"/>
          <w:right w:val="nil"/>
          <w:between w:val="nil"/>
        </w:pBdr>
        <w:spacing w:after="0" w:line="240" w:lineRule="auto"/>
        <w:ind w:left="720"/>
        <w:rPr>
          <w:rFonts w:ascii="Garamond" w:eastAsia="Garamond" w:hAnsi="Garamond" w:cs="Garamond"/>
          <w:highlight w:val="white"/>
        </w:rPr>
      </w:pPr>
      <w:r>
        <w:rPr>
          <w:rFonts w:ascii="Garamond" w:eastAsia="Garamond" w:hAnsi="Garamond" w:cs="Garamond"/>
          <w:highlight w:val="white"/>
        </w:rPr>
        <w:t>https://www.arcgis.com/home/webmap/viewer.html?webmap=a0e653dbc05f46849dc478ac21e28788</w:t>
      </w:r>
    </w:p>
    <w:p w:rsidR="006557F0" w:rsidRDefault="006557F0">
      <w:pPr>
        <w:pBdr>
          <w:top w:val="nil"/>
          <w:left w:val="nil"/>
          <w:bottom w:val="nil"/>
          <w:right w:val="nil"/>
          <w:between w:val="nil"/>
        </w:pBdr>
        <w:spacing w:after="0" w:line="240" w:lineRule="auto"/>
        <w:rPr>
          <w:rFonts w:ascii="Garamond" w:eastAsia="Garamond" w:hAnsi="Garamond" w:cs="Garamond"/>
        </w:rPr>
      </w:pPr>
    </w:p>
    <w:p w:rsidR="006557F0" w:rsidRDefault="00EC60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highlight w:val="white"/>
        </w:rPr>
        <w:t>Keuchel, J., et al. (2003). Automatic Land Cover Analysis for Tenerife by Supervised Classification Using </w:t>
      </w:r>
    </w:p>
    <w:p w:rsidR="006557F0" w:rsidRDefault="00EC60AB">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Garamond" w:eastAsia="Garamond" w:hAnsi="Garamond" w:cs="Garamond"/>
          <w:color w:val="000000"/>
          <w:highlight w:val="white"/>
        </w:rPr>
        <w:t xml:space="preserve">Remotely Sensed Data. </w:t>
      </w:r>
      <w:r>
        <w:rPr>
          <w:rFonts w:ascii="Garamond" w:eastAsia="Garamond" w:hAnsi="Garamond" w:cs="Garamond"/>
          <w:i/>
          <w:color w:val="000000"/>
          <w:highlight w:val="white"/>
        </w:rPr>
        <w:t>Remote Sensing of Environment, 86</w:t>
      </w:r>
      <w:r>
        <w:rPr>
          <w:rFonts w:ascii="Garamond" w:eastAsia="Garamond" w:hAnsi="Garamond" w:cs="Garamond"/>
          <w:color w:val="000000"/>
          <w:highlight w:val="white"/>
        </w:rPr>
        <w:t>(4), 530–541.</w:t>
      </w:r>
    </w:p>
    <w:p w:rsidR="006557F0" w:rsidRDefault="00EC60AB">
      <w:pPr>
        <w:pBdr>
          <w:top w:val="nil"/>
          <w:left w:val="nil"/>
          <w:bottom w:val="nil"/>
          <w:right w:val="nil"/>
          <w:between w:val="nil"/>
        </w:pBdr>
        <w:spacing w:after="0" w:line="240" w:lineRule="auto"/>
        <w:ind w:firstLine="720"/>
        <w:rPr>
          <w:rFonts w:ascii="Garamond" w:eastAsia="Garamond" w:hAnsi="Garamond" w:cs="Garamond"/>
          <w:color w:val="000000"/>
          <w:highlight w:val="white"/>
        </w:rPr>
      </w:pPr>
      <w:r>
        <w:rPr>
          <w:rFonts w:ascii="Garamond" w:eastAsia="Garamond" w:hAnsi="Garamond" w:cs="Garamond"/>
          <w:color w:val="000000"/>
          <w:highlight w:val="white"/>
        </w:rPr>
        <w:t>doi:10.1016/s0034-4257(03)00130-5.</w:t>
      </w:r>
    </w:p>
    <w:p w:rsidR="006557F0" w:rsidRDefault="006557F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6557F0" w:rsidRDefault="00EC60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highlight w:val="white"/>
        </w:rPr>
        <w:t>Mishra, D., Schaeffer, B., &amp; Keith, D. (2014). Performance evaluation of normalized difference chlorophyll</w:t>
      </w:r>
    </w:p>
    <w:p w:rsidR="006557F0" w:rsidRDefault="00EC60AB">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Garamond" w:eastAsia="Garamond" w:hAnsi="Garamond" w:cs="Garamond"/>
          <w:color w:val="000000"/>
          <w:highlight w:val="white"/>
        </w:rPr>
        <w:t>index in northern Gulf of Mexico estuaries using the Hyperspectral Imager for the Coastal Ocean. </w:t>
      </w:r>
    </w:p>
    <w:p w:rsidR="00B50DD7" w:rsidRPr="00516870" w:rsidRDefault="00EC60AB" w:rsidP="00516870">
      <w:pPr>
        <w:pBdr>
          <w:top w:val="nil"/>
          <w:left w:val="nil"/>
          <w:bottom w:val="nil"/>
          <w:right w:val="nil"/>
          <w:between w:val="nil"/>
        </w:pBdr>
        <w:spacing w:after="0" w:line="240" w:lineRule="auto"/>
        <w:ind w:firstLine="720"/>
        <w:rPr>
          <w:rFonts w:ascii="Garamond" w:eastAsia="Garamond" w:hAnsi="Garamond" w:cs="Garamond"/>
          <w:color w:val="000000"/>
          <w:highlight w:val="white"/>
        </w:rPr>
      </w:pPr>
      <w:proofErr w:type="spellStart"/>
      <w:r>
        <w:rPr>
          <w:rFonts w:ascii="Garamond" w:eastAsia="Garamond" w:hAnsi="Garamond" w:cs="Garamond"/>
          <w:i/>
          <w:color w:val="000000"/>
          <w:highlight w:val="white"/>
        </w:rPr>
        <w:t>GIScience</w:t>
      </w:r>
      <w:proofErr w:type="spellEnd"/>
      <w:r>
        <w:rPr>
          <w:rFonts w:ascii="Garamond" w:eastAsia="Garamond" w:hAnsi="Garamond" w:cs="Garamond"/>
          <w:i/>
          <w:color w:val="000000"/>
          <w:highlight w:val="white"/>
        </w:rPr>
        <w:t xml:space="preserve"> &amp; Remote Sensing, 51</w:t>
      </w:r>
      <w:r>
        <w:rPr>
          <w:rFonts w:ascii="Garamond" w:eastAsia="Garamond" w:hAnsi="Garamond" w:cs="Garamond"/>
          <w:color w:val="000000"/>
          <w:highlight w:val="white"/>
        </w:rPr>
        <w:t>(2). https://doi.org/10.1080/15481603.2014.895581</w:t>
      </w:r>
    </w:p>
    <w:p w:rsidR="00B50DD7" w:rsidRDefault="00B50DD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rsidR="006557F0" w:rsidRDefault="00EC60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highlight w:val="white"/>
        </w:rPr>
        <w:t>Mishra, S., &amp; Mishra, D. R. (2012). Normalized difference chlorophyll index: A novel model for remote</w:t>
      </w:r>
    </w:p>
    <w:p w:rsidR="006557F0" w:rsidRDefault="00EC60AB">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Pr>
          <w:rFonts w:ascii="Garamond" w:eastAsia="Garamond" w:hAnsi="Garamond" w:cs="Garamond"/>
          <w:color w:val="000000"/>
          <w:highlight w:val="white"/>
        </w:rPr>
        <w:t> </w:t>
      </w:r>
      <w:r>
        <w:rPr>
          <w:rFonts w:ascii="Garamond" w:eastAsia="Garamond" w:hAnsi="Garamond" w:cs="Garamond"/>
          <w:color w:val="000000"/>
          <w:highlight w:val="white"/>
        </w:rPr>
        <w:tab/>
        <w:t xml:space="preserve">estimation of chlorophyll-a concentration in turbid productive waters. </w:t>
      </w:r>
      <w:r>
        <w:rPr>
          <w:rFonts w:ascii="Garamond" w:eastAsia="Garamond" w:hAnsi="Garamond" w:cs="Garamond"/>
          <w:i/>
          <w:color w:val="000000"/>
          <w:highlight w:val="white"/>
        </w:rPr>
        <w:t>Remote Sensing of</w:t>
      </w:r>
    </w:p>
    <w:p w:rsidR="006557F0" w:rsidRDefault="00EC60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i/>
          <w:color w:val="000000"/>
          <w:highlight w:val="white"/>
        </w:rPr>
        <w:t> </w:t>
      </w:r>
      <w:r>
        <w:rPr>
          <w:rFonts w:ascii="Garamond" w:eastAsia="Garamond" w:hAnsi="Garamond" w:cs="Garamond"/>
          <w:i/>
          <w:color w:val="000000"/>
          <w:highlight w:val="white"/>
        </w:rPr>
        <w:tab/>
        <w:t>Environment, 117</w:t>
      </w:r>
      <w:r>
        <w:rPr>
          <w:rFonts w:ascii="Garamond" w:eastAsia="Garamond" w:hAnsi="Garamond" w:cs="Garamond"/>
          <w:color w:val="000000"/>
          <w:highlight w:val="white"/>
        </w:rPr>
        <w:t>, 394-406. https://doi.org/10.1016/j.rse.2011.10.016</w:t>
      </w:r>
    </w:p>
    <w:p w:rsidR="006557F0" w:rsidRDefault="006557F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6557F0" w:rsidRDefault="00EC60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NASA Goddard Space Flight Center, Ocean Ecology Laboratory, Ocean Biology Processing Group. (2014).</w:t>
      </w:r>
    </w:p>
    <w:p w:rsidR="006557F0" w:rsidRDefault="00EC60AB">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Garamond" w:eastAsia="Garamond" w:hAnsi="Garamond" w:cs="Garamond"/>
          <w:color w:val="000000"/>
        </w:rPr>
        <w:t> Moderate-resolution Imaging Spectroradiometer (MODIS) Aqua SST Data [Dataset]. NASA</w:t>
      </w:r>
    </w:p>
    <w:p w:rsidR="006557F0" w:rsidRDefault="00EC60AB">
      <w:pPr>
        <w:pBdr>
          <w:top w:val="nil"/>
          <w:left w:val="nil"/>
          <w:bottom w:val="nil"/>
          <w:right w:val="nil"/>
          <w:between w:val="nil"/>
        </w:pBdr>
        <w:spacing w:after="0" w:line="240" w:lineRule="auto"/>
        <w:ind w:firstLine="720"/>
        <w:rPr>
          <w:rFonts w:ascii="Garamond" w:eastAsia="Garamond" w:hAnsi="Garamond" w:cs="Garamond"/>
        </w:rPr>
      </w:pPr>
      <w:proofErr w:type="gramStart"/>
      <w:r>
        <w:rPr>
          <w:rFonts w:ascii="Garamond" w:eastAsia="Garamond" w:hAnsi="Garamond" w:cs="Garamond"/>
          <w:color w:val="000000"/>
        </w:rPr>
        <w:t>OB.DAAC</w:t>
      </w:r>
      <w:proofErr w:type="gramEnd"/>
      <w:r>
        <w:rPr>
          <w:rFonts w:ascii="Garamond" w:eastAsia="Garamond" w:hAnsi="Garamond" w:cs="Garamond"/>
          <w:color w:val="000000"/>
        </w:rPr>
        <w:t>, accessed 8 Oct. 2019.</w:t>
      </w:r>
      <w:r>
        <w:rPr>
          <w:rFonts w:ascii="Garamond" w:eastAsia="Garamond" w:hAnsi="Garamond" w:cs="Garamond"/>
        </w:rPr>
        <w:t> https://data/10.5067/AQUA/MODIS/L3M/SST/2014</w:t>
      </w:r>
    </w:p>
    <w:p w:rsidR="006557F0" w:rsidRDefault="006557F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rsidR="006557F0" w:rsidRDefault="00EC60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NASA Goddard Space Flight Center, Ocean Ecology Laboratory, Ocean Biology Processing Group. (2014). </w:t>
      </w:r>
    </w:p>
    <w:p w:rsidR="006557F0" w:rsidRDefault="00EC60AB">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Garamond" w:eastAsia="Garamond" w:hAnsi="Garamond" w:cs="Garamond"/>
          <w:color w:val="000000"/>
        </w:rPr>
        <w:t>Moderate-resolution Imaging Spectroradiometer (MODIS) Terra SST Data [Dataset]. NASA</w:t>
      </w:r>
    </w:p>
    <w:p w:rsidR="006557F0" w:rsidRDefault="00EC60AB">
      <w:pPr>
        <w:pBdr>
          <w:top w:val="nil"/>
          <w:left w:val="nil"/>
          <w:bottom w:val="nil"/>
          <w:right w:val="nil"/>
          <w:between w:val="nil"/>
        </w:pBdr>
        <w:spacing w:after="0" w:line="240" w:lineRule="auto"/>
        <w:ind w:firstLine="720"/>
        <w:rPr>
          <w:rFonts w:ascii="Garamond" w:eastAsia="Garamond" w:hAnsi="Garamond" w:cs="Garamond"/>
          <w:color w:val="000000"/>
        </w:rPr>
      </w:pPr>
      <w:r>
        <w:rPr>
          <w:rFonts w:ascii="Garamond" w:eastAsia="Garamond" w:hAnsi="Garamond" w:cs="Garamond"/>
          <w:color w:val="000000"/>
        </w:rPr>
        <w:t> </w:t>
      </w:r>
      <w:proofErr w:type="gramStart"/>
      <w:r>
        <w:rPr>
          <w:rFonts w:ascii="Garamond" w:eastAsia="Garamond" w:hAnsi="Garamond" w:cs="Garamond"/>
          <w:color w:val="000000"/>
        </w:rPr>
        <w:t>OB.DAAC</w:t>
      </w:r>
      <w:proofErr w:type="gramEnd"/>
      <w:r>
        <w:rPr>
          <w:rFonts w:ascii="Garamond" w:eastAsia="Garamond" w:hAnsi="Garamond" w:cs="Garamond"/>
          <w:color w:val="000000"/>
        </w:rPr>
        <w:t>, accessed 8 Oct. 2019. https://data/10.5067/TERRA/MODIS/L3M/SST/2014</w:t>
      </w:r>
    </w:p>
    <w:p w:rsidR="006557F0" w:rsidRDefault="006557F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rsidR="006557F0" w:rsidRDefault="00EC60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Garamond" w:eastAsia="Garamond" w:hAnsi="Garamond" w:cs="Garamond"/>
          <w:color w:val="000000"/>
        </w:rPr>
        <w:t>Nechad</w:t>
      </w:r>
      <w:proofErr w:type="spellEnd"/>
      <w:r>
        <w:rPr>
          <w:rFonts w:ascii="Garamond" w:eastAsia="Garamond" w:hAnsi="Garamond" w:cs="Garamond"/>
          <w:color w:val="000000"/>
        </w:rPr>
        <w:t xml:space="preserve">, B., Ruddick, K. G., &amp; </w:t>
      </w:r>
      <w:proofErr w:type="spellStart"/>
      <w:r>
        <w:rPr>
          <w:rFonts w:ascii="Garamond" w:eastAsia="Garamond" w:hAnsi="Garamond" w:cs="Garamond"/>
          <w:color w:val="000000"/>
        </w:rPr>
        <w:t>Neukermans</w:t>
      </w:r>
      <w:proofErr w:type="spellEnd"/>
      <w:r>
        <w:rPr>
          <w:rFonts w:ascii="Garamond" w:eastAsia="Garamond" w:hAnsi="Garamond" w:cs="Garamond"/>
          <w:color w:val="000000"/>
        </w:rPr>
        <w:t xml:space="preserve">, G. (2009). Calibration and validation of a generic </w:t>
      </w:r>
      <w:proofErr w:type="spellStart"/>
      <w:r>
        <w:rPr>
          <w:rFonts w:ascii="Garamond" w:eastAsia="Garamond" w:hAnsi="Garamond" w:cs="Garamond"/>
          <w:color w:val="000000"/>
        </w:rPr>
        <w:t>multisensor</w:t>
      </w:r>
      <w:proofErr w:type="spellEnd"/>
    </w:p>
    <w:p w:rsidR="006557F0" w:rsidRDefault="00EC60AB">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Garamond" w:eastAsia="Garamond" w:hAnsi="Garamond" w:cs="Garamond"/>
          <w:color w:val="000000"/>
        </w:rPr>
        <w:t xml:space="preserve">algorithm for mapping of turbidity in coastal waters. In C. R. </w:t>
      </w:r>
      <w:proofErr w:type="spellStart"/>
      <w:r>
        <w:rPr>
          <w:rFonts w:ascii="Garamond" w:eastAsia="Garamond" w:hAnsi="Garamond" w:cs="Garamond"/>
          <w:color w:val="000000"/>
        </w:rPr>
        <w:t>Bostater</w:t>
      </w:r>
      <w:proofErr w:type="spellEnd"/>
      <w:r>
        <w:rPr>
          <w:rFonts w:ascii="Garamond" w:eastAsia="Garamond" w:hAnsi="Garamond" w:cs="Garamond"/>
          <w:color w:val="000000"/>
        </w:rPr>
        <w:t xml:space="preserve"> Jr., S. P. </w:t>
      </w:r>
      <w:proofErr w:type="spellStart"/>
      <w:r>
        <w:rPr>
          <w:rFonts w:ascii="Garamond" w:eastAsia="Garamond" w:hAnsi="Garamond" w:cs="Garamond"/>
          <w:color w:val="000000"/>
        </w:rPr>
        <w:t>Mertikas</w:t>
      </w:r>
      <w:proofErr w:type="spellEnd"/>
      <w:r>
        <w:rPr>
          <w:rFonts w:ascii="Garamond" w:eastAsia="Garamond" w:hAnsi="Garamond" w:cs="Garamond"/>
          <w:color w:val="000000"/>
        </w:rPr>
        <w:t xml:space="preserve">, X. </w:t>
      </w:r>
      <w:proofErr w:type="spellStart"/>
      <w:r>
        <w:rPr>
          <w:rFonts w:ascii="Garamond" w:eastAsia="Garamond" w:hAnsi="Garamond" w:cs="Garamond"/>
          <w:color w:val="000000"/>
        </w:rPr>
        <w:t>Neyt</w:t>
      </w:r>
      <w:proofErr w:type="spellEnd"/>
      <w:r>
        <w:rPr>
          <w:rFonts w:ascii="Garamond" w:eastAsia="Garamond" w:hAnsi="Garamond" w:cs="Garamond"/>
          <w:color w:val="000000"/>
        </w:rPr>
        <w:t>, &amp; </w:t>
      </w:r>
    </w:p>
    <w:p w:rsidR="006557F0" w:rsidRDefault="00EC60AB">
      <w:pPr>
        <w:pBdr>
          <w:top w:val="nil"/>
          <w:left w:val="nil"/>
          <w:bottom w:val="nil"/>
          <w:right w:val="nil"/>
          <w:between w:val="nil"/>
        </w:pBdr>
        <w:spacing w:after="0" w:line="240" w:lineRule="auto"/>
        <w:ind w:firstLine="720"/>
        <w:rPr>
          <w:rFonts w:ascii="Garamond" w:eastAsia="Garamond" w:hAnsi="Garamond" w:cs="Garamond"/>
          <w:color w:val="000000"/>
        </w:rPr>
      </w:pPr>
      <w:r>
        <w:rPr>
          <w:rFonts w:ascii="Garamond" w:eastAsia="Garamond" w:hAnsi="Garamond" w:cs="Garamond"/>
          <w:color w:val="000000"/>
        </w:rPr>
        <w:t>M. Velez-Reyes (Eds.), SPIE Remote Sensing of the Ocean, Sea Ice, and Large Water Regions 2009 </w:t>
      </w:r>
    </w:p>
    <w:p w:rsidR="006557F0" w:rsidRDefault="00EC60AB">
      <w:pPr>
        <w:pBdr>
          <w:top w:val="nil"/>
          <w:left w:val="nil"/>
          <w:bottom w:val="nil"/>
          <w:right w:val="nil"/>
          <w:between w:val="nil"/>
        </w:pBdr>
        <w:spacing w:after="0" w:line="240" w:lineRule="auto"/>
        <w:ind w:firstLine="720"/>
        <w:rPr>
          <w:rFonts w:ascii="Garamond" w:eastAsia="Garamond" w:hAnsi="Garamond" w:cs="Garamond"/>
          <w:color w:val="000000"/>
        </w:rPr>
      </w:pPr>
      <w:r>
        <w:rPr>
          <w:rFonts w:ascii="Garamond" w:eastAsia="Garamond" w:hAnsi="Garamond" w:cs="Garamond"/>
          <w:color w:val="000000"/>
        </w:rPr>
        <w:t xml:space="preserve">(Proceedings Volume 7473, 74730H). </w:t>
      </w:r>
      <w:r w:rsidR="00F6627D">
        <w:rPr>
          <w:rFonts w:ascii="Garamond" w:eastAsia="Garamond" w:hAnsi="Garamond" w:cs="Garamond"/>
          <w:color w:val="000000"/>
        </w:rPr>
        <w:t>https://doi.org/10.1117/12.830700</w:t>
      </w:r>
    </w:p>
    <w:p w:rsidR="00F6627D" w:rsidRDefault="00F6627D" w:rsidP="00F6627D">
      <w:pPr>
        <w:pBdr>
          <w:top w:val="nil"/>
          <w:left w:val="nil"/>
          <w:bottom w:val="nil"/>
          <w:right w:val="nil"/>
          <w:between w:val="nil"/>
        </w:pBdr>
        <w:spacing w:after="0" w:line="240" w:lineRule="auto"/>
        <w:rPr>
          <w:rFonts w:ascii="Garamond" w:eastAsia="Garamond" w:hAnsi="Garamond" w:cs="Garamond"/>
          <w:color w:val="000000"/>
        </w:rPr>
      </w:pPr>
    </w:p>
    <w:p w:rsidR="00F6627D" w:rsidRPr="00F6627D" w:rsidRDefault="00F6627D" w:rsidP="00F6627D">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rPr>
        <w:t>PIFSC. 2017. Baseline assessments for coral reef community structure and demographics on west Maui. Data Report. NOAA Fisheries Pacific Science Center, PIFSC Special Publication, SP-17-001, 44p. https://doi.org/10.7289/V5/SPPIFSC-17-001.</w:t>
      </w:r>
    </w:p>
    <w:p w:rsidR="006557F0" w:rsidRDefault="006557F0">
      <w:pPr>
        <w:pBdr>
          <w:top w:val="nil"/>
          <w:left w:val="nil"/>
          <w:bottom w:val="nil"/>
          <w:right w:val="nil"/>
          <w:between w:val="nil"/>
        </w:pBdr>
        <w:spacing w:after="0" w:line="240" w:lineRule="auto"/>
        <w:rPr>
          <w:rFonts w:ascii="Garamond" w:eastAsia="Garamond" w:hAnsi="Garamond" w:cs="Garamond"/>
        </w:rPr>
      </w:pPr>
    </w:p>
    <w:p w:rsidR="006557F0" w:rsidRDefault="00EC60AB" w:rsidP="00B50DD7">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rPr>
        <w:t xml:space="preserve">Rasul, A., </w:t>
      </w:r>
      <w:proofErr w:type="spellStart"/>
      <w:r>
        <w:rPr>
          <w:rFonts w:ascii="Garamond" w:eastAsia="Garamond" w:hAnsi="Garamond" w:cs="Garamond"/>
        </w:rPr>
        <w:t>Balzter</w:t>
      </w:r>
      <w:proofErr w:type="spellEnd"/>
      <w:r>
        <w:rPr>
          <w:rFonts w:ascii="Garamond" w:eastAsia="Garamond" w:hAnsi="Garamond" w:cs="Garamond"/>
        </w:rPr>
        <w:t xml:space="preserve">, H., </w:t>
      </w:r>
      <w:proofErr w:type="spellStart"/>
      <w:r>
        <w:rPr>
          <w:rFonts w:ascii="Garamond" w:eastAsia="Garamond" w:hAnsi="Garamond" w:cs="Garamond"/>
        </w:rPr>
        <w:t>Faqe</w:t>
      </w:r>
      <w:proofErr w:type="spellEnd"/>
      <w:r>
        <w:rPr>
          <w:rFonts w:ascii="Garamond" w:eastAsia="Garamond" w:hAnsi="Garamond" w:cs="Garamond"/>
        </w:rPr>
        <w:t xml:space="preserve"> Ibrahim, G.R., Hameed, H.M., Wheeler, J., </w:t>
      </w:r>
      <w:proofErr w:type="spellStart"/>
      <w:r>
        <w:rPr>
          <w:rFonts w:ascii="Garamond" w:eastAsia="Garamond" w:hAnsi="Garamond" w:cs="Garamond"/>
        </w:rPr>
        <w:t>Adamu</w:t>
      </w:r>
      <w:proofErr w:type="spellEnd"/>
      <w:r>
        <w:rPr>
          <w:rFonts w:ascii="Garamond" w:eastAsia="Garamond" w:hAnsi="Garamond" w:cs="Garamond"/>
        </w:rPr>
        <w:t>, B.,</w:t>
      </w:r>
      <w:r w:rsidR="0061303A">
        <w:rPr>
          <w:rFonts w:ascii="Garamond" w:eastAsia="Garamond" w:hAnsi="Garamond" w:cs="Garamond"/>
        </w:rPr>
        <w:t xml:space="preserve"> Ibrahim, S.,</w:t>
      </w:r>
      <w:r>
        <w:rPr>
          <w:rFonts w:ascii="Garamond" w:eastAsia="Garamond" w:hAnsi="Garamond" w:cs="Garamond"/>
        </w:rPr>
        <w:t xml:space="preserve"> </w:t>
      </w:r>
      <w:proofErr w:type="spellStart"/>
      <w:r>
        <w:rPr>
          <w:rFonts w:ascii="Garamond" w:eastAsia="Garamond" w:hAnsi="Garamond" w:cs="Garamond"/>
        </w:rPr>
        <w:t>Najmaddin</w:t>
      </w:r>
      <w:proofErr w:type="spellEnd"/>
      <w:r>
        <w:rPr>
          <w:rFonts w:ascii="Garamond" w:eastAsia="Garamond" w:hAnsi="Garamond" w:cs="Garamond"/>
        </w:rPr>
        <w:t>, P.M. (2018). Applying Built-Up and Bare-Soil Indices from Landsat 8 to Cities in Dry Climates. Land 7(3), 81. https://doi.org/10.3390/land7030081</w:t>
      </w:r>
    </w:p>
    <w:p w:rsidR="006557F0" w:rsidRDefault="006557F0">
      <w:pPr>
        <w:pBdr>
          <w:top w:val="nil"/>
          <w:left w:val="nil"/>
          <w:bottom w:val="nil"/>
          <w:right w:val="nil"/>
          <w:between w:val="nil"/>
        </w:pBdr>
        <w:spacing w:after="0" w:line="240" w:lineRule="auto"/>
        <w:rPr>
          <w:rFonts w:ascii="Garamond" w:eastAsia="Garamond" w:hAnsi="Garamond" w:cs="Garamond"/>
        </w:rPr>
      </w:pPr>
    </w:p>
    <w:p w:rsidR="006557F0" w:rsidRDefault="00EC60AB" w:rsidP="00B50DD7">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rPr>
        <w:t>Silver, J. (2013). Food Security on Maui: Reinventing Agriculture in the Aloha State</w:t>
      </w:r>
      <w:proofErr w:type="gramStart"/>
      <w:r>
        <w:rPr>
          <w:rFonts w:ascii="Garamond" w:eastAsia="Garamond" w:hAnsi="Garamond" w:cs="Garamond"/>
        </w:rPr>
        <w:t>. )</w:t>
      </w:r>
      <w:proofErr w:type="gramEnd"/>
      <w:r>
        <w:rPr>
          <w:rFonts w:ascii="Garamond" w:eastAsia="Garamond" w:hAnsi="Garamond" w:cs="Garamond"/>
        </w:rPr>
        <w:t>. Scripps Senior Theses. Paper 143. [PDF] http://scholarship.claremont.edu/scripps_theses/143. Last accessed: Nov. 12, 2019</w:t>
      </w:r>
    </w:p>
    <w:p w:rsidR="00F6627D" w:rsidRDefault="00F6627D" w:rsidP="00B50DD7">
      <w:pPr>
        <w:pBdr>
          <w:top w:val="nil"/>
          <w:left w:val="nil"/>
          <w:bottom w:val="nil"/>
          <w:right w:val="nil"/>
          <w:between w:val="nil"/>
        </w:pBdr>
        <w:spacing w:after="0" w:line="240" w:lineRule="auto"/>
        <w:ind w:left="720" w:hanging="720"/>
        <w:rPr>
          <w:rFonts w:ascii="Garamond" w:eastAsia="Garamond" w:hAnsi="Garamond" w:cs="Garamond"/>
        </w:rPr>
      </w:pPr>
    </w:p>
    <w:p w:rsidR="00F6627D" w:rsidRDefault="00F6627D" w:rsidP="00F6627D">
      <w:pPr>
        <w:pBdr>
          <w:top w:val="nil"/>
          <w:left w:val="nil"/>
          <w:bottom w:val="nil"/>
          <w:right w:val="nil"/>
          <w:between w:val="nil"/>
        </w:pBdr>
        <w:spacing w:after="0" w:line="240" w:lineRule="auto"/>
        <w:rPr>
          <w:rFonts w:ascii="Garamond" w:eastAsia="Garamond" w:hAnsi="Garamond" w:cs="Garamond"/>
        </w:rPr>
      </w:pPr>
      <w:proofErr w:type="spellStart"/>
      <w:r>
        <w:rPr>
          <w:rFonts w:ascii="Garamond" w:eastAsia="Garamond" w:hAnsi="Garamond" w:cs="Garamond"/>
        </w:rPr>
        <w:t>Soicher</w:t>
      </w:r>
      <w:proofErr w:type="spellEnd"/>
      <w:r>
        <w:rPr>
          <w:rFonts w:ascii="Garamond" w:eastAsia="Garamond" w:hAnsi="Garamond" w:cs="Garamond"/>
        </w:rPr>
        <w:t>, A. J., Peterson, F. L. (1997) Terrestrial Nutrient and Sediment Fluxes to the Coastal Waters of</w:t>
      </w:r>
    </w:p>
    <w:p w:rsidR="00F6627D" w:rsidRDefault="00F6627D" w:rsidP="00F6627D">
      <w:pPr>
        <w:pBdr>
          <w:top w:val="nil"/>
          <w:left w:val="nil"/>
          <w:bottom w:val="nil"/>
          <w:right w:val="nil"/>
          <w:between w:val="nil"/>
        </w:pBdr>
        <w:spacing w:after="0" w:line="240" w:lineRule="auto"/>
        <w:ind w:left="720"/>
        <w:rPr>
          <w:rFonts w:ascii="Garamond" w:eastAsia="Garamond" w:hAnsi="Garamond" w:cs="Garamond"/>
        </w:rPr>
      </w:pPr>
      <w:r>
        <w:rPr>
          <w:rFonts w:ascii="Garamond" w:eastAsia="Garamond" w:hAnsi="Garamond" w:cs="Garamond"/>
        </w:rPr>
        <w:t xml:space="preserve">West Maui, </w:t>
      </w:r>
      <w:proofErr w:type="spellStart"/>
      <w:r>
        <w:rPr>
          <w:rFonts w:ascii="Garamond" w:eastAsia="Garamond" w:hAnsi="Garamond" w:cs="Garamond"/>
        </w:rPr>
        <w:t>Hawai’i.University</w:t>
      </w:r>
      <w:proofErr w:type="spellEnd"/>
      <w:r>
        <w:rPr>
          <w:rFonts w:ascii="Garamond" w:eastAsia="Garamond" w:hAnsi="Garamond" w:cs="Garamond"/>
        </w:rPr>
        <w:t xml:space="preserve"> of Hawai’i Press. Pacific Science, vol. 51, no. 3: 221-232</w:t>
      </w:r>
    </w:p>
    <w:p w:rsidR="00F6627D" w:rsidRDefault="00F6627D" w:rsidP="00B50DD7">
      <w:pPr>
        <w:pBdr>
          <w:top w:val="nil"/>
          <w:left w:val="nil"/>
          <w:bottom w:val="nil"/>
          <w:right w:val="nil"/>
          <w:between w:val="nil"/>
        </w:pBdr>
        <w:spacing w:after="0" w:line="240" w:lineRule="auto"/>
        <w:ind w:left="720" w:hanging="720"/>
        <w:rPr>
          <w:rFonts w:ascii="Garamond" w:eastAsia="Garamond" w:hAnsi="Garamond" w:cs="Garamond"/>
        </w:rPr>
      </w:pPr>
    </w:p>
    <w:p w:rsidR="00F6627D" w:rsidRDefault="00F6627D" w:rsidP="00F6627D">
      <w:pPr>
        <w:pBdr>
          <w:top w:val="nil"/>
          <w:left w:val="nil"/>
          <w:bottom w:val="nil"/>
          <w:right w:val="nil"/>
          <w:between w:val="nil"/>
        </w:pBdr>
        <w:spacing w:after="0" w:line="240" w:lineRule="auto"/>
        <w:ind w:left="720" w:hanging="720"/>
        <w:rPr>
          <w:rFonts w:ascii="Garamond" w:eastAsia="Garamond" w:hAnsi="Garamond" w:cs="Garamond"/>
        </w:rPr>
      </w:pPr>
      <w:r w:rsidRPr="00F6627D">
        <w:rPr>
          <w:rFonts w:ascii="Garamond" w:eastAsia="Garamond" w:hAnsi="Garamond" w:cs="Garamond"/>
        </w:rPr>
        <w:t>Song, K., Ma, J., Wen, Z., Fang, C., Shang, Y., Zhao, Y.,</w:t>
      </w:r>
      <w:r>
        <w:rPr>
          <w:rFonts w:ascii="Garamond" w:eastAsia="Garamond" w:hAnsi="Garamond" w:cs="Garamond"/>
        </w:rPr>
        <w:t xml:space="preserve"> Wang, M.,</w:t>
      </w:r>
      <w:r w:rsidRPr="00F6627D">
        <w:rPr>
          <w:rFonts w:ascii="Garamond" w:eastAsia="Garamond" w:hAnsi="Garamond" w:cs="Garamond"/>
        </w:rPr>
        <w:t xml:space="preserve"> Du, J. (2017). Remote estimation of </w:t>
      </w:r>
      <w:proofErr w:type="spellStart"/>
      <w:r w:rsidRPr="00F6627D">
        <w:rPr>
          <w:rFonts w:ascii="Garamond" w:eastAsia="Garamond" w:hAnsi="Garamond" w:cs="Garamond"/>
        </w:rPr>
        <w:t>K</w:t>
      </w:r>
      <w:r w:rsidRPr="00F6627D">
        <w:rPr>
          <w:rFonts w:ascii="Garamond" w:eastAsia="Garamond" w:hAnsi="Garamond" w:cs="Garamond"/>
          <w:vertAlign w:val="subscript"/>
        </w:rPr>
        <w:t>d</w:t>
      </w:r>
      <w:proofErr w:type="spellEnd"/>
      <w:r w:rsidRPr="00F6627D">
        <w:rPr>
          <w:rFonts w:ascii="Garamond" w:eastAsia="Garamond" w:hAnsi="Garamond" w:cs="Garamond"/>
        </w:rPr>
        <w:t> (PAR) using MODIS and Landsat imagery for turbid inland waters in Northeast China. </w:t>
      </w:r>
      <w:r w:rsidRPr="00F6627D">
        <w:rPr>
          <w:rFonts w:ascii="Garamond" w:eastAsia="Garamond" w:hAnsi="Garamond" w:cs="Garamond"/>
          <w:i/>
          <w:iCs/>
        </w:rPr>
        <w:t>ISPRS Journal of Photogrammetry and Remote Sensing, 123</w:t>
      </w:r>
      <w:r w:rsidRPr="00F6627D">
        <w:rPr>
          <w:rFonts w:ascii="Garamond" w:eastAsia="Garamond" w:hAnsi="Garamond" w:cs="Garamond"/>
        </w:rPr>
        <w:t>, 159-172. </w:t>
      </w:r>
    </w:p>
    <w:p w:rsidR="006557F0" w:rsidRDefault="00F6627D" w:rsidP="00F6627D">
      <w:pPr>
        <w:pBdr>
          <w:top w:val="nil"/>
          <w:left w:val="nil"/>
          <w:bottom w:val="nil"/>
          <w:right w:val="nil"/>
          <w:between w:val="nil"/>
        </w:pBdr>
        <w:spacing w:after="0" w:line="240" w:lineRule="auto"/>
        <w:ind w:firstLine="720"/>
        <w:rPr>
          <w:rFonts w:ascii="Garamond" w:eastAsia="Garamond" w:hAnsi="Garamond" w:cs="Garamond"/>
        </w:rPr>
      </w:pPr>
      <w:r w:rsidRPr="00F6627D">
        <w:rPr>
          <w:rFonts w:ascii="Garamond" w:eastAsia="Garamond" w:hAnsi="Garamond" w:cs="Garamond"/>
        </w:rPr>
        <w:t>http://dx.doi.org/10.1016/j.isprsjprs.2016.11.010</w:t>
      </w:r>
    </w:p>
    <w:p w:rsidR="006557F0" w:rsidRDefault="00EC60AB">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lastRenderedPageBreak/>
        <w:t xml:space="preserve">Thornton, P.E., Thornton, M.M., Mayer, B.W., Wei, Y., </w:t>
      </w:r>
      <w:proofErr w:type="spellStart"/>
      <w:r>
        <w:rPr>
          <w:rFonts w:ascii="Garamond" w:eastAsia="Garamond" w:hAnsi="Garamond" w:cs="Garamond"/>
        </w:rPr>
        <w:t>Devarakonda</w:t>
      </w:r>
      <w:proofErr w:type="spellEnd"/>
      <w:r>
        <w:rPr>
          <w:rFonts w:ascii="Garamond" w:eastAsia="Garamond" w:hAnsi="Garamond" w:cs="Garamond"/>
        </w:rPr>
        <w:t xml:space="preserve">, R., </w:t>
      </w:r>
      <w:proofErr w:type="spellStart"/>
      <w:r>
        <w:rPr>
          <w:rFonts w:ascii="Garamond" w:eastAsia="Garamond" w:hAnsi="Garamond" w:cs="Garamond"/>
        </w:rPr>
        <w:t>Vose</w:t>
      </w:r>
      <w:proofErr w:type="spellEnd"/>
      <w:r>
        <w:rPr>
          <w:rFonts w:ascii="Garamond" w:eastAsia="Garamond" w:hAnsi="Garamond" w:cs="Garamond"/>
        </w:rPr>
        <w:t>, R.S., and Cook, R.B. (2019).</w:t>
      </w:r>
    </w:p>
    <w:p w:rsidR="006557F0" w:rsidRDefault="00EC60AB">
      <w:pPr>
        <w:pBdr>
          <w:top w:val="nil"/>
          <w:left w:val="nil"/>
          <w:bottom w:val="nil"/>
          <w:right w:val="nil"/>
          <w:between w:val="nil"/>
        </w:pBdr>
        <w:spacing w:after="0" w:line="240" w:lineRule="auto"/>
        <w:ind w:firstLine="720"/>
        <w:rPr>
          <w:rFonts w:ascii="Garamond" w:eastAsia="Garamond" w:hAnsi="Garamond" w:cs="Garamond"/>
        </w:rPr>
      </w:pPr>
      <w:proofErr w:type="spellStart"/>
      <w:r>
        <w:rPr>
          <w:rFonts w:ascii="Garamond" w:eastAsia="Garamond" w:hAnsi="Garamond" w:cs="Garamond"/>
        </w:rPr>
        <w:t>Daymet</w:t>
      </w:r>
      <w:proofErr w:type="spellEnd"/>
      <w:r>
        <w:rPr>
          <w:rFonts w:ascii="Garamond" w:eastAsia="Garamond" w:hAnsi="Garamond" w:cs="Garamond"/>
        </w:rPr>
        <w:t>: Daily Surface Weather Data on a 1-km Grid for North America, Version3. ORNL DAAC,</w:t>
      </w:r>
    </w:p>
    <w:p w:rsidR="006557F0" w:rsidRDefault="00EC60AB" w:rsidP="00F6627D">
      <w:pPr>
        <w:pBdr>
          <w:top w:val="nil"/>
          <w:left w:val="nil"/>
          <w:bottom w:val="nil"/>
          <w:right w:val="nil"/>
          <w:between w:val="nil"/>
        </w:pBdr>
        <w:spacing w:after="0" w:line="240" w:lineRule="auto"/>
        <w:ind w:firstLine="720"/>
        <w:rPr>
          <w:rFonts w:ascii="Garamond" w:eastAsia="Garamond" w:hAnsi="Garamond" w:cs="Garamond"/>
        </w:rPr>
      </w:pPr>
      <w:r>
        <w:rPr>
          <w:rFonts w:ascii="Garamond" w:eastAsia="Garamond" w:hAnsi="Garamond" w:cs="Garamond"/>
        </w:rPr>
        <w:t>Oak Ridge, Tennessee, USA. https://doi.org/10.3334/ORNLDAAC/1328</w:t>
      </w:r>
    </w:p>
    <w:p w:rsidR="006557F0" w:rsidRDefault="00EC60AB" w:rsidP="00B50DD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Garamond" w:eastAsia="Garamond" w:hAnsi="Garamond" w:cs="Garamond"/>
          <w:color w:val="000000"/>
        </w:rPr>
        <w:t>Timmons, G. (</w:t>
      </w:r>
      <w:proofErr w:type="spellStart"/>
      <w:r>
        <w:rPr>
          <w:rFonts w:ascii="Garamond" w:eastAsia="Garamond" w:hAnsi="Garamond" w:cs="Garamond"/>
          <w:color w:val="000000"/>
        </w:rPr>
        <w:t>n.d</w:t>
      </w:r>
      <w:proofErr w:type="spellEnd"/>
      <w:r>
        <w:rPr>
          <w:rFonts w:ascii="Garamond" w:eastAsia="Garamond" w:hAnsi="Garamond" w:cs="Garamond"/>
          <w:color w:val="000000"/>
        </w:rPr>
        <w:t xml:space="preserve">). Last Stand </w:t>
      </w:r>
      <w:proofErr w:type="gramStart"/>
      <w:r>
        <w:rPr>
          <w:rFonts w:ascii="Garamond" w:eastAsia="Garamond" w:hAnsi="Garamond" w:cs="Garamond"/>
          <w:color w:val="000000"/>
        </w:rPr>
        <w:t>The</w:t>
      </w:r>
      <w:proofErr w:type="gramEnd"/>
      <w:r>
        <w:rPr>
          <w:rFonts w:ascii="Garamond" w:eastAsia="Garamond" w:hAnsi="Garamond" w:cs="Garamond"/>
          <w:color w:val="000000"/>
        </w:rPr>
        <w:t xml:space="preserve"> Vanishing </w:t>
      </w:r>
      <w:r>
        <w:rPr>
          <w:rFonts w:ascii="Garamond" w:eastAsia="Garamond" w:hAnsi="Garamond" w:cs="Garamond"/>
        </w:rPr>
        <w:t>Hawai’i</w:t>
      </w:r>
      <w:r>
        <w:rPr>
          <w:rFonts w:ascii="Garamond" w:eastAsia="Garamond" w:hAnsi="Garamond" w:cs="Garamond"/>
          <w:color w:val="000000"/>
        </w:rPr>
        <w:t xml:space="preserve">an Forest. Nature, The Nature Conservancy of </w:t>
      </w:r>
      <w:r>
        <w:rPr>
          <w:rFonts w:ascii="Garamond" w:eastAsia="Garamond" w:hAnsi="Garamond" w:cs="Garamond"/>
        </w:rPr>
        <w:t>Hawai’i</w:t>
      </w:r>
      <w:r>
        <w:rPr>
          <w:rFonts w:ascii="Garamond" w:eastAsia="Garamond" w:hAnsi="Garamond" w:cs="Garamond"/>
          <w:color w:val="000000"/>
        </w:rPr>
        <w:t xml:space="preserve">. [PDF] </w:t>
      </w:r>
    </w:p>
    <w:p w:rsidR="006557F0" w:rsidRDefault="00EC60AB">
      <w:pPr>
        <w:pBdr>
          <w:top w:val="nil"/>
          <w:left w:val="nil"/>
          <w:bottom w:val="nil"/>
          <w:right w:val="nil"/>
          <w:between w:val="nil"/>
        </w:pBdr>
        <w:spacing w:after="0" w:line="240" w:lineRule="auto"/>
        <w:ind w:left="720"/>
        <w:rPr>
          <w:rFonts w:ascii="Garamond" w:eastAsia="Garamond" w:hAnsi="Garamond" w:cs="Garamond"/>
          <w:color w:val="000000"/>
        </w:rPr>
      </w:pPr>
      <w:r>
        <w:rPr>
          <w:rFonts w:ascii="Garamond" w:eastAsia="Garamond" w:hAnsi="Garamond" w:cs="Garamond"/>
          <w:color w:val="000000"/>
        </w:rPr>
        <w:t>https://www.nature.org/media/</w:t>
      </w:r>
      <w:r>
        <w:rPr>
          <w:rFonts w:ascii="Garamond" w:eastAsia="Garamond" w:hAnsi="Garamond" w:cs="Garamond"/>
        </w:rPr>
        <w:t>Hawai’i</w:t>
      </w:r>
      <w:r>
        <w:rPr>
          <w:rFonts w:ascii="Garamond" w:eastAsia="Garamond" w:hAnsi="Garamond" w:cs="Garamond"/>
          <w:color w:val="000000"/>
        </w:rPr>
        <w:t>/the-last-stand-</w:t>
      </w:r>
      <w:r>
        <w:rPr>
          <w:rFonts w:ascii="Garamond" w:eastAsia="Garamond" w:hAnsi="Garamond" w:cs="Garamond"/>
        </w:rPr>
        <w:t>Hawai’i</w:t>
      </w:r>
      <w:r>
        <w:rPr>
          <w:rFonts w:ascii="Garamond" w:eastAsia="Garamond" w:hAnsi="Garamond" w:cs="Garamond"/>
          <w:color w:val="000000"/>
        </w:rPr>
        <w:t>an</w:t>
      </w:r>
      <w:proofErr w:type="gramStart"/>
      <w:r>
        <w:rPr>
          <w:rFonts w:ascii="Garamond" w:eastAsia="Garamond" w:hAnsi="Garamond" w:cs="Garamond"/>
          <w:color w:val="000000"/>
        </w:rPr>
        <w:t>-forest.pdf..</w:t>
      </w:r>
      <w:proofErr w:type="gramEnd"/>
      <w:r>
        <w:rPr>
          <w:rFonts w:ascii="Garamond" w:eastAsia="Garamond" w:hAnsi="Garamond" w:cs="Garamond"/>
          <w:color w:val="000000"/>
        </w:rPr>
        <w:t xml:space="preserve"> Last accessed: Oct. 8, 2019</w:t>
      </w:r>
    </w:p>
    <w:p w:rsidR="00F6627D" w:rsidRPr="00885DA8" w:rsidRDefault="00F6627D" w:rsidP="00F6627D">
      <w:pPr>
        <w:pBdr>
          <w:top w:val="nil"/>
          <w:left w:val="nil"/>
          <w:bottom w:val="nil"/>
          <w:right w:val="nil"/>
          <w:between w:val="nil"/>
        </w:pBdr>
        <w:spacing w:after="0" w:line="240" w:lineRule="auto"/>
        <w:rPr>
          <w:rFonts w:ascii="Garamond" w:eastAsia="Garamond" w:hAnsi="Garamond" w:cs="Garamond"/>
        </w:rPr>
      </w:pPr>
    </w:p>
    <w:p w:rsidR="006557F0" w:rsidRDefault="00EC60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US Geological Survey Earth Resources Observation and Science Center. (2014). Landsat 8 OLI/TIRS</w:t>
      </w:r>
    </w:p>
    <w:p w:rsidR="006557F0" w:rsidRDefault="00EC60AB">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Garamond" w:eastAsia="Garamond" w:hAnsi="Garamond" w:cs="Garamond"/>
          <w:color w:val="000000"/>
        </w:rPr>
        <w:t>Level-</w:t>
      </w:r>
      <w:r>
        <w:rPr>
          <w:rFonts w:ascii="Garamond" w:eastAsia="Garamond" w:hAnsi="Garamond" w:cs="Garamond"/>
        </w:rPr>
        <w:t>1</w:t>
      </w:r>
      <w:r>
        <w:rPr>
          <w:rFonts w:ascii="Garamond" w:eastAsia="Garamond" w:hAnsi="Garamond" w:cs="Garamond"/>
          <w:color w:val="000000"/>
        </w:rPr>
        <w:t xml:space="preserve"> Data Products – Surface Reflectance. [Image collection]. US Geological Survey, accessed</w:t>
      </w:r>
    </w:p>
    <w:p w:rsidR="006557F0" w:rsidRDefault="00EC60AB">
      <w:pPr>
        <w:pBdr>
          <w:top w:val="nil"/>
          <w:left w:val="nil"/>
          <w:bottom w:val="nil"/>
          <w:right w:val="nil"/>
          <w:between w:val="nil"/>
        </w:pBdr>
        <w:spacing w:after="0" w:line="240" w:lineRule="auto"/>
        <w:ind w:left="720"/>
        <w:rPr>
          <w:rFonts w:ascii="Garamond" w:eastAsia="Garamond" w:hAnsi="Garamond" w:cs="Garamond"/>
          <w:color w:val="000000"/>
        </w:rPr>
      </w:pPr>
      <w:r>
        <w:rPr>
          <w:rFonts w:ascii="Garamond" w:eastAsia="Garamond" w:hAnsi="Garamond" w:cs="Garamond"/>
          <w:color w:val="000000"/>
        </w:rPr>
        <w:t xml:space="preserve">8 Oct 2019. </w:t>
      </w:r>
      <w:r>
        <w:rPr>
          <w:rFonts w:ascii="Garamond" w:eastAsia="Garamond" w:hAnsi="Garamond" w:cs="Garamond"/>
        </w:rPr>
        <w:t>https://doi.org</w:t>
      </w:r>
      <w:r>
        <w:rPr>
          <w:rFonts w:ascii="Garamond" w:eastAsia="Garamond" w:hAnsi="Garamond" w:cs="Garamond"/>
          <w:sz w:val="21"/>
          <w:szCs w:val="21"/>
        </w:rPr>
        <w:t>/10.5066/F71835S6</w:t>
      </w:r>
    </w:p>
    <w:p w:rsidR="006557F0" w:rsidRDefault="006557F0">
      <w:pPr>
        <w:pBdr>
          <w:top w:val="nil"/>
          <w:left w:val="nil"/>
          <w:bottom w:val="nil"/>
          <w:right w:val="nil"/>
          <w:between w:val="nil"/>
        </w:pBdr>
        <w:spacing w:after="0" w:line="240" w:lineRule="auto"/>
        <w:ind w:left="720"/>
        <w:rPr>
          <w:rFonts w:ascii="Garamond" w:eastAsia="Garamond" w:hAnsi="Garamond" w:cs="Garamond"/>
        </w:rPr>
      </w:pPr>
    </w:p>
    <w:p w:rsidR="006557F0" w:rsidRDefault="00EC60AB" w:rsidP="00B50DD7">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US Geological Survey Earth Resources Observation and Science Center. (2003). Landsat 7 Enhanced Thematic Mapper Plus</w:t>
      </w:r>
      <w:r w:rsidR="00B50DD7">
        <w:rPr>
          <w:rFonts w:ascii="Times New Roman" w:eastAsia="Times New Roman" w:hAnsi="Times New Roman" w:cs="Times New Roman"/>
          <w:sz w:val="24"/>
          <w:szCs w:val="24"/>
        </w:rPr>
        <w:t xml:space="preserve"> </w:t>
      </w:r>
      <w:r>
        <w:rPr>
          <w:rFonts w:ascii="Garamond" w:eastAsia="Garamond" w:hAnsi="Garamond" w:cs="Garamond"/>
        </w:rPr>
        <w:t>Level-1 Data Products – Surface Reflectance. [Image collection]. US Geological Survey, accessed</w:t>
      </w:r>
      <w:r w:rsidR="00B50DD7">
        <w:rPr>
          <w:rFonts w:ascii="Times New Roman" w:eastAsia="Times New Roman" w:hAnsi="Times New Roman" w:cs="Times New Roman"/>
          <w:sz w:val="24"/>
          <w:szCs w:val="24"/>
        </w:rPr>
        <w:t xml:space="preserve"> </w:t>
      </w:r>
      <w:r>
        <w:rPr>
          <w:rFonts w:ascii="Garamond" w:eastAsia="Garamond" w:hAnsi="Garamond" w:cs="Garamond"/>
        </w:rPr>
        <w:t>8 Oct 2019. https://doi.org</w:t>
      </w:r>
      <w:r>
        <w:rPr>
          <w:rFonts w:ascii="Garamond" w:eastAsia="Garamond" w:hAnsi="Garamond" w:cs="Garamond"/>
          <w:sz w:val="21"/>
          <w:szCs w:val="21"/>
        </w:rPr>
        <w:t>/10.5066/F7WH2P8G</w:t>
      </w:r>
      <w:r>
        <w:rPr>
          <w:rFonts w:ascii="Garamond" w:eastAsia="Garamond" w:hAnsi="Garamond" w:cs="Garamond"/>
        </w:rPr>
        <w:t>. </w:t>
      </w:r>
    </w:p>
    <w:p w:rsidR="006557F0" w:rsidRDefault="006557F0">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6557F0" w:rsidRPr="00B50DD7" w:rsidRDefault="00EC60AB" w:rsidP="00B50DD7">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Garamond" w:eastAsia="Garamond" w:hAnsi="Garamond" w:cs="Garamond"/>
          <w:color w:val="000000"/>
        </w:rPr>
        <w:t>US Geological Survey Earth Resources Observation and Science Center. (</w:t>
      </w:r>
      <w:proofErr w:type="spellStart"/>
      <w:r>
        <w:rPr>
          <w:rFonts w:ascii="Garamond" w:eastAsia="Garamond" w:hAnsi="Garamond" w:cs="Garamond"/>
          <w:color w:val="000000"/>
        </w:rPr>
        <w:t>n.d</w:t>
      </w:r>
      <w:proofErr w:type="spellEnd"/>
      <w:r>
        <w:rPr>
          <w:rFonts w:ascii="Garamond" w:eastAsia="Garamond" w:hAnsi="Garamond" w:cs="Garamond"/>
          <w:color w:val="000000"/>
        </w:rPr>
        <w:t>). Landsat 4-5 Thematic Mapper Level-1 Data Products – Surface Reflectance. [Image collection]. US Geological Survey, accessed</w:t>
      </w:r>
      <w:r w:rsidR="00B50DD7">
        <w:rPr>
          <w:rFonts w:ascii="Times New Roman" w:eastAsia="Times New Roman" w:hAnsi="Times New Roman" w:cs="Times New Roman"/>
          <w:color w:val="000000"/>
          <w:sz w:val="24"/>
          <w:szCs w:val="24"/>
        </w:rPr>
        <w:t xml:space="preserve"> </w:t>
      </w:r>
      <w:r>
        <w:rPr>
          <w:rFonts w:ascii="Garamond" w:eastAsia="Garamond" w:hAnsi="Garamond" w:cs="Garamond"/>
          <w:color w:val="000000"/>
        </w:rPr>
        <w:t xml:space="preserve">8 Oct 2019. </w:t>
      </w:r>
      <w:r>
        <w:rPr>
          <w:rFonts w:ascii="Garamond" w:eastAsia="Garamond" w:hAnsi="Garamond" w:cs="Garamond"/>
        </w:rPr>
        <w:t>https://doi.org</w:t>
      </w:r>
      <w:r>
        <w:rPr>
          <w:rFonts w:ascii="Times New Roman" w:eastAsia="Times New Roman" w:hAnsi="Times New Roman" w:cs="Times New Roman"/>
          <w:sz w:val="21"/>
          <w:szCs w:val="21"/>
        </w:rPr>
        <w:t>/10.5066/F7N015TQ</w:t>
      </w:r>
    </w:p>
    <w:p w:rsidR="006557F0" w:rsidRDefault="006557F0">
      <w:pPr>
        <w:pBdr>
          <w:top w:val="nil"/>
          <w:left w:val="nil"/>
          <w:bottom w:val="nil"/>
          <w:right w:val="nil"/>
          <w:between w:val="nil"/>
        </w:pBdr>
        <w:spacing w:after="0" w:line="240" w:lineRule="auto"/>
        <w:ind w:left="720"/>
        <w:rPr>
          <w:rFonts w:ascii="Times New Roman" w:eastAsia="Times New Roman" w:hAnsi="Times New Roman" w:cs="Times New Roman"/>
          <w:sz w:val="21"/>
          <w:szCs w:val="21"/>
        </w:rPr>
      </w:pPr>
    </w:p>
    <w:p w:rsidR="006557F0" w:rsidRDefault="00EC60AB" w:rsidP="00B50DD7">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rPr>
        <w:t xml:space="preserve">US Geological Survey. (1998). Maui Bathymetry Map. Pacific </w:t>
      </w:r>
      <w:proofErr w:type="spellStart"/>
      <w:r>
        <w:rPr>
          <w:rFonts w:ascii="Garamond" w:eastAsia="Garamond" w:hAnsi="Garamond" w:cs="Garamond"/>
        </w:rPr>
        <w:t>SeaFloor</w:t>
      </w:r>
      <w:proofErr w:type="spellEnd"/>
      <w:r>
        <w:rPr>
          <w:rFonts w:ascii="Garamond" w:eastAsia="Garamond" w:hAnsi="Garamond" w:cs="Garamond"/>
        </w:rPr>
        <w:t xml:space="preserve"> Mapping Project. [Data]. https://pubs.usgs.gov/dds/dds-55/pacmaps/mi_index.htm. Last accessed: Oct. 10, 2019</w:t>
      </w:r>
    </w:p>
    <w:p w:rsidR="00F6627D" w:rsidRDefault="00F6627D" w:rsidP="00B50DD7">
      <w:pPr>
        <w:pBdr>
          <w:top w:val="nil"/>
          <w:left w:val="nil"/>
          <w:bottom w:val="nil"/>
          <w:right w:val="nil"/>
          <w:between w:val="nil"/>
        </w:pBdr>
        <w:spacing w:after="0" w:line="240" w:lineRule="auto"/>
        <w:ind w:left="720" w:hanging="720"/>
        <w:rPr>
          <w:rFonts w:ascii="Garamond" w:eastAsia="Garamond" w:hAnsi="Garamond" w:cs="Garamond"/>
        </w:rPr>
      </w:pPr>
    </w:p>
    <w:p w:rsidR="00F6627D" w:rsidRDefault="00F6627D" w:rsidP="00F662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U.S. News, n.d. Why Go to Maui. U.S. News &amp; World Report L.P, 2019. Retrieved from</w:t>
      </w:r>
    </w:p>
    <w:p w:rsidR="00F6627D" w:rsidRPr="00F6627D" w:rsidRDefault="00F6627D" w:rsidP="00F6627D">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Garamond" w:eastAsia="Garamond" w:hAnsi="Garamond" w:cs="Garamond"/>
          <w:color w:val="000000"/>
        </w:rPr>
        <w:t>https://travel.usnews.com/Maui_HI/. Last accessed: Oct 8, 2019</w:t>
      </w:r>
    </w:p>
    <w:p w:rsidR="006557F0" w:rsidRDefault="006557F0">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6557F0" w:rsidRPr="00B50DD7" w:rsidRDefault="00EC60AB" w:rsidP="00B50DD7">
      <w:pPr>
        <w:pBdr>
          <w:top w:val="nil"/>
          <w:left w:val="nil"/>
          <w:bottom w:val="nil"/>
          <w:right w:val="nil"/>
          <w:between w:val="nil"/>
        </w:pBdr>
        <w:spacing w:after="0" w:line="240" w:lineRule="auto"/>
        <w:ind w:left="720" w:hanging="720"/>
        <w:rPr>
          <w:rFonts w:ascii="Times New Roman" w:eastAsia="Times New Roman" w:hAnsi="Times New Roman" w:cs="Times New Roman"/>
          <w:i/>
          <w:color w:val="000000"/>
          <w:sz w:val="24"/>
          <w:szCs w:val="24"/>
        </w:rPr>
      </w:pPr>
      <w:r>
        <w:rPr>
          <w:rFonts w:ascii="Garamond" w:eastAsia="Garamond" w:hAnsi="Garamond" w:cs="Garamond"/>
          <w:color w:val="000000"/>
        </w:rPr>
        <w:t xml:space="preserve">Wedding, L. M., Lecky, J., Gove, J. M., </w:t>
      </w:r>
      <w:proofErr w:type="spellStart"/>
      <w:r>
        <w:rPr>
          <w:rFonts w:ascii="Garamond" w:eastAsia="Garamond" w:hAnsi="Garamond" w:cs="Garamond"/>
          <w:color w:val="000000"/>
        </w:rPr>
        <w:t>Walecka</w:t>
      </w:r>
      <w:proofErr w:type="spellEnd"/>
      <w:r>
        <w:rPr>
          <w:rFonts w:ascii="Garamond" w:eastAsia="Garamond" w:hAnsi="Garamond" w:cs="Garamond"/>
          <w:color w:val="000000"/>
        </w:rPr>
        <w:t xml:space="preserve">, H. R., Donovan, M. K., Williams, G. J., &amp; </w:t>
      </w:r>
      <w:proofErr w:type="spellStart"/>
      <w:r>
        <w:rPr>
          <w:rFonts w:ascii="Garamond" w:eastAsia="Garamond" w:hAnsi="Garamond" w:cs="Garamond"/>
          <w:color w:val="000000"/>
        </w:rPr>
        <w:t>Selkoe</w:t>
      </w:r>
      <w:proofErr w:type="spellEnd"/>
      <w:r>
        <w:rPr>
          <w:rFonts w:ascii="Garamond" w:eastAsia="Garamond" w:hAnsi="Garamond" w:cs="Garamond"/>
          <w:color w:val="000000"/>
        </w:rPr>
        <w:t xml:space="preserve">, K. A. (2018). Advancing the integration of spatial data to map human and natural drivers on coral reefs. </w:t>
      </w:r>
      <w:r>
        <w:rPr>
          <w:rFonts w:ascii="Garamond" w:eastAsia="Garamond" w:hAnsi="Garamond" w:cs="Garamond"/>
          <w:i/>
          <w:color w:val="000000"/>
        </w:rPr>
        <w:t>Public Library of Science</w:t>
      </w:r>
      <w:r w:rsidR="00B50DD7">
        <w:rPr>
          <w:rFonts w:ascii="Times New Roman" w:eastAsia="Times New Roman" w:hAnsi="Times New Roman" w:cs="Times New Roman"/>
          <w:i/>
          <w:color w:val="000000"/>
          <w:sz w:val="24"/>
          <w:szCs w:val="24"/>
        </w:rPr>
        <w:t xml:space="preserve"> </w:t>
      </w:r>
      <w:r>
        <w:rPr>
          <w:rFonts w:ascii="Garamond" w:eastAsia="Garamond" w:hAnsi="Garamond" w:cs="Garamond"/>
          <w:i/>
          <w:color w:val="000000"/>
        </w:rPr>
        <w:t>ONE, 13</w:t>
      </w:r>
      <w:r>
        <w:rPr>
          <w:rFonts w:ascii="Garamond" w:eastAsia="Garamond" w:hAnsi="Garamond" w:cs="Garamond"/>
          <w:color w:val="000000"/>
        </w:rPr>
        <w:t>(3): e0189792. https://doi.org/10.1371/journal.pone.0189792</w:t>
      </w:r>
    </w:p>
    <w:p w:rsidR="006557F0" w:rsidRDefault="006557F0">
      <w:pPr>
        <w:pBdr>
          <w:top w:val="nil"/>
          <w:left w:val="nil"/>
          <w:bottom w:val="nil"/>
          <w:right w:val="nil"/>
          <w:between w:val="nil"/>
        </w:pBdr>
        <w:spacing w:after="0" w:line="240" w:lineRule="auto"/>
        <w:rPr>
          <w:rFonts w:ascii="Garamond" w:eastAsia="Garamond" w:hAnsi="Garamond" w:cs="Garamond"/>
          <w:color w:val="000000"/>
        </w:rPr>
      </w:pPr>
    </w:p>
    <w:p w:rsidR="006557F0" w:rsidRDefault="00EC60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 xml:space="preserve">Wei, J., Lee, Z., Garcia, R., </w:t>
      </w:r>
      <w:proofErr w:type="spellStart"/>
      <w:r>
        <w:rPr>
          <w:rFonts w:ascii="Garamond" w:eastAsia="Garamond" w:hAnsi="Garamond" w:cs="Garamond"/>
          <w:color w:val="000000"/>
        </w:rPr>
        <w:t>Zoffoli</w:t>
      </w:r>
      <w:proofErr w:type="spellEnd"/>
      <w:r>
        <w:rPr>
          <w:rFonts w:ascii="Garamond" w:eastAsia="Garamond" w:hAnsi="Garamond" w:cs="Garamond"/>
          <w:color w:val="000000"/>
        </w:rPr>
        <w:t>, L., Armstrong, R. A., Shang, Z., Sheldon, P., &amp; Chen, R. F. (2018). An </w:t>
      </w:r>
    </w:p>
    <w:p w:rsidR="006557F0" w:rsidRDefault="00EC60AB" w:rsidP="00B50DD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Garamond" w:eastAsia="Garamond" w:hAnsi="Garamond" w:cs="Garamond"/>
          <w:color w:val="000000"/>
        </w:rPr>
        <w:t xml:space="preserve">assessment of Landsat-8 atmospheric correction schemes and remote sensing reflectance products in coral reefs and coastal turbid waters. </w:t>
      </w:r>
      <w:r>
        <w:rPr>
          <w:rFonts w:ascii="Garamond" w:eastAsia="Garamond" w:hAnsi="Garamond" w:cs="Garamond"/>
          <w:i/>
          <w:color w:val="000000"/>
        </w:rPr>
        <w:t>Remote Sensing of Environment, 215</w:t>
      </w:r>
      <w:r>
        <w:rPr>
          <w:rFonts w:ascii="Garamond" w:eastAsia="Garamond" w:hAnsi="Garamond" w:cs="Garamond"/>
          <w:color w:val="000000"/>
        </w:rPr>
        <w:t>, 18-32.</w:t>
      </w:r>
    </w:p>
    <w:p w:rsidR="006557F0" w:rsidRDefault="006557F0" w:rsidP="00F662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6557F0" w:rsidRDefault="00EC60A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West Maui Ridge to Reef (n.d.). What is the West Maui Ridge to Reef Initiative? West Maui Ridge to Reef </w:t>
      </w:r>
    </w:p>
    <w:p w:rsidR="006557F0" w:rsidRDefault="00EC60AB">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ab/>
        <w:t>Initiative. Retrieved from https://www.westmauir2r.com. Last accessed: Oct. 8, 2019 </w:t>
      </w:r>
    </w:p>
    <w:p w:rsidR="006557F0" w:rsidRDefault="006557F0">
      <w:pPr>
        <w:pBdr>
          <w:top w:val="nil"/>
          <w:left w:val="nil"/>
          <w:bottom w:val="nil"/>
          <w:right w:val="nil"/>
          <w:between w:val="nil"/>
        </w:pBdr>
        <w:spacing w:after="0" w:line="240" w:lineRule="auto"/>
        <w:rPr>
          <w:rFonts w:ascii="Garamond" w:eastAsia="Garamond" w:hAnsi="Garamond" w:cs="Garamond"/>
        </w:rPr>
      </w:pPr>
    </w:p>
    <w:p w:rsidR="006557F0" w:rsidRDefault="006557F0">
      <w:pPr>
        <w:pBdr>
          <w:top w:val="nil"/>
          <w:left w:val="nil"/>
          <w:bottom w:val="nil"/>
          <w:right w:val="nil"/>
          <w:between w:val="nil"/>
        </w:pBdr>
        <w:spacing w:after="0" w:line="240" w:lineRule="auto"/>
        <w:rPr>
          <w:rFonts w:ascii="Garamond" w:eastAsia="Garamond" w:hAnsi="Garamond" w:cs="Garamond"/>
        </w:rPr>
      </w:pPr>
    </w:p>
    <w:p w:rsidR="006557F0" w:rsidRDefault="006557F0">
      <w:pPr>
        <w:spacing w:after="0" w:line="240" w:lineRule="auto"/>
        <w:rPr>
          <w:rFonts w:ascii="Garamond" w:eastAsia="Garamond" w:hAnsi="Garamond" w:cs="Garamond"/>
        </w:rPr>
      </w:pPr>
    </w:p>
    <w:p w:rsidR="006557F0" w:rsidRDefault="006557F0">
      <w:pPr>
        <w:spacing w:after="0" w:line="240" w:lineRule="auto"/>
        <w:rPr>
          <w:rFonts w:ascii="Garamond" w:eastAsia="Garamond" w:hAnsi="Garamond" w:cs="Garamond"/>
        </w:rPr>
      </w:pPr>
    </w:p>
    <w:p w:rsidR="006557F0" w:rsidRDefault="006557F0">
      <w:pPr>
        <w:spacing w:after="0" w:line="240" w:lineRule="auto"/>
        <w:rPr>
          <w:rFonts w:ascii="Garamond" w:eastAsia="Garamond" w:hAnsi="Garamond" w:cs="Garamond"/>
        </w:rPr>
      </w:pPr>
    </w:p>
    <w:p w:rsidR="006557F0" w:rsidRDefault="006557F0">
      <w:pPr>
        <w:pBdr>
          <w:top w:val="nil"/>
          <w:left w:val="nil"/>
          <w:bottom w:val="nil"/>
          <w:right w:val="nil"/>
          <w:between w:val="nil"/>
        </w:pBdr>
        <w:spacing w:after="0" w:line="240" w:lineRule="auto"/>
        <w:rPr>
          <w:rFonts w:ascii="Garamond" w:eastAsia="Garamond" w:hAnsi="Garamond" w:cs="Garamond"/>
        </w:rPr>
      </w:pPr>
    </w:p>
    <w:p w:rsidR="006557F0" w:rsidRDefault="006557F0">
      <w:pPr>
        <w:spacing w:after="0" w:line="240" w:lineRule="auto"/>
        <w:rPr>
          <w:rFonts w:ascii="Garamond" w:eastAsia="Garamond" w:hAnsi="Garamond" w:cs="Garamond"/>
        </w:rPr>
      </w:pPr>
    </w:p>
    <w:p w:rsidR="006557F0" w:rsidRDefault="00EC60AB">
      <w:pPr>
        <w:pStyle w:val="Heading1"/>
        <w:spacing w:before="0" w:line="240" w:lineRule="auto"/>
        <w:rPr>
          <w:rFonts w:ascii="Garamond" w:eastAsia="Garamond" w:hAnsi="Garamond" w:cs="Garamond"/>
        </w:rPr>
      </w:pPr>
      <w:r>
        <w:br w:type="page"/>
      </w:r>
    </w:p>
    <w:p w:rsidR="00710368" w:rsidRPr="00710368" w:rsidRDefault="00710368" w:rsidP="00710368">
      <w:pPr>
        <w:keepNext/>
        <w:keepLines/>
        <w:spacing w:after="0" w:line="240" w:lineRule="auto"/>
        <w:outlineLvl w:val="0"/>
        <w:rPr>
          <w:rFonts w:ascii="Garamond" w:eastAsia="Garamond" w:hAnsi="Garamond" w:cs="Garamond"/>
          <w:b/>
          <w:bCs/>
          <w:color w:val="365F91"/>
          <w:sz w:val="28"/>
          <w:szCs w:val="28"/>
        </w:rPr>
      </w:pPr>
      <w:r w:rsidRPr="00710368">
        <w:rPr>
          <w:rFonts w:ascii="Garamond" w:eastAsia="Garamond" w:hAnsi="Garamond" w:cs="Garamond"/>
          <w:b/>
          <w:bCs/>
          <w:color w:val="365F91"/>
          <w:sz w:val="28"/>
          <w:szCs w:val="28"/>
        </w:rPr>
        <w:lastRenderedPageBreak/>
        <w:t>9. Appendices</w:t>
      </w:r>
    </w:p>
    <w:p w:rsidR="00710368" w:rsidRDefault="00710368" w:rsidP="00710368">
      <w:pPr>
        <w:pStyle w:val="Heading1"/>
        <w:spacing w:before="0" w:line="240" w:lineRule="auto"/>
        <w:rPr>
          <w:rFonts w:ascii="Garamond" w:eastAsia="Garamond" w:hAnsi="Garamond" w:cs="Garamond"/>
        </w:rPr>
      </w:pPr>
    </w:p>
    <w:p w:rsidR="006557F0" w:rsidRDefault="00EC60AB">
      <w:pPr>
        <w:pStyle w:val="Heading1"/>
        <w:spacing w:before="0" w:line="240" w:lineRule="auto"/>
        <w:jc w:val="center"/>
        <w:rPr>
          <w:rFonts w:ascii="Garamond" w:eastAsia="Garamond" w:hAnsi="Garamond" w:cs="Garamond"/>
        </w:rPr>
      </w:pPr>
      <w:r>
        <w:rPr>
          <w:rFonts w:ascii="Garamond" w:eastAsia="Garamond" w:hAnsi="Garamond" w:cs="Garamond"/>
        </w:rPr>
        <w:t>Appendix A</w:t>
      </w:r>
    </w:p>
    <w:p w:rsidR="006557F0" w:rsidRDefault="006557F0">
      <w:pPr>
        <w:spacing w:after="0" w:line="240" w:lineRule="auto"/>
        <w:rPr>
          <w:rFonts w:ascii="Garamond" w:eastAsia="Garamond" w:hAnsi="Garamond" w:cs="Garamond"/>
        </w:rPr>
      </w:pP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Table A1</w:t>
      </w:r>
    </w:p>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i/>
        </w:rPr>
        <w:t>Description of remotely sensed data used.</w:t>
      </w:r>
    </w:p>
    <w:tbl>
      <w:tblPr>
        <w:tblStyle w:val="a"/>
        <w:tblW w:w="9348" w:type="dxa"/>
        <w:tblLayout w:type="fixed"/>
        <w:tblLook w:val="0400" w:firstRow="0" w:lastRow="0" w:firstColumn="0" w:lastColumn="0" w:noHBand="0" w:noVBand="1"/>
      </w:tblPr>
      <w:tblGrid>
        <w:gridCol w:w="1725"/>
        <w:gridCol w:w="2655"/>
        <w:gridCol w:w="1155"/>
        <w:gridCol w:w="1095"/>
        <w:gridCol w:w="2718"/>
      </w:tblGrid>
      <w:tr w:rsidR="006557F0">
        <w:trPr>
          <w:trHeight w:val="300"/>
        </w:trPr>
        <w:tc>
          <w:tcPr>
            <w:tcW w:w="172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b/>
              </w:rPr>
              <w:t>Satellite &amp; Sensor</w:t>
            </w:r>
          </w:p>
        </w:tc>
        <w:tc>
          <w:tcPr>
            <w:tcW w:w="265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b/>
              </w:rPr>
              <w:t>Product</w:t>
            </w:r>
          </w:p>
        </w:tc>
        <w:tc>
          <w:tcPr>
            <w:tcW w:w="115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b/>
              </w:rPr>
              <w:t>Spatial Resolution</w:t>
            </w:r>
          </w:p>
        </w:tc>
        <w:tc>
          <w:tcPr>
            <w:tcW w:w="109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b/>
              </w:rPr>
              <w:t>Dates</w:t>
            </w:r>
          </w:p>
        </w:tc>
        <w:tc>
          <w:tcPr>
            <w:tcW w:w="271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b/>
              </w:rPr>
              <w:t>Source</w:t>
            </w:r>
          </w:p>
        </w:tc>
      </w:tr>
      <w:tr w:rsidR="006557F0">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Landsat 4/5 TM</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Level 1 Surface Reflectance Tier 1</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30 m</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1989- 1992</w:t>
            </w:r>
          </w:p>
        </w:tc>
        <w:tc>
          <w:tcPr>
            <w:tcW w:w="2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United States Geological Survey (USGS Earth Explorer), acquired in GEE</w:t>
            </w:r>
          </w:p>
        </w:tc>
      </w:tr>
      <w:tr w:rsidR="006557F0">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w:r>
              <w:rPr>
                <w:rFonts w:ascii="Garamond" w:eastAsia="Garamond" w:hAnsi="Garamond" w:cs="Garamond"/>
              </w:rPr>
              <w:t>Landsat 7 ETM+</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w:r>
              <w:rPr>
                <w:rFonts w:ascii="Garamond" w:eastAsia="Garamond" w:hAnsi="Garamond" w:cs="Garamond"/>
              </w:rPr>
              <w:t>Level 1 Surface Reflectance Tier 1</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30 m</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1999- 2003</w:t>
            </w:r>
          </w:p>
        </w:tc>
        <w:tc>
          <w:tcPr>
            <w:tcW w:w="2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w:r>
              <w:rPr>
                <w:rFonts w:ascii="Garamond" w:eastAsia="Garamond" w:hAnsi="Garamond" w:cs="Garamond"/>
              </w:rPr>
              <w:t>USGS, acquired in GEE</w:t>
            </w:r>
          </w:p>
        </w:tc>
      </w:tr>
      <w:tr w:rsidR="006557F0">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Landsat 8 OLI</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Level 1 Surface Reflectance Tier 1</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30 m</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2013- 2019</w:t>
            </w:r>
          </w:p>
        </w:tc>
        <w:tc>
          <w:tcPr>
            <w:tcW w:w="2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USGS, acquired in GEE</w:t>
            </w:r>
          </w:p>
        </w:tc>
      </w:tr>
      <w:tr w:rsidR="006557F0">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Terra MODIS</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highlight w:val="white"/>
              </w:rPr>
              <w:t>Level 3 Ocean Color Standard Mapped Image</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500 m</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2000- 2019</w:t>
            </w:r>
          </w:p>
        </w:tc>
        <w:tc>
          <w:tcPr>
            <w:tcW w:w="2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USGS, acquired in GEE</w:t>
            </w:r>
          </w:p>
        </w:tc>
      </w:tr>
      <w:tr w:rsidR="006557F0">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Aqua MODIS</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highlight w:val="white"/>
              </w:rPr>
              <w:t>Level 3 Ocean Color Standard Mapped Image</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500 m</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2002- 2019</w:t>
            </w:r>
          </w:p>
        </w:tc>
        <w:tc>
          <w:tcPr>
            <w:tcW w:w="2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Times New Roman" w:eastAsia="Times New Roman" w:hAnsi="Times New Roman" w:cs="Times New Roman"/>
                <w:sz w:val="24"/>
                <w:szCs w:val="24"/>
              </w:rPr>
            </w:pPr>
            <w:r>
              <w:rPr>
                <w:rFonts w:ascii="Garamond" w:eastAsia="Garamond" w:hAnsi="Garamond" w:cs="Garamond"/>
              </w:rPr>
              <w:t>USGS, acquired in GEE</w:t>
            </w:r>
          </w:p>
        </w:tc>
      </w:tr>
    </w:tbl>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6557F0" w:rsidRDefault="00EC60AB">
      <w:pPr>
        <w:spacing w:before="200" w:after="0" w:line="240" w:lineRule="auto"/>
        <w:contextualSpacing/>
        <w:rPr>
          <w:rFonts w:ascii="Times New Roman" w:eastAsia="Times New Roman" w:hAnsi="Times New Roman" w:cs="Times New Roman"/>
          <w:sz w:val="24"/>
          <w:szCs w:val="24"/>
        </w:rPr>
      </w:pPr>
      <w:r>
        <w:rPr>
          <w:rFonts w:ascii="Garamond" w:eastAsia="Garamond" w:hAnsi="Garamond" w:cs="Garamond"/>
        </w:rPr>
        <w:lastRenderedPageBreak/>
        <w:t>Table A2</w:t>
      </w:r>
    </w:p>
    <w:p w:rsidR="006557F0" w:rsidRDefault="00EC60AB">
      <w:pPr>
        <w:spacing w:line="240" w:lineRule="auto"/>
        <w:contextualSpacing/>
        <w:rPr>
          <w:rFonts w:ascii="Times New Roman" w:eastAsia="Times New Roman" w:hAnsi="Times New Roman" w:cs="Times New Roman"/>
          <w:sz w:val="24"/>
          <w:szCs w:val="24"/>
        </w:rPr>
      </w:pPr>
      <w:r>
        <w:rPr>
          <w:rFonts w:ascii="Garamond" w:eastAsia="Garamond" w:hAnsi="Garamond" w:cs="Garamond"/>
          <w:i/>
        </w:rPr>
        <w:t>Ancillary data used in the study.</w:t>
      </w:r>
    </w:p>
    <w:tbl>
      <w:tblPr>
        <w:tblStyle w:val="a0"/>
        <w:tblW w:w="9360" w:type="dxa"/>
        <w:tblLayout w:type="fixed"/>
        <w:tblLook w:val="0400" w:firstRow="0" w:lastRow="0" w:firstColumn="0" w:lastColumn="0" w:noHBand="0" w:noVBand="1"/>
      </w:tblPr>
      <w:tblGrid>
        <w:gridCol w:w="2177"/>
        <w:gridCol w:w="1966"/>
        <w:gridCol w:w="1115"/>
        <w:gridCol w:w="1380"/>
        <w:gridCol w:w="787"/>
        <w:gridCol w:w="1935"/>
      </w:tblGrid>
      <w:tr w:rsidR="006557F0">
        <w:trPr>
          <w:trHeight w:val="720"/>
        </w:trPr>
        <w:tc>
          <w:tcPr>
            <w:tcW w:w="217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b/>
              </w:rPr>
              <w:t>Source</w:t>
            </w:r>
          </w:p>
        </w:tc>
        <w:tc>
          <w:tcPr>
            <w:tcW w:w="196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b/>
              </w:rPr>
              <w:t>Product</w:t>
            </w:r>
          </w:p>
        </w:tc>
        <w:tc>
          <w:tcPr>
            <w:tcW w:w="11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b/>
              </w:rPr>
              <w:t>Area</w:t>
            </w:r>
          </w:p>
        </w:tc>
        <w:tc>
          <w:tcPr>
            <w:tcW w:w="138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b/>
              </w:rPr>
              <w:t>Temporal Resolution</w:t>
            </w:r>
          </w:p>
        </w:tc>
        <w:tc>
          <w:tcPr>
            <w:tcW w:w="78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b/>
              </w:rPr>
              <w:t>Years</w:t>
            </w:r>
          </w:p>
        </w:tc>
        <w:tc>
          <w:tcPr>
            <w:tcW w:w="19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b/>
              </w:rPr>
              <w:t>Variables</w:t>
            </w:r>
          </w:p>
        </w:tc>
      </w:tr>
      <w:tr w:rsidR="006557F0">
        <w:tc>
          <w:tcPr>
            <w:tcW w:w="2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rPr>
              <w:t>USGS </w:t>
            </w:r>
          </w:p>
        </w:tc>
        <w:tc>
          <w:tcPr>
            <w:tcW w:w="1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rPr>
              <w:t xml:space="preserve">Pacific </w:t>
            </w:r>
            <w:proofErr w:type="spellStart"/>
            <w:r>
              <w:rPr>
                <w:rFonts w:ascii="Garamond" w:eastAsia="Garamond" w:hAnsi="Garamond" w:cs="Garamond"/>
              </w:rPr>
              <w:t>SeaFloor</w:t>
            </w:r>
            <w:proofErr w:type="spellEnd"/>
            <w:r>
              <w:rPr>
                <w:rFonts w:ascii="Garamond" w:eastAsia="Garamond" w:hAnsi="Garamond" w:cs="Garamond"/>
              </w:rPr>
              <w:t xml:space="preserve"> Mapping Project Bathymetry Map</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rPr>
              <w:t>Molokai to West Maui</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rPr>
              <w:t>N/A</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rPr>
              <w:t>1998</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rPr>
              <w:t>Bathymetry</w:t>
            </w:r>
          </w:p>
        </w:tc>
      </w:tr>
      <w:tr w:rsidR="006557F0">
        <w:tc>
          <w:tcPr>
            <w:tcW w:w="2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 xml:space="preserve">NASA Oak Ridge National Laboratory </w:t>
            </w:r>
            <w:proofErr w:type="spellStart"/>
            <w:r>
              <w:rPr>
                <w:rFonts w:ascii="Garamond" w:eastAsia="Garamond" w:hAnsi="Garamond" w:cs="Garamond"/>
              </w:rPr>
              <w:t>Daymet</w:t>
            </w:r>
            <w:proofErr w:type="spellEnd"/>
            <w:r>
              <w:rPr>
                <w:rFonts w:ascii="Garamond" w:eastAsia="Garamond" w:hAnsi="Garamond" w:cs="Garamond"/>
              </w:rPr>
              <w:t xml:space="preserve"> V3</w:t>
            </w:r>
          </w:p>
        </w:tc>
        <w:tc>
          <w:tcPr>
            <w:tcW w:w="1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Daily Surface Weather and Climatological Summaries</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Global</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Daily</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1980-2018</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Precipitation</w:t>
            </w:r>
          </w:p>
        </w:tc>
      </w:tr>
      <w:tr w:rsidR="006557F0">
        <w:tc>
          <w:tcPr>
            <w:tcW w:w="2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Hui O Ka Wai Ola</w:t>
            </w:r>
          </w:p>
        </w:tc>
        <w:tc>
          <w:tcPr>
            <w:tcW w:w="1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 xml:space="preserve">Hui O Ka Wai Ola Water Quality Data in </w:t>
            </w:r>
            <w:proofErr w:type="spellStart"/>
            <w:r>
              <w:rPr>
                <w:rFonts w:ascii="Garamond" w:eastAsia="Garamond" w:hAnsi="Garamond" w:cs="Garamond"/>
              </w:rPr>
              <w:t>PacIOOS</w:t>
            </w:r>
            <w:proofErr w:type="spellEnd"/>
            <w:r>
              <w:rPr>
                <w:rFonts w:ascii="Garamond" w:eastAsia="Garamond" w:hAnsi="Garamond" w:cs="Garamond"/>
              </w:rPr>
              <w:t xml:space="preserve"> Voyager</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West Maui</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2-3 Weeks</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2016-2019</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Turbidity</w:t>
            </w:r>
          </w:p>
        </w:tc>
      </w:tr>
      <w:tr w:rsidR="006557F0">
        <w:tc>
          <w:tcPr>
            <w:tcW w:w="2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National Oceanic and Atmospheric Administration (NOAA)</w:t>
            </w:r>
          </w:p>
        </w:tc>
        <w:tc>
          <w:tcPr>
            <w:tcW w:w="1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GHCN (Global Historical Climatology Network)-Daily</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Global, Land</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Daily</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1989-2019</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Precipitation</w:t>
            </w:r>
          </w:p>
        </w:tc>
      </w:tr>
      <w:tr w:rsidR="006557F0">
        <w:tc>
          <w:tcPr>
            <w:tcW w:w="2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University of Puerto Rico</w:t>
            </w:r>
          </w:p>
        </w:tc>
        <w:tc>
          <w:tcPr>
            <w:tcW w:w="1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Maui Water Quality Samples</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West Maui</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Daily</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2018</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 xml:space="preserve">turbidity in </w:t>
            </w:r>
            <w:proofErr w:type="spellStart"/>
            <w:r>
              <w:rPr>
                <w:rFonts w:ascii="Garamond" w:eastAsia="Garamond" w:hAnsi="Garamond" w:cs="Garamond"/>
              </w:rPr>
              <w:t>Formazin</w:t>
            </w:r>
            <w:proofErr w:type="spellEnd"/>
            <w:r>
              <w:rPr>
                <w:rFonts w:ascii="Garamond" w:eastAsia="Garamond" w:hAnsi="Garamond" w:cs="Garamond"/>
              </w:rPr>
              <w:t xml:space="preserve"> Nephelometric Units (FNU), </w:t>
            </w:r>
            <w:proofErr w:type="spellStart"/>
            <w:r>
              <w:rPr>
                <w:rFonts w:ascii="Garamond" w:eastAsia="Garamond" w:hAnsi="Garamond" w:cs="Garamond"/>
              </w:rPr>
              <w:t>chl</w:t>
            </w:r>
            <w:proofErr w:type="spellEnd"/>
            <w:r>
              <w:rPr>
                <w:rFonts w:ascii="Garamond" w:eastAsia="Garamond" w:hAnsi="Garamond" w:cs="Garamond"/>
              </w:rPr>
              <w:t xml:space="preserve">-a, </w:t>
            </w:r>
            <w:proofErr w:type="spellStart"/>
            <w:proofErr w:type="gramStart"/>
            <w:r>
              <w:rPr>
                <w:rFonts w:ascii="Garamond" w:eastAsia="Garamond" w:hAnsi="Garamond" w:cs="Garamond"/>
              </w:rPr>
              <w:t>Kd</w:t>
            </w:r>
            <w:proofErr w:type="spellEnd"/>
            <w:r>
              <w:rPr>
                <w:rFonts w:ascii="Garamond" w:eastAsia="Garamond" w:hAnsi="Garamond" w:cs="Garamond"/>
              </w:rPr>
              <w:t>(</w:t>
            </w:r>
            <w:proofErr w:type="gramEnd"/>
            <w:r>
              <w:rPr>
                <w:rFonts w:ascii="Garamond" w:eastAsia="Garamond" w:hAnsi="Garamond" w:cs="Garamond"/>
              </w:rPr>
              <w:t>490) (the vertical attenuation coefficient for downward irradiance at 490-nm)</w:t>
            </w:r>
          </w:p>
        </w:tc>
      </w:tr>
      <w:tr w:rsidR="006557F0">
        <w:tc>
          <w:tcPr>
            <w:tcW w:w="2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Hawai’i Statewide GIS Program</w:t>
            </w:r>
          </w:p>
        </w:tc>
        <w:tc>
          <w:tcPr>
            <w:tcW w:w="1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Shapefiles and elevation raster</w:t>
            </w:r>
          </w:p>
        </w:tc>
        <w:tc>
          <w:tcPr>
            <w:tcW w:w="1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Hawai’i</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N/A</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Times New Roman" w:eastAsia="Times New Roman" w:hAnsi="Times New Roman" w:cs="Times New Roman"/>
                <w:sz w:val="24"/>
                <w:szCs w:val="24"/>
              </w:rPr>
            </w:pPr>
            <w:r>
              <w:rPr>
                <w:rFonts w:ascii="Garamond" w:eastAsia="Garamond" w:hAnsi="Garamond" w:cs="Garamond"/>
              </w:rPr>
              <w:t>N/A</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jc w:val="center"/>
              <w:rPr>
                <w:rFonts w:ascii="Garamond" w:eastAsia="Garamond" w:hAnsi="Garamond" w:cs="Garamond"/>
              </w:rPr>
            </w:pPr>
            <w:r>
              <w:rPr>
                <w:rFonts w:ascii="Garamond" w:eastAsia="Garamond" w:hAnsi="Garamond" w:cs="Garamond"/>
              </w:rPr>
              <w:t>Streams, watershed boundaries, coral reefs boundaries, Digital Elevation Model</w:t>
            </w:r>
          </w:p>
        </w:tc>
      </w:tr>
    </w:tbl>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495961" w:rsidRDefault="00495961">
      <w:pPr>
        <w:spacing w:before="200" w:after="0" w:line="240" w:lineRule="auto"/>
        <w:rPr>
          <w:rFonts w:ascii="Garamond" w:eastAsia="Garamond" w:hAnsi="Garamond" w:cs="Garamond"/>
        </w:rPr>
      </w:pPr>
    </w:p>
    <w:p w:rsidR="00710368" w:rsidRDefault="00710368">
      <w:pPr>
        <w:spacing w:before="200" w:after="0" w:line="240" w:lineRule="auto"/>
        <w:contextualSpacing/>
        <w:rPr>
          <w:rFonts w:ascii="Garamond" w:eastAsia="Garamond" w:hAnsi="Garamond" w:cs="Garamond"/>
        </w:rPr>
      </w:pPr>
    </w:p>
    <w:p w:rsidR="00710368" w:rsidRDefault="00710368">
      <w:pPr>
        <w:spacing w:before="200" w:after="0" w:line="240" w:lineRule="auto"/>
        <w:contextualSpacing/>
        <w:rPr>
          <w:rFonts w:ascii="Garamond" w:eastAsia="Garamond" w:hAnsi="Garamond" w:cs="Garamond"/>
        </w:rPr>
      </w:pPr>
    </w:p>
    <w:p w:rsidR="006557F0" w:rsidRDefault="00EC60AB">
      <w:pPr>
        <w:spacing w:before="200" w:after="0" w:line="240" w:lineRule="auto"/>
        <w:contextualSpacing/>
        <w:rPr>
          <w:rFonts w:ascii="Times New Roman" w:eastAsia="Times New Roman" w:hAnsi="Times New Roman" w:cs="Times New Roman"/>
          <w:sz w:val="24"/>
          <w:szCs w:val="24"/>
        </w:rPr>
      </w:pPr>
      <w:r>
        <w:rPr>
          <w:rFonts w:ascii="Garamond" w:eastAsia="Garamond" w:hAnsi="Garamond" w:cs="Garamond"/>
        </w:rPr>
        <w:lastRenderedPageBreak/>
        <w:t>Table A3</w:t>
      </w:r>
    </w:p>
    <w:p w:rsidR="006557F0" w:rsidRDefault="00EC60AB">
      <w:pPr>
        <w:spacing w:line="240" w:lineRule="auto"/>
        <w:contextualSpacing/>
        <w:rPr>
          <w:rFonts w:ascii="Times New Roman" w:eastAsia="Times New Roman" w:hAnsi="Times New Roman" w:cs="Times New Roman"/>
          <w:sz w:val="24"/>
          <w:szCs w:val="24"/>
        </w:rPr>
      </w:pPr>
      <w:r>
        <w:rPr>
          <w:rFonts w:ascii="Garamond" w:eastAsia="Garamond" w:hAnsi="Garamond" w:cs="Garamond"/>
          <w:i/>
        </w:rPr>
        <w:t xml:space="preserve">List of parameters used for land classifications. </w:t>
      </w:r>
    </w:p>
    <w:tbl>
      <w:tblPr>
        <w:tblStyle w:val="a1"/>
        <w:tblW w:w="9480" w:type="dxa"/>
        <w:tblLayout w:type="fixed"/>
        <w:tblLook w:val="0400" w:firstRow="0" w:lastRow="0" w:firstColumn="0" w:lastColumn="0" w:noHBand="0" w:noVBand="1"/>
      </w:tblPr>
      <w:tblGrid>
        <w:gridCol w:w="1305"/>
        <w:gridCol w:w="4470"/>
        <w:gridCol w:w="3705"/>
      </w:tblGrid>
      <w:tr w:rsidR="006557F0">
        <w:trPr>
          <w:trHeight w:val="300"/>
        </w:trPr>
        <w:tc>
          <w:tcPr>
            <w:tcW w:w="130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b/>
              </w:rPr>
              <w:t>Data Type</w:t>
            </w:r>
          </w:p>
        </w:tc>
        <w:tc>
          <w:tcPr>
            <w:tcW w:w="447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contextualSpacing/>
              <w:jc w:val="center"/>
              <w:rPr>
                <w:rFonts w:ascii="Times New Roman" w:eastAsia="Times New Roman" w:hAnsi="Times New Roman" w:cs="Times New Roman"/>
                <w:sz w:val="24"/>
                <w:szCs w:val="24"/>
              </w:rPr>
            </w:pPr>
            <w:r>
              <w:rPr>
                <w:rFonts w:ascii="Garamond" w:eastAsia="Garamond" w:hAnsi="Garamond" w:cs="Garamond"/>
                <w:b/>
              </w:rPr>
              <w:t>Parameter</w:t>
            </w:r>
          </w:p>
        </w:tc>
        <w:tc>
          <w:tcPr>
            <w:tcW w:w="370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pPr>
              <w:spacing w:after="0" w:line="240" w:lineRule="auto"/>
              <w:contextualSpacing/>
              <w:jc w:val="center"/>
              <w:rPr>
                <w:rFonts w:ascii="Garamond" w:eastAsia="Garamond" w:hAnsi="Garamond" w:cs="Garamond"/>
                <w:b/>
              </w:rPr>
            </w:pPr>
            <w:r>
              <w:rPr>
                <w:rFonts w:ascii="Garamond" w:eastAsia="Garamond" w:hAnsi="Garamond" w:cs="Garamond"/>
                <w:b/>
              </w:rPr>
              <w:t>Equation</w:t>
            </w:r>
          </w:p>
        </w:tc>
      </w:tr>
      <w:tr w:rsidR="006557F0">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contextualSpacing/>
              <w:rPr>
                <w:rFonts w:ascii="Times New Roman" w:eastAsia="Times New Roman" w:hAnsi="Times New Roman" w:cs="Times New Roman"/>
                <w:sz w:val="24"/>
                <w:szCs w:val="24"/>
              </w:rPr>
            </w:pPr>
            <w:r>
              <w:rPr>
                <w:rFonts w:ascii="Garamond" w:eastAsia="Garamond" w:hAnsi="Garamond" w:cs="Garamond"/>
              </w:rPr>
              <w:t>Raw Bands</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contextualSpacing/>
              <w:rPr>
                <w:rFonts w:ascii="Times New Roman" w:eastAsia="Times New Roman" w:hAnsi="Times New Roman" w:cs="Times New Roman"/>
                <w:sz w:val="24"/>
                <w:szCs w:val="24"/>
              </w:rPr>
            </w:pPr>
            <w:r>
              <w:rPr>
                <w:rFonts w:ascii="Garamond" w:eastAsia="Garamond" w:hAnsi="Garamond" w:cs="Garamond"/>
              </w:rPr>
              <w:t xml:space="preserve">Blue, green, red, near-infrared (NIR), short-wave infrared 1 (SWIR1), temperature </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contextualSpacing/>
              <w:rPr>
                <w:rFonts w:ascii="Garamond" w:eastAsia="Garamond" w:hAnsi="Garamond" w:cs="Garamond"/>
              </w:rPr>
            </w:pPr>
            <w:r>
              <w:rPr>
                <w:rFonts w:ascii="Garamond" w:eastAsia="Garamond" w:hAnsi="Garamond" w:cs="Garamond"/>
              </w:rPr>
              <w:t>N/A</w:t>
            </w:r>
          </w:p>
        </w:tc>
      </w:tr>
      <w:tr w:rsidR="006557F0">
        <w:trPr>
          <w:trHeight w:val="420"/>
        </w:trPr>
        <w:tc>
          <w:tcPr>
            <w:tcW w:w="13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w:r>
              <w:rPr>
                <w:rFonts w:ascii="Garamond" w:eastAsia="Garamond" w:hAnsi="Garamond" w:cs="Garamond"/>
              </w:rPr>
              <w:t>Calculated Indices</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w:r>
              <w:rPr>
                <w:rFonts w:ascii="Garamond" w:eastAsia="Garamond" w:hAnsi="Garamond" w:cs="Garamond"/>
              </w:rPr>
              <w:t>Normalized Difference Vegetation Index (NDVI)</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m:oMathPara>
              <m:oMath>
                <m:r>
                  <w:rPr>
                    <w:rFonts w:ascii="Cambria Math" w:eastAsia="Cambria Math" w:hAnsi="Cambria Math" w:cs="Cambria Math"/>
                  </w:rPr>
                  <m:t>NDVI</m:t>
                </m:r>
                <m:r>
                  <m:rPr>
                    <m:sty m:val="p"/>
                  </m:rPr>
                  <w:rPr>
                    <w:rFonts w:ascii="Cambria Math" w:eastAsia="Cambria Math" w:hAnsi="Cambria Math" w:cs="Cambria Math"/>
                  </w:rPr>
                  <m:t xml:space="preserve"> = </m:t>
                </m:r>
                <m:f>
                  <m:fPr>
                    <m:ctrlPr>
                      <w:rPr>
                        <w:rFonts w:ascii="Cambria Math" w:eastAsia="Cambria Math" w:hAnsi="Cambria Math" w:cs="Cambria Math"/>
                      </w:rPr>
                    </m:ctrlPr>
                  </m:fPr>
                  <m:num>
                    <m:r>
                      <w:rPr>
                        <w:rFonts w:ascii="Cambria Math" w:eastAsia="Cambria Math" w:hAnsi="Cambria Math" w:cs="Cambria Math"/>
                      </w:rPr>
                      <m:t>PNIR</m:t>
                    </m:r>
                    <m:r>
                      <m:rPr>
                        <m:sty m:val="p"/>
                      </m:rPr>
                      <w:rPr>
                        <w:rFonts w:ascii="Cambria Math" w:eastAsia="Cambria Math" w:hAnsi="Cambria Math" w:cs="Cambria Math"/>
                      </w:rPr>
                      <m:t xml:space="preserve"> - </m:t>
                    </m:r>
                    <m:r>
                      <w:rPr>
                        <w:rFonts w:ascii="Cambria Math" w:eastAsia="Cambria Math" w:hAnsi="Cambria Math" w:cs="Cambria Math"/>
                      </w:rPr>
                      <m:t>PRed</m:t>
                    </m:r>
                  </m:num>
                  <m:den>
                    <m:r>
                      <w:rPr>
                        <w:rFonts w:ascii="Cambria Math" w:eastAsia="Cambria Math" w:hAnsi="Cambria Math" w:cs="Cambria Math"/>
                      </w:rPr>
                      <m:t>PNIR</m:t>
                    </m:r>
                    <m:r>
                      <m:rPr>
                        <m:sty m:val="p"/>
                      </m:rPr>
                      <w:rPr>
                        <w:rFonts w:ascii="Cambria Math" w:eastAsia="Cambria Math" w:hAnsi="Cambria Math" w:cs="Cambria Math"/>
                      </w:rPr>
                      <m:t xml:space="preserve"> + </m:t>
                    </m:r>
                    <m:r>
                      <w:rPr>
                        <w:rFonts w:ascii="Cambria Math" w:eastAsia="Cambria Math" w:hAnsi="Cambria Math" w:cs="Cambria Math"/>
                      </w:rPr>
                      <m:t>PRed</m:t>
                    </m:r>
                    <m:r>
                      <m:rPr>
                        <m:sty m:val="p"/>
                      </m:rPr>
                      <w:rPr>
                        <w:rFonts w:ascii="Cambria Math" w:eastAsia="Cambria Math" w:hAnsi="Cambria Math" w:cs="Cambria Math"/>
                      </w:rPr>
                      <m:t xml:space="preserve"> </m:t>
                    </m:r>
                  </m:den>
                </m:f>
              </m:oMath>
            </m:oMathPara>
          </w:p>
        </w:tc>
      </w:tr>
      <w:tr w:rsidR="006557F0">
        <w:trPr>
          <w:trHeight w:val="420"/>
        </w:trPr>
        <w:tc>
          <w:tcPr>
            <w:tcW w:w="13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6557F0">
            <w:pPr>
              <w:spacing w:after="0" w:line="240" w:lineRule="auto"/>
              <w:rPr>
                <w:rFonts w:ascii="Garamond" w:eastAsia="Garamond" w:hAnsi="Garamond" w:cs="Garamond"/>
              </w:rPr>
            </w:pP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w:r>
              <w:rPr>
                <w:rFonts w:ascii="Garamond" w:eastAsia="Garamond" w:hAnsi="Garamond" w:cs="Garamond"/>
              </w:rPr>
              <w:t>Normalized Difference Water Index (NDWI)</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m:oMathPara>
              <m:oMath>
                <m:r>
                  <w:rPr>
                    <w:rFonts w:ascii="Cambria Math" w:eastAsia="Cambria Math" w:hAnsi="Cambria Math" w:cs="Cambria Math"/>
                  </w:rPr>
                  <m:t xml:space="preserve">NDWI = </m:t>
                </m:r>
                <m:f>
                  <m:fPr>
                    <m:ctrlPr>
                      <w:rPr>
                        <w:rFonts w:ascii="Cambria Math" w:eastAsia="Cambria Math" w:hAnsi="Cambria Math" w:cs="Cambria Math"/>
                      </w:rPr>
                    </m:ctrlPr>
                  </m:fPr>
                  <m:num>
                    <m:r>
                      <w:rPr>
                        <w:rFonts w:ascii="Cambria Math" w:eastAsia="Cambria Math" w:hAnsi="Cambria Math" w:cs="Cambria Math"/>
                      </w:rPr>
                      <m:t>Pgreen - PNIR</m:t>
                    </m:r>
                  </m:num>
                  <m:den>
                    <m:r>
                      <w:rPr>
                        <w:rFonts w:ascii="Cambria Math" w:eastAsia="Cambria Math" w:hAnsi="Cambria Math" w:cs="Cambria Math"/>
                      </w:rPr>
                      <m:t xml:space="preserve">Pgreen + PNIR </m:t>
                    </m:r>
                  </m:den>
                </m:f>
              </m:oMath>
            </m:oMathPara>
          </w:p>
        </w:tc>
      </w:tr>
      <w:tr w:rsidR="006557F0">
        <w:trPr>
          <w:trHeight w:val="420"/>
        </w:trPr>
        <w:tc>
          <w:tcPr>
            <w:tcW w:w="13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6557F0">
            <w:pPr>
              <w:spacing w:after="0" w:line="240" w:lineRule="auto"/>
              <w:rPr>
                <w:rFonts w:ascii="Garamond" w:eastAsia="Garamond" w:hAnsi="Garamond" w:cs="Garamond"/>
              </w:rPr>
            </w:pP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w:r>
              <w:rPr>
                <w:rFonts w:ascii="Garamond" w:eastAsia="Garamond" w:hAnsi="Garamond" w:cs="Garamond"/>
              </w:rPr>
              <w:t>Normalized Difference Salinity Index (NDSI)</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m:oMathPara>
              <m:oMath>
                <m:r>
                  <w:rPr>
                    <w:rFonts w:ascii="Cambria Math" w:eastAsia="Cambria Math" w:hAnsi="Cambria Math" w:cs="Cambria Math"/>
                  </w:rPr>
                  <m:t xml:space="preserve">NDSI = </m:t>
                </m:r>
                <m:f>
                  <m:fPr>
                    <m:ctrlPr>
                      <w:rPr>
                        <w:rFonts w:ascii="Cambria Math" w:eastAsia="Cambria Math" w:hAnsi="Cambria Math" w:cs="Cambria Math"/>
                      </w:rPr>
                    </m:ctrlPr>
                  </m:fPr>
                  <m:num>
                    <m:r>
                      <w:rPr>
                        <w:rFonts w:ascii="Cambria Math" w:eastAsia="Cambria Math" w:hAnsi="Cambria Math" w:cs="Cambria Math"/>
                      </w:rPr>
                      <m:t>PRed - PNIR</m:t>
                    </m:r>
                  </m:num>
                  <m:den>
                    <m:r>
                      <w:rPr>
                        <w:rFonts w:ascii="Cambria Math" w:eastAsia="Cambria Math" w:hAnsi="Cambria Math" w:cs="Cambria Math"/>
                      </w:rPr>
                      <m:t xml:space="preserve">PRed+ PNIR </m:t>
                    </m:r>
                  </m:den>
                </m:f>
              </m:oMath>
            </m:oMathPara>
          </w:p>
        </w:tc>
      </w:tr>
      <w:tr w:rsidR="006557F0">
        <w:trPr>
          <w:trHeight w:val="420"/>
        </w:trPr>
        <w:tc>
          <w:tcPr>
            <w:tcW w:w="13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6557F0">
            <w:pPr>
              <w:spacing w:after="0" w:line="240" w:lineRule="auto"/>
              <w:rPr>
                <w:rFonts w:ascii="Garamond" w:eastAsia="Garamond" w:hAnsi="Garamond" w:cs="Garamond"/>
              </w:rPr>
            </w:pP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w:r>
              <w:rPr>
                <w:rFonts w:ascii="Garamond" w:eastAsia="Garamond" w:hAnsi="Garamond" w:cs="Garamond"/>
              </w:rPr>
              <w:t>Normalized Difference Soil Index (</w:t>
            </w:r>
            <w:proofErr w:type="spellStart"/>
            <w:r>
              <w:rPr>
                <w:rFonts w:ascii="Garamond" w:eastAsia="Garamond" w:hAnsi="Garamond" w:cs="Garamond"/>
              </w:rPr>
              <w:t>NDSol</w:t>
            </w:r>
            <w:proofErr w:type="spellEnd"/>
            <w:r>
              <w:rPr>
                <w:rFonts w:ascii="Garamond" w:eastAsia="Garamond" w:hAnsi="Garamond" w:cs="Garamond"/>
              </w:rPr>
              <w:t>)</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m:oMathPara>
              <m:oMath>
                <m:r>
                  <w:rPr>
                    <w:rFonts w:ascii="Cambria Math" w:eastAsia="Cambria Math" w:hAnsi="Cambria Math" w:cs="Cambria Math"/>
                  </w:rPr>
                  <m:t xml:space="preserve">NDSoI = </m:t>
                </m:r>
                <m:f>
                  <m:fPr>
                    <m:ctrlPr>
                      <w:rPr>
                        <w:rFonts w:ascii="Cambria Math" w:eastAsia="Cambria Math" w:hAnsi="Cambria Math" w:cs="Cambria Math"/>
                      </w:rPr>
                    </m:ctrlPr>
                  </m:fPr>
                  <m:num>
                    <m:r>
                      <w:rPr>
                        <w:rFonts w:ascii="Cambria Math" w:eastAsia="Cambria Math" w:hAnsi="Cambria Math" w:cs="Cambria Math"/>
                      </w:rPr>
                      <m:t>PSWIR2 - PGreen</m:t>
                    </m:r>
                  </m:num>
                  <m:den>
                    <m:r>
                      <w:rPr>
                        <w:rFonts w:ascii="Cambria Math" w:eastAsia="Cambria Math" w:hAnsi="Cambria Math" w:cs="Cambria Math"/>
                      </w:rPr>
                      <m:t xml:space="preserve">PSWIR2 + PGreen </m:t>
                    </m:r>
                  </m:den>
                </m:f>
              </m:oMath>
            </m:oMathPara>
          </w:p>
        </w:tc>
      </w:tr>
      <w:tr w:rsidR="006557F0">
        <w:trPr>
          <w:trHeight w:val="420"/>
        </w:trPr>
        <w:tc>
          <w:tcPr>
            <w:tcW w:w="13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6557F0">
            <w:pPr>
              <w:spacing w:after="0" w:line="240" w:lineRule="auto"/>
              <w:rPr>
                <w:rFonts w:ascii="Garamond" w:eastAsia="Garamond" w:hAnsi="Garamond" w:cs="Garamond"/>
              </w:rPr>
            </w:pP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w:r>
              <w:rPr>
                <w:rFonts w:ascii="Garamond" w:eastAsia="Garamond" w:hAnsi="Garamond" w:cs="Garamond"/>
              </w:rPr>
              <w:t>Dry Built-up Index (DBI)</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m:oMathPara>
              <m:oMath>
                <m:r>
                  <w:rPr>
                    <w:rFonts w:ascii="Cambria Math" w:eastAsia="Cambria Math" w:hAnsi="Cambria Math" w:cs="Cambria Math"/>
                  </w:rPr>
                  <m:t xml:space="preserve">DBI = </m:t>
                </m:r>
                <m:f>
                  <m:fPr>
                    <m:ctrlPr>
                      <w:rPr>
                        <w:rFonts w:ascii="Cambria Math" w:eastAsia="Cambria Math" w:hAnsi="Cambria Math" w:cs="Cambria Math"/>
                      </w:rPr>
                    </m:ctrlPr>
                  </m:fPr>
                  <m:num>
                    <m:r>
                      <w:rPr>
                        <w:rFonts w:ascii="Cambria Math" w:eastAsia="Cambria Math" w:hAnsi="Cambria Math" w:cs="Cambria Math"/>
                      </w:rPr>
                      <m:t>PBlue - PTIR</m:t>
                    </m:r>
                  </m:num>
                  <m:den>
                    <m:r>
                      <w:rPr>
                        <w:rFonts w:ascii="Cambria Math" w:eastAsia="Cambria Math" w:hAnsi="Cambria Math" w:cs="Cambria Math"/>
                      </w:rPr>
                      <m:t xml:space="preserve">PBlue + PTIR </m:t>
                    </m:r>
                  </m:den>
                </m:f>
                <m:r>
                  <w:rPr>
                    <w:rFonts w:ascii="Garamond" w:eastAsia="Garamond" w:hAnsi="Garamond" w:cs="Garamond"/>
                  </w:rPr>
                  <m:t xml:space="preserve"> - NDVI </m:t>
                </m:r>
              </m:oMath>
            </m:oMathPara>
          </w:p>
        </w:tc>
      </w:tr>
      <w:tr w:rsidR="006557F0">
        <w:trPr>
          <w:trHeight w:val="420"/>
        </w:trPr>
        <w:tc>
          <w:tcPr>
            <w:tcW w:w="13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6557F0">
            <w:pPr>
              <w:spacing w:after="0" w:line="240" w:lineRule="auto"/>
              <w:rPr>
                <w:rFonts w:ascii="Garamond" w:eastAsia="Garamond" w:hAnsi="Garamond" w:cs="Garamond"/>
              </w:rPr>
            </w:pP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w:r>
              <w:rPr>
                <w:rFonts w:ascii="Garamond" w:eastAsia="Garamond" w:hAnsi="Garamond" w:cs="Garamond"/>
              </w:rPr>
              <w:t>Dry Bareness Index (DBSI)</w:t>
            </w: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spacing w:after="0" w:line="240" w:lineRule="auto"/>
              <w:rPr>
                <w:rFonts w:ascii="Garamond" w:eastAsia="Garamond" w:hAnsi="Garamond" w:cs="Garamond"/>
              </w:rPr>
            </w:pPr>
            <m:oMath>
              <m:r>
                <w:rPr>
                  <w:rFonts w:ascii="Cambria Math" w:eastAsia="Cambria Math" w:hAnsi="Cambria Math" w:cs="Cambria Math"/>
                </w:rPr>
                <m:t xml:space="preserve">DBSI = </m:t>
              </m:r>
              <m:f>
                <m:fPr>
                  <m:ctrlPr>
                    <w:rPr>
                      <w:rFonts w:ascii="Cambria Math" w:eastAsia="Cambria Math" w:hAnsi="Cambria Math" w:cs="Cambria Math"/>
                    </w:rPr>
                  </m:ctrlPr>
                </m:fPr>
                <m:num>
                  <m:r>
                    <w:rPr>
                      <w:rFonts w:ascii="Cambria Math" w:eastAsia="Cambria Math" w:hAnsi="Cambria Math" w:cs="Cambria Math"/>
                    </w:rPr>
                    <m:t>PSWIR1 - PGreen</m:t>
                  </m:r>
                </m:num>
                <m:den>
                  <m:r>
                    <w:rPr>
                      <w:rFonts w:ascii="Cambria Math" w:eastAsia="Cambria Math" w:hAnsi="Cambria Math" w:cs="Cambria Math"/>
                    </w:rPr>
                    <m:t xml:space="preserve">PSWIR1 + PGreen  </m:t>
                  </m:r>
                </m:den>
              </m:f>
            </m:oMath>
            <w:r>
              <w:rPr>
                <w:rFonts w:ascii="Garamond" w:eastAsia="Garamond" w:hAnsi="Garamond" w:cs="Garamond"/>
              </w:rPr>
              <w:t xml:space="preserve"> </w:t>
            </w:r>
            <m:oMath>
              <m:r>
                <w:rPr>
                  <w:rFonts w:ascii="Garamond" w:eastAsia="Garamond" w:hAnsi="Garamond" w:cs="Garamond"/>
                </w:rPr>
                <m:t>-NDVI</m:t>
              </m:r>
            </m:oMath>
            <w:r>
              <w:rPr>
                <w:rFonts w:ascii="Garamond" w:eastAsia="Garamond" w:hAnsi="Garamond" w:cs="Garamond"/>
              </w:rPr>
              <w:t xml:space="preserve">   </w:t>
            </w:r>
          </w:p>
        </w:tc>
      </w:tr>
    </w:tbl>
    <w:p w:rsidR="009F0569" w:rsidRDefault="009F0569">
      <w:pPr>
        <w:spacing w:before="200" w:after="0" w:line="240" w:lineRule="auto"/>
        <w:rPr>
          <w:rFonts w:ascii="Garamond" w:eastAsia="Garamond" w:hAnsi="Garamond" w:cs="Garamond"/>
        </w:rPr>
      </w:pPr>
    </w:p>
    <w:p w:rsidR="009F0569" w:rsidRDefault="009F0569">
      <w:pPr>
        <w:spacing w:before="200" w:after="0" w:line="240" w:lineRule="auto"/>
        <w:rPr>
          <w:rFonts w:ascii="Garamond" w:eastAsia="Garamond" w:hAnsi="Garamond" w:cs="Garamond"/>
        </w:rPr>
      </w:pPr>
    </w:p>
    <w:p w:rsidR="009F0569" w:rsidRDefault="009F0569">
      <w:pPr>
        <w:spacing w:before="200" w:after="0" w:line="240" w:lineRule="auto"/>
        <w:rPr>
          <w:rFonts w:ascii="Garamond" w:eastAsia="Garamond" w:hAnsi="Garamond" w:cs="Garamond"/>
        </w:rPr>
      </w:pPr>
    </w:p>
    <w:p w:rsidR="009F0569" w:rsidRDefault="009F0569">
      <w:pPr>
        <w:spacing w:before="200" w:after="0" w:line="240" w:lineRule="auto"/>
        <w:rPr>
          <w:rFonts w:ascii="Garamond" w:eastAsia="Garamond" w:hAnsi="Garamond" w:cs="Garamond"/>
        </w:rPr>
      </w:pPr>
    </w:p>
    <w:p w:rsidR="00CF26CB" w:rsidRDefault="00CF26CB">
      <w:pPr>
        <w:spacing w:before="200" w:after="0" w:line="240" w:lineRule="auto"/>
        <w:rPr>
          <w:rFonts w:ascii="Garamond" w:eastAsia="Garamond" w:hAnsi="Garamond" w:cs="Garamond"/>
        </w:rPr>
      </w:pPr>
    </w:p>
    <w:p w:rsidR="00CF26CB" w:rsidRDefault="00CF26CB">
      <w:pPr>
        <w:spacing w:before="200" w:after="0" w:line="240" w:lineRule="auto"/>
        <w:rPr>
          <w:rFonts w:ascii="Garamond" w:eastAsia="Garamond" w:hAnsi="Garamond" w:cs="Garamond"/>
        </w:rPr>
      </w:pPr>
    </w:p>
    <w:p w:rsidR="00CF26CB" w:rsidRDefault="00CF26CB">
      <w:pPr>
        <w:spacing w:before="200" w:after="0" w:line="240" w:lineRule="auto"/>
        <w:rPr>
          <w:rFonts w:ascii="Garamond" w:eastAsia="Garamond" w:hAnsi="Garamond" w:cs="Garamond"/>
        </w:rPr>
      </w:pPr>
    </w:p>
    <w:p w:rsidR="00CF26CB" w:rsidRDefault="00CF26CB">
      <w:pPr>
        <w:spacing w:before="200" w:after="0" w:line="240" w:lineRule="auto"/>
        <w:rPr>
          <w:rFonts w:ascii="Garamond" w:eastAsia="Garamond" w:hAnsi="Garamond" w:cs="Garamond"/>
        </w:rPr>
      </w:pPr>
    </w:p>
    <w:p w:rsidR="00CF26CB" w:rsidRDefault="00CF26CB">
      <w:pPr>
        <w:spacing w:before="200" w:after="0" w:line="240" w:lineRule="auto"/>
        <w:rPr>
          <w:rFonts w:ascii="Garamond" w:eastAsia="Garamond" w:hAnsi="Garamond" w:cs="Garamond"/>
        </w:rPr>
      </w:pPr>
    </w:p>
    <w:p w:rsidR="00CF26CB" w:rsidRDefault="00CF26CB">
      <w:pPr>
        <w:spacing w:before="200" w:after="0" w:line="240" w:lineRule="auto"/>
        <w:rPr>
          <w:rFonts w:ascii="Garamond" w:eastAsia="Garamond" w:hAnsi="Garamond" w:cs="Garamond"/>
        </w:rPr>
      </w:pPr>
    </w:p>
    <w:p w:rsidR="00CF26CB" w:rsidRDefault="00CF26CB">
      <w:pPr>
        <w:spacing w:before="200" w:after="0" w:line="240" w:lineRule="auto"/>
        <w:rPr>
          <w:rFonts w:ascii="Garamond" w:eastAsia="Garamond" w:hAnsi="Garamond" w:cs="Garamond"/>
        </w:rPr>
      </w:pPr>
    </w:p>
    <w:p w:rsidR="00CF26CB" w:rsidRDefault="00CF26CB">
      <w:pPr>
        <w:spacing w:before="200" w:after="0" w:line="240" w:lineRule="auto"/>
        <w:rPr>
          <w:rFonts w:ascii="Garamond" w:eastAsia="Garamond" w:hAnsi="Garamond" w:cs="Garamond"/>
        </w:rPr>
      </w:pPr>
    </w:p>
    <w:p w:rsidR="00CF26CB" w:rsidRDefault="00CF26CB">
      <w:pPr>
        <w:spacing w:before="200" w:after="0" w:line="240" w:lineRule="auto"/>
        <w:rPr>
          <w:rFonts w:ascii="Garamond" w:eastAsia="Garamond" w:hAnsi="Garamond" w:cs="Garamond"/>
        </w:rPr>
      </w:pPr>
    </w:p>
    <w:p w:rsidR="009F0569" w:rsidRDefault="009F0569">
      <w:pPr>
        <w:spacing w:before="200" w:after="0" w:line="240" w:lineRule="auto"/>
        <w:rPr>
          <w:rFonts w:ascii="Garamond" w:eastAsia="Garamond" w:hAnsi="Garamond" w:cs="Garamond"/>
        </w:rPr>
      </w:pPr>
    </w:p>
    <w:p w:rsidR="00710368" w:rsidRDefault="00710368">
      <w:pPr>
        <w:spacing w:before="200" w:after="0" w:line="240" w:lineRule="auto"/>
        <w:rPr>
          <w:rFonts w:ascii="Garamond" w:eastAsia="Garamond" w:hAnsi="Garamond" w:cs="Garamond"/>
        </w:rPr>
      </w:pPr>
    </w:p>
    <w:p w:rsidR="006557F0" w:rsidRDefault="00EC60AB" w:rsidP="00710368">
      <w:pPr>
        <w:spacing w:before="200" w:after="0" w:line="240" w:lineRule="auto"/>
        <w:contextualSpacing/>
        <w:rPr>
          <w:rFonts w:ascii="Garamond" w:eastAsia="Garamond" w:hAnsi="Garamond" w:cs="Garamond"/>
        </w:rPr>
      </w:pPr>
      <w:r>
        <w:rPr>
          <w:rFonts w:ascii="Garamond" w:eastAsia="Garamond" w:hAnsi="Garamond" w:cs="Garamond"/>
        </w:rPr>
        <w:lastRenderedPageBreak/>
        <w:t>Table A4</w:t>
      </w:r>
    </w:p>
    <w:p w:rsidR="006557F0" w:rsidRDefault="00EC60AB" w:rsidP="00710368">
      <w:pPr>
        <w:spacing w:line="240" w:lineRule="auto"/>
        <w:contextualSpacing/>
        <w:rPr>
          <w:rFonts w:ascii="Garamond" w:eastAsia="Garamond" w:hAnsi="Garamond" w:cs="Garamond"/>
        </w:rPr>
      </w:pPr>
      <w:r>
        <w:rPr>
          <w:rFonts w:ascii="Garamond" w:eastAsia="Garamond" w:hAnsi="Garamond" w:cs="Garamond"/>
          <w:i/>
        </w:rPr>
        <w:t>List of bands used in each satellite.</w:t>
      </w:r>
    </w:p>
    <w:tbl>
      <w:tblPr>
        <w:tblStyle w:val="a2"/>
        <w:tblW w:w="8850" w:type="dxa"/>
        <w:tblInd w:w="325" w:type="dxa"/>
        <w:tblBorders>
          <w:top w:val="nil"/>
          <w:left w:val="nil"/>
          <w:bottom w:val="nil"/>
          <w:right w:val="nil"/>
          <w:insideH w:val="nil"/>
          <w:insideV w:val="nil"/>
        </w:tblBorders>
        <w:tblLayout w:type="fixed"/>
        <w:tblLook w:val="0600" w:firstRow="0" w:lastRow="0" w:firstColumn="0" w:lastColumn="0" w:noHBand="1" w:noVBand="1"/>
      </w:tblPr>
      <w:tblGrid>
        <w:gridCol w:w="3255"/>
        <w:gridCol w:w="1740"/>
        <w:gridCol w:w="1950"/>
        <w:gridCol w:w="1905"/>
      </w:tblGrid>
      <w:tr w:rsidR="006557F0" w:rsidTr="00CF26CB">
        <w:trPr>
          <w:trHeight w:val="357"/>
        </w:trPr>
        <w:tc>
          <w:tcPr>
            <w:tcW w:w="3255" w:type="dxa"/>
            <w:vMerge w:val="restar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rsidP="00710368">
            <w:pPr>
              <w:widowControl w:val="0"/>
              <w:spacing w:after="0" w:line="240" w:lineRule="auto"/>
              <w:contextualSpacing/>
              <w:jc w:val="center"/>
              <w:rPr>
                <w:rFonts w:ascii="Times New Roman" w:eastAsia="Times New Roman" w:hAnsi="Times New Roman" w:cs="Times New Roman"/>
                <w:b/>
              </w:rPr>
            </w:pPr>
            <w:r w:rsidRPr="005774F6">
              <w:rPr>
                <w:rFonts w:ascii="Garamond" w:eastAsia="Garamond" w:hAnsi="Garamond" w:cs="Garamond"/>
                <w:b/>
              </w:rPr>
              <w:t>Band Name</w:t>
            </w:r>
          </w:p>
        </w:tc>
        <w:tc>
          <w:tcPr>
            <w:tcW w:w="5595" w:type="dxa"/>
            <w:gridSpan w:val="3"/>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rPr>
            </w:pPr>
            <w:r w:rsidRPr="005774F6">
              <w:rPr>
                <w:rFonts w:ascii="Garamond" w:eastAsia="Garamond" w:hAnsi="Garamond" w:cs="Garamond"/>
                <w:b/>
              </w:rPr>
              <w:t>Band Number</w:t>
            </w:r>
          </w:p>
        </w:tc>
      </w:tr>
      <w:tr w:rsidR="006557F0" w:rsidTr="00CF26CB">
        <w:trPr>
          <w:trHeight w:val="150"/>
        </w:trPr>
        <w:tc>
          <w:tcPr>
            <w:tcW w:w="3255" w:type="dxa"/>
            <w:vMerge/>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6557F0" w:rsidP="00710368">
            <w:pPr>
              <w:pBdr>
                <w:top w:val="nil"/>
                <w:left w:val="nil"/>
                <w:bottom w:val="nil"/>
                <w:right w:val="nil"/>
                <w:between w:val="nil"/>
              </w:pBdr>
              <w:spacing w:after="0" w:line="240" w:lineRule="auto"/>
              <w:contextualSpacing/>
              <w:rPr>
                <w:rFonts w:ascii="Times New Roman" w:eastAsia="Times New Roman" w:hAnsi="Times New Roman" w:cs="Times New Roman"/>
                <w:b/>
              </w:rPr>
            </w:pPr>
          </w:p>
        </w:tc>
        <w:tc>
          <w:tcPr>
            <w:tcW w:w="174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rPr>
            </w:pPr>
            <w:r w:rsidRPr="005774F6">
              <w:rPr>
                <w:rFonts w:ascii="Garamond" w:eastAsia="Garamond" w:hAnsi="Garamond" w:cs="Garamond"/>
                <w:b/>
              </w:rPr>
              <w:t>Landsat 4/5</w:t>
            </w:r>
            <w:r>
              <w:rPr>
                <w:rFonts w:ascii="Times New Roman" w:eastAsia="Times New Roman" w:hAnsi="Times New Roman" w:cs="Times New Roman"/>
                <w:b/>
              </w:rPr>
              <w:t xml:space="preserve"> </w:t>
            </w:r>
          </w:p>
        </w:tc>
        <w:tc>
          <w:tcPr>
            <w:tcW w:w="19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rPr>
            </w:pPr>
            <w:r w:rsidRPr="005774F6">
              <w:rPr>
                <w:rFonts w:ascii="Garamond" w:eastAsia="Garamond" w:hAnsi="Garamond" w:cs="Garamond"/>
                <w:b/>
              </w:rPr>
              <w:t>Landsat 7</w:t>
            </w:r>
          </w:p>
        </w:tc>
        <w:tc>
          <w:tcPr>
            <w:tcW w:w="190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rPr>
            </w:pPr>
            <w:r w:rsidRPr="005774F6">
              <w:rPr>
                <w:rFonts w:ascii="Garamond" w:eastAsia="Garamond" w:hAnsi="Garamond" w:cs="Garamond"/>
                <w:b/>
              </w:rPr>
              <w:t>Landsat 8</w:t>
            </w:r>
          </w:p>
        </w:tc>
      </w:tr>
      <w:tr w:rsidR="006557F0" w:rsidTr="00CF26CB">
        <w:trPr>
          <w:trHeight w:val="303"/>
        </w:trPr>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rPr>
                <w:rFonts w:ascii="Garamond" w:eastAsia="Garamond" w:hAnsi="Garamond" w:cs="Garamond"/>
              </w:rPr>
            </w:pPr>
            <w:r>
              <w:rPr>
                <w:rFonts w:ascii="Garamond" w:eastAsia="Garamond" w:hAnsi="Garamond" w:cs="Garamond"/>
              </w:rPr>
              <w:t xml:space="preserve"> Blue</w:t>
            </w:r>
          </w:p>
        </w:tc>
        <w:tc>
          <w:tcPr>
            <w:tcW w:w="1740" w:type="dxa"/>
            <w:tcBorders>
              <w:top w:val="single" w:sz="8" w:space="0" w:color="000000"/>
              <w:left w:val="single" w:sz="8" w:space="0" w:color="000000"/>
              <w:bottom w:val="single" w:sz="8" w:space="0" w:color="808080"/>
              <w:right w:val="single" w:sz="8" w:space="0" w:color="80808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1</w:t>
            </w:r>
          </w:p>
        </w:tc>
        <w:tc>
          <w:tcPr>
            <w:tcW w:w="1950"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1</w:t>
            </w:r>
          </w:p>
        </w:tc>
        <w:tc>
          <w:tcPr>
            <w:tcW w:w="1905"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2</w:t>
            </w:r>
          </w:p>
        </w:tc>
      </w:tr>
      <w:tr w:rsidR="006557F0">
        <w:trPr>
          <w:trHeight w:val="160"/>
        </w:trPr>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rPr>
                <w:rFonts w:ascii="Garamond" w:eastAsia="Garamond" w:hAnsi="Garamond" w:cs="Garamond"/>
              </w:rPr>
            </w:pPr>
            <w:r>
              <w:rPr>
                <w:rFonts w:ascii="Garamond" w:eastAsia="Garamond" w:hAnsi="Garamond" w:cs="Garamond"/>
              </w:rPr>
              <w:t xml:space="preserve"> Green</w:t>
            </w:r>
          </w:p>
        </w:tc>
        <w:tc>
          <w:tcPr>
            <w:tcW w:w="174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2</w:t>
            </w:r>
          </w:p>
        </w:tc>
        <w:tc>
          <w:tcPr>
            <w:tcW w:w="195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2</w:t>
            </w:r>
          </w:p>
        </w:tc>
        <w:tc>
          <w:tcPr>
            <w:tcW w:w="19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3</w:t>
            </w:r>
          </w:p>
        </w:tc>
      </w:tr>
      <w:tr w:rsidR="006557F0" w:rsidTr="00CF26CB">
        <w:trPr>
          <w:trHeight w:val="348"/>
        </w:trPr>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rPr>
                <w:rFonts w:ascii="Garamond" w:eastAsia="Garamond" w:hAnsi="Garamond" w:cs="Garamond"/>
              </w:rPr>
            </w:pPr>
            <w:r>
              <w:rPr>
                <w:rFonts w:ascii="Garamond" w:eastAsia="Garamond" w:hAnsi="Garamond" w:cs="Garamond"/>
              </w:rPr>
              <w:t xml:space="preserve"> Red</w:t>
            </w:r>
          </w:p>
        </w:tc>
        <w:tc>
          <w:tcPr>
            <w:tcW w:w="174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3</w:t>
            </w:r>
          </w:p>
        </w:tc>
        <w:tc>
          <w:tcPr>
            <w:tcW w:w="195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3</w:t>
            </w:r>
          </w:p>
        </w:tc>
        <w:tc>
          <w:tcPr>
            <w:tcW w:w="19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4</w:t>
            </w:r>
          </w:p>
        </w:tc>
      </w:tr>
      <w:tr w:rsidR="006557F0" w:rsidTr="00CF26CB">
        <w:trPr>
          <w:trHeight w:val="330"/>
        </w:trPr>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rPr>
                <w:rFonts w:ascii="Garamond" w:eastAsia="Garamond" w:hAnsi="Garamond" w:cs="Garamond"/>
              </w:rPr>
            </w:pPr>
            <w:r>
              <w:rPr>
                <w:rFonts w:ascii="Garamond" w:eastAsia="Garamond" w:hAnsi="Garamond" w:cs="Garamond"/>
              </w:rPr>
              <w:t xml:space="preserve"> Near-Infrared (NIR)</w:t>
            </w:r>
          </w:p>
        </w:tc>
        <w:tc>
          <w:tcPr>
            <w:tcW w:w="174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4</w:t>
            </w:r>
          </w:p>
        </w:tc>
        <w:tc>
          <w:tcPr>
            <w:tcW w:w="195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4</w:t>
            </w:r>
          </w:p>
        </w:tc>
        <w:tc>
          <w:tcPr>
            <w:tcW w:w="19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5</w:t>
            </w:r>
          </w:p>
        </w:tc>
      </w:tr>
      <w:tr w:rsidR="006557F0" w:rsidTr="00CF26CB">
        <w:trPr>
          <w:trHeight w:val="312"/>
        </w:trPr>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rPr>
                <w:rFonts w:ascii="Garamond" w:eastAsia="Garamond" w:hAnsi="Garamond" w:cs="Garamond"/>
              </w:rPr>
            </w:pPr>
            <w:r>
              <w:rPr>
                <w:rFonts w:ascii="Garamond" w:eastAsia="Garamond" w:hAnsi="Garamond" w:cs="Garamond"/>
              </w:rPr>
              <w:t xml:space="preserve"> Short-wave Infrared 1(SWIR1)</w:t>
            </w:r>
          </w:p>
        </w:tc>
        <w:tc>
          <w:tcPr>
            <w:tcW w:w="174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5</w:t>
            </w:r>
          </w:p>
        </w:tc>
        <w:tc>
          <w:tcPr>
            <w:tcW w:w="195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5</w:t>
            </w:r>
          </w:p>
        </w:tc>
        <w:tc>
          <w:tcPr>
            <w:tcW w:w="19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6</w:t>
            </w:r>
          </w:p>
        </w:tc>
      </w:tr>
      <w:tr w:rsidR="006557F0" w:rsidTr="00CF26CB">
        <w:trPr>
          <w:trHeight w:val="132"/>
        </w:trPr>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rPr>
                <w:rFonts w:ascii="Garamond" w:eastAsia="Garamond" w:hAnsi="Garamond" w:cs="Garamond"/>
              </w:rPr>
            </w:pPr>
            <w:r>
              <w:rPr>
                <w:rFonts w:ascii="Garamond" w:eastAsia="Garamond" w:hAnsi="Garamond" w:cs="Garamond"/>
              </w:rPr>
              <w:t xml:space="preserve"> Short-wave Infrared2 (SWIR2)</w:t>
            </w:r>
          </w:p>
        </w:tc>
        <w:tc>
          <w:tcPr>
            <w:tcW w:w="174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7</w:t>
            </w:r>
          </w:p>
        </w:tc>
        <w:tc>
          <w:tcPr>
            <w:tcW w:w="195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7</w:t>
            </w:r>
          </w:p>
        </w:tc>
        <w:tc>
          <w:tcPr>
            <w:tcW w:w="19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7</w:t>
            </w:r>
          </w:p>
        </w:tc>
      </w:tr>
      <w:tr w:rsidR="006557F0" w:rsidTr="00CF26CB">
        <w:trPr>
          <w:trHeight w:val="267"/>
        </w:trPr>
        <w:tc>
          <w:tcPr>
            <w:tcW w:w="3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rPr>
                <w:rFonts w:ascii="Garamond" w:eastAsia="Garamond" w:hAnsi="Garamond" w:cs="Garamond"/>
              </w:rPr>
            </w:pPr>
            <w:r>
              <w:rPr>
                <w:rFonts w:ascii="Garamond" w:eastAsia="Garamond" w:hAnsi="Garamond" w:cs="Garamond"/>
              </w:rPr>
              <w:t xml:space="preserve"> Temperature (temp)</w:t>
            </w:r>
          </w:p>
        </w:tc>
        <w:tc>
          <w:tcPr>
            <w:tcW w:w="174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6</w:t>
            </w:r>
          </w:p>
        </w:tc>
        <w:tc>
          <w:tcPr>
            <w:tcW w:w="195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6</w:t>
            </w:r>
          </w:p>
        </w:tc>
        <w:tc>
          <w:tcPr>
            <w:tcW w:w="190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6557F0" w:rsidRDefault="00EC60AB">
            <w:pPr>
              <w:widowControl w:val="0"/>
              <w:pBdr>
                <w:top w:val="nil"/>
                <w:left w:val="nil"/>
                <w:bottom w:val="nil"/>
                <w:right w:val="nil"/>
                <w:between w:val="nil"/>
              </w:pBdr>
              <w:spacing w:after="0"/>
              <w:jc w:val="center"/>
              <w:rPr>
                <w:rFonts w:ascii="Garamond" w:eastAsia="Garamond" w:hAnsi="Garamond" w:cs="Garamond"/>
              </w:rPr>
            </w:pPr>
            <w:r>
              <w:rPr>
                <w:rFonts w:ascii="Garamond" w:eastAsia="Garamond" w:hAnsi="Garamond" w:cs="Garamond"/>
              </w:rPr>
              <w:t>10</w:t>
            </w:r>
          </w:p>
        </w:tc>
      </w:tr>
    </w:tbl>
    <w:p w:rsidR="00CF26CB" w:rsidRDefault="00CF26CB">
      <w:pPr>
        <w:spacing w:before="200" w:after="0" w:line="240" w:lineRule="auto"/>
        <w:rPr>
          <w:rFonts w:ascii="Garamond" w:eastAsia="Garamond" w:hAnsi="Garamond" w:cs="Garamond"/>
        </w:rPr>
      </w:pPr>
    </w:p>
    <w:p w:rsidR="006557F0" w:rsidRDefault="00EC60AB" w:rsidP="00710368">
      <w:pPr>
        <w:spacing w:before="200" w:after="0" w:line="240" w:lineRule="auto"/>
        <w:contextualSpacing/>
        <w:rPr>
          <w:rFonts w:ascii="Garamond" w:eastAsia="Garamond" w:hAnsi="Garamond" w:cs="Garamond"/>
        </w:rPr>
      </w:pPr>
      <w:r>
        <w:rPr>
          <w:rFonts w:ascii="Garamond" w:eastAsia="Garamond" w:hAnsi="Garamond" w:cs="Garamond"/>
        </w:rPr>
        <w:t>Table A5</w:t>
      </w:r>
    </w:p>
    <w:p w:rsidR="006557F0" w:rsidRDefault="00EC60AB" w:rsidP="00710368">
      <w:pPr>
        <w:spacing w:line="240" w:lineRule="auto"/>
        <w:contextualSpacing/>
        <w:rPr>
          <w:rFonts w:ascii="Garamond" w:eastAsia="Garamond" w:hAnsi="Garamond" w:cs="Garamond"/>
          <w:i/>
        </w:rPr>
      </w:pPr>
      <w:r>
        <w:rPr>
          <w:rFonts w:ascii="Garamond" w:eastAsia="Garamond" w:hAnsi="Garamond" w:cs="Garamond"/>
          <w:i/>
        </w:rPr>
        <w:t>List of sensors used aboard each satellite.</w:t>
      </w:r>
    </w:p>
    <w:tbl>
      <w:tblPr>
        <w:tblStyle w:val="a3"/>
        <w:tblW w:w="5800" w:type="dxa"/>
        <w:jc w:val="center"/>
        <w:tblBorders>
          <w:top w:val="nil"/>
          <w:left w:val="nil"/>
          <w:bottom w:val="nil"/>
          <w:right w:val="nil"/>
          <w:insideH w:val="nil"/>
          <w:insideV w:val="nil"/>
        </w:tblBorders>
        <w:tblLayout w:type="fixed"/>
        <w:tblLook w:val="0600" w:firstRow="0" w:lastRow="0" w:firstColumn="0" w:lastColumn="0" w:noHBand="1" w:noVBand="1"/>
      </w:tblPr>
      <w:tblGrid>
        <w:gridCol w:w="2525"/>
        <w:gridCol w:w="3275"/>
      </w:tblGrid>
      <w:tr w:rsidR="006557F0" w:rsidTr="00CF26CB">
        <w:trPr>
          <w:trHeight w:val="285"/>
          <w:jc w:val="center"/>
        </w:trPr>
        <w:tc>
          <w:tcPr>
            <w:tcW w:w="252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b/>
              </w:rPr>
            </w:pPr>
            <w:r>
              <w:rPr>
                <w:rFonts w:ascii="Garamond" w:eastAsia="Garamond" w:hAnsi="Garamond" w:cs="Garamond"/>
                <w:b/>
              </w:rPr>
              <w:t>Satellite</w:t>
            </w:r>
          </w:p>
        </w:tc>
        <w:tc>
          <w:tcPr>
            <w:tcW w:w="327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b/>
              </w:rPr>
            </w:pPr>
            <w:r>
              <w:rPr>
                <w:rFonts w:ascii="Garamond" w:eastAsia="Garamond" w:hAnsi="Garamond" w:cs="Garamond"/>
                <w:b/>
              </w:rPr>
              <w:t>Imaging Sensor</w:t>
            </w:r>
          </w:p>
        </w:tc>
      </w:tr>
      <w:tr w:rsidR="006557F0" w:rsidTr="00CF26CB">
        <w:trPr>
          <w:trHeight w:val="222"/>
          <w:jc w:val="center"/>
        </w:trPr>
        <w:tc>
          <w:tcPr>
            <w:tcW w:w="2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Landsat 4</w:t>
            </w:r>
          </w:p>
        </w:tc>
        <w:tc>
          <w:tcPr>
            <w:tcW w:w="3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Thematic Mapper</w:t>
            </w:r>
          </w:p>
        </w:tc>
      </w:tr>
      <w:tr w:rsidR="006557F0" w:rsidTr="00CF26CB">
        <w:trPr>
          <w:trHeight w:val="267"/>
          <w:jc w:val="center"/>
        </w:trPr>
        <w:tc>
          <w:tcPr>
            <w:tcW w:w="2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Landsat 5</w:t>
            </w:r>
          </w:p>
        </w:tc>
        <w:tc>
          <w:tcPr>
            <w:tcW w:w="3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Thematic Mapper</w:t>
            </w:r>
          </w:p>
        </w:tc>
      </w:tr>
      <w:tr w:rsidR="006557F0" w:rsidTr="00CF26CB">
        <w:trPr>
          <w:trHeight w:val="303"/>
          <w:jc w:val="center"/>
        </w:trPr>
        <w:tc>
          <w:tcPr>
            <w:tcW w:w="2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Landsat 7</w:t>
            </w:r>
          </w:p>
        </w:tc>
        <w:tc>
          <w:tcPr>
            <w:tcW w:w="3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Enhanced Thematic Mapper +</w:t>
            </w:r>
          </w:p>
        </w:tc>
      </w:tr>
      <w:tr w:rsidR="006557F0" w:rsidTr="00CF26CB">
        <w:trPr>
          <w:trHeight w:val="222"/>
          <w:jc w:val="center"/>
        </w:trPr>
        <w:tc>
          <w:tcPr>
            <w:tcW w:w="2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Landsat 8</w:t>
            </w:r>
          </w:p>
        </w:tc>
        <w:tc>
          <w:tcPr>
            <w:tcW w:w="3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7F0" w:rsidRDefault="00EC60AB" w:rsidP="00710368">
            <w:pPr>
              <w:widowControl w:val="0"/>
              <w:pBdr>
                <w:top w:val="nil"/>
                <w:left w:val="nil"/>
                <w:bottom w:val="nil"/>
                <w:right w:val="nil"/>
                <w:between w:val="nil"/>
              </w:pBdr>
              <w:spacing w:after="0" w:line="240" w:lineRule="auto"/>
              <w:contextualSpacing/>
              <w:jc w:val="center"/>
              <w:rPr>
                <w:rFonts w:ascii="Garamond" w:eastAsia="Garamond" w:hAnsi="Garamond" w:cs="Garamond"/>
              </w:rPr>
            </w:pPr>
            <w:r>
              <w:rPr>
                <w:rFonts w:ascii="Garamond" w:eastAsia="Garamond" w:hAnsi="Garamond" w:cs="Garamond"/>
              </w:rPr>
              <w:t>Operational Land Imager</w:t>
            </w:r>
          </w:p>
        </w:tc>
      </w:tr>
    </w:tbl>
    <w:p w:rsidR="006557F0" w:rsidRDefault="006557F0">
      <w:pPr>
        <w:spacing w:after="0" w:line="240" w:lineRule="auto"/>
        <w:rPr>
          <w:rFonts w:ascii="Garamond" w:eastAsia="Garamond" w:hAnsi="Garamond" w:cs="Garamond"/>
        </w:rPr>
      </w:pPr>
    </w:p>
    <w:p w:rsidR="006557F0" w:rsidRDefault="00EC60AB">
      <w:pPr>
        <w:spacing w:after="0" w:line="240" w:lineRule="auto"/>
        <w:rPr>
          <w:rFonts w:ascii="Garamond" w:eastAsia="Garamond" w:hAnsi="Garamond" w:cs="Garamond"/>
        </w:rPr>
      </w:pPr>
      <w:r>
        <w:br w:type="page"/>
      </w:r>
    </w:p>
    <w:p w:rsidR="006557F0" w:rsidRDefault="00EC60AB">
      <w:pPr>
        <w:pStyle w:val="Heading1"/>
        <w:spacing w:before="0" w:line="240" w:lineRule="auto"/>
        <w:jc w:val="center"/>
        <w:rPr>
          <w:rFonts w:ascii="Garamond" w:eastAsia="Garamond" w:hAnsi="Garamond" w:cs="Garamond"/>
        </w:rPr>
      </w:pPr>
      <w:bookmarkStart w:id="8" w:name="_2ko0mdd6vkmn" w:colFirst="0" w:colLast="0"/>
      <w:bookmarkEnd w:id="8"/>
      <w:r>
        <w:rPr>
          <w:rFonts w:ascii="Garamond" w:eastAsia="Garamond" w:hAnsi="Garamond" w:cs="Garamond"/>
        </w:rPr>
        <w:lastRenderedPageBreak/>
        <w:t>Appendix B</w:t>
      </w:r>
    </w:p>
    <w:p w:rsidR="006557F0" w:rsidRDefault="00EC60AB">
      <w:pPr>
        <w:spacing w:after="160" w:line="259" w:lineRule="auto"/>
        <w:rPr>
          <w:rFonts w:ascii="Garamond" w:eastAsia="Garamond" w:hAnsi="Garamond" w:cs="Garamond"/>
        </w:rPr>
      </w:pPr>
      <w:r>
        <w:rPr>
          <w:rFonts w:ascii="Garamond" w:eastAsia="Garamond" w:hAnsi="Garamond" w:cs="Garamond"/>
        </w:rPr>
        <w:t>a.</w:t>
      </w:r>
      <w:r>
        <w:rPr>
          <w:rFonts w:ascii="Garamond" w:eastAsia="Garamond" w:hAnsi="Garamond" w:cs="Garamond"/>
          <w:noProof/>
        </w:rPr>
        <w:drawing>
          <wp:inline distT="0" distB="0" distL="0" distR="0">
            <wp:extent cx="2743200" cy="2743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743200" cy="2743200"/>
                    </a:xfrm>
                    <a:prstGeom prst="rect">
                      <a:avLst/>
                    </a:prstGeom>
                    <a:ln/>
                  </pic:spPr>
                </pic:pic>
              </a:graphicData>
            </a:graphic>
          </wp:inline>
        </w:drawing>
      </w:r>
      <w:r>
        <w:rPr>
          <w:rFonts w:ascii="Garamond" w:eastAsia="Garamond" w:hAnsi="Garamond" w:cs="Garamond"/>
        </w:rPr>
        <w:t>b.</w:t>
      </w:r>
      <w:r>
        <w:rPr>
          <w:rFonts w:ascii="Garamond" w:eastAsia="Garamond" w:hAnsi="Garamond" w:cs="Garamond"/>
          <w:noProof/>
        </w:rPr>
        <w:drawing>
          <wp:inline distT="0" distB="0" distL="0" distR="0">
            <wp:extent cx="2743200" cy="27432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2743200" cy="2743200"/>
                    </a:xfrm>
                    <a:prstGeom prst="rect">
                      <a:avLst/>
                    </a:prstGeom>
                    <a:ln/>
                  </pic:spPr>
                </pic:pic>
              </a:graphicData>
            </a:graphic>
          </wp:inline>
        </w:drawing>
      </w:r>
    </w:p>
    <w:p w:rsidR="006557F0" w:rsidRDefault="00EC60AB">
      <w:pPr>
        <w:spacing w:after="160" w:line="259" w:lineRule="auto"/>
        <w:rPr>
          <w:rFonts w:ascii="Calibri" w:eastAsia="Calibri" w:hAnsi="Calibri" w:cs="Calibri"/>
        </w:rPr>
      </w:pPr>
      <w:r>
        <w:rPr>
          <w:rFonts w:ascii="Garamond" w:eastAsia="Garamond" w:hAnsi="Garamond" w:cs="Garamond"/>
        </w:rPr>
        <w:t>c.</w:t>
      </w:r>
      <w:r>
        <w:rPr>
          <w:rFonts w:ascii="Garamond" w:eastAsia="Garamond" w:hAnsi="Garamond" w:cs="Garamond"/>
          <w:noProof/>
        </w:rPr>
        <w:drawing>
          <wp:inline distT="0" distB="0" distL="0" distR="0">
            <wp:extent cx="2743200" cy="27432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2743200" cy="2743200"/>
                    </a:xfrm>
                    <a:prstGeom prst="rect">
                      <a:avLst/>
                    </a:prstGeom>
                    <a:ln/>
                  </pic:spPr>
                </pic:pic>
              </a:graphicData>
            </a:graphic>
          </wp:inline>
        </w:drawing>
      </w:r>
      <w:r>
        <w:rPr>
          <w:rFonts w:ascii="Garamond" w:eastAsia="Garamond" w:hAnsi="Garamond" w:cs="Garamond"/>
        </w:rPr>
        <w:t>d.</w:t>
      </w:r>
      <w:r>
        <w:rPr>
          <w:rFonts w:ascii="Garamond" w:eastAsia="Garamond" w:hAnsi="Garamond" w:cs="Garamond"/>
          <w:noProof/>
        </w:rPr>
        <w:drawing>
          <wp:inline distT="0" distB="0" distL="0" distR="0">
            <wp:extent cx="2743200" cy="27432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743200" cy="2743200"/>
                    </a:xfrm>
                    <a:prstGeom prst="rect">
                      <a:avLst/>
                    </a:prstGeom>
                    <a:ln/>
                  </pic:spPr>
                </pic:pic>
              </a:graphicData>
            </a:graphic>
          </wp:inline>
        </w:drawing>
      </w:r>
    </w:p>
    <w:p w:rsidR="006557F0" w:rsidRDefault="00EC60AB">
      <w:pPr>
        <w:spacing w:after="160" w:line="259" w:lineRule="auto"/>
        <w:jc w:val="center"/>
        <w:rPr>
          <w:rFonts w:ascii="Calibri" w:eastAsia="Calibri" w:hAnsi="Calibri" w:cs="Calibri"/>
        </w:rPr>
      </w:pPr>
      <w:r>
        <w:rPr>
          <w:rFonts w:ascii="Calibri" w:eastAsia="Calibri" w:hAnsi="Calibri" w:cs="Calibri"/>
          <w:noProof/>
        </w:rPr>
        <w:drawing>
          <wp:inline distT="0" distB="0" distL="0" distR="0">
            <wp:extent cx="4814594" cy="550108"/>
            <wp:effectExtent l="0" t="0" r="0" b="0"/>
            <wp:docPr id="2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t="25285" b="22120"/>
                    <a:stretch>
                      <a:fillRect/>
                    </a:stretch>
                  </pic:blipFill>
                  <pic:spPr>
                    <a:xfrm>
                      <a:off x="0" y="0"/>
                      <a:ext cx="4814594" cy="550108"/>
                    </a:xfrm>
                    <a:prstGeom prst="rect">
                      <a:avLst/>
                    </a:prstGeom>
                    <a:ln/>
                  </pic:spPr>
                </pic:pic>
              </a:graphicData>
            </a:graphic>
          </wp:inline>
        </w:drawing>
      </w:r>
    </w:p>
    <w:p w:rsidR="006557F0" w:rsidRDefault="00EC60AB">
      <w:pPr>
        <w:spacing w:after="160" w:line="259" w:lineRule="auto"/>
        <w:jc w:val="center"/>
        <w:rPr>
          <w:rFonts w:ascii="Garamond" w:eastAsia="Garamond" w:hAnsi="Garamond" w:cs="Garamond"/>
          <w:i/>
        </w:rPr>
      </w:pPr>
      <w:r>
        <w:rPr>
          <w:rFonts w:ascii="Garamond" w:eastAsia="Garamond" w:hAnsi="Garamond" w:cs="Garamond"/>
          <w:i/>
        </w:rPr>
        <w:t xml:space="preserve">Figure B1. </w:t>
      </w:r>
      <w:r w:rsidRPr="00710368">
        <w:rPr>
          <w:rFonts w:ascii="Garamond" w:eastAsia="Garamond" w:hAnsi="Garamond" w:cs="Garamond"/>
          <w:iCs/>
        </w:rPr>
        <w:t>Land cover classes for 1989 (a), 1990 (b), 1991 (c), and 1992 (d).</w:t>
      </w:r>
    </w:p>
    <w:p w:rsidR="006557F0" w:rsidRDefault="006557F0">
      <w:pPr>
        <w:spacing w:after="160" w:line="259" w:lineRule="auto"/>
        <w:jc w:val="center"/>
        <w:rPr>
          <w:rFonts w:ascii="Garamond" w:eastAsia="Garamond" w:hAnsi="Garamond" w:cs="Garamond"/>
          <w:i/>
        </w:rPr>
      </w:pPr>
    </w:p>
    <w:p w:rsidR="006557F0" w:rsidRDefault="00EC60AB">
      <w:pPr>
        <w:spacing w:after="160" w:line="259" w:lineRule="auto"/>
        <w:jc w:val="center"/>
        <w:rPr>
          <w:rFonts w:ascii="Garamond" w:eastAsia="Garamond" w:hAnsi="Garamond" w:cs="Garamond"/>
          <w:i/>
        </w:rPr>
      </w:pPr>
      <w:r>
        <w:br w:type="page"/>
      </w:r>
    </w:p>
    <w:p w:rsidR="006557F0" w:rsidRDefault="00EC60AB">
      <w:pPr>
        <w:spacing w:after="160" w:line="259" w:lineRule="auto"/>
        <w:rPr>
          <w:rFonts w:ascii="Calibri" w:eastAsia="Calibri" w:hAnsi="Calibri" w:cs="Calibri"/>
        </w:rPr>
      </w:pPr>
      <w:r>
        <w:rPr>
          <w:rFonts w:ascii="Garamond" w:eastAsia="Garamond" w:hAnsi="Garamond" w:cs="Garamond"/>
        </w:rPr>
        <w:lastRenderedPageBreak/>
        <w:t xml:space="preserve">a. </w:t>
      </w:r>
      <w:r>
        <w:rPr>
          <w:rFonts w:ascii="Garamond" w:eastAsia="Garamond" w:hAnsi="Garamond" w:cs="Garamond"/>
          <w:noProof/>
        </w:rPr>
        <w:drawing>
          <wp:inline distT="0" distB="0" distL="0" distR="0">
            <wp:extent cx="2709863" cy="2709863"/>
            <wp:effectExtent l="0" t="0" r="0" b="0"/>
            <wp:docPr id="4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2709863" cy="2709863"/>
                    </a:xfrm>
                    <a:prstGeom prst="rect">
                      <a:avLst/>
                    </a:prstGeom>
                    <a:ln/>
                  </pic:spPr>
                </pic:pic>
              </a:graphicData>
            </a:graphic>
          </wp:inline>
        </w:drawing>
      </w:r>
      <w:r>
        <w:rPr>
          <w:rFonts w:ascii="Garamond" w:eastAsia="Garamond" w:hAnsi="Garamond" w:cs="Garamond"/>
        </w:rPr>
        <w:t xml:space="preserve">  b.</w:t>
      </w:r>
      <w:r>
        <w:rPr>
          <w:rFonts w:ascii="Calibri" w:eastAsia="Calibri" w:hAnsi="Calibri" w:cs="Calibri"/>
        </w:rPr>
        <w:t xml:space="preserve"> </w:t>
      </w:r>
      <w:r>
        <w:rPr>
          <w:rFonts w:ascii="Garamond" w:eastAsia="Garamond" w:hAnsi="Garamond" w:cs="Garamond"/>
          <w:noProof/>
        </w:rPr>
        <w:drawing>
          <wp:inline distT="0" distB="0" distL="0" distR="0">
            <wp:extent cx="2690813" cy="2690813"/>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2690813" cy="2690813"/>
                    </a:xfrm>
                    <a:prstGeom prst="rect">
                      <a:avLst/>
                    </a:prstGeom>
                    <a:ln/>
                  </pic:spPr>
                </pic:pic>
              </a:graphicData>
            </a:graphic>
          </wp:inline>
        </w:drawing>
      </w:r>
      <w:r>
        <w:rPr>
          <w:rFonts w:ascii="Garamond" w:eastAsia="Garamond" w:hAnsi="Garamond" w:cs="Garamond"/>
        </w:rPr>
        <w:t xml:space="preserve">  c.</w:t>
      </w:r>
      <w:r>
        <w:rPr>
          <w:rFonts w:ascii="Calibri" w:eastAsia="Calibri" w:hAnsi="Calibri" w:cs="Calibri"/>
        </w:rPr>
        <w:t xml:space="preserve"> </w:t>
      </w:r>
      <w:r>
        <w:rPr>
          <w:rFonts w:ascii="Garamond" w:eastAsia="Garamond" w:hAnsi="Garamond" w:cs="Garamond"/>
          <w:noProof/>
        </w:rPr>
        <w:drawing>
          <wp:inline distT="0" distB="0" distL="0" distR="0">
            <wp:extent cx="2652713" cy="2652713"/>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2652713" cy="2652713"/>
                    </a:xfrm>
                    <a:prstGeom prst="rect">
                      <a:avLst/>
                    </a:prstGeom>
                    <a:ln/>
                  </pic:spPr>
                </pic:pic>
              </a:graphicData>
            </a:graphic>
          </wp:inline>
        </w:drawing>
      </w:r>
      <w:r>
        <w:rPr>
          <w:rFonts w:ascii="Garamond" w:eastAsia="Garamond" w:hAnsi="Garamond" w:cs="Garamond"/>
        </w:rPr>
        <w:t xml:space="preserve"> d.</w:t>
      </w:r>
      <w:r>
        <w:rPr>
          <w:rFonts w:ascii="Calibri" w:eastAsia="Calibri" w:hAnsi="Calibri" w:cs="Calibri"/>
        </w:rPr>
        <w:t xml:space="preserve"> </w:t>
      </w:r>
      <w:r>
        <w:rPr>
          <w:rFonts w:ascii="Calibri" w:eastAsia="Calibri" w:hAnsi="Calibri" w:cs="Calibri"/>
          <w:noProof/>
        </w:rPr>
        <w:drawing>
          <wp:inline distT="0" distB="0" distL="0" distR="0">
            <wp:extent cx="2743200" cy="27432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743200" cy="2743200"/>
                    </a:xfrm>
                    <a:prstGeom prst="rect">
                      <a:avLst/>
                    </a:prstGeom>
                    <a:ln/>
                  </pic:spPr>
                </pic:pic>
              </a:graphicData>
            </a:graphic>
          </wp:inline>
        </w:drawing>
      </w:r>
    </w:p>
    <w:p w:rsidR="006557F0" w:rsidRDefault="00EC60AB">
      <w:pPr>
        <w:spacing w:after="160" w:line="259" w:lineRule="auto"/>
        <w:jc w:val="center"/>
        <w:rPr>
          <w:rFonts w:ascii="Calibri" w:eastAsia="Calibri" w:hAnsi="Calibri" w:cs="Calibri"/>
        </w:rPr>
      </w:pPr>
      <w:r>
        <w:rPr>
          <w:rFonts w:ascii="Calibri" w:eastAsia="Calibri" w:hAnsi="Calibri" w:cs="Calibri"/>
          <w:noProof/>
        </w:rPr>
        <w:drawing>
          <wp:inline distT="0" distB="0" distL="0" distR="0">
            <wp:extent cx="4814594" cy="550108"/>
            <wp:effectExtent l="0" t="0" r="0" b="0"/>
            <wp:docPr id="3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t="25285" b="22120"/>
                    <a:stretch>
                      <a:fillRect/>
                    </a:stretch>
                  </pic:blipFill>
                  <pic:spPr>
                    <a:xfrm>
                      <a:off x="0" y="0"/>
                      <a:ext cx="4814594" cy="550108"/>
                    </a:xfrm>
                    <a:prstGeom prst="rect">
                      <a:avLst/>
                    </a:prstGeom>
                    <a:ln/>
                  </pic:spPr>
                </pic:pic>
              </a:graphicData>
            </a:graphic>
          </wp:inline>
        </w:drawing>
      </w:r>
    </w:p>
    <w:p w:rsidR="006557F0" w:rsidRPr="00710368" w:rsidRDefault="00EC60AB">
      <w:pPr>
        <w:spacing w:after="160" w:line="259" w:lineRule="auto"/>
        <w:jc w:val="center"/>
        <w:rPr>
          <w:rFonts w:ascii="Garamond" w:eastAsia="Garamond" w:hAnsi="Garamond" w:cs="Garamond"/>
          <w:iCs/>
        </w:rPr>
      </w:pPr>
      <w:r>
        <w:rPr>
          <w:rFonts w:ascii="Garamond" w:eastAsia="Garamond" w:hAnsi="Garamond" w:cs="Garamond"/>
          <w:i/>
        </w:rPr>
        <w:t xml:space="preserve">Figure B2. </w:t>
      </w:r>
      <w:r w:rsidRPr="00710368">
        <w:rPr>
          <w:rFonts w:ascii="Garamond" w:eastAsia="Garamond" w:hAnsi="Garamond" w:cs="Garamond"/>
          <w:iCs/>
        </w:rPr>
        <w:t>Land cover classes for 1999 (a), 2000 (b), 2001 (c), and 2002 (d).</w:t>
      </w:r>
    </w:p>
    <w:p w:rsidR="006557F0" w:rsidRDefault="006557F0">
      <w:pPr>
        <w:spacing w:after="160" w:line="259" w:lineRule="auto"/>
        <w:jc w:val="center"/>
        <w:rPr>
          <w:rFonts w:ascii="Garamond" w:eastAsia="Garamond" w:hAnsi="Garamond" w:cs="Garamond"/>
          <w:i/>
        </w:rPr>
      </w:pPr>
    </w:p>
    <w:p w:rsidR="006557F0" w:rsidRDefault="00EC60AB">
      <w:pPr>
        <w:spacing w:after="160" w:line="259" w:lineRule="auto"/>
        <w:jc w:val="center"/>
        <w:rPr>
          <w:rFonts w:ascii="Garamond" w:eastAsia="Garamond" w:hAnsi="Garamond" w:cs="Garamond"/>
          <w:i/>
        </w:rPr>
      </w:pPr>
      <w:r>
        <w:br w:type="page"/>
      </w:r>
    </w:p>
    <w:p w:rsidR="006557F0" w:rsidRDefault="00EC60AB">
      <w:pPr>
        <w:spacing w:after="160" w:line="259" w:lineRule="auto"/>
        <w:rPr>
          <w:rFonts w:ascii="Garamond" w:eastAsia="Garamond" w:hAnsi="Garamond" w:cs="Garamond"/>
        </w:rPr>
      </w:pPr>
      <w:bookmarkStart w:id="9" w:name="_30j0zll" w:colFirst="0" w:colLast="0"/>
      <w:bookmarkEnd w:id="9"/>
      <w:r>
        <w:rPr>
          <w:rFonts w:ascii="Garamond" w:eastAsia="Garamond" w:hAnsi="Garamond" w:cs="Garamond"/>
        </w:rPr>
        <w:lastRenderedPageBreak/>
        <w:t xml:space="preserve">a. </w:t>
      </w:r>
      <w:r>
        <w:rPr>
          <w:rFonts w:ascii="Garamond" w:eastAsia="Garamond" w:hAnsi="Garamond" w:cs="Garamond"/>
          <w:noProof/>
        </w:rPr>
        <w:drawing>
          <wp:inline distT="0" distB="0" distL="0" distR="0">
            <wp:extent cx="2614613" cy="2614613"/>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2614613" cy="2614613"/>
                    </a:xfrm>
                    <a:prstGeom prst="rect">
                      <a:avLst/>
                    </a:prstGeom>
                    <a:ln/>
                  </pic:spPr>
                </pic:pic>
              </a:graphicData>
            </a:graphic>
          </wp:inline>
        </w:drawing>
      </w:r>
      <w:r>
        <w:rPr>
          <w:rFonts w:ascii="Garamond" w:eastAsia="Garamond" w:hAnsi="Garamond" w:cs="Garamond"/>
        </w:rPr>
        <w:t>b.</w:t>
      </w:r>
      <w:r>
        <w:rPr>
          <w:rFonts w:ascii="Garamond" w:eastAsia="Garamond" w:hAnsi="Garamond" w:cs="Garamond"/>
          <w:noProof/>
        </w:rPr>
        <w:drawing>
          <wp:inline distT="0" distB="0" distL="0" distR="0">
            <wp:extent cx="2576513" cy="2576513"/>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2576513" cy="2576513"/>
                    </a:xfrm>
                    <a:prstGeom prst="rect">
                      <a:avLst/>
                    </a:prstGeom>
                    <a:ln/>
                  </pic:spPr>
                </pic:pic>
              </a:graphicData>
            </a:graphic>
          </wp:inline>
        </w:drawing>
      </w:r>
    </w:p>
    <w:p w:rsidR="006557F0" w:rsidRDefault="00EC60AB">
      <w:pPr>
        <w:spacing w:after="160" w:line="259" w:lineRule="auto"/>
        <w:rPr>
          <w:rFonts w:ascii="Calibri" w:eastAsia="Calibri" w:hAnsi="Calibri" w:cs="Calibri"/>
        </w:rPr>
      </w:pPr>
      <w:r>
        <w:rPr>
          <w:rFonts w:ascii="Garamond" w:eastAsia="Garamond" w:hAnsi="Garamond" w:cs="Garamond"/>
        </w:rPr>
        <w:t>c.</w:t>
      </w:r>
      <w:r>
        <w:rPr>
          <w:rFonts w:ascii="Calibri" w:eastAsia="Calibri" w:hAnsi="Calibri" w:cs="Calibri"/>
        </w:rPr>
        <w:t xml:space="preserve"> </w:t>
      </w:r>
      <w:r>
        <w:rPr>
          <w:rFonts w:ascii="Garamond" w:eastAsia="Garamond" w:hAnsi="Garamond" w:cs="Garamond"/>
          <w:noProof/>
        </w:rPr>
        <w:drawing>
          <wp:inline distT="0" distB="0" distL="0" distR="0">
            <wp:extent cx="2643188" cy="2643188"/>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2643188" cy="2643188"/>
                    </a:xfrm>
                    <a:prstGeom prst="rect">
                      <a:avLst/>
                    </a:prstGeom>
                    <a:ln/>
                  </pic:spPr>
                </pic:pic>
              </a:graphicData>
            </a:graphic>
          </wp:inline>
        </w:drawing>
      </w:r>
      <w:r>
        <w:rPr>
          <w:rFonts w:ascii="Calibri" w:eastAsia="Calibri" w:hAnsi="Calibri" w:cs="Calibri"/>
        </w:rPr>
        <w:t xml:space="preserve"> </w:t>
      </w:r>
      <w:r>
        <w:rPr>
          <w:rFonts w:ascii="Garamond" w:eastAsia="Garamond" w:hAnsi="Garamond" w:cs="Garamond"/>
        </w:rPr>
        <w:t>d.</w:t>
      </w:r>
      <w:r>
        <w:rPr>
          <w:rFonts w:ascii="Calibri" w:eastAsia="Calibri" w:hAnsi="Calibri" w:cs="Calibri"/>
        </w:rPr>
        <w:t xml:space="preserve"> </w:t>
      </w:r>
      <w:r>
        <w:rPr>
          <w:rFonts w:ascii="Calibri" w:eastAsia="Calibri" w:hAnsi="Calibri" w:cs="Calibri"/>
          <w:noProof/>
        </w:rPr>
        <w:drawing>
          <wp:inline distT="0" distB="0" distL="0" distR="0">
            <wp:extent cx="2681288" cy="2681288"/>
            <wp:effectExtent l="0" t="0" r="0" b="0"/>
            <wp:docPr id="4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a:stretch>
                      <a:fillRect/>
                    </a:stretch>
                  </pic:blipFill>
                  <pic:spPr>
                    <a:xfrm>
                      <a:off x="0" y="0"/>
                      <a:ext cx="2681288" cy="2681288"/>
                    </a:xfrm>
                    <a:prstGeom prst="rect">
                      <a:avLst/>
                    </a:prstGeom>
                    <a:ln/>
                  </pic:spPr>
                </pic:pic>
              </a:graphicData>
            </a:graphic>
          </wp:inline>
        </w:drawing>
      </w:r>
    </w:p>
    <w:p w:rsidR="006557F0" w:rsidRDefault="00EC60AB">
      <w:pPr>
        <w:spacing w:after="160" w:line="259" w:lineRule="auto"/>
        <w:jc w:val="center"/>
        <w:rPr>
          <w:rFonts w:ascii="Calibri" w:eastAsia="Calibri" w:hAnsi="Calibri" w:cs="Calibri"/>
        </w:rPr>
      </w:pPr>
      <w:r>
        <w:rPr>
          <w:rFonts w:ascii="Calibri" w:eastAsia="Calibri" w:hAnsi="Calibri" w:cs="Calibri"/>
          <w:noProof/>
        </w:rPr>
        <w:drawing>
          <wp:inline distT="0" distB="0" distL="0" distR="0">
            <wp:extent cx="4814594" cy="550108"/>
            <wp:effectExtent l="0" t="0" r="0" b="0"/>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t="25285" b="22120"/>
                    <a:stretch>
                      <a:fillRect/>
                    </a:stretch>
                  </pic:blipFill>
                  <pic:spPr>
                    <a:xfrm>
                      <a:off x="0" y="0"/>
                      <a:ext cx="4814594" cy="550108"/>
                    </a:xfrm>
                    <a:prstGeom prst="rect">
                      <a:avLst/>
                    </a:prstGeom>
                    <a:ln/>
                  </pic:spPr>
                </pic:pic>
              </a:graphicData>
            </a:graphic>
          </wp:inline>
        </w:drawing>
      </w:r>
    </w:p>
    <w:p w:rsidR="006557F0" w:rsidRPr="00710368" w:rsidRDefault="00EC60AB">
      <w:pPr>
        <w:spacing w:after="160" w:line="259" w:lineRule="auto"/>
        <w:jc w:val="center"/>
        <w:rPr>
          <w:rFonts w:ascii="Garamond" w:eastAsia="Garamond" w:hAnsi="Garamond" w:cs="Garamond"/>
          <w:iCs/>
        </w:rPr>
      </w:pPr>
      <w:r>
        <w:rPr>
          <w:rFonts w:ascii="Garamond" w:eastAsia="Garamond" w:hAnsi="Garamond" w:cs="Garamond"/>
          <w:i/>
        </w:rPr>
        <w:t xml:space="preserve">Figure B3. </w:t>
      </w:r>
      <w:r w:rsidRPr="00710368">
        <w:rPr>
          <w:rFonts w:ascii="Garamond" w:eastAsia="Garamond" w:hAnsi="Garamond" w:cs="Garamond"/>
          <w:iCs/>
        </w:rPr>
        <w:t>Land cover classes for 2003 (a), 2013 (b), 2014 (c), and 2015 (d).</w:t>
      </w:r>
    </w:p>
    <w:p w:rsidR="006557F0" w:rsidRDefault="00EC60AB">
      <w:pPr>
        <w:spacing w:after="160" w:line="259" w:lineRule="auto"/>
        <w:rPr>
          <w:rFonts w:ascii="Garamond" w:eastAsia="Garamond" w:hAnsi="Garamond" w:cs="Garamond"/>
        </w:rPr>
      </w:pPr>
      <w:r w:rsidRPr="00710368">
        <w:rPr>
          <w:iCs/>
        </w:rPr>
        <w:br w:type="page"/>
      </w:r>
      <w:r>
        <w:rPr>
          <w:rFonts w:ascii="Garamond" w:eastAsia="Garamond" w:hAnsi="Garamond" w:cs="Garamond"/>
        </w:rPr>
        <w:lastRenderedPageBreak/>
        <w:t xml:space="preserve">a. </w:t>
      </w:r>
      <w:r>
        <w:rPr>
          <w:rFonts w:ascii="Garamond" w:eastAsia="Garamond" w:hAnsi="Garamond" w:cs="Garamond"/>
          <w:noProof/>
        </w:rPr>
        <w:drawing>
          <wp:inline distT="0" distB="0" distL="0" distR="0">
            <wp:extent cx="2652713" cy="2652713"/>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6"/>
                    <a:srcRect/>
                    <a:stretch>
                      <a:fillRect/>
                    </a:stretch>
                  </pic:blipFill>
                  <pic:spPr>
                    <a:xfrm>
                      <a:off x="0" y="0"/>
                      <a:ext cx="2652713" cy="2652713"/>
                    </a:xfrm>
                    <a:prstGeom prst="rect">
                      <a:avLst/>
                    </a:prstGeom>
                    <a:ln/>
                  </pic:spPr>
                </pic:pic>
              </a:graphicData>
            </a:graphic>
          </wp:inline>
        </w:drawing>
      </w:r>
      <w:r>
        <w:rPr>
          <w:rFonts w:ascii="Garamond" w:eastAsia="Garamond" w:hAnsi="Garamond" w:cs="Garamond"/>
        </w:rPr>
        <w:t xml:space="preserve">b. </w:t>
      </w:r>
      <w:r>
        <w:rPr>
          <w:rFonts w:ascii="Garamond" w:eastAsia="Garamond" w:hAnsi="Garamond" w:cs="Garamond"/>
          <w:noProof/>
        </w:rPr>
        <w:drawing>
          <wp:inline distT="0" distB="0" distL="0" distR="0">
            <wp:extent cx="2652713" cy="265271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2652713" cy="2652713"/>
                    </a:xfrm>
                    <a:prstGeom prst="rect">
                      <a:avLst/>
                    </a:prstGeom>
                    <a:ln/>
                  </pic:spPr>
                </pic:pic>
              </a:graphicData>
            </a:graphic>
          </wp:inline>
        </w:drawing>
      </w:r>
    </w:p>
    <w:p w:rsidR="006557F0" w:rsidRDefault="00EC60AB">
      <w:pPr>
        <w:spacing w:after="160" w:line="259" w:lineRule="auto"/>
        <w:rPr>
          <w:rFonts w:ascii="Garamond" w:eastAsia="Garamond" w:hAnsi="Garamond" w:cs="Garamond"/>
        </w:rPr>
      </w:pPr>
      <w:r>
        <w:rPr>
          <w:rFonts w:ascii="Garamond" w:eastAsia="Garamond" w:hAnsi="Garamond" w:cs="Garamond"/>
        </w:rPr>
        <w:t xml:space="preserve">c.  </w:t>
      </w:r>
      <w:r>
        <w:rPr>
          <w:rFonts w:ascii="Garamond" w:eastAsia="Garamond" w:hAnsi="Garamond" w:cs="Garamond"/>
          <w:noProof/>
        </w:rPr>
        <w:drawing>
          <wp:inline distT="0" distB="0" distL="0" distR="0">
            <wp:extent cx="2652713" cy="2652713"/>
            <wp:effectExtent l="0" t="0" r="0" b="0"/>
            <wp:docPr id="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a:srcRect/>
                    <a:stretch>
                      <a:fillRect/>
                    </a:stretch>
                  </pic:blipFill>
                  <pic:spPr>
                    <a:xfrm>
                      <a:off x="0" y="0"/>
                      <a:ext cx="2652713" cy="2652713"/>
                    </a:xfrm>
                    <a:prstGeom prst="rect">
                      <a:avLst/>
                    </a:prstGeom>
                    <a:ln/>
                  </pic:spPr>
                </pic:pic>
              </a:graphicData>
            </a:graphic>
          </wp:inline>
        </w:drawing>
      </w:r>
      <w:r>
        <w:rPr>
          <w:rFonts w:ascii="Garamond" w:eastAsia="Garamond" w:hAnsi="Garamond" w:cs="Garamond"/>
        </w:rPr>
        <w:t xml:space="preserve">d. </w:t>
      </w:r>
      <w:r>
        <w:rPr>
          <w:rFonts w:ascii="Garamond" w:eastAsia="Garamond" w:hAnsi="Garamond" w:cs="Garamond"/>
          <w:noProof/>
        </w:rPr>
        <w:drawing>
          <wp:inline distT="0" distB="0" distL="0" distR="0">
            <wp:extent cx="2709863" cy="2709863"/>
            <wp:effectExtent l="0" t="0" r="0" b="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2709863" cy="2709863"/>
                    </a:xfrm>
                    <a:prstGeom prst="rect">
                      <a:avLst/>
                    </a:prstGeom>
                    <a:ln/>
                  </pic:spPr>
                </pic:pic>
              </a:graphicData>
            </a:graphic>
          </wp:inline>
        </w:drawing>
      </w:r>
    </w:p>
    <w:p w:rsidR="006557F0" w:rsidRDefault="00EC60AB">
      <w:pPr>
        <w:spacing w:after="160" w:line="259" w:lineRule="auto"/>
        <w:jc w:val="center"/>
        <w:rPr>
          <w:rFonts w:ascii="Calibri" w:eastAsia="Calibri" w:hAnsi="Calibri" w:cs="Calibri"/>
        </w:rPr>
      </w:pPr>
      <w:r>
        <w:rPr>
          <w:rFonts w:ascii="Calibri" w:eastAsia="Calibri" w:hAnsi="Calibri" w:cs="Calibri"/>
          <w:noProof/>
        </w:rPr>
        <w:drawing>
          <wp:inline distT="0" distB="0" distL="0" distR="0">
            <wp:extent cx="4814594" cy="550108"/>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t="25285" b="22120"/>
                    <a:stretch>
                      <a:fillRect/>
                    </a:stretch>
                  </pic:blipFill>
                  <pic:spPr>
                    <a:xfrm>
                      <a:off x="0" y="0"/>
                      <a:ext cx="4814594" cy="550108"/>
                    </a:xfrm>
                    <a:prstGeom prst="rect">
                      <a:avLst/>
                    </a:prstGeom>
                    <a:ln/>
                  </pic:spPr>
                </pic:pic>
              </a:graphicData>
            </a:graphic>
          </wp:inline>
        </w:drawing>
      </w:r>
    </w:p>
    <w:p w:rsidR="006557F0" w:rsidRDefault="00EC60AB">
      <w:pPr>
        <w:spacing w:after="160" w:line="259" w:lineRule="auto"/>
        <w:jc w:val="center"/>
        <w:rPr>
          <w:rFonts w:ascii="Garamond" w:eastAsia="Garamond" w:hAnsi="Garamond" w:cs="Garamond"/>
          <w:i/>
        </w:rPr>
      </w:pPr>
      <w:r>
        <w:rPr>
          <w:rFonts w:ascii="Garamond" w:eastAsia="Garamond" w:hAnsi="Garamond" w:cs="Garamond"/>
          <w:i/>
        </w:rPr>
        <w:t xml:space="preserve">Figure B4. </w:t>
      </w:r>
      <w:r w:rsidRPr="00710368">
        <w:rPr>
          <w:rFonts w:ascii="Garamond" w:eastAsia="Garamond" w:hAnsi="Garamond" w:cs="Garamond"/>
          <w:iCs/>
        </w:rPr>
        <w:t>Land cover classes for 2016 (a), 2017 (b), 2018 (c), and 2019 (d).</w:t>
      </w:r>
    </w:p>
    <w:p w:rsidR="006557F0" w:rsidRDefault="00EC60AB">
      <w:pPr>
        <w:spacing w:after="160" w:line="259" w:lineRule="auto"/>
        <w:rPr>
          <w:rFonts w:ascii="Garamond" w:eastAsia="Garamond" w:hAnsi="Garamond" w:cs="Garamond"/>
          <w:i/>
        </w:rPr>
      </w:pPr>
      <w:r>
        <w:br w:type="page"/>
      </w:r>
    </w:p>
    <w:p w:rsidR="006557F0" w:rsidRDefault="00EC60AB">
      <w:pPr>
        <w:pStyle w:val="Heading1"/>
        <w:jc w:val="center"/>
        <w:rPr>
          <w:rFonts w:ascii="Garamond" w:eastAsia="Garamond" w:hAnsi="Garamond" w:cs="Garamond"/>
          <w:color w:val="2F5496"/>
        </w:rPr>
      </w:pPr>
      <w:r>
        <w:rPr>
          <w:rFonts w:ascii="Garamond" w:eastAsia="Garamond" w:hAnsi="Garamond" w:cs="Garamond"/>
          <w:color w:val="2F5496"/>
        </w:rPr>
        <w:lastRenderedPageBreak/>
        <w:t>Appendix C.</w:t>
      </w:r>
    </w:p>
    <w:p w:rsidR="006557F0" w:rsidRDefault="00EC60AB">
      <w:pPr>
        <w:pStyle w:val="Heading1"/>
        <w:jc w:val="center"/>
        <w:rPr>
          <w:rFonts w:ascii="Garamond" w:eastAsia="Garamond" w:hAnsi="Garamond" w:cs="Garamond"/>
          <w:color w:val="2F5496"/>
        </w:rPr>
      </w:pPr>
      <w:r>
        <w:rPr>
          <w:rFonts w:ascii="Garamond" w:eastAsia="Garamond" w:hAnsi="Garamond" w:cs="Garamond"/>
          <w:b w:val="0"/>
          <w:i/>
          <w:color w:val="000000"/>
          <w:sz w:val="22"/>
          <w:szCs w:val="22"/>
        </w:rPr>
        <w:t xml:space="preserve">a. </w:t>
      </w:r>
      <w:r>
        <w:rPr>
          <w:rFonts w:ascii="Calibri" w:eastAsia="Calibri" w:hAnsi="Calibri" w:cs="Calibri"/>
          <w:noProof/>
          <w:color w:val="2F5496"/>
        </w:rPr>
        <w:drawing>
          <wp:inline distT="0" distB="0" distL="0" distR="0">
            <wp:extent cx="2286521" cy="2954266"/>
            <wp:effectExtent l="0" t="0" r="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0"/>
                    <a:srcRect/>
                    <a:stretch>
                      <a:fillRect/>
                    </a:stretch>
                  </pic:blipFill>
                  <pic:spPr>
                    <a:xfrm>
                      <a:off x="0" y="0"/>
                      <a:ext cx="2286521" cy="2954266"/>
                    </a:xfrm>
                    <a:prstGeom prst="rect">
                      <a:avLst/>
                    </a:prstGeom>
                    <a:ln/>
                  </pic:spPr>
                </pic:pic>
              </a:graphicData>
            </a:graphic>
          </wp:inline>
        </w:drawing>
      </w:r>
      <w:r>
        <w:rPr>
          <w:rFonts w:ascii="Garamond" w:eastAsia="Garamond" w:hAnsi="Garamond" w:cs="Garamond"/>
          <w:color w:val="2F5496"/>
        </w:rPr>
        <w:t xml:space="preserve">  </w:t>
      </w:r>
      <w:r>
        <w:rPr>
          <w:rFonts w:ascii="Garamond" w:eastAsia="Garamond" w:hAnsi="Garamond" w:cs="Garamond"/>
          <w:b w:val="0"/>
          <w:i/>
          <w:color w:val="000000"/>
          <w:sz w:val="22"/>
          <w:szCs w:val="22"/>
        </w:rPr>
        <w:t>b.</w:t>
      </w:r>
      <w:r>
        <w:rPr>
          <w:rFonts w:ascii="Garamond" w:eastAsia="Garamond" w:hAnsi="Garamond" w:cs="Garamond"/>
          <w:noProof/>
          <w:color w:val="2F5496"/>
        </w:rPr>
        <w:drawing>
          <wp:inline distT="0" distB="0" distL="0" distR="0">
            <wp:extent cx="2266440" cy="2928938"/>
            <wp:effectExtent l="0" t="0" r="0" b="0"/>
            <wp:docPr id="3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1"/>
                    <a:srcRect/>
                    <a:stretch>
                      <a:fillRect/>
                    </a:stretch>
                  </pic:blipFill>
                  <pic:spPr>
                    <a:xfrm>
                      <a:off x="0" y="0"/>
                      <a:ext cx="2266440" cy="2928938"/>
                    </a:xfrm>
                    <a:prstGeom prst="rect">
                      <a:avLst/>
                    </a:prstGeom>
                    <a:ln/>
                  </pic:spPr>
                </pic:pic>
              </a:graphicData>
            </a:graphic>
          </wp:inline>
        </w:drawing>
      </w:r>
    </w:p>
    <w:p w:rsidR="006557F0" w:rsidRDefault="00EC60AB">
      <w:pPr>
        <w:pStyle w:val="Heading1"/>
        <w:jc w:val="center"/>
        <w:rPr>
          <w:rFonts w:ascii="Garamond" w:eastAsia="Garamond" w:hAnsi="Garamond" w:cs="Garamond"/>
          <w:color w:val="2F5496"/>
        </w:rPr>
      </w:pPr>
      <w:bookmarkStart w:id="10" w:name="_q2jndyvw9ad1" w:colFirst="0" w:colLast="0"/>
      <w:bookmarkEnd w:id="10"/>
      <w:r>
        <w:rPr>
          <w:rFonts w:ascii="Garamond" w:eastAsia="Garamond" w:hAnsi="Garamond" w:cs="Garamond"/>
          <w:b w:val="0"/>
          <w:i/>
          <w:color w:val="000000"/>
          <w:sz w:val="22"/>
          <w:szCs w:val="22"/>
        </w:rPr>
        <w:t xml:space="preserve">c. </w:t>
      </w:r>
      <w:r>
        <w:rPr>
          <w:rFonts w:ascii="Calibri" w:eastAsia="Calibri" w:hAnsi="Calibri" w:cs="Calibri"/>
          <w:noProof/>
          <w:color w:val="2F5496"/>
        </w:rPr>
        <w:drawing>
          <wp:inline distT="0" distB="0" distL="0" distR="0">
            <wp:extent cx="2260550" cy="2921327"/>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2260550" cy="2921327"/>
                    </a:xfrm>
                    <a:prstGeom prst="rect">
                      <a:avLst/>
                    </a:prstGeom>
                    <a:ln/>
                  </pic:spPr>
                </pic:pic>
              </a:graphicData>
            </a:graphic>
          </wp:inline>
        </w:drawing>
      </w:r>
      <w:r>
        <w:rPr>
          <w:rFonts w:ascii="Garamond" w:eastAsia="Garamond" w:hAnsi="Garamond" w:cs="Garamond"/>
          <w:color w:val="2F5496"/>
        </w:rPr>
        <w:t xml:space="preserve">  </w:t>
      </w:r>
      <w:r>
        <w:rPr>
          <w:rFonts w:ascii="Garamond" w:eastAsia="Garamond" w:hAnsi="Garamond" w:cs="Garamond"/>
          <w:b w:val="0"/>
          <w:i/>
          <w:color w:val="000000"/>
          <w:sz w:val="22"/>
          <w:szCs w:val="22"/>
        </w:rPr>
        <w:t>d.</w:t>
      </w:r>
      <w:r>
        <w:rPr>
          <w:rFonts w:ascii="Calibri" w:eastAsia="Calibri" w:hAnsi="Calibri" w:cs="Calibri"/>
          <w:noProof/>
          <w:color w:val="2F5496"/>
        </w:rPr>
        <w:drawing>
          <wp:inline distT="0" distB="0" distL="0" distR="0">
            <wp:extent cx="2231827" cy="2901375"/>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3"/>
                    <a:srcRect/>
                    <a:stretch>
                      <a:fillRect/>
                    </a:stretch>
                  </pic:blipFill>
                  <pic:spPr>
                    <a:xfrm>
                      <a:off x="0" y="0"/>
                      <a:ext cx="2231827" cy="2901375"/>
                    </a:xfrm>
                    <a:prstGeom prst="rect">
                      <a:avLst/>
                    </a:prstGeom>
                    <a:ln/>
                  </pic:spPr>
                </pic:pic>
              </a:graphicData>
            </a:graphic>
          </wp:inline>
        </w:drawing>
      </w:r>
    </w:p>
    <w:p w:rsidR="006557F0" w:rsidRPr="00710368" w:rsidRDefault="00EC60AB">
      <w:pPr>
        <w:spacing w:after="160" w:line="259" w:lineRule="auto"/>
        <w:jc w:val="center"/>
        <w:rPr>
          <w:rFonts w:ascii="Garamond" w:eastAsia="Garamond" w:hAnsi="Garamond" w:cs="Garamond"/>
          <w:iCs/>
        </w:rPr>
      </w:pPr>
      <w:bookmarkStart w:id="11" w:name="_3znysh7" w:colFirst="0" w:colLast="0"/>
      <w:bookmarkEnd w:id="11"/>
      <w:r>
        <w:rPr>
          <w:rFonts w:ascii="Garamond" w:eastAsia="Garamond" w:hAnsi="Garamond" w:cs="Garamond"/>
          <w:i/>
        </w:rPr>
        <w:t xml:space="preserve">Figure C1. </w:t>
      </w:r>
      <w:r w:rsidRPr="00710368">
        <w:rPr>
          <w:rFonts w:ascii="Garamond" w:eastAsia="Garamond" w:hAnsi="Garamond" w:cs="Garamond"/>
          <w:iCs/>
        </w:rPr>
        <w:t xml:space="preserve">NDVI change maps for 1989 to 2019 (a), 1989 to 1992 (b), 1992 to 1999 (c), and 1999 to 2003 (d). Green marks the areas that increased in NDVI, red marks areas that decreased in NDVI, yellow marks vegetated areas that did not change in NDVI, and black marks areas that were not substantially vegetated either year </w:t>
      </w:r>
      <w:r w:rsidRPr="00710368">
        <w:rPr>
          <w:rFonts w:ascii="Garamond" w:eastAsia="Cardo" w:hAnsi="Garamond" w:cs="Cardo"/>
          <w:iCs/>
        </w:rPr>
        <w:t>(from Landsat 4/5</w:t>
      </w:r>
      <w:r w:rsidR="00710368">
        <w:rPr>
          <w:rFonts w:ascii="Garamond" w:eastAsia="Cardo" w:hAnsi="Garamond" w:cs="Cardo"/>
          <w:iCs/>
        </w:rPr>
        <w:t xml:space="preserve"> TM</w:t>
      </w:r>
      <w:r w:rsidRPr="00710368">
        <w:rPr>
          <w:rFonts w:ascii="Garamond" w:eastAsia="Cardo" w:hAnsi="Garamond" w:cs="Cardo"/>
          <w:iCs/>
        </w:rPr>
        <w:t>, 8 OLI, 2005)</w:t>
      </w:r>
      <w:r w:rsidRPr="00710368">
        <w:rPr>
          <w:rFonts w:ascii="Garamond" w:eastAsia="Garamond" w:hAnsi="Garamond" w:cs="Garamond"/>
          <w:iCs/>
        </w:rPr>
        <w:t xml:space="preserve">. </w:t>
      </w:r>
    </w:p>
    <w:p w:rsidR="006557F0" w:rsidRDefault="00EC60AB">
      <w:pPr>
        <w:spacing w:after="160" w:line="259" w:lineRule="auto"/>
        <w:jc w:val="center"/>
        <w:rPr>
          <w:rFonts w:ascii="Calibri" w:eastAsia="Calibri" w:hAnsi="Calibri" w:cs="Calibri"/>
        </w:rPr>
      </w:pPr>
      <w:r>
        <w:rPr>
          <w:rFonts w:ascii="Garamond" w:eastAsia="Garamond" w:hAnsi="Garamond" w:cs="Garamond"/>
          <w:i/>
        </w:rPr>
        <w:lastRenderedPageBreak/>
        <w:t xml:space="preserve">a. </w:t>
      </w:r>
      <w:r>
        <w:rPr>
          <w:rFonts w:ascii="Calibri" w:eastAsia="Calibri" w:hAnsi="Calibri" w:cs="Calibri"/>
          <w:noProof/>
        </w:rPr>
        <w:drawing>
          <wp:inline distT="0" distB="0" distL="0" distR="0">
            <wp:extent cx="2295674" cy="2966717"/>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4"/>
                    <a:srcRect/>
                    <a:stretch>
                      <a:fillRect/>
                    </a:stretch>
                  </pic:blipFill>
                  <pic:spPr>
                    <a:xfrm>
                      <a:off x="0" y="0"/>
                      <a:ext cx="2295674" cy="2966717"/>
                    </a:xfrm>
                    <a:prstGeom prst="rect">
                      <a:avLst/>
                    </a:prstGeom>
                    <a:ln/>
                  </pic:spPr>
                </pic:pic>
              </a:graphicData>
            </a:graphic>
          </wp:inline>
        </w:drawing>
      </w:r>
      <w:r>
        <w:rPr>
          <w:rFonts w:ascii="Calibri" w:eastAsia="Calibri" w:hAnsi="Calibri" w:cs="Calibri"/>
        </w:rPr>
        <w:t xml:space="preserve">    </w:t>
      </w:r>
      <w:r>
        <w:rPr>
          <w:rFonts w:ascii="Garamond" w:eastAsia="Garamond" w:hAnsi="Garamond" w:cs="Garamond"/>
          <w:i/>
        </w:rPr>
        <w:t>b.</w:t>
      </w:r>
      <w:r>
        <w:rPr>
          <w:rFonts w:ascii="Calibri" w:eastAsia="Calibri" w:hAnsi="Calibri" w:cs="Calibri"/>
          <w:noProof/>
        </w:rPr>
        <w:drawing>
          <wp:inline distT="0" distB="0" distL="0" distR="0">
            <wp:extent cx="2310342" cy="2995613"/>
            <wp:effectExtent l="0" t="0" r="0" b="0"/>
            <wp:docPr id="3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5"/>
                    <a:srcRect/>
                    <a:stretch>
                      <a:fillRect/>
                    </a:stretch>
                  </pic:blipFill>
                  <pic:spPr>
                    <a:xfrm>
                      <a:off x="0" y="0"/>
                      <a:ext cx="2310342" cy="2995613"/>
                    </a:xfrm>
                    <a:prstGeom prst="rect">
                      <a:avLst/>
                    </a:prstGeom>
                    <a:ln/>
                  </pic:spPr>
                </pic:pic>
              </a:graphicData>
            </a:graphic>
          </wp:inline>
        </w:drawing>
      </w:r>
    </w:p>
    <w:p w:rsidR="006557F0" w:rsidRDefault="00EC60AB">
      <w:pPr>
        <w:spacing w:after="160" w:line="259" w:lineRule="auto"/>
        <w:jc w:val="center"/>
        <w:rPr>
          <w:rFonts w:ascii="Garamond" w:eastAsia="Garamond" w:hAnsi="Garamond" w:cs="Garamond"/>
          <w:i/>
        </w:rPr>
      </w:pPr>
      <w:r w:rsidRPr="00710368">
        <w:rPr>
          <w:rFonts w:ascii="Garamond" w:eastAsia="Garamond" w:hAnsi="Garamond" w:cs="Garamond"/>
          <w:i/>
          <w:iCs/>
        </w:rPr>
        <w:t>Figure C2.</w:t>
      </w:r>
      <w:r>
        <w:rPr>
          <w:rFonts w:ascii="Garamond" w:eastAsia="Garamond" w:hAnsi="Garamond" w:cs="Garamond"/>
          <w:i/>
        </w:rPr>
        <w:t xml:space="preserve"> </w:t>
      </w:r>
      <w:r w:rsidRPr="00710368">
        <w:rPr>
          <w:rFonts w:ascii="Garamond" w:eastAsia="Garamond" w:hAnsi="Garamond" w:cs="Garamond"/>
          <w:iCs/>
        </w:rPr>
        <w:t xml:space="preserve">NDVI change maps for 2003 to 2013 (a) and 2013 to 2019 (b). Green marks the areas that increased in NDVI, red marks areas that decreased in NDVI, yellow marks vegetated areas that did not change in NDVI, and black marks areas that were not substantially vegetated either year </w:t>
      </w:r>
      <w:r w:rsidRPr="00710368">
        <w:rPr>
          <w:rFonts w:ascii="Garamond" w:eastAsia="Cardo" w:hAnsi="Garamond" w:cs="Cardo"/>
          <w:iCs/>
        </w:rPr>
        <w:t>(from Landsat 4/5</w:t>
      </w:r>
      <w:r w:rsidR="00710368">
        <w:rPr>
          <w:rFonts w:ascii="Garamond" w:eastAsia="Cardo" w:hAnsi="Garamond" w:cs="Cardo"/>
          <w:iCs/>
        </w:rPr>
        <w:t xml:space="preserve"> TM</w:t>
      </w:r>
      <w:r w:rsidRPr="00710368">
        <w:rPr>
          <w:rFonts w:ascii="Garamond" w:eastAsia="Cardo" w:hAnsi="Garamond" w:cs="Cardo"/>
          <w:iCs/>
        </w:rPr>
        <w:t>, 8 OLI, 2005)</w:t>
      </w:r>
      <w:r w:rsidRPr="00710368">
        <w:rPr>
          <w:rFonts w:ascii="Garamond" w:eastAsia="Garamond" w:hAnsi="Garamond" w:cs="Garamond"/>
          <w:iCs/>
        </w:rPr>
        <w:t>.</w:t>
      </w:r>
      <w:r>
        <w:rPr>
          <w:rFonts w:ascii="Garamond" w:eastAsia="Garamond" w:hAnsi="Garamond" w:cs="Garamond"/>
          <w:i/>
        </w:rPr>
        <w:t xml:space="preserve"> </w:t>
      </w:r>
    </w:p>
    <w:p w:rsidR="006557F0" w:rsidRDefault="006557F0">
      <w:pPr>
        <w:spacing w:after="160" w:line="259" w:lineRule="auto"/>
        <w:jc w:val="center"/>
        <w:rPr>
          <w:rFonts w:ascii="Garamond" w:eastAsia="Garamond" w:hAnsi="Garamond" w:cs="Garamond"/>
          <w:i/>
        </w:rPr>
      </w:pPr>
    </w:p>
    <w:p w:rsidR="006557F0" w:rsidRDefault="00EC60AB">
      <w:pPr>
        <w:spacing w:after="160" w:line="259" w:lineRule="auto"/>
        <w:jc w:val="center"/>
        <w:rPr>
          <w:rFonts w:ascii="Garamond" w:eastAsia="Garamond" w:hAnsi="Garamond" w:cs="Garamond"/>
          <w:i/>
        </w:rPr>
      </w:pPr>
      <w:r>
        <w:br w:type="page"/>
      </w:r>
    </w:p>
    <w:p w:rsidR="006557F0" w:rsidRDefault="00EC60AB" w:rsidP="00B50DD7">
      <w:pPr>
        <w:pStyle w:val="Heading1"/>
        <w:jc w:val="center"/>
        <w:rPr>
          <w:rFonts w:ascii="Garamond" w:eastAsia="Garamond" w:hAnsi="Garamond" w:cs="Garamond"/>
          <w:color w:val="2F5496"/>
        </w:rPr>
      </w:pPr>
      <w:r>
        <w:rPr>
          <w:rFonts w:ascii="Garamond" w:eastAsia="Garamond" w:hAnsi="Garamond" w:cs="Garamond"/>
          <w:color w:val="2F5496"/>
        </w:rPr>
        <w:lastRenderedPageBreak/>
        <w:t>Appendix D.</w:t>
      </w:r>
    </w:p>
    <w:p w:rsidR="006557F0" w:rsidRDefault="00EC60AB">
      <w:pPr>
        <w:pStyle w:val="Heading1"/>
        <w:jc w:val="center"/>
        <w:rPr>
          <w:rFonts w:ascii="Calibri" w:eastAsia="Calibri" w:hAnsi="Calibri" w:cs="Calibri"/>
        </w:rPr>
      </w:pPr>
      <w:bookmarkStart w:id="12" w:name="_sshh3ewet8w7" w:colFirst="0" w:colLast="0"/>
      <w:bookmarkEnd w:id="12"/>
      <w:r>
        <w:rPr>
          <w:rFonts w:ascii="Garamond" w:eastAsia="Garamond" w:hAnsi="Garamond" w:cs="Garamond"/>
          <w:b w:val="0"/>
          <w:i/>
          <w:noProof/>
          <w:color w:val="2F5496"/>
        </w:rPr>
        <w:drawing>
          <wp:inline distT="0" distB="0" distL="0" distR="0">
            <wp:extent cx="1873300" cy="2057427"/>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6"/>
                    <a:srcRect/>
                    <a:stretch>
                      <a:fillRect/>
                    </a:stretch>
                  </pic:blipFill>
                  <pic:spPr>
                    <a:xfrm>
                      <a:off x="0" y="0"/>
                      <a:ext cx="1873300" cy="2057427"/>
                    </a:xfrm>
                    <a:prstGeom prst="rect">
                      <a:avLst/>
                    </a:prstGeom>
                    <a:ln/>
                  </pic:spPr>
                </pic:pic>
              </a:graphicData>
            </a:graphic>
          </wp:inline>
        </w:drawing>
      </w:r>
      <w:r>
        <w:rPr>
          <w:rFonts w:ascii="Garamond" w:eastAsia="Garamond" w:hAnsi="Garamond" w:cs="Garamond"/>
          <w:color w:val="2F5496"/>
        </w:rPr>
        <w:t xml:space="preserve">  </w:t>
      </w:r>
      <w:r>
        <w:rPr>
          <w:rFonts w:ascii="Garamond" w:eastAsia="Garamond" w:hAnsi="Garamond" w:cs="Garamond"/>
          <w:b w:val="0"/>
          <w:i/>
          <w:noProof/>
          <w:color w:val="2F5496"/>
        </w:rPr>
        <w:drawing>
          <wp:inline distT="0" distB="0" distL="0" distR="0">
            <wp:extent cx="1868324" cy="1995488"/>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7"/>
                    <a:srcRect/>
                    <a:stretch>
                      <a:fillRect/>
                    </a:stretch>
                  </pic:blipFill>
                  <pic:spPr>
                    <a:xfrm>
                      <a:off x="0" y="0"/>
                      <a:ext cx="1868324" cy="1995488"/>
                    </a:xfrm>
                    <a:prstGeom prst="rect">
                      <a:avLst/>
                    </a:prstGeom>
                    <a:ln/>
                  </pic:spPr>
                </pic:pic>
              </a:graphicData>
            </a:graphic>
          </wp:inline>
        </w:drawing>
      </w:r>
      <w:r>
        <w:rPr>
          <w:rFonts w:ascii="Garamond" w:eastAsia="Garamond" w:hAnsi="Garamond" w:cs="Garamond"/>
          <w:b w:val="0"/>
          <w:i/>
          <w:color w:val="2F5496"/>
        </w:rPr>
        <w:t xml:space="preserve"> </w:t>
      </w:r>
      <w:r>
        <w:rPr>
          <w:rFonts w:ascii="Garamond" w:eastAsia="Garamond" w:hAnsi="Garamond" w:cs="Garamond"/>
          <w:b w:val="0"/>
          <w:i/>
          <w:noProof/>
          <w:color w:val="2F5496"/>
        </w:rPr>
        <w:drawing>
          <wp:inline distT="0" distB="0" distL="0" distR="0">
            <wp:extent cx="1884313" cy="2053801"/>
            <wp:effectExtent l="0" t="0" r="0" b="0"/>
            <wp:docPr id="3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8"/>
                    <a:srcRect l="2326" r="-1"/>
                    <a:stretch>
                      <a:fillRect/>
                    </a:stretch>
                  </pic:blipFill>
                  <pic:spPr>
                    <a:xfrm>
                      <a:off x="0" y="0"/>
                      <a:ext cx="1884313" cy="2053801"/>
                    </a:xfrm>
                    <a:prstGeom prst="rect">
                      <a:avLst/>
                    </a:prstGeom>
                    <a:ln/>
                  </pic:spPr>
                </pic:pic>
              </a:graphicData>
            </a:graphic>
          </wp:inline>
        </w:drawing>
      </w:r>
      <w:r>
        <w:rPr>
          <w:rFonts w:ascii="Garamond" w:eastAsia="Garamond" w:hAnsi="Garamond" w:cs="Garamond"/>
          <w:color w:val="2F5496"/>
        </w:rPr>
        <w:t xml:space="preserve">   </w:t>
      </w:r>
      <w:r>
        <w:rPr>
          <w:rFonts w:ascii="Garamond" w:eastAsia="Garamond" w:hAnsi="Garamond" w:cs="Garamond"/>
          <w:b w:val="0"/>
          <w:i/>
          <w:noProof/>
          <w:color w:val="2F5496"/>
        </w:rPr>
        <w:drawing>
          <wp:inline distT="0" distB="0" distL="0" distR="0">
            <wp:extent cx="1908125" cy="2034685"/>
            <wp:effectExtent l="0" t="0" r="0" b="0"/>
            <wp:docPr id="4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9"/>
                    <a:srcRect l="2846" r="2394"/>
                    <a:stretch>
                      <a:fillRect/>
                    </a:stretch>
                  </pic:blipFill>
                  <pic:spPr>
                    <a:xfrm>
                      <a:off x="0" y="0"/>
                      <a:ext cx="1908125" cy="2034685"/>
                    </a:xfrm>
                    <a:prstGeom prst="rect">
                      <a:avLst/>
                    </a:prstGeom>
                    <a:ln/>
                  </pic:spPr>
                </pic:pic>
              </a:graphicData>
            </a:graphic>
          </wp:inline>
        </w:drawing>
      </w:r>
      <w:r>
        <w:rPr>
          <w:rFonts w:ascii="Garamond" w:eastAsia="Garamond" w:hAnsi="Garamond" w:cs="Garamond"/>
          <w:b w:val="0"/>
          <w:i/>
          <w:color w:val="2F5496"/>
        </w:rPr>
        <w:t xml:space="preserve">  </w:t>
      </w:r>
      <w:r>
        <w:rPr>
          <w:rFonts w:ascii="Garamond" w:eastAsia="Garamond" w:hAnsi="Garamond" w:cs="Garamond"/>
          <w:i/>
          <w:noProof/>
        </w:rPr>
        <w:drawing>
          <wp:inline distT="0" distB="0" distL="0" distR="0">
            <wp:extent cx="1865263" cy="2010987"/>
            <wp:effectExtent l="0" t="0" r="0"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0"/>
                    <a:srcRect l="1609" r="1411"/>
                    <a:stretch>
                      <a:fillRect/>
                    </a:stretch>
                  </pic:blipFill>
                  <pic:spPr>
                    <a:xfrm>
                      <a:off x="0" y="0"/>
                      <a:ext cx="1865263" cy="2010987"/>
                    </a:xfrm>
                    <a:prstGeom prst="rect">
                      <a:avLst/>
                    </a:prstGeom>
                    <a:ln/>
                  </pic:spPr>
                </pic:pic>
              </a:graphicData>
            </a:graphic>
          </wp:inline>
        </w:drawing>
      </w:r>
    </w:p>
    <w:p w:rsidR="006557F0" w:rsidRPr="00710368" w:rsidRDefault="00EC60AB">
      <w:pPr>
        <w:spacing w:after="160" w:line="259" w:lineRule="auto"/>
        <w:jc w:val="center"/>
        <w:rPr>
          <w:rFonts w:ascii="Garamond" w:eastAsia="Garamond" w:hAnsi="Garamond" w:cs="Garamond"/>
          <w:iCs/>
        </w:rPr>
      </w:pPr>
      <w:r>
        <w:rPr>
          <w:rFonts w:ascii="Garamond" w:eastAsia="Garamond" w:hAnsi="Garamond" w:cs="Garamond"/>
          <w:i/>
        </w:rPr>
        <w:t xml:space="preserve">Figure D1. </w:t>
      </w:r>
      <w:r w:rsidRPr="00710368">
        <w:rPr>
          <w:rFonts w:ascii="Garamond" w:eastAsia="Garamond" w:hAnsi="Garamond" w:cs="Garamond"/>
          <w:iCs/>
        </w:rPr>
        <w:t xml:space="preserve">Land classification proportions over time, divided by watershed. The x-axis represents the total pixels of the watershed. </w:t>
      </w:r>
    </w:p>
    <w:sectPr w:rsidR="006557F0" w:rsidRPr="00710368">
      <w:footerReference w:type="default" r:id="rId51"/>
      <w:headerReference w:type="first" r:id="rId52"/>
      <w:footerReference w:type="first" r:id="rId5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4B6E" w:rsidRDefault="005B4B6E">
      <w:pPr>
        <w:spacing w:after="0" w:line="240" w:lineRule="auto"/>
      </w:pPr>
      <w:r>
        <w:separator/>
      </w:r>
    </w:p>
  </w:endnote>
  <w:endnote w:type="continuationSeparator" w:id="0">
    <w:p w:rsidR="005B4B6E" w:rsidRDefault="005B4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rdo">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368" w:rsidRDefault="00710368">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1</w:t>
    </w:r>
    <w:r>
      <w:rPr>
        <w:rFonts w:ascii="Garamond" w:eastAsia="Garamond" w:hAnsi="Garamond" w:cs="Garamond"/>
        <w:color w:val="000000"/>
      </w:rPr>
      <w:fldChar w:fldCharType="end"/>
    </w:r>
  </w:p>
  <w:p w:rsidR="00710368" w:rsidRDefault="0071036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368" w:rsidRDefault="00710368">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4B6E" w:rsidRDefault="005B4B6E">
      <w:pPr>
        <w:spacing w:after="0" w:line="240" w:lineRule="auto"/>
      </w:pPr>
      <w:r>
        <w:separator/>
      </w:r>
    </w:p>
  </w:footnote>
  <w:footnote w:type="continuationSeparator" w:id="0">
    <w:p w:rsidR="005B4B6E" w:rsidRDefault="005B4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368" w:rsidRDefault="00710368">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rsidR="00710368" w:rsidRDefault="00710368">
    <w:pPr>
      <w:spacing w:after="0" w:line="240" w:lineRule="auto"/>
      <w:jc w:val="right"/>
      <w:rPr>
        <w:rFonts w:ascii="Garamond" w:eastAsia="Garamond" w:hAnsi="Garamond" w:cs="Garamond"/>
        <w:b/>
        <w:sz w:val="32"/>
        <w:szCs w:val="32"/>
      </w:rPr>
    </w:pPr>
    <w:r>
      <w:rPr>
        <w:rFonts w:ascii="Garamond" w:eastAsia="Garamond" w:hAnsi="Garamond" w:cs="Garamond"/>
        <w:b/>
        <w:color w:val="000000"/>
        <w:sz w:val="32"/>
        <w:szCs w:val="32"/>
      </w:rPr>
      <w:t>California – Ames</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4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rsidR="00710368" w:rsidRDefault="00710368">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Fall 2019</w:t>
    </w:r>
  </w:p>
  <w:p w:rsidR="00710368" w:rsidRDefault="00710368">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F0634E"/>
    <w:multiLevelType w:val="multilevel"/>
    <w:tmpl w:val="C69E37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772A6796"/>
    <w:multiLevelType w:val="multilevel"/>
    <w:tmpl w:val="772C7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7F0"/>
    <w:rsid w:val="000E198B"/>
    <w:rsid w:val="00176C1B"/>
    <w:rsid w:val="001821CA"/>
    <w:rsid w:val="001C4412"/>
    <w:rsid w:val="001F1B16"/>
    <w:rsid w:val="00235FB6"/>
    <w:rsid w:val="00331834"/>
    <w:rsid w:val="0038063B"/>
    <w:rsid w:val="00397F59"/>
    <w:rsid w:val="003C0520"/>
    <w:rsid w:val="00471408"/>
    <w:rsid w:val="00494FD8"/>
    <w:rsid w:val="00495961"/>
    <w:rsid w:val="00516870"/>
    <w:rsid w:val="005774F6"/>
    <w:rsid w:val="005B4B6E"/>
    <w:rsid w:val="0061303A"/>
    <w:rsid w:val="006557F0"/>
    <w:rsid w:val="006A0F83"/>
    <w:rsid w:val="006B7534"/>
    <w:rsid w:val="006E68D7"/>
    <w:rsid w:val="00710368"/>
    <w:rsid w:val="007579C0"/>
    <w:rsid w:val="00773405"/>
    <w:rsid w:val="0079539A"/>
    <w:rsid w:val="007B7901"/>
    <w:rsid w:val="007F2A3C"/>
    <w:rsid w:val="00817A6D"/>
    <w:rsid w:val="0082336B"/>
    <w:rsid w:val="00885DA8"/>
    <w:rsid w:val="008A428B"/>
    <w:rsid w:val="008E0A4A"/>
    <w:rsid w:val="009317DC"/>
    <w:rsid w:val="009F0569"/>
    <w:rsid w:val="00A05010"/>
    <w:rsid w:val="00A62E34"/>
    <w:rsid w:val="00B50DD7"/>
    <w:rsid w:val="00BE4154"/>
    <w:rsid w:val="00C17762"/>
    <w:rsid w:val="00C77374"/>
    <w:rsid w:val="00C93A5A"/>
    <w:rsid w:val="00CF26CB"/>
    <w:rsid w:val="00D119B1"/>
    <w:rsid w:val="00D45585"/>
    <w:rsid w:val="00D6578A"/>
    <w:rsid w:val="00DA1FFF"/>
    <w:rsid w:val="00DE2950"/>
    <w:rsid w:val="00E06818"/>
    <w:rsid w:val="00EC60AB"/>
    <w:rsid w:val="00EF175D"/>
    <w:rsid w:val="00F502AC"/>
    <w:rsid w:val="00F62FE6"/>
    <w:rsid w:val="00F6627D"/>
    <w:rsid w:val="00FE4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6E68"/>
  <w15:docId w15:val="{95EA0706-57C4-470B-99EC-4F00A4FF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E29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95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579C0"/>
    <w:rPr>
      <w:b/>
      <w:bCs/>
    </w:rPr>
  </w:style>
  <w:style w:type="character" w:customStyle="1" w:styleId="CommentSubjectChar">
    <w:name w:val="Comment Subject Char"/>
    <w:basedOn w:val="CommentTextChar"/>
    <w:link w:val="CommentSubject"/>
    <w:uiPriority w:val="99"/>
    <w:semiHidden/>
    <w:rsid w:val="007579C0"/>
    <w:rPr>
      <w:b/>
      <w:bCs/>
      <w:sz w:val="20"/>
      <w:szCs w:val="20"/>
    </w:rPr>
  </w:style>
  <w:style w:type="character" w:styleId="Hyperlink">
    <w:name w:val="Hyperlink"/>
    <w:basedOn w:val="DefaultParagraphFont"/>
    <w:uiPriority w:val="99"/>
    <w:unhideWhenUsed/>
    <w:rsid w:val="00F6627D"/>
    <w:rPr>
      <w:color w:val="0000FF" w:themeColor="hyperlink"/>
      <w:u w:val="single"/>
    </w:rPr>
  </w:style>
  <w:style w:type="character" w:styleId="UnresolvedMention">
    <w:name w:val="Unresolved Mention"/>
    <w:basedOn w:val="DefaultParagraphFont"/>
    <w:uiPriority w:val="99"/>
    <w:semiHidden/>
    <w:unhideWhenUsed/>
    <w:rsid w:val="00F66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082959">
      <w:bodyDiv w:val="1"/>
      <w:marLeft w:val="0"/>
      <w:marRight w:val="0"/>
      <w:marTop w:val="0"/>
      <w:marBottom w:val="0"/>
      <w:divBdr>
        <w:top w:val="none" w:sz="0" w:space="0" w:color="auto"/>
        <w:left w:val="none" w:sz="0" w:space="0" w:color="auto"/>
        <w:bottom w:val="none" w:sz="0" w:space="0" w:color="auto"/>
        <w:right w:val="none" w:sz="0" w:space="0" w:color="auto"/>
      </w:divBdr>
    </w:div>
    <w:div w:id="1569803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g"/><Relationship Id="rId34" Type="http://schemas.openxmlformats.org/officeDocument/2006/relationships/image" Target="media/image26.pn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mauicounty.gov/DocumentCenter/View/111422/Draft_WestMauiCommunityProfile_20180111" TargetMode="External"/><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g"/><Relationship Id="rId20" Type="http://schemas.openxmlformats.org/officeDocument/2006/relationships/image" Target="media/image13.png"/><Relationship Id="rId41" Type="http://schemas.openxmlformats.org/officeDocument/2006/relationships/image" Target="media/image33.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54999-F9BA-F246-B81B-94896FB87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28</Pages>
  <Words>7370</Words>
  <Characters>42014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Markarian, Arev (ARC-SGE)[SSAI DEVELOP]</dc:creator>
  <cp:lastModifiedBy>Zachary Bengtsson</cp:lastModifiedBy>
  <cp:revision>15</cp:revision>
  <dcterms:created xsi:type="dcterms:W3CDTF">2019-12-18T22:33:00Z</dcterms:created>
  <dcterms:modified xsi:type="dcterms:W3CDTF">2019-12-26T06:58:00Z</dcterms:modified>
</cp:coreProperties>
</file>