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4CA47AC" w14:textId="77777777" w:rsidR="00941EE9" w:rsidRDefault="00941EE9">
      <w:pPr>
        <w:spacing w:after="0" w:line="240" w:lineRule="auto"/>
        <w:rPr>
          <w:rFonts w:ascii="Garamond" w:eastAsia="Garamond" w:hAnsi="Garamond" w:cs="Garamond"/>
          <w:b/>
          <w:sz w:val="32"/>
          <w:szCs w:val="32"/>
        </w:rPr>
      </w:pPr>
      <w:bookmarkStart w:id="0" w:name="_gjdgxs" w:colFirst="0" w:colLast="0"/>
      <w:bookmarkStart w:id="1" w:name="_GoBack"/>
      <w:bookmarkEnd w:id="0"/>
      <w:bookmarkEnd w:id="1"/>
    </w:p>
    <w:p w14:paraId="5F2C38BF" w14:textId="77777777" w:rsidR="00941EE9" w:rsidRDefault="004E11BC">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3E89D81F" w14:textId="77777777" w:rsidR="00941EE9" w:rsidRDefault="004E11BC">
      <w:pPr>
        <w:spacing w:after="0" w:line="240" w:lineRule="auto"/>
        <w:jc w:val="right"/>
        <w:rPr>
          <w:rFonts w:ascii="Garamond" w:eastAsia="Garamond" w:hAnsi="Garamond" w:cs="Garamond"/>
          <w:sz w:val="32"/>
          <w:szCs w:val="32"/>
        </w:rPr>
      </w:pPr>
      <w:r>
        <w:rPr>
          <w:noProof/>
        </w:rPr>
        <w:drawing>
          <wp:inline distT="0" distB="0" distL="0" distR="0" wp14:anchorId="38AC6700" wp14:editId="48F840DE">
            <wp:extent cx="5943600" cy="29718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4934E3D8" w14:textId="77777777" w:rsidR="00941EE9" w:rsidRDefault="004E11BC">
      <w:pPr>
        <w:spacing w:after="0" w:line="240" w:lineRule="auto"/>
        <w:jc w:val="right"/>
        <w:rPr>
          <w:rFonts w:ascii="Garamond" w:eastAsia="Garamond" w:hAnsi="Garamond" w:cs="Garamond"/>
          <w:sz w:val="32"/>
          <w:szCs w:val="32"/>
        </w:rPr>
      </w:pPr>
      <w:r>
        <w:rPr>
          <w:rFonts w:ascii="Garamond" w:eastAsia="Garamond" w:hAnsi="Garamond" w:cs="Garamond"/>
          <w:sz w:val="32"/>
          <w:szCs w:val="32"/>
        </w:rPr>
        <w:t>NASA Langley Research Center</w:t>
      </w:r>
    </w:p>
    <w:p w14:paraId="0D15B35B" w14:textId="77777777" w:rsidR="00941EE9" w:rsidRDefault="004E11BC">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14:paraId="148E7464" w14:textId="77777777" w:rsidR="00941EE9" w:rsidRDefault="00941EE9">
      <w:pPr>
        <w:spacing w:after="0" w:line="240" w:lineRule="auto"/>
        <w:jc w:val="center"/>
        <w:rPr>
          <w:rFonts w:ascii="Garamond" w:eastAsia="Garamond" w:hAnsi="Garamond" w:cs="Garamond"/>
          <w:sz w:val="36"/>
          <w:szCs w:val="36"/>
        </w:rPr>
      </w:pPr>
    </w:p>
    <w:p w14:paraId="3813DAFF" w14:textId="77777777" w:rsidR="00941EE9" w:rsidRDefault="004E11BC">
      <w:pPr>
        <w:spacing w:after="0" w:line="240" w:lineRule="auto"/>
        <w:jc w:val="right"/>
        <w:rPr>
          <w:rFonts w:ascii="Garamond" w:eastAsia="Garamond" w:hAnsi="Garamond" w:cs="Garamond"/>
          <w:sz w:val="40"/>
          <w:szCs w:val="40"/>
        </w:rPr>
      </w:pPr>
      <w:r>
        <w:rPr>
          <w:rFonts w:ascii="Garamond" w:eastAsia="Garamond" w:hAnsi="Garamond" w:cs="Garamond"/>
          <w:sz w:val="40"/>
          <w:szCs w:val="40"/>
        </w:rPr>
        <w:t>Shenandoah Health &amp; Air Quality</w:t>
      </w:r>
    </w:p>
    <w:p w14:paraId="6CC54B17" w14:textId="77777777" w:rsidR="00941EE9" w:rsidRDefault="004E11BC">
      <w:pPr>
        <w:spacing w:after="0" w:line="240" w:lineRule="auto"/>
        <w:jc w:val="right"/>
        <w:rPr>
          <w:rFonts w:ascii="Garamond" w:eastAsia="Garamond" w:hAnsi="Garamond" w:cs="Garamond"/>
          <w:sz w:val="28"/>
          <w:szCs w:val="28"/>
        </w:rPr>
      </w:pPr>
      <w:r>
        <w:rPr>
          <w:rFonts w:ascii="Garamond" w:eastAsia="Garamond" w:hAnsi="Garamond" w:cs="Garamond"/>
          <w:sz w:val="28"/>
          <w:szCs w:val="28"/>
        </w:rPr>
        <w:t>Monitoring Air Quality in Shenandoah National Park to Address National Park Service Initiatives Using NASA Earth Observations</w:t>
      </w:r>
    </w:p>
    <w:p w14:paraId="67DEA51E" w14:textId="77777777" w:rsidR="00941EE9" w:rsidRDefault="00941EE9">
      <w:pPr>
        <w:spacing w:after="0" w:line="240" w:lineRule="auto"/>
        <w:rPr>
          <w:rFonts w:ascii="Garamond" w:eastAsia="Garamond" w:hAnsi="Garamond" w:cs="Garamond"/>
          <w:sz w:val="32"/>
          <w:szCs w:val="32"/>
        </w:rPr>
      </w:pPr>
    </w:p>
    <w:p w14:paraId="6371622A" w14:textId="77777777" w:rsidR="00941EE9" w:rsidRDefault="00941EE9">
      <w:pPr>
        <w:spacing w:after="0" w:line="240" w:lineRule="auto"/>
        <w:rPr>
          <w:rFonts w:ascii="Garamond" w:eastAsia="Garamond" w:hAnsi="Garamond" w:cs="Garamond"/>
          <w:sz w:val="32"/>
          <w:szCs w:val="32"/>
        </w:rPr>
      </w:pPr>
    </w:p>
    <w:p w14:paraId="0FCFBF2D" w14:textId="77777777" w:rsidR="00941EE9" w:rsidRDefault="00941EE9">
      <w:pPr>
        <w:spacing w:after="0" w:line="240" w:lineRule="auto"/>
        <w:rPr>
          <w:rFonts w:ascii="Garamond" w:eastAsia="Garamond" w:hAnsi="Garamond" w:cs="Garamond"/>
          <w:sz w:val="32"/>
          <w:szCs w:val="32"/>
        </w:rPr>
      </w:pPr>
    </w:p>
    <w:p w14:paraId="2FE5D3A0" w14:textId="77777777" w:rsidR="00941EE9" w:rsidRDefault="00941EE9">
      <w:pPr>
        <w:spacing w:after="0" w:line="240" w:lineRule="auto"/>
        <w:rPr>
          <w:rFonts w:ascii="Garamond" w:eastAsia="Garamond" w:hAnsi="Garamond" w:cs="Garamond"/>
          <w:sz w:val="32"/>
          <w:szCs w:val="32"/>
        </w:rPr>
      </w:pPr>
    </w:p>
    <w:p w14:paraId="1EF47665" w14:textId="77777777" w:rsidR="00941EE9" w:rsidRDefault="00941EE9">
      <w:pPr>
        <w:spacing w:after="0" w:line="240" w:lineRule="auto"/>
        <w:jc w:val="center"/>
        <w:rPr>
          <w:rFonts w:ascii="Garamond" w:eastAsia="Garamond" w:hAnsi="Garamond" w:cs="Garamond"/>
          <w:b/>
          <w:sz w:val="32"/>
          <w:szCs w:val="32"/>
        </w:rPr>
      </w:pPr>
    </w:p>
    <w:p w14:paraId="236ECF4B" w14:textId="77777777" w:rsidR="00941EE9" w:rsidRDefault="00941EE9">
      <w:pPr>
        <w:spacing w:after="0" w:line="240" w:lineRule="auto"/>
        <w:jc w:val="center"/>
        <w:rPr>
          <w:rFonts w:ascii="Garamond" w:eastAsia="Garamond" w:hAnsi="Garamond" w:cs="Garamond"/>
          <w:b/>
          <w:sz w:val="32"/>
          <w:szCs w:val="32"/>
        </w:rPr>
      </w:pPr>
    </w:p>
    <w:p w14:paraId="6D133879" w14:textId="77777777" w:rsidR="00941EE9" w:rsidRDefault="004E11BC">
      <w:r>
        <w:rPr>
          <w:rFonts w:ascii="Garamond" w:eastAsia="Garamond" w:hAnsi="Garamond" w:cs="Garamond"/>
          <w:b/>
          <w:sz w:val="32"/>
          <w:szCs w:val="32"/>
        </w:rPr>
        <w:t xml:space="preserve">   </w:t>
      </w:r>
    </w:p>
    <w:p w14:paraId="156A7E0F" w14:textId="77777777" w:rsidR="00941EE9" w:rsidRDefault="004E11BC">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76DD64A1" wp14:editId="266A687B">
            <wp:simplePos x="0" y="0"/>
            <wp:positionH relativeFrom="margin">
              <wp:posOffset>1343025</wp:posOffset>
            </wp:positionH>
            <wp:positionV relativeFrom="paragraph">
              <wp:posOffset>57150</wp:posOffset>
            </wp:positionV>
            <wp:extent cx="968735" cy="18288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3172C1EB" w14:textId="77777777" w:rsidR="00941EE9" w:rsidRDefault="004E11BC">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August 10, 2017</w:t>
      </w:r>
    </w:p>
    <w:p w14:paraId="1A861E41" w14:textId="77777777" w:rsidR="00941EE9" w:rsidRDefault="00941EE9">
      <w:pPr>
        <w:spacing w:after="0" w:line="240" w:lineRule="auto"/>
        <w:jc w:val="center"/>
        <w:rPr>
          <w:rFonts w:ascii="Garamond" w:eastAsia="Garamond" w:hAnsi="Garamond" w:cs="Garamond"/>
          <w:sz w:val="24"/>
          <w:szCs w:val="24"/>
        </w:rPr>
      </w:pPr>
    </w:p>
    <w:p w14:paraId="26435AD6"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Ellen Bubak (Project Lead)</w:t>
      </w:r>
    </w:p>
    <w:p w14:paraId="01009891"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Amanda Clayton</w:t>
      </w:r>
    </w:p>
    <w:p w14:paraId="0EE99778"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Doug Gardiner</w:t>
      </w:r>
    </w:p>
    <w:p w14:paraId="32649131"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Nicholas Lenfant</w:t>
      </w:r>
    </w:p>
    <w:p w14:paraId="5722C56D"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Julie Terhune</w:t>
      </w:r>
    </w:p>
    <w:p w14:paraId="6BFCC6C4" w14:textId="77777777" w:rsidR="00941EE9" w:rsidRDefault="00941EE9">
      <w:pPr>
        <w:spacing w:after="0" w:line="240" w:lineRule="auto"/>
        <w:jc w:val="center"/>
        <w:rPr>
          <w:rFonts w:ascii="Garamond" w:eastAsia="Garamond" w:hAnsi="Garamond" w:cs="Garamond"/>
          <w:sz w:val="20"/>
          <w:szCs w:val="20"/>
        </w:rPr>
      </w:pPr>
    </w:p>
    <w:p w14:paraId="5B623F64"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Dr. Bruce Doddridge, NASA Langley Research Center (Science Advisor)</w:t>
      </w:r>
    </w:p>
    <w:p w14:paraId="6326D8A3" w14:textId="77777777" w:rsidR="00941EE9" w:rsidRDefault="004E11BC">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 (Science Advisor)</w:t>
      </w:r>
    </w:p>
    <w:p w14:paraId="6451C1F9" w14:textId="77777777" w:rsidR="00941EE9" w:rsidRDefault="00941EE9">
      <w:pPr>
        <w:spacing w:after="0" w:line="240" w:lineRule="auto"/>
        <w:jc w:val="center"/>
        <w:rPr>
          <w:rFonts w:ascii="Garamond" w:eastAsia="Garamond" w:hAnsi="Garamond" w:cs="Garamond"/>
          <w:sz w:val="20"/>
          <w:szCs w:val="20"/>
        </w:rPr>
      </w:pPr>
    </w:p>
    <w:p w14:paraId="2F8B68B7" w14:textId="77777777" w:rsidR="00941EE9" w:rsidRDefault="00941EE9">
      <w:pPr>
        <w:rPr>
          <w:rFonts w:ascii="Garamond" w:eastAsia="Garamond" w:hAnsi="Garamond" w:cs="Garamond"/>
          <w:sz w:val="20"/>
          <w:szCs w:val="20"/>
        </w:rPr>
      </w:pPr>
    </w:p>
    <w:p w14:paraId="123D069B" w14:textId="77777777" w:rsidR="00D92115" w:rsidRDefault="00D92115">
      <w:pPr>
        <w:rPr>
          <w:rFonts w:ascii="Garamond" w:eastAsia="Garamond" w:hAnsi="Garamond" w:cs="Garamond"/>
          <w:sz w:val="20"/>
          <w:szCs w:val="20"/>
        </w:rPr>
      </w:pPr>
    </w:p>
    <w:p w14:paraId="4A331EC8" w14:textId="77777777" w:rsidR="00941EE9" w:rsidRDefault="004E11BC">
      <w:pPr>
        <w:pStyle w:val="Heading1"/>
        <w:rPr>
          <w:rFonts w:ascii="Garamond" w:eastAsia="Garamond" w:hAnsi="Garamond" w:cs="Garamond"/>
        </w:rPr>
      </w:pPr>
      <w:r>
        <w:rPr>
          <w:rFonts w:ascii="Garamond" w:eastAsia="Garamond" w:hAnsi="Garamond" w:cs="Garamond"/>
        </w:rPr>
        <w:lastRenderedPageBreak/>
        <w:t>1. Abstract</w:t>
      </w:r>
    </w:p>
    <w:p w14:paraId="2630BA85" w14:textId="77777777" w:rsidR="00941EE9" w:rsidRDefault="004E11BC" w:rsidP="005839BC">
      <w:pPr>
        <w:spacing w:after="0" w:line="240" w:lineRule="auto"/>
        <w:rPr>
          <w:rFonts w:ascii="Garamond" w:eastAsia="Garamond" w:hAnsi="Garamond" w:cs="Garamond"/>
        </w:rPr>
      </w:pPr>
      <w:r>
        <w:rPr>
          <w:rFonts w:ascii="Garamond" w:eastAsia="Garamond" w:hAnsi="Garamond" w:cs="Garamond"/>
        </w:rPr>
        <w:t>Gases such as ozone (O</w:t>
      </w:r>
      <w:r>
        <w:rPr>
          <w:rFonts w:ascii="Garamond" w:eastAsia="Garamond" w:hAnsi="Garamond" w:cs="Garamond"/>
          <w:vertAlign w:val="subscript"/>
        </w:rPr>
        <w:t>3</w:t>
      </w:r>
      <w:r>
        <w:rPr>
          <w:rFonts w:ascii="Garamond" w:eastAsia="Garamond" w:hAnsi="Garamond" w:cs="Garamond"/>
        </w:rPr>
        <w:t>), nitrogen dioxide (NO</w:t>
      </w:r>
      <w:r>
        <w:rPr>
          <w:rFonts w:ascii="Garamond" w:eastAsia="Garamond" w:hAnsi="Garamond" w:cs="Garamond"/>
          <w:vertAlign w:val="subscript"/>
        </w:rPr>
        <w:t>2</w:t>
      </w:r>
      <w:r>
        <w:rPr>
          <w:rFonts w:ascii="Garamond" w:eastAsia="Garamond" w:hAnsi="Garamond" w:cs="Garamond"/>
        </w:rPr>
        <w:t>), and sulfur dioxide (SO</w:t>
      </w:r>
      <w:r>
        <w:rPr>
          <w:rFonts w:ascii="Garamond" w:eastAsia="Garamond" w:hAnsi="Garamond" w:cs="Garamond"/>
          <w:vertAlign w:val="subscript"/>
        </w:rPr>
        <w:t>2</w:t>
      </w:r>
      <w:r>
        <w:rPr>
          <w:rFonts w:ascii="Garamond" w:eastAsia="Garamond" w:hAnsi="Garamond" w:cs="Garamond"/>
        </w:rPr>
        <w:t xml:space="preserve">) have impeded visibility and impacted air health in Shenandoah National Park, one of the primary attractions of Virginia. Air quality is considered one of the park’s fundamental resources and is essential to maintaining its significance as a premier park with world-class views. This project utilized NASA Earth observations, including Aura's Ozone Monitoring Instrument (OMI), to monitor ozone and nitrogen dioxide that threaten visibility and plant, animal, water, and human health in the park. Trend maps were created to assess spatial and temporal trends in pollutant species over Shenandoah National Park and the surrounding </w:t>
      </w:r>
      <w:proofErr w:type="spellStart"/>
      <w:r>
        <w:rPr>
          <w:rFonts w:ascii="Garamond" w:eastAsia="Garamond" w:hAnsi="Garamond" w:cs="Garamond"/>
        </w:rPr>
        <w:t>airshed</w:t>
      </w:r>
      <w:proofErr w:type="spellEnd"/>
      <w:r>
        <w:rPr>
          <w:rFonts w:ascii="Garamond" w:eastAsia="Garamond" w:hAnsi="Garamond" w:cs="Garamond"/>
        </w:rPr>
        <w:t xml:space="preserve">. A methodology was created to help the National Park Service incorporate remote sensing data into their management decisions related to park health and air quality concerns. </w:t>
      </w:r>
      <w:r>
        <w:rPr>
          <w:rFonts w:ascii="Garamond" w:eastAsia="Garamond" w:hAnsi="Garamond" w:cs="Garamond"/>
          <w:i/>
        </w:rPr>
        <w:t>In situ</w:t>
      </w:r>
      <w:r>
        <w:rPr>
          <w:rFonts w:ascii="Garamond" w:eastAsia="Garamond" w:hAnsi="Garamond" w:cs="Garamond"/>
        </w:rPr>
        <w:t xml:space="preserve"> station data from Big Meadows monitoring station were used to validate the NASA Earth observations. This information will aid in future decisions related to visitor education and ecological management in accordance with mandates from the Clean Air Act, the National Park Service Organic Act of 1916, and the Wilderness Act.</w:t>
      </w:r>
    </w:p>
    <w:p w14:paraId="36704E51" w14:textId="77777777" w:rsidR="00941EE9" w:rsidRDefault="00941EE9">
      <w:pPr>
        <w:spacing w:after="0" w:line="240" w:lineRule="auto"/>
        <w:rPr>
          <w:rFonts w:ascii="Garamond" w:eastAsia="Garamond" w:hAnsi="Garamond" w:cs="Garamond"/>
          <w:b/>
        </w:rPr>
      </w:pPr>
    </w:p>
    <w:p w14:paraId="0D7956A4" w14:textId="77777777" w:rsidR="00941EE9" w:rsidRDefault="004E11BC">
      <w:pPr>
        <w:spacing w:after="0" w:line="240" w:lineRule="auto"/>
        <w:rPr>
          <w:rFonts w:ascii="Garamond" w:eastAsia="Garamond" w:hAnsi="Garamond" w:cs="Garamond"/>
        </w:rPr>
      </w:pPr>
      <w:r>
        <w:rPr>
          <w:rFonts w:ascii="Garamond" w:eastAsia="Garamond" w:hAnsi="Garamond" w:cs="Garamond"/>
          <w:b/>
        </w:rPr>
        <w:t>Keywords</w:t>
      </w:r>
    </w:p>
    <w:p w14:paraId="02FD838F" w14:textId="77777777" w:rsidR="00941EE9" w:rsidRDefault="004E11BC">
      <w:pPr>
        <w:spacing w:after="0" w:line="240" w:lineRule="auto"/>
        <w:rPr>
          <w:rFonts w:ascii="Garamond" w:eastAsia="Garamond" w:hAnsi="Garamond" w:cs="Garamond"/>
        </w:rPr>
      </w:pPr>
      <w:r>
        <w:rPr>
          <w:rFonts w:ascii="Garamond" w:eastAsia="Garamond" w:hAnsi="Garamond" w:cs="Garamond"/>
        </w:rPr>
        <w:t>Aerosol pollutants, air pollution, atmospheric gases, Health &amp; Air Quality, Shenandoah National Park, remote sensing</w:t>
      </w:r>
    </w:p>
    <w:p w14:paraId="52ACBE58" w14:textId="77777777" w:rsidR="00941EE9" w:rsidRDefault="004E11BC">
      <w:pPr>
        <w:pStyle w:val="Heading1"/>
        <w:rPr>
          <w:rFonts w:ascii="Garamond" w:eastAsia="Garamond" w:hAnsi="Garamond" w:cs="Garamond"/>
        </w:rPr>
      </w:pPr>
      <w:bookmarkStart w:id="2" w:name="_30j0zll" w:colFirst="0" w:colLast="0"/>
      <w:bookmarkEnd w:id="2"/>
      <w:r>
        <w:rPr>
          <w:rFonts w:ascii="Garamond" w:eastAsia="Garamond" w:hAnsi="Garamond" w:cs="Garamond"/>
        </w:rPr>
        <w:t>2. Introduction</w:t>
      </w:r>
    </w:p>
    <w:p w14:paraId="05A797D3" w14:textId="5BB94CB1" w:rsidR="00D92115" w:rsidRPr="00B37E0D" w:rsidRDefault="004E11BC" w:rsidP="00B37E0D">
      <w:pPr>
        <w:numPr>
          <w:ilvl w:val="1"/>
          <w:numId w:val="1"/>
        </w:numPr>
        <w:spacing w:after="0" w:line="240" w:lineRule="auto"/>
        <w:ind w:hanging="360"/>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bookmarkStart w:id="4" w:name="_3znysh7" w:colFirst="0" w:colLast="0"/>
      <w:bookmarkEnd w:id="4"/>
    </w:p>
    <w:p w14:paraId="063C2093" w14:textId="7349BB0E" w:rsidR="00550A3F" w:rsidRDefault="00D92115" w:rsidP="005839BC">
      <w:pPr>
        <w:spacing w:after="0" w:line="240" w:lineRule="auto"/>
        <w:rPr>
          <w:rFonts w:ascii="Garamond" w:eastAsia="Garamond" w:hAnsi="Garamond" w:cs="Garamond"/>
        </w:rPr>
      </w:pPr>
      <w:r>
        <w:rPr>
          <w:rFonts w:ascii="Garamond" w:eastAsia="Garamond" w:hAnsi="Garamond" w:cs="Garamond"/>
        </w:rPr>
        <w:t xml:space="preserve">Approximately 200,000 acres in area, </w:t>
      </w:r>
      <w:r w:rsidR="005A0473">
        <w:rPr>
          <w:rFonts w:ascii="Garamond" w:eastAsia="Garamond" w:hAnsi="Garamond" w:cs="Garamond"/>
        </w:rPr>
        <w:t xml:space="preserve">Virginia’s </w:t>
      </w:r>
      <w:r>
        <w:rPr>
          <w:rFonts w:ascii="Garamond" w:eastAsia="Garamond" w:hAnsi="Garamond" w:cs="Garamond"/>
        </w:rPr>
        <w:t xml:space="preserve">Shenandoah National Park is well known for the </w:t>
      </w:r>
      <w:r w:rsidR="000D2B6D">
        <w:rPr>
          <w:rFonts w:ascii="Garamond" w:eastAsia="Garamond" w:hAnsi="Garamond" w:cs="Garamond"/>
        </w:rPr>
        <w:t>105-mile</w:t>
      </w:r>
      <w:r>
        <w:rPr>
          <w:rFonts w:ascii="Garamond" w:eastAsia="Garamond" w:hAnsi="Garamond" w:cs="Garamond"/>
        </w:rPr>
        <w:t xml:space="preserve"> road, known as Skyline Drive, which provides visitors with scenic views of the nearby Blue Ridge Mountains (NPS, 2015).</w:t>
      </w:r>
      <w:r w:rsidR="000D2B6D">
        <w:rPr>
          <w:rFonts w:ascii="Garamond" w:eastAsia="Garamond" w:hAnsi="Garamond" w:cs="Garamond"/>
        </w:rPr>
        <w:t xml:space="preserve"> </w:t>
      </w:r>
      <w:r>
        <w:rPr>
          <w:rFonts w:ascii="Garamond" w:eastAsia="Garamond" w:hAnsi="Garamond" w:cs="Garamond"/>
        </w:rPr>
        <w:t>Shenandoah is interested in learning about air pollutants with regards to visibility, acidic deposition, and park visitor health (Sullivan et al., 2003). Compared to other national parks, it has higher levels of air pollution leading to concerns for the park’s wildlife and park attendees (NPS, 2007). Poor air quality can impede the park’s goals including ecological integrity, preservation of views as seen from the park, and visitor safety and enjoyment (Sullivan et al., 2003).</w:t>
      </w:r>
    </w:p>
    <w:p w14:paraId="11DB91C7" w14:textId="77777777" w:rsidR="00D92115" w:rsidRDefault="00D92115">
      <w:pPr>
        <w:spacing w:after="0" w:line="240" w:lineRule="auto"/>
        <w:rPr>
          <w:rFonts w:ascii="Garamond" w:eastAsia="Garamond" w:hAnsi="Garamond" w:cs="Garamond"/>
        </w:rPr>
      </w:pPr>
    </w:p>
    <w:p w14:paraId="17B9126D" w14:textId="10E6E0B3" w:rsidR="00941EE9" w:rsidRDefault="00D92115" w:rsidP="005839BC">
      <w:pPr>
        <w:spacing w:after="0" w:line="240" w:lineRule="auto"/>
        <w:rPr>
          <w:rFonts w:ascii="Garamond" w:eastAsia="Garamond" w:hAnsi="Garamond" w:cs="Garamond"/>
        </w:rPr>
      </w:pPr>
      <w:r>
        <w:rPr>
          <w:rFonts w:ascii="Garamond" w:eastAsia="Garamond" w:hAnsi="Garamond" w:cs="Garamond"/>
        </w:rPr>
        <w:t>Atmospheric pollutants including ozone (O</w:t>
      </w:r>
      <w:r>
        <w:rPr>
          <w:rFonts w:ascii="Garamond" w:eastAsia="Garamond" w:hAnsi="Garamond" w:cs="Garamond"/>
          <w:vertAlign w:val="subscript"/>
        </w:rPr>
        <w:t>3</w:t>
      </w:r>
      <w:r>
        <w:rPr>
          <w:rFonts w:ascii="Garamond" w:eastAsia="Garamond" w:hAnsi="Garamond" w:cs="Garamond"/>
        </w:rPr>
        <w:t>), sulfur dioxide (SO</w:t>
      </w:r>
      <w:r>
        <w:rPr>
          <w:rFonts w:ascii="Garamond" w:eastAsia="Garamond" w:hAnsi="Garamond" w:cs="Garamond"/>
          <w:vertAlign w:val="subscript"/>
        </w:rPr>
        <w:t>2</w:t>
      </w:r>
      <w:r>
        <w:rPr>
          <w:rFonts w:ascii="Garamond" w:eastAsia="Garamond" w:hAnsi="Garamond" w:cs="Garamond"/>
        </w:rPr>
        <w:t>), and nitrogen dioxide (NO</w:t>
      </w:r>
      <w:r>
        <w:rPr>
          <w:rFonts w:ascii="Garamond" w:eastAsia="Garamond" w:hAnsi="Garamond" w:cs="Garamond"/>
          <w:vertAlign w:val="subscript"/>
        </w:rPr>
        <w:t>2</w:t>
      </w:r>
      <w:r>
        <w:rPr>
          <w:rFonts w:ascii="Garamond" w:eastAsia="Garamond" w:hAnsi="Garamond" w:cs="Garamond"/>
        </w:rPr>
        <w:t xml:space="preserve">) contribute to poor air quality and can have negative effects on the environment. </w:t>
      </w:r>
      <w:r w:rsidR="004E11BC">
        <w:rPr>
          <w:rFonts w:ascii="Garamond" w:eastAsia="Garamond" w:hAnsi="Garamond" w:cs="Garamond"/>
        </w:rPr>
        <w:t>Ground-level ozone is harmful to both human and plant life. In humans, it can cause eye, nose, and lung irritation, along with breathing issues. For sensitive plants, ground-level ozone at 8 to 12 parts per million can be damag</w:t>
      </w:r>
      <w:r>
        <w:rPr>
          <w:rFonts w:ascii="Garamond" w:eastAsia="Garamond" w:hAnsi="Garamond" w:cs="Garamond"/>
        </w:rPr>
        <w:t>ing</w:t>
      </w:r>
      <w:r w:rsidR="004E11BC">
        <w:rPr>
          <w:rFonts w:ascii="Garamond" w:eastAsia="Garamond" w:hAnsi="Garamond" w:cs="Garamond"/>
        </w:rPr>
        <w:t xml:space="preserve"> (NPS, 2007). Ozone is created by the splitting of oxygen molecules that then re-bond with a non-split molecule, a precursor of which is NO</w:t>
      </w:r>
      <w:r w:rsidR="004E11BC">
        <w:rPr>
          <w:rFonts w:ascii="Garamond" w:eastAsia="Garamond" w:hAnsi="Garamond" w:cs="Garamond"/>
          <w:vertAlign w:val="subscript"/>
        </w:rPr>
        <w:t>2</w:t>
      </w:r>
      <w:r w:rsidR="004E11BC">
        <w:rPr>
          <w:rFonts w:ascii="Garamond" w:eastAsia="Garamond" w:hAnsi="Garamond" w:cs="Garamond"/>
        </w:rPr>
        <w:t xml:space="preserve"> (</w:t>
      </w:r>
      <w:proofErr w:type="spellStart"/>
      <w:r w:rsidR="004E11BC">
        <w:rPr>
          <w:rFonts w:ascii="Garamond" w:eastAsia="Garamond" w:hAnsi="Garamond" w:cs="Garamond"/>
        </w:rPr>
        <w:t>Venkanna</w:t>
      </w:r>
      <w:proofErr w:type="spellEnd"/>
      <w:r w:rsidR="004E11BC">
        <w:rPr>
          <w:rFonts w:ascii="Garamond" w:eastAsia="Garamond" w:hAnsi="Garamond" w:cs="Garamond"/>
        </w:rPr>
        <w:t xml:space="preserve"> et al., 2015). Increased levels of NO</w:t>
      </w:r>
      <w:r w:rsidR="004E11BC">
        <w:rPr>
          <w:rFonts w:ascii="Garamond" w:eastAsia="Garamond" w:hAnsi="Garamond" w:cs="Garamond"/>
          <w:vertAlign w:val="subscript"/>
        </w:rPr>
        <w:t>2</w:t>
      </w:r>
      <w:r w:rsidR="004E11BC">
        <w:rPr>
          <w:rFonts w:ascii="Garamond" w:eastAsia="Garamond" w:hAnsi="Garamond" w:cs="Garamond"/>
        </w:rPr>
        <w:t xml:space="preserve"> have been linked to cardiovascular and respiratory problems, including impairment of lung function growth in children and asthma prevalence (Faustini et al., 2014; Greenberg et al., 2017). Sulfur dioxide is the primary cause of acid rain which affects flora, wildlife</w:t>
      </w:r>
      <w:r w:rsidR="00CB0570">
        <w:rPr>
          <w:rFonts w:ascii="Garamond" w:eastAsia="Garamond" w:hAnsi="Garamond" w:cs="Garamond"/>
        </w:rPr>
        <w:t>,</w:t>
      </w:r>
      <w:r w:rsidR="004E11BC">
        <w:rPr>
          <w:rFonts w:ascii="Garamond" w:eastAsia="Garamond" w:hAnsi="Garamond" w:cs="Garamond"/>
        </w:rPr>
        <w:t xml:space="preserve"> and building materials (Smith et al., 2001). </w:t>
      </w:r>
      <w:r>
        <w:rPr>
          <w:rFonts w:ascii="Garamond" w:eastAsia="Garamond" w:hAnsi="Garamond" w:cs="Garamond"/>
        </w:rPr>
        <w:t>Further, a</w:t>
      </w:r>
      <w:r w:rsidR="004E11BC">
        <w:rPr>
          <w:rFonts w:ascii="Garamond" w:eastAsia="Garamond" w:hAnsi="Garamond" w:cs="Garamond"/>
        </w:rPr>
        <w:t>erosol forms of sulfur dioxide impair visibility and affect human health, similar to other atmospheric pollutants (</w:t>
      </w:r>
      <w:proofErr w:type="spellStart"/>
      <w:r w:rsidR="004E11BC">
        <w:rPr>
          <w:rFonts w:ascii="Garamond" w:eastAsia="Garamond" w:hAnsi="Garamond" w:cs="Garamond"/>
        </w:rPr>
        <w:t>Adon</w:t>
      </w:r>
      <w:proofErr w:type="spellEnd"/>
      <w:r w:rsidR="004E11BC">
        <w:rPr>
          <w:rFonts w:ascii="Garamond" w:eastAsia="Garamond" w:hAnsi="Garamond" w:cs="Garamond"/>
        </w:rPr>
        <w:t xml:space="preserve"> et al., 2010).</w:t>
      </w:r>
    </w:p>
    <w:p w14:paraId="320492DA" w14:textId="7A47F7FF" w:rsidR="00D92115" w:rsidRDefault="00D92115" w:rsidP="005839BC">
      <w:pPr>
        <w:spacing w:after="0" w:line="240" w:lineRule="auto"/>
        <w:rPr>
          <w:rFonts w:ascii="Garamond" w:eastAsia="Garamond" w:hAnsi="Garamond" w:cs="Garamond"/>
        </w:rPr>
      </w:pPr>
    </w:p>
    <w:p w14:paraId="75EF0283" w14:textId="3010AFEB"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The Clean Air Act requires that parks </w:t>
      </w:r>
      <w:r w:rsidR="005A0473">
        <w:rPr>
          <w:rFonts w:ascii="Garamond" w:eastAsia="Garamond" w:hAnsi="Garamond" w:cs="Garamond"/>
        </w:rPr>
        <w:t xml:space="preserve">monitor </w:t>
      </w:r>
      <w:r>
        <w:rPr>
          <w:rFonts w:ascii="Garamond" w:eastAsia="Garamond" w:hAnsi="Garamond" w:cs="Garamond"/>
        </w:rPr>
        <w:t xml:space="preserve">visibility and identify </w:t>
      </w:r>
      <w:r w:rsidR="005A0473">
        <w:rPr>
          <w:rFonts w:ascii="Garamond" w:eastAsia="Garamond" w:hAnsi="Garamond" w:cs="Garamond"/>
        </w:rPr>
        <w:t xml:space="preserve">harm caused </w:t>
      </w:r>
      <w:r>
        <w:rPr>
          <w:rFonts w:ascii="Garamond" w:eastAsia="Garamond" w:hAnsi="Garamond" w:cs="Garamond"/>
        </w:rPr>
        <w:t xml:space="preserve">by manmade pollution (NPS, 2015). Since 1981, Shenandoah has been monitoring precipitation amounts, pH levels in the soil and water, and ammonium in the atmosphere at its Big Meadows station, located in the central district of the park. In 1983, the park began recording </w:t>
      </w:r>
      <w:r w:rsidR="005A0473">
        <w:rPr>
          <w:rFonts w:ascii="Garamond" w:eastAsia="Garamond" w:hAnsi="Garamond" w:cs="Garamond"/>
        </w:rPr>
        <w:t xml:space="preserve">ground-level </w:t>
      </w:r>
      <w:r>
        <w:rPr>
          <w:rFonts w:ascii="Garamond" w:eastAsia="Garamond" w:hAnsi="Garamond" w:cs="Garamond"/>
        </w:rPr>
        <w:t>ozone, sulfur dioxide, and nitric acid and continues to record various atmospheric parameters weekly, hourly, and by the minute (NPS, 2015). To add to the current air quality monitoring in the park, this project utilized the Ozone Monitoring Instrument (OMI) aboard NASA’s Aura satellite and compared its measurements to the data collected at Big Meadows. OMI provides daily global coverage and measures various atmospheric parameters</w:t>
      </w:r>
      <w:r w:rsidR="005A0473">
        <w:rPr>
          <w:rFonts w:ascii="Garamond" w:eastAsia="Garamond" w:hAnsi="Garamond" w:cs="Garamond"/>
        </w:rPr>
        <w:t xml:space="preserve"> at a resolution of 0.25 degree by 0.25 degree</w:t>
      </w:r>
      <w:r>
        <w:rPr>
          <w:rFonts w:ascii="Garamond" w:eastAsia="Garamond" w:hAnsi="Garamond" w:cs="Garamond"/>
        </w:rPr>
        <w:t xml:space="preserve"> (NASA Goddard, </w:t>
      </w:r>
      <w:proofErr w:type="spellStart"/>
      <w:r>
        <w:rPr>
          <w:rFonts w:ascii="Garamond" w:eastAsia="Garamond" w:hAnsi="Garamond" w:cs="Garamond"/>
        </w:rPr>
        <w:t>n.d.</w:t>
      </w:r>
      <w:proofErr w:type="spellEnd"/>
      <w:r>
        <w:rPr>
          <w:rFonts w:ascii="Garamond" w:eastAsia="Garamond" w:hAnsi="Garamond" w:cs="Garamond"/>
        </w:rPr>
        <w:t>).</w:t>
      </w:r>
    </w:p>
    <w:p w14:paraId="6D403FD7" w14:textId="77777777" w:rsidR="00941EE9" w:rsidRDefault="00941EE9" w:rsidP="005839BC">
      <w:pPr>
        <w:spacing w:after="0" w:line="240" w:lineRule="auto"/>
        <w:rPr>
          <w:rFonts w:ascii="Garamond" w:eastAsia="Garamond" w:hAnsi="Garamond" w:cs="Garamond"/>
        </w:rPr>
      </w:pPr>
    </w:p>
    <w:p w14:paraId="54DE1CCE" w14:textId="6E99FC4C"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Combining remote sensing and ground-level measurements to address health and air quality, </w:t>
      </w:r>
      <w:r w:rsidR="005A0473">
        <w:rPr>
          <w:rFonts w:ascii="Garamond" w:eastAsia="Garamond" w:hAnsi="Garamond" w:cs="Garamond"/>
        </w:rPr>
        <w:t>as done in</w:t>
      </w:r>
      <w:r>
        <w:rPr>
          <w:rFonts w:ascii="Garamond" w:eastAsia="Garamond" w:hAnsi="Garamond" w:cs="Garamond"/>
        </w:rPr>
        <w:t xml:space="preserve"> this </w:t>
      </w:r>
      <w:r>
        <w:rPr>
          <w:rFonts w:ascii="Garamond" w:eastAsia="Garamond" w:hAnsi="Garamond" w:cs="Garamond"/>
        </w:rPr>
        <w:lastRenderedPageBreak/>
        <w:t xml:space="preserve">project, is becoming more common. Before 2009, satellite data had not been used to address National Ambient Air Quality Standards (NAAQS), which were established under the Clean Air Act amendments of 1990. Satellites had instrumentation capable of tracking air pollutants, such as the OMI sensor, but these instruments had not been used to corroborate data obtained by ground level sites (Hoff </w:t>
      </w:r>
      <w:r w:rsidR="00C26C57">
        <w:rPr>
          <w:rFonts w:ascii="Garamond" w:eastAsia="Garamond" w:hAnsi="Garamond" w:cs="Garamond"/>
        </w:rPr>
        <w:t>&amp;</w:t>
      </w:r>
      <w:r>
        <w:rPr>
          <w:rFonts w:ascii="Garamond" w:eastAsia="Garamond" w:hAnsi="Garamond" w:cs="Garamond"/>
        </w:rPr>
        <w:t xml:space="preserve"> Christopher, 2009).</w:t>
      </w:r>
      <w:r w:rsidR="005A0473">
        <w:rPr>
          <w:rFonts w:ascii="Garamond" w:eastAsia="Garamond" w:hAnsi="Garamond" w:cs="Garamond"/>
        </w:rPr>
        <w:t xml:space="preserve"> </w:t>
      </w:r>
      <w:r>
        <w:rPr>
          <w:rFonts w:ascii="Garamond" w:eastAsia="Garamond" w:hAnsi="Garamond" w:cs="Garamond"/>
        </w:rPr>
        <w:t xml:space="preserve">Other instruments on Aura, such as TES (Tropospheric Emissions Spectrometer), have been used alongside various monitoring stations </w:t>
      </w:r>
      <w:r w:rsidR="005A0473">
        <w:rPr>
          <w:rFonts w:ascii="Garamond" w:eastAsia="Garamond" w:hAnsi="Garamond" w:cs="Garamond"/>
        </w:rPr>
        <w:t xml:space="preserve">in </w:t>
      </w:r>
      <w:r>
        <w:rPr>
          <w:rFonts w:ascii="Garamond" w:eastAsia="Garamond" w:hAnsi="Garamond" w:cs="Garamond"/>
        </w:rPr>
        <w:t>North America to analyze patterns of emission spread and locate possible sources of atmospheric pollution (Zhu, 2015).</w:t>
      </w:r>
    </w:p>
    <w:p w14:paraId="6803F4DB" w14:textId="77777777" w:rsidR="00D92115" w:rsidRDefault="00D92115" w:rsidP="005839BC">
      <w:pPr>
        <w:spacing w:after="0" w:line="240" w:lineRule="auto"/>
      </w:pPr>
    </w:p>
    <w:p w14:paraId="7AD57695" w14:textId="40268B9E"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Initially, the study area included only Shenandoah National Park in Virginia. After assessing the spatial resolution available from OMI and air pollution transportation characteristics, the study area was expanded to include a significant portion of the Chesapeake Bay </w:t>
      </w:r>
      <w:proofErr w:type="spellStart"/>
      <w:r>
        <w:rPr>
          <w:rFonts w:ascii="Garamond" w:eastAsia="Garamond" w:hAnsi="Garamond" w:cs="Garamond"/>
        </w:rPr>
        <w:t>airshed</w:t>
      </w:r>
      <w:proofErr w:type="spellEnd"/>
      <w:r>
        <w:rPr>
          <w:rFonts w:ascii="Garamond" w:eastAsia="Garamond" w:hAnsi="Garamond" w:cs="Garamond"/>
        </w:rPr>
        <w:t xml:space="preserve"> (Figure 1).</w:t>
      </w:r>
      <w:r w:rsidR="00A25407">
        <w:rPr>
          <w:rFonts w:ascii="Garamond" w:eastAsia="Garamond" w:hAnsi="Garamond" w:cs="Garamond"/>
        </w:rPr>
        <w:t xml:space="preserve"> Park </w:t>
      </w:r>
      <w:r w:rsidR="00F07C59">
        <w:rPr>
          <w:rFonts w:ascii="Garamond" w:eastAsia="Garamond" w:hAnsi="Garamond" w:cs="Garamond"/>
        </w:rPr>
        <w:t>scientists are</w:t>
      </w:r>
      <w:r>
        <w:rPr>
          <w:rFonts w:ascii="Garamond" w:eastAsia="Garamond" w:hAnsi="Garamond" w:cs="Garamond"/>
        </w:rPr>
        <w:t xml:space="preserve"> concerned about air transport of atmospheric pollution. Ohio, Pennsylvania, West Virginia, Kentucky, and Virginia were included in this new, larger study area because they have been identified as the most important contributors of air pollution in the park (NPS, 2007). With this larger study area, it became possible to account for transport and mixing of airborne pollutants and to identify the locations of possible pollutant sources affecting the park, over the study period of 2005 to 2016.</w:t>
      </w:r>
    </w:p>
    <w:p w14:paraId="6A332A16" w14:textId="77777777" w:rsidR="00941EE9" w:rsidRDefault="004E11BC">
      <w:pPr>
        <w:spacing w:after="0"/>
        <w:jc w:val="center"/>
        <w:rPr>
          <w:rFonts w:ascii="Garamond" w:eastAsia="Garamond" w:hAnsi="Garamond" w:cs="Garamond"/>
        </w:rPr>
      </w:pPr>
      <w:r>
        <w:rPr>
          <w:noProof/>
        </w:rPr>
        <w:drawing>
          <wp:inline distT="0" distB="0" distL="0" distR="0" wp14:anchorId="5B36F10D" wp14:editId="65CA6CAB">
            <wp:extent cx="5421456" cy="2375362"/>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5421456" cy="2375362"/>
                    </a:xfrm>
                    <a:prstGeom prst="rect">
                      <a:avLst/>
                    </a:prstGeom>
                    <a:ln/>
                  </pic:spPr>
                </pic:pic>
              </a:graphicData>
            </a:graphic>
          </wp:inline>
        </w:drawing>
      </w:r>
    </w:p>
    <w:p w14:paraId="47E286DA" w14:textId="77777777" w:rsidR="00941EE9" w:rsidRDefault="004E11BC">
      <w:pPr>
        <w:spacing w:after="0"/>
        <w:jc w:val="center"/>
        <w:rPr>
          <w:rFonts w:ascii="Garamond" w:eastAsia="Garamond" w:hAnsi="Garamond" w:cs="Garamond"/>
          <w:i/>
        </w:rPr>
      </w:pPr>
      <w:r>
        <w:rPr>
          <w:rFonts w:ascii="Garamond" w:eastAsia="Garamond" w:hAnsi="Garamond" w:cs="Garamond"/>
          <w:i/>
        </w:rPr>
        <w:t>Figure 1</w:t>
      </w:r>
      <w:r>
        <w:rPr>
          <w:rFonts w:ascii="Garamond" w:eastAsia="Garamond" w:hAnsi="Garamond" w:cs="Garamond"/>
        </w:rPr>
        <w:t xml:space="preserve">. Study area maps depicting Virginia’s Shenandoah National Park and the Chesapeake Bay </w:t>
      </w:r>
      <w:proofErr w:type="spellStart"/>
      <w:r>
        <w:rPr>
          <w:rFonts w:ascii="Garamond" w:eastAsia="Garamond" w:hAnsi="Garamond" w:cs="Garamond"/>
        </w:rPr>
        <w:t>airshed</w:t>
      </w:r>
      <w:proofErr w:type="spellEnd"/>
      <w:r>
        <w:rPr>
          <w:rFonts w:ascii="Garamond" w:eastAsia="Garamond" w:hAnsi="Garamond" w:cs="Garamond"/>
        </w:rPr>
        <w:t>.</w:t>
      </w:r>
    </w:p>
    <w:p w14:paraId="585C3282" w14:textId="77777777" w:rsidR="00941EE9" w:rsidRDefault="00941EE9">
      <w:pPr>
        <w:spacing w:after="0"/>
        <w:rPr>
          <w:rFonts w:ascii="Garamond" w:eastAsia="Garamond" w:hAnsi="Garamond" w:cs="Garamond"/>
        </w:rPr>
      </w:pPr>
    </w:p>
    <w:p w14:paraId="640A92D8" w14:textId="77777777" w:rsidR="00941EE9" w:rsidRDefault="004E11BC">
      <w:pPr>
        <w:numPr>
          <w:ilvl w:val="1"/>
          <w:numId w:val="1"/>
        </w:numPr>
        <w:spacing w:after="0"/>
        <w:ind w:hanging="360"/>
        <w:contextualSpacing/>
        <w:rPr>
          <w:rFonts w:ascii="Garamond" w:eastAsia="Garamond" w:hAnsi="Garamond" w:cs="Garamond"/>
          <w:b/>
          <w:i/>
        </w:rPr>
      </w:pPr>
      <w:r>
        <w:rPr>
          <w:rFonts w:ascii="Garamond" w:eastAsia="Garamond" w:hAnsi="Garamond" w:cs="Garamond"/>
          <w:b/>
          <w:i/>
        </w:rPr>
        <w:t>Project Partners &amp; Objectives</w:t>
      </w:r>
    </w:p>
    <w:p w14:paraId="04B05EB6" w14:textId="4816E174" w:rsidR="00941EE9" w:rsidRDefault="004E11BC" w:rsidP="005839BC">
      <w:pPr>
        <w:spacing w:after="0" w:line="240" w:lineRule="auto"/>
        <w:rPr>
          <w:rFonts w:ascii="Garamond" w:eastAsia="Garamond" w:hAnsi="Garamond" w:cs="Garamond"/>
        </w:rPr>
      </w:pPr>
      <w:r>
        <w:rPr>
          <w:rFonts w:ascii="Garamond" w:eastAsia="Garamond" w:hAnsi="Garamond" w:cs="Garamond"/>
        </w:rPr>
        <w:t>This project collaborated with Shenandoah National Park and the National Park Service’s Air Resources Division. Primary concerns from the partners included air quality, visibility of scenic views, the health of visitors and inhabitants of the park, as well as park attendance. The overall objectives of this project were to identify trends between remotely sensed datasets and data measured at Shenandoah, to analyze the data monthly and annually, and to create a methodology to visualize data over time. The results of this project provided Shenandoah National Park with information regarding air pollutants and pollutant sources in the</w:t>
      </w:r>
      <w:r w:rsidR="00382F90">
        <w:rPr>
          <w:rFonts w:ascii="Garamond" w:eastAsia="Garamond" w:hAnsi="Garamond" w:cs="Garamond"/>
        </w:rPr>
        <w:t xml:space="preserve"> </w:t>
      </w:r>
      <w:proofErr w:type="spellStart"/>
      <w:r w:rsidR="00382F90">
        <w:rPr>
          <w:rFonts w:ascii="Garamond" w:eastAsia="Garamond" w:hAnsi="Garamond" w:cs="Garamond"/>
        </w:rPr>
        <w:t>airshed</w:t>
      </w:r>
      <w:proofErr w:type="spellEnd"/>
      <w:r w:rsidR="00382F90">
        <w:rPr>
          <w:rFonts w:ascii="Garamond" w:eastAsia="Garamond" w:hAnsi="Garamond" w:cs="Garamond"/>
        </w:rPr>
        <w:t xml:space="preserve"> surrounding Shenandoah.</w:t>
      </w:r>
    </w:p>
    <w:p w14:paraId="7D2E115A" w14:textId="785E669F" w:rsidR="00941EE9" w:rsidRDefault="004E11BC">
      <w:pPr>
        <w:pStyle w:val="Heading1"/>
        <w:rPr>
          <w:rFonts w:ascii="Garamond" w:eastAsia="Garamond" w:hAnsi="Garamond" w:cs="Garamond"/>
        </w:rPr>
      </w:pPr>
      <w:bookmarkStart w:id="5" w:name="_2et92p0" w:colFirst="0" w:colLast="0"/>
      <w:bookmarkEnd w:id="5"/>
      <w:r>
        <w:rPr>
          <w:rFonts w:ascii="Garamond" w:eastAsia="Garamond" w:hAnsi="Garamond" w:cs="Garamond"/>
        </w:rPr>
        <w:t>3. Methodol</w:t>
      </w:r>
      <w:r w:rsidR="005839BC">
        <w:rPr>
          <w:rFonts w:ascii="Garamond" w:eastAsia="Garamond" w:hAnsi="Garamond" w:cs="Garamond"/>
        </w:rPr>
        <w:t>ogy</w:t>
      </w:r>
    </w:p>
    <w:p w14:paraId="6B5CB476" w14:textId="77777777" w:rsidR="00941EE9" w:rsidRDefault="004E11BC">
      <w:pPr>
        <w:spacing w:after="0"/>
        <w:rPr>
          <w:rFonts w:ascii="Garamond" w:eastAsia="Garamond" w:hAnsi="Garamond" w:cs="Garamond"/>
        </w:rPr>
      </w:pPr>
      <w:r>
        <w:rPr>
          <w:rFonts w:ascii="Garamond" w:eastAsia="Garamond" w:hAnsi="Garamond" w:cs="Garamond"/>
          <w:b/>
          <w:i/>
        </w:rPr>
        <w:t xml:space="preserve">3.1 Data Acquisition </w:t>
      </w:r>
    </w:p>
    <w:p w14:paraId="5E83FBFD" w14:textId="77777777" w:rsidR="00941EE9" w:rsidRDefault="004E11BC" w:rsidP="005839BC">
      <w:pPr>
        <w:spacing w:after="0" w:line="240" w:lineRule="auto"/>
        <w:rPr>
          <w:rFonts w:ascii="Garamond" w:eastAsia="Garamond" w:hAnsi="Garamond" w:cs="Garamond"/>
        </w:rPr>
      </w:pPr>
      <w:r>
        <w:rPr>
          <w:rFonts w:ascii="Garamond" w:eastAsia="Garamond" w:hAnsi="Garamond" w:cs="Garamond"/>
        </w:rPr>
        <w:t>Gridded level 3 atmospheric data from January 2005 to December 2016 taken by Aura’s Ozone Monitoring Instrument and obtained through the Goddard Earth Sciences Data and Information Services Center (GES DISC). The OMI data for ozone and SO</w:t>
      </w:r>
      <w:r>
        <w:rPr>
          <w:rFonts w:ascii="Garamond" w:eastAsia="Garamond" w:hAnsi="Garamond" w:cs="Garamond"/>
          <w:vertAlign w:val="subscript"/>
        </w:rPr>
        <w:t>2</w:t>
      </w:r>
      <w:r>
        <w:rPr>
          <w:rFonts w:ascii="Garamond" w:eastAsia="Garamond" w:hAnsi="Garamond" w:cs="Garamond"/>
        </w:rPr>
        <w:t xml:space="preserve"> were given in Dobson Units (DU). Data for NO</w:t>
      </w:r>
      <w:r>
        <w:rPr>
          <w:rFonts w:ascii="Garamond" w:eastAsia="Garamond" w:hAnsi="Garamond" w:cs="Garamond"/>
          <w:vertAlign w:val="subscript"/>
        </w:rPr>
        <w:t>2</w:t>
      </w:r>
      <w:r>
        <w:rPr>
          <w:rFonts w:ascii="Garamond" w:eastAsia="Garamond" w:hAnsi="Garamond" w:cs="Garamond"/>
        </w:rPr>
        <w:t xml:space="preserve"> were in molecules/cm</w:t>
      </w:r>
      <w:r>
        <w:rPr>
          <w:rFonts w:ascii="Garamond" w:eastAsia="Garamond" w:hAnsi="Garamond" w:cs="Garamond"/>
          <w:vertAlign w:val="superscript"/>
        </w:rPr>
        <w:t>2</w:t>
      </w:r>
      <w:r>
        <w:rPr>
          <w:rFonts w:ascii="Garamond" w:eastAsia="Garamond" w:hAnsi="Garamond" w:cs="Garamond"/>
        </w:rPr>
        <w:t xml:space="preserve">. </w:t>
      </w:r>
    </w:p>
    <w:p w14:paraId="0867131F" w14:textId="77777777" w:rsidR="00941EE9" w:rsidRDefault="00941EE9">
      <w:pPr>
        <w:spacing w:after="0"/>
        <w:rPr>
          <w:rFonts w:ascii="Garamond" w:eastAsia="Garamond" w:hAnsi="Garamond" w:cs="Garamond"/>
        </w:rPr>
      </w:pPr>
    </w:p>
    <w:p w14:paraId="7555498D" w14:textId="0DC82D95" w:rsidR="00941EE9" w:rsidRDefault="004E11BC">
      <w:pPr>
        <w:spacing w:after="0"/>
        <w:rPr>
          <w:rFonts w:ascii="Garamond" w:eastAsia="Garamond" w:hAnsi="Garamond" w:cs="Garamond"/>
        </w:rPr>
      </w:pPr>
      <w:r>
        <w:rPr>
          <w:rFonts w:ascii="Garamond" w:eastAsia="Garamond" w:hAnsi="Garamond" w:cs="Garamond"/>
        </w:rPr>
        <w:lastRenderedPageBreak/>
        <w:t>Table 1</w:t>
      </w:r>
      <w:r w:rsidR="00B37E0D">
        <w:rPr>
          <w:rFonts w:ascii="Garamond" w:eastAsia="Garamond" w:hAnsi="Garamond" w:cs="Garamond"/>
        </w:rPr>
        <w:t>.</w:t>
      </w:r>
    </w:p>
    <w:p w14:paraId="63F39663" w14:textId="77777777" w:rsidR="00941EE9" w:rsidRDefault="004E11BC">
      <w:pPr>
        <w:spacing w:after="0"/>
        <w:rPr>
          <w:rFonts w:ascii="Garamond" w:eastAsia="Garamond" w:hAnsi="Garamond" w:cs="Garamond"/>
          <w:i/>
        </w:rPr>
      </w:pPr>
      <w:r>
        <w:rPr>
          <w:rFonts w:ascii="Garamond" w:eastAsia="Garamond" w:hAnsi="Garamond" w:cs="Garamond"/>
          <w:i/>
        </w:rPr>
        <w:t>List of satellite data products used to create maps and correlation graphs</w:t>
      </w:r>
    </w:p>
    <w:tbl>
      <w:tblPr>
        <w:tblStyle w:val="1"/>
        <w:tblW w:w="96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1"/>
        <w:gridCol w:w="3885"/>
        <w:gridCol w:w="1995"/>
        <w:gridCol w:w="2475"/>
      </w:tblGrid>
      <w:tr w:rsidR="00941EE9" w14:paraId="205FFD4F" w14:textId="77777777">
        <w:tc>
          <w:tcPr>
            <w:tcW w:w="1301" w:type="dxa"/>
            <w:tcMar>
              <w:top w:w="100" w:type="dxa"/>
              <w:left w:w="100" w:type="dxa"/>
              <w:bottom w:w="100" w:type="dxa"/>
              <w:right w:w="100" w:type="dxa"/>
            </w:tcMar>
          </w:tcPr>
          <w:p w14:paraId="12DD5106" w14:textId="77777777" w:rsidR="00941EE9" w:rsidRDefault="004E11BC">
            <w:pPr>
              <w:spacing w:after="0" w:line="240" w:lineRule="auto"/>
              <w:jc w:val="center"/>
              <w:rPr>
                <w:rFonts w:ascii="Garamond" w:eastAsia="Garamond" w:hAnsi="Garamond" w:cs="Garamond"/>
                <w:b/>
              </w:rPr>
            </w:pPr>
            <w:r>
              <w:rPr>
                <w:rFonts w:ascii="Garamond" w:eastAsia="Garamond" w:hAnsi="Garamond" w:cs="Garamond"/>
                <w:b/>
              </w:rPr>
              <w:t>Parameter</w:t>
            </w:r>
          </w:p>
        </w:tc>
        <w:tc>
          <w:tcPr>
            <w:tcW w:w="3885" w:type="dxa"/>
            <w:tcMar>
              <w:top w:w="100" w:type="dxa"/>
              <w:left w:w="100" w:type="dxa"/>
              <w:bottom w:w="100" w:type="dxa"/>
              <w:right w:w="100" w:type="dxa"/>
            </w:tcMar>
          </w:tcPr>
          <w:p w14:paraId="4F7A0CB9" w14:textId="77777777" w:rsidR="00941EE9" w:rsidRDefault="004E11BC">
            <w:pPr>
              <w:spacing w:after="0" w:line="240" w:lineRule="auto"/>
              <w:jc w:val="center"/>
              <w:rPr>
                <w:rFonts w:ascii="Garamond" w:eastAsia="Garamond" w:hAnsi="Garamond" w:cs="Garamond"/>
                <w:b/>
              </w:rPr>
            </w:pPr>
            <w:r>
              <w:rPr>
                <w:rFonts w:ascii="Garamond" w:eastAsia="Garamond" w:hAnsi="Garamond" w:cs="Garamond"/>
                <w:b/>
              </w:rPr>
              <w:t>Data Product</w:t>
            </w:r>
          </w:p>
        </w:tc>
        <w:tc>
          <w:tcPr>
            <w:tcW w:w="1995" w:type="dxa"/>
            <w:tcMar>
              <w:top w:w="100" w:type="dxa"/>
              <w:left w:w="100" w:type="dxa"/>
              <w:bottom w:w="100" w:type="dxa"/>
              <w:right w:w="100" w:type="dxa"/>
            </w:tcMar>
          </w:tcPr>
          <w:p w14:paraId="1847023B" w14:textId="77777777" w:rsidR="00941EE9" w:rsidRDefault="004E11BC">
            <w:pPr>
              <w:spacing w:after="0" w:line="240" w:lineRule="auto"/>
              <w:jc w:val="center"/>
              <w:rPr>
                <w:rFonts w:ascii="Garamond" w:eastAsia="Garamond" w:hAnsi="Garamond" w:cs="Garamond"/>
                <w:b/>
              </w:rPr>
            </w:pPr>
            <w:r>
              <w:rPr>
                <w:rFonts w:ascii="Garamond" w:eastAsia="Garamond" w:hAnsi="Garamond" w:cs="Garamond"/>
                <w:b/>
              </w:rPr>
              <w:t>Atmospheric Layer Measured</w:t>
            </w:r>
          </w:p>
        </w:tc>
        <w:tc>
          <w:tcPr>
            <w:tcW w:w="2475" w:type="dxa"/>
            <w:tcMar>
              <w:top w:w="100" w:type="dxa"/>
              <w:left w:w="100" w:type="dxa"/>
              <w:bottom w:w="100" w:type="dxa"/>
              <w:right w:w="100" w:type="dxa"/>
            </w:tcMar>
            <w:vAlign w:val="center"/>
          </w:tcPr>
          <w:p w14:paraId="772D4FEC" w14:textId="77777777" w:rsidR="00941EE9" w:rsidRDefault="004E11BC">
            <w:pPr>
              <w:spacing w:after="0" w:line="240" w:lineRule="auto"/>
              <w:jc w:val="center"/>
              <w:rPr>
                <w:rFonts w:ascii="Garamond" w:eastAsia="Garamond" w:hAnsi="Garamond" w:cs="Garamond"/>
                <w:b/>
              </w:rPr>
            </w:pPr>
            <w:r>
              <w:rPr>
                <w:rFonts w:ascii="Garamond" w:eastAsia="Garamond" w:hAnsi="Garamond" w:cs="Garamond"/>
                <w:b/>
              </w:rPr>
              <w:t>Study Area Timeframe</w:t>
            </w:r>
          </w:p>
        </w:tc>
      </w:tr>
      <w:tr w:rsidR="00941EE9" w14:paraId="43D44113" w14:textId="77777777">
        <w:tc>
          <w:tcPr>
            <w:tcW w:w="1301" w:type="dxa"/>
            <w:tcMar>
              <w:top w:w="100" w:type="dxa"/>
              <w:left w:w="100" w:type="dxa"/>
              <w:bottom w:w="100" w:type="dxa"/>
              <w:right w:w="100" w:type="dxa"/>
            </w:tcMar>
            <w:vAlign w:val="center"/>
          </w:tcPr>
          <w:p w14:paraId="1D857AD2"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Ozone (O</w:t>
            </w:r>
            <w:r>
              <w:rPr>
                <w:rFonts w:ascii="Garamond" w:eastAsia="Garamond" w:hAnsi="Garamond" w:cs="Garamond"/>
                <w:vertAlign w:val="subscript"/>
              </w:rPr>
              <w:t>3</w:t>
            </w:r>
            <w:r>
              <w:rPr>
                <w:rFonts w:ascii="Garamond" w:eastAsia="Garamond" w:hAnsi="Garamond" w:cs="Garamond"/>
              </w:rPr>
              <w:t>)</w:t>
            </w:r>
          </w:p>
        </w:tc>
        <w:tc>
          <w:tcPr>
            <w:tcW w:w="3885" w:type="dxa"/>
            <w:tcMar>
              <w:top w:w="100" w:type="dxa"/>
              <w:left w:w="100" w:type="dxa"/>
              <w:bottom w:w="100" w:type="dxa"/>
              <w:right w:w="100" w:type="dxa"/>
            </w:tcMar>
            <w:vAlign w:val="center"/>
          </w:tcPr>
          <w:p w14:paraId="24C589D5" w14:textId="77777777" w:rsidR="00941EE9" w:rsidRDefault="004E11BC">
            <w:pPr>
              <w:spacing w:after="0"/>
              <w:jc w:val="center"/>
              <w:rPr>
                <w:rFonts w:ascii="Garamond" w:eastAsia="Garamond" w:hAnsi="Garamond" w:cs="Garamond"/>
              </w:rPr>
            </w:pPr>
            <w:r>
              <w:rPr>
                <w:rFonts w:ascii="Garamond" w:eastAsia="Garamond" w:hAnsi="Garamond" w:cs="Garamond"/>
                <w:highlight w:val="white"/>
              </w:rPr>
              <w:t>OMDOAO3e OMI/Aura Ozone (O</w:t>
            </w:r>
            <w:r>
              <w:rPr>
                <w:rFonts w:ascii="Garamond" w:eastAsia="Garamond" w:hAnsi="Garamond" w:cs="Garamond"/>
                <w:highlight w:val="white"/>
                <w:vertAlign w:val="subscript"/>
              </w:rPr>
              <w:t>3</w:t>
            </w:r>
            <w:r>
              <w:rPr>
                <w:rFonts w:ascii="Garamond" w:eastAsia="Garamond" w:hAnsi="Garamond" w:cs="Garamond"/>
                <w:highlight w:val="white"/>
              </w:rPr>
              <w:t xml:space="preserve">) DOAS Total Column Daily L3 Global 0.25deg </w:t>
            </w:r>
            <w:proofErr w:type="spellStart"/>
            <w:r>
              <w:rPr>
                <w:rFonts w:ascii="Garamond" w:eastAsia="Garamond" w:hAnsi="Garamond" w:cs="Garamond"/>
                <w:highlight w:val="white"/>
              </w:rPr>
              <w:t>Lat</w:t>
            </w:r>
            <w:proofErr w:type="spellEnd"/>
            <w:r>
              <w:rPr>
                <w:rFonts w:ascii="Garamond" w:eastAsia="Garamond" w:hAnsi="Garamond" w:cs="Garamond"/>
                <w:highlight w:val="white"/>
              </w:rPr>
              <w:t>/Lon Grid</w:t>
            </w:r>
          </w:p>
        </w:tc>
        <w:tc>
          <w:tcPr>
            <w:tcW w:w="1995" w:type="dxa"/>
            <w:tcMar>
              <w:top w:w="100" w:type="dxa"/>
              <w:left w:w="100" w:type="dxa"/>
              <w:bottom w:w="100" w:type="dxa"/>
              <w:right w:w="100" w:type="dxa"/>
            </w:tcMar>
            <w:vAlign w:val="center"/>
          </w:tcPr>
          <w:p w14:paraId="4945650E"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Total column</w:t>
            </w:r>
          </w:p>
        </w:tc>
        <w:tc>
          <w:tcPr>
            <w:tcW w:w="2475" w:type="dxa"/>
            <w:tcMar>
              <w:top w:w="100" w:type="dxa"/>
              <w:left w:w="100" w:type="dxa"/>
              <w:bottom w:w="100" w:type="dxa"/>
              <w:right w:w="100" w:type="dxa"/>
            </w:tcMar>
            <w:vAlign w:val="center"/>
          </w:tcPr>
          <w:p w14:paraId="0642982A"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2005 - 2013, 2015 - 2016</w:t>
            </w:r>
          </w:p>
        </w:tc>
      </w:tr>
      <w:tr w:rsidR="00941EE9" w14:paraId="57AFE64A" w14:textId="77777777">
        <w:tc>
          <w:tcPr>
            <w:tcW w:w="1301" w:type="dxa"/>
            <w:tcMar>
              <w:top w:w="100" w:type="dxa"/>
              <w:left w:w="100" w:type="dxa"/>
              <w:bottom w:w="100" w:type="dxa"/>
              <w:right w:w="100" w:type="dxa"/>
            </w:tcMar>
            <w:vAlign w:val="center"/>
          </w:tcPr>
          <w:p w14:paraId="40D14A1F"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Nitrogen Dioxide (NO</w:t>
            </w:r>
            <w:r>
              <w:rPr>
                <w:rFonts w:ascii="Garamond" w:eastAsia="Garamond" w:hAnsi="Garamond" w:cs="Garamond"/>
                <w:vertAlign w:val="subscript"/>
              </w:rPr>
              <w:t>2</w:t>
            </w:r>
            <w:r>
              <w:rPr>
                <w:rFonts w:ascii="Garamond" w:eastAsia="Garamond" w:hAnsi="Garamond" w:cs="Garamond"/>
              </w:rPr>
              <w:t>)</w:t>
            </w:r>
          </w:p>
        </w:tc>
        <w:tc>
          <w:tcPr>
            <w:tcW w:w="3885" w:type="dxa"/>
            <w:tcMar>
              <w:top w:w="100" w:type="dxa"/>
              <w:left w:w="100" w:type="dxa"/>
              <w:bottom w:w="100" w:type="dxa"/>
              <w:right w:w="100" w:type="dxa"/>
            </w:tcMar>
            <w:vAlign w:val="center"/>
          </w:tcPr>
          <w:p w14:paraId="38156765"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OMNO2d OMI/Aura NO</w:t>
            </w:r>
            <w:r>
              <w:rPr>
                <w:rFonts w:ascii="Garamond" w:eastAsia="Garamond" w:hAnsi="Garamond" w:cs="Garamond"/>
                <w:vertAlign w:val="subscript"/>
              </w:rPr>
              <w:t>2</w:t>
            </w:r>
            <w:r>
              <w:rPr>
                <w:rFonts w:ascii="Garamond" w:eastAsia="Garamond" w:hAnsi="Garamond" w:cs="Garamond"/>
              </w:rPr>
              <w:t xml:space="preserve"> Cloud-Screened Total and Tropospheric Column Daily L3 Global 0.25deg </w:t>
            </w:r>
            <w:proofErr w:type="spellStart"/>
            <w:r>
              <w:rPr>
                <w:rFonts w:ascii="Garamond" w:eastAsia="Garamond" w:hAnsi="Garamond" w:cs="Garamond"/>
              </w:rPr>
              <w:t>Lat</w:t>
            </w:r>
            <w:proofErr w:type="spellEnd"/>
            <w:r>
              <w:rPr>
                <w:rFonts w:ascii="Garamond" w:eastAsia="Garamond" w:hAnsi="Garamond" w:cs="Garamond"/>
              </w:rPr>
              <w:t>/Lon Grid</w:t>
            </w:r>
          </w:p>
        </w:tc>
        <w:tc>
          <w:tcPr>
            <w:tcW w:w="1995" w:type="dxa"/>
            <w:tcMar>
              <w:top w:w="100" w:type="dxa"/>
              <w:left w:w="100" w:type="dxa"/>
              <w:bottom w:w="100" w:type="dxa"/>
              <w:right w:w="100" w:type="dxa"/>
            </w:tcMar>
            <w:vAlign w:val="center"/>
          </w:tcPr>
          <w:p w14:paraId="282C6941"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Total column</w:t>
            </w:r>
          </w:p>
          <w:p w14:paraId="4ACEBB1A"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 xml:space="preserve"> &amp; </w:t>
            </w:r>
          </w:p>
          <w:p w14:paraId="77ECC223"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Tropospheric</w:t>
            </w:r>
          </w:p>
        </w:tc>
        <w:tc>
          <w:tcPr>
            <w:tcW w:w="2475" w:type="dxa"/>
            <w:tcMar>
              <w:top w:w="100" w:type="dxa"/>
              <w:left w:w="100" w:type="dxa"/>
              <w:bottom w:w="100" w:type="dxa"/>
              <w:right w:w="100" w:type="dxa"/>
            </w:tcMar>
            <w:vAlign w:val="center"/>
          </w:tcPr>
          <w:p w14:paraId="50E0B5EB"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2005 - 2016</w:t>
            </w:r>
          </w:p>
        </w:tc>
      </w:tr>
      <w:tr w:rsidR="00941EE9" w14:paraId="0B4343ED" w14:textId="77777777">
        <w:tc>
          <w:tcPr>
            <w:tcW w:w="1301" w:type="dxa"/>
            <w:tcMar>
              <w:top w:w="100" w:type="dxa"/>
              <w:left w:w="100" w:type="dxa"/>
              <w:bottom w:w="100" w:type="dxa"/>
              <w:right w:w="100" w:type="dxa"/>
            </w:tcMar>
            <w:vAlign w:val="center"/>
          </w:tcPr>
          <w:p w14:paraId="122290A2"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Sulfur Dioxide (SO</w:t>
            </w:r>
            <w:r>
              <w:rPr>
                <w:rFonts w:ascii="Garamond" w:eastAsia="Garamond" w:hAnsi="Garamond" w:cs="Garamond"/>
                <w:vertAlign w:val="subscript"/>
              </w:rPr>
              <w:t>2</w:t>
            </w:r>
            <w:r>
              <w:rPr>
                <w:rFonts w:ascii="Garamond" w:eastAsia="Garamond" w:hAnsi="Garamond" w:cs="Garamond"/>
              </w:rPr>
              <w:t>)</w:t>
            </w:r>
          </w:p>
        </w:tc>
        <w:tc>
          <w:tcPr>
            <w:tcW w:w="3885" w:type="dxa"/>
            <w:tcMar>
              <w:top w:w="100" w:type="dxa"/>
              <w:left w:w="100" w:type="dxa"/>
              <w:bottom w:w="100" w:type="dxa"/>
              <w:right w:w="100" w:type="dxa"/>
            </w:tcMar>
            <w:vAlign w:val="center"/>
          </w:tcPr>
          <w:p w14:paraId="531351F8"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OMSO2e OMI/Aura Sulfur Dioxide (SO</w:t>
            </w:r>
            <w:r>
              <w:rPr>
                <w:rFonts w:ascii="Garamond" w:eastAsia="Garamond" w:hAnsi="Garamond" w:cs="Garamond"/>
                <w:vertAlign w:val="subscript"/>
              </w:rPr>
              <w:t>2</w:t>
            </w:r>
            <w:r>
              <w:rPr>
                <w:rFonts w:ascii="Garamond" w:eastAsia="Garamond" w:hAnsi="Garamond" w:cs="Garamond"/>
              </w:rPr>
              <w:t xml:space="preserve">) DOAS Total Column Daily L3 Global 0.25deg </w:t>
            </w:r>
            <w:proofErr w:type="spellStart"/>
            <w:r>
              <w:rPr>
                <w:rFonts w:ascii="Garamond" w:eastAsia="Garamond" w:hAnsi="Garamond" w:cs="Garamond"/>
              </w:rPr>
              <w:t>Lat</w:t>
            </w:r>
            <w:proofErr w:type="spellEnd"/>
            <w:r>
              <w:rPr>
                <w:rFonts w:ascii="Garamond" w:eastAsia="Garamond" w:hAnsi="Garamond" w:cs="Garamond"/>
              </w:rPr>
              <w:t>/Lon Grid</w:t>
            </w:r>
          </w:p>
        </w:tc>
        <w:tc>
          <w:tcPr>
            <w:tcW w:w="1995" w:type="dxa"/>
            <w:tcMar>
              <w:top w:w="100" w:type="dxa"/>
              <w:left w:w="100" w:type="dxa"/>
              <w:bottom w:w="100" w:type="dxa"/>
              <w:right w:w="100" w:type="dxa"/>
            </w:tcMar>
            <w:vAlign w:val="center"/>
          </w:tcPr>
          <w:p w14:paraId="273C7D00"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Total column</w:t>
            </w:r>
          </w:p>
        </w:tc>
        <w:tc>
          <w:tcPr>
            <w:tcW w:w="2475" w:type="dxa"/>
            <w:tcMar>
              <w:top w:w="100" w:type="dxa"/>
              <w:left w:w="100" w:type="dxa"/>
              <w:bottom w:w="100" w:type="dxa"/>
              <w:right w:w="100" w:type="dxa"/>
            </w:tcMar>
            <w:vAlign w:val="center"/>
          </w:tcPr>
          <w:p w14:paraId="56941DAC" w14:textId="77777777" w:rsidR="00941EE9" w:rsidRDefault="004E11BC">
            <w:pPr>
              <w:spacing w:after="0" w:line="240" w:lineRule="auto"/>
              <w:jc w:val="center"/>
              <w:rPr>
                <w:rFonts w:ascii="Garamond" w:eastAsia="Garamond" w:hAnsi="Garamond" w:cs="Garamond"/>
              </w:rPr>
            </w:pPr>
            <w:r>
              <w:rPr>
                <w:rFonts w:ascii="Garamond" w:eastAsia="Garamond" w:hAnsi="Garamond" w:cs="Garamond"/>
              </w:rPr>
              <w:t>2005 - 2007, 2009 - 2016</w:t>
            </w:r>
          </w:p>
        </w:tc>
      </w:tr>
    </w:tbl>
    <w:p w14:paraId="2E9198EA" w14:textId="77777777" w:rsidR="00941EE9" w:rsidRDefault="00941EE9">
      <w:pPr>
        <w:spacing w:after="0"/>
        <w:rPr>
          <w:rFonts w:ascii="Garamond" w:eastAsia="Garamond" w:hAnsi="Garamond" w:cs="Garamond"/>
          <w:i/>
        </w:rPr>
      </w:pPr>
    </w:p>
    <w:p w14:paraId="22A41D3B" w14:textId="77777777" w:rsidR="00941EE9" w:rsidRDefault="004E11BC" w:rsidP="005839BC">
      <w:pPr>
        <w:spacing w:after="0" w:line="240" w:lineRule="auto"/>
        <w:rPr>
          <w:rFonts w:ascii="Garamond" w:eastAsia="Garamond" w:hAnsi="Garamond" w:cs="Garamond"/>
        </w:rPr>
      </w:pPr>
      <w:r>
        <w:rPr>
          <w:rFonts w:ascii="Garamond" w:eastAsia="Garamond" w:hAnsi="Garamond" w:cs="Garamond"/>
          <w:i/>
        </w:rPr>
        <w:t>In situ</w:t>
      </w:r>
      <w:r>
        <w:rPr>
          <w:rFonts w:ascii="Garamond" w:eastAsia="Garamond" w:hAnsi="Garamond" w:cs="Garamond"/>
        </w:rPr>
        <w:t xml:space="preserve"> data were obtained from the Big Meadows monitoring station in Shenandoah National Park. Big Meadows station data included weekly measurements for SO</w:t>
      </w:r>
      <w:r>
        <w:rPr>
          <w:rFonts w:ascii="Garamond" w:eastAsia="Garamond" w:hAnsi="Garamond" w:cs="Garamond"/>
          <w:vertAlign w:val="subscript"/>
        </w:rPr>
        <w:t>2</w:t>
      </w:r>
      <w:r>
        <w:rPr>
          <w:rFonts w:ascii="Garamond" w:eastAsia="Garamond" w:hAnsi="Garamond" w:cs="Garamond"/>
        </w:rPr>
        <w:t xml:space="preserve"> particulates and hourly measurements of ozone concentrations collected through the EPA’s Clean Air Status and Trends Network (CASTNET). No </w:t>
      </w:r>
      <w:r>
        <w:rPr>
          <w:rFonts w:ascii="Garamond" w:eastAsia="Garamond" w:hAnsi="Garamond" w:cs="Garamond"/>
          <w:i/>
        </w:rPr>
        <w:t xml:space="preserve">in situ </w:t>
      </w:r>
      <w:r>
        <w:rPr>
          <w:rFonts w:ascii="Garamond" w:eastAsia="Garamond" w:hAnsi="Garamond" w:cs="Garamond"/>
        </w:rPr>
        <w:t>data were available for NO</w:t>
      </w:r>
      <w:r>
        <w:rPr>
          <w:rFonts w:ascii="Garamond" w:eastAsia="Garamond" w:hAnsi="Garamond" w:cs="Garamond"/>
          <w:vertAlign w:val="subscript"/>
        </w:rPr>
        <w:t>2</w:t>
      </w:r>
      <w:r>
        <w:rPr>
          <w:rFonts w:ascii="Garamond" w:eastAsia="Garamond" w:hAnsi="Garamond" w:cs="Garamond"/>
        </w:rPr>
        <w:t>. Data provided by the monitoring station were given in parts per billion (ppb).</w:t>
      </w:r>
    </w:p>
    <w:p w14:paraId="0D021A35" w14:textId="77777777" w:rsidR="00941EE9" w:rsidRDefault="00941EE9">
      <w:pPr>
        <w:spacing w:after="0" w:line="240" w:lineRule="auto"/>
        <w:rPr>
          <w:rFonts w:ascii="Garamond" w:eastAsia="Garamond" w:hAnsi="Garamond" w:cs="Garamond"/>
        </w:rPr>
      </w:pPr>
    </w:p>
    <w:p w14:paraId="24B41874" w14:textId="77777777" w:rsidR="00941EE9" w:rsidRDefault="004E11BC">
      <w:pPr>
        <w:spacing w:after="0"/>
        <w:rPr>
          <w:rFonts w:ascii="Garamond" w:eastAsia="Garamond" w:hAnsi="Garamond" w:cs="Garamond"/>
        </w:rPr>
      </w:pPr>
      <w:r>
        <w:rPr>
          <w:rFonts w:ascii="Garamond" w:eastAsia="Garamond" w:hAnsi="Garamond" w:cs="Garamond"/>
          <w:b/>
          <w:i/>
        </w:rPr>
        <w:t>3.2 Data Processing</w:t>
      </w:r>
    </w:p>
    <w:p w14:paraId="2C1AF2A2" w14:textId="749BF4E1" w:rsidR="00941EE9" w:rsidRDefault="004E11BC" w:rsidP="005839BC">
      <w:pPr>
        <w:spacing w:after="0" w:line="240" w:lineRule="auto"/>
        <w:rPr>
          <w:rFonts w:ascii="Garamond" w:eastAsia="Garamond" w:hAnsi="Garamond" w:cs="Garamond"/>
        </w:rPr>
      </w:pPr>
      <w:r>
        <w:rPr>
          <w:rFonts w:ascii="Garamond" w:eastAsia="Garamond" w:hAnsi="Garamond" w:cs="Garamond"/>
        </w:rPr>
        <w:t>For ozone, NO</w:t>
      </w:r>
      <w:r>
        <w:rPr>
          <w:rFonts w:ascii="Garamond" w:eastAsia="Garamond" w:hAnsi="Garamond" w:cs="Garamond"/>
          <w:vertAlign w:val="subscript"/>
        </w:rPr>
        <w:t>2</w:t>
      </w:r>
      <w:r>
        <w:rPr>
          <w:rFonts w:ascii="Garamond" w:eastAsia="Garamond" w:hAnsi="Garamond" w:cs="Garamond"/>
        </w:rPr>
        <w:t>, and SO</w:t>
      </w:r>
      <w:r>
        <w:rPr>
          <w:rFonts w:ascii="Garamond" w:eastAsia="Garamond" w:hAnsi="Garamond" w:cs="Garamond"/>
          <w:vertAlign w:val="subscript"/>
        </w:rPr>
        <w:t>2</w:t>
      </w:r>
      <w:r>
        <w:rPr>
          <w:rFonts w:ascii="Garamond" w:eastAsia="Garamond" w:hAnsi="Garamond" w:cs="Garamond"/>
        </w:rPr>
        <w:t xml:space="preserve"> data products, a python script using </w:t>
      </w:r>
      <w:proofErr w:type="spellStart"/>
      <w:r>
        <w:rPr>
          <w:rFonts w:ascii="Garamond" w:eastAsia="Garamond" w:hAnsi="Garamond" w:cs="Garamond"/>
        </w:rPr>
        <w:t>ArcPy</w:t>
      </w:r>
      <w:proofErr w:type="spellEnd"/>
      <w:r>
        <w:rPr>
          <w:rFonts w:ascii="Garamond" w:eastAsia="Garamond" w:hAnsi="Garamond" w:cs="Garamond"/>
        </w:rPr>
        <w:t xml:space="preserve"> was created to separate the correct sub</w:t>
      </w:r>
      <w:r w:rsidR="00695145">
        <w:rPr>
          <w:rFonts w:ascii="Garamond" w:eastAsia="Garamond" w:hAnsi="Garamond" w:cs="Garamond"/>
        </w:rPr>
        <w:t>-</w:t>
      </w:r>
      <w:r>
        <w:rPr>
          <w:rFonts w:ascii="Garamond" w:eastAsia="Garamond" w:hAnsi="Garamond" w:cs="Garamond"/>
        </w:rPr>
        <w:t>dataset containing the corresponding total column or tropospheric values from within the ‘.he5’ files. The daily OMI data were projected to WGS 1984 to ensure that comparison between scenes would be possible. Daily values were averaged into monthly values and saved in ‘.</w:t>
      </w:r>
      <w:proofErr w:type="spellStart"/>
      <w:r>
        <w:rPr>
          <w:rFonts w:ascii="Garamond" w:eastAsia="Garamond" w:hAnsi="Garamond" w:cs="Garamond"/>
        </w:rPr>
        <w:t>tif</w:t>
      </w:r>
      <w:proofErr w:type="spellEnd"/>
      <w:r>
        <w:rPr>
          <w:rFonts w:ascii="Garamond" w:eastAsia="Garamond" w:hAnsi="Garamond" w:cs="Garamond"/>
        </w:rPr>
        <w:t>’ files to be used within ArcGIS. Finally, each raster was masked to the study area (Figure 2). This process was done for each month between 2005 and 2016, excluding 2014. The data values for 2014 were significantly lower than other years in the study period, resulting in a skewed data set. In order to generate maps that accurately represented the data, 2014 was omitted from any calculations (Table 1).</w:t>
      </w:r>
    </w:p>
    <w:p w14:paraId="20DAF82F" w14:textId="77777777" w:rsidR="00941EE9" w:rsidRDefault="00941EE9" w:rsidP="005839BC">
      <w:pPr>
        <w:spacing w:after="0" w:line="240" w:lineRule="auto"/>
        <w:rPr>
          <w:rFonts w:ascii="Garamond" w:eastAsia="Garamond" w:hAnsi="Garamond" w:cs="Garamond"/>
        </w:rPr>
      </w:pPr>
    </w:p>
    <w:p w14:paraId="0B6FF9EB" w14:textId="77777777" w:rsidR="00941EE9" w:rsidRDefault="004E11BC" w:rsidP="005839BC">
      <w:pPr>
        <w:spacing w:after="0" w:line="240" w:lineRule="auto"/>
      </w:pPr>
      <w:r>
        <w:rPr>
          <w:rFonts w:ascii="Garamond" w:eastAsia="Garamond" w:hAnsi="Garamond" w:cs="Garamond"/>
        </w:rPr>
        <w:t xml:space="preserve">As there were no </w:t>
      </w:r>
      <w:r>
        <w:rPr>
          <w:rFonts w:ascii="Garamond" w:eastAsia="Garamond" w:hAnsi="Garamond" w:cs="Garamond"/>
          <w:i/>
        </w:rPr>
        <w:t xml:space="preserve">in situ </w:t>
      </w:r>
      <w:r>
        <w:rPr>
          <w:rFonts w:ascii="Garamond" w:eastAsia="Garamond" w:hAnsi="Garamond" w:cs="Garamond"/>
        </w:rPr>
        <w:t>data for NO</w:t>
      </w:r>
      <w:r>
        <w:rPr>
          <w:rFonts w:ascii="Garamond" w:eastAsia="Garamond" w:hAnsi="Garamond" w:cs="Garamond"/>
          <w:vertAlign w:val="subscript"/>
        </w:rPr>
        <w:t>2</w:t>
      </w:r>
      <w:r>
        <w:rPr>
          <w:rFonts w:ascii="Garamond" w:eastAsia="Garamond" w:hAnsi="Garamond" w:cs="Garamond"/>
        </w:rPr>
        <w:t xml:space="preserve"> at Big Meadows, both tropospheric and total column NO</w:t>
      </w:r>
      <w:r>
        <w:rPr>
          <w:rFonts w:ascii="Garamond" w:eastAsia="Garamond" w:hAnsi="Garamond" w:cs="Garamond"/>
          <w:vertAlign w:val="subscript"/>
        </w:rPr>
        <w:t>2</w:t>
      </w:r>
      <w:r>
        <w:rPr>
          <w:rFonts w:ascii="Garamond" w:eastAsia="Garamond" w:hAnsi="Garamond" w:cs="Garamond"/>
        </w:rPr>
        <w:t xml:space="preserve"> data were used for this project to see if there was any correlation between the two datasets. We hypothesized that tropospheric NO</w:t>
      </w:r>
      <w:r>
        <w:rPr>
          <w:rFonts w:ascii="Garamond" w:eastAsia="Garamond" w:hAnsi="Garamond" w:cs="Garamond"/>
          <w:vertAlign w:val="subscript"/>
        </w:rPr>
        <w:t>2</w:t>
      </w:r>
      <w:r>
        <w:rPr>
          <w:rFonts w:ascii="Garamond" w:eastAsia="Garamond" w:hAnsi="Garamond" w:cs="Garamond"/>
        </w:rPr>
        <w:t xml:space="preserve"> could be used as a measure of the pollutants close to the monitoring station at Big Meadows. All years from 2005 to 2016 were included for both tropospheric and total column NO</w:t>
      </w:r>
      <w:r>
        <w:rPr>
          <w:rFonts w:ascii="Garamond" w:eastAsia="Garamond" w:hAnsi="Garamond" w:cs="Garamond"/>
          <w:vertAlign w:val="subscript"/>
        </w:rPr>
        <w:t>2</w:t>
      </w:r>
      <w:r>
        <w:rPr>
          <w:rFonts w:ascii="Garamond" w:eastAsia="Garamond" w:hAnsi="Garamond" w:cs="Garamond"/>
        </w:rPr>
        <w:t xml:space="preserve"> (Table 1). </w:t>
      </w:r>
    </w:p>
    <w:p w14:paraId="61D373DA" w14:textId="77777777" w:rsidR="00941EE9" w:rsidRDefault="00941EE9" w:rsidP="005839BC">
      <w:pPr>
        <w:spacing w:after="0" w:line="240" w:lineRule="auto"/>
        <w:rPr>
          <w:rFonts w:ascii="Garamond" w:eastAsia="Garamond" w:hAnsi="Garamond" w:cs="Garamond"/>
        </w:rPr>
      </w:pPr>
    </w:p>
    <w:p w14:paraId="081056FA" w14:textId="3C517288" w:rsidR="00941EE9" w:rsidRDefault="004E11BC" w:rsidP="005839BC">
      <w:pPr>
        <w:spacing w:after="0" w:line="240" w:lineRule="auto"/>
        <w:rPr>
          <w:rFonts w:ascii="Garamond" w:eastAsia="Garamond" w:hAnsi="Garamond" w:cs="Garamond"/>
        </w:rPr>
      </w:pPr>
      <w:r>
        <w:rPr>
          <w:rFonts w:ascii="Garamond" w:eastAsia="Garamond" w:hAnsi="Garamond" w:cs="Garamond"/>
        </w:rPr>
        <w:t>After initial processing of the SO</w:t>
      </w:r>
      <w:r>
        <w:rPr>
          <w:rFonts w:ascii="Garamond" w:eastAsia="Garamond" w:hAnsi="Garamond" w:cs="Garamond"/>
          <w:vertAlign w:val="subscript"/>
        </w:rPr>
        <w:t>2</w:t>
      </w:r>
      <w:r>
        <w:rPr>
          <w:rFonts w:ascii="Garamond" w:eastAsia="Garamond" w:hAnsi="Garamond" w:cs="Garamond"/>
        </w:rPr>
        <w:t xml:space="preserve"> data using the methods explained, it was discovered tha</w:t>
      </w:r>
      <w:r w:rsidR="00323B87">
        <w:rPr>
          <w:rFonts w:ascii="Garamond" w:eastAsia="Garamond" w:hAnsi="Garamond" w:cs="Garamond"/>
        </w:rPr>
        <w:t>t the L</w:t>
      </w:r>
      <w:r>
        <w:rPr>
          <w:rFonts w:ascii="Garamond" w:eastAsia="Garamond" w:hAnsi="Garamond" w:cs="Garamond"/>
        </w:rPr>
        <w:t>evel 3 SO</w:t>
      </w:r>
      <w:r>
        <w:rPr>
          <w:rFonts w:ascii="Garamond" w:eastAsia="Garamond" w:hAnsi="Garamond" w:cs="Garamond"/>
          <w:vertAlign w:val="subscript"/>
        </w:rPr>
        <w:t>2</w:t>
      </w:r>
      <w:r>
        <w:rPr>
          <w:rFonts w:ascii="Garamond" w:eastAsia="Garamond" w:hAnsi="Garamond" w:cs="Garamond"/>
        </w:rPr>
        <w:t xml:space="preserve"> files obtained had incorrect latitude values, which had been inverted and needed correction. A new script was created to include a latitude inversion, and processing of SO</w:t>
      </w:r>
      <w:r>
        <w:rPr>
          <w:rFonts w:ascii="Garamond" w:eastAsia="Garamond" w:hAnsi="Garamond" w:cs="Garamond"/>
          <w:vertAlign w:val="subscript"/>
        </w:rPr>
        <w:t>2</w:t>
      </w:r>
      <w:r>
        <w:rPr>
          <w:rFonts w:ascii="Garamond" w:eastAsia="Garamond" w:hAnsi="Garamond" w:cs="Garamond"/>
        </w:rPr>
        <w:t xml:space="preserve"> resumed with the correct spatial parameters. All years for the study period were included in the SO</w:t>
      </w:r>
      <w:r>
        <w:rPr>
          <w:rFonts w:ascii="Garamond" w:eastAsia="Garamond" w:hAnsi="Garamond" w:cs="Garamond"/>
          <w:vertAlign w:val="subscript"/>
        </w:rPr>
        <w:t>2</w:t>
      </w:r>
      <w:r>
        <w:rPr>
          <w:rFonts w:ascii="Garamond" w:eastAsia="Garamond" w:hAnsi="Garamond" w:cs="Garamond"/>
        </w:rPr>
        <w:t xml:space="preserve"> data except 2008 (Table 1). The data values for 2008 were significantly higher than other years in the study period and if included resulted in a skewed data set. </w:t>
      </w:r>
    </w:p>
    <w:p w14:paraId="75E5740F" w14:textId="77777777" w:rsidR="00941EE9" w:rsidRDefault="00941EE9" w:rsidP="005839BC">
      <w:pPr>
        <w:spacing w:after="0" w:line="240" w:lineRule="auto"/>
        <w:rPr>
          <w:rFonts w:ascii="Garamond" w:eastAsia="Garamond" w:hAnsi="Garamond" w:cs="Garamond"/>
        </w:rPr>
      </w:pPr>
    </w:p>
    <w:p w14:paraId="32D67D75" w14:textId="61F2622B"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Big Meadows </w:t>
      </w:r>
      <w:r>
        <w:rPr>
          <w:rFonts w:ascii="Garamond" w:eastAsia="Garamond" w:hAnsi="Garamond" w:cs="Garamond"/>
          <w:i/>
        </w:rPr>
        <w:t xml:space="preserve">in situ </w:t>
      </w:r>
      <w:r>
        <w:rPr>
          <w:rFonts w:ascii="Garamond" w:eastAsia="Garamond" w:hAnsi="Garamond" w:cs="Garamond"/>
        </w:rPr>
        <w:t xml:space="preserve">monitoring data were filtered using Microsoft Excel to select measurements when OMI was sensing the park area. This overlap generally occurred at 1:00 pm Eastern Standard Time (EST), however occasionally measurements from within an hour of the overpass time were used to account for missed measurements at 1:00 pm. Of the 4,383 total daily observations, only 101 values were not taken at 1:00pm EST. These data from 2005 to 2016 were averaged by month to use for comparison and correlation analysis with the remote sensing data. </w:t>
      </w:r>
    </w:p>
    <w:p w14:paraId="6997B4DD" w14:textId="77777777" w:rsidR="00941EE9" w:rsidRDefault="00941EE9">
      <w:pPr>
        <w:spacing w:after="0"/>
        <w:jc w:val="center"/>
        <w:rPr>
          <w:rFonts w:ascii="Garamond" w:eastAsia="Garamond" w:hAnsi="Garamond" w:cs="Garamond"/>
        </w:rPr>
      </w:pPr>
    </w:p>
    <w:p w14:paraId="7C02676F" w14:textId="77777777" w:rsidR="00941EE9" w:rsidRDefault="004E11BC">
      <w:pPr>
        <w:spacing w:after="0"/>
        <w:jc w:val="center"/>
        <w:rPr>
          <w:rFonts w:ascii="Garamond" w:eastAsia="Garamond" w:hAnsi="Garamond" w:cs="Garamond"/>
        </w:rPr>
      </w:pPr>
      <w:r>
        <w:rPr>
          <w:noProof/>
        </w:rPr>
        <w:lastRenderedPageBreak/>
        <w:drawing>
          <wp:inline distT="0" distB="0" distL="0" distR="0" wp14:anchorId="21B7BA02" wp14:editId="2067A90F">
            <wp:extent cx="5943600" cy="1196340"/>
            <wp:effectExtent l="0" t="0" r="0" b="0"/>
            <wp:docPr id="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a:stretch>
                      <a:fillRect/>
                    </a:stretch>
                  </pic:blipFill>
                  <pic:spPr>
                    <a:xfrm>
                      <a:off x="0" y="0"/>
                      <a:ext cx="5943600" cy="1196340"/>
                    </a:xfrm>
                    <a:prstGeom prst="rect">
                      <a:avLst/>
                    </a:prstGeom>
                    <a:ln/>
                  </pic:spPr>
                </pic:pic>
              </a:graphicData>
            </a:graphic>
          </wp:inline>
        </w:drawing>
      </w:r>
    </w:p>
    <w:p w14:paraId="034715C6" w14:textId="77777777" w:rsidR="00941EE9" w:rsidRDefault="004E11BC">
      <w:pPr>
        <w:spacing w:after="0"/>
        <w:jc w:val="center"/>
        <w:rPr>
          <w:rFonts w:ascii="Garamond" w:eastAsia="Garamond" w:hAnsi="Garamond" w:cs="Garamond"/>
        </w:rPr>
      </w:pPr>
      <w:r>
        <w:rPr>
          <w:rFonts w:ascii="Garamond" w:eastAsia="Garamond" w:hAnsi="Garamond" w:cs="Garamond"/>
          <w:i/>
        </w:rPr>
        <w:t>Figure 2</w:t>
      </w:r>
      <w:r>
        <w:rPr>
          <w:rFonts w:ascii="Garamond" w:eastAsia="Garamond" w:hAnsi="Garamond" w:cs="Garamond"/>
        </w:rPr>
        <w:t>. Progression of daily Level 3 tropospheric NO</w:t>
      </w:r>
      <w:r>
        <w:rPr>
          <w:rFonts w:ascii="Garamond" w:eastAsia="Garamond" w:hAnsi="Garamond" w:cs="Garamond"/>
          <w:vertAlign w:val="subscript"/>
        </w:rPr>
        <w:t>2</w:t>
      </w:r>
      <w:r>
        <w:rPr>
          <w:rFonts w:ascii="Garamond" w:eastAsia="Garamond" w:hAnsi="Garamond" w:cs="Garamond"/>
        </w:rPr>
        <w:t xml:space="preserve"> OMI data to processed monthly averages</w:t>
      </w:r>
    </w:p>
    <w:p w14:paraId="591AF790" w14:textId="77777777" w:rsidR="00941EE9" w:rsidRDefault="00941EE9">
      <w:pPr>
        <w:spacing w:after="0"/>
        <w:rPr>
          <w:rFonts w:ascii="Garamond" w:eastAsia="Garamond" w:hAnsi="Garamond" w:cs="Garamond"/>
        </w:rPr>
      </w:pPr>
    </w:p>
    <w:p w14:paraId="7A9836B6" w14:textId="77777777" w:rsidR="00941EE9" w:rsidRDefault="004E11BC">
      <w:pPr>
        <w:spacing w:after="0"/>
        <w:rPr>
          <w:rFonts w:ascii="Garamond" w:eastAsia="Garamond" w:hAnsi="Garamond" w:cs="Garamond"/>
          <w:b/>
          <w:i/>
        </w:rPr>
      </w:pPr>
      <w:r>
        <w:rPr>
          <w:rFonts w:ascii="Garamond" w:eastAsia="Garamond" w:hAnsi="Garamond" w:cs="Garamond"/>
          <w:b/>
          <w:i/>
        </w:rPr>
        <w:t xml:space="preserve">3.3 Data Analysis </w:t>
      </w:r>
    </w:p>
    <w:p w14:paraId="3C77EE6F" w14:textId="34251525"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For analysis, the project compared different atmospheric parameters between the </w:t>
      </w:r>
      <w:r>
        <w:rPr>
          <w:rFonts w:ascii="Garamond" w:eastAsia="Garamond" w:hAnsi="Garamond" w:cs="Garamond"/>
          <w:i/>
        </w:rPr>
        <w:t>in situ</w:t>
      </w:r>
      <w:r>
        <w:rPr>
          <w:rFonts w:ascii="Garamond" w:eastAsia="Garamond" w:hAnsi="Garamond" w:cs="Garamond"/>
        </w:rPr>
        <w:t xml:space="preserve"> data and the satellite data obtained by OMI. OMI data </w:t>
      </w:r>
      <w:r w:rsidR="005621C3">
        <w:rPr>
          <w:rFonts w:ascii="Garamond" w:eastAsia="Garamond" w:hAnsi="Garamond" w:cs="Garamond"/>
        </w:rPr>
        <w:t xml:space="preserve">selected for final analysis </w:t>
      </w:r>
      <w:r>
        <w:rPr>
          <w:rFonts w:ascii="Garamond" w:eastAsia="Garamond" w:hAnsi="Garamond" w:cs="Garamond"/>
        </w:rPr>
        <w:t xml:space="preserve">were from nine pixels over and surrounding the park, not the entire </w:t>
      </w:r>
      <w:proofErr w:type="spellStart"/>
      <w:r>
        <w:rPr>
          <w:rFonts w:ascii="Garamond" w:eastAsia="Garamond" w:hAnsi="Garamond" w:cs="Garamond"/>
        </w:rPr>
        <w:t>airshed</w:t>
      </w:r>
      <w:proofErr w:type="spellEnd"/>
      <w:r>
        <w:rPr>
          <w:rFonts w:ascii="Garamond" w:eastAsia="Garamond" w:hAnsi="Garamond" w:cs="Garamond"/>
        </w:rPr>
        <w:t>. This provided analysis that is more applicable to the park and relatable to management decisions. Linear correlations were conducted to compare tropospheric NO</w:t>
      </w:r>
      <w:r>
        <w:rPr>
          <w:rFonts w:ascii="Garamond" w:eastAsia="Garamond" w:hAnsi="Garamond" w:cs="Garamond"/>
          <w:vertAlign w:val="subscript"/>
        </w:rPr>
        <w:t>2</w:t>
      </w:r>
      <w:r>
        <w:rPr>
          <w:rFonts w:ascii="Garamond" w:eastAsia="Garamond" w:hAnsi="Garamond" w:cs="Garamond"/>
        </w:rPr>
        <w:t xml:space="preserve"> to total column NO</w:t>
      </w:r>
      <w:r>
        <w:rPr>
          <w:rFonts w:ascii="Garamond" w:eastAsia="Garamond" w:hAnsi="Garamond" w:cs="Garamond"/>
          <w:vertAlign w:val="subscript"/>
        </w:rPr>
        <w:t>2</w:t>
      </w:r>
      <w:r>
        <w:rPr>
          <w:rFonts w:ascii="Garamond" w:eastAsia="Garamond" w:hAnsi="Garamond" w:cs="Garamond"/>
        </w:rPr>
        <w:t>, total column SO</w:t>
      </w:r>
      <w:r>
        <w:rPr>
          <w:rFonts w:ascii="Garamond" w:eastAsia="Garamond" w:hAnsi="Garamond" w:cs="Garamond"/>
          <w:vertAlign w:val="subscript"/>
        </w:rPr>
        <w:t>2</w:t>
      </w:r>
      <w:r>
        <w:rPr>
          <w:rFonts w:ascii="Garamond" w:eastAsia="Garamond" w:hAnsi="Garamond" w:cs="Garamond"/>
        </w:rPr>
        <w:t xml:space="preserve"> to </w:t>
      </w:r>
      <w:r>
        <w:rPr>
          <w:rFonts w:ascii="Garamond" w:eastAsia="Garamond" w:hAnsi="Garamond" w:cs="Garamond"/>
          <w:i/>
        </w:rPr>
        <w:t xml:space="preserve">in situ </w:t>
      </w:r>
      <w:r>
        <w:rPr>
          <w:rFonts w:ascii="Garamond" w:eastAsia="Garamond" w:hAnsi="Garamond" w:cs="Garamond"/>
        </w:rPr>
        <w:t>SO</w:t>
      </w:r>
      <w:r>
        <w:rPr>
          <w:rFonts w:ascii="Garamond" w:eastAsia="Garamond" w:hAnsi="Garamond" w:cs="Garamond"/>
          <w:vertAlign w:val="subscript"/>
        </w:rPr>
        <w:t>2</w:t>
      </w:r>
      <w:r>
        <w:rPr>
          <w:rFonts w:ascii="Garamond" w:eastAsia="Garamond" w:hAnsi="Garamond" w:cs="Garamond"/>
        </w:rPr>
        <w:t xml:space="preserve">, and total column ozone with </w:t>
      </w:r>
      <w:r>
        <w:rPr>
          <w:rFonts w:ascii="Garamond" w:eastAsia="Garamond" w:hAnsi="Garamond" w:cs="Garamond"/>
          <w:i/>
        </w:rPr>
        <w:t>in situ</w:t>
      </w:r>
      <w:r>
        <w:rPr>
          <w:rFonts w:ascii="Garamond" w:eastAsia="Garamond" w:hAnsi="Garamond" w:cs="Garamond"/>
        </w:rPr>
        <w:t xml:space="preserve"> ozone. Graphs to compare </w:t>
      </w:r>
      <w:r>
        <w:rPr>
          <w:rFonts w:ascii="Garamond" w:eastAsia="Garamond" w:hAnsi="Garamond" w:cs="Garamond"/>
          <w:i/>
        </w:rPr>
        <w:t xml:space="preserve">in situ </w:t>
      </w:r>
      <w:r>
        <w:rPr>
          <w:rFonts w:ascii="Garamond" w:eastAsia="Garamond" w:hAnsi="Garamond" w:cs="Garamond"/>
        </w:rPr>
        <w:t>data to OMI data were created despite the different unit measurements. The correlation graphs were used to analyze any comparable trends between remotely sensed and ground level data.</w:t>
      </w:r>
    </w:p>
    <w:p w14:paraId="6002FE26" w14:textId="77777777" w:rsidR="00941EE9" w:rsidRDefault="00941EE9" w:rsidP="005839BC">
      <w:pPr>
        <w:spacing w:after="0" w:line="240" w:lineRule="auto"/>
        <w:rPr>
          <w:rFonts w:ascii="Garamond" w:eastAsia="Garamond" w:hAnsi="Garamond" w:cs="Garamond"/>
        </w:rPr>
      </w:pPr>
    </w:p>
    <w:p w14:paraId="6DDCF23C" w14:textId="77777777"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OMI total column ozone data and Big Meadows ground level ozone data were processed into monthly averages. A direct comparison between the two datasets was not possible, as they were measured in different units. The OMI data were in Dobson Units and the </w:t>
      </w:r>
      <w:r>
        <w:rPr>
          <w:rFonts w:ascii="Garamond" w:eastAsia="Garamond" w:hAnsi="Garamond" w:cs="Garamond"/>
          <w:i/>
        </w:rPr>
        <w:t>in situ</w:t>
      </w:r>
      <w:r>
        <w:rPr>
          <w:rFonts w:ascii="Garamond" w:eastAsia="Garamond" w:hAnsi="Garamond" w:cs="Garamond"/>
        </w:rPr>
        <w:t xml:space="preserve"> data were in parts per billion, which are not comparable. Instead, a trend analysis was performed by creating a graph including the averages from both sensors. Maps depicting monthly ozone averages were also created using the spatially referenced OMI data. </w:t>
      </w:r>
    </w:p>
    <w:p w14:paraId="5045E05B" w14:textId="77777777" w:rsidR="00941EE9" w:rsidRDefault="00941EE9" w:rsidP="005839BC">
      <w:pPr>
        <w:spacing w:after="0" w:line="240" w:lineRule="auto"/>
        <w:rPr>
          <w:rFonts w:ascii="Garamond" w:eastAsia="Garamond" w:hAnsi="Garamond" w:cs="Garamond"/>
        </w:rPr>
      </w:pPr>
    </w:p>
    <w:p w14:paraId="23BCE6F1" w14:textId="77777777" w:rsidR="00941EE9" w:rsidRDefault="004E11BC" w:rsidP="005839BC">
      <w:pPr>
        <w:spacing w:after="0" w:line="240" w:lineRule="auto"/>
        <w:rPr>
          <w:rFonts w:ascii="Garamond" w:eastAsia="Garamond" w:hAnsi="Garamond" w:cs="Garamond"/>
        </w:rPr>
      </w:pPr>
      <w:r>
        <w:rPr>
          <w:rFonts w:ascii="Garamond" w:eastAsia="Garamond" w:hAnsi="Garamond" w:cs="Garamond"/>
        </w:rPr>
        <w:t>NO</w:t>
      </w:r>
      <w:r>
        <w:rPr>
          <w:rFonts w:ascii="Garamond" w:eastAsia="Garamond" w:hAnsi="Garamond" w:cs="Garamond"/>
          <w:vertAlign w:val="subscript"/>
        </w:rPr>
        <w:t>2</w:t>
      </w:r>
      <w:r>
        <w:rPr>
          <w:rFonts w:ascii="Garamond" w:eastAsia="Garamond" w:hAnsi="Garamond" w:cs="Garamond"/>
        </w:rPr>
        <w:t xml:space="preserve"> measurements are not recorded at Big Meadows, so a comparison of satellite data from OMI to </w:t>
      </w:r>
      <w:r>
        <w:rPr>
          <w:rFonts w:ascii="Garamond" w:eastAsia="Garamond" w:hAnsi="Garamond" w:cs="Garamond"/>
          <w:i/>
        </w:rPr>
        <w:t>in situ</w:t>
      </w:r>
      <w:r>
        <w:rPr>
          <w:rFonts w:ascii="Garamond" w:eastAsia="Garamond" w:hAnsi="Garamond" w:cs="Garamond"/>
        </w:rPr>
        <w:t xml:space="preserve"> data for NO</w:t>
      </w:r>
      <w:r>
        <w:rPr>
          <w:rFonts w:ascii="Garamond" w:eastAsia="Garamond" w:hAnsi="Garamond" w:cs="Garamond"/>
          <w:vertAlign w:val="subscript"/>
        </w:rPr>
        <w:t>2</w:t>
      </w:r>
      <w:r>
        <w:rPr>
          <w:rFonts w:ascii="Garamond" w:eastAsia="Garamond" w:hAnsi="Garamond" w:cs="Garamond"/>
        </w:rPr>
        <w:t xml:space="preserve"> was not possible. Instead, a comparison between total column NO</w:t>
      </w:r>
      <w:r>
        <w:rPr>
          <w:rFonts w:ascii="Garamond" w:eastAsia="Garamond" w:hAnsi="Garamond" w:cs="Garamond"/>
          <w:vertAlign w:val="subscript"/>
        </w:rPr>
        <w:t>2</w:t>
      </w:r>
      <w:r>
        <w:rPr>
          <w:rFonts w:ascii="Garamond" w:eastAsia="Garamond" w:hAnsi="Garamond" w:cs="Garamond"/>
        </w:rPr>
        <w:t xml:space="preserve"> and tropospheric NO</w:t>
      </w:r>
      <w:r>
        <w:rPr>
          <w:rFonts w:ascii="Garamond" w:eastAsia="Garamond" w:hAnsi="Garamond" w:cs="Garamond"/>
          <w:vertAlign w:val="subscript"/>
        </w:rPr>
        <w:t>2</w:t>
      </w:r>
      <w:r>
        <w:rPr>
          <w:rFonts w:ascii="Garamond" w:eastAsia="Garamond" w:hAnsi="Garamond" w:cs="Garamond"/>
        </w:rPr>
        <w:t xml:space="preserve"> was performed. Maps were created representing the monthly average values for both tropospheric and total column NO</w:t>
      </w:r>
      <w:r>
        <w:rPr>
          <w:rFonts w:ascii="Garamond" w:eastAsia="Garamond" w:hAnsi="Garamond" w:cs="Garamond"/>
          <w:vertAlign w:val="subscript"/>
        </w:rPr>
        <w:t>2</w:t>
      </w:r>
      <w:r>
        <w:rPr>
          <w:rFonts w:ascii="Garamond" w:eastAsia="Garamond" w:hAnsi="Garamond" w:cs="Garamond"/>
        </w:rPr>
        <w:t>, and graphs showing a comparison of the trends were also created.</w:t>
      </w:r>
    </w:p>
    <w:p w14:paraId="20F463E6" w14:textId="77777777" w:rsidR="00941EE9" w:rsidRDefault="00941EE9" w:rsidP="005839BC">
      <w:pPr>
        <w:spacing w:after="0" w:line="240" w:lineRule="auto"/>
        <w:rPr>
          <w:rFonts w:ascii="Garamond" w:eastAsia="Garamond" w:hAnsi="Garamond" w:cs="Garamond"/>
        </w:rPr>
      </w:pPr>
    </w:p>
    <w:p w14:paraId="6255EBEA" w14:textId="1A1A626B" w:rsidR="00941EE9" w:rsidRDefault="004E11BC" w:rsidP="005839BC">
      <w:pPr>
        <w:spacing w:after="0" w:line="240" w:lineRule="auto"/>
        <w:rPr>
          <w:rFonts w:ascii="Garamond" w:eastAsia="Garamond" w:hAnsi="Garamond" w:cs="Garamond"/>
        </w:rPr>
      </w:pPr>
      <w:r>
        <w:rPr>
          <w:rFonts w:ascii="Garamond" w:eastAsia="Garamond" w:hAnsi="Garamond" w:cs="Garamond"/>
        </w:rPr>
        <w:t>Similar analysis was performed on SO</w:t>
      </w:r>
      <w:r>
        <w:rPr>
          <w:rFonts w:ascii="Garamond" w:eastAsia="Garamond" w:hAnsi="Garamond" w:cs="Garamond"/>
          <w:vertAlign w:val="subscript"/>
        </w:rPr>
        <w:t>2</w:t>
      </w:r>
      <w:r>
        <w:rPr>
          <w:rFonts w:ascii="Garamond" w:eastAsia="Garamond" w:hAnsi="Garamond" w:cs="Garamond"/>
        </w:rPr>
        <w:t xml:space="preserve"> data. However, rather than representing on a map the monthly average values recorded by OMI, the monthly maximum was used. This ensured that high values were visible in the resulting map graphics, rather than hidden in the mass of data. For the comparison between satellite and </w:t>
      </w:r>
      <w:r>
        <w:rPr>
          <w:rFonts w:ascii="Garamond" w:eastAsia="Garamond" w:hAnsi="Garamond" w:cs="Garamond"/>
          <w:i/>
        </w:rPr>
        <w:t>in situ</w:t>
      </w:r>
      <w:r>
        <w:rPr>
          <w:rFonts w:ascii="Garamond" w:eastAsia="Garamond" w:hAnsi="Garamond" w:cs="Garamond"/>
        </w:rPr>
        <w:t xml:space="preserve"> SO</w:t>
      </w:r>
      <w:r>
        <w:rPr>
          <w:rFonts w:ascii="Garamond" w:eastAsia="Garamond" w:hAnsi="Garamond" w:cs="Garamond"/>
          <w:vertAlign w:val="subscript"/>
        </w:rPr>
        <w:t>2</w:t>
      </w:r>
      <w:r>
        <w:rPr>
          <w:rFonts w:ascii="Garamond" w:eastAsia="Garamond" w:hAnsi="Garamond" w:cs="Garamond"/>
        </w:rPr>
        <w:t xml:space="preserve"> data, a graph representing the monthly averages was created.</w:t>
      </w:r>
    </w:p>
    <w:p w14:paraId="15486366" w14:textId="77777777" w:rsidR="00941EE9" w:rsidRDefault="004E11BC" w:rsidP="005839BC">
      <w:pPr>
        <w:pStyle w:val="Heading1"/>
        <w:spacing w:line="240" w:lineRule="auto"/>
        <w:rPr>
          <w:rFonts w:ascii="Garamond" w:eastAsia="Garamond" w:hAnsi="Garamond" w:cs="Garamond"/>
        </w:rPr>
      </w:pPr>
      <w:bookmarkStart w:id="6" w:name="_tyjcwt" w:colFirst="0" w:colLast="0"/>
      <w:bookmarkEnd w:id="6"/>
      <w:r>
        <w:rPr>
          <w:rFonts w:ascii="Garamond" w:eastAsia="Garamond" w:hAnsi="Garamond" w:cs="Garamond"/>
        </w:rPr>
        <w:t>4. Results &amp; Discussion</w:t>
      </w:r>
    </w:p>
    <w:p w14:paraId="151A0F68" w14:textId="77777777" w:rsidR="00941EE9" w:rsidRDefault="004E11BC" w:rsidP="005839BC">
      <w:pPr>
        <w:spacing w:after="0" w:line="240" w:lineRule="auto"/>
        <w:rPr>
          <w:rFonts w:ascii="Garamond" w:eastAsia="Garamond" w:hAnsi="Garamond" w:cs="Garamond"/>
          <w:b/>
          <w:i/>
        </w:rPr>
      </w:pPr>
      <w:bookmarkStart w:id="7" w:name="_3dy6vkm" w:colFirst="0" w:colLast="0"/>
      <w:bookmarkEnd w:id="7"/>
      <w:r>
        <w:rPr>
          <w:rFonts w:ascii="Garamond" w:eastAsia="Garamond" w:hAnsi="Garamond" w:cs="Garamond"/>
          <w:b/>
          <w:i/>
        </w:rPr>
        <w:t>4.1 Analysis of Results</w:t>
      </w:r>
    </w:p>
    <w:p w14:paraId="23CDC9F9" w14:textId="77777777" w:rsidR="00941EE9" w:rsidRDefault="004E11BC" w:rsidP="005839BC">
      <w:pPr>
        <w:spacing w:after="0" w:line="240" w:lineRule="auto"/>
        <w:rPr>
          <w:rFonts w:ascii="Garamond" w:eastAsia="Garamond" w:hAnsi="Garamond" w:cs="Garamond"/>
          <w:i/>
        </w:rPr>
      </w:pPr>
      <w:r>
        <w:rPr>
          <w:rFonts w:ascii="Garamond" w:eastAsia="Garamond" w:hAnsi="Garamond" w:cs="Garamond"/>
          <w:i/>
        </w:rPr>
        <w:t>4.1.1 Ozone</w:t>
      </w:r>
    </w:p>
    <w:p w14:paraId="69EDC8AF" w14:textId="5D34375A" w:rsidR="00941EE9" w:rsidRDefault="004E11BC" w:rsidP="005839BC">
      <w:pPr>
        <w:spacing w:after="0" w:line="240" w:lineRule="auto"/>
        <w:rPr>
          <w:rFonts w:ascii="Garamond" w:eastAsia="Garamond" w:hAnsi="Garamond" w:cs="Garamond"/>
        </w:rPr>
      </w:pPr>
      <w:bookmarkStart w:id="8" w:name="_1t3h5sf" w:colFirst="0" w:colLast="0"/>
      <w:bookmarkEnd w:id="8"/>
      <w:r>
        <w:rPr>
          <w:rFonts w:ascii="Garamond" w:eastAsia="Garamond" w:hAnsi="Garamond" w:cs="Garamond"/>
        </w:rPr>
        <w:t>There was not a significant correlation (R</w:t>
      </w:r>
      <w:r>
        <w:rPr>
          <w:rFonts w:ascii="Garamond" w:eastAsia="Garamond" w:hAnsi="Garamond" w:cs="Garamond"/>
          <w:vertAlign w:val="superscript"/>
        </w:rPr>
        <w:t xml:space="preserve">2 </w:t>
      </w:r>
      <w:r>
        <w:rPr>
          <w:rFonts w:ascii="Garamond" w:eastAsia="Garamond" w:hAnsi="Garamond" w:cs="Garamond"/>
        </w:rPr>
        <w:t xml:space="preserve">= 0.0004) between the </w:t>
      </w:r>
      <w:r>
        <w:rPr>
          <w:rFonts w:ascii="Garamond" w:eastAsia="Garamond" w:hAnsi="Garamond" w:cs="Garamond"/>
          <w:i/>
        </w:rPr>
        <w:t>in situ</w:t>
      </w:r>
      <w:r>
        <w:rPr>
          <w:rFonts w:ascii="Garamond" w:eastAsia="Garamond" w:hAnsi="Garamond" w:cs="Garamond"/>
        </w:rPr>
        <w:t xml:space="preserve"> data and the satellite observations for ozone (Figures 3 &amp; 4). This is likely because the project used total column ozone data for its analysis. Acquisition of tropospheric ozone residuals may improve the correlation with the ground level data, given the atmospheric dynamics of ozone. Within the total column measurements, the majority of ozone is located in the stratosphere, which would not correlate with ground level observations (Wayne, 1993). A tropospheric ozone residual product is available through a research team at NASA Goddard Space Flight Center, but was not accessed during the timeframe for this project. Although there was no significant annual variation detected, the ozone data collected did exhibit cyclical and seasonal trends. High values were found each year during the study period during the fall months. During the study period, the month with the highest ozone level each year was August, September, or October (Figure 5). Ozone trend maps illustrated higher levels of concentration in the summer and fall months</w:t>
      </w:r>
      <w:r w:rsidR="00254141">
        <w:rPr>
          <w:rFonts w:ascii="Garamond" w:eastAsia="Garamond" w:hAnsi="Garamond" w:cs="Garamond"/>
        </w:rPr>
        <w:t>, and a decrease in the winter months</w:t>
      </w:r>
      <w:r>
        <w:rPr>
          <w:rFonts w:ascii="Garamond" w:eastAsia="Garamond" w:hAnsi="Garamond" w:cs="Garamond"/>
        </w:rPr>
        <w:t xml:space="preserve"> (Figure 6). The maps reiterated the cyclical nature of ozone levels that the graphical analysis showed. They also did not illustrate a </w:t>
      </w:r>
      <w:r>
        <w:rPr>
          <w:rFonts w:ascii="Garamond" w:eastAsia="Garamond" w:hAnsi="Garamond" w:cs="Garamond"/>
        </w:rPr>
        <w:lastRenderedPageBreak/>
        <w:t>noticeable decrease over time, similar to the graphical analysis.</w:t>
      </w:r>
    </w:p>
    <w:p w14:paraId="6238CDFE" w14:textId="77777777" w:rsidR="00941EE9" w:rsidRDefault="00941EE9">
      <w:pPr>
        <w:spacing w:after="0" w:line="240" w:lineRule="auto"/>
        <w:rPr>
          <w:rFonts w:ascii="Garamond" w:eastAsia="Garamond" w:hAnsi="Garamond" w:cs="Garamond"/>
        </w:rPr>
      </w:pPr>
    </w:p>
    <w:p w14:paraId="6644ECF5" w14:textId="5823BDDC" w:rsidR="00B37E0D" w:rsidRPr="00B37E0D" w:rsidRDefault="005E48ED" w:rsidP="00B37E0D">
      <w:pPr>
        <w:spacing w:after="0" w:line="240" w:lineRule="auto"/>
        <w:jc w:val="center"/>
      </w:pPr>
      <w:r>
        <w:rPr>
          <w:noProof/>
        </w:rPr>
        <w:drawing>
          <wp:inline distT="0" distB="0" distL="0" distR="0" wp14:anchorId="5023CB4F" wp14:editId="658E07F1">
            <wp:extent cx="5943600" cy="2925445"/>
            <wp:effectExtent l="0" t="0" r="0" b="825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0989FD" w14:textId="631DFED1" w:rsidR="00941EE9" w:rsidRDefault="004E11BC">
      <w:pPr>
        <w:spacing w:after="0" w:line="240" w:lineRule="auto"/>
        <w:jc w:val="center"/>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Comparison of OMI total column ozone with </w:t>
      </w:r>
      <w:r>
        <w:rPr>
          <w:rFonts w:ascii="Garamond" w:eastAsia="Garamond" w:hAnsi="Garamond" w:cs="Garamond"/>
          <w:i/>
        </w:rPr>
        <w:t>in situ</w:t>
      </w:r>
      <w:r>
        <w:rPr>
          <w:rFonts w:ascii="Garamond" w:eastAsia="Garamond" w:hAnsi="Garamond" w:cs="Garamond"/>
        </w:rPr>
        <w:t xml:space="preserve"> data.</w:t>
      </w:r>
    </w:p>
    <w:p w14:paraId="35FF66F5" w14:textId="77777777" w:rsidR="00941EE9" w:rsidRDefault="00941EE9">
      <w:pPr>
        <w:spacing w:after="0" w:line="240" w:lineRule="auto"/>
        <w:jc w:val="center"/>
        <w:rPr>
          <w:rFonts w:ascii="Garamond" w:eastAsia="Garamond" w:hAnsi="Garamond" w:cs="Garamond"/>
        </w:rPr>
      </w:pPr>
    </w:p>
    <w:p w14:paraId="49870581" w14:textId="47C0AC95" w:rsidR="00B37E0D" w:rsidRDefault="005E48ED" w:rsidP="00B37E0D">
      <w:pPr>
        <w:spacing w:after="0" w:line="240" w:lineRule="auto"/>
        <w:jc w:val="center"/>
      </w:pPr>
      <w:r>
        <w:rPr>
          <w:noProof/>
        </w:rPr>
        <w:drawing>
          <wp:inline distT="0" distB="0" distL="0" distR="0" wp14:anchorId="3AFDB9D6" wp14:editId="1DBA997E">
            <wp:extent cx="5110992" cy="2914650"/>
            <wp:effectExtent l="0" t="0" r="1397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A01EEF" w14:textId="77777777" w:rsidR="00941EE9" w:rsidRDefault="004E11BC">
      <w:pPr>
        <w:spacing w:after="0" w:line="240" w:lineRule="auto"/>
        <w:jc w:val="center"/>
        <w:rPr>
          <w:rFonts w:ascii="Garamond" w:eastAsia="Garamond" w:hAnsi="Garamond" w:cs="Garamond"/>
        </w:rPr>
      </w:pPr>
      <w:r>
        <w:rPr>
          <w:rFonts w:ascii="Garamond" w:eastAsia="Garamond" w:hAnsi="Garamond" w:cs="Garamond"/>
          <w:i/>
        </w:rPr>
        <w:t>Figure 4</w:t>
      </w:r>
      <w:r>
        <w:rPr>
          <w:rFonts w:ascii="Garamond" w:eastAsia="Garamond" w:hAnsi="Garamond" w:cs="Garamond"/>
        </w:rPr>
        <w:t xml:space="preserve">. Correlation analysis of OMI total column ozone versus </w:t>
      </w:r>
      <w:r>
        <w:rPr>
          <w:rFonts w:ascii="Garamond" w:eastAsia="Garamond" w:hAnsi="Garamond" w:cs="Garamond"/>
          <w:i/>
        </w:rPr>
        <w:t>in situ</w:t>
      </w:r>
      <w:r>
        <w:rPr>
          <w:rFonts w:ascii="Garamond" w:eastAsia="Garamond" w:hAnsi="Garamond" w:cs="Garamond"/>
        </w:rPr>
        <w:t xml:space="preserve"> measurements.</w:t>
      </w:r>
    </w:p>
    <w:p w14:paraId="6DCF9BE6" w14:textId="77777777" w:rsidR="00941EE9" w:rsidRDefault="00941EE9">
      <w:pPr>
        <w:spacing w:after="0" w:line="240" w:lineRule="auto"/>
        <w:rPr>
          <w:rFonts w:ascii="Garamond" w:eastAsia="Garamond" w:hAnsi="Garamond" w:cs="Garamond"/>
        </w:rPr>
      </w:pPr>
    </w:p>
    <w:p w14:paraId="509CC808" w14:textId="77777777" w:rsidR="00941EE9" w:rsidRDefault="00941EE9">
      <w:pPr>
        <w:spacing w:after="0" w:line="240" w:lineRule="auto"/>
        <w:rPr>
          <w:rFonts w:ascii="Garamond" w:eastAsia="Garamond" w:hAnsi="Garamond" w:cs="Garamond"/>
        </w:rPr>
      </w:pPr>
      <w:bookmarkStart w:id="9" w:name="_4d34og8" w:colFirst="0" w:colLast="0"/>
      <w:bookmarkEnd w:id="9"/>
    </w:p>
    <w:p w14:paraId="29B2AFF4" w14:textId="7224C388" w:rsidR="00941EE9" w:rsidRDefault="005E48ED">
      <w:pPr>
        <w:spacing w:after="0" w:line="240" w:lineRule="auto"/>
        <w:ind w:left="-144"/>
        <w:jc w:val="center"/>
        <w:rPr>
          <w:rFonts w:ascii="Garamond" w:eastAsia="Garamond" w:hAnsi="Garamond" w:cs="Garamond"/>
        </w:rPr>
      </w:pPr>
      <w:r>
        <w:rPr>
          <w:noProof/>
        </w:rPr>
        <w:lastRenderedPageBreak/>
        <w:drawing>
          <wp:inline distT="0" distB="0" distL="0" distR="0" wp14:anchorId="076E1A6B" wp14:editId="641EAEA5">
            <wp:extent cx="5943600" cy="228981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714DD56" w14:textId="77777777" w:rsidR="00941EE9" w:rsidRDefault="004E11BC">
      <w:pPr>
        <w:spacing w:after="0" w:line="240" w:lineRule="auto"/>
        <w:jc w:val="center"/>
        <w:rPr>
          <w:rFonts w:ascii="Garamond" w:eastAsia="Garamond" w:hAnsi="Garamond" w:cs="Garamond"/>
        </w:rPr>
      </w:pPr>
      <w:bookmarkStart w:id="10" w:name="_oyn5l7xe10a" w:colFirst="0" w:colLast="0"/>
      <w:bookmarkEnd w:id="10"/>
      <w:r>
        <w:rPr>
          <w:rFonts w:ascii="Garamond" w:eastAsia="Garamond" w:hAnsi="Garamond" w:cs="Garamond"/>
          <w:i/>
        </w:rPr>
        <w:t>Figure 5</w:t>
      </w:r>
      <w:r>
        <w:rPr>
          <w:rFonts w:ascii="Garamond" w:eastAsia="Garamond" w:hAnsi="Garamond" w:cs="Garamond"/>
        </w:rPr>
        <w:t xml:space="preserve">. Graph of monthly ozone </w:t>
      </w:r>
      <w:r>
        <w:rPr>
          <w:rFonts w:ascii="Garamond" w:eastAsia="Garamond" w:hAnsi="Garamond" w:cs="Garamond"/>
          <w:i/>
        </w:rPr>
        <w:t>in situ</w:t>
      </w:r>
      <w:r>
        <w:rPr>
          <w:rFonts w:ascii="Garamond" w:eastAsia="Garamond" w:hAnsi="Garamond" w:cs="Garamond"/>
        </w:rPr>
        <w:t xml:space="preserve"> data.</w:t>
      </w:r>
    </w:p>
    <w:p w14:paraId="067C00D7" w14:textId="317D7E7E" w:rsidR="00941EE9" w:rsidRDefault="00941EE9">
      <w:pPr>
        <w:spacing w:after="0" w:line="240" w:lineRule="auto"/>
        <w:rPr>
          <w:rFonts w:ascii="Garamond" w:eastAsia="Garamond" w:hAnsi="Garamond" w:cs="Garamond"/>
        </w:rPr>
      </w:pPr>
    </w:p>
    <w:p w14:paraId="79673239" w14:textId="129A7246" w:rsidR="00B37E0D" w:rsidRDefault="00B37E0D">
      <w:pPr>
        <w:spacing w:after="0" w:line="240" w:lineRule="auto"/>
        <w:rPr>
          <w:rFonts w:ascii="Garamond" w:eastAsia="Garamond" w:hAnsi="Garamond" w:cs="Garamond"/>
        </w:rPr>
      </w:pPr>
    </w:p>
    <w:p w14:paraId="4A1E925D" w14:textId="77777777" w:rsidR="00B37E0D" w:rsidRDefault="00B37E0D">
      <w:pPr>
        <w:spacing w:after="0" w:line="240" w:lineRule="auto"/>
        <w:rPr>
          <w:rFonts w:ascii="Garamond" w:eastAsia="Garamond" w:hAnsi="Garamond" w:cs="Garamond"/>
        </w:rPr>
      </w:pPr>
    </w:p>
    <w:p w14:paraId="5E38EE5A" w14:textId="77777777" w:rsidR="00941EE9" w:rsidRDefault="00941EE9">
      <w:pPr>
        <w:spacing w:after="0" w:line="240" w:lineRule="auto"/>
        <w:rPr>
          <w:rFonts w:ascii="Garamond" w:eastAsia="Garamond" w:hAnsi="Garamond" w:cs="Garamond"/>
        </w:rPr>
      </w:pPr>
    </w:p>
    <w:p w14:paraId="491CE004" w14:textId="77777777" w:rsidR="00941EE9" w:rsidRDefault="004E11BC">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543A3D38" wp14:editId="594B5F77">
            <wp:extent cx="2839720" cy="1864995"/>
            <wp:effectExtent l="0" t="0" r="0" b="0"/>
            <wp:docPr id="9" name="image27.jpg" descr="0116"/>
            <wp:cNvGraphicFramePr/>
            <a:graphic xmlns:a="http://schemas.openxmlformats.org/drawingml/2006/main">
              <a:graphicData uri="http://schemas.openxmlformats.org/drawingml/2006/picture">
                <pic:pic xmlns:pic="http://schemas.openxmlformats.org/drawingml/2006/picture">
                  <pic:nvPicPr>
                    <pic:cNvPr id="0" name="image27.jpg" descr="0116"/>
                    <pic:cNvPicPr preferRelativeResize="0"/>
                  </pic:nvPicPr>
                  <pic:blipFill>
                    <a:blip r:embed="rId14"/>
                    <a:srcRect/>
                    <a:stretch>
                      <a:fillRect/>
                    </a:stretch>
                  </pic:blipFill>
                  <pic:spPr>
                    <a:xfrm>
                      <a:off x="0" y="0"/>
                      <a:ext cx="2839720" cy="1864995"/>
                    </a:xfrm>
                    <a:prstGeom prst="rect">
                      <a:avLst/>
                    </a:prstGeom>
                    <a:ln/>
                  </pic:spPr>
                </pic:pic>
              </a:graphicData>
            </a:graphic>
          </wp:inline>
        </w:drawing>
      </w:r>
      <w:r>
        <w:rPr>
          <w:rFonts w:ascii="Garamond" w:eastAsia="Garamond" w:hAnsi="Garamond" w:cs="Garamond"/>
        </w:rPr>
        <w:t xml:space="preserve"> </w:t>
      </w:r>
      <w:r>
        <w:rPr>
          <w:rFonts w:ascii="Garamond" w:eastAsia="Garamond" w:hAnsi="Garamond" w:cs="Garamond"/>
          <w:noProof/>
        </w:rPr>
        <w:drawing>
          <wp:inline distT="0" distB="0" distL="0" distR="0" wp14:anchorId="3B9A3511" wp14:editId="25F2A90A">
            <wp:extent cx="2815590" cy="1852930"/>
            <wp:effectExtent l="0" t="0" r="0" b="0"/>
            <wp:docPr id="8" name="image26.jpg" descr="0916"/>
            <wp:cNvGraphicFramePr/>
            <a:graphic xmlns:a="http://schemas.openxmlformats.org/drawingml/2006/main">
              <a:graphicData uri="http://schemas.openxmlformats.org/drawingml/2006/picture">
                <pic:pic xmlns:pic="http://schemas.openxmlformats.org/drawingml/2006/picture">
                  <pic:nvPicPr>
                    <pic:cNvPr id="0" name="image26.jpg" descr="0916"/>
                    <pic:cNvPicPr preferRelativeResize="0"/>
                  </pic:nvPicPr>
                  <pic:blipFill>
                    <a:blip r:embed="rId15"/>
                    <a:srcRect/>
                    <a:stretch>
                      <a:fillRect/>
                    </a:stretch>
                  </pic:blipFill>
                  <pic:spPr>
                    <a:xfrm>
                      <a:off x="0" y="0"/>
                      <a:ext cx="2815590" cy="1852930"/>
                    </a:xfrm>
                    <a:prstGeom prst="rect">
                      <a:avLst/>
                    </a:prstGeom>
                    <a:ln/>
                  </pic:spPr>
                </pic:pic>
              </a:graphicData>
            </a:graphic>
          </wp:inline>
        </w:drawing>
      </w:r>
    </w:p>
    <w:p w14:paraId="73CAD3D0" w14:textId="1E4D4548" w:rsidR="00941EE9" w:rsidRDefault="00EE6E5B">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53F22F4" wp14:editId="6E11072D">
            <wp:extent cx="1019175" cy="619125"/>
            <wp:effectExtent l="0" t="0" r="9525" b="9525"/>
            <wp:docPr id="24" name="Picture 18" descr="C:\Users\ebubak\AppData\Local\Microsoft\Windows\INetCache\Content.Word\ozone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bubak\AppData\Local\Microsoft\Windows\INetCache\Content.Word\ozonelegen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9175" cy="619125"/>
                    </a:xfrm>
                    <a:prstGeom prst="rect">
                      <a:avLst/>
                    </a:prstGeom>
                    <a:noFill/>
                    <a:ln>
                      <a:noFill/>
                    </a:ln>
                  </pic:spPr>
                </pic:pic>
              </a:graphicData>
            </a:graphic>
          </wp:inline>
        </w:drawing>
      </w:r>
    </w:p>
    <w:p w14:paraId="472CD503" w14:textId="1AA33379" w:rsidR="00941EE9" w:rsidRDefault="004E11BC">
      <w:pPr>
        <w:spacing w:after="0" w:line="240" w:lineRule="auto"/>
        <w:jc w:val="center"/>
        <w:rPr>
          <w:rFonts w:ascii="Garamond" w:eastAsia="Garamond" w:hAnsi="Garamond" w:cs="Garamond"/>
        </w:rPr>
      </w:pPr>
      <w:r>
        <w:rPr>
          <w:rFonts w:ascii="Garamond" w:eastAsia="Garamond" w:hAnsi="Garamond" w:cs="Garamond"/>
          <w:i/>
        </w:rPr>
        <w:t>Figure 6</w:t>
      </w:r>
      <w:r>
        <w:rPr>
          <w:rFonts w:ascii="Garamond" w:eastAsia="Garamond" w:hAnsi="Garamond" w:cs="Garamond"/>
        </w:rPr>
        <w:t xml:space="preserve">. Monthly variation in total column ozone shown through January and </w:t>
      </w:r>
      <w:r w:rsidR="00B37E0D">
        <w:rPr>
          <w:rFonts w:ascii="Garamond" w:eastAsia="Garamond" w:hAnsi="Garamond" w:cs="Garamond"/>
        </w:rPr>
        <w:t>September 2016 monthly averages</w:t>
      </w:r>
    </w:p>
    <w:p w14:paraId="1DF4B713" w14:textId="77777777" w:rsidR="00941EE9" w:rsidRDefault="00941EE9">
      <w:pPr>
        <w:spacing w:after="0" w:line="240" w:lineRule="auto"/>
        <w:jc w:val="center"/>
        <w:rPr>
          <w:rFonts w:ascii="Garamond" w:eastAsia="Garamond" w:hAnsi="Garamond" w:cs="Garamond"/>
        </w:rPr>
      </w:pPr>
    </w:p>
    <w:p w14:paraId="5020055B" w14:textId="77777777" w:rsidR="00941EE9" w:rsidRDefault="00941EE9">
      <w:pPr>
        <w:spacing w:after="0" w:line="240" w:lineRule="auto"/>
        <w:jc w:val="center"/>
        <w:rPr>
          <w:rFonts w:ascii="Garamond" w:eastAsia="Garamond" w:hAnsi="Garamond" w:cs="Garamond"/>
          <w:i/>
        </w:rPr>
      </w:pPr>
      <w:bookmarkStart w:id="11" w:name="_17dp8vu" w:colFirst="0" w:colLast="0"/>
      <w:bookmarkEnd w:id="11"/>
    </w:p>
    <w:p w14:paraId="777A4966" w14:textId="77777777" w:rsidR="00941EE9" w:rsidRPr="00A8752E" w:rsidRDefault="004E11BC" w:rsidP="0045779A">
      <w:pPr>
        <w:spacing w:after="0"/>
        <w:rPr>
          <w:rFonts w:ascii="Garamond" w:eastAsia="Garamond" w:hAnsi="Garamond" w:cs="Garamond"/>
          <w:i/>
        </w:rPr>
      </w:pPr>
      <w:bookmarkStart w:id="12" w:name="_3rdcrjn" w:colFirst="0" w:colLast="0"/>
      <w:bookmarkEnd w:id="12"/>
      <w:r w:rsidRPr="00A8752E">
        <w:rPr>
          <w:rFonts w:ascii="Garamond" w:eastAsia="Garamond" w:hAnsi="Garamond" w:cs="Garamond"/>
          <w:i/>
        </w:rPr>
        <w:t>4.1.2 Nitrogen Dioxide</w:t>
      </w:r>
    </w:p>
    <w:p w14:paraId="295EC9FD" w14:textId="425AB18F" w:rsidR="00941EE9" w:rsidRDefault="004E11BC" w:rsidP="005839BC">
      <w:pPr>
        <w:spacing w:after="0" w:line="240" w:lineRule="auto"/>
        <w:rPr>
          <w:rFonts w:ascii="Garamond" w:eastAsia="Garamond" w:hAnsi="Garamond" w:cs="Garamond"/>
        </w:rPr>
      </w:pPr>
      <w:r>
        <w:rPr>
          <w:rFonts w:ascii="Garamond" w:eastAsia="Garamond" w:hAnsi="Garamond" w:cs="Garamond"/>
        </w:rPr>
        <w:t>Upon analysis of the linear correlation graphs, the only strong relationship (R=0.9736) found was between the tropospheric NO</w:t>
      </w:r>
      <w:r>
        <w:rPr>
          <w:rFonts w:ascii="Garamond" w:eastAsia="Garamond" w:hAnsi="Garamond" w:cs="Garamond"/>
          <w:vertAlign w:val="subscript"/>
        </w:rPr>
        <w:t>2</w:t>
      </w:r>
      <w:r>
        <w:rPr>
          <w:rFonts w:ascii="Garamond" w:eastAsia="Garamond" w:hAnsi="Garamond" w:cs="Garamond"/>
        </w:rPr>
        <w:t xml:space="preserve"> and total column NO</w:t>
      </w:r>
      <w:r>
        <w:rPr>
          <w:rFonts w:ascii="Garamond" w:eastAsia="Garamond" w:hAnsi="Garamond" w:cs="Garamond"/>
          <w:vertAlign w:val="subscript"/>
        </w:rPr>
        <w:t>2</w:t>
      </w:r>
      <w:r>
        <w:rPr>
          <w:rFonts w:ascii="Garamond" w:eastAsia="Garamond" w:hAnsi="Garamond" w:cs="Garamond"/>
        </w:rPr>
        <w:t xml:space="preserve"> (Figure 7). The graph of tropospheric versus total column NO</w:t>
      </w:r>
      <w:r>
        <w:rPr>
          <w:rFonts w:ascii="Garamond" w:eastAsia="Garamond" w:hAnsi="Garamond" w:cs="Garamond"/>
          <w:vertAlign w:val="subscript"/>
        </w:rPr>
        <w:t>2</w:t>
      </w:r>
      <w:r>
        <w:rPr>
          <w:rFonts w:ascii="Garamond" w:eastAsia="Garamond" w:hAnsi="Garamond" w:cs="Garamond"/>
        </w:rPr>
        <w:t xml:space="preserve"> indicates the overall amount of NO</w:t>
      </w:r>
      <w:r>
        <w:rPr>
          <w:rFonts w:ascii="Garamond" w:eastAsia="Garamond" w:hAnsi="Garamond" w:cs="Garamond"/>
          <w:vertAlign w:val="subscript"/>
        </w:rPr>
        <w:t>2</w:t>
      </w:r>
      <w:r>
        <w:rPr>
          <w:rFonts w:ascii="Garamond" w:eastAsia="Garamond" w:hAnsi="Garamond" w:cs="Garamond"/>
        </w:rPr>
        <w:t xml:space="preserve"> has been decreasing since 2005 by approximately 28 percent. The trend lines are near parallel</w:t>
      </w:r>
      <w:r w:rsidR="00B7205E">
        <w:rPr>
          <w:rFonts w:ascii="Garamond" w:eastAsia="Garamond" w:hAnsi="Garamond" w:cs="Garamond"/>
        </w:rPr>
        <w:t>;</w:t>
      </w:r>
      <w:r>
        <w:rPr>
          <w:rFonts w:ascii="Garamond" w:eastAsia="Garamond" w:hAnsi="Garamond" w:cs="Garamond"/>
        </w:rPr>
        <w:t xml:space="preserve"> </w:t>
      </w:r>
      <w:r w:rsidR="00B7205E">
        <w:rPr>
          <w:rFonts w:ascii="Garamond" w:eastAsia="Garamond" w:hAnsi="Garamond" w:cs="Garamond"/>
        </w:rPr>
        <w:t>t</w:t>
      </w:r>
      <w:r>
        <w:rPr>
          <w:rFonts w:ascii="Garamond" w:eastAsia="Garamond" w:hAnsi="Garamond" w:cs="Garamond"/>
        </w:rPr>
        <w:t>his is likely because of the total column being driven by tropospheric NO</w:t>
      </w:r>
      <w:r>
        <w:rPr>
          <w:rFonts w:ascii="Garamond" w:eastAsia="Garamond" w:hAnsi="Garamond" w:cs="Garamond"/>
          <w:vertAlign w:val="subscript"/>
        </w:rPr>
        <w:t>2</w:t>
      </w:r>
      <w:r w:rsidR="00B7205E">
        <w:rPr>
          <w:rFonts w:ascii="Garamond" w:eastAsia="Garamond" w:hAnsi="Garamond" w:cs="Garamond"/>
        </w:rPr>
        <w:t xml:space="preserve"> (Figure 8).</w:t>
      </w:r>
      <w:r>
        <w:rPr>
          <w:rFonts w:ascii="Garamond" w:eastAsia="Garamond" w:hAnsi="Garamond" w:cs="Garamond"/>
        </w:rPr>
        <w:t xml:space="preserve"> When comparing the maximum values of the tropospheric NO</w:t>
      </w:r>
      <w:r>
        <w:rPr>
          <w:rFonts w:ascii="Garamond" w:eastAsia="Garamond" w:hAnsi="Garamond" w:cs="Garamond"/>
          <w:vertAlign w:val="subscript"/>
        </w:rPr>
        <w:t>2</w:t>
      </w:r>
      <w:r>
        <w:rPr>
          <w:rFonts w:ascii="Garamond" w:eastAsia="Garamond" w:hAnsi="Garamond" w:cs="Garamond"/>
        </w:rPr>
        <w:t xml:space="preserve"> to the average values of the tropospheric NO</w:t>
      </w:r>
      <w:r>
        <w:rPr>
          <w:rFonts w:ascii="Garamond" w:eastAsia="Garamond" w:hAnsi="Garamond" w:cs="Garamond"/>
          <w:vertAlign w:val="subscript"/>
        </w:rPr>
        <w:t>2</w:t>
      </w:r>
      <w:r>
        <w:rPr>
          <w:rFonts w:ascii="Garamond" w:eastAsia="Garamond" w:hAnsi="Garamond" w:cs="Garamond"/>
        </w:rPr>
        <w:t>, the decrease over the study period appears more dramatically than only looking at average values. It shows that the days with very high levels of NO</w:t>
      </w:r>
      <w:r>
        <w:rPr>
          <w:rFonts w:ascii="Garamond" w:eastAsia="Garamond" w:hAnsi="Garamond" w:cs="Garamond"/>
          <w:vertAlign w:val="subscript"/>
        </w:rPr>
        <w:t>2</w:t>
      </w:r>
      <w:r>
        <w:rPr>
          <w:rFonts w:ascii="Garamond" w:eastAsia="Garamond" w:hAnsi="Garamond" w:cs="Garamond"/>
        </w:rPr>
        <w:t xml:space="preserve"> have decreased over the study period of 2005 to 2016 (Figure 9). Trend maps identified high concentrations of NO</w:t>
      </w:r>
      <w:r>
        <w:rPr>
          <w:rFonts w:ascii="Garamond" w:eastAsia="Garamond" w:hAnsi="Garamond" w:cs="Garamond"/>
          <w:vertAlign w:val="subscript"/>
        </w:rPr>
        <w:t xml:space="preserve">2 </w:t>
      </w:r>
      <w:r>
        <w:rPr>
          <w:rFonts w:ascii="Garamond" w:eastAsia="Garamond" w:hAnsi="Garamond" w:cs="Garamond"/>
        </w:rPr>
        <w:t>over large cities, such as New York City and Pittsburgh, and in regions such as the Ohio River Valley. The trend maps showed a visible decrease in NO</w:t>
      </w:r>
      <w:r>
        <w:rPr>
          <w:rFonts w:ascii="Garamond" w:eastAsia="Garamond" w:hAnsi="Garamond" w:cs="Garamond"/>
          <w:vertAlign w:val="subscript"/>
        </w:rPr>
        <w:t>2</w:t>
      </w:r>
      <w:r>
        <w:rPr>
          <w:rFonts w:ascii="Garamond" w:eastAsia="Garamond" w:hAnsi="Garamond" w:cs="Garamond"/>
        </w:rPr>
        <w:t xml:space="preserve"> levels from the beginning of the study period (2005) to the end (2016). Levels of NO</w:t>
      </w:r>
      <w:r>
        <w:rPr>
          <w:rFonts w:ascii="Garamond" w:eastAsia="Garamond" w:hAnsi="Garamond" w:cs="Garamond"/>
          <w:vertAlign w:val="subscript"/>
        </w:rPr>
        <w:t>2</w:t>
      </w:r>
      <w:r>
        <w:rPr>
          <w:rFonts w:ascii="Garamond" w:eastAsia="Garamond" w:hAnsi="Garamond" w:cs="Garamond"/>
        </w:rPr>
        <w:t xml:space="preserve"> were higher in winter months because of photochemical decomposition. Winter levels were consistently higher than summer levels, </w:t>
      </w:r>
      <w:r>
        <w:rPr>
          <w:rFonts w:ascii="Garamond" w:eastAsia="Garamond" w:hAnsi="Garamond" w:cs="Garamond"/>
        </w:rPr>
        <w:lastRenderedPageBreak/>
        <w:t>and decreased over time throughout the study period (Figure 10).</w:t>
      </w:r>
    </w:p>
    <w:p w14:paraId="3477B32C" w14:textId="77777777" w:rsidR="00941EE9" w:rsidRDefault="00941EE9">
      <w:pPr>
        <w:spacing w:after="0" w:line="240" w:lineRule="auto"/>
        <w:rPr>
          <w:rFonts w:ascii="Garamond" w:eastAsia="Garamond" w:hAnsi="Garamond" w:cs="Garamond"/>
        </w:rPr>
      </w:pPr>
    </w:p>
    <w:p w14:paraId="6F2164AA" w14:textId="77777777" w:rsidR="00941EE9" w:rsidRDefault="00941EE9">
      <w:pPr>
        <w:spacing w:after="0" w:line="240" w:lineRule="auto"/>
      </w:pPr>
      <w:bookmarkStart w:id="13" w:name="_y30pl055jwng" w:colFirst="0" w:colLast="0"/>
      <w:bookmarkEnd w:id="13"/>
    </w:p>
    <w:p w14:paraId="6F1FCB1C" w14:textId="2304D3C6" w:rsidR="00941EE9" w:rsidRDefault="005E48ED">
      <w:pPr>
        <w:spacing w:after="0" w:line="240" w:lineRule="auto"/>
        <w:rPr>
          <w:rFonts w:ascii="Garamond" w:eastAsia="Garamond" w:hAnsi="Garamond" w:cs="Garamond"/>
          <w:i/>
        </w:rPr>
      </w:pPr>
      <w:bookmarkStart w:id="14" w:name="_26in1rg" w:colFirst="0" w:colLast="0"/>
      <w:bookmarkEnd w:id="14"/>
      <w:r>
        <w:rPr>
          <w:noProof/>
        </w:rPr>
        <w:drawing>
          <wp:inline distT="0" distB="0" distL="0" distR="0" wp14:anchorId="0B3D19E4" wp14:editId="59FB02EA">
            <wp:extent cx="5943600" cy="2880995"/>
            <wp:effectExtent l="0" t="0" r="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BFED08" w14:textId="77777777" w:rsidR="00941EE9" w:rsidRDefault="004E11BC">
      <w:pPr>
        <w:spacing w:after="0" w:line="240" w:lineRule="auto"/>
        <w:jc w:val="center"/>
      </w:pPr>
      <w:bookmarkStart w:id="15" w:name="_ughj2kyd2a3c" w:colFirst="0" w:colLast="0"/>
      <w:bookmarkEnd w:id="15"/>
      <w:r>
        <w:rPr>
          <w:rFonts w:ascii="Garamond" w:eastAsia="Garamond" w:hAnsi="Garamond" w:cs="Garamond"/>
          <w:i/>
        </w:rPr>
        <w:t>Figure 7</w:t>
      </w:r>
      <w:r>
        <w:rPr>
          <w:rFonts w:ascii="Garamond" w:eastAsia="Garamond" w:hAnsi="Garamond" w:cs="Garamond"/>
        </w:rPr>
        <w:t>. Correlation graph for total column and tropospheric NO2 values.</w:t>
      </w:r>
    </w:p>
    <w:p w14:paraId="2AF50920" w14:textId="77777777" w:rsidR="00941EE9" w:rsidRDefault="00941EE9">
      <w:pPr>
        <w:spacing w:after="0" w:line="240" w:lineRule="auto"/>
        <w:jc w:val="center"/>
      </w:pPr>
    </w:p>
    <w:p w14:paraId="156BD377" w14:textId="77777777" w:rsidR="00941EE9" w:rsidRDefault="00941EE9">
      <w:pPr>
        <w:spacing w:after="0" w:line="240" w:lineRule="auto"/>
        <w:rPr>
          <w:rFonts w:ascii="Garamond" w:eastAsia="Garamond" w:hAnsi="Garamond" w:cs="Garamond"/>
        </w:rPr>
      </w:pPr>
    </w:p>
    <w:p w14:paraId="649C309A" w14:textId="3A5024C1" w:rsidR="00941EE9" w:rsidRDefault="005E48ED">
      <w:pPr>
        <w:spacing w:after="0" w:line="240" w:lineRule="auto"/>
        <w:jc w:val="center"/>
      </w:pPr>
      <w:r>
        <w:rPr>
          <w:noProof/>
        </w:rPr>
        <w:drawing>
          <wp:inline distT="0" distB="0" distL="0" distR="0" wp14:anchorId="2F9EC6B2" wp14:editId="0B6503E8">
            <wp:extent cx="5943600" cy="31718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0182DF" w14:textId="77777777" w:rsidR="00941EE9" w:rsidRDefault="004E11BC">
      <w:pPr>
        <w:spacing w:after="0" w:line="240" w:lineRule="auto"/>
        <w:jc w:val="center"/>
      </w:pPr>
      <w:r>
        <w:rPr>
          <w:rFonts w:ascii="Garamond" w:eastAsia="Garamond" w:hAnsi="Garamond" w:cs="Garamond"/>
          <w:i/>
        </w:rPr>
        <w:t>Figure 8</w:t>
      </w:r>
      <w:r>
        <w:rPr>
          <w:rFonts w:ascii="Garamond" w:eastAsia="Garamond" w:hAnsi="Garamond" w:cs="Garamond"/>
        </w:rPr>
        <w:t>. Comparison graph of OMI total column to tropospheric for NO</w:t>
      </w:r>
      <w:r w:rsidRPr="00323B87">
        <w:rPr>
          <w:rFonts w:ascii="Garamond" w:eastAsia="Garamond" w:hAnsi="Garamond" w:cs="Garamond"/>
          <w:vertAlign w:val="subscript"/>
        </w:rPr>
        <w:t>2</w:t>
      </w:r>
      <w:r>
        <w:rPr>
          <w:rFonts w:ascii="Garamond" w:eastAsia="Garamond" w:hAnsi="Garamond" w:cs="Garamond"/>
        </w:rPr>
        <w:t>.</w:t>
      </w:r>
    </w:p>
    <w:p w14:paraId="700699AC" w14:textId="77777777" w:rsidR="00941EE9" w:rsidRDefault="00941EE9">
      <w:pPr>
        <w:spacing w:after="0" w:line="240" w:lineRule="auto"/>
        <w:jc w:val="center"/>
        <w:rPr>
          <w:rFonts w:ascii="Garamond" w:eastAsia="Garamond" w:hAnsi="Garamond" w:cs="Garamond"/>
        </w:rPr>
      </w:pPr>
      <w:bookmarkStart w:id="16" w:name="_lnxbz9" w:colFirst="0" w:colLast="0"/>
      <w:bookmarkEnd w:id="16"/>
    </w:p>
    <w:p w14:paraId="2F176F77" w14:textId="5436CC8A" w:rsidR="00D11B62" w:rsidRDefault="00D11B62" w:rsidP="00B37E0D">
      <w:pPr>
        <w:spacing w:after="0" w:line="240" w:lineRule="auto"/>
        <w:rPr>
          <w:rFonts w:ascii="Garamond" w:eastAsia="Garamond" w:hAnsi="Garamond" w:cs="Garamond"/>
          <w:i/>
        </w:rPr>
      </w:pPr>
      <w:r>
        <w:rPr>
          <w:noProof/>
        </w:rPr>
        <w:lastRenderedPageBreak/>
        <w:drawing>
          <wp:inline distT="0" distB="0" distL="0" distR="0" wp14:anchorId="755F31C4" wp14:editId="63020F96">
            <wp:extent cx="5943600" cy="34766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B32CE5" w14:textId="4AC97EEF" w:rsidR="00941EE9" w:rsidRDefault="004E11BC">
      <w:pPr>
        <w:spacing w:after="0" w:line="240" w:lineRule="auto"/>
        <w:jc w:val="center"/>
        <w:rPr>
          <w:rFonts w:ascii="Garamond" w:eastAsia="Garamond" w:hAnsi="Garamond" w:cs="Garamond"/>
        </w:rPr>
      </w:pPr>
      <w:r>
        <w:rPr>
          <w:rFonts w:ascii="Garamond" w:eastAsia="Garamond" w:hAnsi="Garamond" w:cs="Garamond"/>
          <w:i/>
        </w:rPr>
        <w:t xml:space="preserve">Figure 9. </w:t>
      </w:r>
      <w:r>
        <w:rPr>
          <w:rFonts w:ascii="Garamond" w:eastAsia="Garamond" w:hAnsi="Garamond" w:cs="Garamond"/>
        </w:rPr>
        <w:t>Maximum and average values for OMI tropospheric NO</w:t>
      </w:r>
      <w:r>
        <w:rPr>
          <w:rFonts w:ascii="Garamond" w:eastAsia="Garamond" w:hAnsi="Garamond" w:cs="Garamond"/>
          <w:vertAlign w:val="subscript"/>
        </w:rPr>
        <w:t>2</w:t>
      </w:r>
      <w:r>
        <w:rPr>
          <w:rFonts w:ascii="Garamond" w:eastAsia="Garamond" w:hAnsi="Garamond" w:cs="Garamond"/>
        </w:rPr>
        <w:t xml:space="preserve"> data between 2005 and 2016.</w:t>
      </w:r>
    </w:p>
    <w:p w14:paraId="29B50D68" w14:textId="21D0B975" w:rsidR="00941EE9" w:rsidRDefault="00941EE9">
      <w:pPr>
        <w:spacing w:after="0" w:line="240" w:lineRule="auto"/>
        <w:rPr>
          <w:rFonts w:ascii="Garamond" w:eastAsia="Garamond" w:hAnsi="Garamond" w:cs="Garamond"/>
        </w:rPr>
      </w:pPr>
      <w:bookmarkStart w:id="17" w:name="_35nkun2" w:colFirst="0" w:colLast="0"/>
      <w:bookmarkStart w:id="18" w:name="_1ksv4uv" w:colFirst="0" w:colLast="0"/>
      <w:bookmarkEnd w:id="17"/>
      <w:bookmarkEnd w:id="18"/>
    </w:p>
    <w:p w14:paraId="21D022B4" w14:textId="77777777" w:rsidR="00941EE9" w:rsidRDefault="00941EE9">
      <w:pPr>
        <w:spacing w:after="0" w:line="240" w:lineRule="auto"/>
        <w:rPr>
          <w:rFonts w:ascii="Garamond" w:eastAsia="Garamond" w:hAnsi="Garamond" w:cs="Garamond"/>
        </w:rPr>
      </w:pPr>
    </w:p>
    <w:p w14:paraId="3DADE007" w14:textId="548592C3" w:rsidR="00644331" w:rsidRDefault="004E11BC" w:rsidP="007B5489">
      <w:pPr>
        <w:spacing w:after="0" w:line="240" w:lineRule="auto"/>
        <w:jc w:val="center"/>
        <w:rPr>
          <w:rFonts w:ascii="Garamond" w:eastAsia="Garamond" w:hAnsi="Garamond" w:cs="Garamond"/>
          <w:i/>
        </w:rPr>
      </w:pPr>
      <w:r>
        <w:rPr>
          <w:rFonts w:ascii="Garamond" w:eastAsia="Garamond" w:hAnsi="Garamond" w:cs="Garamond"/>
          <w:noProof/>
        </w:rPr>
        <w:drawing>
          <wp:inline distT="0" distB="0" distL="0" distR="0" wp14:anchorId="6521B255" wp14:editId="58C36488">
            <wp:extent cx="2743200" cy="1828800"/>
            <wp:effectExtent l="0" t="0" r="0" b="0"/>
            <wp:docPr id="12" name="image30.png" descr="C:\Users\ebubak\AppData\Local\Microsoft\Windows\INetCache\Content.Word\jan05.png"/>
            <wp:cNvGraphicFramePr/>
            <a:graphic xmlns:a="http://schemas.openxmlformats.org/drawingml/2006/main">
              <a:graphicData uri="http://schemas.openxmlformats.org/drawingml/2006/picture">
                <pic:pic xmlns:pic="http://schemas.openxmlformats.org/drawingml/2006/picture">
                  <pic:nvPicPr>
                    <pic:cNvPr id="0" name="image30.png" descr="C:\Users\ebubak\AppData\Local\Microsoft\Windows\INetCache\Content.Word\jan05.png"/>
                    <pic:cNvPicPr preferRelativeResize="0"/>
                  </pic:nvPicPr>
                  <pic:blipFill>
                    <a:blip r:embed="rId20"/>
                    <a:srcRect/>
                    <a:stretch>
                      <a:fillRect/>
                    </a:stretch>
                  </pic:blipFill>
                  <pic:spPr>
                    <a:xfrm>
                      <a:off x="0" y="0"/>
                      <a:ext cx="2743200" cy="1828800"/>
                    </a:xfrm>
                    <a:prstGeom prst="rect">
                      <a:avLst/>
                    </a:prstGeom>
                    <a:ln/>
                  </pic:spPr>
                </pic:pic>
              </a:graphicData>
            </a:graphic>
          </wp:inline>
        </w:drawing>
      </w:r>
      <w:r>
        <w:rPr>
          <w:rFonts w:ascii="Garamond" w:eastAsia="Garamond" w:hAnsi="Garamond" w:cs="Garamond"/>
        </w:rPr>
        <w:t xml:space="preserve"> </w:t>
      </w:r>
      <w:r>
        <w:rPr>
          <w:rFonts w:ascii="Garamond" w:eastAsia="Garamond" w:hAnsi="Garamond" w:cs="Garamond"/>
          <w:noProof/>
        </w:rPr>
        <w:drawing>
          <wp:inline distT="0" distB="0" distL="0" distR="0" wp14:anchorId="5AF4A6B2" wp14:editId="76ABED14">
            <wp:extent cx="2743200" cy="1828800"/>
            <wp:effectExtent l="0" t="0" r="0" b="0"/>
            <wp:docPr id="14" name="image32.png" descr="jan16"/>
            <wp:cNvGraphicFramePr/>
            <a:graphic xmlns:a="http://schemas.openxmlformats.org/drawingml/2006/main">
              <a:graphicData uri="http://schemas.openxmlformats.org/drawingml/2006/picture">
                <pic:pic xmlns:pic="http://schemas.openxmlformats.org/drawingml/2006/picture">
                  <pic:nvPicPr>
                    <pic:cNvPr id="0" name="image32.png" descr="jan16"/>
                    <pic:cNvPicPr preferRelativeResize="0"/>
                  </pic:nvPicPr>
                  <pic:blipFill>
                    <a:blip r:embed="rId21"/>
                    <a:srcRect/>
                    <a:stretch>
                      <a:fillRect/>
                    </a:stretch>
                  </pic:blipFill>
                  <pic:spPr>
                    <a:xfrm>
                      <a:off x="0" y="0"/>
                      <a:ext cx="2743200" cy="1828800"/>
                    </a:xfrm>
                    <a:prstGeom prst="rect">
                      <a:avLst/>
                    </a:prstGeom>
                    <a:ln/>
                  </pic:spPr>
                </pic:pic>
              </a:graphicData>
            </a:graphic>
          </wp:inline>
        </w:drawing>
      </w:r>
    </w:p>
    <w:p w14:paraId="7FA614A5" w14:textId="2A283BC2" w:rsidR="007B5489" w:rsidRPr="007B5489" w:rsidRDefault="007B5489" w:rsidP="007B5489">
      <w:pPr>
        <w:spacing w:after="0" w:line="240" w:lineRule="auto"/>
        <w:jc w:val="center"/>
        <w:rPr>
          <w:rFonts w:ascii="Garamond" w:eastAsia="Garamond" w:hAnsi="Garamond" w:cs="Garamond"/>
          <w:u w:val="single"/>
        </w:rPr>
      </w:pPr>
      <w:r>
        <w:rPr>
          <w:rFonts w:ascii="Garamond" w:eastAsia="Garamond" w:hAnsi="Garamond" w:cs="Garamond"/>
          <w:u w:val="single"/>
        </w:rPr>
        <w:t>Molecules/cm</w:t>
      </w:r>
      <w:r w:rsidRPr="007B5489">
        <w:rPr>
          <w:rFonts w:ascii="Garamond" w:eastAsia="Garamond" w:hAnsi="Garamond" w:cs="Garamond"/>
          <w:u w:val="single"/>
          <w:vertAlign w:val="superscript"/>
        </w:rPr>
        <w:t>2</w:t>
      </w:r>
    </w:p>
    <w:p w14:paraId="387C5626" w14:textId="4D7AD308" w:rsidR="00644331" w:rsidRDefault="00EE6E5B" w:rsidP="007B5489">
      <w:pPr>
        <w:spacing w:after="0" w:line="240" w:lineRule="auto"/>
        <w:jc w:val="center"/>
        <w:rPr>
          <w:rFonts w:ascii="Garamond" w:eastAsia="Garamond" w:hAnsi="Garamond" w:cs="Garamond"/>
          <w:i/>
        </w:rPr>
      </w:pPr>
      <w:r>
        <w:rPr>
          <w:rFonts w:ascii="Garamond" w:eastAsia="Garamond" w:hAnsi="Garamond" w:cs="Garamond"/>
          <w:i/>
          <w:noProof/>
        </w:rPr>
        <w:drawing>
          <wp:inline distT="0" distB="0" distL="0" distR="0" wp14:anchorId="2740889D" wp14:editId="1D0E6D10">
            <wp:extent cx="1095375" cy="447675"/>
            <wp:effectExtent l="0" t="0" r="9525" b="9525"/>
            <wp:docPr id="23" name="Picture 13" descr="C:\Users\ebubak\AppData\Local\Microsoft\Windows\INetCache\Content.Word\tropNO2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bubak\AppData\Local\Microsoft\Windows\INetCache\Content.Word\tropNO2legend.png"/>
                    <pic:cNvPicPr>
                      <a:picLocks noChangeAspect="1" noChangeArrowheads="1"/>
                    </pic:cNvPicPr>
                  </pic:nvPicPr>
                  <pic:blipFill>
                    <a:blip r:embed="rId22">
                      <a:extLst>
                        <a:ext uri="{28A0092B-C50C-407E-A947-70E740481C1C}">
                          <a14:useLocalDpi xmlns:a14="http://schemas.microsoft.com/office/drawing/2010/main" val="0"/>
                        </a:ext>
                      </a:extLst>
                    </a:blip>
                    <a:srcRect t="34454"/>
                    <a:stretch>
                      <a:fillRect/>
                    </a:stretch>
                  </pic:blipFill>
                  <pic:spPr bwMode="auto">
                    <a:xfrm>
                      <a:off x="0" y="0"/>
                      <a:ext cx="1095375" cy="447675"/>
                    </a:xfrm>
                    <a:prstGeom prst="rect">
                      <a:avLst/>
                    </a:prstGeom>
                    <a:noFill/>
                    <a:ln>
                      <a:noFill/>
                    </a:ln>
                  </pic:spPr>
                </pic:pic>
              </a:graphicData>
            </a:graphic>
          </wp:inline>
        </w:drawing>
      </w:r>
    </w:p>
    <w:p w14:paraId="72282759" w14:textId="7960C798" w:rsidR="00941EE9" w:rsidRDefault="004E11BC">
      <w:pPr>
        <w:spacing w:after="0" w:line="240" w:lineRule="auto"/>
        <w:jc w:val="center"/>
        <w:rPr>
          <w:rFonts w:ascii="Garamond" w:eastAsia="Garamond" w:hAnsi="Garamond" w:cs="Garamond"/>
        </w:rPr>
      </w:pPr>
      <w:r>
        <w:rPr>
          <w:rFonts w:ascii="Garamond" w:eastAsia="Garamond" w:hAnsi="Garamond" w:cs="Garamond"/>
          <w:i/>
        </w:rPr>
        <w:t>Figure 10</w:t>
      </w:r>
      <w:r>
        <w:rPr>
          <w:rFonts w:ascii="Garamond" w:eastAsia="Garamond" w:hAnsi="Garamond" w:cs="Garamond"/>
        </w:rPr>
        <w:t>. Average tropospheric NO</w:t>
      </w:r>
      <w:r>
        <w:rPr>
          <w:rFonts w:ascii="Garamond" w:eastAsia="Garamond" w:hAnsi="Garamond" w:cs="Garamond"/>
          <w:vertAlign w:val="subscript"/>
        </w:rPr>
        <w:t>2</w:t>
      </w:r>
      <w:r>
        <w:rPr>
          <w:rFonts w:ascii="Garamond" w:eastAsia="Garamond" w:hAnsi="Garamond" w:cs="Garamond"/>
        </w:rPr>
        <w:t xml:space="preserve"> for January 2005 and January 2016 (</w:t>
      </w:r>
      <w:r>
        <w:rPr>
          <w:rFonts w:ascii="Garamond" w:eastAsia="Garamond" w:hAnsi="Garamond" w:cs="Garamond"/>
          <w:i/>
        </w:rPr>
        <w:t>Note</w:t>
      </w:r>
      <w:r>
        <w:rPr>
          <w:rFonts w:ascii="Garamond" w:eastAsia="Garamond" w:hAnsi="Garamond" w:cs="Garamond"/>
        </w:rPr>
        <w:t>: blue values are low, orange values are high).</w:t>
      </w:r>
    </w:p>
    <w:p w14:paraId="097A7EB1" w14:textId="77777777" w:rsidR="00941EE9" w:rsidRDefault="00941EE9">
      <w:pPr>
        <w:spacing w:after="0" w:line="240" w:lineRule="auto"/>
        <w:jc w:val="center"/>
        <w:rPr>
          <w:rFonts w:ascii="Garamond" w:eastAsia="Garamond" w:hAnsi="Garamond" w:cs="Garamond"/>
        </w:rPr>
      </w:pPr>
    </w:p>
    <w:p w14:paraId="3B5AFB6E" w14:textId="1714E207" w:rsidR="00941EE9" w:rsidRDefault="00941EE9">
      <w:pPr>
        <w:spacing w:after="0" w:line="240" w:lineRule="auto"/>
        <w:rPr>
          <w:rFonts w:ascii="Garamond" w:eastAsia="Garamond" w:hAnsi="Garamond" w:cs="Garamond"/>
        </w:rPr>
      </w:pPr>
    </w:p>
    <w:p w14:paraId="172FE556" w14:textId="4446FE1D" w:rsidR="00D74712" w:rsidRDefault="00D74712">
      <w:pPr>
        <w:spacing w:after="0" w:line="240" w:lineRule="auto"/>
        <w:rPr>
          <w:rFonts w:ascii="Garamond" w:eastAsia="Garamond" w:hAnsi="Garamond" w:cs="Garamond"/>
        </w:rPr>
      </w:pPr>
    </w:p>
    <w:p w14:paraId="728F66B0" w14:textId="6264A27A" w:rsidR="00D74712" w:rsidRDefault="00D74712">
      <w:pPr>
        <w:spacing w:after="0" w:line="240" w:lineRule="auto"/>
        <w:rPr>
          <w:rFonts w:ascii="Garamond" w:eastAsia="Garamond" w:hAnsi="Garamond" w:cs="Garamond"/>
        </w:rPr>
      </w:pPr>
    </w:p>
    <w:p w14:paraId="49BA0813" w14:textId="32C922A9" w:rsidR="00D74712" w:rsidRDefault="00D74712">
      <w:pPr>
        <w:spacing w:after="0" w:line="240" w:lineRule="auto"/>
        <w:rPr>
          <w:rFonts w:ascii="Garamond" w:eastAsia="Garamond" w:hAnsi="Garamond" w:cs="Garamond"/>
        </w:rPr>
      </w:pPr>
    </w:p>
    <w:p w14:paraId="694383A3" w14:textId="384C97BD" w:rsidR="00D74712" w:rsidRDefault="00D74712">
      <w:pPr>
        <w:spacing w:after="0" w:line="240" w:lineRule="auto"/>
        <w:rPr>
          <w:rFonts w:ascii="Garamond" w:eastAsia="Garamond" w:hAnsi="Garamond" w:cs="Garamond"/>
        </w:rPr>
      </w:pPr>
    </w:p>
    <w:p w14:paraId="6D661283" w14:textId="2E16F716" w:rsidR="00D74712" w:rsidRDefault="00D74712">
      <w:pPr>
        <w:spacing w:after="0" w:line="240" w:lineRule="auto"/>
        <w:rPr>
          <w:rFonts w:ascii="Garamond" w:eastAsia="Garamond" w:hAnsi="Garamond" w:cs="Garamond"/>
        </w:rPr>
      </w:pPr>
    </w:p>
    <w:p w14:paraId="4211CC27" w14:textId="0B65747D" w:rsidR="00D74712" w:rsidRDefault="00D74712">
      <w:pPr>
        <w:spacing w:after="0" w:line="240" w:lineRule="auto"/>
        <w:rPr>
          <w:rFonts w:ascii="Garamond" w:eastAsia="Garamond" w:hAnsi="Garamond" w:cs="Garamond"/>
        </w:rPr>
      </w:pPr>
    </w:p>
    <w:p w14:paraId="4E3289BE" w14:textId="77777777" w:rsidR="00D74712" w:rsidRDefault="00D74712">
      <w:pPr>
        <w:spacing w:after="0" w:line="240" w:lineRule="auto"/>
        <w:rPr>
          <w:rFonts w:ascii="Garamond" w:eastAsia="Garamond" w:hAnsi="Garamond" w:cs="Garamond"/>
        </w:rPr>
      </w:pPr>
    </w:p>
    <w:p w14:paraId="2C6C8E78" w14:textId="77777777" w:rsidR="00941EE9" w:rsidRPr="00A8752E" w:rsidRDefault="004E11BC" w:rsidP="0045779A">
      <w:pPr>
        <w:spacing w:after="0"/>
        <w:rPr>
          <w:rFonts w:ascii="Garamond" w:eastAsia="Garamond" w:hAnsi="Garamond" w:cs="Garamond"/>
          <w:i/>
        </w:rPr>
      </w:pPr>
      <w:r w:rsidRPr="00A8752E">
        <w:rPr>
          <w:rFonts w:ascii="Garamond" w:eastAsia="Garamond" w:hAnsi="Garamond" w:cs="Garamond"/>
          <w:i/>
        </w:rPr>
        <w:lastRenderedPageBreak/>
        <w:t>4.1.3 Sulfur Dioxide</w:t>
      </w:r>
    </w:p>
    <w:p w14:paraId="7C8286B9" w14:textId="12384276" w:rsidR="00941EE9" w:rsidRDefault="004E11BC" w:rsidP="005839BC">
      <w:pPr>
        <w:spacing w:after="0" w:line="240" w:lineRule="auto"/>
        <w:rPr>
          <w:rFonts w:ascii="Garamond" w:eastAsia="Garamond" w:hAnsi="Garamond" w:cs="Garamond"/>
        </w:rPr>
      </w:pPr>
      <w:r>
        <w:rPr>
          <w:rFonts w:ascii="Garamond" w:eastAsia="Garamond" w:hAnsi="Garamond" w:cs="Garamond"/>
        </w:rPr>
        <w:t>There was no distinct pattern identified with SO</w:t>
      </w:r>
      <w:r>
        <w:rPr>
          <w:rFonts w:ascii="Garamond" w:eastAsia="Garamond" w:hAnsi="Garamond" w:cs="Garamond"/>
          <w:vertAlign w:val="subscript"/>
        </w:rPr>
        <w:t>2</w:t>
      </w:r>
      <w:r>
        <w:rPr>
          <w:rFonts w:ascii="Garamond" w:eastAsia="Garamond" w:hAnsi="Garamond" w:cs="Garamond"/>
        </w:rPr>
        <w:t xml:space="preserve"> (Figure 11). Any decrease that might have occurred was not picked up by our analysis, likely because of changes in pollution control since the original Clean Air Act and other state and national legislation. The detection level for SO</w:t>
      </w:r>
      <w:r>
        <w:rPr>
          <w:rFonts w:ascii="Garamond" w:eastAsia="Garamond" w:hAnsi="Garamond" w:cs="Garamond"/>
          <w:vertAlign w:val="subscript"/>
        </w:rPr>
        <w:t>2</w:t>
      </w:r>
      <w:r>
        <w:rPr>
          <w:rFonts w:ascii="Garamond" w:eastAsia="Garamond" w:hAnsi="Garamond" w:cs="Garamond"/>
        </w:rPr>
        <w:t xml:space="preserve"> from the OMI sensor is not sensitive enough for the low levels of SO</w:t>
      </w:r>
      <w:r>
        <w:rPr>
          <w:rFonts w:ascii="Garamond" w:eastAsia="Garamond" w:hAnsi="Garamond" w:cs="Garamond"/>
          <w:vertAlign w:val="subscript"/>
        </w:rPr>
        <w:t>2</w:t>
      </w:r>
      <w:r>
        <w:rPr>
          <w:rFonts w:ascii="Garamond" w:eastAsia="Garamond" w:hAnsi="Garamond" w:cs="Garamond"/>
        </w:rPr>
        <w:t xml:space="preserve"> in the study area during this study period. These results </w:t>
      </w:r>
      <w:r w:rsidR="00C86469">
        <w:rPr>
          <w:rFonts w:ascii="Garamond" w:eastAsia="Garamond" w:hAnsi="Garamond" w:cs="Garamond"/>
        </w:rPr>
        <w:t>are</w:t>
      </w:r>
      <w:r>
        <w:rPr>
          <w:rFonts w:ascii="Garamond" w:eastAsia="Garamond" w:hAnsi="Garamond" w:cs="Garamond"/>
        </w:rPr>
        <w:t xml:space="preserve"> positive for Shenandoah because they imply the levels of SO</w:t>
      </w:r>
      <w:r>
        <w:rPr>
          <w:rFonts w:ascii="Garamond" w:eastAsia="Garamond" w:hAnsi="Garamond" w:cs="Garamond"/>
          <w:vertAlign w:val="subscript"/>
        </w:rPr>
        <w:t>2</w:t>
      </w:r>
      <w:r>
        <w:rPr>
          <w:rFonts w:ascii="Garamond" w:eastAsia="Garamond" w:hAnsi="Garamond" w:cs="Garamond"/>
        </w:rPr>
        <w:t xml:space="preserve"> around the park are so low they are not easily detected by remote sensing. Trend maps did not illustrate distinguishable patterns in SO</w:t>
      </w:r>
      <w:r>
        <w:rPr>
          <w:rFonts w:ascii="Garamond" w:eastAsia="Garamond" w:hAnsi="Garamond" w:cs="Garamond"/>
          <w:vertAlign w:val="subscript"/>
        </w:rPr>
        <w:t>2</w:t>
      </w:r>
      <w:r>
        <w:rPr>
          <w:rFonts w:ascii="Garamond" w:eastAsia="Garamond" w:hAnsi="Garamond" w:cs="Garamond"/>
        </w:rPr>
        <w:t xml:space="preserve"> levels as were shown in NO</w:t>
      </w:r>
      <w:r>
        <w:rPr>
          <w:rFonts w:ascii="Garamond" w:eastAsia="Garamond" w:hAnsi="Garamond" w:cs="Garamond"/>
          <w:vertAlign w:val="subscript"/>
        </w:rPr>
        <w:t>2</w:t>
      </w:r>
      <w:r>
        <w:rPr>
          <w:rFonts w:ascii="Garamond" w:eastAsia="Garamond" w:hAnsi="Garamond" w:cs="Garamond"/>
        </w:rPr>
        <w:t>. However, lower values do appear more often in the later years of the study period than in the earlier years (Figure 12). This was likely because of similar issues from the graph comparison analysis regarding the low detection levels of the OMI sensor for SO</w:t>
      </w:r>
      <w:r>
        <w:rPr>
          <w:rFonts w:ascii="Garamond" w:eastAsia="Garamond" w:hAnsi="Garamond" w:cs="Garamond"/>
          <w:vertAlign w:val="subscript"/>
        </w:rPr>
        <w:t>2</w:t>
      </w:r>
      <w:r>
        <w:rPr>
          <w:rFonts w:ascii="Garamond" w:eastAsia="Garamond" w:hAnsi="Garamond" w:cs="Garamond"/>
        </w:rPr>
        <w:t xml:space="preserve"> data.</w:t>
      </w:r>
    </w:p>
    <w:p w14:paraId="367765C3" w14:textId="77777777" w:rsidR="00941EE9" w:rsidRDefault="00941EE9">
      <w:pPr>
        <w:spacing w:after="0" w:line="240" w:lineRule="auto"/>
        <w:rPr>
          <w:rFonts w:ascii="Garamond" w:eastAsia="Garamond" w:hAnsi="Garamond" w:cs="Garamond"/>
        </w:rPr>
      </w:pPr>
      <w:bookmarkStart w:id="19" w:name="_44sinio" w:colFirst="0" w:colLast="0"/>
      <w:bookmarkEnd w:id="19"/>
    </w:p>
    <w:p w14:paraId="1D87BBBD" w14:textId="0132F319" w:rsidR="00941EE9" w:rsidRDefault="00D11B62">
      <w:pPr>
        <w:spacing w:after="0" w:line="240" w:lineRule="auto"/>
        <w:jc w:val="center"/>
      </w:pPr>
      <w:r>
        <w:rPr>
          <w:noProof/>
        </w:rPr>
        <w:drawing>
          <wp:inline distT="0" distB="0" distL="0" distR="0" wp14:anchorId="1AA4B5AA" wp14:editId="77408F79">
            <wp:extent cx="5943600" cy="3243580"/>
            <wp:effectExtent l="0" t="0" r="0"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3A0997" w14:textId="77777777" w:rsidR="00941EE9" w:rsidRDefault="004E11BC">
      <w:pPr>
        <w:spacing w:after="0" w:line="240" w:lineRule="auto"/>
        <w:jc w:val="center"/>
        <w:rPr>
          <w:rFonts w:ascii="Garamond" w:eastAsia="Garamond" w:hAnsi="Garamond" w:cs="Garamond"/>
        </w:rPr>
      </w:pPr>
      <w:r>
        <w:rPr>
          <w:rFonts w:ascii="Garamond" w:eastAsia="Garamond" w:hAnsi="Garamond" w:cs="Garamond"/>
          <w:i/>
        </w:rPr>
        <w:t>Figure 11</w:t>
      </w:r>
      <w:r>
        <w:rPr>
          <w:rFonts w:ascii="Garamond" w:eastAsia="Garamond" w:hAnsi="Garamond" w:cs="Garamond"/>
        </w:rPr>
        <w:t>. Comparison graph of OMI total column SO</w:t>
      </w:r>
      <w:r>
        <w:rPr>
          <w:rFonts w:ascii="Garamond" w:eastAsia="Garamond" w:hAnsi="Garamond" w:cs="Garamond"/>
          <w:vertAlign w:val="subscript"/>
        </w:rPr>
        <w:t xml:space="preserve">2 </w:t>
      </w:r>
      <w:r>
        <w:rPr>
          <w:rFonts w:ascii="Garamond" w:eastAsia="Garamond" w:hAnsi="Garamond" w:cs="Garamond"/>
        </w:rPr>
        <w:t xml:space="preserve">to </w:t>
      </w:r>
      <w:r>
        <w:rPr>
          <w:rFonts w:ascii="Garamond" w:eastAsia="Garamond" w:hAnsi="Garamond" w:cs="Garamond"/>
          <w:i/>
        </w:rPr>
        <w:t>in situ</w:t>
      </w:r>
      <w:r>
        <w:rPr>
          <w:rFonts w:ascii="Garamond" w:eastAsia="Garamond" w:hAnsi="Garamond" w:cs="Garamond"/>
        </w:rPr>
        <w:t xml:space="preserve"> data.</w:t>
      </w:r>
    </w:p>
    <w:p w14:paraId="3A0FC496" w14:textId="6BE3892E" w:rsidR="00941EE9" w:rsidRDefault="00941EE9">
      <w:pPr>
        <w:spacing w:after="0" w:line="240" w:lineRule="auto"/>
        <w:rPr>
          <w:rFonts w:ascii="Garamond" w:eastAsia="Garamond" w:hAnsi="Garamond" w:cs="Garamond"/>
        </w:rPr>
      </w:pPr>
    </w:p>
    <w:p w14:paraId="09F57AC6" w14:textId="519C1E50" w:rsidR="00941EE9" w:rsidRDefault="004E11BC">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51ACAC5E" wp14:editId="4341D988">
            <wp:extent cx="2771775" cy="1781175"/>
            <wp:effectExtent l="0" t="0" r="0" b="9525"/>
            <wp:docPr id="15" name="image33.png" descr="C:\Users\ebubak\AppData\Local\Microsoft\Windows\INetCache\Content.Word\flippedSO2_2005.png"/>
            <wp:cNvGraphicFramePr/>
            <a:graphic xmlns:a="http://schemas.openxmlformats.org/drawingml/2006/main">
              <a:graphicData uri="http://schemas.openxmlformats.org/drawingml/2006/picture">
                <pic:pic xmlns:pic="http://schemas.openxmlformats.org/drawingml/2006/picture">
                  <pic:nvPicPr>
                    <pic:cNvPr id="0" name="image33.png" descr="C:\Users\ebubak\AppData\Local\Microsoft\Windows\INetCache\Content.Word\flippedSO2_2005.png"/>
                    <pic:cNvPicPr preferRelativeResize="0"/>
                  </pic:nvPicPr>
                  <pic:blipFill>
                    <a:blip r:embed="rId24"/>
                    <a:srcRect/>
                    <a:stretch>
                      <a:fillRect/>
                    </a:stretch>
                  </pic:blipFill>
                  <pic:spPr>
                    <a:xfrm>
                      <a:off x="0" y="0"/>
                      <a:ext cx="2772529" cy="1781660"/>
                    </a:xfrm>
                    <a:prstGeom prst="rect">
                      <a:avLst/>
                    </a:prstGeom>
                    <a:ln/>
                  </pic:spPr>
                </pic:pic>
              </a:graphicData>
            </a:graphic>
          </wp:inline>
        </w:drawing>
      </w:r>
      <w:r>
        <w:rPr>
          <w:rFonts w:ascii="Garamond" w:eastAsia="Garamond" w:hAnsi="Garamond" w:cs="Garamond"/>
        </w:rPr>
        <w:t xml:space="preserve"> </w:t>
      </w:r>
      <w:r>
        <w:rPr>
          <w:rFonts w:ascii="Garamond" w:eastAsia="Garamond" w:hAnsi="Garamond" w:cs="Garamond"/>
          <w:noProof/>
        </w:rPr>
        <w:drawing>
          <wp:inline distT="0" distB="0" distL="0" distR="0" wp14:anchorId="64CAC626" wp14:editId="065D70C3">
            <wp:extent cx="2770632" cy="1783080"/>
            <wp:effectExtent l="0" t="0" r="0" b="7620"/>
            <wp:docPr id="16" name="image34.png" descr="flippedSO2_2016"/>
            <wp:cNvGraphicFramePr/>
            <a:graphic xmlns:a="http://schemas.openxmlformats.org/drawingml/2006/main">
              <a:graphicData uri="http://schemas.openxmlformats.org/drawingml/2006/picture">
                <pic:pic xmlns:pic="http://schemas.openxmlformats.org/drawingml/2006/picture">
                  <pic:nvPicPr>
                    <pic:cNvPr id="0" name="image34.png" descr="flippedSO2_2016"/>
                    <pic:cNvPicPr preferRelativeResize="0"/>
                  </pic:nvPicPr>
                  <pic:blipFill>
                    <a:blip r:embed="rId25"/>
                    <a:srcRect/>
                    <a:stretch>
                      <a:fillRect/>
                    </a:stretch>
                  </pic:blipFill>
                  <pic:spPr>
                    <a:xfrm>
                      <a:off x="0" y="0"/>
                      <a:ext cx="2770632" cy="1783080"/>
                    </a:xfrm>
                    <a:prstGeom prst="rect">
                      <a:avLst/>
                    </a:prstGeom>
                    <a:ln/>
                  </pic:spPr>
                </pic:pic>
              </a:graphicData>
            </a:graphic>
          </wp:inline>
        </w:drawing>
      </w:r>
    </w:p>
    <w:p w14:paraId="022EFBEA" w14:textId="663F619C" w:rsidR="00550A3F" w:rsidRDefault="00EE6E5B">
      <w:pPr>
        <w:spacing w:after="0" w:line="240" w:lineRule="auto"/>
        <w:jc w:val="center"/>
        <w:rPr>
          <w:rFonts w:ascii="Garamond" w:eastAsia="Garamond" w:hAnsi="Garamond" w:cs="Garamond"/>
          <w:i/>
        </w:rPr>
      </w:pPr>
      <w:r>
        <w:rPr>
          <w:noProof/>
        </w:rPr>
        <w:drawing>
          <wp:anchor distT="0" distB="0" distL="114300" distR="114300" simplePos="0" relativeHeight="251660288" behindDoc="0" locked="0" layoutInCell="1" allowOverlap="1" wp14:anchorId="6D8DB8B3" wp14:editId="32EDC22F">
            <wp:simplePos x="0" y="0"/>
            <wp:positionH relativeFrom="column">
              <wp:posOffset>2480310</wp:posOffset>
            </wp:positionH>
            <wp:positionV relativeFrom="paragraph">
              <wp:posOffset>13970</wp:posOffset>
            </wp:positionV>
            <wp:extent cx="996950" cy="576580"/>
            <wp:effectExtent l="0" t="0" r="0" b="0"/>
            <wp:wrapSquare wrapText="bothSides"/>
            <wp:docPr id="25" name="Picture 2" descr="C:\Users\ebubak\AppData\Local\Microsoft\Windows\INetCache\Content.Word\SO2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ak\AppData\Local\Microsoft\Windows\INetCache\Content.Word\SO2legen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695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FA8B8" w14:textId="31BF19BC" w:rsidR="00550A3F" w:rsidRDefault="00550A3F">
      <w:pPr>
        <w:spacing w:after="0" w:line="240" w:lineRule="auto"/>
        <w:jc w:val="center"/>
        <w:rPr>
          <w:rFonts w:ascii="Garamond" w:eastAsia="Garamond" w:hAnsi="Garamond" w:cs="Garamond"/>
          <w:i/>
        </w:rPr>
      </w:pPr>
    </w:p>
    <w:p w14:paraId="29EEAF3A" w14:textId="37053593" w:rsidR="00644331" w:rsidRDefault="00644331" w:rsidP="00644331">
      <w:pPr>
        <w:spacing w:after="0" w:line="240" w:lineRule="auto"/>
        <w:rPr>
          <w:rFonts w:ascii="Garamond" w:eastAsia="Garamond" w:hAnsi="Garamond" w:cs="Garamond"/>
          <w:i/>
        </w:rPr>
      </w:pPr>
    </w:p>
    <w:p w14:paraId="5DE51A26" w14:textId="77777777" w:rsidR="0045779A" w:rsidRDefault="0045779A" w:rsidP="00644331">
      <w:pPr>
        <w:spacing w:after="0" w:line="240" w:lineRule="auto"/>
        <w:rPr>
          <w:rFonts w:ascii="Garamond" w:eastAsia="Garamond" w:hAnsi="Garamond" w:cs="Garamond"/>
          <w:i/>
        </w:rPr>
      </w:pPr>
    </w:p>
    <w:p w14:paraId="5FAD58D0" w14:textId="7EC913C4" w:rsidR="00D74712" w:rsidRDefault="004E11BC" w:rsidP="00D74712">
      <w:pPr>
        <w:spacing w:after="0" w:line="240" w:lineRule="auto"/>
        <w:jc w:val="center"/>
        <w:rPr>
          <w:rFonts w:ascii="Garamond" w:eastAsia="Garamond" w:hAnsi="Garamond" w:cs="Garamond"/>
        </w:rPr>
      </w:pPr>
      <w:r>
        <w:rPr>
          <w:rFonts w:ascii="Garamond" w:eastAsia="Garamond" w:hAnsi="Garamond" w:cs="Garamond"/>
          <w:i/>
        </w:rPr>
        <w:t xml:space="preserve">Figure 12. </w:t>
      </w:r>
      <w:r>
        <w:rPr>
          <w:rFonts w:ascii="Garamond" w:eastAsia="Garamond" w:hAnsi="Garamond" w:cs="Garamond"/>
        </w:rPr>
        <w:t>Annual maximum values of total column SO</w:t>
      </w:r>
      <w:r>
        <w:rPr>
          <w:rFonts w:ascii="Garamond" w:eastAsia="Garamond" w:hAnsi="Garamond" w:cs="Garamond"/>
          <w:vertAlign w:val="subscript"/>
        </w:rPr>
        <w:t>2</w:t>
      </w:r>
      <w:r w:rsidR="00D74712">
        <w:rPr>
          <w:rFonts w:ascii="Garamond" w:eastAsia="Garamond" w:hAnsi="Garamond" w:cs="Garamond"/>
        </w:rPr>
        <w:t xml:space="preserve"> in 2005 and 2016</w:t>
      </w:r>
    </w:p>
    <w:p w14:paraId="030840CA" w14:textId="77777777" w:rsidR="0045779A" w:rsidRPr="00D74712" w:rsidRDefault="0045779A" w:rsidP="00D74712">
      <w:pPr>
        <w:spacing w:after="0" w:line="240" w:lineRule="auto"/>
        <w:jc w:val="center"/>
        <w:rPr>
          <w:rFonts w:ascii="Garamond" w:eastAsia="Garamond" w:hAnsi="Garamond" w:cs="Garamond"/>
        </w:rPr>
      </w:pPr>
    </w:p>
    <w:p w14:paraId="73F8E432" w14:textId="77777777" w:rsidR="00F13CFA" w:rsidRDefault="00F13CFA">
      <w:pPr>
        <w:spacing w:after="0" w:line="240" w:lineRule="auto"/>
        <w:rPr>
          <w:rFonts w:ascii="Garamond" w:eastAsia="Garamond" w:hAnsi="Garamond" w:cs="Garamond"/>
          <w:b/>
          <w:i/>
        </w:rPr>
      </w:pPr>
    </w:p>
    <w:p w14:paraId="5F95988F" w14:textId="77777777" w:rsidR="00941EE9" w:rsidRDefault="004E11BC">
      <w:pPr>
        <w:spacing w:after="0" w:line="240" w:lineRule="auto"/>
        <w:rPr>
          <w:rFonts w:ascii="Garamond" w:eastAsia="Garamond" w:hAnsi="Garamond" w:cs="Garamond"/>
          <w:b/>
          <w:i/>
        </w:rPr>
      </w:pPr>
      <w:r>
        <w:rPr>
          <w:rFonts w:ascii="Garamond" w:eastAsia="Garamond" w:hAnsi="Garamond" w:cs="Garamond"/>
          <w:b/>
          <w:i/>
        </w:rPr>
        <w:lastRenderedPageBreak/>
        <w:t>4.2 Future Work</w:t>
      </w:r>
    </w:p>
    <w:p w14:paraId="090A894F" w14:textId="50B6F82A" w:rsidR="00941EE9" w:rsidRDefault="004E11BC" w:rsidP="005839BC">
      <w:pPr>
        <w:spacing w:after="0" w:line="240" w:lineRule="auto"/>
        <w:rPr>
          <w:rFonts w:ascii="Garamond" w:eastAsia="Garamond" w:hAnsi="Garamond" w:cs="Garamond"/>
        </w:rPr>
      </w:pPr>
      <w:r>
        <w:rPr>
          <w:rFonts w:ascii="Garamond" w:eastAsia="Garamond" w:hAnsi="Garamond" w:cs="Garamond"/>
        </w:rPr>
        <w:t>Due to time constraints for this project, a limited number of atmospheric parameters were considered. The pollutants analyzed in this project include only a sampling of the partners’ concerns for air quality in the park and does not address visibility concerns. Data for alternate parameters can be found using NASA Earth observation resources and could be pursued in the future such as methane, formaldehyde, carbon dioxide, and ammonia.</w:t>
      </w:r>
    </w:p>
    <w:p w14:paraId="744249A1" w14:textId="77777777" w:rsidR="00941EE9" w:rsidRDefault="00941EE9" w:rsidP="005839BC">
      <w:pPr>
        <w:spacing w:after="0" w:line="240" w:lineRule="auto"/>
        <w:rPr>
          <w:rFonts w:ascii="Garamond" w:eastAsia="Garamond" w:hAnsi="Garamond" w:cs="Garamond"/>
        </w:rPr>
      </w:pPr>
    </w:p>
    <w:p w14:paraId="2E0F8C97" w14:textId="6AA2DEE1" w:rsidR="00941EE9" w:rsidRDefault="004E11BC" w:rsidP="005839BC">
      <w:pPr>
        <w:spacing w:after="0" w:line="240" w:lineRule="auto"/>
        <w:rPr>
          <w:rFonts w:ascii="Garamond" w:eastAsia="Garamond" w:hAnsi="Garamond" w:cs="Garamond"/>
        </w:rPr>
      </w:pPr>
      <w:r>
        <w:rPr>
          <w:rFonts w:ascii="Garamond" w:eastAsia="Garamond" w:hAnsi="Garamond" w:cs="Garamond"/>
        </w:rPr>
        <w:t>This project could be improved by finer spatial resolution</w:t>
      </w:r>
      <w:r w:rsidR="00EB2FF3">
        <w:rPr>
          <w:rFonts w:ascii="Garamond" w:eastAsia="Garamond" w:hAnsi="Garamond" w:cs="Garamond"/>
        </w:rPr>
        <w:t xml:space="preserve"> data</w:t>
      </w:r>
      <w:r>
        <w:rPr>
          <w:rFonts w:ascii="Garamond" w:eastAsia="Garamond" w:hAnsi="Garamond" w:cs="Garamond"/>
        </w:rPr>
        <w:t>. Future NASA Earth observation technologies, such as the TEMPO</w:t>
      </w:r>
      <w:r w:rsidR="00EB2FF3">
        <w:rPr>
          <w:rFonts w:ascii="Garamond" w:eastAsia="Garamond" w:hAnsi="Garamond" w:cs="Garamond"/>
        </w:rPr>
        <w:t xml:space="preserve"> (Tropospheric Emissions: Monitoring Pollution)</w:t>
      </w:r>
      <w:r>
        <w:rPr>
          <w:rFonts w:ascii="Garamond" w:eastAsia="Garamond" w:hAnsi="Garamond" w:cs="Garamond"/>
        </w:rPr>
        <w:t xml:space="preserve"> instrument, will provide this. TEMPO will track hourly measurements of tropospheric air pollutants over North America at a scale 50 times better than what is currently available with the OMI sensor.</w:t>
      </w:r>
    </w:p>
    <w:p w14:paraId="2591544C" w14:textId="77777777" w:rsidR="00941EE9" w:rsidRDefault="00941EE9" w:rsidP="005839BC">
      <w:pPr>
        <w:spacing w:after="0" w:line="240" w:lineRule="auto"/>
        <w:rPr>
          <w:rFonts w:ascii="Garamond" w:eastAsia="Garamond" w:hAnsi="Garamond" w:cs="Garamond"/>
        </w:rPr>
      </w:pPr>
    </w:p>
    <w:p w14:paraId="535BC079" w14:textId="77777777"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The second term will focus on parameters affecting visibility, such as smog, aerosols, and other atmospheric pollutants not addressed by this project. The methodology created by this project could be used to assess other atmospheric compounds that can be monitored by additional sensors aboard NASA’s Earth observing satellites. Tropospheric ozone residuals could be considered as it may better relate to the </w:t>
      </w:r>
      <w:r>
        <w:rPr>
          <w:rFonts w:ascii="Garamond" w:eastAsia="Garamond" w:hAnsi="Garamond" w:cs="Garamond"/>
          <w:i/>
        </w:rPr>
        <w:t>in situ</w:t>
      </w:r>
      <w:r>
        <w:rPr>
          <w:rFonts w:ascii="Garamond" w:eastAsia="Garamond" w:hAnsi="Garamond" w:cs="Garamond"/>
        </w:rPr>
        <w:t xml:space="preserve"> data obtained from Big Meadows than total column ozone.</w:t>
      </w:r>
    </w:p>
    <w:p w14:paraId="01F3CC22" w14:textId="77777777" w:rsidR="00941EE9" w:rsidRDefault="004E11BC">
      <w:pPr>
        <w:pStyle w:val="Heading1"/>
        <w:rPr>
          <w:rFonts w:ascii="Garamond" w:eastAsia="Garamond" w:hAnsi="Garamond" w:cs="Garamond"/>
        </w:rPr>
      </w:pPr>
      <w:bookmarkStart w:id="20" w:name="_2jxsxqh" w:colFirst="0" w:colLast="0"/>
      <w:bookmarkEnd w:id="20"/>
      <w:r>
        <w:rPr>
          <w:rFonts w:ascii="Garamond" w:eastAsia="Garamond" w:hAnsi="Garamond" w:cs="Garamond"/>
        </w:rPr>
        <w:t>5. Conclusions</w:t>
      </w:r>
    </w:p>
    <w:p w14:paraId="00EAF698" w14:textId="165B500F"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Based upon available data, total column ozone follows a cyclical pattern which is consistent across both OMI data and </w:t>
      </w:r>
      <w:r>
        <w:rPr>
          <w:rFonts w:ascii="Garamond" w:eastAsia="Garamond" w:hAnsi="Garamond" w:cs="Garamond"/>
          <w:i/>
        </w:rPr>
        <w:t xml:space="preserve">in situ </w:t>
      </w:r>
      <w:r>
        <w:rPr>
          <w:rFonts w:ascii="Garamond" w:eastAsia="Garamond" w:hAnsi="Garamond" w:cs="Garamond"/>
        </w:rPr>
        <w:t>data. Generally, our analysis of ozone showed high levels in the summer months and low levels in the winter months. NO</w:t>
      </w:r>
      <w:r>
        <w:rPr>
          <w:rFonts w:ascii="Garamond" w:eastAsia="Garamond" w:hAnsi="Garamond" w:cs="Garamond"/>
          <w:vertAlign w:val="subscript"/>
        </w:rPr>
        <w:t>2</w:t>
      </w:r>
      <w:r>
        <w:rPr>
          <w:rFonts w:ascii="Garamond" w:eastAsia="Garamond" w:hAnsi="Garamond" w:cs="Garamond"/>
        </w:rPr>
        <w:t xml:space="preserve"> concentration levels have decreased over time, which likely can be attributed to measures towards emission control to meet the NAAQS. There was no visible decrease in SO</w:t>
      </w:r>
      <w:r>
        <w:rPr>
          <w:rFonts w:ascii="Garamond" w:eastAsia="Garamond" w:hAnsi="Garamond" w:cs="Garamond"/>
          <w:vertAlign w:val="subscript"/>
        </w:rPr>
        <w:t>2</w:t>
      </w:r>
      <w:r>
        <w:rPr>
          <w:rFonts w:ascii="Garamond" w:eastAsia="Garamond" w:hAnsi="Garamond" w:cs="Garamond"/>
        </w:rPr>
        <w:t xml:space="preserve"> satellite data due to the low detection limit of OMI. There was also no decrease for the </w:t>
      </w:r>
      <w:r>
        <w:rPr>
          <w:rFonts w:ascii="Garamond" w:eastAsia="Garamond" w:hAnsi="Garamond" w:cs="Garamond"/>
          <w:i/>
        </w:rPr>
        <w:t xml:space="preserve">in situ </w:t>
      </w:r>
      <w:r>
        <w:rPr>
          <w:rFonts w:ascii="Garamond" w:eastAsia="Garamond" w:hAnsi="Garamond" w:cs="Garamond"/>
        </w:rPr>
        <w:t>SO</w:t>
      </w:r>
      <w:r>
        <w:rPr>
          <w:rFonts w:ascii="Garamond" w:eastAsia="Garamond" w:hAnsi="Garamond" w:cs="Garamond"/>
          <w:vertAlign w:val="subscript"/>
        </w:rPr>
        <w:t>2</w:t>
      </w:r>
      <w:r>
        <w:rPr>
          <w:rFonts w:ascii="Garamond" w:eastAsia="Garamond" w:hAnsi="Garamond" w:cs="Garamond"/>
        </w:rPr>
        <w:t>. While improvement in air quality can be identified with remote sensing, it is still vital for greater actions to take place to ensure healthy environments both for national park visitors and for the flora and fauna inside the parks. Higher concentrations of total column ozone during the late summer and early autumn months indicates a greater level of protection from harmful ultraviolet rays during the park’s busiest time of year.</w:t>
      </w:r>
    </w:p>
    <w:p w14:paraId="5102C836" w14:textId="77777777" w:rsidR="00941EE9" w:rsidRDefault="00941EE9" w:rsidP="005839BC">
      <w:pPr>
        <w:spacing w:after="0" w:line="240" w:lineRule="auto"/>
        <w:rPr>
          <w:rFonts w:ascii="Garamond" w:eastAsia="Garamond" w:hAnsi="Garamond" w:cs="Garamond"/>
        </w:rPr>
      </w:pPr>
    </w:p>
    <w:p w14:paraId="72C7A9C8" w14:textId="3748438E" w:rsidR="00941EE9" w:rsidRDefault="004E11BC" w:rsidP="005839BC">
      <w:pPr>
        <w:spacing w:after="0" w:line="240" w:lineRule="auto"/>
        <w:rPr>
          <w:rFonts w:ascii="Garamond" w:eastAsia="Garamond" w:hAnsi="Garamond" w:cs="Garamond"/>
        </w:rPr>
      </w:pPr>
      <w:r>
        <w:rPr>
          <w:rFonts w:ascii="Garamond" w:eastAsia="Garamond" w:hAnsi="Garamond" w:cs="Garamond"/>
        </w:rPr>
        <w:t xml:space="preserve">Data regarding atmospheric parameters were requested by Shenandoah National Park to help identify air quality trends in </w:t>
      </w:r>
      <w:r w:rsidR="003803E0">
        <w:rPr>
          <w:rFonts w:ascii="Garamond" w:eastAsia="Garamond" w:hAnsi="Garamond" w:cs="Garamond"/>
        </w:rPr>
        <w:t>pollutants</w:t>
      </w:r>
      <w:r>
        <w:rPr>
          <w:rFonts w:ascii="Garamond" w:eastAsia="Garamond" w:hAnsi="Garamond" w:cs="Garamond"/>
        </w:rPr>
        <w:t xml:space="preserve"> such as ozone, nitrogen dioxide, and sulfur dioxide. In addition to utilizing data collected by Shenandoah from their </w:t>
      </w:r>
      <w:r w:rsidR="003803E0">
        <w:rPr>
          <w:rFonts w:ascii="Garamond" w:eastAsia="Garamond" w:hAnsi="Garamond" w:cs="Garamond"/>
        </w:rPr>
        <w:t>single</w:t>
      </w:r>
      <w:r>
        <w:rPr>
          <w:rFonts w:ascii="Garamond" w:eastAsia="Garamond" w:hAnsi="Garamond" w:cs="Garamond"/>
        </w:rPr>
        <w:t xml:space="preserve"> </w:t>
      </w:r>
      <w:r w:rsidR="003803E0">
        <w:rPr>
          <w:rFonts w:ascii="Garamond" w:eastAsia="Garamond" w:hAnsi="Garamond" w:cs="Garamond"/>
        </w:rPr>
        <w:t>monitoring</w:t>
      </w:r>
      <w:r>
        <w:rPr>
          <w:rFonts w:ascii="Garamond" w:eastAsia="Garamond" w:hAnsi="Garamond" w:cs="Garamond"/>
        </w:rPr>
        <w:t xml:space="preserve"> station</w:t>
      </w:r>
      <w:r w:rsidR="003803E0">
        <w:rPr>
          <w:rFonts w:ascii="Garamond" w:eastAsia="Garamond" w:hAnsi="Garamond" w:cs="Garamond"/>
        </w:rPr>
        <w:t xml:space="preserve"> at Big Meadows</w:t>
      </w:r>
      <w:r>
        <w:rPr>
          <w:rFonts w:ascii="Garamond" w:eastAsia="Garamond" w:hAnsi="Garamond" w:cs="Garamond"/>
        </w:rPr>
        <w:t xml:space="preserve">, the project utilized remote sensing to expand the study area and provide a more regional view of pollutant sources and transport. Understanding potential pollutant sources for Shenandoah can help park policymakers plan for the future, and can also enable park employees to warn visitors of days with a higher concentration of pollutants. Keeping the park’s air clean can help preserve and promote pristine views, healthy plants and animals, and high park attendance for years to come. </w:t>
      </w:r>
    </w:p>
    <w:p w14:paraId="70C95983" w14:textId="77777777" w:rsidR="00941EE9" w:rsidRDefault="004E11BC">
      <w:pPr>
        <w:pStyle w:val="Heading1"/>
      </w:pPr>
      <w:bookmarkStart w:id="21" w:name="_z337ya" w:colFirst="0" w:colLast="0"/>
      <w:bookmarkEnd w:id="21"/>
      <w:r>
        <w:rPr>
          <w:rFonts w:ascii="Garamond" w:eastAsia="Garamond" w:hAnsi="Garamond" w:cs="Garamond"/>
        </w:rPr>
        <w:t>6. Acknowledgments</w:t>
      </w:r>
    </w:p>
    <w:p w14:paraId="777BDA2B" w14:textId="77777777" w:rsidR="00941EE9" w:rsidRDefault="004E11BC">
      <w:pPr>
        <w:spacing w:after="0"/>
        <w:rPr>
          <w:rFonts w:ascii="Garamond" w:eastAsia="Garamond" w:hAnsi="Garamond" w:cs="Garamond"/>
        </w:rPr>
      </w:pPr>
      <w:r>
        <w:rPr>
          <w:rFonts w:ascii="Garamond" w:eastAsia="Garamond" w:hAnsi="Garamond" w:cs="Garamond"/>
        </w:rPr>
        <w:t>The project team for this DEVELOP project would like to acknowledge:</w:t>
      </w:r>
    </w:p>
    <w:p w14:paraId="656D8CE5" w14:textId="77777777" w:rsidR="00941EE9" w:rsidRDefault="004E11BC">
      <w:pPr>
        <w:numPr>
          <w:ilvl w:val="0"/>
          <w:numId w:val="2"/>
        </w:numPr>
        <w:spacing w:after="0"/>
        <w:ind w:hanging="360"/>
        <w:contextualSpacing/>
      </w:pPr>
      <w:r>
        <w:rPr>
          <w:rFonts w:ascii="Garamond" w:eastAsia="Garamond" w:hAnsi="Garamond" w:cs="Garamond"/>
        </w:rPr>
        <w:t xml:space="preserve">Dr. Bruce Doddridge and Dr. Kenton Ross of NASA Langley Research Center </w:t>
      </w:r>
    </w:p>
    <w:p w14:paraId="36C30EF9" w14:textId="77777777" w:rsidR="00941EE9" w:rsidRDefault="004E11BC">
      <w:pPr>
        <w:numPr>
          <w:ilvl w:val="0"/>
          <w:numId w:val="2"/>
        </w:numPr>
        <w:spacing w:after="0"/>
        <w:ind w:hanging="360"/>
        <w:contextualSpacing/>
      </w:pPr>
      <w:r>
        <w:rPr>
          <w:rFonts w:ascii="Garamond" w:eastAsia="Garamond" w:hAnsi="Garamond" w:cs="Garamond"/>
        </w:rPr>
        <w:t xml:space="preserve">Jalyn Cummings and Liz Garcia of the National Park Service’s Shenandoah National Park </w:t>
      </w:r>
    </w:p>
    <w:p w14:paraId="742241DE" w14:textId="77777777" w:rsidR="00941EE9" w:rsidRDefault="004E11BC">
      <w:pPr>
        <w:numPr>
          <w:ilvl w:val="0"/>
          <w:numId w:val="2"/>
        </w:numPr>
        <w:spacing w:after="0"/>
        <w:ind w:hanging="360"/>
        <w:contextualSpacing/>
      </w:pPr>
      <w:r>
        <w:rPr>
          <w:rFonts w:ascii="Garamond" w:eastAsia="Garamond" w:hAnsi="Garamond" w:cs="Garamond"/>
        </w:rPr>
        <w:t xml:space="preserve">Dr. Barkley </w:t>
      </w:r>
      <w:proofErr w:type="spellStart"/>
      <w:r>
        <w:rPr>
          <w:rFonts w:ascii="Garamond" w:eastAsia="Garamond" w:hAnsi="Garamond" w:cs="Garamond"/>
        </w:rPr>
        <w:t>Sive</w:t>
      </w:r>
      <w:proofErr w:type="spellEnd"/>
      <w:r>
        <w:rPr>
          <w:rFonts w:ascii="Garamond" w:eastAsia="Garamond" w:hAnsi="Garamond" w:cs="Garamond"/>
        </w:rPr>
        <w:t xml:space="preserve"> of the National Park Service, Air Resources Division</w:t>
      </w:r>
    </w:p>
    <w:p w14:paraId="6145D290" w14:textId="77777777" w:rsidR="00941EE9" w:rsidRDefault="00941EE9">
      <w:pPr>
        <w:spacing w:after="0" w:line="240" w:lineRule="auto"/>
        <w:rPr>
          <w:rFonts w:ascii="Garamond" w:eastAsia="Garamond" w:hAnsi="Garamond" w:cs="Garamond"/>
        </w:rPr>
      </w:pPr>
    </w:p>
    <w:p w14:paraId="4EABD453" w14:textId="77777777" w:rsidR="00941EE9" w:rsidRDefault="004E11BC" w:rsidP="00382F90">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30FD5137" w14:textId="77777777" w:rsidR="00941EE9" w:rsidRDefault="00941EE9" w:rsidP="00382F90">
      <w:pPr>
        <w:spacing w:after="0" w:line="240" w:lineRule="auto"/>
        <w:rPr>
          <w:rFonts w:ascii="Garamond" w:eastAsia="Garamond" w:hAnsi="Garamond" w:cs="Garamond"/>
        </w:rPr>
      </w:pPr>
    </w:p>
    <w:p w14:paraId="01217563" w14:textId="77777777" w:rsidR="00941EE9" w:rsidRDefault="004E11BC" w:rsidP="00382F90">
      <w:pPr>
        <w:spacing w:after="0" w:line="240" w:lineRule="auto"/>
        <w:rPr>
          <w:rFonts w:ascii="Garamond" w:eastAsia="Garamond" w:hAnsi="Garamond" w:cs="Garamond"/>
        </w:rPr>
      </w:pPr>
      <w:r>
        <w:rPr>
          <w:rFonts w:ascii="Garamond" w:eastAsia="Garamond" w:hAnsi="Garamond" w:cs="Garamond"/>
        </w:rPr>
        <w:t xml:space="preserve">This material is based upon work supported by NASA through contract NNL16AA05C and cooperative </w:t>
      </w:r>
      <w:r>
        <w:rPr>
          <w:rFonts w:ascii="Garamond" w:eastAsia="Garamond" w:hAnsi="Garamond" w:cs="Garamond"/>
        </w:rPr>
        <w:lastRenderedPageBreak/>
        <w:t>agreement NNX14AB60A.</w:t>
      </w:r>
    </w:p>
    <w:p w14:paraId="7BA11899" w14:textId="77777777" w:rsidR="00941EE9" w:rsidRDefault="004E11BC">
      <w:pPr>
        <w:pStyle w:val="Heading1"/>
        <w:spacing w:line="240" w:lineRule="auto"/>
      </w:pPr>
      <w:bookmarkStart w:id="22" w:name="_3j2qqm3" w:colFirst="0" w:colLast="0"/>
      <w:bookmarkEnd w:id="22"/>
      <w:r>
        <w:rPr>
          <w:rFonts w:ascii="Garamond" w:eastAsia="Garamond" w:hAnsi="Garamond" w:cs="Garamond"/>
        </w:rPr>
        <w:t>7. Glossary</w:t>
      </w:r>
    </w:p>
    <w:p w14:paraId="6E39AA47"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Acid Deposition</w:t>
      </w:r>
      <w:r>
        <w:rPr>
          <w:rFonts w:ascii="Garamond" w:eastAsia="Garamond" w:hAnsi="Garamond" w:cs="Garamond"/>
        </w:rPr>
        <w:t xml:space="preserve"> – The accumulation of acid in soil, plants or the tissue of animals; main contribution is from acid rain</w:t>
      </w:r>
    </w:p>
    <w:p w14:paraId="3546658C"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AIRS</w:t>
      </w:r>
      <w:r>
        <w:rPr>
          <w:rFonts w:ascii="Garamond" w:eastAsia="Garamond" w:hAnsi="Garamond" w:cs="Garamond"/>
        </w:rPr>
        <w:t xml:space="preserve"> – Atmospheric Infrared Sounder, sensor aboard the Aqua satellite</w:t>
      </w:r>
    </w:p>
    <w:p w14:paraId="68B27A28"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Ammonia</w:t>
      </w:r>
      <w:r>
        <w:rPr>
          <w:rFonts w:ascii="Garamond" w:eastAsia="Garamond" w:hAnsi="Garamond" w:cs="Garamond"/>
        </w:rPr>
        <w:t xml:space="preserve"> (NH</w:t>
      </w:r>
      <w:r>
        <w:rPr>
          <w:rFonts w:ascii="Garamond" w:eastAsia="Garamond" w:hAnsi="Garamond" w:cs="Garamond"/>
          <w:vertAlign w:val="subscript"/>
        </w:rPr>
        <w:t>3</w:t>
      </w:r>
      <w:r>
        <w:rPr>
          <w:rFonts w:ascii="Garamond" w:eastAsia="Garamond" w:hAnsi="Garamond" w:cs="Garamond"/>
        </w:rPr>
        <w:t>) – Used in fertilizers, cleaners and in food preservation in smaller quantities. Concerns are found in the contribution to nutrient runoff after dry deposition occurs</w:t>
      </w:r>
    </w:p>
    <w:p w14:paraId="2205499E"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Ammonium</w:t>
      </w:r>
      <w:r>
        <w:rPr>
          <w:rFonts w:ascii="Garamond" w:eastAsia="Garamond" w:hAnsi="Garamond" w:cs="Garamond"/>
        </w:rPr>
        <w:t xml:space="preserve"> (NH</w:t>
      </w:r>
      <w:r>
        <w:rPr>
          <w:rFonts w:ascii="Garamond" w:eastAsia="Garamond" w:hAnsi="Garamond" w:cs="Garamond"/>
          <w:vertAlign w:val="subscript"/>
        </w:rPr>
        <w:t>4</w:t>
      </w:r>
      <w:r>
        <w:rPr>
          <w:rFonts w:ascii="Garamond" w:eastAsia="Garamond" w:hAnsi="Garamond" w:cs="Garamond"/>
          <w:vertAlign w:val="superscript"/>
        </w:rPr>
        <w:t>+</w:t>
      </w:r>
      <w:r>
        <w:rPr>
          <w:rFonts w:ascii="Garamond" w:eastAsia="Garamond" w:hAnsi="Garamond" w:cs="Garamond"/>
        </w:rPr>
        <w:t>) – Created when ammonia is charged with a positive hydrogen ion. Commonly found after digestion in fish and animals</w:t>
      </w:r>
    </w:p>
    <w:p w14:paraId="3FE5FA41"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Aqua</w:t>
      </w:r>
      <w:r>
        <w:rPr>
          <w:rFonts w:ascii="Garamond" w:eastAsia="Garamond" w:hAnsi="Garamond" w:cs="Garamond"/>
        </w:rPr>
        <w:t xml:space="preserve"> – NASA satellite launched in 2002 as part of the Earth Observation Series</w:t>
      </w:r>
    </w:p>
    <w:p w14:paraId="74BE70DE"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ArcGIS</w:t>
      </w:r>
      <w:r>
        <w:rPr>
          <w:rFonts w:ascii="Garamond" w:eastAsia="Garamond" w:hAnsi="Garamond" w:cs="Garamond"/>
        </w:rPr>
        <w:t xml:space="preserve"> – Program used for Geographic Information Systems, takes raw data points from observations and applies data to maps for various types of analysis</w:t>
      </w:r>
    </w:p>
    <w:p w14:paraId="48FCEC02"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Aura</w:t>
      </w:r>
      <w:r>
        <w:rPr>
          <w:rFonts w:ascii="Garamond" w:eastAsia="Garamond" w:hAnsi="Garamond" w:cs="Garamond"/>
        </w:rPr>
        <w:t xml:space="preserve"> – NASA satellite launched in 2004 as part of the Earth Observation Series</w:t>
      </w:r>
    </w:p>
    <w:p w14:paraId="29F6F034"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Carbon Monoxide</w:t>
      </w:r>
      <w:r>
        <w:rPr>
          <w:rFonts w:ascii="Garamond" w:eastAsia="Garamond" w:hAnsi="Garamond" w:cs="Garamond"/>
        </w:rPr>
        <w:t xml:space="preserve"> (CO) – Formed when not enough oxygen is present to create the more popular carbon dioxide, CO</w:t>
      </w:r>
      <w:r>
        <w:rPr>
          <w:rFonts w:ascii="Garamond" w:eastAsia="Garamond" w:hAnsi="Garamond" w:cs="Garamond"/>
          <w:vertAlign w:val="subscript"/>
        </w:rPr>
        <w:t>2</w:t>
      </w:r>
      <w:r>
        <w:rPr>
          <w:rFonts w:ascii="Garamond" w:eastAsia="Garamond" w:hAnsi="Garamond" w:cs="Garamond"/>
        </w:rPr>
        <w:t>; can be found with incomplete combustion of carbon-based fuel such as ethanol, methane, or propane</w:t>
      </w:r>
    </w:p>
    <w:p w14:paraId="0169CED1"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Clean Air Act</w:t>
      </w:r>
      <w:r>
        <w:rPr>
          <w:rFonts w:ascii="Garamond" w:eastAsia="Garamond" w:hAnsi="Garamond" w:cs="Garamond"/>
        </w:rPr>
        <w:t xml:space="preserve"> – The Clean Air Act is a government act first enacted in 1963 to promote public health by limiting the release of airborne particles. The amendment of 1977 expanded the reach of the act to National Parks and included visibility measurements. The amendment of 1990 expanded the concerns to specific air pollutants such as ozone, nitrogen oxides, particulate matter, and sulfur oxides.</w:t>
      </w:r>
    </w:p>
    <w:p w14:paraId="532FC5D2"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 xml:space="preserve">Dobson Unit </w:t>
      </w:r>
      <w:r>
        <w:rPr>
          <w:rFonts w:ascii="Garamond" w:eastAsia="Garamond" w:hAnsi="Garamond" w:cs="Garamond"/>
        </w:rPr>
        <w:t>– A unit of thickness, in units of 10µm, to determine the abundance of an atmospheric parameter, typically used for ozone.</w:t>
      </w:r>
    </w:p>
    <w:p w14:paraId="2104C6B3"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Earth observations (EO)</w:t>
      </w:r>
      <w:r>
        <w:rPr>
          <w:rFonts w:ascii="Garamond" w:eastAsia="Garamond" w:hAnsi="Garamond" w:cs="Garamond"/>
        </w:rPr>
        <w:t xml:space="preserve"> – Satellites and sensors that collect information about the Earth’s physical, chemical, and biological systems over space and time</w:t>
      </w:r>
    </w:p>
    <w:p w14:paraId="4F478E94" w14:textId="77777777" w:rsidR="00941EE9" w:rsidRDefault="004E11BC">
      <w:pPr>
        <w:spacing w:after="0" w:line="240" w:lineRule="auto"/>
        <w:ind w:left="720" w:hanging="720"/>
        <w:rPr>
          <w:rFonts w:ascii="Garamond" w:eastAsia="Garamond" w:hAnsi="Garamond" w:cs="Garamond"/>
          <w:b/>
        </w:rPr>
      </w:pPr>
      <w:r>
        <w:rPr>
          <w:rFonts w:ascii="Garamond" w:eastAsia="Garamond" w:hAnsi="Garamond" w:cs="Garamond"/>
          <w:b/>
        </w:rPr>
        <w:t xml:space="preserve">HE5 files </w:t>
      </w:r>
      <w:r>
        <w:rPr>
          <w:rFonts w:ascii="Garamond" w:eastAsia="Garamond" w:hAnsi="Garamond" w:cs="Garamond"/>
        </w:rPr>
        <w:t>– Hierarchical Data Format (also HDF) version 5; a data format used by government and non-government organizations for data that can be accessed and utilized by common scripting programs</w:t>
      </w:r>
    </w:p>
    <w:p w14:paraId="07359D89" w14:textId="77777777" w:rsidR="00941EE9" w:rsidRDefault="004E11BC">
      <w:pPr>
        <w:spacing w:after="0" w:line="240" w:lineRule="auto"/>
        <w:ind w:left="720" w:hanging="720"/>
        <w:rPr>
          <w:rFonts w:ascii="Garamond" w:eastAsia="Garamond" w:hAnsi="Garamond" w:cs="Garamond"/>
          <w:b/>
        </w:rPr>
      </w:pPr>
      <w:r>
        <w:rPr>
          <w:rFonts w:ascii="Garamond" w:eastAsia="Garamond" w:hAnsi="Garamond" w:cs="Garamond"/>
          <w:b/>
        </w:rPr>
        <w:t xml:space="preserve">Level 3 Data </w:t>
      </w:r>
      <w:r>
        <w:rPr>
          <w:rFonts w:ascii="Garamond" w:eastAsia="Garamond" w:hAnsi="Garamond" w:cs="Garamond"/>
        </w:rPr>
        <w:t>– Geospatially referenced data from NASA satellites</w:t>
      </w:r>
    </w:p>
    <w:p w14:paraId="2EE9351C"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NASA</w:t>
      </w:r>
      <w:r>
        <w:rPr>
          <w:rFonts w:ascii="Garamond" w:eastAsia="Garamond" w:hAnsi="Garamond" w:cs="Garamond"/>
        </w:rPr>
        <w:t xml:space="preserve"> – National Aeronautics and Space Administration</w:t>
      </w:r>
    </w:p>
    <w:p w14:paraId="43A750AF" w14:textId="77777777" w:rsidR="00941EE9" w:rsidRDefault="004E11BC">
      <w:pPr>
        <w:spacing w:after="0" w:line="240" w:lineRule="auto"/>
        <w:ind w:left="720" w:hanging="720"/>
        <w:rPr>
          <w:rFonts w:ascii="Garamond" w:eastAsia="Garamond" w:hAnsi="Garamond" w:cs="Garamond"/>
          <w:b/>
        </w:rPr>
      </w:pPr>
      <w:r>
        <w:rPr>
          <w:rFonts w:ascii="Garamond" w:eastAsia="Garamond" w:hAnsi="Garamond" w:cs="Garamond"/>
          <w:b/>
        </w:rPr>
        <w:t xml:space="preserve">National Park Service Organic Act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Government act first enacted in 1916 for the formation of the National Park Service</w:t>
      </w:r>
    </w:p>
    <w:p w14:paraId="04CF176E"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Nitrogen Dioxide</w:t>
      </w:r>
      <w:r>
        <w:rPr>
          <w:rFonts w:ascii="Garamond" w:eastAsia="Garamond" w:hAnsi="Garamond" w:cs="Garamond"/>
        </w:rPr>
        <w:t xml:space="preserve"> (NO</w:t>
      </w:r>
      <w:r>
        <w:rPr>
          <w:rFonts w:ascii="Garamond" w:eastAsia="Garamond" w:hAnsi="Garamond" w:cs="Garamond"/>
          <w:vertAlign w:val="subscript"/>
        </w:rPr>
        <w:t>2</w:t>
      </w:r>
      <w:r>
        <w:rPr>
          <w:rFonts w:ascii="Garamond" w:eastAsia="Garamond" w:hAnsi="Garamond" w:cs="Garamond"/>
        </w:rPr>
        <w:t>) – Found by the formation of nitrogen gas, N</w:t>
      </w:r>
      <w:r>
        <w:rPr>
          <w:rFonts w:ascii="Garamond" w:eastAsia="Garamond" w:hAnsi="Garamond" w:cs="Garamond"/>
          <w:vertAlign w:val="subscript"/>
        </w:rPr>
        <w:t>2</w:t>
      </w:r>
      <w:r>
        <w:rPr>
          <w:rFonts w:ascii="Garamond" w:eastAsia="Garamond" w:hAnsi="Garamond" w:cs="Garamond"/>
        </w:rPr>
        <w:t>, and oxygen gas, O</w:t>
      </w:r>
      <w:r>
        <w:rPr>
          <w:rFonts w:ascii="Garamond" w:eastAsia="Garamond" w:hAnsi="Garamond" w:cs="Garamond"/>
          <w:vertAlign w:val="subscript"/>
        </w:rPr>
        <w:t>2</w:t>
      </w:r>
      <w:r>
        <w:rPr>
          <w:rFonts w:ascii="Garamond" w:eastAsia="Garamond" w:hAnsi="Garamond" w:cs="Garamond"/>
        </w:rPr>
        <w:t>; highly reactive to other compounds, can be found by incomplete combustion for gasoline-based vehicles</w:t>
      </w:r>
    </w:p>
    <w:p w14:paraId="17C27FE0"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OMI</w:t>
      </w:r>
      <w:r>
        <w:rPr>
          <w:rFonts w:ascii="Garamond" w:eastAsia="Garamond" w:hAnsi="Garamond" w:cs="Garamond"/>
        </w:rPr>
        <w:t xml:space="preserve"> – Ozone Monitoring Instrument, sensor aboard the Aura satellite</w:t>
      </w:r>
    </w:p>
    <w:p w14:paraId="1BB06E99"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 xml:space="preserve">Ozone </w:t>
      </w:r>
      <w:r>
        <w:rPr>
          <w:rFonts w:ascii="Garamond" w:eastAsia="Garamond" w:hAnsi="Garamond" w:cs="Garamond"/>
        </w:rPr>
        <w:t>(O</w:t>
      </w:r>
      <w:r>
        <w:rPr>
          <w:rFonts w:ascii="Garamond" w:eastAsia="Garamond" w:hAnsi="Garamond" w:cs="Garamond"/>
          <w:vertAlign w:val="subscript"/>
        </w:rPr>
        <w:t>3</w:t>
      </w:r>
      <w:r>
        <w:rPr>
          <w:rFonts w:ascii="Garamond" w:eastAsia="Garamond" w:hAnsi="Garamond" w:cs="Garamond"/>
        </w:rPr>
        <w:t>) – Comprised of three oxygen atoms, caused by the breakdown of oxygen gas in the upper atmosphere and blocks harmful ultraviolet rays; at lower atmosphere, ozone breaks down protective tissues and membranes of organisms, making them vulnerable</w:t>
      </w:r>
    </w:p>
    <w:p w14:paraId="5A8F9C3A"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pH</w:t>
      </w:r>
      <w:r>
        <w:rPr>
          <w:rFonts w:ascii="Garamond" w:eastAsia="Garamond" w:hAnsi="Garamond" w:cs="Garamond"/>
        </w:rPr>
        <w:t xml:space="preserve"> (Potential of hydrogen) – Unit of measure for how basic or acidic a solution is with seven meaning ‘neutral’, lower numbers being ‘acidic’, and higher numbers being ‘basic’</w:t>
      </w:r>
    </w:p>
    <w:p w14:paraId="52694332"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 xml:space="preserve">Remote Sensing </w:t>
      </w:r>
      <w:r>
        <w:rPr>
          <w:rFonts w:ascii="Garamond" w:eastAsia="Garamond" w:hAnsi="Garamond" w:cs="Garamond"/>
        </w:rPr>
        <w:t>– Gathering data of an object(s) without making direct contact</w:t>
      </w:r>
    </w:p>
    <w:p w14:paraId="2B43C51C"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Sulfur Dioxide</w:t>
      </w:r>
      <w:r>
        <w:rPr>
          <w:rFonts w:ascii="Garamond" w:eastAsia="Garamond" w:hAnsi="Garamond" w:cs="Garamond"/>
        </w:rPr>
        <w:t xml:space="preserve"> (SO</w:t>
      </w:r>
      <w:r>
        <w:rPr>
          <w:rFonts w:ascii="Garamond" w:eastAsia="Garamond" w:hAnsi="Garamond" w:cs="Garamond"/>
          <w:vertAlign w:val="subscript"/>
        </w:rPr>
        <w:t>2</w:t>
      </w:r>
      <w:r>
        <w:rPr>
          <w:rFonts w:ascii="Garamond" w:eastAsia="Garamond" w:hAnsi="Garamond" w:cs="Garamond"/>
        </w:rPr>
        <w:t>) – Formed after incomplete combustion of sulfur-based compounds such as coal and then combined with oxygen gas; can lead to the formation of sulfuric acid, H</w:t>
      </w:r>
      <w:r>
        <w:rPr>
          <w:rFonts w:ascii="Garamond" w:eastAsia="Garamond" w:hAnsi="Garamond" w:cs="Garamond"/>
          <w:vertAlign w:val="subscript"/>
        </w:rPr>
        <w:t>2</w:t>
      </w:r>
      <w:r>
        <w:rPr>
          <w:rFonts w:ascii="Garamond" w:eastAsia="Garamond" w:hAnsi="Garamond" w:cs="Garamond"/>
        </w:rPr>
        <w:t>SO</w:t>
      </w:r>
      <w:r>
        <w:rPr>
          <w:rFonts w:ascii="Garamond" w:eastAsia="Garamond" w:hAnsi="Garamond" w:cs="Garamond"/>
          <w:vertAlign w:val="subscript"/>
        </w:rPr>
        <w:t>4</w:t>
      </w:r>
      <w:r>
        <w:rPr>
          <w:rFonts w:ascii="Garamond" w:eastAsia="Garamond" w:hAnsi="Garamond" w:cs="Garamond"/>
        </w:rPr>
        <w:t>, which is better known as ‘acid rain’</w:t>
      </w:r>
    </w:p>
    <w:p w14:paraId="61ED84E2"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TES</w:t>
      </w:r>
      <w:r>
        <w:rPr>
          <w:rFonts w:ascii="Garamond" w:eastAsia="Garamond" w:hAnsi="Garamond" w:cs="Garamond"/>
        </w:rPr>
        <w:t xml:space="preserve"> – Tropospheric Emission Spectrometer, sensor aboard the Aura satellite</w:t>
      </w:r>
    </w:p>
    <w:p w14:paraId="700FB767"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TIF files</w:t>
      </w:r>
      <w:r>
        <w:rPr>
          <w:rFonts w:ascii="Garamond" w:eastAsia="Garamond" w:hAnsi="Garamond" w:cs="Garamond"/>
        </w:rPr>
        <w:t xml:space="preserve"> - Also known as TIFF files. Tagged Image File Format; a computer file format used as a raster for storing graphics with values for each pixel generated</w:t>
      </w:r>
    </w:p>
    <w:p w14:paraId="49F7C371" w14:textId="77777777" w:rsidR="00941EE9" w:rsidRDefault="004E11BC">
      <w:pPr>
        <w:spacing w:after="0" w:line="240" w:lineRule="auto"/>
        <w:ind w:left="720" w:hanging="720"/>
        <w:rPr>
          <w:rFonts w:ascii="Garamond" w:eastAsia="Garamond" w:hAnsi="Garamond" w:cs="Garamond"/>
        </w:rPr>
      </w:pPr>
      <w:r>
        <w:rPr>
          <w:rFonts w:ascii="Garamond" w:eastAsia="Garamond" w:hAnsi="Garamond" w:cs="Garamond"/>
          <w:b/>
        </w:rPr>
        <w:t>Wilderness Act</w:t>
      </w:r>
      <w:r>
        <w:rPr>
          <w:rFonts w:ascii="Garamond" w:eastAsia="Garamond" w:hAnsi="Garamond" w:cs="Garamond"/>
        </w:rPr>
        <w:t xml:space="preserve"> – Government act first enacted in 1964 that defined ‘wilderness’ and preserved 9.1 million acres of federal land to be protected by the federal government</w:t>
      </w:r>
    </w:p>
    <w:p w14:paraId="4111AE34" w14:textId="77777777" w:rsidR="00941EE9" w:rsidRDefault="004E11BC">
      <w:pPr>
        <w:spacing w:after="0" w:line="240" w:lineRule="auto"/>
        <w:ind w:left="720" w:hanging="720"/>
        <w:rPr>
          <w:rFonts w:ascii="Garamond" w:eastAsia="Garamond" w:hAnsi="Garamond" w:cs="Garamond"/>
          <w:b/>
        </w:rPr>
      </w:pPr>
      <w:r>
        <w:rPr>
          <w:rFonts w:ascii="Garamond" w:eastAsia="Garamond" w:hAnsi="Garamond" w:cs="Garamond"/>
          <w:b/>
        </w:rPr>
        <w:t xml:space="preserve">WGS 1984 </w:t>
      </w:r>
      <w:r>
        <w:rPr>
          <w:rFonts w:ascii="Garamond" w:eastAsia="Garamond" w:hAnsi="Garamond" w:cs="Garamond"/>
        </w:rPr>
        <w:t>– Standard coordinate system for the Earth, established in 1984, the system has its origin point at the center of the earth</w:t>
      </w:r>
    </w:p>
    <w:p w14:paraId="5E54C6CC" w14:textId="77777777" w:rsidR="00941EE9" w:rsidRDefault="004E11BC">
      <w:pPr>
        <w:pStyle w:val="Heading1"/>
        <w:spacing w:line="240" w:lineRule="auto"/>
      </w:pPr>
      <w:r>
        <w:rPr>
          <w:rFonts w:ascii="Garamond" w:eastAsia="Garamond" w:hAnsi="Garamond" w:cs="Garamond"/>
        </w:rPr>
        <w:lastRenderedPageBreak/>
        <w:t>8. References</w:t>
      </w:r>
    </w:p>
    <w:p w14:paraId="755B6C01"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proofErr w:type="spellStart"/>
      <w:r w:rsidRPr="005839BC">
        <w:rPr>
          <w:rFonts w:ascii="Garamond" w:eastAsia="Garamond" w:hAnsi="Garamond" w:cs="Garamond"/>
          <w:color w:val="auto"/>
          <w:highlight w:val="white"/>
        </w:rPr>
        <w:t>Adon</w:t>
      </w:r>
      <w:proofErr w:type="spellEnd"/>
      <w:r w:rsidRPr="005839BC">
        <w:rPr>
          <w:rFonts w:ascii="Garamond" w:eastAsia="Garamond" w:hAnsi="Garamond" w:cs="Garamond"/>
          <w:color w:val="auto"/>
          <w:highlight w:val="white"/>
        </w:rPr>
        <w:t xml:space="preserve">, M., </w:t>
      </w:r>
      <w:proofErr w:type="spellStart"/>
      <w:r w:rsidRPr="005839BC">
        <w:rPr>
          <w:rFonts w:ascii="Garamond" w:eastAsia="Garamond" w:hAnsi="Garamond" w:cs="Garamond"/>
          <w:color w:val="auto"/>
          <w:highlight w:val="white"/>
        </w:rPr>
        <w:t>Galy-Lacaux</w:t>
      </w:r>
      <w:proofErr w:type="spellEnd"/>
      <w:r w:rsidRPr="005839BC">
        <w:rPr>
          <w:rFonts w:ascii="Garamond" w:eastAsia="Garamond" w:hAnsi="Garamond" w:cs="Garamond"/>
          <w:color w:val="auto"/>
          <w:highlight w:val="white"/>
        </w:rPr>
        <w:t xml:space="preserve">, C., </w:t>
      </w:r>
      <w:proofErr w:type="spellStart"/>
      <w:r w:rsidRPr="005839BC">
        <w:rPr>
          <w:rFonts w:ascii="Garamond" w:eastAsia="Garamond" w:hAnsi="Garamond" w:cs="Garamond"/>
          <w:color w:val="auto"/>
          <w:highlight w:val="white"/>
        </w:rPr>
        <w:t>Yoboué</w:t>
      </w:r>
      <w:proofErr w:type="spellEnd"/>
      <w:r w:rsidRPr="005839BC">
        <w:rPr>
          <w:rFonts w:ascii="Garamond" w:eastAsia="Garamond" w:hAnsi="Garamond" w:cs="Garamond"/>
          <w:color w:val="auto"/>
          <w:highlight w:val="white"/>
        </w:rPr>
        <w:t xml:space="preserve">, V., </w:t>
      </w:r>
      <w:proofErr w:type="spellStart"/>
      <w:r w:rsidRPr="005839BC">
        <w:rPr>
          <w:rFonts w:ascii="Garamond" w:eastAsia="Garamond" w:hAnsi="Garamond" w:cs="Garamond"/>
          <w:color w:val="auto"/>
          <w:highlight w:val="white"/>
        </w:rPr>
        <w:t>Delon</w:t>
      </w:r>
      <w:proofErr w:type="spellEnd"/>
      <w:r w:rsidRPr="005839BC">
        <w:rPr>
          <w:rFonts w:ascii="Garamond" w:eastAsia="Garamond" w:hAnsi="Garamond" w:cs="Garamond"/>
          <w:color w:val="auto"/>
          <w:highlight w:val="white"/>
        </w:rPr>
        <w:t xml:space="preserve">, C., </w:t>
      </w:r>
      <w:proofErr w:type="spellStart"/>
      <w:r w:rsidRPr="005839BC">
        <w:rPr>
          <w:rFonts w:ascii="Garamond" w:eastAsia="Garamond" w:hAnsi="Garamond" w:cs="Garamond"/>
          <w:color w:val="auto"/>
          <w:highlight w:val="white"/>
        </w:rPr>
        <w:t>Lacaux</w:t>
      </w:r>
      <w:proofErr w:type="spellEnd"/>
      <w:r w:rsidRPr="005839BC">
        <w:rPr>
          <w:rFonts w:ascii="Garamond" w:eastAsia="Garamond" w:hAnsi="Garamond" w:cs="Garamond"/>
          <w:color w:val="auto"/>
          <w:highlight w:val="white"/>
        </w:rPr>
        <w:t xml:space="preserve">, J. P., </w:t>
      </w:r>
      <w:proofErr w:type="spellStart"/>
      <w:r w:rsidRPr="005839BC">
        <w:rPr>
          <w:rFonts w:ascii="Garamond" w:eastAsia="Garamond" w:hAnsi="Garamond" w:cs="Garamond"/>
          <w:color w:val="auto"/>
          <w:highlight w:val="white"/>
        </w:rPr>
        <w:t>Castera</w:t>
      </w:r>
      <w:proofErr w:type="spellEnd"/>
      <w:r w:rsidRPr="005839BC">
        <w:rPr>
          <w:rFonts w:ascii="Garamond" w:eastAsia="Garamond" w:hAnsi="Garamond" w:cs="Garamond"/>
          <w:color w:val="auto"/>
          <w:highlight w:val="white"/>
        </w:rPr>
        <w:t xml:space="preserve">, P., et al. (2010). Long term measurements of sulfur dioxide, nitrogen dioxide, ammonia, nitric acid and ozone in Africa using passive samplers. </w:t>
      </w:r>
      <w:r w:rsidRPr="005839BC">
        <w:rPr>
          <w:rFonts w:ascii="Garamond" w:eastAsia="Garamond" w:hAnsi="Garamond" w:cs="Garamond"/>
          <w:i/>
          <w:color w:val="auto"/>
          <w:highlight w:val="white"/>
        </w:rPr>
        <w:t xml:space="preserve">Atmospheric Chemistry and Physics, 10, </w:t>
      </w:r>
      <w:r w:rsidRPr="005839BC">
        <w:rPr>
          <w:rFonts w:ascii="Garamond" w:eastAsia="Garamond" w:hAnsi="Garamond" w:cs="Garamond"/>
          <w:color w:val="auto"/>
          <w:highlight w:val="white"/>
        </w:rPr>
        <w:t>7467-7487.</w:t>
      </w:r>
    </w:p>
    <w:p w14:paraId="4F4B51C8"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178D4365" w14:textId="3510BE4E"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EPA (2012) Fact Sheet - Final Revisions to the Secondary National Ambient Air Quality Standards for Oxides of Nitrogen and Sulfur.</w:t>
      </w:r>
      <w:r w:rsidR="005839BC">
        <w:rPr>
          <w:rFonts w:ascii="Garamond" w:eastAsia="Garamond" w:hAnsi="Garamond" w:cs="Garamond"/>
          <w:color w:val="auto"/>
          <w:highlight w:val="white"/>
        </w:rPr>
        <w:t xml:space="preserve"> Retrieved August 3, 2017, from </w:t>
      </w:r>
      <w:hyperlink r:id="rId27">
        <w:r w:rsidRPr="005839BC">
          <w:rPr>
            <w:rFonts w:ascii="Garamond" w:eastAsia="Garamond" w:hAnsi="Garamond" w:cs="Garamond"/>
            <w:color w:val="auto"/>
            <w:highlight w:val="white"/>
          </w:rPr>
          <w:t>https://www.epa.gov/sites/</w:t>
        </w:r>
        <w:r w:rsidR="005839BC">
          <w:rPr>
            <w:rFonts w:ascii="Garamond" w:eastAsia="Garamond" w:hAnsi="Garamond" w:cs="Garamond"/>
            <w:color w:val="auto"/>
            <w:highlight w:val="white"/>
          </w:rPr>
          <w:t xml:space="preserve"> </w:t>
        </w:r>
        <w:r w:rsidRPr="005839BC">
          <w:rPr>
            <w:rFonts w:ascii="Garamond" w:eastAsia="Garamond" w:hAnsi="Garamond" w:cs="Garamond"/>
            <w:color w:val="auto"/>
            <w:highlight w:val="white"/>
          </w:rPr>
          <w:t>production/files/2016-06/documents/20120320factsheet_secondary_standards.pdf</w:t>
        </w:r>
      </w:hyperlink>
    </w:p>
    <w:p w14:paraId="215F3616"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5CAAACE7" w14:textId="13529CE4" w:rsidR="00941EE9" w:rsidRPr="005839BC" w:rsidRDefault="004E11BC" w:rsidP="005839BC">
      <w:pPr>
        <w:spacing w:after="0" w:line="240" w:lineRule="auto"/>
        <w:ind w:left="720" w:hanging="720"/>
        <w:rPr>
          <w:rFonts w:ascii="Garamond" w:eastAsia="Garamond" w:hAnsi="Garamond" w:cs="Garamond"/>
          <w:color w:val="auto"/>
        </w:rPr>
      </w:pPr>
      <w:r w:rsidRPr="005839BC">
        <w:rPr>
          <w:rFonts w:ascii="Garamond" w:eastAsia="Garamond" w:hAnsi="Garamond" w:cs="Garamond"/>
          <w:color w:val="auto"/>
          <w:highlight w:val="white"/>
        </w:rPr>
        <w:t xml:space="preserve">Faustini, A., Rapp, R., &amp; </w:t>
      </w:r>
      <w:proofErr w:type="spellStart"/>
      <w:r w:rsidRPr="005839BC">
        <w:rPr>
          <w:rFonts w:ascii="Garamond" w:eastAsia="Garamond" w:hAnsi="Garamond" w:cs="Garamond"/>
          <w:color w:val="auto"/>
          <w:highlight w:val="white"/>
        </w:rPr>
        <w:t>Forastiere</w:t>
      </w:r>
      <w:proofErr w:type="spellEnd"/>
      <w:r w:rsidRPr="005839BC">
        <w:rPr>
          <w:rFonts w:ascii="Garamond" w:eastAsia="Garamond" w:hAnsi="Garamond" w:cs="Garamond"/>
          <w:color w:val="auto"/>
          <w:highlight w:val="white"/>
        </w:rPr>
        <w:t>, F. (2014). Nitrogen dioxide and mortality: Review and meta-analysis of long-term studies</w:t>
      </w:r>
      <w:r w:rsidRPr="005839BC">
        <w:rPr>
          <w:rFonts w:ascii="Garamond" w:eastAsia="Garamond" w:hAnsi="Garamond" w:cs="Garamond"/>
          <w:i/>
          <w:color w:val="auto"/>
          <w:highlight w:val="white"/>
        </w:rPr>
        <w:t>.</w:t>
      </w:r>
      <w:r w:rsidRPr="005839BC">
        <w:rPr>
          <w:rFonts w:ascii="Garamond" w:eastAsia="Garamond" w:hAnsi="Garamond" w:cs="Garamond"/>
          <w:color w:val="auto"/>
          <w:highlight w:val="white"/>
        </w:rPr>
        <w:t xml:space="preserve"> </w:t>
      </w:r>
      <w:r w:rsidRPr="005839BC">
        <w:rPr>
          <w:rFonts w:ascii="Garamond" w:eastAsia="Garamond" w:hAnsi="Garamond" w:cs="Garamond"/>
          <w:i/>
          <w:color w:val="auto"/>
          <w:highlight w:val="white"/>
        </w:rPr>
        <w:t>European Respiratory Journal</w:t>
      </w:r>
      <w:r w:rsidRPr="005839BC">
        <w:rPr>
          <w:rFonts w:ascii="Garamond" w:eastAsia="Garamond" w:hAnsi="Garamond" w:cs="Garamond"/>
          <w:color w:val="auto"/>
          <w:highlight w:val="white"/>
        </w:rPr>
        <w:t>,</w:t>
      </w:r>
      <w:r w:rsidRPr="005839BC">
        <w:rPr>
          <w:rFonts w:ascii="Garamond" w:eastAsia="Garamond" w:hAnsi="Garamond" w:cs="Garamond"/>
          <w:i/>
          <w:color w:val="auto"/>
          <w:highlight w:val="white"/>
        </w:rPr>
        <w:t xml:space="preserve"> 44</w:t>
      </w:r>
      <w:r w:rsidR="005839BC">
        <w:rPr>
          <w:rFonts w:ascii="Garamond" w:eastAsia="Garamond" w:hAnsi="Garamond" w:cs="Garamond"/>
          <w:color w:val="auto"/>
          <w:highlight w:val="white"/>
        </w:rPr>
        <w:t xml:space="preserve">(3), 744–753. </w:t>
      </w:r>
      <w:hyperlink r:id="rId28">
        <w:r w:rsidRPr="005839BC">
          <w:rPr>
            <w:rFonts w:ascii="Garamond" w:eastAsia="Garamond" w:hAnsi="Garamond" w:cs="Garamond"/>
            <w:color w:val="auto"/>
            <w:highlight w:val="white"/>
          </w:rPr>
          <w:t>https://doi.org/10.1183/</w:t>
        </w:r>
        <w:r w:rsidR="005839BC">
          <w:rPr>
            <w:rFonts w:ascii="Garamond" w:eastAsia="Garamond" w:hAnsi="Garamond" w:cs="Garamond"/>
            <w:color w:val="auto"/>
            <w:highlight w:val="white"/>
          </w:rPr>
          <w:t xml:space="preserve"> </w:t>
        </w:r>
        <w:r w:rsidRPr="005839BC">
          <w:rPr>
            <w:rFonts w:ascii="Garamond" w:eastAsia="Garamond" w:hAnsi="Garamond" w:cs="Garamond"/>
            <w:color w:val="auto"/>
            <w:highlight w:val="white"/>
          </w:rPr>
          <w:t>09031936.00114713</w:t>
        </w:r>
      </w:hyperlink>
    </w:p>
    <w:p w14:paraId="1AB7FBA1" w14:textId="77777777" w:rsidR="00941EE9" w:rsidRPr="005839BC" w:rsidRDefault="00941EE9" w:rsidP="005839BC">
      <w:pPr>
        <w:spacing w:after="0" w:line="240" w:lineRule="auto"/>
        <w:ind w:left="720" w:hanging="720"/>
        <w:rPr>
          <w:rFonts w:ascii="Garamond" w:eastAsia="Garamond" w:hAnsi="Garamond" w:cs="Garamond"/>
          <w:color w:val="auto"/>
        </w:rPr>
      </w:pPr>
    </w:p>
    <w:p w14:paraId="1F3CFD92" w14:textId="77777777" w:rsidR="00941EE9" w:rsidRPr="005839BC" w:rsidRDefault="004E11BC" w:rsidP="005839BC">
      <w:pPr>
        <w:spacing w:after="0" w:line="240" w:lineRule="auto"/>
        <w:ind w:left="720" w:hanging="720"/>
        <w:rPr>
          <w:rFonts w:ascii="Garamond" w:eastAsia="Garamond" w:hAnsi="Garamond" w:cs="Garamond"/>
          <w:color w:val="auto"/>
        </w:rPr>
      </w:pPr>
      <w:r w:rsidRPr="005839BC">
        <w:rPr>
          <w:rFonts w:ascii="Garamond" w:eastAsia="Garamond" w:hAnsi="Garamond" w:cs="Garamond"/>
          <w:color w:val="auto"/>
        </w:rPr>
        <w:t xml:space="preserve">Hoff, R. F. &amp; Christopher, S. A. (2009) </w:t>
      </w:r>
      <w:proofErr w:type="gramStart"/>
      <w:r w:rsidRPr="005839BC">
        <w:rPr>
          <w:rFonts w:ascii="Garamond" w:eastAsia="Garamond" w:hAnsi="Garamond" w:cs="Garamond"/>
          <w:color w:val="auto"/>
        </w:rPr>
        <w:t>Remote</w:t>
      </w:r>
      <w:proofErr w:type="gramEnd"/>
      <w:r w:rsidRPr="005839BC">
        <w:rPr>
          <w:rFonts w:ascii="Garamond" w:eastAsia="Garamond" w:hAnsi="Garamond" w:cs="Garamond"/>
          <w:color w:val="auto"/>
        </w:rPr>
        <w:t xml:space="preserve"> sensing of particulate pollution from space: have we reached the promised land? </w:t>
      </w:r>
      <w:r w:rsidRPr="005839BC">
        <w:rPr>
          <w:rFonts w:ascii="Garamond" w:eastAsia="Garamond" w:hAnsi="Garamond" w:cs="Garamond"/>
          <w:i/>
          <w:color w:val="auto"/>
        </w:rPr>
        <w:t>Journal of the Air &amp; Waste Management Association</w:t>
      </w:r>
      <w:r w:rsidRPr="005839BC">
        <w:rPr>
          <w:rFonts w:ascii="Garamond" w:eastAsia="Garamond" w:hAnsi="Garamond" w:cs="Garamond"/>
          <w:color w:val="auto"/>
        </w:rPr>
        <w:t xml:space="preserve">, </w:t>
      </w:r>
      <w:r w:rsidRPr="005839BC">
        <w:rPr>
          <w:rFonts w:ascii="Garamond" w:eastAsia="Garamond" w:hAnsi="Garamond" w:cs="Garamond"/>
          <w:i/>
          <w:color w:val="auto"/>
        </w:rPr>
        <w:t>59</w:t>
      </w:r>
      <w:r w:rsidRPr="005839BC">
        <w:rPr>
          <w:rFonts w:ascii="Garamond" w:eastAsia="Garamond" w:hAnsi="Garamond" w:cs="Garamond"/>
          <w:color w:val="auto"/>
        </w:rPr>
        <w:t xml:space="preserve">(6), 645-675. </w:t>
      </w:r>
    </w:p>
    <w:p w14:paraId="01D898B8" w14:textId="77777777" w:rsidR="00941EE9" w:rsidRPr="005839BC" w:rsidRDefault="00941EE9" w:rsidP="005839BC">
      <w:pPr>
        <w:spacing w:after="0" w:line="240" w:lineRule="auto"/>
        <w:ind w:left="720" w:hanging="720"/>
        <w:rPr>
          <w:rFonts w:ascii="Garamond" w:eastAsia="Garamond" w:hAnsi="Garamond" w:cs="Garamond"/>
          <w:color w:val="auto"/>
        </w:rPr>
      </w:pPr>
    </w:p>
    <w:p w14:paraId="6D6773AD" w14:textId="77777777" w:rsidR="00941EE9" w:rsidRPr="005839BC" w:rsidRDefault="004E11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 xml:space="preserve">Greenberg, N., </w:t>
      </w:r>
      <w:proofErr w:type="spellStart"/>
      <w:r w:rsidRPr="005839BC">
        <w:rPr>
          <w:rFonts w:ascii="Garamond" w:eastAsia="Garamond" w:hAnsi="Garamond" w:cs="Garamond"/>
          <w:color w:val="auto"/>
          <w:highlight w:val="white"/>
        </w:rPr>
        <w:t>Carel</w:t>
      </w:r>
      <w:proofErr w:type="spellEnd"/>
      <w:r w:rsidRPr="005839BC">
        <w:rPr>
          <w:rFonts w:ascii="Garamond" w:eastAsia="Garamond" w:hAnsi="Garamond" w:cs="Garamond"/>
          <w:color w:val="auto"/>
          <w:highlight w:val="white"/>
        </w:rPr>
        <w:t xml:space="preserve">, R.S., </w:t>
      </w:r>
      <w:proofErr w:type="spellStart"/>
      <w:r w:rsidRPr="005839BC">
        <w:rPr>
          <w:rFonts w:ascii="Garamond" w:eastAsia="Garamond" w:hAnsi="Garamond" w:cs="Garamond"/>
          <w:color w:val="auto"/>
          <w:highlight w:val="white"/>
        </w:rPr>
        <w:t>Derazne</w:t>
      </w:r>
      <w:proofErr w:type="spellEnd"/>
      <w:r w:rsidRPr="005839BC">
        <w:rPr>
          <w:rFonts w:ascii="Garamond" w:eastAsia="Garamond" w:hAnsi="Garamond" w:cs="Garamond"/>
          <w:color w:val="auto"/>
          <w:highlight w:val="white"/>
        </w:rPr>
        <w:t xml:space="preserve">, E., </w:t>
      </w:r>
      <w:proofErr w:type="spellStart"/>
      <w:r w:rsidRPr="005839BC">
        <w:rPr>
          <w:rFonts w:ascii="Garamond" w:eastAsia="Garamond" w:hAnsi="Garamond" w:cs="Garamond"/>
          <w:color w:val="auto"/>
          <w:highlight w:val="white"/>
        </w:rPr>
        <w:t>Tiktinsky</w:t>
      </w:r>
      <w:proofErr w:type="spellEnd"/>
      <w:r w:rsidRPr="005839BC">
        <w:rPr>
          <w:rFonts w:ascii="Garamond" w:eastAsia="Garamond" w:hAnsi="Garamond" w:cs="Garamond"/>
          <w:color w:val="auto"/>
          <w:highlight w:val="white"/>
        </w:rPr>
        <w:t xml:space="preserve">, A., </w:t>
      </w:r>
      <w:proofErr w:type="spellStart"/>
      <w:r w:rsidRPr="005839BC">
        <w:rPr>
          <w:rFonts w:ascii="Garamond" w:eastAsia="Garamond" w:hAnsi="Garamond" w:cs="Garamond"/>
          <w:color w:val="auto"/>
          <w:highlight w:val="white"/>
        </w:rPr>
        <w:t>Tzur</w:t>
      </w:r>
      <w:proofErr w:type="spellEnd"/>
      <w:r w:rsidRPr="005839BC">
        <w:rPr>
          <w:rFonts w:ascii="Garamond" w:eastAsia="Garamond" w:hAnsi="Garamond" w:cs="Garamond"/>
          <w:color w:val="auto"/>
          <w:highlight w:val="white"/>
        </w:rPr>
        <w:t xml:space="preserve">, D., &amp; </w:t>
      </w:r>
      <w:proofErr w:type="spellStart"/>
      <w:r w:rsidRPr="005839BC">
        <w:rPr>
          <w:rFonts w:ascii="Garamond" w:eastAsia="Garamond" w:hAnsi="Garamond" w:cs="Garamond"/>
          <w:color w:val="auto"/>
          <w:highlight w:val="white"/>
        </w:rPr>
        <w:t>Portnov</w:t>
      </w:r>
      <w:proofErr w:type="spellEnd"/>
      <w:r w:rsidRPr="005839BC">
        <w:rPr>
          <w:rFonts w:ascii="Garamond" w:eastAsia="Garamond" w:hAnsi="Garamond" w:cs="Garamond"/>
          <w:color w:val="auto"/>
          <w:highlight w:val="white"/>
        </w:rPr>
        <w:t xml:space="preserve">, B.A. (2017). Modeling long-term effects attributed to nitrogen dioxide (NO2) and sulfur dioxide (SO2) exposure on asthma morbidity in a nationwide cohort in Israel. </w:t>
      </w:r>
      <w:r w:rsidRPr="005839BC">
        <w:rPr>
          <w:rFonts w:ascii="Garamond" w:eastAsia="Garamond" w:hAnsi="Garamond" w:cs="Garamond"/>
          <w:i/>
          <w:color w:val="auto"/>
          <w:highlight w:val="white"/>
        </w:rPr>
        <w:t>Journal of Toxicology and Environmental Health</w:t>
      </w:r>
      <w:r w:rsidRPr="005839BC">
        <w:rPr>
          <w:rFonts w:ascii="Garamond" w:eastAsia="Garamond" w:hAnsi="Garamond" w:cs="Garamond"/>
          <w:color w:val="auto"/>
          <w:highlight w:val="white"/>
        </w:rPr>
        <w:t>, Part A</w:t>
      </w:r>
      <w:proofErr w:type="gramStart"/>
      <w:r w:rsidRPr="005839BC">
        <w:rPr>
          <w:rFonts w:ascii="Garamond" w:eastAsia="Garamond" w:hAnsi="Garamond" w:cs="Garamond"/>
          <w:color w:val="auto"/>
          <w:highlight w:val="white"/>
        </w:rPr>
        <w:t>,,</w:t>
      </w:r>
      <w:proofErr w:type="gramEnd"/>
      <w:r w:rsidRPr="005839BC">
        <w:rPr>
          <w:rFonts w:ascii="Garamond" w:eastAsia="Garamond" w:hAnsi="Garamond" w:cs="Garamond"/>
          <w:color w:val="auto"/>
          <w:highlight w:val="white"/>
        </w:rPr>
        <w:t xml:space="preserve"> 1–12. </w:t>
      </w:r>
      <w:hyperlink r:id="rId29">
        <w:r w:rsidRPr="005839BC">
          <w:rPr>
            <w:rFonts w:ascii="Garamond" w:eastAsia="Garamond" w:hAnsi="Garamond" w:cs="Garamond"/>
            <w:color w:val="auto"/>
            <w:highlight w:val="white"/>
          </w:rPr>
          <w:t>https://doi.org/10.1080/15287394.2017.1313800</w:t>
        </w:r>
      </w:hyperlink>
    </w:p>
    <w:p w14:paraId="34CDB3D4" w14:textId="77777777" w:rsidR="00941EE9" w:rsidRPr="005839BC" w:rsidRDefault="00941EE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highlight w:val="white"/>
        </w:rPr>
      </w:pPr>
    </w:p>
    <w:p w14:paraId="52789FDC" w14:textId="77777777" w:rsidR="00941EE9" w:rsidRPr="005839BC" w:rsidRDefault="004E11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highlight w:val="white"/>
        </w:rPr>
      </w:pPr>
      <w:proofErr w:type="spellStart"/>
      <w:r w:rsidRPr="005839BC">
        <w:rPr>
          <w:rFonts w:ascii="Garamond" w:eastAsia="Garamond" w:hAnsi="Garamond" w:cs="Garamond"/>
          <w:color w:val="auto"/>
          <w:highlight w:val="white"/>
        </w:rPr>
        <w:t>Krotkov</w:t>
      </w:r>
      <w:proofErr w:type="spellEnd"/>
      <w:r w:rsidRPr="005839BC">
        <w:rPr>
          <w:rFonts w:ascii="Garamond" w:eastAsia="Garamond" w:hAnsi="Garamond" w:cs="Garamond"/>
          <w:color w:val="auto"/>
          <w:highlight w:val="white"/>
        </w:rPr>
        <w:t xml:space="preserve">, </w:t>
      </w:r>
      <w:proofErr w:type="spellStart"/>
      <w:r w:rsidRPr="005839BC">
        <w:rPr>
          <w:rFonts w:ascii="Garamond" w:eastAsia="Garamond" w:hAnsi="Garamond" w:cs="Garamond"/>
          <w:color w:val="auto"/>
          <w:highlight w:val="white"/>
        </w:rPr>
        <w:t>Nickolay</w:t>
      </w:r>
      <w:proofErr w:type="spellEnd"/>
      <w:r w:rsidRPr="005839BC">
        <w:rPr>
          <w:rFonts w:ascii="Garamond" w:eastAsia="Garamond" w:hAnsi="Garamond" w:cs="Garamond"/>
          <w:color w:val="auto"/>
          <w:highlight w:val="white"/>
        </w:rPr>
        <w:t xml:space="preserve"> A. (2013). OMI/Aura NO2 Cloud-Screened Total and Tropospheric Column L3 Global 0.25deg </w:t>
      </w:r>
      <w:proofErr w:type="spellStart"/>
      <w:r w:rsidRPr="005839BC">
        <w:rPr>
          <w:rFonts w:ascii="Garamond" w:eastAsia="Garamond" w:hAnsi="Garamond" w:cs="Garamond"/>
          <w:color w:val="auto"/>
          <w:highlight w:val="white"/>
        </w:rPr>
        <w:t>Lat</w:t>
      </w:r>
      <w:proofErr w:type="spellEnd"/>
      <w:r w:rsidRPr="005839BC">
        <w:rPr>
          <w:rFonts w:ascii="Garamond" w:eastAsia="Garamond" w:hAnsi="Garamond" w:cs="Garamond"/>
          <w:color w:val="auto"/>
          <w:highlight w:val="white"/>
        </w:rPr>
        <w:t xml:space="preserve">/Lon Grid. NASA Goddard Earth Sciences Data and Information Services Center. Accessed June 28, 2016. </w:t>
      </w:r>
      <w:proofErr w:type="spellStart"/>
      <w:proofErr w:type="gramStart"/>
      <w:r w:rsidRPr="005839BC">
        <w:rPr>
          <w:rFonts w:ascii="Garamond" w:eastAsia="Garamond" w:hAnsi="Garamond" w:cs="Garamond"/>
          <w:color w:val="auto"/>
          <w:highlight w:val="white"/>
        </w:rPr>
        <w:t>doi</w:t>
      </w:r>
      <w:proofErr w:type="spellEnd"/>
      <w:proofErr w:type="gramEnd"/>
      <w:r w:rsidRPr="005839BC">
        <w:rPr>
          <w:rFonts w:ascii="Garamond" w:eastAsia="Garamond" w:hAnsi="Garamond" w:cs="Garamond"/>
          <w:color w:val="auto"/>
          <w:highlight w:val="white"/>
        </w:rPr>
        <w:t>: 10.5067/Aura/OMI/DATA3007</w:t>
      </w:r>
    </w:p>
    <w:p w14:paraId="78999E93" w14:textId="77777777" w:rsidR="00941EE9" w:rsidRPr="005839BC" w:rsidRDefault="00941EE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highlight w:val="white"/>
        </w:rPr>
      </w:pPr>
    </w:p>
    <w:p w14:paraId="38655D92" w14:textId="77777777" w:rsidR="00941EE9" w:rsidRPr="005839BC" w:rsidRDefault="004E11B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highlight w:val="white"/>
        </w:rPr>
      </w:pPr>
      <w:proofErr w:type="spellStart"/>
      <w:r w:rsidRPr="005839BC">
        <w:rPr>
          <w:rFonts w:ascii="Garamond" w:eastAsia="Garamond" w:hAnsi="Garamond" w:cs="Garamond"/>
          <w:color w:val="auto"/>
          <w:highlight w:val="white"/>
        </w:rPr>
        <w:t>Krotkov</w:t>
      </w:r>
      <w:proofErr w:type="spellEnd"/>
      <w:r w:rsidRPr="005839BC">
        <w:rPr>
          <w:rFonts w:ascii="Garamond" w:eastAsia="Garamond" w:hAnsi="Garamond" w:cs="Garamond"/>
          <w:color w:val="auto"/>
          <w:highlight w:val="white"/>
        </w:rPr>
        <w:t xml:space="preserve">, </w:t>
      </w:r>
      <w:proofErr w:type="spellStart"/>
      <w:r w:rsidRPr="005839BC">
        <w:rPr>
          <w:rFonts w:ascii="Garamond" w:eastAsia="Garamond" w:hAnsi="Garamond" w:cs="Garamond"/>
          <w:color w:val="auto"/>
          <w:highlight w:val="white"/>
        </w:rPr>
        <w:t>Nickolay</w:t>
      </w:r>
      <w:proofErr w:type="spellEnd"/>
      <w:r w:rsidRPr="005839BC">
        <w:rPr>
          <w:rFonts w:ascii="Garamond" w:eastAsia="Garamond" w:hAnsi="Garamond" w:cs="Garamond"/>
          <w:color w:val="auto"/>
          <w:highlight w:val="white"/>
        </w:rPr>
        <w:t xml:space="preserve"> A., Li, C., &amp; Leonard, P. (2012). OMI/Aura Sulfur Dioxide (SO2) Total Column L3 Best Pixel Global 0.25deg </w:t>
      </w:r>
      <w:proofErr w:type="spellStart"/>
      <w:r w:rsidRPr="005839BC">
        <w:rPr>
          <w:rFonts w:ascii="Garamond" w:eastAsia="Garamond" w:hAnsi="Garamond" w:cs="Garamond"/>
          <w:color w:val="auto"/>
          <w:highlight w:val="white"/>
        </w:rPr>
        <w:t>Lat</w:t>
      </w:r>
      <w:proofErr w:type="spellEnd"/>
      <w:r w:rsidRPr="005839BC">
        <w:rPr>
          <w:rFonts w:ascii="Garamond" w:eastAsia="Garamond" w:hAnsi="Garamond" w:cs="Garamond"/>
          <w:color w:val="auto"/>
          <w:highlight w:val="white"/>
        </w:rPr>
        <w:t xml:space="preserve">/Lon Grid. NASA Goddard Earth Sciences Data and Information Services Center. Accessed June 30, 2016. </w:t>
      </w:r>
      <w:proofErr w:type="spellStart"/>
      <w:proofErr w:type="gramStart"/>
      <w:r w:rsidRPr="005839BC">
        <w:rPr>
          <w:rFonts w:ascii="Garamond" w:eastAsia="Garamond" w:hAnsi="Garamond" w:cs="Garamond"/>
          <w:color w:val="auto"/>
          <w:highlight w:val="white"/>
        </w:rPr>
        <w:t>doi</w:t>
      </w:r>
      <w:proofErr w:type="spellEnd"/>
      <w:proofErr w:type="gramEnd"/>
      <w:r w:rsidRPr="005839BC">
        <w:rPr>
          <w:rFonts w:ascii="Garamond" w:eastAsia="Garamond" w:hAnsi="Garamond" w:cs="Garamond"/>
          <w:color w:val="auto"/>
          <w:highlight w:val="white"/>
        </w:rPr>
        <w:t>: 10.5067/Aura/OMI/DATA3008</w:t>
      </w:r>
    </w:p>
    <w:p w14:paraId="23C380BC" w14:textId="77777777" w:rsidR="00941EE9" w:rsidRPr="005839BC" w:rsidRDefault="00941EE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highlight w:val="white"/>
        </w:rPr>
      </w:pPr>
    </w:p>
    <w:p w14:paraId="1E2E65D8"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NASA Goddard. (</w:t>
      </w:r>
      <w:proofErr w:type="spellStart"/>
      <w:r w:rsidRPr="005839BC">
        <w:rPr>
          <w:rFonts w:ascii="Garamond" w:eastAsia="Garamond" w:hAnsi="Garamond" w:cs="Garamond"/>
          <w:color w:val="auto"/>
          <w:highlight w:val="white"/>
        </w:rPr>
        <w:t>n.d.</w:t>
      </w:r>
      <w:proofErr w:type="spellEnd"/>
      <w:r w:rsidRPr="005839BC">
        <w:rPr>
          <w:rFonts w:ascii="Garamond" w:eastAsia="Garamond" w:hAnsi="Garamond" w:cs="Garamond"/>
          <w:color w:val="auto"/>
          <w:highlight w:val="white"/>
        </w:rPr>
        <w:t>). The Aura Mission. Retrieved June 27, 2017, from https://aura.gsfc.nasa.gov/</w:t>
      </w:r>
    </w:p>
    <w:p w14:paraId="7505D620"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7BF46E7A"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 xml:space="preserve">Shenandoah National Park (U.S. National Park Service). (2015, February 26). Monitoring - Air Quality Retrieved June 15, 2017, from </w:t>
      </w:r>
      <w:hyperlink r:id="rId30">
        <w:r w:rsidRPr="005839BC">
          <w:rPr>
            <w:rFonts w:ascii="Garamond" w:eastAsia="Garamond" w:hAnsi="Garamond" w:cs="Garamond"/>
            <w:color w:val="auto"/>
            <w:highlight w:val="white"/>
          </w:rPr>
          <w:t>https://www.nps.gov/shen/learn/nature/mon_air.htm</w:t>
        </w:r>
      </w:hyperlink>
    </w:p>
    <w:p w14:paraId="6B3F2B0A"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71630E0C"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 xml:space="preserve">Shenandoah National Park (U.S. National Park Service). (2011). Park Statistics. Retrieved June 15, 2017, from </w:t>
      </w:r>
      <w:hyperlink r:id="rId31">
        <w:r w:rsidRPr="005839BC">
          <w:rPr>
            <w:rFonts w:ascii="Garamond" w:eastAsia="Garamond" w:hAnsi="Garamond" w:cs="Garamond"/>
            <w:color w:val="auto"/>
            <w:highlight w:val="white"/>
          </w:rPr>
          <w:t>https://www.nps.gov/shen/learn/management/statistics.htm</w:t>
        </w:r>
      </w:hyperlink>
    </w:p>
    <w:p w14:paraId="001EE676"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3C7BF956" w14:textId="54F0B7D6"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S</w:t>
      </w:r>
      <w:hyperlink r:id="rId32">
        <w:r w:rsidRPr="005839BC">
          <w:rPr>
            <w:rFonts w:ascii="Garamond" w:eastAsia="Garamond" w:hAnsi="Garamond" w:cs="Garamond"/>
            <w:color w:val="auto"/>
            <w:highlight w:val="white"/>
          </w:rPr>
          <w:t>h</w:t>
        </w:r>
      </w:hyperlink>
      <w:r w:rsidRPr="005839BC">
        <w:rPr>
          <w:rFonts w:ascii="Garamond" w:eastAsia="Garamond" w:hAnsi="Garamond" w:cs="Garamond"/>
          <w:color w:val="auto"/>
          <w:highlight w:val="white"/>
        </w:rPr>
        <w:t>e</w:t>
      </w:r>
      <w:hyperlink r:id="rId33">
        <w:r w:rsidRPr="005839BC">
          <w:rPr>
            <w:rFonts w:ascii="Garamond" w:eastAsia="Garamond" w:hAnsi="Garamond" w:cs="Garamond"/>
            <w:color w:val="auto"/>
            <w:highlight w:val="white"/>
          </w:rPr>
          <w:t>n</w:t>
        </w:r>
      </w:hyperlink>
      <w:r w:rsidRPr="005839BC">
        <w:rPr>
          <w:rFonts w:ascii="Garamond" w:eastAsia="Garamond" w:hAnsi="Garamond" w:cs="Garamond"/>
          <w:color w:val="auto"/>
          <w:highlight w:val="white"/>
        </w:rPr>
        <w:t>a</w:t>
      </w:r>
      <w:hyperlink r:id="rId34">
        <w:r w:rsidRPr="005839BC">
          <w:rPr>
            <w:rFonts w:ascii="Garamond" w:eastAsia="Garamond" w:hAnsi="Garamond" w:cs="Garamond"/>
            <w:color w:val="auto"/>
            <w:highlight w:val="white"/>
          </w:rPr>
          <w:t>n</w:t>
        </w:r>
      </w:hyperlink>
      <w:r w:rsidRPr="005839BC">
        <w:rPr>
          <w:rFonts w:ascii="Garamond" w:eastAsia="Garamond" w:hAnsi="Garamond" w:cs="Garamond"/>
          <w:color w:val="auto"/>
          <w:highlight w:val="white"/>
        </w:rPr>
        <w:t>d</w:t>
      </w:r>
      <w:hyperlink r:id="rId35">
        <w:r w:rsidRPr="005839BC">
          <w:rPr>
            <w:rFonts w:ascii="Garamond" w:eastAsia="Garamond" w:hAnsi="Garamond" w:cs="Garamond"/>
            <w:color w:val="auto"/>
            <w:highlight w:val="white"/>
          </w:rPr>
          <w:t>o</w:t>
        </w:r>
      </w:hyperlink>
      <w:r w:rsidRPr="005839BC">
        <w:rPr>
          <w:rFonts w:ascii="Garamond" w:eastAsia="Garamond" w:hAnsi="Garamond" w:cs="Garamond"/>
          <w:color w:val="auto"/>
          <w:highlight w:val="white"/>
        </w:rPr>
        <w:t>a</w:t>
      </w:r>
      <w:hyperlink r:id="rId36">
        <w:r w:rsidRPr="005839BC">
          <w:rPr>
            <w:rFonts w:ascii="Garamond" w:eastAsia="Garamond" w:hAnsi="Garamond" w:cs="Garamond"/>
            <w:color w:val="auto"/>
            <w:highlight w:val="white"/>
          </w:rPr>
          <w:t>h</w:t>
        </w:r>
      </w:hyperlink>
      <w:r w:rsidRPr="005839BC">
        <w:rPr>
          <w:rFonts w:ascii="Garamond" w:eastAsia="Garamond" w:hAnsi="Garamond" w:cs="Garamond"/>
          <w:color w:val="auto"/>
          <w:highlight w:val="white"/>
        </w:rPr>
        <w:t xml:space="preserve"> </w:t>
      </w:r>
      <w:hyperlink r:id="rId37">
        <w:r w:rsidRPr="005839BC">
          <w:rPr>
            <w:rFonts w:ascii="Garamond" w:eastAsia="Garamond" w:hAnsi="Garamond" w:cs="Garamond"/>
            <w:color w:val="auto"/>
            <w:highlight w:val="white"/>
          </w:rPr>
          <w:t>N</w:t>
        </w:r>
      </w:hyperlink>
      <w:r w:rsidRPr="005839BC">
        <w:rPr>
          <w:rFonts w:ascii="Garamond" w:eastAsia="Garamond" w:hAnsi="Garamond" w:cs="Garamond"/>
          <w:color w:val="auto"/>
          <w:highlight w:val="white"/>
        </w:rPr>
        <w:t>a</w:t>
      </w:r>
      <w:hyperlink r:id="rId38">
        <w:r w:rsidRPr="005839BC">
          <w:rPr>
            <w:rFonts w:ascii="Garamond" w:eastAsia="Garamond" w:hAnsi="Garamond" w:cs="Garamond"/>
            <w:color w:val="auto"/>
            <w:highlight w:val="white"/>
          </w:rPr>
          <w:t>t</w:t>
        </w:r>
      </w:hyperlink>
      <w:r w:rsidRPr="005839BC">
        <w:rPr>
          <w:rFonts w:ascii="Garamond" w:eastAsia="Garamond" w:hAnsi="Garamond" w:cs="Garamond"/>
          <w:color w:val="auto"/>
          <w:highlight w:val="white"/>
        </w:rPr>
        <w:t>i</w:t>
      </w:r>
      <w:hyperlink r:id="rId39">
        <w:r w:rsidRPr="005839BC">
          <w:rPr>
            <w:rFonts w:ascii="Garamond" w:eastAsia="Garamond" w:hAnsi="Garamond" w:cs="Garamond"/>
            <w:color w:val="auto"/>
            <w:highlight w:val="white"/>
          </w:rPr>
          <w:t>o</w:t>
        </w:r>
      </w:hyperlink>
      <w:r w:rsidRPr="005839BC">
        <w:rPr>
          <w:rFonts w:ascii="Garamond" w:eastAsia="Garamond" w:hAnsi="Garamond" w:cs="Garamond"/>
          <w:color w:val="auto"/>
          <w:highlight w:val="white"/>
        </w:rPr>
        <w:t>n</w:t>
      </w:r>
      <w:hyperlink r:id="rId40">
        <w:r w:rsidRPr="005839BC">
          <w:rPr>
            <w:rFonts w:ascii="Garamond" w:eastAsia="Garamond" w:hAnsi="Garamond" w:cs="Garamond"/>
            <w:color w:val="auto"/>
            <w:highlight w:val="white"/>
          </w:rPr>
          <w:t>a</w:t>
        </w:r>
      </w:hyperlink>
      <w:r w:rsidRPr="005839BC">
        <w:rPr>
          <w:rFonts w:ascii="Garamond" w:eastAsia="Garamond" w:hAnsi="Garamond" w:cs="Garamond"/>
          <w:color w:val="auto"/>
          <w:highlight w:val="white"/>
        </w:rPr>
        <w:t>l</w:t>
      </w:r>
      <w:hyperlink r:id="rId41">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P</w:t>
      </w:r>
      <w:hyperlink r:id="rId42">
        <w:r w:rsidRPr="005839BC">
          <w:rPr>
            <w:rFonts w:ascii="Garamond" w:eastAsia="Garamond" w:hAnsi="Garamond" w:cs="Garamond"/>
            <w:color w:val="auto"/>
            <w:highlight w:val="white"/>
          </w:rPr>
          <w:t>a</w:t>
        </w:r>
      </w:hyperlink>
      <w:r w:rsidRPr="005839BC">
        <w:rPr>
          <w:rFonts w:ascii="Garamond" w:eastAsia="Garamond" w:hAnsi="Garamond" w:cs="Garamond"/>
          <w:color w:val="auto"/>
          <w:highlight w:val="white"/>
        </w:rPr>
        <w:t>r</w:t>
      </w:r>
      <w:hyperlink r:id="rId43">
        <w:r w:rsidRPr="005839BC">
          <w:rPr>
            <w:rFonts w:ascii="Garamond" w:eastAsia="Garamond" w:hAnsi="Garamond" w:cs="Garamond"/>
            <w:color w:val="auto"/>
            <w:highlight w:val="white"/>
          </w:rPr>
          <w:t>k</w:t>
        </w:r>
      </w:hyperlink>
      <w:r w:rsidRPr="005839BC">
        <w:rPr>
          <w:rFonts w:ascii="Garamond" w:eastAsia="Garamond" w:hAnsi="Garamond" w:cs="Garamond"/>
          <w:color w:val="auto"/>
          <w:highlight w:val="white"/>
        </w:rPr>
        <w:t xml:space="preserve"> </w:t>
      </w:r>
      <w:hyperlink r:id="rId44">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U</w:t>
      </w:r>
      <w:hyperlink r:id="rId45">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S</w:t>
      </w:r>
      <w:hyperlink r:id="rId46">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 xml:space="preserve"> </w:t>
      </w:r>
      <w:hyperlink r:id="rId47">
        <w:r w:rsidRPr="005839BC">
          <w:rPr>
            <w:rFonts w:ascii="Garamond" w:eastAsia="Garamond" w:hAnsi="Garamond" w:cs="Garamond"/>
            <w:color w:val="auto"/>
            <w:highlight w:val="white"/>
          </w:rPr>
          <w:t>N</w:t>
        </w:r>
      </w:hyperlink>
      <w:r w:rsidRPr="005839BC">
        <w:rPr>
          <w:rFonts w:ascii="Garamond" w:eastAsia="Garamond" w:hAnsi="Garamond" w:cs="Garamond"/>
          <w:color w:val="auto"/>
          <w:highlight w:val="white"/>
        </w:rPr>
        <w:t>a</w:t>
      </w:r>
      <w:hyperlink r:id="rId48">
        <w:r w:rsidRPr="005839BC">
          <w:rPr>
            <w:rFonts w:ascii="Garamond" w:eastAsia="Garamond" w:hAnsi="Garamond" w:cs="Garamond"/>
            <w:color w:val="auto"/>
            <w:highlight w:val="white"/>
          </w:rPr>
          <w:t>t</w:t>
        </w:r>
      </w:hyperlink>
      <w:r w:rsidRPr="005839BC">
        <w:rPr>
          <w:rFonts w:ascii="Garamond" w:eastAsia="Garamond" w:hAnsi="Garamond" w:cs="Garamond"/>
          <w:color w:val="auto"/>
          <w:highlight w:val="white"/>
        </w:rPr>
        <w:t>i</w:t>
      </w:r>
      <w:hyperlink r:id="rId49">
        <w:r w:rsidRPr="005839BC">
          <w:rPr>
            <w:rFonts w:ascii="Garamond" w:eastAsia="Garamond" w:hAnsi="Garamond" w:cs="Garamond"/>
            <w:color w:val="auto"/>
            <w:highlight w:val="white"/>
          </w:rPr>
          <w:t>o</w:t>
        </w:r>
      </w:hyperlink>
      <w:r w:rsidRPr="005839BC">
        <w:rPr>
          <w:rFonts w:ascii="Garamond" w:eastAsia="Garamond" w:hAnsi="Garamond" w:cs="Garamond"/>
          <w:color w:val="auto"/>
          <w:highlight w:val="white"/>
        </w:rPr>
        <w:t>n</w:t>
      </w:r>
      <w:hyperlink r:id="rId50">
        <w:r w:rsidRPr="005839BC">
          <w:rPr>
            <w:rFonts w:ascii="Garamond" w:eastAsia="Garamond" w:hAnsi="Garamond" w:cs="Garamond"/>
            <w:color w:val="auto"/>
            <w:highlight w:val="white"/>
          </w:rPr>
          <w:t>a</w:t>
        </w:r>
      </w:hyperlink>
      <w:r w:rsidRPr="005839BC">
        <w:rPr>
          <w:rFonts w:ascii="Garamond" w:eastAsia="Garamond" w:hAnsi="Garamond" w:cs="Garamond"/>
          <w:color w:val="auto"/>
          <w:highlight w:val="white"/>
        </w:rPr>
        <w:t>l P</w:t>
      </w:r>
      <w:hyperlink r:id="rId51">
        <w:r w:rsidRPr="005839BC">
          <w:rPr>
            <w:rFonts w:ascii="Garamond" w:eastAsia="Garamond" w:hAnsi="Garamond" w:cs="Garamond"/>
            <w:color w:val="auto"/>
            <w:highlight w:val="white"/>
          </w:rPr>
          <w:t>a</w:t>
        </w:r>
      </w:hyperlink>
      <w:r w:rsidRPr="005839BC">
        <w:rPr>
          <w:rFonts w:ascii="Garamond" w:eastAsia="Garamond" w:hAnsi="Garamond" w:cs="Garamond"/>
          <w:color w:val="auto"/>
          <w:highlight w:val="white"/>
        </w:rPr>
        <w:t>r</w:t>
      </w:r>
      <w:hyperlink r:id="rId52">
        <w:r w:rsidRPr="005839BC">
          <w:rPr>
            <w:rFonts w:ascii="Garamond" w:eastAsia="Garamond" w:hAnsi="Garamond" w:cs="Garamond"/>
            <w:color w:val="auto"/>
            <w:highlight w:val="white"/>
          </w:rPr>
          <w:t>k</w:t>
        </w:r>
      </w:hyperlink>
      <w:r w:rsidRPr="005839BC">
        <w:rPr>
          <w:rFonts w:ascii="Garamond" w:eastAsia="Garamond" w:hAnsi="Garamond" w:cs="Garamond"/>
          <w:color w:val="auto"/>
          <w:highlight w:val="white"/>
        </w:rPr>
        <w:t xml:space="preserve"> </w:t>
      </w:r>
      <w:hyperlink r:id="rId53">
        <w:r w:rsidRPr="005839BC">
          <w:rPr>
            <w:rFonts w:ascii="Garamond" w:eastAsia="Garamond" w:hAnsi="Garamond" w:cs="Garamond"/>
            <w:color w:val="auto"/>
            <w:highlight w:val="white"/>
          </w:rPr>
          <w:t>S</w:t>
        </w:r>
      </w:hyperlink>
      <w:r w:rsidRPr="005839BC">
        <w:rPr>
          <w:rFonts w:ascii="Garamond" w:eastAsia="Garamond" w:hAnsi="Garamond" w:cs="Garamond"/>
          <w:color w:val="auto"/>
          <w:highlight w:val="white"/>
        </w:rPr>
        <w:t>e</w:t>
      </w:r>
      <w:hyperlink r:id="rId54">
        <w:r w:rsidRPr="005839BC">
          <w:rPr>
            <w:rFonts w:ascii="Garamond" w:eastAsia="Garamond" w:hAnsi="Garamond" w:cs="Garamond"/>
            <w:color w:val="auto"/>
            <w:highlight w:val="white"/>
          </w:rPr>
          <w:t>r</w:t>
        </w:r>
      </w:hyperlink>
      <w:r w:rsidRPr="005839BC">
        <w:rPr>
          <w:rFonts w:ascii="Garamond" w:eastAsia="Garamond" w:hAnsi="Garamond" w:cs="Garamond"/>
          <w:color w:val="auto"/>
          <w:highlight w:val="white"/>
        </w:rPr>
        <w:t>v</w:t>
      </w:r>
      <w:hyperlink r:id="rId55">
        <w:r w:rsidRPr="005839BC">
          <w:rPr>
            <w:rFonts w:ascii="Garamond" w:eastAsia="Garamond" w:hAnsi="Garamond" w:cs="Garamond"/>
            <w:color w:val="auto"/>
            <w:highlight w:val="white"/>
          </w:rPr>
          <w:t>i</w:t>
        </w:r>
      </w:hyperlink>
      <w:r w:rsidRPr="005839BC">
        <w:rPr>
          <w:rFonts w:ascii="Garamond" w:eastAsia="Garamond" w:hAnsi="Garamond" w:cs="Garamond"/>
          <w:color w:val="auto"/>
          <w:highlight w:val="white"/>
        </w:rPr>
        <w:t>c</w:t>
      </w:r>
      <w:hyperlink r:id="rId56">
        <w:r w:rsidRPr="005839BC">
          <w:rPr>
            <w:rFonts w:ascii="Garamond" w:eastAsia="Garamond" w:hAnsi="Garamond" w:cs="Garamond"/>
            <w:color w:val="auto"/>
            <w:highlight w:val="white"/>
          </w:rPr>
          <w:t>e</w:t>
        </w:r>
      </w:hyperlink>
      <w:r w:rsidRPr="005839BC">
        <w:rPr>
          <w:rFonts w:ascii="Garamond" w:eastAsia="Garamond" w:hAnsi="Garamond" w:cs="Garamond"/>
          <w:color w:val="auto"/>
          <w:highlight w:val="white"/>
        </w:rPr>
        <w:t>)</w:t>
      </w:r>
      <w:hyperlink r:id="rId57">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 xml:space="preserve"> </w:t>
      </w:r>
      <w:hyperlink r:id="rId58">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2</w:t>
      </w:r>
      <w:hyperlink r:id="rId59">
        <w:r w:rsidRPr="005839BC">
          <w:rPr>
            <w:rFonts w:ascii="Garamond" w:eastAsia="Garamond" w:hAnsi="Garamond" w:cs="Garamond"/>
            <w:color w:val="auto"/>
            <w:highlight w:val="white"/>
          </w:rPr>
          <w:t>0</w:t>
        </w:r>
      </w:hyperlink>
      <w:r w:rsidRPr="005839BC">
        <w:rPr>
          <w:rFonts w:ascii="Garamond" w:eastAsia="Garamond" w:hAnsi="Garamond" w:cs="Garamond"/>
          <w:color w:val="auto"/>
          <w:highlight w:val="white"/>
        </w:rPr>
        <w:t>0</w:t>
      </w:r>
      <w:hyperlink r:id="rId60">
        <w:r w:rsidRPr="005839BC">
          <w:rPr>
            <w:rFonts w:ascii="Garamond" w:eastAsia="Garamond" w:hAnsi="Garamond" w:cs="Garamond"/>
            <w:color w:val="auto"/>
            <w:highlight w:val="white"/>
          </w:rPr>
          <w:t>7</w:t>
        </w:r>
      </w:hyperlink>
      <w:r w:rsidRPr="005839BC">
        <w:rPr>
          <w:rFonts w:ascii="Garamond" w:eastAsia="Garamond" w:hAnsi="Garamond" w:cs="Garamond"/>
          <w:color w:val="auto"/>
          <w:highlight w:val="white"/>
        </w:rPr>
        <w:t>)</w:t>
      </w:r>
      <w:hyperlink r:id="rId61">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 xml:space="preserve"> </w:t>
      </w:r>
      <w:hyperlink r:id="rId62">
        <w:r w:rsidRPr="005839BC">
          <w:rPr>
            <w:rFonts w:ascii="Garamond" w:eastAsia="Garamond" w:hAnsi="Garamond" w:cs="Garamond"/>
            <w:color w:val="auto"/>
            <w:highlight w:val="white"/>
          </w:rPr>
          <w:t>W</w:t>
        </w:r>
      </w:hyperlink>
      <w:r w:rsidRPr="005839BC">
        <w:rPr>
          <w:rFonts w:ascii="Garamond" w:eastAsia="Garamond" w:hAnsi="Garamond" w:cs="Garamond"/>
          <w:color w:val="auto"/>
          <w:highlight w:val="white"/>
        </w:rPr>
        <w:t>h</w:t>
      </w:r>
      <w:hyperlink r:id="rId63">
        <w:r w:rsidRPr="005839BC">
          <w:rPr>
            <w:rFonts w:ascii="Garamond" w:eastAsia="Garamond" w:hAnsi="Garamond" w:cs="Garamond"/>
            <w:color w:val="auto"/>
            <w:highlight w:val="white"/>
          </w:rPr>
          <w:t>a</w:t>
        </w:r>
      </w:hyperlink>
      <w:r w:rsidRPr="005839BC">
        <w:rPr>
          <w:rFonts w:ascii="Garamond" w:eastAsia="Garamond" w:hAnsi="Garamond" w:cs="Garamond"/>
          <w:color w:val="auto"/>
          <w:highlight w:val="white"/>
        </w:rPr>
        <w:t>t</w:t>
      </w:r>
      <w:hyperlink r:id="rId64">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s</w:t>
      </w:r>
      <w:hyperlink r:id="rId65">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u</w:t>
      </w:r>
      <w:hyperlink r:id="rId66">
        <w:r w:rsidRPr="005839BC">
          <w:rPr>
            <w:rFonts w:ascii="Garamond" w:eastAsia="Garamond" w:hAnsi="Garamond" w:cs="Garamond"/>
            <w:color w:val="auto"/>
            <w:highlight w:val="white"/>
          </w:rPr>
          <w:t>p</w:t>
        </w:r>
      </w:hyperlink>
      <w:r w:rsidRPr="005839BC">
        <w:rPr>
          <w:rFonts w:ascii="Garamond" w:eastAsia="Garamond" w:hAnsi="Garamond" w:cs="Garamond"/>
          <w:color w:val="auto"/>
          <w:highlight w:val="white"/>
        </w:rPr>
        <w:t xml:space="preserve"> </w:t>
      </w:r>
      <w:hyperlink r:id="rId67">
        <w:r w:rsidRPr="005839BC">
          <w:rPr>
            <w:rFonts w:ascii="Garamond" w:eastAsia="Garamond" w:hAnsi="Garamond" w:cs="Garamond"/>
            <w:color w:val="auto"/>
            <w:highlight w:val="white"/>
          </w:rPr>
          <w:t>w</w:t>
        </w:r>
      </w:hyperlink>
      <w:r w:rsidRPr="005839BC">
        <w:rPr>
          <w:rFonts w:ascii="Garamond" w:eastAsia="Garamond" w:hAnsi="Garamond" w:cs="Garamond"/>
          <w:color w:val="auto"/>
          <w:highlight w:val="white"/>
        </w:rPr>
        <w:t>i</w:t>
      </w:r>
      <w:hyperlink r:id="rId68">
        <w:r w:rsidRPr="005839BC">
          <w:rPr>
            <w:rFonts w:ascii="Garamond" w:eastAsia="Garamond" w:hAnsi="Garamond" w:cs="Garamond"/>
            <w:color w:val="auto"/>
            <w:highlight w:val="white"/>
          </w:rPr>
          <w:t>t</w:t>
        </w:r>
      </w:hyperlink>
      <w:r w:rsidRPr="005839BC">
        <w:rPr>
          <w:rFonts w:ascii="Garamond" w:eastAsia="Garamond" w:hAnsi="Garamond" w:cs="Garamond"/>
          <w:color w:val="auto"/>
          <w:highlight w:val="white"/>
        </w:rPr>
        <w:t>h</w:t>
      </w:r>
      <w:hyperlink r:id="rId69">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t</w:t>
      </w:r>
      <w:hyperlink r:id="rId70">
        <w:r w:rsidRPr="005839BC">
          <w:rPr>
            <w:rFonts w:ascii="Garamond" w:eastAsia="Garamond" w:hAnsi="Garamond" w:cs="Garamond"/>
            <w:color w:val="auto"/>
            <w:highlight w:val="white"/>
          </w:rPr>
          <w:t>h</w:t>
        </w:r>
      </w:hyperlink>
      <w:r w:rsidRPr="005839BC">
        <w:rPr>
          <w:rFonts w:ascii="Garamond" w:eastAsia="Garamond" w:hAnsi="Garamond" w:cs="Garamond"/>
          <w:color w:val="auto"/>
          <w:highlight w:val="white"/>
        </w:rPr>
        <w:t>e</w:t>
      </w:r>
      <w:hyperlink r:id="rId71">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a</w:t>
      </w:r>
      <w:hyperlink r:id="rId72">
        <w:r w:rsidRPr="005839BC">
          <w:rPr>
            <w:rFonts w:ascii="Garamond" w:eastAsia="Garamond" w:hAnsi="Garamond" w:cs="Garamond"/>
            <w:color w:val="auto"/>
            <w:highlight w:val="white"/>
          </w:rPr>
          <w:t>i</w:t>
        </w:r>
      </w:hyperlink>
      <w:r w:rsidRPr="005839BC">
        <w:rPr>
          <w:rFonts w:ascii="Garamond" w:eastAsia="Garamond" w:hAnsi="Garamond" w:cs="Garamond"/>
          <w:color w:val="auto"/>
          <w:highlight w:val="white"/>
        </w:rPr>
        <w:t>r</w:t>
      </w:r>
      <w:hyperlink r:id="rId73">
        <w:r w:rsidRPr="005839BC">
          <w:rPr>
            <w:rFonts w:ascii="Garamond" w:eastAsia="Garamond" w:hAnsi="Garamond" w:cs="Garamond"/>
            <w:color w:val="auto"/>
            <w:highlight w:val="white"/>
          </w:rPr>
          <w:t>?</w:t>
        </w:r>
      </w:hyperlink>
      <w:hyperlink r:id="rId74">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R</w:t>
      </w:r>
      <w:hyperlink r:id="rId75">
        <w:r w:rsidRPr="005839BC">
          <w:rPr>
            <w:rFonts w:ascii="Garamond" w:eastAsia="Garamond" w:hAnsi="Garamond" w:cs="Garamond"/>
            <w:color w:val="auto"/>
            <w:highlight w:val="white"/>
          </w:rPr>
          <w:t>e</w:t>
        </w:r>
      </w:hyperlink>
      <w:r w:rsidRPr="005839BC">
        <w:rPr>
          <w:rFonts w:ascii="Garamond" w:eastAsia="Garamond" w:hAnsi="Garamond" w:cs="Garamond"/>
          <w:color w:val="auto"/>
          <w:highlight w:val="white"/>
        </w:rPr>
        <w:t>t</w:t>
      </w:r>
      <w:hyperlink r:id="rId76">
        <w:r w:rsidRPr="005839BC">
          <w:rPr>
            <w:rFonts w:ascii="Garamond" w:eastAsia="Garamond" w:hAnsi="Garamond" w:cs="Garamond"/>
            <w:color w:val="auto"/>
            <w:highlight w:val="white"/>
          </w:rPr>
          <w:t>r</w:t>
        </w:r>
      </w:hyperlink>
      <w:r w:rsidRPr="005839BC">
        <w:rPr>
          <w:rFonts w:ascii="Garamond" w:eastAsia="Garamond" w:hAnsi="Garamond" w:cs="Garamond"/>
          <w:color w:val="auto"/>
          <w:highlight w:val="white"/>
        </w:rPr>
        <w:t>i</w:t>
      </w:r>
      <w:hyperlink r:id="rId77">
        <w:r w:rsidRPr="005839BC">
          <w:rPr>
            <w:rFonts w:ascii="Garamond" w:eastAsia="Garamond" w:hAnsi="Garamond" w:cs="Garamond"/>
            <w:color w:val="auto"/>
            <w:highlight w:val="white"/>
          </w:rPr>
          <w:t>e</w:t>
        </w:r>
      </w:hyperlink>
      <w:r w:rsidRPr="005839BC">
        <w:rPr>
          <w:rFonts w:ascii="Garamond" w:eastAsia="Garamond" w:hAnsi="Garamond" w:cs="Garamond"/>
          <w:color w:val="auto"/>
          <w:highlight w:val="white"/>
        </w:rPr>
        <w:t>v</w:t>
      </w:r>
      <w:hyperlink r:id="rId78">
        <w:r w:rsidRPr="005839BC">
          <w:rPr>
            <w:rFonts w:ascii="Garamond" w:eastAsia="Garamond" w:hAnsi="Garamond" w:cs="Garamond"/>
            <w:color w:val="auto"/>
            <w:highlight w:val="white"/>
          </w:rPr>
          <w:t>e</w:t>
        </w:r>
      </w:hyperlink>
      <w:r w:rsidRPr="005839BC">
        <w:rPr>
          <w:rFonts w:ascii="Garamond" w:eastAsia="Garamond" w:hAnsi="Garamond" w:cs="Garamond"/>
          <w:color w:val="auto"/>
          <w:highlight w:val="white"/>
        </w:rPr>
        <w:t>d</w:t>
      </w:r>
      <w:hyperlink r:id="rId79">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J</w:t>
      </w:r>
      <w:hyperlink r:id="rId80">
        <w:r w:rsidRPr="005839BC">
          <w:rPr>
            <w:rFonts w:ascii="Garamond" w:eastAsia="Garamond" w:hAnsi="Garamond" w:cs="Garamond"/>
            <w:color w:val="auto"/>
            <w:highlight w:val="white"/>
          </w:rPr>
          <w:t>u</w:t>
        </w:r>
      </w:hyperlink>
      <w:r w:rsidRPr="005839BC">
        <w:rPr>
          <w:rFonts w:ascii="Garamond" w:eastAsia="Garamond" w:hAnsi="Garamond" w:cs="Garamond"/>
          <w:color w:val="auto"/>
          <w:highlight w:val="white"/>
        </w:rPr>
        <w:t>n</w:t>
      </w:r>
      <w:hyperlink r:id="rId81">
        <w:r w:rsidRPr="005839BC">
          <w:rPr>
            <w:rFonts w:ascii="Garamond" w:eastAsia="Garamond" w:hAnsi="Garamond" w:cs="Garamond"/>
            <w:color w:val="auto"/>
            <w:highlight w:val="white"/>
          </w:rPr>
          <w:t>e</w:t>
        </w:r>
      </w:hyperlink>
      <w:r w:rsidRPr="005839BC">
        <w:rPr>
          <w:rFonts w:ascii="Garamond" w:eastAsia="Garamond" w:hAnsi="Garamond" w:cs="Garamond"/>
          <w:color w:val="auto"/>
          <w:highlight w:val="white"/>
        </w:rPr>
        <w:t xml:space="preserve"> </w:t>
      </w:r>
      <w:hyperlink r:id="rId82">
        <w:r w:rsidRPr="005839BC">
          <w:rPr>
            <w:rFonts w:ascii="Garamond" w:eastAsia="Garamond" w:hAnsi="Garamond" w:cs="Garamond"/>
            <w:color w:val="auto"/>
            <w:highlight w:val="white"/>
          </w:rPr>
          <w:t>1</w:t>
        </w:r>
      </w:hyperlink>
      <w:r w:rsidRPr="005839BC">
        <w:rPr>
          <w:rFonts w:ascii="Garamond" w:eastAsia="Garamond" w:hAnsi="Garamond" w:cs="Garamond"/>
          <w:color w:val="auto"/>
          <w:highlight w:val="white"/>
        </w:rPr>
        <w:t>5</w:t>
      </w:r>
      <w:hyperlink r:id="rId83">
        <w:r w:rsidRPr="005839BC">
          <w:rPr>
            <w:rFonts w:ascii="Garamond" w:eastAsia="Garamond" w:hAnsi="Garamond" w:cs="Garamond"/>
            <w:color w:val="auto"/>
            <w:highlight w:val="white"/>
          </w:rPr>
          <w:t>,</w:t>
        </w:r>
      </w:hyperlink>
      <w:r w:rsidRPr="005839BC">
        <w:rPr>
          <w:rFonts w:ascii="Garamond" w:eastAsia="Garamond" w:hAnsi="Garamond" w:cs="Garamond"/>
          <w:color w:val="auto"/>
          <w:highlight w:val="white"/>
        </w:rPr>
        <w:t xml:space="preserve"> </w:t>
      </w:r>
      <w:hyperlink r:id="rId84">
        <w:r w:rsidRPr="005839BC">
          <w:rPr>
            <w:rFonts w:ascii="Garamond" w:eastAsia="Garamond" w:hAnsi="Garamond" w:cs="Garamond"/>
            <w:color w:val="auto"/>
            <w:highlight w:val="white"/>
          </w:rPr>
          <w:t>2</w:t>
        </w:r>
      </w:hyperlink>
      <w:r w:rsidRPr="005839BC">
        <w:rPr>
          <w:rFonts w:ascii="Garamond" w:eastAsia="Garamond" w:hAnsi="Garamond" w:cs="Garamond"/>
          <w:color w:val="auto"/>
          <w:highlight w:val="white"/>
        </w:rPr>
        <w:t>0</w:t>
      </w:r>
      <w:hyperlink r:id="rId85">
        <w:r w:rsidRPr="005839BC">
          <w:rPr>
            <w:rFonts w:ascii="Garamond" w:eastAsia="Garamond" w:hAnsi="Garamond" w:cs="Garamond"/>
            <w:color w:val="auto"/>
            <w:highlight w:val="white"/>
          </w:rPr>
          <w:t>1</w:t>
        </w:r>
      </w:hyperlink>
      <w:r w:rsidRPr="005839BC">
        <w:rPr>
          <w:rFonts w:ascii="Garamond" w:eastAsia="Garamond" w:hAnsi="Garamond" w:cs="Garamond"/>
          <w:color w:val="auto"/>
          <w:highlight w:val="white"/>
        </w:rPr>
        <w:t xml:space="preserve">7 </w:t>
      </w:r>
      <w:hyperlink r:id="rId86" w:history="1">
        <w:r w:rsidR="005839BC" w:rsidRPr="00B236D3">
          <w:rPr>
            <w:rStyle w:val="Hyperlink"/>
            <w:rFonts w:ascii="Garamond" w:eastAsia="Garamond" w:hAnsi="Garamond" w:cs="Garamond"/>
            <w:highlight w:val="white"/>
          </w:rPr>
          <w:t>f</w:t>
        </w:r>
      </w:hyperlink>
      <w:r w:rsidRPr="005839BC">
        <w:rPr>
          <w:rFonts w:ascii="Garamond" w:eastAsia="Garamond" w:hAnsi="Garamond" w:cs="Garamond"/>
          <w:color w:val="auto"/>
          <w:highlight w:val="white"/>
        </w:rPr>
        <w:t>r</w:t>
      </w:r>
      <w:hyperlink r:id="rId87">
        <w:r w:rsidRPr="005839BC">
          <w:rPr>
            <w:rFonts w:ascii="Garamond" w:eastAsia="Garamond" w:hAnsi="Garamond" w:cs="Garamond"/>
            <w:color w:val="auto"/>
            <w:highlight w:val="white"/>
          </w:rPr>
          <w:t>o</w:t>
        </w:r>
      </w:hyperlink>
      <w:r w:rsidRPr="005839BC">
        <w:rPr>
          <w:rFonts w:ascii="Garamond" w:eastAsia="Garamond" w:hAnsi="Garamond" w:cs="Garamond"/>
          <w:color w:val="auto"/>
          <w:highlight w:val="white"/>
        </w:rPr>
        <w:t>m</w:t>
      </w:r>
      <w:hyperlink r:id="rId88">
        <w:r w:rsidRPr="005839BC">
          <w:rPr>
            <w:rFonts w:ascii="Garamond" w:eastAsia="Garamond" w:hAnsi="Garamond" w:cs="Garamond"/>
            <w:color w:val="auto"/>
            <w:highlight w:val="white"/>
          </w:rPr>
          <w:t xml:space="preserve"> </w:t>
        </w:r>
      </w:hyperlink>
      <w:r w:rsidRPr="005839BC">
        <w:rPr>
          <w:rFonts w:ascii="Garamond" w:eastAsia="Garamond" w:hAnsi="Garamond" w:cs="Garamond"/>
          <w:color w:val="auto"/>
          <w:highlight w:val="white"/>
        </w:rPr>
        <w:t>https://www.nps.gov/shen/learn/nature/upload/SHEN_NR_Air_Pamphlet_2007-11.pdf</w:t>
      </w:r>
    </w:p>
    <w:p w14:paraId="7B19221F"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0E3EEB3D"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 xml:space="preserve">Smith, S. J., Pitcher, H., &amp; </w:t>
      </w:r>
      <w:proofErr w:type="spellStart"/>
      <w:r w:rsidRPr="005839BC">
        <w:rPr>
          <w:rFonts w:ascii="Garamond" w:eastAsia="Garamond" w:hAnsi="Garamond" w:cs="Garamond"/>
          <w:color w:val="auto"/>
          <w:highlight w:val="white"/>
        </w:rPr>
        <w:t>Wigley</w:t>
      </w:r>
      <w:proofErr w:type="spellEnd"/>
      <w:r w:rsidRPr="005839BC">
        <w:rPr>
          <w:rFonts w:ascii="Garamond" w:eastAsia="Garamond" w:hAnsi="Garamond" w:cs="Garamond"/>
          <w:color w:val="auto"/>
          <w:highlight w:val="white"/>
        </w:rPr>
        <w:t xml:space="preserve">, T.M.L. (2001). Global and regional anthropogenic sulfur dioxide emissions. </w:t>
      </w:r>
      <w:r w:rsidRPr="005839BC">
        <w:rPr>
          <w:rFonts w:ascii="Garamond" w:eastAsia="Garamond" w:hAnsi="Garamond" w:cs="Garamond"/>
          <w:i/>
          <w:color w:val="auto"/>
          <w:highlight w:val="white"/>
        </w:rPr>
        <w:t>Global and Planetary Change, 29</w:t>
      </w:r>
      <w:r w:rsidRPr="005839BC">
        <w:rPr>
          <w:rFonts w:ascii="Garamond" w:eastAsia="Garamond" w:hAnsi="Garamond" w:cs="Garamond"/>
          <w:color w:val="auto"/>
          <w:highlight w:val="white"/>
        </w:rPr>
        <w:t>, 99-119.</w:t>
      </w:r>
    </w:p>
    <w:p w14:paraId="1ED32CE6"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266E2DB3" w14:textId="31C971F9" w:rsidR="00941EE9" w:rsidRPr="005839BC" w:rsidRDefault="004E11BC" w:rsidP="005839B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rPr>
      </w:pPr>
      <w:r w:rsidRPr="005839BC">
        <w:rPr>
          <w:rFonts w:ascii="Garamond" w:eastAsia="Garamond" w:hAnsi="Garamond" w:cs="Garamond"/>
          <w:color w:val="auto"/>
        </w:rPr>
        <w:t xml:space="preserve">Sullivan, T. J., Cosby, B. J., Lawrence, J. A., Dennis, R. L., </w:t>
      </w:r>
      <w:proofErr w:type="spellStart"/>
      <w:r w:rsidRPr="005839BC">
        <w:rPr>
          <w:rFonts w:ascii="Garamond" w:eastAsia="Garamond" w:hAnsi="Garamond" w:cs="Garamond"/>
          <w:color w:val="auto"/>
        </w:rPr>
        <w:t>Savig</w:t>
      </w:r>
      <w:proofErr w:type="spellEnd"/>
      <w:r w:rsidRPr="005839BC">
        <w:rPr>
          <w:rFonts w:ascii="Garamond" w:eastAsia="Garamond" w:hAnsi="Garamond" w:cs="Garamond"/>
          <w:color w:val="auto"/>
        </w:rPr>
        <w:t xml:space="preserve">, K., Webb, J. R., </w:t>
      </w:r>
      <w:proofErr w:type="spellStart"/>
      <w:r w:rsidRPr="005839BC">
        <w:rPr>
          <w:rFonts w:ascii="Garamond" w:eastAsia="Garamond" w:hAnsi="Garamond" w:cs="Garamond"/>
          <w:color w:val="auto"/>
        </w:rPr>
        <w:t>Bulger</w:t>
      </w:r>
      <w:proofErr w:type="spellEnd"/>
      <w:r w:rsidRPr="005839BC">
        <w:rPr>
          <w:rFonts w:ascii="Garamond" w:eastAsia="Garamond" w:hAnsi="Garamond" w:cs="Garamond"/>
          <w:color w:val="auto"/>
        </w:rPr>
        <w:t xml:space="preserve">, A. J., Scruggs, M., Gordon, C., Ray, J., Lee, E. H., </w:t>
      </w:r>
      <w:proofErr w:type="spellStart"/>
      <w:r w:rsidRPr="005839BC">
        <w:rPr>
          <w:rFonts w:ascii="Garamond" w:eastAsia="Garamond" w:hAnsi="Garamond" w:cs="Garamond"/>
          <w:color w:val="auto"/>
        </w:rPr>
        <w:t>Hogsett</w:t>
      </w:r>
      <w:proofErr w:type="spellEnd"/>
      <w:r w:rsidRPr="005839BC">
        <w:rPr>
          <w:rFonts w:ascii="Garamond" w:eastAsia="Garamond" w:hAnsi="Garamond" w:cs="Garamond"/>
          <w:color w:val="auto"/>
        </w:rPr>
        <w:t xml:space="preserve">, W. E., Wayne, H., Miller, D., &amp; Kern, J.S. (2003). Assessment of air quality and related values in Shenandoah National Park. </w:t>
      </w:r>
      <w:r w:rsidRPr="005839BC">
        <w:rPr>
          <w:rFonts w:ascii="Garamond" w:eastAsia="Garamond" w:hAnsi="Garamond" w:cs="Garamond"/>
          <w:i/>
          <w:color w:val="auto"/>
        </w:rPr>
        <w:t>Philadelphia: US Department of the Interior, National Park Service, Northeast Region.</w:t>
      </w:r>
      <w:r w:rsidRPr="005839BC">
        <w:rPr>
          <w:rFonts w:ascii="Garamond" w:eastAsia="Garamond" w:hAnsi="Garamond" w:cs="Garamond"/>
          <w:color w:val="auto"/>
        </w:rPr>
        <w:t xml:space="preserve"> Technical Report No. NPS/NERCHAL/NRTR-03/090. Retrieved from </w:t>
      </w:r>
      <w:r w:rsidR="00EB2735" w:rsidRPr="005839BC">
        <w:rPr>
          <w:rFonts w:ascii="Garamond" w:eastAsia="Garamond" w:hAnsi="Garamond" w:cs="Garamond"/>
          <w:color w:val="auto"/>
        </w:rPr>
        <w:t>http://www.academia.edu/download/43626666/</w:t>
      </w:r>
      <w:r w:rsidR="005839BC">
        <w:rPr>
          <w:rFonts w:ascii="Garamond" w:eastAsia="Garamond" w:hAnsi="Garamond" w:cs="Garamond"/>
          <w:color w:val="auto"/>
        </w:rPr>
        <w:t xml:space="preserve"> </w:t>
      </w:r>
      <w:r w:rsidR="00EB2735" w:rsidRPr="005839BC">
        <w:rPr>
          <w:rFonts w:ascii="Garamond" w:eastAsia="Garamond" w:hAnsi="Garamond" w:cs="Garamond"/>
          <w:color w:val="auto"/>
        </w:rPr>
        <w:t>Assessment_of_Air_Quality_and_Related_Va20160311-26489-1500f8c.pdf</w:t>
      </w:r>
      <w:r w:rsidRPr="005839BC">
        <w:rPr>
          <w:rFonts w:ascii="Garamond" w:eastAsia="Garamond" w:hAnsi="Garamond" w:cs="Garamond"/>
          <w:color w:val="auto"/>
        </w:rPr>
        <w:t xml:space="preserve"> </w:t>
      </w:r>
    </w:p>
    <w:p w14:paraId="6BDC0411" w14:textId="77777777" w:rsidR="00941EE9" w:rsidRPr="005839BC" w:rsidRDefault="00941EE9" w:rsidP="005839B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hanging="720"/>
        <w:rPr>
          <w:rFonts w:ascii="Garamond" w:eastAsia="Garamond" w:hAnsi="Garamond" w:cs="Garamond"/>
          <w:color w:val="auto"/>
        </w:rPr>
      </w:pPr>
    </w:p>
    <w:p w14:paraId="7294EA6C" w14:textId="33EE1F57" w:rsidR="00941EE9" w:rsidRPr="005839BC" w:rsidRDefault="004E11BC" w:rsidP="005839BC">
      <w:pPr>
        <w:spacing w:after="0" w:line="240" w:lineRule="auto"/>
        <w:ind w:left="720" w:hanging="720"/>
        <w:rPr>
          <w:rFonts w:ascii="Garamond" w:eastAsia="Garamond" w:hAnsi="Garamond" w:cs="Garamond"/>
          <w:color w:val="auto"/>
          <w:highlight w:val="white"/>
        </w:rPr>
      </w:pPr>
      <w:proofErr w:type="spellStart"/>
      <w:r w:rsidRPr="005839BC">
        <w:rPr>
          <w:rFonts w:ascii="Garamond" w:eastAsia="Garamond" w:hAnsi="Garamond" w:cs="Garamond"/>
          <w:color w:val="auto"/>
          <w:highlight w:val="white"/>
        </w:rPr>
        <w:t>Veefkind</w:t>
      </w:r>
      <w:proofErr w:type="spellEnd"/>
      <w:r w:rsidRPr="005839BC">
        <w:rPr>
          <w:rFonts w:ascii="Garamond" w:eastAsia="Garamond" w:hAnsi="Garamond" w:cs="Garamond"/>
          <w:color w:val="auto"/>
          <w:highlight w:val="white"/>
        </w:rPr>
        <w:t xml:space="preserve">, P. (2012). OMI/Aura Ozone (O3) DOAS Total Column Daily L3 Global 0.25deg </w:t>
      </w:r>
      <w:proofErr w:type="spellStart"/>
      <w:r w:rsidRPr="005839BC">
        <w:rPr>
          <w:rFonts w:ascii="Garamond" w:eastAsia="Garamond" w:hAnsi="Garamond" w:cs="Garamond"/>
          <w:color w:val="auto"/>
          <w:highlight w:val="white"/>
        </w:rPr>
        <w:t>Lat</w:t>
      </w:r>
      <w:proofErr w:type="spellEnd"/>
      <w:r w:rsidRPr="005839BC">
        <w:rPr>
          <w:rFonts w:ascii="Garamond" w:eastAsia="Garamond" w:hAnsi="Garamond" w:cs="Garamond"/>
          <w:color w:val="auto"/>
          <w:highlight w:val="white"/>
        </w:rPr>
        <w:t xml:space="preserve">/Lon Grid. </w:t>
      </w:r>
      <w:r w:rsidRPr="005839BC">
        <w:rPr>
          <w:rFonts w:ascii="Garamond" w:eastAsia="Garamond" w:hAnsi="Garamond" w:cs="Garamond"/>
          <w:color w:val="auto"/>
          <w:highlight w:val="white"/>
        </w:rPr>
        <w:lastRenderedPageBreak/>
        <w:t>NASA Goddard Earth Sciences Data and Information Services Center. doi://10.5067/Aura/</w:t>
      </w:r>
      <w:r w:rsidR="005839BC">
        <w:rPr>
          <w:rFonts w:ascii="Garamond" w:eastAsia="Garamond" w:hAnsi="Garamond" w:cs="Garamond"/>
          <w:color w:val="auto"/>
          <w:highlight w:val="white"/>
        </w:rPr>
        <w:t xml:space="preserve"> </w:t>
      </w:r>
      <w:r w:rsidRPr="005839BC">
        <w:rPr>
          <w:rFonts w:ascii="Garamond" w:eastAsia="Garamond" w:hAnsi="Garamond" w:cs="Garamond"/>
          <w:color w:val="auto"/>
          <w:highlight w:val="white"/>
        </w:rPr>
        <w:t>OMI/DATA3005</w:t>
      </w:r>
    </w:p>
    <w:p w14:paraId="55F220F4"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44E703E3"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proofErr w:type="spellStart"/>
      <w:r w:rsidRPr="005839BC">
        <w:rPr>
          <w:rFonts w:ascii="Garamond" w:eastAsia="Garamond" w:hAnsi="Garamond" w:cs="Garamond"/>
          <w:color w:val="auto"/>
          <w:highlight w:val="white"/>
        </w:rPr>
        <w:t>Venkanna</w:t>
      </w:r>
      <w:proofErr w:type="spellEnd"/>
      <w:r w:rsidRPr="005839BC">
        <w:rPr>
          <w:rFonts w:ascii="Garamond" w:eastAsia="Garamond" w:hAnsi="Garamond" w:cs="Garamond"/>
          <w:color w:val="auto"/>
          <w:highlight w:val="white"/>
        </w:rPr>
        <w:t xml:space="preserve">, R., Nikhil, G.N., Sinha, P.R., Rao, T.S., &amp; </w:t>
      </w:r>
      <w:proofErr w:type="spellStart"/>
      <w:r w:rsidRPr="005839BC">
        <w:rPr>
          <w:rFonts w:ascii="Garamond" w:eastAsia="Garamond" w:hAnsi="Garamond" w:cs="Garamond"/>
          <w:color w:val="auto"/>
          <w:highlight w:val="white"/>
        </w:rPr>
        <w:t>Swamy</w:t>
      </w:r>
      <w:proofErr w:type="spellEnd"/>
      <w:r w:rsidRPr="005839BC">
        <w:rPr>
          <w:rFonts w:ascii="Garamond" w:eastAsia="Garamond" w:hAnsi="Garamond" w:cs="Garamond"/>
          <w:color w:val="auto"/>
          <w:highlight w:val="white"/>
        </w:rPr>
        <w:t xml:space="preserve">, Y.V. (2016). Significance of volatile organic compounds and oxides of nitrogen on surface ozone formation at semi-arid tropical urban site, Hyderabad, India. </w:t>
      </w:r>
      <w:r w:rsidRPr="005839BC">
        <w:rPr>
          <w:rFonts w:ascii="Garamond" w:eastAsia="Garamond" w:hAnsi="Garamond" w:cs="Garamond"/>
          <w:i/>
          <w:color w:val="auto"/>
          <w:highlight w:val="white"/>
        </w:rPr>
        <w:t>Air Quality, Atmosphere &amp; Health</w:t>
      </w:r>
      <w:r w:rsidRPr="005839BC">
        <w:rPr>
          <w:rFonts w:ascii="Garamond" w:eastAsia="Garamond" w:hAnsi="Garamond" w:cs="Garamond"/>
          <w:color w:val="auto"/>
          <w:highlight w:val="white"/>
        </w:rPr>
        <w:t xml:space="preserve">, </w:t>
      </w:r>
      <w:r w:rsidRPr="005839BC">
        <w:rPr>
          <w:rFonts w:ascii="Garamond" w:eastAsia="Garamond" w:hAnsi="Garamond" w:cs="Garamond"/>
          <w:i/>
          <w:color w:val="auto"/>
          <w:highlight w:val="white"/>
        </w:rPr>
        <w:t>9</w:t>
      </w:r>
      <w:r w:rsidRPr="005839BC">
        <w:rPr>
          <w:rFonts w:ascii="Garamond" w:eastAsia="Garamond" w:hAnsi="Garamond" w:cs="Garamond"/>
          <w:color w:val="auto"/>
          <w:highlight w:val="white"/>
        </w:rPr>
        <w:t xml:space="preserve">(4), 379–390. </w:t>
      </w:r>
      <w:hyperlink r:id="rId89">
        <w:r w:rsidRPr="005839BC">
          <w:rPr>
            <w:rFonts w:ascii="Garamond" w:eastAsia="Garamond" w:hAnsi="Garamond" w:cs="Garamond"/>
            <w:color w:val="auto"/>
            <w:highlight w:val="white"/>
          </w:rPr>
          <w:t>https://doi.org/10.1007/s11869-015-0347-2</w:t>
        </w:r>
      </w:hyperlink>
    </w:p>
    <w:p w14:paraId="6D8CEDBC"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52893012"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 xml:space="preserve">Wayne, R.P. (1993). Chemistry of atmospheres, 2nd edition. United States: New York, NY (United States); </w:t>
      </w:r>
      <w:r w:rsidRPr="005839BC">
        <w:rPr>
          <w:rFonts w:ascii="Garamond" w:eastAsia="Garamond" w:hAnsi="Garamond" w:cs="Garamond"/>
          <w:i/>
          <w:color w:val="auto"/>
          <w:highlight w:val="white"/>
        </w:rPr>
        <w:t>Oxford Univ. Press</w:t>
      </w:r>
      <w:r w:rsidRPr="005839BC">
        <w:rPr>
          <w:rFonts w:ascii="Garamond" w:eastAsia="Garamond" w:hAnsi="Garamond" w:cs="Garamond"/>
          <w:color w:val="auto"/>
          <w:highlight w:val="white"/>
        </w:rPr>
        <w:t>.</w:t>
      </w:r>
    </w:p>
    <w:p w14:paraId="7405F63B" w14:textId="77777777" w:rsidR="00941EE9" w:rsidRPr="005839BC" w:rsidRDefault="00941EE9" w:rsidP="005839BC">
      <w:pPr>
        <w:spacing w:after="0" w:line="240" w:lineRule="auto"/>
        <w:ind w:left="720" w:hanging="720"/>
        <w:rPr>
          <w:rFonts w:ascii="Garamond" w:eastAsia="Garamond" w:hAnsi="Garamond" w:cs="Garamond"/>
          <w:color w:val="auto"/>
          <w:highlight w:val="white"/>
        </w:rPr>
      </w:pPr>
    </w:p>
    <w:p w14:paraId="23C43184" w14:textId="77777777" w:rsidR="00941EE9" w:rsidRPr="005839BC" w:rsidRDefault="004E11BC" w:rsidP="005839BC">
      <w:pPr>
        <w:spacing w:after="0" w:line="240" w:lineRule="auto"/>
        <w:ind w:left="720" w:hanging="720"/>
        <w:rPr>
          <w:rFonts w:ascii="Garamond" w:eastAsia="Garamond" w:hAnsi="Garamond" w:cs="Garamond"/>
          <w:color w:val="auto"/>
          <w:highlight w:val="white"/>
        </w:rPr>
      </w:pPr>
      <w:r w:rsidRPr="005839BC">
        <w:rPr>
          <w:rFonts w:ascii="Garamond" w:eastAsia="Garamond" w:hAnsi="Garamond" w:cs="Garamond"/>
          <w:color w:val="auto"/>
          <w:highlight w:val="white"/>
        </w:rPr>
        <w:t xml:space="preserve">Zhu, L., </w:t>
      </w:r>
      <w:proofErr w:type="spellStart"/>
      <w:r w:rsidRPr="005839BC">
        <w:rPr>
          <w:rFonts w:ascii="Garamond" w:eastAsia="Garamond" w:hAnsi="Garamond" w:cs="Garamond"/>
          <w:color w:val="auto"/>
          <w:highlight w:val="white"/>
        </w:rPr>
        <w:t>Henze</w:t>
      </w:r>
      <w:proofErr w:type="spellEnd"/>
      <w:r w:rsidRPr="005839BC">
        <w:rPr>
          <w:rFonts w:ascii="Garamond" w:eastAsia="Garamond" w:hAnsi="Garamond" w:cs="Garamond"/>
          <w:color w:val="auto"/>
          <w:highlight w:val="white"/>
        </w:rPr>
        <w:t xml:space="preserve">, D. K., Bash, J. O., Cady-Pereira, K. E., </w:t>
      </w:r>
      <w:proofErr w:type="spellStart"/>
      <w:r w:rsidRPr="005839BC">
        <w:rPr>
          <w:rFonts w:ascii="Garamond" w:eastAsia="Garamond" w:hAnsi="Garamond" w:cs="Garamond"/>
          <w:color w:val="auto"/>
          <w:highlight w:val="white"/>
        </w:rPr>
        <w:t>Shephard</w:t>
      </w:r>
      <w:proofErr w:type="spellEnd"/>
      <w:r w:rsidRPr="005839BC">
        <w:rPr>
          <w:rFonts w:ascii="Garamond" w:eastAsia="Garamond" w:hAnsi="Garamond" w:cs="Garamond"/>
          <w:color w:val="auto"/>
          <w:highlight w:val="white"/>
        </w:rPr>
        <w:t xml:space="preserve">, M. W., Luo, M., &amp; Capps, S. L. (2015). Sources and Impacts of Atmospheric NH3: Current Understanding and Frontiers for Modeling, Measurements, and Remote Sensing in North America. </w:t>
      </w:r>
      <w:r w:rsidRPr="005839BC">
        <w:rPr>
          <w:rFonts w:ascii="Garamond" w:eastAsia="Garamond" w:hAnsi="Garamond" w:cs="Garamond"/>
          <w:i/>
          <w:color w:val="auto"/>
          <w:highlight w:val="white"/>
        </w:rPr>
        <w:t>Current Pollution Reports</w:t>
      </w:r>
      <w:r w:rsidRPr="005839BC">
        <w:rPr>
          <w:rFonts w:ascii="Garamond" w:eastAsia="Garamond" w:hAnsi="Garamond" w:cs="Garamond"/>
          <w:color w:val="auto"/>
          <w:highlight w:val="white"/>
        </w:rPr>
        <w:t xml:space="preserve">, </w:t>
      </w:r>
      <w:r w:rsidRPr="005839BC">
        <w:rPr>
          <w:rFonts w:ascii="Garamond" w:eastAsia="Garamond" w:hAnsi="Garamond" w:cs="Garamond"/>
          <w:i/>
          <w:color w:val="auto"/>
          <w:highlight w:val="white"/>
        </w:rPr>
        <w:t>1</w:t>
      </w:r>
      <w:r w:rsidRPr="005839BC">
        <w:rPr>
          <w:rFonts w:ascii="Garamond" w:eastAsia="Garamond" w:hAnsi="Garamond" w:cs="Garamond"/>
          <w:color w:val="auto"/>
          <w:highlight w:val="white"/>
        </w:rPr>
        <w:t>(2), 95–116. https://doi.org/10.1007/s40726-015-0010-4</w:t>
      </w:r>
    </w:p>
    <w:sectPr w:rsidR="00941EE9" w:rsidRPr="005839BC">
      <w:footerReference w:type="default" r:id="rId90"/>
      <w:headerReference w:type="first" r:id="rId91"/>
      <w:footerReference w:type="first" r:id="rId92"/>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2B3F12" w14:textId="77777777" w:rsidR="0050113D" w:rsidRDefault="0050113D">
      <w:pPr>
        <w:spacing w:after="0" w:line="240" w:lineRule="auto"/>
      </w:pPr>
      <w:r>
        <w:separator/>
      </w:r>
    </w:p>
  </w:endnote>
  <w:endnote w:type="continuationSeparator" w:id="0">
    <w:p w14:paraId="0F861889" w14:textId="77777777" w:rsidR="0050113D" w:rsidRDefault="00501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D96C9" w14:textId="1087D023" w:rsidR="00941EE9" w:rsidRDefault="004E11BC" w:rsidP="00A25407">
    <w:pPr>
      <w:tabs>
        <w:tab w:val="center" w:pos="4680"/>
        <w:tab w:val="right" w:pos="9360"/>
      </w:tabs>
      <w:spacing w:after="0" w:line="240" w:lineRule="auto"/>
      <w:jc w:val="center"/>
    </w:pPr>
    <w:r>
      <w:fldChar w:fldCharType="begin"/>
    </w:r>
    <w:r>
      <w:instrText>PAGE</w:instrText>
    </w:r>
    <w:r>
      <w:fldChar w:fldCharType="separate"/>
    </w:r>
    <w:r w:rsidR="005839BC">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2DEB5" w14:textId="77777777" w:rsidR="00941EE9" w:rsidRDefault="00941EE9">
    <w:pPr>
      <w:tabs>
        <w:tab w:val="center" w:pos="4680"/>
        <w:tab w:val="right" w:pos="9360"/>
      </w:tabs>
      <w:spacing w:after="288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A4DC1" w14:textId="77777777" w:rsidR="0050113D" w:rsidRDefault="0050113D">
      <w:pPr>
        <w:spacing w:after="0" w:line="240" w:lineRule="auto"/>
      </w:pPr>
      <w:r>
        <w:separator/>
      </w:r>
    </w:p>
  </w:footnote>
  <w:footnote w:type="continuationSeparator" w:id="0">
    <w:p w14:paraId="493920BA" w14:textId="77777777" w:rsidR="0050113D" w:rsidRDefault="005011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4AFD1" w14:textId="77777777" w:rsidR="00941EE9" w:rsidRDefault="00941EE9">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833E0"/>
    <w:multiLevelType w:val="multilevel"/>
    <w:tmpl w:val="C43A5EBE"/>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15:restartNumberingAfterBreak="0">
    <w:nsid w:val="1A626ACA"/>
    <w:multiLevelType w:val="multilevel"/>
    <w:tmpl w:val="0A18B9AE"/>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EE9"/>
    <w:rsid w:val="00011166"/>
    <w:rsid w:val="000266E7"/>
    <w:rsid w:val="000D2B6D"/>
    <w:rsid w:val="00254141"/>
    <w:rsid w:val="00323B87"/>
    <w:rsid w:val="00326E3F"/>
    <w:rsid w:val="00354CF8"/>
    <w:rsid w:val="003803E0"/>
    <w:rsid w:val="00382F90"/>
    <w:rsid w:val="0045779A"/>
    <w:rsid w:val="004812C1"/>
    <w:rsid w:val="004C0FEF"/>
    <w:rsid w:val="004E11BC"/>
    <w:rsid w:val="0050113D"/>
    <w:rsid w:val="00550A3F"/>
    <w:rsid w:val="005621C3"/>
    <w:rsid w:val="005839BC"/>
    <w:rsid w:val="005A0473"/>
    <w:rsid w:val="005E48ED"/>
    <w:rsid w:val="00644331"/>
    <w:rsid w:val="006762F0"/>
    <w:rsid w:val="00682A4F"/>
    <w:rsid w:val="00695145"/>
    <w:rsid w:val="006E246D"/>
    <w:rsid w:val="00743567"/>
    <w:rsid w:val="007B5489"/>
    <w:rsid w:val="007E4492"/>
    <w:rsid w:val="00842557"/>
    <w:rsid w:val="00941EE9"/>
    <w:rsid w:val="00A25407"/>
    <w:rsid w:val="00A8752E"/>
    <w:rsid w:val="00B17D52"/>
    <w:rsid w:val="00B37E0D"/>
    <w:rsid w:val="00B7205E"/>
    <w:rsid w:val="00BB22BF"/>
    <w:rsid w:val="00BE53D3"/>
    <w:rsid w:val="00C26C57"/>
    <w:rsid w:val="00C30DA2"/>
    <w:rsid w:val="00C86469"/>
    <w:rsid w:val="00CB0570"/>
    <w:rsid w:val="00D02A07"/>
    <w:rsid w:val="00D11B62"/>
    <w:rsid w:val="00D74712"/>
    <w:rsid w:val="00D92115"/>
    <w:rsid w:val="00E07335"/>
    <w:rsid w:val="00E537C1"/>
    <w:rsid w:val="00EB2735"/>
    <w:rsid w:val="00EB2FF3"/>
    <w:rsid w:val="00EC73DD"/>
    <w:rsid w:val="00EE4D6C"/>
    <w:rsid w:val="00EE6E5B"/>
    <w:rsid w:val="00F07C59"/>
    <w:rsid w:val="00F13CFA"/>
    <w:rsid w:val="00F63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8A8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92115"/>
    <w:rPr>
      <w:b/>
      <w:bCs/>
    </w:rPr>
  </w:style>
  <w:style w:type="character" w:customStyle="1" w:styleId="CommentSubjectChar">
    <w:name w:val="Comment Subject Char"/>
    <w:basedOn w:val="CommentTextChar"/>
    <w:link w:val="CommentSubject"/>
    <w:uiPriority w:val="99"/>
    <w:semiHidden/>
    <w:rsid w:val="00D92115"/>
    <w:rPr>
      <w:b/>
      <w:bCs/>
      <w:sz w:val="20"/>
      <w:szCs w:val="20"/>
    </w:rPr>
  </w:style>
  <w:style w:type="paragraph" w:styleId="BalloonText">
    <w:name w:val="Balloon Text"/>
    <w:basedOn w:val="Normal"/>
    <w:link w:val="BalloonTextChar"/>
    <w:uiPriority w:val="99"/>
    <w:semiHidden/>
    <w:unhideWhenUsed/>
    <w:rsid w:val="00D921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115"/>
    <w:rPr>
      <w:rFonts w:ascii="Segoe UI" w:hAnsi="Segoe UI" w:cs="Segoe UI"/>
      <w:sz w:val="18"/>
      <w:szCs w:val="18"/>
    </w:rPr>
  </w:style>
  <w:style w:type="paragraph" w:styleId="Header">
    <w:name w:val="header"/>
    <w:basedOn w:val="Normal"/>
    <w:link w:val="HeaderChar"/>
    <w:uiPriority w:val="99"/>
    <w:unhideWhenUsed/>
    <w:rsid w:val="00D921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115"/>
  </w:style>
  <w:style w:type="paragraph" w:styleId="Footer">
    <w:name w:val="footer"/>
    <w:basedOn w:val="Normal"/>
    <w:link w:val="FooterChar"/>
    <w:uiPriority w:val="99"/>
    <w:unhideWhenUsed/>
    <w:rsid w:val="00D921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115"/>
  </w:style>
  <w:style w:type="character" w:styleId="Hyperlink">
    <w:name w:val="Hyperlink"/>
    <w:basedOn w:val="DefaultParagraphFont"/>
    <w:uiPriority w:val="99"/>
    <w:unhideWhenUsed/>
    <w:rsid w:val="005839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5.xml"/><Relationship Id="rId26" Type="http://schemas.openxmlformats.org/officeDocument/2006/relationships/image" Target="media/image13.png"/><Relationship Id="rId39" Type="http://schemas.openxmlformats.org/officeDocument/2006/relationships/hyperlink" Target="https://www.nps.gov/shen/learn/management/statistics.htm" TargetMode="External"/><Relationship Id="rId21" Type="http://schemas.openxmlformats.org/officeDocument/2006/relationships/image" Target="media/image9.png"/><Relationship Id="rId34" Type="http://schemas.openxmlformats.org/officeDocument/2006/relationships/hyperlink" Target="https://www.nps.gov/shen/learn/management/statistics.htm" TargetMode="External"/><Relationship Id="rId42" Type="http://schemas.openxmlformats.org/officeDocument/2006/relationships/hyperlink" Target="https://www.nps.gov/shen/learn/management/statistics.htm" TargetMode="External"/><Relationship Id="rId47" Type="http://schemas.openxmlformats.org/officeDocument/2006/relationships/hyperlink" Target="https://www.nps.gov/shen/learn/management/statistics.htm" TargetMode="External"/><Relationship Id="rId50" Type="http://schemas.openxmlformats.org/officeDocument/2006/relationships/hyperlink" Target="https://www.nps.gov/shen/learn/management/statistics.htm" TargetMode="External"/><Relationship Id="rId55" Type="http://schemas.openxmlformats.org/officeDocument/2006/relationships/hyperlink" Target="https://www.nps.gov/shen/learn/management/statistics.htm" TargetMode="External"/><Relationship Id="rId63" Type="http://schemas.openxmlformats.org/officeDocument/2006/relationships/hyperlink" Target="https://www.nps.gov/shen/learn/management/statistics.htm" TargetMode="External"/><Relationship Id="rId68" Type="http://schemas.openxmlformats.org/officeDocument/2006/relationships/hyperlink" Target="https://www.nps.gov/shen/learn/management/statistics.htm" TargetMode="External"/><Relationship Id="rId76" Type="http://schemas.openxmlformats.org/officeDocument/2006/relationships/hyperlink" Target="https://www.nps.gov/shen/learn/management/statistics.htm" TargetMode="External"/><Relationship Id="rId84" Type="http://schemas.openxmlformats.org/officeDocument/2006/relationships/hyperlink" Target="https://www.nps.gov/shen/learn/management/statistics.htm" TargetMode="External"/><Relationship Id="rId89" Type="http://schemas.openxmlformats.org/officeDocument/2006/relationships/hyperlink" Target="https://doi.org/10.1007/s11869-015-0347-2" TargetMode="External"/><Relationship Id="rId7" Type="http://schemas.openxmlformats.org/officeDocument/2006/relationships/image" Target="media/image1.png"/><Relationship Id="rId71" Type="http://schemas.openxmlformats.org/officeDocument/2006/relationships/hyperlink" Target="https://www.nps.gov/shen/learn/management/statistics.htm" TargetMode="External"/><Relationship Id="rId92"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80/15287394.2017.1313800" TargetMode="Externa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hyperlink" Target="https://www.nps.gov/shen/learn/management/statistics.htm" TargetMode="External"/><Relationship Id="rId37" Type="http://schemas.openxmlformats.org/officeDocument/2006/relationships/hyperlink" Target="https://www.nps.gov/shen/learn/management/statistics.htm" TargetMode="External"/><Relationship Id="rId40" Type="http://schemas.openxmlformats.org/officeDocument/2006/relationships/hyperlink" Target="https://www.nps.gov/shen/learn/management/statistics.htm" TargetMode="External"/><Relationship Id="rId45" Type="http://schemas.openxmlformats.org/officeDocument/2006/relationships/hyperlink" Target="https://www.nps.gov/shen/learn/management/statistics.htm" TargetMode="External"/><Relationship Id="rId53" Type="http://schemas.openxmlformats.org/officeDocument/2006/relationships/hyperlink" Target="https://www.nps.gov/shen/learn/management/statistics.htm" TargetMode="External"/><Relationship Id="rId58" Type="http://schemas.openxmlformats.org/officeDocument/2006/relationships/hyperlink" Target="https://www.nps.gov/shen/learn/management/statistics.htm" TargetMode="External"/><Relationship Id="rId66" Type="http://schemas.openxmlformats.org/officeDocument/2006/relationships/hyperlink" Target="https://www.nps.gov/shen/learn/management/statistics.htm" TargetMode="External"/><Relationship Id="rId74" Type="http://schemas.openxmlformats.org/officeDocument/2006/relationships/hyperlink" Target="https://www.nps.gov/shen/learn/management/statistics.htm" TargetMode="External"/><Relationship Id="rId79" Type="http://schemas.openxmlformats.org/officeDocument/2006/relationships/hyperlink" Target="https://www.nps.gov/shen/learn/management/statistics.htm" TargetMode="External"/><Relationship Id="rId87" Type="http://schemas.openxmlformats.org/officeDocument/2006/relationships/hyperlink" Target="https://www.nps.gov/shen/learn/management/statistics.htm" TargetMode="External"/><Relationship Id="rId5" Type="http://schemas.openxmlformats.org/officeDocument/2006/relationships/footnotes" Target="footnotes.xml"/><Relationship Id="rId61" Type="http://schemas.openxmlformats.org/officeDocument/2006/relationships/hyperlink" Target="https://www.nps.gov/shen/learn/management/statistics.htm" TargetMode="External"/><Relationship Id="rId82" Type="http://schemas.openxmlformats.org/officeDocument/2006/relationships/hyperlink" Target="https://www.nps.gov/shen/learn/management/statistics.htm" TargetMode="External"/><Relationship Id="rId90" Type="http://schemas.openxmlformats.org/officeDocument/2006/relationships/footer" Target="footer1.xml"/><Relationship Id="rId19" Type="http://schemas.openxmlformats.org/officeDocument/2006/relationships/chart" Target="charts/chart6.xml"/><Relationship Id="rId14" Type="http://schemas.openxmlformats.org/officeDocument/2006/relationships/image" Target="media/image5.jpg"/><Relationship Id="rId22" Type="http://schemas.openxmlformats.org/officeDocument/2006/relationships/image" Target="media/image10.png"/><Relationship Id="rId27" Type="http://schemas.openxmlformats.org/officeDocument/2006/relationships/hyperlink" Target="https://www.epa.gov/sites/production/files/2016-06/documents/20120320factsheet_secondary_standards.pdf" TargetMode="External"/><Relationship Id="rId30" Type="http://schemas.openxmlformats.org/officeDocument/2006/relationships/hyperlink" Target="https://www.nps.gov/shen/learn/nature/mon_air.htm" TargetMode="External"/><Relationship Id="rId35" Type="http://schemas.openxmlformats.org/officeDocument/2006/relationships/hyperlink" Target="https://www.nps.gov/shen/learn/management/statistics.htm" TargetMode="External"/><Relationship Id="rId43" Type="http://schemas.openxmlformats.org/officeDocument/2006/relationships/hyperlink" Target="https://www.nps.gov/shen/learn/management/statistics.htm" TargetMode="External"/><Relationship Id="rId48" Type="http://schemas.openxmlformats.org/officeDocument/2006/relationships/hyperlink" Target="https://www.nps.gov/shen/learn/management/statistics.htm" TargetMode="External"/><Relationship Id="rId56" Type="http://schemas.openxmlformats.org/officeDocument/2006/relationships/hyperlink" Target="https://www.nps.gov/shen/learn/management/statistics.htm" TargetMode="External"/><Relationship Id="rId64" Type="http://schemas.openxmlformats.org/officeDocument/2006/relationships/hyperlink" Target="https://www.nps.gov/shen/learn/management/statistics.htm" TargetMode="External"/><Relationship Id="rId69" Type="http://schemas.openxmlformats.org/officeDocument/2006/relationships/hyperlink" Target="https://www.nps.gov/shen/learn/management/statistics.htm" TargetMode="External"/><Relationship Id="rId77" Type="http://schemas.openxmlformats.org/officeDocument/2006/relationships/hyperlink" Target="https://www.nps.gov/shen/learn/management/statistics.htm" TargetMode="External"/><Relationship Id="rId8" Type="http://schemas.openxmlformats.org/officeDocument/2006/relationships/image" Target="media/image2.png"/><Relationship Id="rId51" Type="http://schemas.openxmlformats.org/officeDocument/2006/relationships/hyperlink" Target="https://www.nps.gov/shen/learn/management/statistics.htm" TargetMode="External"/><Relationship Id="rId72" Type="http://schemas.openxmlformats.org/officeDocument/2006/relationships/hyperlink" Target="https://www.nps.gov/shen/learn/management/statistics.htm" TargetMode="External"/><Relationship Id="rId80" Type="http://schemas.openxmlformats.org/officeDocument/2006/relationships/hyperlink" Target="https://www.nps.gov/shen/learn/management/statistics.htm" TargetMode="External"/><Relationship Id="rId85" Type="http://schemas.openxmlformats.org/officeDocument/2006/relationships/hyperlink" Target="https://www.nps.gov/shen/learn/management/statistics.htm"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4.xml"/><Relationship Id="rId25" Type="http://schemas.openxmlformats.org/officeDocument/2006/relationships/image" Target="media/image12.png"/><Relationship Id="rId33" Type="http://schemas.openxmlformats.org/officeDocument/2006/relationships/hyperlink" Target="https://www.nps.gov/shen/learn/management/statistics.htm" TargetMode="External"/><Relationship Id="rId38" Type="http://schemas.openxmlformats.org/officeDocument/2006/relationships/hyperlink" Target="https://www.nps.gov/shen/learn/management/statistics.htm" TargetMode="External"/><Relationship Id="rId46" Type="http://schemas.openxmlformats.org/officeDocument/2006/relationships/hyperlink" Target="https://www.nps.gov/shen/learn/management/statistics.htm" TargetMode="External"/><Relationship Id="rId59" Type="http://schemas.openxmlformats.org/officeDocument/2006/relationships/hyperlink" Target="https://www.nps.gov/shen/learn/management/statistics.htm" TargetMode="External"/><Relationship Id="rId67" Type="http://schemas.openxmlformats.org/officeDocument/2006/relationships/hyperlink" Target="https://www.nps.gov/shen/learn/management/statistics.htm" TargetMode="External"/><Relationship Id="rId20" Type="http://schemas.openxmlformats.org/officeDocument/2006/relationships/image" Target="media/image8.png"/><Relationship Id="rId41" Type="http://schemas.openxmlformats.org/officeDocument/2006/relationships/hyperlink" Target="https://www.nps.gov/shen/learn/management/statistics.htm" TargetMode="External"/><Relationship Id="rId54" Type="http://schemas.openxmlformats.org/officeDocument/2006/relationships/hyperlink" Target="https://www.nps.gov/shen/learn/management/statistics.htm" TargetMode="External"/><Relationship Id="rId62" Type="http://schemas.openxmlformats.org/officeDocument/2006/relationships/hyperlink" Target="https://www.nps.gov/shen/learn/management/statistics.htm" TargetMode="External"/><Relationship Id="rId70" Type="http://schemas.openxmlformats.org/officeDocument/2006/relationships/hyperlink" Target="https://www.nps.gov/shen/learn/management/statistics.htm" TargetMode="External"/><Relationship Id="rId75" Type="http://schemas.openxmlformats.org/officeDocument/2006/relationships/hyperlink" Target="https://www.nps.gov/shen/learn/management/statistics.htm" TargetMode="External"/><Relationship Id="rId83" Type="http://schemas.openxmlformats.org/officeDocument/2006/relationships/hyperlink" Target="https://www.nps.gov/shen/learn/management/statistics.htm" TargetMode="External"/><Relationship Id="rId88" Type="http://schemas.openxmlformats.org/officeDocument/2006/relationships/hyperlink" Target="https://www.nps.gov/shen/learn/management/statistics.htm"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chart" Target="charts/chart7.xml"/><Relationship Id="rId28" Type="http://schemas.openxmlformats.org/officeDocument/2006/relationships/hyperlink" Target="https://doi.org/10.1183/09031936.00114713" TargetMode="External"/><Relationship Id="rId36" Type="http://schemas.openxmlformats.org/officeDocument/2006/relationships/hyperlink" Target="https://www.nps.gov/shen/learn/management/statistics.htm" TargetMode="External"/><Relationship Id="rId49" Type="http://schemas.openxmlformats.org/officeDocument/2006/relationships/hyperlink" Target="https://www.nps.gov/shen/learn/management/statistics.htm" TargetMode="External"/><Relationship Id="rId57" Type="http://schemas.openxmlformats.org/officeDocument/2006/relationships/hyperlink" Target="https://www.nps.gov/shen/learn/management/statistics.htm" TargetMode="External"/><Relationship Id="rId10" Type="http://schemas.openxmlformats.org/officeDocument/2006/relationships/image" Target="media/image4.png"/><Relationship Id="rId31" Type="http://schemas.openxmlformats.org/officeDocument/2006/relationships/hyperlink" Target="https://www.nps.gov/shen/learn/management/statistics.htm" TargetMode="External"/><Relationship Id="rId44" Type="http://schemas.openxmlformats.org/officeDocument/2006/relationships/hyperlink" Target="https://www.nps.gov/shen/learn/management/statistics.htm" TargetMode="External"/><Relationship Id="rId52" Type="http://schemas.openxmlformats.org/officeDocument/2006/relationships/hyperlink" Target="https://www.nps.gov/shen/learn/management/statistics.htm" TargetMode="External"/><Relationship Id="rId60" Type="http://schemas.openxmlformats.org/officeDocument/2006/relationships/hyperlink" Target="https://www.nps.gov/shen/learn/management/statistics.htm" TargetMode="External"/><Relationship Id="rId65" Type="http://schemas.openxmlformats.org/officeDocument/2006/relationships/hyperlink" Target="https://www.nps.gov/shen/learn/management/statistics.htm" TargetMode="External"/><Relationship Id="rId73" Type="http://schemas.openxmlformats.org/officeDocument/2006/relationships/hyperlink" Target="https://www.nps.gov/shen/learn/management/statistics.htm" TargetMode="External"/><Relationship Id="rId78" Type="http://schemas.openxmlformats.org/officeDocument/2006/relationships/hyperlink" Target="https://www.nps.gov/shen/learn/management/statistics.htm" TargetMode="External"/><Relationship Id="rId81" Type="http://schemas.openxmlformats.org/officeDocument/2006/relationships/hyperlink" Target="https://www.nps.gov/shen/learn/management/statistics.htm" TargetMode="External"/><Relationship Id="rId86" Type="http://schemas.openxmlformats.org/officeDocument/2006/relationships/hyperlink" Target="f"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reprisal2\develop4\Data_Analysis\Correlations\Ozone%20Correla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eprisal2\develop4\Data_Analysis\Correlations\Ozone%20Corre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eprisal2\develop4\Data_Analysis\Monthly_Averages_Visual\Monthly_OMI_Ozone_Visu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eprisal2\develop4\Data_Analysis\Correlations\NO2%20Correlation.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reprisal2\develop4\Data_Analysis\Monthly_Averages_Visual\Annual_OMI_NO2_Visu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reprisal2\develop4\Data_Files\Remote_Sensed\OMI_NO2_Data\Tropospheric\Min_Files\Min_Exc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reprisal2\develop4\Data_Analysis\Correlations\SO2%20Correl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OMI Ozone vs. Big Meadows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2"/>
          <c:order val="2"/>
          <c:tx>
            <c:strRef>
              <c:f>Sheet1!$A$19</c:f>
              <c:strCache>
                <c:ptCount val="1"/>
                <c:pt idx="0">
                  <c:v>OMI Ozone</c:v>
                </c:pt>
              </c:strCache>
            </c:strRef>
          </c:tx>
          <c:spPr>
            <a:ln w="28575" cap="rnd">
              <a:solidFill>
                <a:schemeClr val="accent3"/>
              </a:solidFill>
              <a:round/>
            </a:ln>
            <a:effectLst/>
          </c:spPr>
          <c:marker>
            <c:symbol val="none"/>
          </c:marker>
          <c:cat>
            <c:numRef>
              <c:f>Sheet1!$B$16:$EO$16</c:f>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f>Sheet1!$B$19:$EO$19</c:f>
              <c:numCache>
                <c:formatCode>0.00</c:formatCode>
                <c:ptCount val="144"/>
                <c:pt idx="0">
                  <c:v>269.58566284179687</c:v>
                </c:pt>
                <c:pt idx="1">
                  <c:v>261.76925659179687</c:v>
                </c:pt>
                <c:pt idx="2">
                  <c:v>270.00533752441407</c:v>
                </c:pt>
                <c:pt idx="3">
                  <c:v>264.64892578125</c:v>
                </c:pt>
                <c:pt idx="4">
                  <c:v>294.58233337402345</c:v>
                </c:pt>
                <c:pt idx="5">
                  <c:v>291.24391479492186</c:v>
                </c:pt>
                <c:pt idx="6">
                  <c:v>324.49333190917969</c:v>
                </c:pt>
                <c:pt idx="7">
                  <c:v>328.46644592285156</c:v>
                </c:pt>
                <c:pt idx="8">
                  <c:v>331.27655029296875</c:v>
                </c:pt>
                <c:pt idx="9">
                  <c:v>327.39033508300781</c:v>
                </c:pt>
                <c:pt idx="10">
                  <c:v>309.0393096923828</c:v>
                </c:pt>
                <c:pt idx="11">
                  <c:v>288.86299743652341</c:v>
                </c:pt>
                <c:pt idx="12">
                  <c:v>271.99400329589844</c:v>
                </c:pt>
                <c:pt idx="13">
                  <c:v>260.33499755859373</c:v>
                </c:pt>
                <c:pt idx="14">
                  <c:v>264.69413452148439</c:v>
                </c:pt>
                <c:pt idx="15">
                  <c:v>264.61366882324216</c:v>
                </c:pt>
                <c:pt idx="16">
                  <c:v>263.73548278808596</c:v>
                </c:pt>
                <c:pt idx="17">
                  <c:v>280.21379089355469</c:v>
                </c:pt>
                <c:pt idx="18">
                  <c:v>300.59199218750001</c:v>
                </c:pt>
                <c:pt idx="19">
                  <c:v>302.57966308593751</c:v>
                </c:pt>
                <c:pt idx="20">
                  <c:v>309.1713836669922</c:v>
                </c:pt>
                <c:pt idx="21">
                  <c:v>322.98800354003907</c:v>
                </c:pt>
                <c:pt idx="22">
                  <c:v>302.68827819824219</c:v>
                </c:pt>
                <c:pt idx="23">
                  <c:v>276.67300415039063</c:v>
                </c:pt>
                <c:pt idx="24">
                  <c:v>269.3613311767578</c:v>
                </c:pt>
                <c:pt idx="25">
                  <c:v>268.41703491210939</c:v>
                </c:pt>
                <c:pt idx="26">
                  <c:v>267.35799560546877</c:v>
                </c:pt>
                <c:pt idx="27">
                  <c:v>274.7709930419922</c:v>
                </c:pt>
                <c:pt idx="28">
                  <c:v>276.39100341796876</c:v>
                </c:pt>
                <c:pt idx="29">
                  <c:v>304.04758911132814</c:v>
                </c:pt>
                <c:pt idx="30">
                  <c:v>322.07866210937499</c:v>
                </c:pt>
                <c:pt idx="31">
                  <c:v>336.22137756347655</c:v>
                </c:pt>
                <c:pt idx="32">
                  <c:v>338.60896606445311</c:v>
                </c:pt>
                <c:pt idx="33">
                  <c:v>333.89800415039065</c:v>
                </c:pt>
                <c:pt idx="34">
                  <c:v>311.88551940917966</c:v>
                </c:pt>
                <c:pt idx="35">
                  <c:v>285.23896789550781</c:v>
                </c:pt>
                <c:pt idx="36">
                  <c:v>264.69233093261721</c:v>
                </c:pt>
                <c:pt idx="37">
                  <c:v>258.09356994628905</c:v>
                </c:pt>
                <c:pt idx="38">
                  <c:v>256.07233276367185</c:v>
                </c:pt>
                <c:pt idx="39">
                  <c:v>260.31965026855471</c:v>
                </c:pt>
                <c:pt idx="40">
                  <c:v>270.16033325195315</c:v>
                </c:pt>
                <c:pt idx="41">
                  <c:v>287.88138122558593</c:v>
                </c:pt>
                <c:pt idx="42">
                  <c:v>296.23799743652341</c:v>
                </c:pt>
                <c:pt idx="43">
                  <c:v>317.72699584960935</c:v>
                </c:pt>
                <c:pt idx="44">
                  <c:v>318.44307556152341</c:v>
                </c:pt>
                <c:pt idx="45">
                  <c:v>312.5816650390625</c:v>
                </c:pt>
                <c:pt idx="46">
                  <c:v>295.6693115234375</c:v>
                </c:pt>
                <c:pt idx="47">
                  <c:v>268.33285827636718</c:v>
                </c:pt>
                <c:pt idx="48">
                  <c:v>260.96014099121095</c:v>
                </c:pt>
                <c:pt idx="49">
                  <c:v>262.87847290039065</c:v>
                </c:pt>
                <c:pt idx="50">
                  <c:v>255.78800201416016</c:v>
                </c:pt>
                <c:pt idx="51">
                  <c:v>248.75885925292968</c:v>
                </c:pt>
                <c:pt idx="52">
                  <c:v>270.71257019042969</c:v>
                </c:pt>
                <c:pt idx="53">
                  <c:v>293.30494079589846</c:v>
                </c:pt>
                <c:pt idx="54">
                  <c:v>321.41856079101564</c:v>
                </c:pt>
                <c:pt idx="55">
                  <c:v>347.2141052246094</c:v>
                </c:pt>
                <c:pt idx="56">
                  <c:v>333.00227661132811</c:v>
                </c:pt>
                <c:pt idx="57">
                  <c:v>334.7172912597656</c:v>
                </c:pt>
                <c:pt idx="58">
                  <c:v>321.18887634277343</c:v>
                </c:pt>
                <c:pt idx="59">
                  <c:v>284.97966613769529</c:v>
                </c:pt>
                <c:pt idx="60">
                  <c:v>276.86956787109375</c:v>
                </c:pt>
                <c:pt idx="61">
                  <c:v>276.19099731445311</c:v>
                </c:pt>
                <c:pt idx="62">
                  <c:v>267.03107910156251</c:v>
                </c:pt>
                <c:pt idx="63">
                  <c:v>273.69649963378907</c:v>
                </c:pt>
                <c:pt idx="64">
                  <c:v>283.02336730957029</c:v>
                </c:pt>
                <c:pt idx="65">
                  <c:v>304.49388427734374</c:v>
                </c:pt>
                <c:pt idx="66">
                  <c:v>315.70932922363284</c:v>
                </c:pt>
                <c:pt idx="67">
                  <c:v>327.65841064453127</c:v>
                </c:pt>
                <c:pt idx="68">
                  <c:v>323.32211303710937</c:v>
                </c:pt>
                <c:pt idx="69">
                  <c:v>315.68985900878909</c:v>
                </c:pt>
                <c:pt idx="70">
                  <c:v>317.27904052734374</c:v>
                </c:pt>
                <c:pt idx="71">
                  <c:v>295.47804565429686</c:v>
                </c:pt>
                <c:pt idx="72">
                  <c:v>271.02817993164064</c:v>
                </c:pt>
                <c:pt idx="73">
                  <c:v>269.89076232910156</c:v>
                </c:pt>
                <c:pt idx="74">
                  <c:v>275.57231750488279</c:v>
                </c:pt>
                <c:pt idx="75">
                  <c:v>272.13042602539065</c:v>
                </c:pt>
                <c:pt idx="76">
                  <c:v>272.53790588378905</c:v>
                </c:pt>
                <c:pt idx="77">
                  <c:v>302.05292968750001</c:v>
                </c:pt>
                <c:pt idx="78">
                  <c:v>315.23300170898437</c:v>
                </c:pt>
                <c:pt idx="79">
                  <c:v>342.3715789794922</c:v>
                </c:pt>
                <c:pt idx="80">
                  <c:v>322.62105102539061</c:v>
                </c:pt>
                <c:pt idx="81">
                  <c:v>330.04158325195311</c:v>
                </c:pt>
                <c:pt idx="82">
                  <c:v>302.4610534667969</c:v>
                </c:pt>
                <c:pt idx="83">
                  <c:v>275.20909118652344</c:v>
                </c:pt>
                <c:pt idx="84">
                  <c:v>266.16708679199218</c:v>
                </c:pt>
                <c:pt idx="85">
                  <c:v>267.49636230468752</c:v>
                </c:pt>
                <c:pt idx="86">
                  <c:v>256.75583496093748</c:v>
                </c:pt>
                <c:pt idx="87">
                  <c:v>263.54458312988282</c:v>
                </c:pt>
                <c:pt idx="88">
                  <c:v>272.38249816894529</c:v>
                </c:pt>
                <c:pt idx="89">
                  <c:v>283.62208251953126</c:v>
                </c:pt>
                <c:pt idx="90">
                  <c:v>299.54708251953127</c:v>
                </c:pt>
                <c:pt idx="91">
                  <c:v>325.8437469482422</c:v>
                </c:pt>
                <c:pt idx="92">
                  <c:v>312.9752166748047</c:v>
                </c:pt>
                <c:pt idx="93">
                  <c:v>324.42916870117187</c:v>
                </c:pt>
                <c:pt idx="94">
                  <c:v>305.07791442871093</c:v>
                </c:pt>
                <c:pt idx="95">
                  <c:v>299.54791259765625</c:v>
                </c:pt>
                <c:pt idx="96">
                  <c:v>273.02083129882811</c:v>
                </c:pt>
                <c:pt idx="97">
                  <c:v>274.34954528808595</c:v>
                </c:pt>
                <c:pt idx="98">
                  <c:v>277.11833190917969</c:v>
                </c:pt>
                <c:pt idx="99">
                  <c:v>274.73956604003905</c:v>
                </c:pt>
                <c:pt idx="100">
                  <c:v>270.27499694824218</c:v>
                </c:pt>
                <c:pt idx="101">
                  <c:v>288.72739257812498</c:v>
                </c:pt>
                <c:pt idx="102">
                  <c:v>293.89840087890627</c:v>
                </c:pt>
                <c:pt idx="103">
                  <c:v>287.79458312988282</c:v>
                </c:pt>
                <c:pt idx="104">
                  <c:v>313.27125244140626</c:v>
                </c:pt>
                <c:pt idx="105">
                  <c:v>310.8991729736328</c:v>
                </c:pt>
                <c:pt idx="106">
                  <c:v>308.35956420898435</c:v>
                </c:pt>
                <c:pt idx="107">
                  <c:v>279.85791931152346</c:v>
                </c:pt>
                <c:pt idx="120">
                  <c:v>269.49833068847659</c:v>
                </c:pt>
                <c:pt idx="121">
                  <c:v>270.11952209472656</c:v>
                </c:pt>
                <c:pt idx="122">
                  <c:v>265.48199768066405</c:v>
                </c:pt>
                <c:pt idx="123">
                  <c:v>272.27045288085935</c:v>
                </c:pt>
                <c:pt idx="124">
                  <c:v>280.18391113281251</c:v>
                </c:pt>
                <c:pt idx="125">
                  <c:v>291.24391479492186</c:v>
                </c:pt>
                <c:pt idx="126">
                  <c:v>316.90958557128909</c:v>
                </c:pt>
                <c:pt idx="127">
                  <c:v>314.72167053222654</c:v>
                </c:pt>
                <c:pt idx="128">
                  <c:v>314.04083557128905</c:v>
                </c:pt>
                <c:pt idx="129">
                  <c:v>332.149169921875</c:v>
                </c:pt>
                <c:pt idx="130">
                  <c:v>297.03916625976564</c:v>
                </c:pt>
                <c:pt idx="131">
                  <c:v>290.18583068847659</c:v>
                </c:pt>
                <c:pt idx="132">
                  <c:v>277.42291259765625</c:v>
                </c:pt>
                <c:pt idx="133">
                  <c:v>268.07478637695311</c:v>
                </c:pt>
                <c:pt idx="134">
                  <c:v>265.40400085449221</c:v>
                </c:pt>
                <c:pt idx="135">
                  <c:v>277.66957092285156</c:v>
                </c:pt>
                <c:pt idx="136">
                  <c:v>281.13136291503906</c:v>
                </c:pt>
                <c:pt idx="137">
                  <c:v>286.38857116699216</c:v>
                </c:pt>
                <c:pt idx="138">
                  <c:v>318.6633331298828</c:v>
                </c:pt>
                <c:pt idx="139">
                  <c:v>314.78719787597657</c:v>
                </c:pt>
                <c:pt idx="140">
                  <c:v>302.98391113281252</c:v>
                </c:pt>
                <c:pt idx="141">
                  <c:v>322.78666381835939</c:v>
                </c:pt>
                <c:pt idx="142">
                  <c:v>286.93434753417966</c:v>
                </c:pt>
                <c:pt idx="143">
                  <c:v>284.79874877929689</c:v>
                </c:pt>
              </c:numCache>
            </c:numRef>
          </c:val>
          <c:smooth val="0"/>
          <c:extLst xmlns:c16r2="http://schemas.microsoft.com/office/drawing/2015/06/chart">
            <c:ext xmlns:c16="http://schemas.microsoft.com/office/drawing/2014/chart" uri="{C3380CC4-5D6E-409C-BE32-E72D297353CC}">
              <c16:uniqueId val="{00000000-E3C2-46A4-A276-7CAA0CEB3285}"/>
            </c:ext>
          </c:extLst>
        </c:ser>
        <c:dLbls>
          <c:showLegendKey val="0"/>
          <c:showVal val="0"/>
          <c:showCatName val="0"/>
          <c:showSerName val="0"/>
          <c:showPercent val="0"/>
          <c:showBubbleSize val="0"/>
        </c:dLbls>
        <c:marker val="1"/>
        <c:smooth val="0"/>
        <c:axId val="129612000"/>
        <c:axId val="129612392"/>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Sheet1!$A$18</c15:sqref>
                        </c15:formulaRef>
                      </c:ext>
                    </c:extLst>
                    <c:strCache>
                      <c:ptCount val="1"/>
                    </c:strCache>
                  </c:strRef>
                </c:tx>
                <c:spPr>
                  <a:ln w="28575" cap="rnd">
                    <a:solidFill>
                      <a:schemeClr val="accent2"/>
                    </a:solidFill>
                    <a:round/>
                  </a:ln>
                  <a:effectLst/>
                </c:spPr>
                <c:marker>
                  <c:symbol val="none"/>
                </c:marker>
                <c:cat>
                  <c:numRef>
                    <c:extLst xmlns:c16r2="http://schemas.microsoft.com/office/drawing/2015/06/chart">
                      <c:ext uri="{02D57815-91ED-43cb-92C2-25804820EDAC}">
                        <c15:formulaRef>
                          <c15:sqref>Sheet1!$B$16:$EO$16</c15:sqref>
                        </c15:formulaRef>
                      </c:ext>
                    </c:extLst>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extLst xmlns:c16r2="http://schemas.microsoft.com/office/drawing/2015/06/chart">
                      <c:ext uri="{02D57815-91ED-43cb-92C2-25804820EDAC}">
                        <c15:formulaRef>
                          <c15:sqref>Sheet1!$B$18:$EO$18</c15:sqref>
                        </c15:formulaRef>
                      </c:ext>
                    </c:extLst>
                    <c:numCache>
                      <c:formatCode>General</c:formatCode>
                      <c:ptCount val="144"/>
                    </c:numCache>
                  </c:numRef>
                </c:val>
                <c:smooth val="0"/>
                <c:extLst xmlns:c16r2="http://schemas.microsoft.com/office/drawing/2015/06/chart">
                  <c:ext xmlns:c16="http://schemas.microsoft.com/office/drawing/2014/chart" uri="{C3380CC4-5D6E-409C-BE32-E72D297353CC}">
                    <c16:uniqueId val="{00000002-E3C2-46A4-A276-7CAA0CEB3285}"/>
                  </c:ext>
                </c:extLst>
              </c15:ser>
            </c15:filteredLineSeries>
          </c:ext>
        </c:extLst>
      </c:lineChart>
      <c:lineChart>
        <c:grouping val="standard"/>
        <c:varyColors val="0"/>
        <c:ser>
          <c:idx val="0"/>
          <c:order val="0"/>
          <c:tx>
            <c:strRef>
              <c:f>Sheet1!$A$17</c:f>
              <c:strCache>
                <c:ptCount val="1"/>
                <c:pt idx="0">
                  <c:v>Big Meadows</c:v>
                </c:pt>
              </c:strCache>
            </c:strRef>
          </c:tx>
          <c:spPr>
            <a:ln w="28575" cap="rnd">
              <a:solidFill>
                <a:schemeClr val="accent1"/>
              </a:solidFill>
              <a:round/>
            </a:ln>
            <a:effectLst/>
          </c:spPr>
          <c:marker>
            <c:symbol val="none"/>
          </c:marker>
          <c:cat>
            <c:numRef>
              <c:f>Sheet1!$B$16:$EO$16</c:f>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f>Sheet1!$B$17:$EO$17</c:f>
              <c:numCache>
                <c:formatCode>General</c:formatCode>
                <c:ptCount val="144"/>
                <c:pt idx="0">
                  <c:v>33.642857142857146</c:v>
                </c:pt>
                <c:pt idx="1">
                  <c:v>40.321428571428569</c:v>
                </c:pt>
                <c:pt idx="2">
                  <c:v>45.677419354838712</c:v>
                </c:pt>
                <c:pt idx="3">
                  <c:v>56.7</c:v>
                </c:pt>
                <c:pt idx="4">
                  <c:v>55.29032258064516</c:v>
                </c:pt>
                <c:pt idx="5">
                  <c:v>49.517241379310342</c:v>
                </c:pt>
                <c:pt idx="6">
                  <c:v>49.344827586206897</c:v>
                </c:pt>
                <c:pt idx="7">
                  <c:v>47.642857142857146</c:v>
                </c:pt>
                <c:pt idx="8">
                  <c:v>48.571428571428569</c:v>
                </c:pt>
                <c:pt idx="9">
                  <c:v>33.903225806451616</c:v>
                </c:pt>
                <c:pt idx="10">
                  <c:v>39.482758620689658</c:v>
                </c:pt>
                <c:pt idx="11">
                  <c:v>32.1</c:v>
                </c:pt>
                <c:pt idx="12">
                  <c:v>33.055555555555557</c:v>
                </c:pt>
                <c:pt idx="13">
                  <c:v>40.071428571428569</c:v>
                </c:pt>
                <c:pt idx="14">
                  <c:v>48.1</c:v>
                </c:pt>
                <c:pt idx="15">
                  <c:v>55.9</c:v>
                </c:pt>
                <c:pt idx="16">
                  <c:v>55.032258064516128</c:v>
                </c:pt>
                <c:pt idx="17">
                  <c:v>51.96551724137931</c:v>
                </c:pt>
                <c:pt idx="18">
                  <c:v>49.258064516129032</c:v>
                </c:pt>
                <c:pt idx="19">
                  <c:v>54.666666666666664</c:v>
                </c:pt>
                <c:pt idx="20">
                  <c:v>41.208333333333336</c:v>
                </c:pt>
                <c:pt idx="21">
                  <c:v>39.258064516129032</c:v>
                </c:pt>
                <c:pt idx="22">
                  <c:v>36.833333333333336</c:v>
                </c:pt>
                <c:pt idx="23">
                  <c:v>35.25</c:v>
                </c:pt>
                <c:pt idx="24">
                  <c:v>32.677419354838712</c:v>
                </c:pt>
                <c:pt idx="25">
                  <c:v>38.428571428571431</c:v>
                </c:pt>
                <c:pt idx="26">
                  <c:v>48.3</c:v>
                </c:pt>
                <c:pt idx="27">
                  <c:v>50.896551724137929</c:v>
                </c:pt>
                <c:pt idx="28">
                  <c:v>56.903225806451616</c:v>
                </c:pt>
                <c:pt idx="29">
                  <c:v>51.03846153846154</c:v>
                </c:pt>
                <c:pt idx="30">
                  <c:v>50.645161290322584</c:v>
                </c:pt>
                <c:pt idx="31">
                  <c:v>53.516129032258064</c:v>
                </c:pt>
                <c:pt idx="32">
                  <c:v>48.93333333333333</c:v>
                </c:pt>
                <c:pt idx="33">
                  <c:v>42.633333333333333</c:v>
                </c:pt>
                <c:pt idx="34">
                  <c:v>34.700000000000003</c:v>
                </c:pt>
                <c:pt idx="35">
                  <c:v>31.142857142857142</c:v>
                </c:pt>
                <c:pt idx="36">
                  <c:v>36.483870967741936</c:v>
                </c:pt>
                <c:pt idx="37">
                  <c:v>37.137931034482762</c:v>
                </c:pt>
                <c:pt idx="38">
                  <c:v>47.322580645161288</c:v>
                </c:pt>
                <c:pt idx="39">
                  <c:v>51.517241379310342</c:v>
                </c:pt>
                <c:pt idx="40">
                  <c:v>52.41935483870968</c:v>
                </c:pt>
                <c:pt idx="41">
                  <c:v>52.392857142857146</c:v>
                </c:pt>
                <c:pt idx="42">
                  <c:v>49.827586206896555</c:v>
                </c:pt>
                <c:pt idx="43">
                  <c:v>45.806451612903224</c:v>
                </c:pt>
                <c:pt idx="44">
                  <c:v>40.266666666666666</c:v>
                </c:pt>
                <c:pt idx="45">
                  <c:v>39.258064516129032</c:v>
                </c:pt>
                <c:pt idx="46">
                  <c:v>34.700000000000003</c:v>
                </c:pt>
                <c:pt idx="47">
                  <c:v>29.066666666666666</c:v>
                </c:pt>
                <c:pt idx="48">
                  <c:v>32.677419354838712</c:v>
                </c:pt>
                <c:pt idx="49">
                  <c:v>41.75</c:v>
                </c:pt>
                <c:pt idx="50">
                  <c:v>43.9</c:v>
                </c:pt>
                <c:pt idx="51">
                  <c:v>51.448275862068968</c:v>
                </c:pt>
                <c:pt idx="52">
                  <c:v>42.70967741935484</c:v>
                </c:pt>
                <c:pt idx="53">
                  <c:v>44</c:v>
                </c:pt>
                <c:pt idx="54">
                  <c:v>42.774193548387096</c:v>
                </c:pt>
                <c:pt idx="55">
                  <c:v>42.354838709677416</c:v>
                </c:pt>
                <c:pt idx="56">
                  <c:v>39.299999999999997</c:v>
                </c:pt>
                <c:pt idx="57">
                  <c:v>34.166666666666664</c:v>
                </c:pt>
                <c:pt idx="58">
                  <c:v>36.06666666666667</c:v>
                </c:pt>
                <c:pt idx="59">
                  <c:v>33.700000000000003</c:v>
                </c:pt>
                <c:pt idx="60">
                  <c:v>34.354838709677416</c:v>
                </c:pt>
                <c:pt idx="61">
                  <c:v>41</c:v>
                </c:pt>
                <c:pt idx="63">
                  <c:v>55.294117647058826</c:v>
                </c:pt>
                <c:pt idx="64">
                  <c:v>49.111111111111114</c:v>
                </c:pt>
                <c:pt idx="65">
                  <c:v>50.310344827586206</c:v>
                </c:pt>
                <c:pt idx="66">
                  <c:v>52</c:v>
                </c:pt>
                <c:pt idx="67">
                  <c:v>48.9</c:v>
                </c:pt>
                <c:pt idx="68">
                  <c:v>50.5</c:v>
                </c:pt>
                <c:pt idx="69">
                  <c:v>44.806451612903224</c:v>
                </c:pt>
                <c:pt idx="70">
                  <c:v>38.827586206896555</c:v>
                </c:pt>
                <c:pt idx="71">
                  <c:v>36.733333333333334</c:v>
                </c:pt>
                <c:pt idx="72">
                  <c:v>38.799999999999997</c:v>
                </c:pt>
                <c:pt idx="73">
                  <c:v>44.642857142857146</c:v>
                </c:pt>
                <c:pt idx="74">
                  <c:v>45.096774193548384</c:v>
                </c:pt>
                <c:pt idx="75">
                  <c:v>50.366666666666667</c:v>
                </c:pt>
                <c:pt idx="76">
                  <c:v>51.903225806451616</c:v>
                </c:pt>
                <c:pt idx="77">
                  <c:v>55.7</c:v>
                </c:pt>
                <c:pt idx="78">
                  <c:v>57.516129032258064</c:v>
                </c:pt>
                <c:pt idx="79">
                  <c:v>51.838709677419352</c:v>
                </c:pt>
                <c:pt idx="80">
                  <c:v>42.43333333333333</c:v>
                </c:pt>
                <c:pt idx="81">
                  <c:v>42.322580645161288</c:v>
                </c:pt>
                <c:pt idx="82">
                  <c:v>42.033333333333331</c:v>
                </c:pt>
                <c:pt idx="83">
                  <c:v>37.068965517241381</c:v>
                </c:pt>
                <c:pt idx="84">
                  <c:v>34.451612903225808</c:v>
                </c:pt>
                <c:pt idx="85">
                  <c:v>40.275862068965516</c:v>
                </c:pt>
                <c:pt idx="86">
                  <c:v>47.677419354838712</c:v>
                </c:pt>
                <c:pt idx="87">
                  <c:v>50.833333333333336</c:v>
                </c:pt>
                <c:pt idx="88">
                  <c:v>49.29032258064516</c:v>
                </c:pt>
                <c:pt idx="89">
                  <c:v>50.392857142857146</c:v>
                </c:pt>
                <c:pt idx="90">
                  <c:v>51.464285714285715</c:v>
                </c:pt>
                <c:pt idx="91">
                  <c:v>51.064516129032256</c:v>
                </c:pt>
                <c:pt idx="92">
                  <c:v>42.931034482758619</c:v>
                </c:pt>
                <c:pt idx="93">
                  <c:v>38.931034482758619</c:v>
                </c:pt>
                <c:pt idx="94">
                  <c:v>39.148148148148145</c:v>
                </c:pt>
                <c:pt idx="95">
                  <c:v>35.1</c:v>
                </c:pt>
                <c:pt idx="96">
                  <c:v>37.806451612903224</c:v>
                </c:pt>
                <c:pt idx="97">
                  <c:v>40.851851851851855</c:v>
                </c:pt>
                <c:pt idx="98">
                  <c:v>45.958333333333336</c:v>
                </c:pt>
                <c:pt idx="99">
                  <c:v>51.833333333333336</c:v>
                </c:pt>
                <c:pt idx="100">
                  <c:v>48.258064516129032</c:v>
                </c:pt>
                <c:pt idx="101">
                  <c:v>41.466666666666669</c:v>
                </c:pt>
                <c:pt idx="102">
                  <c:v>35.645161290322584</c:v>
                </c:pt>
                <c:pt idx="103">
                  <c:v>39.148148148148145</c:v>
                </c:pt>
                <c:pt idx="104">
                  <c:v>42.384615384615387</c:v>
                </c:pt>
                <c:pt idx="105">
                  <c:v>39.548387096774192</c:v>
                </c:pt>
                <c:pt idx="106">
                  <c:v>37.517241379310342</c:v>
                </c:pt>
                <c:pt idx="107">
                  <c:v>36.799999999999997</c:v>
                </c:pt>
                <c:pt idx="108">
                  <c:v>38.774193548387096</c:v>
                </c:pt>
                <c:pt idx="109">
                  <c:v>41.074074074074076</c:v>
                </c:pt>
                <c:pt idx="110">
                  <c:v>45.225806451612904</c:v>
                </c:pt>
                <c:pt idx="111">
                  <c:v>50.43333333333333</c:v>
                </c:pt>
                <c:pt idx="112">
                  <c:v>48.354838709677416</c:v>
                </c:pt>
                <c:pt idx="113">
                  <c:v>42.333333333333336</c:v>
                </c:pt>
                <c:pt idx="114">
                  <c:v>40.483870967741936</c:v>
                </c:pt>
                <c:pt idx="115">
                  <c:v>39.70967741935484</c:v>
                </c:pt>
                <c:pt idx="116">
                  <c:v>38.275862068965516</c:v>
                </c:pt>
                <c:pt idx="117">
                  <c:v>38.935483870967744</c:v>
                </c:pt>
                <c:pt idx="118">
                  <c:v>38.888888888888886</c:v>
                </c:pt>
                <c:pt idx="119">
                  <c:v>33.321428571428569</c:v>
                </c:pt>
                <c:pt idx="120">
                  <c:v>37.793103448275865</c:v>
                </c:pt>
                <c:pt idx="121">
                  <c:v>41.821428571428569</c:v>
                </c:pt>
                <c:pt idx="122">
                  <c:v>47.58064516129032</c:v>
                </c:pt>
                <c:pt idx="123">
                  <c:v>50.785714285714285</c:v>
                </c:pt>
                <c:pt idx="124">
                  <c:v>47.903225806451616</c:v>
                </c:pt>
                <c:pt idx="125">
                  <c:v>40.133333333333333</c:v>
                </c:pt>
                <c:pt idx="126">
                  <c:v>41.258064516129032</c:v>
                </c:pt>
                <c:pt idx="127">
                  <c:v>43.161290322580648</c:v>
                </c:pt>
                <c:pt idx="128">
                  <c:v>41.206896551724135</c:v>
                </c:pt>
                <c:pt idx="129">
                  <c:v>35.645161290322584</c:v>
                </c:pt>
                <c:pt idx="130">
                  <c:v>38.033333333333331</c:v>
                </c:pt>
                <c:pt idx="131">
                  <c:v>33.206896551724135</c:v>
                </c:pt>
                <c:pt idx="132">
                  <c:v>38.12903225806452</c:v>
                </c:pt>
                <c:pt idx="133">
                  <c:v>37.5</c:v>
                </c:pt>
                <c:pt idx="134">
                  <c:v>43.571428571428569</c:v>
                </c:pt>
                <c:pt idx="135">
                  <c:v>48.482758620689658</c:v>
                </c:pt>
                <c:pt idx="136">
                  <c:v>46.387096774193552</c:v>
                </c:pt>
                <c:pt idx="137">
                  <c:v>47</c:v>
                </c:pt>
                <c:pt idx="138">
                  <c:v>41.096774193548384</c:v>
                </c:pt>
                <c:pt idx="139">
                  <c:v>36.966666666666669</c:v>
                </c:pt>
                <c:pt idx="140">
                  <c:v>41.06666666666667</c:v>
                </c:pt>
                <c:pt idx="141">
                  <c:v>39.483870967741936</c:v>
                </c:pt>
                <c:pt idx="142">
                  <c:v>40.06666666666667</c:v>
                </c:pt>
                <c:pt idx="143">
                  <c:v>33.966666666666669</c:v>
                </c:pt>
              </c:numCache>
            </c:numRef>
          </c:val>
          <c:smooth val="0"/>
          <c:extLst xmlns:c16r2="http://schemas.microsoft.com/office/drawing/2015/06/chart">
            <c:ext xmlns:c16="http://schemas.microsoft.com/office/drawing/2014/chart" uri="{C3380CC4-5D6E-409C-BE32-E72D297353CC}">
              <c16:uniqueId val="{00000001-E3C2-46A4-A276-7CAA0CEB3285}"/>
            </c:ext>
          </c:extLst>
        </c:ser>
        <c:dLbls>
          <c:showLegendKey val="0"/>
          <c:showVal val="0"/>
          <c:showCatName val="0"/>
          <c:showSerName val="0"/>
          <c:showPercent val="0"/>
          <c:showBubbleSize val="0"/>
        </c:dLbls>
        <c:marker val="1"/>
        <c:smooth val="0"/>
        <c:axId val="275801984"/>
        <c:axId val="275801592"/>
      </c:lineChart>
      <c:dateAx>
        <c:axId val="129612000"/>
        <c:scaling>
          <c:orientation val="minMax"/>
        </c:scaling>
        <c:delete val="0"/>
        <c:axPos val="b"/>
        <c:majorGridlines>
          <c:spPr>
            <a:ln w="9525" cap="flat" cmpd="sng" algn="ctr">
              <a:solidFill>
                <a:schemeClr val="tx1">
                  <a:lumMod val="15000"/>
                  <a:lumOff val="85000"/>
                </a:schemeClr>
              </a:solidFill>
              <a:round/>
            </a:ln>
            <a:effectLst/>
          </c:spPr>
        </c:majorGridlines>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29612392"/>
        <c:crosses val="autoZero"/>
        <c:auto val="1"/>
        <c:lblOffset val="100"/>
        <c:baseTimeUnit val="months"/>
        <c:majorUnit val="12"/>
        <c:majorTimeUnit val="months"/>
      </c:dateAx>
      <c:valAx>
        <c:axId val="129612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Dobson Units (DU)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129612000"/>
        <c:crosses val="autoZero"/>
        <c:crossBetween val="between"/>
      </c:valAx>
      <c:valAx>
        <c:axId val="275801592"/>
        <c:scaling>
          <c:orientation val="minMax"/>
        </c:scaling>
        <c:delete val="0"/>
        <c:axPos val="r"/>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Parts per billion (ppb)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75801984"/>
        <c:crosses val="max"/>
        <c:crossBetween val="between"/>
      </c:valAx>
      <c:dateAx>
        <c:axId val="275801984"/>
        <c:scaling>
          <c:orientation val="minMax"/>
        </c:scaling>
        <c:delete val="1"/>
        <c:axPos val="b"/>
        <c:numFmt formatCode="mmm\-yy" sourceLinked="1"/>
        <c:majorTickMark val="out"/>
        <c:minorTickMark val="none"/>
        <c:tickLblPos val="nextTo"/>
        <c:crossAx val="27580159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Correlation between OMI Ozone &amp; Big Meadows</a:t>
            </a:r>
          </a:p>
        </c:rich>
      </c:tx>
      <c:layout>
        <c:manualLayout>
          <c:xMode val="edge"/>
          <c:yMode val="edge"/>
          <c:x val="0.21855109500477451"/>
          <c:y val="6.100217864923747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manualLayout>
          <c:layoutTarget val="inner"/>
          <c:xMode val="edge"/>
          <c:yMode val="edge"/>
          <c:x val="0.16430802474353315"/>
          <c:y val="0.18339869281045751"/>
          <c:w val="0.80945205940451481"/>
          <c:h val="0.64490933731322797"/>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ysClr val="windowText" lastClr="000000"/>
                </a:solidFill>
                <a:prstDash val="sysDot"/>
              </a:ln>
              <a:effectLst/>
            </c:spPr>
            <c:trendlineType val="linear"/>
            <c:dispRSqr val="1"/>
            <c:dispEq val="0"/>
            <c:trendlineLbl>
              <c:layout>
                <c:manualLayout>
                  <c:x val="0.15798907343341526"/>
                  <c:y val="-0.1337930797865953"/>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rendlineLbl>
          </c:trendline>
          <c:xVal>
            <c:numRef>
              <c:f>Sheet1!$B$17:$EO$17</c:f>
              <c:numCache>
                <c:formatCode>General</c:formatCode>
                <c:ptCount val="144"/>
                <c:pt idx="0">
                  <c:v>33.642857142857146</c:v>
                </c:pt>
                <c:pt idx="1">
                  <c:v>40.321428571428569</c:v>
                </c:pt>
                <c:pt idx="2">
                  <c:v>45.677419354838712</c:v>
                </c:pt>
                <c:pt idx="3">
                  <c:v>56.7</c:v>
                </c:pt>
                <c:pt idx="4">
                  <c:v>55.29032258064516</c:v>
                </c:pt>
                <c:pt idx="5">
                  <c:v>49.517241379310342</c:v>
                </c:pt>
                <c:pt idx="6">
                  <c:v>49.344827586206897</c:v>
                </c:pt>
                <c:pt idx="7">
                  <c:v>47.642857142857146</c:v>
                </c:pt>
                <c:pt idx="8">
                  <c:v>48.571428571428569</c:v>
                </c:pt>
                <c:pt idx="9">
                  <c:v>33.903225806451616</c:v>
                </c:pt>
                <c:pt idx="10">
                  <c:v>39.482758620689658</c:v>
                </c:pt>
                <c:pt idx="11">
                  <c:v>32.1</c:v>
                </c:pt>
                <c:pt idx="12">
                  <c:v>33.055555555555557</c:v>
                </c:pt>
                <c:pt idx="13">
                  <c:v>40.071428571428569</c:v>
                </c:pt>
                <c:pt idx="14">
                  <c:v>48.1</c:v>
                </c:pt>
                <c:pt idx="15">
                  <c:v>55.9</c:v>
                </c:pt>
                <c:pt idx="16">
                  <c:v>55.032258064516128</c:v>
                </c:pt>
                <c:pt idx="17">
                  <c:v>51.96551724137931</c:v>
                </c:pt>
                <c:pt idx="18">
                  <c:v>49.258064516129032</c:v>
                </c:pt>
                <c:pt idx="19">
                  <c:v>54.666666666666664</c:v>
                </c:pt>
                <c:pt idx="20">
                  <c:v>41.208333333333336</c:v>
                </c:pt>
                <c:pt idx="21">
                  <c:v>39.258064516129032</c:v>
                </c:pt>
                <c:pt idx="22">
                  <c:v>36.833333333333336</c:v>
                </c:pt>
                <c:pt idx="23">
                  <c:v>35.25</c:v>
                </c:pt>
                <c:pt idx="24">
                  <c:v>32.677419354838712</c:v>
                </c:pt>
                <c:pt idx="25">
                  <c:v>38.428571428571431</c:v>
                </c:pt>
                <c:pt idx="26">
                  <c:v>48.3</c:v>
                </c:pt>
                <c:pt idx="27">
                  <c:v>50.896551724137929</c:v>
                </c:pt>
                <c:pt idx="28">
                  <c:v>56.903225806451616</c:v>
                </c:pt>
                <c:pt idx="29">
                  <c:v>51.03846153846154</c:v>
                </c:pt>
                <c:pt idx="30">
                  <c:v>50.645161290322584</c:v>
                </c:pt>
                <c:pt idx="31">
                  <c:v>53.516129032258064</c:v>
                </c:pt>
                <c:pt idx="32">
                  <c:v>48.93333333333333</c:v>
                </c:pt>
                <c:pt idx="33">
                  <c:v>42.633333333333333</c:v>
                </c:pt>
                <c:pt idx="34">
                  <c:v>34.700000000000003</c:v>
                </c:pt>
                <c:pt idx="35">
                  <c:v>31.142857142857142</c:v>
                </c:pt>
                <c:pt idx="36">
                  <c:v>36.483870967741936</c:v>
                </c:pt>
                <c:pt idx="37">
                  <c:v>37.137931034482762</c:v>
                </c:pt>
                <c:pt idx="38">
                  <c:v>47.322580645161288</c:v>
                </c:pt>
                <c:pt idx="39">
                  <c:v>51.517241379310342</c:v>
                </c:pt>
                <c:pt idx="40">
                  <c:v>52.41935483870968</c:v>
                </c:pt>
                <c:pt idx="41">
                  <c:v>52.392857142857146</c:v>
                </c:pt>
                <c:pt idx="42">
                  <c:v>49.827586206896555</c:v>
                </c:pt>
                <c:pt idx="43">
                  <c:v>45.806451612903224</c:v>
                </c:pt>
                <c:pt idx="44">
                  <c:v>40.266666666666666</c:v>
                </c:pt>
                <c:pt idx="45">
                  <c:v>39.258064516129032</c:v>
                </c:pt>
                <c:pt idx="46">
                  <c:v>34.700000000000003</c:v>
                </c:pt>
                <c:pt idx="47">
                  <c:v>29.066666666666666</c:v>
                </c:pt>
                <c:pt idx="48">
                  <c:v>32.677419354838712</c:v>
                </c:pt>
                <c:pt idx="49">
                  <c:v>41.75</c:v>
                </c:pt>
                <c:pt idx="50">
                  <c:v>43.9</c:v>
                </c:pt>
                <c:pt idx="51">
                  <c:v>51.448275862068968</c:v>
                </c:pt>
                <c:pt idx="52">
                  <c:v>42.70967741935484</c:v>
                </c:pt>
                <c:pt idx="53">
                  <c:v>44</c:v>
                </c:pt>
                <c:pt idx="54">
                  <c:v>42.774193548387096</c:v>
                </c:pt>
                <c:pt idx="55">
                  <c:v>42.354838709677416</c:v>
                </c:pt>
                <c:pt idx="56">
                  <c:v>39.299999999999997</c:v>
                </c:pt>
                <c:pt idx="57">
                  <c:v>34.166666666666664</c:v>
                </c:pt>
                <c:pt idx="58">
                  <c:v>36.06666666666667</c:v>
                </c:pt>
                <c:pt idx="59">
                  <c:v>33.700000000000003</c:v>
                </c:pt>
                <c:pt idx="60">
                  <c:v>34.354838709677416</c:v>
                </c:pt>
                <c:pt idx="61">
                  <c:v>41</c:v>
                </c:pt>
                <c:pt idx="63">
                  <c:v>55.294117647058826</c:v>
                </c:pt>
                <c:pt idx="64">
                  <c:v>49.111111111111114</c:v>
                </c:pt>
                <c:pt idx="65">
                  <c:v>50.310344827586206</c:v>
                </c:pt>
                <c:pt idx="66">
                  <c:v>52</c:v>
                </c:pt>
                <c:pt idx="67">
                  <c:v>48.9</c:v>
                </c:pt>
                <c:pt idx="68">
                  <c:v>50.5</c:v>
                </c:pt>
                <c:pt idx="69">
                  <c:v>44.806451612903224</c:v>
                </c:pt>
                <c:pt idx="70">
                  <c:v>38.827586206896555</c:v>
                </c:pt>
                <c:pt idx="71">
                  <c:v>36.733333333333334</c:v>
                </c:pt>
                <c:pt idx="72">
                  <c:v>38.799999999999997</c:v>
                </c:pt>
                <c:pt idx="73">
                  <c:v>44.642857142857146</c:v>
                </c:pt>
                <c:pt idx="74">
                  <c:v>45.096774193548384</c:v>
                </c:pt>
                <c:pt idx="75">
                  <c:v>50.366666666666667</c:v>
                </c:pt>
                <c:pt idx="76">
                  <c:v>51.903225806451616</c:v>
                </c:pt>
                <c:pt idx="77">
                  <c:v>55.7</c:v>
                </c:pt>
                <c:pt idx="78">
                  <c:v>57.516129032258064</c:v>
                </c:pt>
                <c:pt idx="79">
                  <c:v>51.838709677419352</c:v>
                </c:pt>
                <c:pt idx="80">
                  <c:v>42.43333333333333</c:v>
                </c:pt>
                <c:pt idx="81">
                  <c:v>42.322580645161288</c:v>
                </c:pt>
                <c:pt idx="82">
                  <c:v>42.033333333333331</c:v>
                </c:pt>
                <c:pt idx="83">
                  <c:v>37.068965517241381</c:v>
                </c:pt>
                <c:pt idx="84">
                  <c:v>34.451612903225808</c:v>
                </c:pt>
                <c:pt idx="85">
                  <c:v>40.275862068965516</c:v>
                </c:pt>
                <c:pt idx="86">
                  <c:v>47.677419354838712</c:v>
                </c:pt>
                <c:pt idx="87">
                  <c:v>50.833333333333336</c:v>
                </c:pt>
                <c:pt idx="88">
                  <c:v>49.29032258064516</c:v>
                </c:pt>
                <c:pt idx="89">
                  <c:v>50.392857142857146</c:v>
                </c:pt>
                <c:pt idx="90">
                  <c:v>51.464285714285715</c:v>
                </c:pt>
                <c:pt idx="91">
                  <c:v>51.064516129032256</c:v>
                </c:pt>
                <c:pt idx="92">
                  <c:v>42.931034482758619</c:v>
                </c:pt>
                <c:pt idx="93">
                  <c:v>38.931034482758619</c:v>
                </c:pt>
                <c:pt idx="94">
                  <c:v>39.148148148148145</c:v>
                </c:pt>
                <c:pt idx="95">
                  <c:v>35.1</c:v>
                </c:pt>
                <c:pt idx="96">
                  <c:v>37.806451612903224</c:v>
                </c:pt>
                <c:pt idx="97">
                  <c:v>40.851851851851855</c:v>
                </c:pt>
                <c:pt idx="98">
                  <c:v>45.958333333333336</c:v>
                </c:pt>
                <c:pt idx="99">
                  <c:v>51.833333333333336</c:v>
                </c:pt>
                <c:pt idx="100">
                  <c:v>48.258064516129032</c:v>
                </c:pt>
                <c:pt idx="101">
                  <c:v>41.466666666666669</c:v>
                </c:pt>
                <c:pt idx="102">
                  <c:v>35.645161290322584</c:v>
                </c:pt>
                <c:pt idx="103">
                  <c:v>39.148148148148145</c:v>
                </c:pt>
                <c:pt idx="104">
                  <c:v>42.384615384615387</c:v>
                </c:pt>
                <c:pt idx="105">
                  <c:v>39.548387096774192</c:v>
                </c:pt>
                <c:pt idx="106">
                  <c:v>37.517241379310342</c:v>
                </c:pt>
                <c:pt idx="107">
                  <c:v>36.799999999999997</c:v>
                </c:pt>
                <c:pt idx="108">
                  <c:v>38.774193548387096</c:v>
                </c:pt>
                <c:pt idx="109">
                  <c:v>41.074074074074076</c:v>
                </c:pt>
                <c:pt idx="110">
                  <c:v>45.225806451612904</c:v>
                </c:pt>
                <c:pt idx="111">
                  <c:v>50.43333333333333</c:v>
                </c:pt>
                <c:pt idx="112">
                  <c:v>48.354838709677416</c:v>
                </c:pt>
                <c:pt idx="113">
                  <c:v>42.333333333333336</c:v>
                </c:pt>
                <c:pt idx="114">
                  <c:v>40.483870967741936</c:v>
                </c:pt>
                <c:pt idx="115">
                  <c:v>39.70967741935484</c:v>
                </c:pt>
                <c:pt idx="116">
                  <c:v>38.275862068965516</c:v>
                </c:pt>
                <c:pt idx="117">
                  <c:v>38.935483870967744</c:v>
                </c:pt>
                <c:pt idx="118">
                  <c:v>38.888888888888886</c:v>
                </c:pt>
                <c:pt idx="119">
                  <c:v>33.321428571428569</c:v>
                </c:pt>
                <c:pt idx="120">
                  <c:v>37.793103448275865</c:v>
                </c:pt>
                <c:pt idx="121">
                  <c:v>41.821428571428569</c:v>
                </c:pt>
                <c:pt idx="122">
                  <c:v>47.58064516129032</c:v>
                </c:pt>
                <c:pt idx="123">
                  <c:v>50.785714285714285</c:v>
                </c:pt>
                <c:pt idx="124">
                  <c:v>47.903225806451616</c:v>
                </c:pt>
                <c:pt idx="125">
                  <c:v>40.133333333333333</c:v>
                </c:pt>
                <c:pt idx="126">
                  <c:v>41.258064516129032</c:v>
                </c:pt>
                <c:pt idx="127">
                  <c:v>43.161290322580648</c:v>
                </c:pt>
                <c:pt idx="128">
                  <c:v>41.206896551724135</c:v>
                </c:pt>
                <c:pt idx="129">
                  <c:v>35.645161290322584</c:v>
                </c:pt>
                <c:pt idx="130">
                  <c:v>38.033333333333331</c:v>
                </c:pt>
                <c:pt idx="131">
                  <c:v>33.206896551724135</c:v>
                </c:pt>
                <c:pt idx="132">
                  <c:v>38.12903225806452</c:v>
                </c:pt>
                <c:pt idx="133">
                  <c:v>37.5</c:v>
                </c:pt>
                <c:pt idx="134">
                  <c:v>43.571428571428569</c:v>
                </c:pt>
                <c:pt idx="135">
                  <c:v>48.482758620689658</c:v>
                </c:pt>
                <c:pt idx="136">
                  <c:v>46.387096774193552</c:v>
                </c:pt>
                <c:pt idx="137">
                  <c:v>47</c:v>
                </c:pt>
                <c:pt idx="138">
                  <c:v>41.096774193548384</c:v>
                </c:pt>
                <c:pt idx="139">
                  <c:v>36.966666666666669</c:v>
                </c:pt>
                <c:pt idx="140">
                  <c:v>41.06666666666667</c:v>
                </c:pt>
                <c:pt idx="141">
                  <c:v>39.483870967741936</c:v>
                </c:pt>
                <c:pt idx="142">
                  <c:v>40.06666666666667</c:v>
                </c:pt>
                <c:pt idx="143">
                  <c:v>33.966666666666669</c:v>
                </c:pt>
              </c:numCache>
            </c:numRef>
          </c:xVal>
          <c:yVal>
            <c:numRef>
              <c:f>Sheet1!$B$19:$EO$19</c:f>
              <c:numCache>
                <c:formatCode>0.00</c:formatCode>
                <c:ptCount val="144"/>
                <c:pt idx="0">
                  <c:v>269.58566284179687</c:v>
                </c:pt>
                <c:pt idx="1">
                  <c:v>261.76925659179687</c:v>
                </c:pt>
                <c:pt idx="2">
                  <c:v>270.00533752441407</c:v>
                </c:pt>
                <c:pt idx="3">
                  <c:v>264.64892578125</c:v>
                </c:pt>
                <c:pt idx="4">
                  <c:v>294.58233337402345</c:v>
                </c:pt>
                <c:pt idx="5">
                  <c:v>291.24391479492186</c:v>
                </c:pt>
                <c:pt idx="6">
                  <c:v>324.49333190917969</c:v>
                </c:pt>
                <c:pt idx="7">
                  <c:v>328.46644592285156</c:v>
                </c:pt>
                <c:pt idx="8">
                  <c:v>331.27655029296875</c:v>
                </c:pt>
                <c:pt idx="9">
                  <c:v>327.39033508300781</c:v>
                </c:pt>
                <c:pt idx="10">
                  <c:v>309.0393096923828</c:v>
                </c:pt>
                <c:pt idx="11">
                  <c:v>288.86299743652341</c:v>
                </c:pt>
                <c:pt idx="12">
                  <c:v>271.99400329589844</c:v>
                </c:pt>
                <c:pt idx="13">
                  <c:v>260.33499755859373</c:v>
                </c:pt>
                <c:pt idx="14">
                  <c:v>264.69413452148439</c:v>
                </c:pt>
                <c:pt idx="15">
                  <c:v>264.61366882324216</c:v>
                </c:pt>
                <c:pt idx="16">
                  <c:v>263.73548278808596</c:v>
                </c:pt>
                <c:pt idx="17">
                  <c:v>280.21379089355469</c:v>
                </c:pt>
                <c:pt idx="18">
                  <c:v>300.59199218750001</c:v>
                </c:pt>
                <c:pt idx="19">
                  <c:v>302.57966308593751</c:v>
                </c:pt>
                <c:pt idx="20">
                  <c:v>309.1713836669922</c:v>
                </c:pt>
                <c:pt idx="21">
                  <c:v>322.98800354003907</c:v>
                </c:pt>
                <c:pt idx="22">
                  <c:v>302.68827819824219</c:v>
                </c:pt>
                <c:pt idx="23">
                  <c:v>276.67300415039063</c:v>
                </c:pt>
                <c:pt idx="24">
                  <c:v>269.3613311767578</c:v>
                </c:pt>
                <c:pt idx="25">
                  <c:v>268.41703491210939</c:v>
                </c:pt>
                <c:pt idx="26">
                  <c:v>267.35799560546877</c:v>
                </c:pt>
                <c:pt idx="27">
                  <c:v>274.7709930419922</c:v>
                </c:pt>
                <c:pt idx="28">
                  <c:v>276.39100341796876</c:v>
                </c:pt>
                <c:pt idx="29">
                  <c:v>304.04758911132814</c:v>
                </c:pt>
                <c:pt idx="30">
                  <c:v>322.07866210937499</c:v>
                </c:pt>
                <c:pt idx="31">
                  <c:v>336.22137756347655</c:v>
                </c:pt>
                <c:pt idx="32">
                  <c:v>338.60896606445311</c:v>
                </c:pt>
                <c:pt idx="33">
                  <c:v>333.89800415039065</c:v>
                </c:pt>
                <c:pt idx="34">
                  <c:v>311.88551940917966</c:v>
                </c:pt>
                <c:pt idx="35">
                  <c:v>285.23896789550781</c:v>
                </c:pt>
                <c:pt idx="36">
                  <c:v>264.69233093261721</c:v>
                </c:pt>
                <c:pt idx="37">
                  <c:v>258.09356994628905</c:v>
                </c:pt>
                <c:pt idx="38">
                  <c:v>256.07233276367185</c:v>
                </c:pt>
                <c:pt idx="39">
                  <c:v>260.31965026855471</c:v>
                </c:pt>
                <c:pt idx="40">
                  <c:v>270.16033325195315</c:v>
                </c:pt>
                <c:pt idx="41">
                  <c:v>287.88138122558593</c:v>
                </c:pt>
                <c:pt idx="42">
                  <c:v>296.23799743652341</c:v>
                </c:pt>
                <c:pt idx="43">
                  <c:v>317.72699584960935</c:v>
                </c:pt>
                <c:pt idx="44">
                  <c:v>318.44307556152341</c:v>
                </c:pt>
                <c:pt idx="45">
                  <c:v>312.5816650390625</c:v>
                </c:pt>
                <c:pt idx="46">
                  <c:v>295.6693115234375</c:v>
                </c:pt>
                <c:pt idx="47">
                  <c:v>268.33285827636718</c:v>
                </c:pt>
                <c:pt idx="48">
                  <c:v>260.96014099121095</c:v>
                </c:pt>
                <c:pt idx="49">
                  <c:v>262.87847290039065</c:v>
                </c:pt>
                <c:pt idx="50">
                  <c:v>255.78800201416016</c:v>
                </c:pt>
                <c:pt idx="51">
                  <c:v>248.75885925292968</c:v>
                </c:pt>
                <c:pt idx="52">
                  <c:v>270.71257019042969</c:v>
                </c:pt>
                <c:pt idx="53">
                  <c:v>293.30494079589846</c:v>
                </c:pt>
                <c:pt idx="54">
                  <c:v>321.41856079101564</c:v>
                </c:pt>
                <c:pt idx="55">
                  <c:v>347.2141052246094</c:v>
                </c:pt>
                <c:pt idx="56">
                  <c:v>333.00227661132811</c:v>
                </c:pt>
                <c:pt idx="57">
                  <c:v>334.7172912597656</c:v>
                </c:pt>
                <c:pt idx="58">
                  <c:v>321.18887634277343</c:v>
                </c:pt>
                <c:pt idx="59">
                  <c:v>284.97966613769529</c:v>
                </c:pt>
                <c:pt idx="60">
                  <c:v>276.86956787109375</c:v>
                </c:pt>
                <c:pt idx="61">
                  <c:v>276.19099731445311</c:v>
                </c:pt>
                <c:pt idx="62">
                  <c:v>267.03107910156251</c:v>
                </c:pt>
                <c:pt idx="63">
                  <c:v>273.69649963378907</c:v>
                </c:pt>
                <c:pt idx="64">
                  <c:v>283.02336730957029</c:v>
                </c:pt>
                <c:pt idx="65">
                  <c:v>304.49388427734374</c:v>
                </c:pt>
                <c:pt idx="66">
                  <c:v>315.70932922363284</c:v>
                </c:pt>
                <c:pt idx="67">
                  <c:v>327.65841064453127</c:v>
                </c:pt>
                <c:pt idx="68">
                  <c:v>323.32211303710937</c:v>
                </c:pt>
                <c:pt idx="69">
                  <c:v>315.68985900878909</c:v>
                </c:pt>
                <c:pt idx="70">
                  <c:v>317.27904052734374</c:v>
                </c:pt>
                <c:pt idx="71">
                  <c:v>295.47804565429686</c:v>
                </c:pt>
                <c:pt idx="72">
                  <c:v>271.02817993164064</c:v>
                </c:pt>
                <c:pt idx="73">
                  <c:v>269.89076232910156</c:v>
                </c:pt>
                <c:pt idx="74">
                  <c:v>275.57231750488279</c:v>
                </c:pt>
                <c:pt idx="75">
                  <c:v>272.13042602539065</c:v>
                </c:pt>
                <c:pt idx="76">
                  <c:v>272.53790588378905</c:v>
                </c:pt>
                <c:pt idx="77">
                  <c:v>302.05292968750001</c:v>
                </c:pt>
                <c:pt idx="78">
                  <c:v>315.23300170898437</c:v>
                </c:pt>
                <c:pt idx="79">
                  <c:v>342.3715789794922</c:v>
                </c:pt>
                <c:pt idx="80">
                  <c:v>322.62105102539061</c:v>
                </c:pt>
                <c:pt idx="81">
                  <c:v>330.04158325195311</c:v>
                </c:pt>
                <c:pt idx="82">
                  <c:v>302.4610534667969</c:v>
                </c:pt>
                <c:pt idx="83">
                  <c:v>275.20909118652344</c:v>
                </c:pt>
                <c:pt idx="84">
                  <c:v>266.16708679199218</c:v>
                </c:pt>
                <c:pt idx="85">
                  <c:v>267.49636230468752</c:v>
                </c:pt>
                <c:pt idx="86">
                  <c:v>256.75583496093748</c:v>
                </c:pt>
                <c:pt idx="87">
                  <c:v>263.54458312988282</c:v>
                </c:pt>
                <c:pt idx="88">
                  <c:v>272.38249816894529</c:v>
                </c:pt>
                <c:pt idx="89">
                  <c:v>283.62208251953126</c:v>
                </c:pt>
                <c:pt idx="90">
                  <c:v>299.54708251953127</c:v>
                </c:pt>
                <c:pt idx="91">
                  <c:v>325.8437469482422</c:v>
                </c:pt>
                <c:pt idx="92">
                  <c:v>312.9752166748047</c:v>
                </c:pt>
                <c:pt idx="93">
                  <c:v>324.42916870117187</c:v>
                </c:pt>
                <c:pt idx="94">
                  <c:v>305.07791442871093</c:v>
                </c:pt>
                <c:pt idx="95">
                  <c:v>299.54791259765625</c:v>
                </c:pt>
                <c:pt idx="96">
                  <c:v>273.02083129882811</c:v>
                </c:pt>
                <c:pt idx="97">
                  <c:v>274.34954528808595</c:v>
                </c:pt>
                <c:pt idx="98">
                  <c:v>277.11833190917969</c:v>
                </c:pt>
                <c:pt idx="99">
                  <c:v>274.73956604003905</c:v>
                </c:pt>
                <c:pt idx="100">
                  <c:v>270.27499694824218</c:v>
                </c:pt>
                <c:pt idx="101">
                  <c:v>288.72739257812498</c:v>
                </c:pt>
                <c:pt idx="102">
                  <c:v>293.89840087890627</c:v>
                </c:pt>
                <c:pt idx="103">
                  <c:v>287.79458312988282</c:v>
                </c:pt>
                <c:pt idx="104">
                  <c:v>313.27125244140626</c:v>
                </c:pt>
                <c:pt idx="105">
                  <c:v>310.8991729736328</c:v>
                </c:pt>
                <c:pt idx="106">
                  <c:v>308.35956420898435</c:v>
                </c:pt>
                <c:pt idx="107">
                  <c:v>279.85791931152346</c:v>
                </c:pt>
                <c:pt idx="120">
                  <c:v>269.49833068847659</c:v>
                </c:pt>
                <c:pt idx="121">
                  <c:v>270.11952209472656</c:v>
                </c:pt>
                <c:pt idx="122">
                  <c:v>265.48199768066405</c:v>
                </c:pt>
                <c:pt idx="123">
                  <c:v>272.27045288085935</c:v>
                </c:pt>
                <c:pt idx="124">
                  <c:v>280.18391113281251</c:v>
                </c:pt>
                <c:pt idx="125">
                  <c:v>291.24391479492186</c:v>
                </c:pt>
                <c:pt idx="126">
                  <c:v>316.90958557128909</c:v>
                </c:pt>
                <c:pt idx="127">
                  <c:v>314.72167053222654</c:v>
                </c:pt>
                <c:pt idx="128">
                  <c:v>314.04083557128905</c:v>
                </c:pt>
                <c:pt idx="129">
                  <c:v>332.149169921875</c:v>
                </c:pt>
                <c:pt idx="130">
                  <c:v>297.03916625976564</c:v>
                </c:pt>
                <c:pt idx="131">
                  <c:v>290.18583068847659</c:v>
                </c:pt>
                <c:pt idx="132">
                  <c:v>277.42291259765625</c:v>
                </c:pt>
                <c:pt idx="133">
                  <c:v>268.07478637695311</c:v>
                </c:pt>
                <c:pt idx="134">
                  <c:v>265.40400085449221</c:v>
                </c:pt>
                <c:pt idx="135">
                  <c:v>277.66957092285156</c:v>
                </c:pt>
                <c:pt idx="136">
                  <c:v>281.13136291503906</c:v>
                </c:pt>
                <c:pt idx="137">
                  <c:v>286.38857116699216</c:v>
                </c:pt>
                <c:pt idx="138">
                  <c:v>318.6633331298828</c:v>
                </c:pt>
                <c:pt idx="139">
                  <c:v>314.78719787597657</c:v>
                </c:pt>
                <c:pt idx="140">
                  <c:v>302.98391113281252</c:v>
                </c:pt>
                <c:pt idx="141">
                  <c:v>322.78666381835939</c:v>
                </c:pt>
                <c:pt idx="142">
                  <c:v>286.93434753417966</c:v>
                </c:pt>
                <c:pt idx="143">
                  <c:v>284.79874877929689</c:v>
                </c:pt>
              </c:numCache>
            </c:numRef>
          </c:yVal>
          <c:smooth val="0"/>
          <c:extLst xmlns:c16r2="http://schemas.microsoft.com/office/drawing/2015/06/chart">
            <c:ext xmlns:c16="http://schemas.microsoft.com/office/drawing/2014/chart" uri="{C3380CC4-5D6E-409C-BE32-E72D297353CC}">
              <c16:uniqueId val="{00000000-39A7-4820-AD59-8969393987D3}"/>
            </c:ext>
          </c:extLst>
        </c:ser>
        <c:dLbls>
          <c:showLegendKey val="0"/>
          <c:showVal val="0"/>
          <c:showCatName val="0"/>
          <c:showSerName val="0"/>
          <c:showPercent val="0"/>
          <c:showBubbleSize val="0"/>
        </c:dLbls>
        <c:axId val="277629152"/>
        <c:axId val="277629544"/>
      </c:scatterChart>
      <c:valAx>
        <c:axId val="277629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Big Meadows (ppb)</a:t>
                </a:r>
              </a:p>
            </c:rich>
          </c:tx>
          <c:layout>
            <c:manualLayout>
              <c:xMode val="edge"/>
              <c:yMode val="edge"/>
              <c:x val="0.45895434479735758"/>
              <c:y val="0.9089032988523493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77629544"/>
        <c:crosses val="autoZero"/>
        <c:crossBetween val="midCat"/>
      </c:valAx>
      <c:valAx>
        <c:axId val="277629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OMI (DU)</a:t>
                </a:r>
              </a:p>
            </c:rich>
          </c:tx>
          <c:layout>
            <c:manualLayout>
              <c:xMode val="edge"/>
              <c:yMode val="edge"/>
              <c:x val="5.3226115746466088E-2"/>
              <c:y val="0.3808532756934794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77629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OMI Monthly Ozone Average over Shenandoah</a:t>
            </a:r>
          </a:p>
        </c:rich>
      </c:tx>
      <c:layout>
        <c:manualLayout>
          <c:xMode val="edge"/>
          <c:yMode val="edge"/>
          <c:x val="0.23055017161316374"/>
          <c:y val="3.32778702163061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'OMI Monthly Ozone'!$F$2</c:f>
              <c:strCache>
                <c:ptCount val="1"/>
                <c:pt idx="0">
                  <c:v>Jan</c:v>
                </c:pt>
              </c:strCache>
            </c:strRef>
          </c:tx>
          <c:spPr>
            <a:solidFill>
              <a:schemeClr val="accent1"/>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Ozone'!$G$2:$R$2</c:f>
              <c:numCache>
                <c:formatCode>0.00</c:formatCode>
                <c:ptCount val="11"/>
                <c:pt idx="0">
                  <c:v>269.58566284179687</c:v>
                </c:pt>
                <c:pt idx="1">
                  <c:v>271.99400329589844</c:v>
                </c:pt>
                <c:pt idx="2">
                  <c:v>269.3613311767578</c:v>
                </c:pt>
                <c:pt idx="3">
                  <c:v>264.69233093261721</c:v>
                </c:pt>
                <c:pt idx="4">
                  <c:v>260.96014099121095</c:v>
                </c:pt>
                <c:pt idx="5">
                  <c:v>276.86956787109375</c:v>
                </c:pt>
                <c:pt idx="6">
                  <c:v>271.02817993164064</c:v>
                </c:pt>
                <c:pt idx="7">
                  <c:v>266.16708679199218</c:v>
                </c:pt>
                <c:pt idx="8">
                  <c:v>273.02083129882811</c:v>
                </c:pt>
                <c:pt idx="9">
                  <c:v>269.49833068847659</c:v>
                </c:pt>
                <c:pt idx="10">
                  <c:v>277.42291259765625</c:v>
                </c:pt>
              </c:numCache>
            </c:numRef>
          </c:val>
          <c:extLst xmlns:c16r2="http://schemas.microsoft.com/office/drawing/2015/06/chart">
            <c:ext xmlns:c16="http://schemas.microsoft.com/office/drawing/2014/chart" uri="{C3380CC4-5D6E-409C-BE32-E72D297353CC}">
              <c16:uniqueId val="{00000000-29EA-4E0F-AAF3-71E94BDA10DA}"/>
            </c:ext>
          </c:extLst>
        </c:ser>
        <c:ser>
          <c:idx val="1"/>
          <c:order val="1"/>
          <c:tx>
            <c:strRef>
              <c:f>'OMI Monthly Ozone'!$F$3</c:f>
              <c:strCache>
                <c:ptCount val="1"/>
                <c:pt idx="0">
                  <c:v>Feb</c:v>
                </c:pt>
              </c:strCache>
            </c:strRef>
          </c:tx>
          <c:spPr>
            <a:solidFill>
              <a:schemeClr val="accent2"/>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Ozone'!$G$3:$R$3</c:f>
              <c:numCache>
                <c:formatCode>0.00</c:formatCode>
                <c:ptCount val="11"/>
                <c:pt idx="0">
                  <c:v>261.76925659179687</c:v>
                </c:pt>
                <c:pt idx="1">
                  <c:v>260.33499755859373</c:v>
                </c:pt>
                <c:pt idx="2">
                  <c:v>268.41703491210939</c:v>
                </c:pt>
                <c:pt idx="3">
                  <c:v>258.09356994628905</c:v>
                </c:pt>
                <c:pt idx="4">
                  <c:v>262.87847290039065</c:v>
                </c:pt>
                <c:pt idx="5">
                  <c:v>276.19099731445311</c:v>
                </c:pt>
                <c:pt idx="6">
                  <c:v>269.89076232910156</c:v>
                </c:pt>
                <c:pt idx="7">
                  <c:v>267.49636230468752</c:v>
                </c:pt>
                <c:pt idx="8">
                  <c:v>274.34954528808595</c:v>
                </c:pt>
                <c:pt idx="9">
                  <c:v>270.11952209472656</c:v>
                </c:pt>
                <c:pt idx="10">
                  <c:v>268.07478637695311</c:v>
                </c:pt>
              </c:numCache>
            </c:numRef>
          </c:val>
          <c:extLst xmlns:c16r2="http://schemas.microsoft.com/office/drawing/2015/06/chart">
            <c:ext xmlns:c16="http://schemas.microsoft.com/office/drawing/2014/chart" uri="{C3380CC4-5D6E-409C-BE32-E72D297353CC}">
              <c16:uniqueId val="{00000001-29EA-4E0F-AAF3-71E94BDA10DA}"/>
            </c:ext>
          </c:extLst>
        </c:ser>
        <c:ser>
          <c:idx val="2"/>
          <c:order val="2"/>
          <c:tx>
            <c:strRef>
              <c:f>'OMI Monthly Ozone'!$F$4</c:f>
              <c:strCache>
                <c:ptCount val="1"/>
                <c:pt idx="0">
                  <c:v>Mar</c:v>
                </c:pt>
              </c:strCache>
            </c:strRef>
          </c:tx>
          <c:spPr>
            <a:solidFill>
              <a:schemeClr val="accent3"/>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Ozone'!$G$4:$R$4</c:f>
              <c:numCache>
                <c:formatCode>0.00</c:formatCode>
                <c:ptCount val="11"/>
                <c:pt idx="0">
                  <c:v>270.00533752441407</c:v>
                </c:pt>
                <c:pt idx="1">
                  <c:v>264.69413452148439</c:v>
                </c:pt>
                <c:pt idx="2">
                  <c:v>267.35799560546877</c:v>
                </c:pt>
                <c:pt idx="3">
                  <c:v>256.07233276367185</c:v>
                </c:pt>
                <c:pt idx="4">
                  <c:v>255.78800201416016</c:v>
                </c:pt>
                <c:pt idx="5">
                  <c:v>267.03107910156251</c:v>
                </c:pt>
                <c:pt idx="6">
                  <c:v>275.57231750488279</c:v>
                </c:pt>
                <c:pt idx="7">
                  <c:v>256.75583496093748</c:v>
                </c:pt>
                <c:pt idx="8">
                  <c:v>277.11833190917969</c:v>
                </c:pt>
                <c:pt idx="9">
                  <c:v>265.48199768066405</c:v>
                </c:pt>
                <c:pt idx="10">
                  <c:v>265.40400085449221</c:v>
                </c:pt>
              </c:numCache>
            </c:numRef>
          </c:val>
          <c:extLst xmlns:c16r2="http://schemas.microsoft.com/office/drawing/2015/06/chart">
            <c:ext xmlns:c16="http://schemas.microsoft.com/office/drawing/2014/chart" uri="{C3380CC4-5D6E-409C-BE32-E72D297353CC}">
              <c16:uniqueId val="{00000002-29EA-4E0F-AAF3-71E94BDA10DA}"/>
            </c:ext>
          </c:extLst>
        </c:ser>
        <c:ser>
          <c:idx val="3"/>
          <c:order val="3"/>
          <c:tx>
            <c:strRef>
              <c:f>'OMI Monthly Ozone'!$F$5</c:f>
              <c:strCache>
                <c:ptCount val="1"/>
                <c:pt idx="0">
                  <c:v>Apr</c:v>
                </c:pt>
              </c:strCache>
            </c:strRef>
          </c:tx>
          <c:spPr>
            <a:solidFill>
              <a:schemeClr val="accent4"/>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Ozone'!$G$5:$R$5</c:f>
              <c:numCache>
                <c:formatCode>0.00</c:formatCode>
                <c:ptCount val="11"/>
                <c:pt idx="0">
                  <c:v>264.64892578125</c:v>
                </c:pt>
                <c:pt idx="1">
                  <c:v>264.61366882324216</c:v>
                </c:pt>
                <c:pt idx="2">
                  <c:v>274.7709930419922</c:v>
                </c:pt>
                <c:pt idx="3">
                  <c:v>260.31965026855471</c:v>
                </c:pt>
                <c:pt idx="4">
                  <c:v>248.75885925292968</c:v>
                </c:pt>
                <c:pt idx="5">
                  <c:v>273.69649963378907</c:v>
                </c:pt>
                <c:pt idx="6">
                  <c:v>272.13042602539065</c:v>
                </c:pt>
                <c:pt idx="7">
                  <c:v>263.54458312988282</c:v>
                </c:pt>
                <c:pt idx="8">
                  <c:v>274.73956604003905</c:v>
                </c:pt>
                <c:pt idx="9">
                  <c:v>272.27045288085935</c:v>
                </c:pt>
                <c:pt idx="10">
                  <c:v>277.66957092285156</c:v>
                </c:pt>
              </c:numCache>
            </c:numRef>
          </c:val>
          <c:extLst xmlns:c16r2="http://schemas.microsoft.com/office/drawing/2015/06/chart">
            <c:ext xmlns:c16="http://schemas.microsoft.com/office/drawing/2014/chart" uri="{C3380CC4-5D6E-409C-BE32-E72D297353CC}">
              <c16:uniqueId val="{00000003-29EA-4E0F-AAF3-71E94BDA10DA}"/>
            </c:ext>
          </c:extLst>
        </c:ser>
        <c:ser>
          <c:idx val="4"/>
          <c:order val="4"/>
          <c:tx>
            <c:strRef>
              <c:f>'OMI Monthly Ozone'!$F$6</c:f>
              <c:strCache>
                <c:ptCount val="1"/>
                <c:pt idx="0">
                  <c:v>May</c:v>
                </c:pt>
              </c:strCache>
            </c:strRef>
          </c:tx>
          <c:spPr>
            <a:solidFill>
              <a:schemeClr val="accent5"/>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Ozone'!$G$6:$R$6</c:f>
              <c:numCache>
                <c:formatCode>0.00</c:formatCode>
                <c:ptCount val="11"/>
                <c:pt idx="0">
                  <c:v>294.58233337402345</c:v>
                </c:pt>
                <c:pt idx="1">
                  <c:v>263.73548278808596</c:v>
                </c:pt>
                <c:pt idx="2">
                  <c:v>276.39100341796876</c:v>
                </c:pt>
                <c:pt idx="3">
                  <c:v>270.16033325195315</c:v>
                </c:pt>
                <c:pt idx="4">
                  <c:v>270.71257019042969</c:v>
                </c:pt>
                <c:pt idx="5">
                  <c:v>283.02336730957029</c:v>
                </c:pt>
                <c:pt idx="6">
                  <c:v>272.53790588378905</c:v>
                </c:pt>
                <c:pt idx="7">
                  <c:v>272.38249816894529</c:v>
                </c:pt>
                <c:pt idx="8">
                  <c:v>270.27499694824218</c:v>
                </c:pt>
                <c:pt idx="9">
                  <c:v>280.18391113281251</c:v>
                </c:pt>
                <c:pt idx="10">
                  <c:v>281.13136291503906</c:v>
                </c:pt>
              </c:numCache>
            </c:numRef>
          </c:val>
          <c:extLst xmlns:c16r2="http://schemas.microsoft.com/office/drawing/2015/06/chart">
            <c:ext xmlns:c16="http://schemas.microsoft.com/office/drawing/2014/chart" uri="{C3380CC4-5D6E-409C-BE32-E72D297353CC}">
              <c16:uniqueId val="{00000004-29EA-4E0F-AAF3-71E94BDA10DA}"/>
            </c:ext>
          </c:extLst>
        </c:ser>
        <c:ser>
          <c:idx val="5"/>
          <c:order val="5"/>
          <c:tx>
            <c:strRef>
              <c:f>'OMI Monthly Ozone'!$F$7</c:f>
              <c:strCache>
                <c:ptCount val="1"/>
                <c:pt idx="0">
                  <c:v>June</c:v>
                </c:pt>
              </c:strCache>
            </c:strRef>
          </c:tx>
          <c:spPr>
            <a:solidFill>
              <a:schemeClr val="accent6"/>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Ozone'!$G$7:$R$7</c:f>
              <c:numCache>
                <c:formatCode>0.00</c:formatCode>
                <c:ptCount val="11"/>
                <c:pt idx="0">
                  <c:v>291.24391479492186</c:v>
                </c:pt>
                <c:pt idx="1">
                  <c:v>280.21379089355469</c:v>
                </c:pt>
                <c:pt idx="2">
                  <c:v>304.04758911132814</c:v>
                </c:pt>
                <c:pt idx="3">
                  <c:v>287.88138122558593</c:v>
                </c:pt>
                <c:pt idx="4">
                  <c:v>293.30494079589846</c:v>
                </c:pt>
                <c:pt idx="5">
                  <c:v>304.49388427734374</c:v>
                </c:pt>
                <c:pt idx="6">
                  <c:v>302.05292968750001</c:v>
                </c:pt>
                <c:pt idx="7">
                  <c:v>283.62208251953126</c:v>
                </c:pt>
                <c:pt idx="8">
                  <c:v>288.72739257812498</c:v>
                </c:pt>
                <c:pt idx="9">
                  <c:v>291.24391479492186</c:v>
                </c:pt>
                <c:pt idx="10">
                  <c:v>286.38857116699216</c:v>
                </c:pt>
              </c:numCache>
            </c:numRef>
          </c:val>
          <c:extLst xmlns:c16r2="http://schemas.microsoft.com/office/drawing/2015/06/chart">
            <c:ext xmlns:c16="http://schemas.microsoft.com/office/drawing/2014/chart" uri="{C3380CC4-5D6E-409C-BE32-E72D297353CC}">
              <c16:uniqueId val="{00000005-29EA-4E0F-AAF3-71E94BDA10DA}"/>
            </c:ext>
          </c:extLst>
        </c:ser>
        <c:ser>
          <c:idx val="6"/>
          <c:order val="6"/>
          <c:tx>
            <c:strRef>
              <c:f>'OMI Monthly Ozone'!$F$8</c:f>
              <c:strCache>
                <c:ptCount val="1"/>
                <c:pt idx="0">
                  <c:v>July</c:v>
                </c:pt>
              </c:strCache>
            </c:strRef>
          </c:tx>
          <c:spPr>
            <a:solidFill>
              <a:schemeClr val="accent1">
                <a:lumMod val="60000"/>
              </a:schemeClr>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Ozone'!$G$8:$R$8</c:f>
              <c:numCache>
                <c:formatCode>0.00</c:formatCode>
                <c:ptCount val="11"/>
                <c:pt idx="0">
                  <c:v>324.49333190917969</c:v>
                </c:pt>
                <c:pt idx="1">
                  <c:v>300.59199218750001</c:v>
                </c:pt>
                <c:pt idx="2">
                  <c:v>322.07866210937499</c:v>
                </c:pt>
                <c:pt idx="3">
                  <c:v>296.23799743652341</c:v>
                </c:pt>
                <c:pt idx="4">
                  <c:v>321.41856079101564</c:v>
                </c:pt>
                <c:pt idx="5">
                  <c:v>315.70932922363284</c:v>
                </c:pt>
                <c:pt idx="6">
                  <c:v>315.23300170898437</c:v>
                </c:pt>
                <c:pt idx="7">
                  <c:v>299.54708251953127</c:v>
                </c:pt>
                <c:pt idx="8">
                  <c:v>293.89840087890627</c:v>
                </c:pt>
                <c:pt idx="9">
                  <c:v>316.90958557128909</c:v>
                </c:pt>
                <c:pt idx="10">
                  <c:v>318.6633331298828</c:v>
                </c:pt>
              </c:numCache>
            </c:numRef>
          </c:val>
          <c:extLst xmlns:c16r2="http://schemas.microsoft.com/office/drawing/2015/06/chart">
            <c:ext xmlns:c16="http://schemas.microsoft.com/office/drawing/2014/chart" uri="{C3380CC4-5D6E-409C-BE32-E72D297353CC}">
              <c16:uniqueId val="{00000006-29EA-4E0F-AAF3-71E94BDA10DA}"/>
            </c:ext>
          </c:extLst>
        </c:ser>
        <c:ser>
          <c:idx val="7"/>
          <c:order val="7"/>
          <c:tx>
            <c:strRef>
              <c:f>'OMI Monthly Ozone'!$F$9</c:f>
              <c:strCache>
                <c:ptCount val="1"/>
                <c:pt idx="0">
                  <c:v>Aug</c:v>
                </c:pt>
              </c:strCache>
            </c:strRef>
          </c:tx>
          <c:spPr>
            <a:solidFill>
              <a:schemeClr val="accent2">
                <a:lumMod val="60000"/>
              </a:schemeClr>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Ozone'!$G$9:$R$9</c:f>
              <c:numCache>
                <c:formatCode>0.00</c:formatCode>
                <c:ptCount val="11"/>
                <c:pt idx="0">
                  <c:v>328.46644592285156</c:v>
                </c:pt>
                <c:pt idx="1">
                  <c:v>302.57966308593751</c:v>
                </c:pt>
                <c:pt idx="2">
                  <c:v>336.22137756347655</c:v>
                </c:pt>
                <c:pt idx="3">
                  <c:v>317.72699584960935</c:v>
                </c:pt>
                <c:pt idx="4">
                  <c:v>347.2141052246094</c:v>
                </c:pt>
                <c:pt idx="5">
                  <c:v>327.65841064453127</c:v>
                </c:pt>
                <c:pt idx="6">
                  <c:v>342.3715789794922</c:v>
                </c:pt>
                <c:pt idx="7">
                  <c:v>325.8437469482422</c:v>
                </c:pt>
                <c:pt idx="8">
                  <c:v>287.79458312988282</c:v>
                </c:pt>
                <c:pt idx="9">
                  <c:v>314.72167053222654</c:v>
                </c:pt>
                <c:pt idx="10">
                  <c:v>314.78719787597657</c:v>
                </c:pt>
              </c:numCache>
            </c:numRef>
          </c:val>
          <c:extLst xmlns:c16r2="http://schemas.microsoft.com/office/drawing/2015/06/chart">
            <c:ext xmlns:c16="http://schemas.microsoft.com/office/drawing/2014/chart" uri="{C3380CC4-5D6E-409C-BE32-E72D297353CC}">
              <c16:uniqueId val="{00000007-29EA-4E0F-AAF3-71E94BDA10DA}"/>
            </c:ext>
          </c:extLst>
        </c:ser>
        <c:ser>
          <c:idx val="8"/>
          <c:order val="8"/>
          <c:tx>
            <c:strRef>
              <c:f>'OMI Monthly Ozone'!$F$10</c:f>
              <c:strCache>
                <c:ptCount val="1"/>
                <c:pt idx="0">
                  <c:v>Sept</c:v>
                </c:pt>
              </c:strCache>
            </c:strRef>
          </c:tx>
          <c:spPr>
            <a:solidFill>
              <a:schemeClr val="accent3">
                <a:lumMod val="60000"/>
              </a:schemeClr>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Ozone'!$G$10:$R$10</c:f>
              <c:numCache>
                <c:formatCode>0.00</c:formatCode>
                <c:ptCount val="11"/>
                <c:pt idx="0">
                  <c:v>331.27655029296875</c:v>
                </c:pt>
                <c:pt idx="1">
                  <c:v>309.1713836669922</c:v>
                </c:pt>
                <c:pt idx="2">
                  <c:v>338.60896606445311</c:v>
                </c:pt>
                <c:pt idx="3">
                  <c:v>318.44307556152341</c:v>
                </c:pt>
                <c:pt idx="4">
                  <c:v>333.00227661132811</c:v>
                </c:pt>
                <c:pt idx="5">
                  <c:v>323.32211303710937</c:v>
                </c:pt>
                <c:pt idx="6">
                  <c:v>322.62105102539061</c:v>
                </c:pt>
                <c:pt idx="7">
                  <c:v>312.9752166748047</c:v>
                </c:pt>
                <c:pt idx="8">
                  <c:v>313.27125244140626</c:v>
                </c:pt>
                <c:pt idx="9">
                  <c:v>314.04083557128905</c:v>
                </c:pt>
                <c:pt idx="10">
                  <c:v>302.98391113281252</c:v>
                </c:pt>
              </c:numCache>
            </c:numRef>
          </c:val>
          <c:extLst xmlns:c16r2="http://schemas.microsoft.com/office/drawing/2015/06/chart">
            <c:ext xmlns:c16="http://schemas.microsoft.com/office/drawing/2014/chart" uri="{C3380CC4-5D6E-409C-BE32-E72D297353CC}">
              <c16:uniqueId val="{00000008-29EA-4E0F-AAF3-71E94BDA10DA}"/>
            </c:ext>
          </c:extLst>
        </c:ser>
        <c:ser>
          <c:idx val="9"/>
          <c:order val="9"/>
          <c:tx>
            <c:strRef>
              <c:f>'OMI Monthly Ozone'!$F$11</c:f>
              <c:strCache>
                <c:ptCount val="1"/>
                <c:pt idx="0">
                  <c:v>Oct</c:v>
                </c:pt>
              </c:strCache>
            </c:strRef>
          </c:tx>
          <c:spPr>
            <a:solidFill>
              <a:schemeClr val="accent4">
                <a:lumMod val="60000"/>
              </a:schemeClr>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Ozone'!$G$11:$R$11</c:f>
              <c:numCache>
                <c:formatCode>0.00</c:formatCode>
                <c:ptCount val="11"/>
                <c:pt idx="0">
                  <c:v>327.39033508300781</c:v>
                </c:pt>
                <c:pt idx="1">
                  <c:v>322.98800354003907</c:v>
                </c:pt>
                <c:pt idx="2">
                  <c:v>333.89800415039065</c:v>
                </c:pt>
                <c:pt idx="3">
                  <c:v>312.5816650390625</c:v>
                </c:pt>
                <c:pt idx="4">
                  <c:v>334.7172912597656</c:v>
                </c:pt>
                <c:pt idx="5">
                  <c:v>315.68985900878909</c:v>
                </c:pt>
                <c:pt idx="6">
                  <c:v>330.04158325195311</c:v>
                </c:pt>
                <c:pt idx="7">
                  <c:v>324.42916870117187</c:v>
                </c:pt>
                <c:pt idx="8">
                  <c:v>310.8991729736328</c:v>
                </c:pt>
                <c:pt idx="9">
                  <c:v>332.149169921875</c:v>
                </c:pt>
                <c:pt idx="10">
                  <c:v>322.78666381835939</c:v>
                </c:pt>
              </c:numCache>
            </c:numRef>
          </c:val>
          <c:extLst xmlns:c16r2="http://schemas.microsoft.com/office/drawing/2015/06/chart">
            <c:ext xmlns:c16="http://schemas.microsoft.com/office/drawing/2014/chart" uri="{C3380CC4-5D6E-409C-BE32-E72D297353CC}">
              <c16:uniqueId val="{00000009-29EA-4E0F-AAF3-71E94BDA10DA}"/>
            </c:ext>
          </c:extLst>
        </c:ser>
        <c:ser>
          <c:idx val="10"/>
          <c:order val="10"/>
          <c:tx>
            <c:strRef>
              <c:f>'OMI Monthly Ozone'!$F$12</c:f>
              <c:strCache>
                <c:ptCount val="1"/>
                <c:pt idx="0">
                  <c:v>Nov</c:v>
                </c:pt>
              </c:strCache>
            </c:strRef>
          </c:tx>
          <c:spPr>
            <a:solidFill>
              <a:schemeClr val="accent5">
                <a:lumMod val="60000"/>
              </a:schemeClr>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Ozone'!$G$12:$R$12</c:f>
              <c:numCache>
                <c:formatCode>0.00</c:formatCode>
                <c:ptCount val="11"/>
                <c:pt idx="0">
                  <c:v>309.0393096923828</c:v>
                </c:pt>
                <c:pt idx="1">
                  <c:v>302.68827819824219</c:v>
                </c:pt>
                <c:pt idx="2">
                  <c:v>311.88551940917966</c:v>
                </c:pt>
                <c:pt idx="3">
                  <c:v>295.6693115234375</c:v>
                </c:pt>
                <c:pt idx="4">
                  <c:v>321.18887634277343</c:v>
                </c:pt>
                <c:pt idx="5">
                  <c:v>317.27904052734374</c:v>
                </c:pt>
                <c:pt idx="6">
                  <c:v>302.4610534667969</c:v>
                </c:pt>
                <c:pt idx="7">
                  <c:v>305.07791442871093</c:v>
                </c:pt>
                <c:pt idx="8">
                  <c:v>308.35956420898435</c:v>
                </c:pt>
                <c:pt idx="9">
                  <c:v>297.03916625976564</c:v>
                </c:pt>
                <c:pt idx="10">
                  <c:v>286.93434753417966</c:v>
                </c:pt>
              </c:numCache>
            </c:numRef>
          </c:val>
          <c:extLst xmlns:c16r2="http://schemas.microsoft.com/office/drawing/2015/06/chart">
            <c:ext xmlns:c16="http://schemas.microsoft.com/office/drawing/2014/chart" uri="{C3380CC4-5D6E-409C-BE32-E72D297353CC}">
              <c16:uniqueId val="{0000000A-29EA-4E0F-AAF3-71E94BDA10DA}"/>
            </c:ext>
          </c:extLst>
        </c:ser>
        <c:ser>
          <c:idx val="11"/>
          <c:order val="11"/>
          <c:tx>
            <c:strRef>
              <c:f>'OMI Monthly Ozone'!$F$13</c:f>
              <c:strCache>
                <c:ptCount val="1"/>
                <c:pt idx="0">
                  <c:v>Dec</c:v>
                </c:pt>
              </c:strCache>
            </c:strRef>
          </c:tx>
          <c:spPr>
            <a:solidFill>
              <a:schemeClr val="accent6">
                <a:lumMod val="60000"/>
              </a:schemeClr>
            </a:solidFill>
            <a:ln>
              <a:noFill/>
            </a:ln>
            <a:effectLst/>
          </c:spPr>
          <c:invertIfNegative val="0"/>
          <c:cat>
            <c:numRef>
              <c:f>'OMI Monthly Ozone'!$G$1:$R$1</c:f>
              <c:numCache>
                <c:formatCode>General</c:formatCode>
                <c:ptCount val="11"/>
                <c:pt idx="0">
                  <c:v>2005</c:v>
                </c:pt>
                <c:pt idx="1">
                  <c:v>2006</c:v>
                </c:pt>
                <c:pt idx="2">
                  <c:v>2007</c:v>
                </c:pt>
                <c:pt idx="3">
                  <c:v>2008</c:v>
                </c:pt>
                <c:pt idx="4">
                  <c:v>2009</c:v>
                </c:pt>
                <c:pt idx="5">
                  <c:v>2010</c:v>
                </c:pt>
                <c:pt idx="6">
                  <c:v>2011</c:v>
                </c:pt>
                <c:pt idx="7">
                  <c:v>2012</c:v>
                </c:pt>
                <c:pt idx="8">
                  <c:v>2013</c:v>
                </c:pt>
                <c:pt idx="9">
                  <c:v>2015</c:v>
                </c:pt>
                <c:pt idx="10">
                  <c:v>2016</c:v>
                </c:pt>
              </c:numCache>
            </c:numRef>
          </c:cat>
          <c:val>
            <c:numRef>
              <c:f>'OMI Monthly Ozone'!$G$13:$R$13</c:f>
              <c:numCache>
                <c:formatCode>0.00</c:formatCode>
                <c:ptCount val="11"/>
                <c:pt idx="0">
                  <c:v>288.86299743652341</c:v>
                </c:pt>
                <c:pt idx="1">
                  <c:v>276.67300415039063</c:v>
                </c:pt>
                <c:pt idx="2">
                  <c:v>285.23896789550781</c:v>
                </c:pt>
                <c:pt idx="3">
                  <c:v>268.33285827636718</c:v>
                </c:pt>
                <c:pt idx="4">
                  <c:v>284.97966613769529</c:v>
                </c:pt>
                <c:pt idx="5">
                  <c:v>295.47804565429686</c:v>
                </c:pt>
                <c:pt idx="6">
                  <c:v>275.20909118652344</c:v>
                </c:pt>
                <c:pt idx="7">
                  <c:v>299.54791259765625</c:v>
                </c:pt>
                <c:pt idx="8">
                  <c:v>279.85791931152346</c:v>
                </c:pt>
                <c:pt idx="9">
                  <c:v>290.18583068847659</c:v>
                </c:pt>
                <c:pt idx="10">
                  <c:v>284.79874877929689</c:v>
                </c:pt>
              </c:numCache>
            </c:numRef>
          </c:val>
          <c:extLst xmlns:c16r2="http://schemas.microsoft.com/office/drawing/2015/06/chart">
            <c:ext xmlns:c16="http://schemas.microsoft.com/office/drawing/2014/chart" uri="{C3380CC4-5D6E-409C-BE32-E72D297353CC}">
              <c16:uniqueId val="{0000000B-29EA-4E0F-AAF3-71E94BDA10DA}"/>
            </c:ext>
          </c:extLst>
        </c:ser>
        <c:dLbls>
          <c:showLegendKey val="0"/>
          <c:showVal val="0"/>
          <c:showCatName val="0"/>
          <c:showSerName val="0"/>
          <c:showPercent val="0"/>
          <c:showBubbleSize val="0"/>
        </c:dLbls>
        <c:gapWidth val="219"/>
        <c:overlap val="-27"/>
        <c:axId val="277630328"/>
        <c:axId val="63202944"/>
      </c:barChart>
      <c:catAx>
        <c:axId val="27763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3202944"/>
        <c:crosses val="autoZero"/>
        <c:auto val="1"/>
        <c:lblAlgn val="ctr"/>
        <c:lblOffset val="100"/>
        <c:noMultiLvlLbl val="0"/>
      </c:catAx>
      <c:valAx>
        <c:axId val="6320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r>
                  <a:rPr lang="en-US" sz="1100"/>
                  <a:t>Ozone (DU)</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77630328"/>
        <c:crosses val="autoZero"/>
        <c:crossBetween val="between"/>
      </c:valAx>
      <c:spPr>
        <a:noFill/>
        <a:ln>
          <a:noFill/>
        </a:ln>
        <a:effectLst/>
      </c:spPr>
    </c:plotArea>
    <c:legend>
      <c:legendPos val="b"/>
      <c:layout>
        <c:manualLayout>
          <c:xMode val="edge"/>
          <c:yMode val="edge"/>
          <c:x val="0.12159516118177535"/>
          <c:y val="0.87167275887519047"/>
          <c:w val="0.79527104784978797"/>
          <c:h val="9.50493709085033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OMI NO</a:t>
            </a:r>
            <a:r>
              <a:rPr lang="en-US" baseline="-25000"/>
              <a:t>2</a:t>
            </a:r>
            <a:r>
              <a:rPr lang="en-US"/>
              <a:t> Correlation</a:t>
            </a:r>
          </a:p>
        </c:rich>
      </c:tx>
      <c:layout>
        <c:manualLayout>
          <c:xMode val="edge"/>
          <c:yMode val="edge"/>
          <c:x val="0.41591341947641158"/>
          <c:y val="3.0857394754242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scatterChart>
        <c:scatterStyle val="lineMarker"/>
        <c:varyColors val="0"/>
        <c:ser>
          <c:idx val="0"/>
          <c:order val="0"/>
          <c:tx>
            <c:v>Data Points</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Sheet1!$B$2:$EO$2</c:f>
              <c:numCache>
                <c:formatCode>General</c:formatCode>
                <c:ptCount val="144"/>
                <c:pt idx="0">
                  <c:v>9545491908290150</c:v>
                </c:pt>
                <c:pt idx="1">
                  <c:v>9549011687676314</c:v>
                </c:pt>
                <c:pt idx="2">
                  <c:v>6239537844767949</c:v>
                </c:pt>
                <c:pt idx="3">
                  <c:v>4868287743236506</c:v>
                </c:pt>
                <c:pt idx="4">
                  <c:v>1564479928559206.5</c:v>
                </c:pt>
                <c:pt idx="5">
                  <c:v>2194862546249318.5</c:v>
                </c:pt>
                <c:pt idx="6">
                  <c:v>1405502613356544</c:v>
                </c:pt>
                <c:pt idx="7">
                  <c:v>1647116817321164.7</c:v>
                </c:pt>
                <c:pt idx="8">
                  <c:v>1800396589970227.2</c:v>
                </c:pt>
                <c:pt idx="9">
                  <c:v>5927654821724160</c:v>
                </c:pt>
                <c:pt idx="10">
                  <c:v>4270344382709760</c:v>
                </c:pt>
                <c:pt idx="11">
                  <c:v>9552058161666458</c:v>
                </c:pt>
                <c:pt idx="12">
                  <c:v>6374359820979405</c:v>
                </c:pt>
                <c:pt idx="13">
                  <c:v>6889441343832064</c:v>
                </c:pt>
                <c:pt idx="14">
                  <c:v>4735388033325466</c:v>
                </c:pt>
                <c:pt idx="15">
                  <c:v>3086625411380019</c:v>
                </c:pt>
                <c:pt idx="16">
                  <c:v>1843448858961510.5</c:v>
                </c:pt>
                <c:pt idx="17">
                  <c:v>1635449525239808</c:v>
                </c:pt>
                <c:pt idx="18">
                  <c:v>1556361017661849.5</c:v>
                </c:pt>
                <c:pt idx="19">
                  <c:v>1680105816876646.5</c:v>
                </c:pt>
                <c:pt idx="20">
                  <c:v>1749176715889868.7</c:v>
                </c:pt>
                <c:pt idx="21">
                  <c:v>3423131857741414.5</c:v>
                </c:pt>
                <c:pt idx="22">
                  <c:v>5792514964245709</c:v>
                </c:pt>
                <c:pt idx="23">
                  <c:v>4716588639348326</c:v>
                </c:pt>
                <c:pt idx="24">
                  <c:v>5189569147935130</c:v>
                </c:pt>
                <c:pt idx="25">
                  <c:v>7778658273145651</c:v>
                </c:pt>
                <c:pt idx="26">
                  <c:v>3832130748547072</c:v>
                </c:pt>
                <c:pt idx="27">
                  <c:v>3196317775534489.5</c:v>
                </c:pt>
                <c:pt idx="28">
                  <c:v>1636566095940812.7</c:v>
                </c:pt>
                <c:pt idx="29">
                  <c:v>1282150052030054.5</c:v>
                </c:pt>
                <c:pt idx="30">
                  <c:v>1522741637703270.5</c:v>
                </c:pt>
                <c:pt idx="31">
                  <c:v>1727433027878912</c:v>
                </c:pt>
                <c:pt idx="32">
                  <c:v>1637125461744025.5</c:v>
                </c:pt>
                <c:pt idx="33">
                  <c:v>2726490873528320</c:v>
                </c:pt>
                <c:pt idx="34">
                  <c:v>5889686559208243</c:v>
                </c:pt>
                <c:pt idx="35">
                  <c:v>5720615547410842</c:v>
                </c:pt>
                <c:pt idx="36">
                  <c:v>4266780338316902.5</c:v>
                </c:pt>
                <c:pt idx="37">
                  <c:v>5252422263059251</c:v>
                </c:pt>
                <c:pt idx="38">
                  <c:v>3428144755664486.5</c:v>
                </c:pt>
                <c:pt idx="39">
                  <c:v>2320592197491097.5</c:v>
                </c:pt>
                <c:pt idx="40">
                  <c:v>1193460024265932.7</c:v>
                </c:pt>
                <c:pt idx="41">
                  <c:v>1093963308492390.4</c:v>
                </c:pt>
                <c:pt idx="42">
                  <c:v>1577735848512716.7</c:v>
                </c:pt>
                <c:pt idx="43">
                  <c:v>1492619367756595.2</c:v>
                </c:pt>
                <c:pt idx="44">
                  <c:v>1619516511905382.5</c:v>
                </c:pt>
                <c:pt idx="45">
                  <c:v>2644488794354483</c:v>
                </c:pt>
                <c:pt idx="46">
                  <c:v>4934487738469581</c:v>
                </c:pt>
                <c:pt idx="47">
                  <c:v>4944930629327258</c:v>
                </c:pt>
                <c:pt idx="48">
                  <c:v>3901367393032601.5</c:v>
                </c:pt>
                <c:pt idx="49">
                  <c:v>4014045350015795</c:v>
                </c:pt>
                <c:pt idx="50">
                  <c:v>3241123035427635</c:v>
                </c:pt>
                <c:pt idx="51">
                  <c:v>2317816199066419</c:v>
                </c:pt>
                <c:pt idx="52">
                  <c:v>797789296105881.62</c:v>
                </c:pt>
                <c:pt idx="53">
                  <c:v>1152515335992115.2</c:v>
                </c:pt>
                <c:pt idx="54">
                  <c:v>1366781194770841.5</c:v>
                </c:pt>
                <c:pt idx="55">
                  <c:v>1610418469260492.7</c:v>
                </c:pt>
                <c:pt idx="56">
                  <c:v>1619053675492147.2</c:v>
                </c:pt>
                <c:pt idx="57">
                  <c:v>2514086272381747</c:v>
                </c:pt>
                <c:pt idx="58">
                  <c:v>3906980136825651</c:v>
                </c:pt>
                <c:pt idx="59">
                  <c:v>6950270160338944</c:v>
                </c:pt>
                <c:pt idx="60">
                  <c:v>6259990586405683</c:v>
                </c:pt>
                <c:pt idx="61">
                  <c:v>1.010596812161024E+16</c:v>
                </c:pt>
                <c:pt idx="62">
                  <c:v>3782775534518272</c:v>
                </c:pt>
                <c:pt idx="63">
                  <c:v>1801425060154572.7</c:v>
                </c:pt>
                <c:pt idx="64">
                  <c:v>1130727013875712</c:v>
                </c:pt>
                <c:pt idx="65">
                  <c:v>1354948472628838.5</c:v>
                </c:pt>
                <c:pt idx="66">
                  <c:v>1447674454317465.5</c:v>
                </c:pt>
                <c:pt idx="67">
                  <c:v>1481614990455603.2</c:v>
                </c:pt>
                <c:pt idx="68">
                  <c:v>1755064981834956.7</c:v>
                </c:pt>
                <c:pt idx="69">
                  <c:v>3505638877429760</c:v>
                </c:pt>
                <c:pt idx="70">
                  <c:v>2810485629622681.5</c:v>
                </c:pt>
                <c:pt idx="71">
                  <c:v>5845590935286579</c:v>
                </c:pt>
                <c:pt idx="72">
                  <c:v>4620794869894349</c:v>
                </c:pt>
                <c:pt idx="73">
                  <c:v>3429925663853773</c:v>
                </c:pt>
                <c:pt idx="74">
                  <c:v>2717700686086144</c:v>
                </c:pt>
                <c:pt idx="75">
                  <c:v>1886835920653516.7</c:v>
                </c:pt>
                <c:pt idx="76">
                  <c:v>1133768125867622.5</c:v>
                </c:pt>
                <c:pt idx="77">
                  <c:v>1093186597211340.7</c:v>
                </c:pt>
                <c:pt idx="78">
                  <c:v>1337752920103321.5</c:v>
                </c:pt>
                <c:pt idx="79">
                  <c:v>1671590896572825.5</c:v>
                </c:pt>
                <c:pt idx="80">
                  <c:v>1528017575529676.7</c:v>
                </c:pt>
                <c:pt idx="81">
                  <c:v>2973628392013824</c:v>
                </c:pt>
                <c:pt idx="82">
                  <c:v>4957728101787238</c:v>
                </c:pt>
                <c:pt idx="83">
                  <c:v>3902404278668493</c:v>
                </c:pt>
                <c:pt idx="84">
                  <c:v>3988822215045939</c:v>
                </c:pt>
                <c:pt idx="85">
                  <c:v>3354024813894041.5</c:v>
                </c:pt>
                <c:pt idx="86">
                  <c:v>2266558502430310.5</c:v>
                </c:pt>
                <c:pt idx="87">
                  <c:v>2148079883413094.5</c:v>
                </c:pt>
                <c:pt idx="88">
                  <c:v>1452233146027212.7</c:v>
                </c:pt>
                <c:pt idx="89">
                  <c:v>1221633660839526.5</c:v>
                </c:pt>
                <c:pt idx="90">
                  <c:v>1687404053476147.2</c:v>
                </c:pt>
                <c:pt idx="91">
                  <c:v>1696723072188416</c:v>
                </c:pt>
                <c:pt idx="92">
                  <c:v>1610240644192665.5</c:v>
                </c:pt>
                <c:pt idx="93">
                  <c:v>2723634720276480</c:v>
                </c:pt>
                <c:pt idx="94">
                  <c:v>3206633213237657.5</c:v>
                </c:pt>
                <c:pt idx="95">
                  <c:v>5133960193087898</c:v>
                </c:pt>
                <c:pt idx="96">
                  <c:v>3946393360557670.5</c:v>
                </c:pt>
                <c:pt idx="97">
                  <c:v>3884241237783347</c:v>
                </c:pt>
                <c:pt idx="98">
                  <c:v>3420903923987251</c:v>
                </c:pt>
                <c:pt idx="99">
                  <c:v>2225846775866982.5</c:v>
                </c:pt>
                <c:pt idx="100">
                  <c:v>1390844668438118.5</c:v>
                </c:pt>
                <c:pt idx="101">
                  <c:v>1014411031687987.2</c:v>
                </c:pt>
                <c:pt idx="102">
                  <c:v>1277666609489510.5</c:v>
                </c:pt>
                <c:pt idx="103">
                  <c:v>1299648809114009.5</c:v>
                </c:pt>
                <c:pt idx="104">
                  <c:v>1415835418833715.2</c:v>
                </c:pt>
                <c:pt idx="105">
                  <c:v>3006961485558579</c:v>
                </c:pt>
                <c:pt idx="106">
                  <c:v>4528405130457907</c:v>
                </c:pt>
                <c:pt idx="107">
                  <c:v>4508195054472397</c:v>
                </c:pt>
                <c:pt idx="108">
                  <c:v>4405231105553203</c:v>
                </c:pt>
                <c:pt idx="109">
                  <c:v>5840853532672000</c:v>
                </c:pt>
                <c:pt idx="110">
                  <c:v>3558420025809305.5</c:v>
                </c:pt>
                <c:pt idx="111">
                  <c:v>1844022465265664</c:v>
                </c:pt>
                <c:pt idx="112">
                  <c:v>949750426553548.75</c:v>
                </c:pt>
                <c:pt idx="113">
                  <c:v>978281679552512</c:v>
                </c:pt>
                <c:pt idx="114">
                  <c:v>1140634040454348.7</c:v>
                </c:pt>
                <c:pt idx="115">
                  <c:v>1197031866708787.2</c:v>
                </c:pt>
                <c:pt idx="116">
                  <c:v>1556959642150502.5</c:v>
                </c:pt>
                <c:pt idx="117">
                  <c:v>3139264074219520</c:v>
                </c:pt>
                <c:pt idx="118">
                  <c:v>4975140382389043</c:v>
                </c:pt>
                <c:pt idx="119">
                  <c:v>4888415785346662</c:v>
                </c:pt>
                <c:pt idx="120">
                  <c:v>5150885236493517</c:v>
                </c:pt>
                <c:pt idx="121">
                  <c:v>6125448695749018</c:v>
                </c:pt>
                <c:pt idx="122">
                  <c:v>2937457680685465.5</c:v>
                </c:pt>
                <c:pt idx="123">
                  <c:v>2333147232468992</c:v>
                </c:pt>
                <c:pt idx="124">
                  <c:v>1161870606912716.7</c:v>
                </c:pt>
                <c:pt idx="125">
                  <c:v>1007854233950617.6</c:v>
                </c:pt>
                <c:pt idx="126">
                  <c:v>1036624253576806.4</c:v>
                </c:pt>
                <c:pt idx="127">
                  <c:v>1392423350776627.2</c:v>
                </c:pt>
                <c:pt idx="128">
                  <c:v>1566683005190144</c:v>
                </c:pt>
                <c:pt idx="129">
                  <c:v>2615792265645261</c:v>
                </c:pt>
                <c:pt idx="130">
                  <c:v>2775999082345267</c:v>
                </c:pt>
                <c:pt idx="131">
                  <c:v>3924004662411264</c:v>
                </c:pt>
                <c:pt idx="132">
                  <c:v>3571705943425024</c:v>
                </c:pt>
                <c:pt idx="133">
                  <c:v>5224394594975744</c:v>
                </c:pt>
                <c:pt idx="134">
                  <c:v>2183014691058483.2</c:v>
                </c:pt>
                <c:pt idx="135">
                  <c:v>2023550152081408</c:v>
                </c:pt>
                <c:pt idx="136">
                  <c:v>1150089310293196.7</c:v>
                </c:pt>
                <c:pt idx="137">
                  <c:v>820323845301862.37</c:v>
                </c:pt>
                <c:pt idx="138">
                  <c:v>1559277461517107.2</c:v>
                </c:pt>
                <c:pt idx="139">
                  <c:v>1226706621195878.5</c:v>
                </c:pt>
                <c:pt idx="140">
                  <c:v>1511187773023846.5</c:v>
                </c:pt>
                <c:pt idx="141">
                  <c:v>1849437439236505.5</c:v>
                </c:pt>
                <c:pt idx="142">
                  <c:v>3987784094606950.5</c:v>
                </c:pt>
                <c:pt idx="143">
                  <c:v>4622944205746995</c:v>
                </c:pt>
              </c:numCache>
            </c:numRef>
          </c:xVal>
          <c:yVal>
            <c:numRef>
              <c:f>Sheet1!$B$3:$EO$3</c:f>
              <c:numCache>
                <c:formatCode>General</c:formatCode>
                <c:ptCount val="144"/>
                <c:pt idx="0">
                  <c:v>1.1653390131213108E+16</c:v>
                </c:pt>
                <c:pt idx="1">
                  <c:v>1.1593860273877812E+16</c:v>
                </c:pt>
                <c:pt idx="2">
                  <c:v>8669864899746202</c:v>
                </c:pt>
                <c:pt idx="3">
                  <c:v>7799687560455782</c:v>
                </c:pt>
                <c:pt idx="4">
                  <c:v>4884326895950234</c:v>
                </c:pt>
                <c:pt idx="5">
                  <c:v>5284462799618048</c:v>
                </c:pt>
                <c:pt idx="6">
                  <c:v>4589976385748992</c:v>
                </c:pt>
                <c:pt idx="7">
                  <c:v>4586820282718618</c:v>
                </c:pt>
                <c:pt idx="8">
                  <c:v>4460788520792883</c:v>
                </c:pt>
                <c:pt idx="9">
                  <c:v>8212562337123533</c:v>
                </c:pt>
                <c:pt idx="10">
                  <c:v>6324516564448051</c:v>
                </c:pt>
                <c:pt idx="11">
                  <c:v>1.1421558319244902E+16</c:v>
                </c:pt>
                <c:pt idx="12">
                  <c:v>8097397298796954</c:v>
                </c:pt>
                <c:pt idx="13">
                  <c:v>9038854452202700</c:v>
                </c:pt>
                <c:pt idx="14">
                  <c:v>7255846614466560</c:v>
                </c:pt>
                <c:pt idx="15">
                  <c:v>6027031023399731</c:v>
                </c:pt>
                <c:pt idx="16">
                  <c:v>4980790197118566</c:v>
                </c:pt>
                <c:pt idx="17">
                  <c:v>4700315733039514</c:v>
                </c:pt>
                <c:pt idx="18">
                  <c:v>4458029568019661</c:v>
                </c:pt>
                <c:pt idx="19">
                  <c:v>4531051071904154</c:v>
                </c:pt>
                <c:pt idx="20">
                  <c:v>4258960169238528</c:v>
                </c:pt>
                <c:pt idx="21">
                  <c:v>5673620230006374</c:v>
                </c:pt>
                <c:pt idx="22">
                  <c:v>7784972787751322</c:v>
                </c:pt>
                <c:pt idx="23">
                  <c:v>6307235334035866</c:v>
                </c:pt>
                <c:pt idx="24">
                  <c:v>6887018606467482</c:v>
                </c:pt>
                <c:pt idx="25">
                  <c:v>9805275045298176</c:v>
                </c:pt>
                <c:pt idx="26">
                  <c:v>6154130702100070</c:v>
                </c:pt>
                <c:pt idx="27">
                  <c:v>6000019383517184</c:v>
                </c:pt>
                <c:pt idx="28">
                  <c:v>4778193690663322</c:v>
                </c:pt>
                <c:pt idx="29">
                  <c:v>4505704080814899</c:v>
                </c:pt>
                <c:pt idx="30">
                  <c:v>4660014336914227</c:v>
                </c:pt>
                <c:pt idx="31">
                  <c:v>4703676276513178</c:v>
                </c:pt>
                <c:pt idx="32">
                  <c:v>4234234847821824</c:v>
                </c:pt>
                <c:pt idx="33">
                  <c:v>4990905650407014</c:v>
                </c:pt>
                <c:pt idx="34">
                  <c:v>7937747512511693</c:v>
                </c:pt>
                <c:pt idx="35">
                  <c:v>7344489155998515</c:v>
                </c:pt>
                <c:pt idx="36">
                  <c:v>5995741649777459</c:v>
                </c:pt>
                <c:pt idx="37">
                  <c:v>7353666856864973</c:v>
                </c:pt>
                <c:pt idx="38">
                  <c:v>5961379441803264</c:v>
                </c:pt>
                <c:pt idx="39">
                  <c:v>5200072490457498</c:v>
                </c:pt>
                <c:pt idx="40">
                  <c:v>4467889041257267</c:v>
                </c:pt>
                <c:pt idx="41">
                  <c:v>4458777053390438.5</c:v>
                </c:pt>
                <c:pt idx="42">
                  <c:v>4647814697058304</c:v>
                </c:pt>
                <c:pt idx="43">
                  <c:v>4414092079425126.5</c:v>
                </c:pt>
                <c:pt idx="44">
                  <c:v>4125321349142937.5</c:v>
                </c:pt>
                <c:pt idx="45">
                  <c:v>4958453736511898</c:v>
                </c:pt>
                <c:pt idx="46">
                  <c:v>6918454277413274</c:v>
                </c:pt>
                <c:pt idx="47">
                  <c:v>6616259304724890</c:v>
                </c:pt>
                <c:pt idx="48">
                  <c:v>5799562817673626</c:v>
                </c:pt>
                <c:pt idx="49">
                  <c:v>6191088358811238</c:v>
                </c:pt>
                <c:pt idx="50">
                  <c:v>5772800151676518</c:v>
                </c:pt>
                <c:pt idx="51">
                  <c:v>5190515597665894</c:v>
                </c:pt>
                <c:pt idx="52">
                  <c:v>3995640609846067</c:v>
                </c:pt>
                <c:pt idx="53">
                  <c:v>4428269712782131</c:v>
                </c:pt>
                <c:pt idx="54">
                  <c:v>4535246691237888</c:v>
                </c:pt>
                <c:pt idx="55">
                  <c:v>4557706471093043</c:v>
                </c:pt>
                <c:pt idx="56">
                  <c:v>4272311262982963</c:v>
                </c:pt>
                <c:pt idx="57">
                  <c:v>4833598554033357</c:v>
                </c:pt>
                <c:pt idx="58">
                  <c:v>5848855378866995</c:v>
                </c:pt>
                <c:pt idx="59">
                  <c:v>8763448425342566</c:v>
                </c:pt>
                <c:pt idx="60">
                  <c:v>7863330224786637</c:v>
                </c:pt>
                <c:pt idx="61">
                  <c:v>1.1875876094345216E+16</c:v>
                </c:pt>
                <c:pt idx="62">
                  <c:v>6059009148715008</c:v>
                </c:pt>
                <c:pt idx="63">
                  <c:v>4508342076571648</c:v>
                </c:pt>
                <c:pt idx="64">
                  <c:v>4226033527239475</c:v>
                </c:pt>
                <c:pt idx="65">
                  <c:v>4560664629818163</c:v>
                </c:pt>
                <c:pt idx="66">
                  <c:v>4441230501373542.5</c:v>
                </c:pt>
                <c:pt idx="67">
                  <c:v>4331700809105408</c:v>
                </c:pt>
                <c:pt idx="68">
                  <c:v>4370831907173171</c:v>
                </c:pt>
                <c:pt idx="69">
                  <c:v>5678592782080410</c:v>
                </c:pt>
                <c:pt idx="70">
                  <c:v>4873034057908224</c:v>
                </c:pt>
                <c:pt idx="71">
                  <c:v>7656624723119309</c:v>
                </c:pt>
                <c:pt idx="72">
                  <c:v>6514694817212006</c:v>
                </c:pt>
                <c:pt idx="73">
                  <c:v>5598262290756403</c:v>
                </c:pt>
                <c:pt idx="74">
                  <c:v>5352313995028070</c:v>
                </c:pt>
                <c:pt idx="75">
                  <c:v>4881814715891712</c:v>
                </c:pt>
                <c:pt idx="76">
                  <c:v>4459623618288025.5</c:v>
                </c:pt>
                <c:pt idx="77">
                  <c:v>4530418074255360</c:v>
                </c:pt>
                <c:pt idx="78">
                  <c:v>4543549668327424</c:v>
                </c:pt>
                <c:pt idx="79">
                  <c:v>4751663355553382</c:v>
                </c:pt>
                <c:pt idx="80">
                  <c:v>4213210929220813</c:v>
                </c:pt>
                <c:pt idx="81">
                  <c:v>5366052575353242</c:v>
                </c:pt>
                <c:pt idx="82">
                  <c:v>6971001752728371</c:v>
                </c:pt>
                <c:pt idx="83">
                  <c:v>5381390655186534</c:v>
                </c:pt>
                <c:pt idx="84">
                  <c:v>5579234887702938</c:v>
                </c:pt>
                <c:pt idx="85">
                  <c:v>5117892398311014</c:v>
                </c:pt>
                <c:pt idx="86">
                  <c:v>4575119127504486</c:v>
                </c:pt>
                <c:pt idx="87">
                  <c:v>5073470598466765</c:v>
                </c:pt>
                <c:pt idx="88">
                  <c:v>4576757093813453</c:v>
                </c:pt>
                <c:pt idx="89">
                  <c:v>4577647440533914</c:v>
                </c:pt>
                <c:pt idx="90">
                  <c:v>4908163642320486</c:v>
                </c:pt>
                <c:pt idx="91">
                  <c:v>4740041818295501</c:v>
                </c:pt>
                <c:pt idx="92">
                  <c:v>4353706261951283</c:v>
                </c:pt>
                <c:pt idx="93">
                  <c:v>5169495383474176</c:v>
                </c:pt>
                <c:pt idx="94">
                  <c:v>5173550798969242</c:v>
                </c:pt>
                <c:pt idx="95">
                  <c:v>6646990386285773</c:v>
                </c:pt>
                <c:pt idx="96">
                  <c:v>5739137057003930</c:v>
                </c:pt>
                <c:pt idx="97">
                  <c:v>6007456119390208</c:v>
                </c:pt>
                <c:pt idx="98">
                  <c:v>6108485883474739</c:v>
                </c:pt>
                <c:pt idx="99">
                  <c:v>5195379272318976</c:v>
                </c:pt>
                <c:pt idx="100">
                  <c:v>4564794401934541</c:v>
                </c:pt>
                <c:pt idx="101">
                  <c:v>4332645970345984</c:v>
                </c:pt>
                <c:pt idx="102">
                  <c:v>4254656450946662.5</c:v>
                </c:pt>
                <c:pt idx="103">
                  <c:v>4238883800953651</c:v>
                </c:pt>
                <c:pt idx="104">
                  <c:v>4001915127568793.5</c:v>
                </c:pt>
                <c:pt idx="105">
                  <c:v>5233963111022592</c:v>
                </c:pt>
                <c:pt idx="106">
                  <c:v>6519636338147328</c:v>
                </c:pt>
                <c:pt idx="107">
                  <c:v>6325808007426867</c:v>
                </c:pt>
                <c:pt idx="108">
                  <c:v>6073108882102682</c:v>
                </c:pt>
                <c:pt idx="109">
                  <c:v>7804648784553574</c:v>
                </c:pt>
                <c:pt idx="110">
                  <c:v>5968761041033626</c:v>
                </c:pt>
                <c:pt idx="111">
                  <c:v>4763775619668378</c:v>
                </c:pt>
                <c:pt idx="112">
                  <c:v>4182411638210560</c:v>
                </c:pt>
                <c:pt idx="113">
                  <c:v>4380549243836825.5</c:v>
                </c:pt>
                <c:pt idx="114">
                  <c:v>4424027895706419</c:v>
                </c:pt>
                <c:pt idx="115">
                  <c:v>4235485944951603</c:v>
                </c:pt>
                <c:pt idx="116">
                  <c:v>4172020045368525</c:v>
                </c:pt>
                <c:pt idx="117">
                  <c:v>5449726054472090</c:v>
                </c:pt>
                <c:pt idx="118">
                  <c:v>6943774505487565</c:v>
                </c:pt>
                <c:pt idx="119">
                  <c:v>6378660425419981</c:v>
                </c:pt>
                <c:pt idx="120">
                  <c:v>6812014787271066</c:v>
                </c:pt>
                <c:pt idx="121">
                  <c:v>8002546757848269</c:v>
                </c:pt>
                <c:pt idx="122">
                  <c:v>5094746846396416</c:v>
                </c:pt>
                <c:pt idx="123">
                  <c:v>4928870699709235</c:v>
                </c:pt>
                <c:pt idx="124">
                  <c:v>4202493053082009.5</c:v>
                </c:pt>
                <c:pt idx="125">
                  <c:v>4124173841255629</c:v>
                </c:pt>
                <c:pt idx="126">
                  <c:v>4165057232293069</c:v>
                </c:pt>
                <c:pt idx="127">
                  <c:v>4337250014226022.5</c:v>
                </c:pt>
                <c:pt idx="128">
                  <c:v>4097321061475942.5</c:v>
                </c:pt>
                <c:pt idx="129">
                  <c:v>4792193727122637</c:v>
                </c:pt>
                <c:pt idx="130">
                  <c:v>4716229821674291</c:v>
                </c:pt>
                <c:pt idx="131">
                  <c:v>5460363668409549</c:v>
                </c:pt>
                <c:pt idx="132">
                  <c:v>5229712381889741</c:v>
                </c:pt>
                <c:pt idx="133">
                  <c:v>7156967501568410</c:v>
                </c:pt>
                <c:pt idx="134">
                  <c:v>4599026821365760</c:v>
                </c:pt>
                <c:pt idx="135">
                  <c:v>5020451482055475</c:v>
                </c:pt>
                <c:pt idx="136">
                  <c:v>4485810302327193.5</c:v>
                </c:pt>
                <c:pt idx="137">
                  <c:v>4223125243822080</c:v>
                </c:pt>
                <c:pt idx="138">
                  <c:v>4964711020678349</c:v>
                </c:pt>
                <c:pt idx="139">
                  <c:v>4330974905945293</c:v>
                </c:pt>
                <c:pt idx="140">
                  <c:v>4167831673792102.5</c:v>
                </c:pt>
                <c:pt idx="141">
                  <c:v>4229123434086400</c:v>
                </c:pt>
                <c:pt idx="142">
                  <c:v>6056106609816371</c:v>
                </c:pt>
                <c:pt idx="143">
                  <c:v>6375128244315750</c:v>
                </c:pt>
              </c:numCache>
            </c:numRef>
          </c:yVal>
          <c:smooth val="0"/>
          <c:extLst xmlns:c16r2="http://schemas.microsoft.com/office/drawing/2015/06/chart">
            <c:ext xmlns:c16="http://schemas.microsoft.com/office/drawing/2014/chart" uri="{C3380CC4-5D6E-409C-BE32-E72D297353CC}">
              <c16:uniqueId val="{00000000-74BF-45AB-9223-EDADB5700F9D}"/>
            </c:ext>
          </c:extLst>
        </c:ser>
        <c:dLbls>
          <c:showLegendKey val="0"/>
          <c:showVal val="0"/>
          <c:showCatName val="0"/>
          <c:showSerName val="0"/>
          <c:showPercent val="0"/>
          <c:showBubbleSize val="0"/>
        </c:dLbls>
        <c:axId val="208055240"/>
        <c:axId val="208055632"/>
      </c:scatterChart>
      <c:valAx>
        <c:axId val="208055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NO</a:t>
                </a:r>
                <a:r>
                  <a:rPr lang="en-US" sz="1200" baseline="-25000"/>
                  <a:t>2</a:t>
                </a:r>
                <a:r>
                  <a:rPr lang="en-US" sz="1200"/>
                  <a:t> Tropospheric (molecules/cm</a:t>
                </a:r>
                <a:r>
                  <a:rPr lang="en-US" sz="1200" baseline="30000"/>
                  <a:t>2</a:t>
                </a:r>
                <a:r>
                  <a:rPr lang="en-US" sz="1200"/>
                  <a:t>)</a:t>
                </a:r>
              </a:p>
            </c:rich>
          </c:tx>
          <c:layout>
            <c:manualLayout>
              <c:xMode val="edge"/>
              <c:yMode val="edge"/>
              <c:x val="0.37054663840096913"/>
              <c:y val="0.900815516861362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8055632"/>
        <c:crosses val="autoZero"/>
        <c:crossBetween val="midCat"/>
      </c:valAx>
      <c:valAx>
        <c:axId val="20805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NO</a:t>
                </a:r>
                <a:r>
                  <a:rPr lang="en-US" sz="1200" baseline="-25000"/>
                  <a:t>2</a:t>
                </a:r>
                <a:r>
                  <a:rPr lang="en-US" sz="1200"/>
                  <a:t> Total Column (molecules/cm</a:t>
                </a:r>
                <a:r>
                  <a:rPr lang="en-US" sz="1200" baseline="30000"/>
                  <a:t>2</a:t>
                </a:r>
                <a:r>
                  <a:rPr lang="en-US" sz="1200"/>
                  <a:t>)</a:t>
                </a:r>
              </a:p>
            </c:rich>
          </c:tx>
          <c:layout>
            <c:manualLayout>
              <c:xMode val="edge"/>
              <c:yMode val="edge"/>
              <c:x val="2.3504273504273504E-2"/>
              <c:y val="0.1046947322018955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80552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Annual Averages NO</a:t>
            </a:r>
            <a:r>
              <a:rPr lang="en-US" baseline="-25000"/>
              <a:t>2</a:t>
            </a:r>
          </a:p>
        </c:rich>
      </c:tx>
      <c:layout>
        <c:manualLayout>
          <c:xMode val="edge"/>
          <c:yMode val="edge"/>
          <c:x val="0.41770290732889159"/>
          <c:y val="2.40240240240240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v>Total Column</c:v>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'Annual Average'!$A$24:$A$35</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'Annual Average'!$B$24:$B$35</c:f>
              <c:numCache>
                <c:formatCode>General</c:formatCode>
                <c:ptCount val="12"/>
                <c:pt idx="0">
                  <c:v>7456817914244847</c:v>
                </c:pt>
                <c:pt idx="1">
                  <c:v>6092842039998328</c:v>
                </c:pt>
                <c:pt idx="2">
                  <c:v>6000117440752298</c:v>
                </c:pt>
                <c:pt idx="3">
                  <c:v>5426493498152277</c:v>
                </c:pt>
                <c:pt idx="4">
                  <c:v>5349087002667691</c:v>
                </c:pt>
                <c:pt idx="5">
                  <c:v>5870439206853017</c:v>
                </c:pt>
                <c:pt idx="6">
                  <c:v>5213666370650112</c:v>
                </c:pt>
                <c:pt idx="7">
                  <c:v>5041005819802419</c:v>
                </c:pt>
                <c:pt idx="8">
                  <c:v>5210230128377855</c:v>
                </c:pt>
                <c:pt idx="9">
                  <c:v>5398079173400985</c:v>
                </c:pt>
                <c:pt idx="10">
                  <c:v>5061105125897012</c:v>
                </c:pt>
                <c:pt idx="11">
                  <c:v>5069914135138577</c:v>
                </c:pt>
              </c:numCache>
            </c:numRef>
          </c:val>
          <c:smooth val="0"/>
          <c:extLst xmlns:c16r2="http://schemas.microsoft.com/office/drawing/2015/06/chart">
            <c:ext xmlns:c16="http://schemas.microsoft.com/office/drawing/2014/chart" uri="{C3380CC4-5D6E-409C-BE32-E72D297353CC}">
              <c16:uniqueId val="{00000000-5E58-4743-8E36-B678A76EE34D}"/>
            </c:ext>
          </c:extLst>
        </c:ser>
        <c:ser>
          <c:idx val="1"/>
          <c:order val="1"/>
          <c:tx>
            <c:v>Tropospheric</c:v>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numRef>
              <c:f>'Annual Average'!$A$24:$A$35</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'Annual Average'!$C$24:$C$35</c:f>
              <c:numCache>
                <c:formatCode>General</c:formatCode>
                <c:ptCount val="12"/>
                <c:pt idx="0">
                  <c:v>4880395420460647</c:v>
                </c:pt>
                <c:pt idx="1">
                  <c:v>3623549333790174</c:v>
                </c:pt>
                <c:pt idx="2">
                  <c:v>3511623766717234.5</c:v>
                </c:pt>
                <c:pt idx="3">
                  <c:v>2897428481468006.5</c:v>
                </c:pt>
                <c:pt idx="4">
                  <c:v>2782687209892523</c:v>
                </c:pt>
                <c:pt idx="5">
                  <c:v>3440158721511696.5</c:v>
                </c:pt>
                <c:pt idx="6">
                  <c:v>2604444502353510.5</c:v>
                </c:pt>
                <c:pt idx="7">
                  <c:v>2540829009842448.5</c:v>
                </c:pt>
                <c:pt idx="8">
                  <c:v>2659946125520623</c:v>
                </c:pt>
                <c:pt idx="9">
                  <c:v>2872833752222925.5</c:v>
                </c:pt>
                <c:pt idx="10">
                  <c:v>2669015858850475</c:v>
                </c:pt>
                <c:pt idx="11">
                  <c:v>2477534677705250.5</c:v>
                </c:pt>
              </c:numCache>
            </c:numRef>
          </c:val>
          <c:smooth val="0"/>
          <c:extLst xmlns:c16r2="http://schemas.microsoft.com/office/drawing/2015/06/chart">
            <c:ext xmlns:c16="http://schemas.microsoft.com/office/drawing/2014/chart" uri="{C3380CC4-5D6E-409C-BE32-E72D297353CC}">
              <c16:uniqueId val="{00000001-5E58-4743-8E36-B678A76EE34D}"/>
            </c:ext>
          </c:extLst>
        </c:ser>
        <c:dLbls>
          <c:showLegendKey val="0"/>
          <c:showVal val="0"/>
          <c:showCatName val="0"/>
          <c:showSerName val="0"/>
          <c:showPercent val="0"/>
          <c:showBubbleSize val="0"/>
        </c:dLbls>
        <c:smooth val="0"/>
        <c:axId val="209368344"/>
        <c:axId val="277461160"/>
      </c:lineChart>
      <c:catAx>
        <c:axId val="2093683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Year</a:t>
                </a:r>
              </a:p>
            </c:rich>
          </c:tx>
          <c:layout>
            <c:manualLayout>
              <c:xMode val="edge"/>
              <c:yMode val="edge"/>
              <c:x val="0.52879096843663775"/>
              <c:y val="0.804344501982297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77461160"/>
        <c:crosses val="autoZero"/>
        <c:auto val="1"/>
        <c:lblAlgn val="ctr"/>
        <c:lblOffset val="100"/>
        <c:noMultiLvlLbl val="0"/>
      </c:catAx>
      <c:valAx>
        <c:axId val="277461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Molecules/cm</a:t>
                </a:r>
                <a:r>
                  <a:rPr lang="en-US" sz="1200" baseline="30000"/>
                  <a:t>2</a:t>
                </a:r>
              </a:p>
            </c:rich>
          </c:tx>
          <c:layout>
            <c:manualLayout>
              <c:xMode val="edge"/>
              <c:yMode val="edge"/>
              <c:x val="1.9230769230769232E-2"/>
              <c:y val="0.274801415588817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209368344"/>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32217141126589949"/>
          <c:y val="0.88571342996539848"/>
          <c:w val="0.48343482064741905"/>
          <c:h val="7.812554680664916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a:t>Tropospheric NO</a:t>
            </a:r>
            <a:r>
              <a:rPr lang="en-US" baseline="-25000"/>
              <a:t>2</a:t>
            </a:r>
            <a:r>
              <a:rPr lang="en-US"/>
              <a:t> Concentrations</a:t>
            </a:r>
          </a:p>
        </c:rich>
      </c:tx>
      <c:layout>
        <c:manualLayout>
          <c:xMode val="edge"/>
          <c:yMode val="edge"/>
          <c:x val="0.30858435964735176"/>
          <c:y val="2.55707762557077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v>OMI Max</c:v>
          </c:tx>
          <c:spPr>
            <a:ln w="28575" cap="rnd">
              <a:solidFill>
                <a:srgbClr val="C00000"/>
              </a:solidFill>
              <a:round/>
            </a:ln>
            <a:effectLst/>
          </c:spPr>
          <c:marker>
            <c:symbol val="none"/>
          </c:marker>
          <c:cat>
            <c:numRef>
              <c:f>'Trop NO2 Comparison'!$B$1:$EO$1</c:f>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f>'Trop NO2 Comparison'!$B$2:$EO$2</c:f>
              <c:numCache>
                <c:formatCode>General</c:formatCode>
                <c:ptCount val="144"/>
                <c:pt idx="0">
                  <c:v>7.323772520832696E+16</c:v>
                </c:pt>
                <c:pt idx="1">
                  <c:v>3.55411612498133E+16</c:v>
                </c:pt>
                <c:pt idx="2">
                  <c:v>2.2557721000882996E+16</c:v>
                </c:pt>
                <c:pt idx="3">
                  <c:v>1.016311448684462E+16</c:v>
                </c:pt>
                <c:pt idx="4">
                  <c:v>5084965085223322</c:v>
                </c:pt>
                <c:pt idx="5">
                  <c:v>5578025210164019</c:v>
                </c:pt>
                <c:pt idx="6">
                  <c:v>3178096349937664</c:v>
                </c:pt>
                <c:pt idx="7">
                  <c:v>3175053231390720</c:v>
                </c:pt>
                <c:pt idx="8">
                  <c:v>3077540454963609.5</c:v>
                </c:pt>
                <c:pt idx="9">
                  <c:v>1.829275791691612E+16</c:v>
                </c:pt>
                <c:pt idx="10">
                  <c:v>1.1356707856423322E+16</c:v>
                </c:pt>
                <c:pt idx="11">
                  <c:v>2.1698478863076556E+16</c:v>
                </c:pt>
                <c:pt idx="12">
                  <c:v>5.1536614818788144E+16</c:v>
                </c:pt>
                <c:pt idx="13">
                  <c:v>2.3235889250225356E+16</c:v>
                </c:pt>
                <c:pt idx="14">
                  <c:v>2.0858479896743116E+16</c:v>
                </c:pt>
                <c:pt idx="15">
                  <c:v>7013489340894413</c:v>
                </c:pt>
                <c:pt idx="16">
                  <c:v>4279262345428992</c:v>
                </c:pt>
                <c:pt idx="17">
                  <c:v>3242176913027891</c:v>
                </c:pt>
                <c:pt idx="18">
                  <c:v>3267048531768115</c:v>
                </c:pt>
                <c:pt idx="19">
                  <c:v>3966811178742579</c:v>
                </c:pt>
                <c:pt idx="20">
                  <c:v>3950421395636224</c:v>
                </c:pt>
                <c:pt idx="21">
                  <c:v>1.0664897395084492E+16</c:v>
                </c:pt>
                <c:pt idx="22">
                  <c:v>1.6718942527972966E+16</c:v>
                </c:pt>
                <c:pt idx="23">
                  <c:v>1.1676593530968474E+16</c:v>
                </c:pt>
                <c:pt idx="24">
                  <c:v>1.8211385573900288E+16</c:v>
                </c:pt>
                <c:pt idx="25">
                  <c:v>3.5633705983882036E+16</c:v>
                </c:pt>
                <c:pt idx="26">
                  <c:v>1.1947302259471156E+16</c:v>
                </c:pt>
                <c:pt idx="27">
                  <c:v>8049068286672896</c:v>
                </c:pt>
                <c:pt idx="28">
                  <c:v>4727072144490496</c:v>
                </c:pt>
                <c:pt idx="29">
                  <c:v>3154938315774361.5</c:v>
                </c:pt>
                <c:pt idx="30">
                  <c:v>3551653304834457.5</c:v>
                </c:pt>
                <c:pt idx="31">
                  <c:v>3248903663963341</c:v>
                </c:pt>
                <c:pt idx="32">
                  <c:v>3470725195654758.5</c:v>
                </c:pt>
                <c:pt idx="33">
                  <c:v>5757013945692979</c:v>
                </c:pt>
                <c:pt idx="34">
                  <c:v>1.8229114876775628E+16</c:v>
                </c:pt>
                <c:pt idx="35">
                  <c:v>3.45746477940736E+16</c:v>
                </c:pt>
                <c:pt idx="36">
                  <c:v>1.4585599683985408E+16</c:v>
                </c:pt>
                <c:pt idx="37">
                  <c:v>1.9812347518386176E+16</c:v>
                </c:pt>
                <c:pt idx="38">
                  <c:v>1.2951119653660262E+16</c:v>
                </c:pt>
                <c:pt idx="39">
                  <c:v>5854332213788672</c:v>
                </c:pt>
                <c:pt idx="40">
                  <c:v>3179738020655923</c:v>
                </c:pt>
                <c:pt idx="41">
                  <c:v>3785637338336461</c:v>
                </c:pt>
                <c:pt idx="42">
                  <c:v>3778617898801561.5</c:v>
                </c:pt>
                <c:pt idx="43">
                  <c:v>3244648666706739</c:v>
                </c:pt>
                <c:pt idx="44">
                  <c:v>2975245930384589</c:v>
                </c:pt>
                <c:pt idx="45">
                  <c:v>7437278595828941</c:v>
                </c:pt>
                <c:pt idx="46">
                  <c:v>1.4228471166900634E+16</c:v>
                </c:pt>
                <c:pt idx="47">
                  <c:v>2.6066260028135832E+16</c:v>
                </c:pt>
                <c:pt idx="48">
                  <c:v>1.1653807440973004E+16</c:v>
                </c:pt>
                <c:pt idx="49">
                  <c:v>1.233316190659543E+16</c:v>
                </c:pt>
                <c:pt idx="50">
                  <c:v>8492108980892467</c:v>
                </c:pt>
                <c:pt idx="51">
                  <c:v>6009117090617754</c:v>
                </c:pt>
                <c:pt idx="52">
                  <c:v>3009853649426841.5</c:v>
                </c:pt>
                <c:pt idx="53">
                  <c:v>4063373801029632</c:v>
                </c:pt>
                <c:pt idx="54">
                  <c:v>3281379710205952</c:v>
                </c:pt>
                <c:pt idx="55">
                  <c:v>4519912906371891</c:v>
                </c:pt>
                <c:pt idx="56">
                  <c:v>3013737266230067</c:v>
                </c:pt>
                <c:pt idx="57">
                  <c:v>9616800928183092</c:v>
                </c:pt>
                <c:pt idx="58">
                  <c:v>1.1210577123947316E+16</c:v>
                </c:pt>
                <c:pt idx="59">
                  <c:v>2.6105116167766016E+16</c:v>
                </c:pt>
                <c:pt idx="60">
                  <c:v>1.5645498559954944E+16</c:v>
                </c:pt>
                <c:pt idx="61">
                  <c:v>3.090323630551204E+16</c:v>
                </c:pt>
                <c:pt idx="62">
                  <c:v>7375185179888845</c:v>
                </c:pt>
                <c:pt idx="63">
                  <c:v>4402607417406259</c:v>
                </c:pt>
                <c:pt idx="64">
                  <c:v>5543058458699366</c:v>
                </c:pt>
                <c:pt idx="65">
                  <c:v>3461052231371981</c:v>
                </c:pt>
                <c:pt idx="66">
                  <c:v>2845929055348326.5</c:v>
                </c:pt>
                <c:pt idx="67">
                  <c:v>2846971068101427</c:v>
                </c:pt>
                <c:pt idx="68">
                  <c:v>3437715311820800</c:v>
                </c:pt>
                <c:pt idx="69">
                  <c:v>9336318249979084</c:v>
                </c:pt>
                <c:pt idx="70">
                  <c:v>9313565875476890</c:v>
                </c:pt>
                <c:pt idx="71">
                  <c:v>1.7732146358439116E+16</c:v>
                </c:pt>
                <c:pt idx="72">
                  <c:v>1.067901296616407E+16</c:v>
                </c:pt>
                <c:pt idx="73">
                  <c:v>8938372564883866</c:v>
                </c:pt>
                <c:pt idx="74">
                  <c:v>6189973922172109</c:v>
                </c:pt>
                <c:pt idx="75">
                  <c:v>4631830197803418</c:v>
                </c:pt>
                <c:pt idx="76">
                  <c:v>2910598914795110.5</c:v>
                </c:pt>
                <c:pt idx="77">
                  <c:v>3520164859478016</c:v>
                </c:pt>
                <c:pt idx="78">
                  <c:v>2486320785208115</c:v>
                </c:pt>
                <c:pt idx="79">
                  <c:v>3180707690053632</c:v>
                </c:pt>
                <c:pt idx="80">
                  <c:v>5090110992914842</c:v>
                </c:pt>
                <c:pt idx="81">
                  <c:v>6450557721614746</c:v>
                </c:pt>
                <c:pt idx="82">
                  <c:v>3.1815573902773452E+16</c:v>
                </c:pt>
                <c:pt idx="83">
                  <c:v>1.5025340715892736E+16</c:v>
                </c:pt>
                <c:pt idx="84">
                  <c:v>1.3615956431890022E+16</c:v>
                </c:pt>
                <c:pt idx="85">
                  <c:v>1.4595129303734682E+16</c:v>
                </c:pt>
                <c:pt idx="86">
                  <c:v>6308158590943232</c:v>
                </c:pt>
                <c:pt idx="87">
                  <c:v>5272306780523725</c:v>
                </c:pt>
                <c:pt idx="88">
                  <c:v>3706813132308480</c:v>
                </c:pt>
                <c:pt idx="89">
                  <c:v>2490649951181209.5</c:v>
                </c:pt>
                <c:pt idx="90">
                  <c:v>3976047049572352</c:v>
                </c:pt>
                <c:pt idx="91">
                  <c:v>3639763297265254.5</c:v>
                </c:pt>
                <c:pt idx="92">
                  <c:v>4776932097707213</c:v>
                </c:pt>
                <c:pt idx="93">
                  <c:v>6030512792325325</c:v>
                </c:pt>
                <c:pt idx="94">
                  <c:v>6847913197672858</c:v>
                </c:pt>
                <c:pt idx="95">
                  <c:v>1.0784135673020416E+16</c:v>
                </c:pt>
                <c:pt idx="96">
                  <c:v>8519987398862438</c:v>
                </c:pt>
                <c:pt idx="97">
                  <c:v>1.314095527540818E+16</c:v>
                </c:pt>
                <c:pt idx="98">
                  <c:v>7482128523381965</c:v>
                </c:pt>
                <c:pt idx="99">
                  <c:v>5649385850195149</c:v>
                </c:pt>
                <c:pt idx="100">
                  <c:v>3211154310561792</c:v>
                </c:pt>
                <c:pt idx="101">
                  <c:v>2359294362543718.5</c:v>
                </c:pt>
                <c:pt idx="102">
                  <c:v>2640102169772032</c:v>
                </c:pt>
                <c:pt idx="103">
                  <c:v>3692826705526784</c:v>
                </c:pt>
                <c:pt idx="104">
                  <c:v>2764117256647475</c:v>
                </c:pt>
                <c:pt idx="105">
                  <c:v>6285096656673178</c:v>
                </c:pt>
                <c:pt idx="106">
                  <c:v>1.5369365878315418E+16</c:v>
                </c:pt>
                <c:pt idx="107">
                  <c:v>1.0894397630368972E+16</c:v>
                </c:pt>
                <c:pt idx="108">
                  <c:v>1.4754639449895732E+16</c:v>
                </c:pt>
                <c:pt idx="109">
                  <c:v>2.7491116931822388E+16</c:v>
                </c:pt>
                <c:pt idx="110">
                  <c:v>1.0017676639967642E+16</c:v>
                </c:pt>
                <c:pt idx="111">
                  <c:v>3906828417105920</c:v>
                </c:pt>
                <c:pt idx="112">
                  <c:v>1943673920657817.5</c:v>
                </c:pt>
                <c:pt idx="113">
                  <c:v>2165743110900940.7</c:v>
                </c:pt>
                <c:pt idx="114">
                  <c:v>2457385644222054.5</c:v>
                </c:pt>
                <c:pt idx="115">
                  <c:v>3036833184428851</c:v>
                </c:pt>
                <c:pt idx="116">
                  <c:v>3253949888148275</c:v>
                </c:pt>
                <c:pt idx="117">
                  <c:v>5657498130736742</c:v>
                </c:pt>
                <c:pt idx="118">
                  <c:v>1.4436989574263604E+16</c:v>
                </c:pt>
                <c:pt idx="119">
                  <c:v>1.3547918459089716E+16</c:v>
                </c:pt>
                <c:pt idx="120">
                  <c:v>1.2482401390087372E+16</c:v>
                </c:pt>
                <c:pt idx="121">
                  <c:v>1.3251374804369408E+16</c:v>
                </c:pt>
                <c:pt idx="122">
                  <c:v>7051358711788339</c:v>
                </c:pt>
                <c:pt idx="123">
                  <c:v>5211380334041498</c:v>
                </c:pt>
                <c:pt idx="124">
                  <c:v>2452170225169203</c:v>
                </c:pt>
                <c:pt idx="125">
                  <c:v>2526664969945088</c:v>
                </c:pt>
                <c:pt idx="126">
                  <c:v>2743641402716979</c:v>
                </c:pt>
                <c:pt idx="127">
                  <c:v>3049910178729165</c:v>
                </c:pt>
                <c:pt idx="128">
                  <c:v>2687112143752397</c:v>
                </c:pt>
                <c:pt idx="129">
                  <c:v>4210414127048294.5</c:v>
                </c:pt>
                <c:pt idx="130">
                  <c:v>8313969843581747</c:v>
                </c:pt>
                <c:pt idx="131">
                  <c:v>1.177657483984896E+16</c:v>
                </c:pt>
                <c:pt idx="132">
                  <c:v>1.163707918760018E+16</c:v>
                </c:pt>
                <c:pt idx="133">
                  <c:v>1.4755528293377638E+16</c:v>
                </c:pt>
                <c:pt idx="134">
                  <c:v>4894720179935642</c:v>
                </c:pt>
                <c:pt idx="135">
                  <c:v>4991545681064755</c:v>
                </c:pt>
                <c:pt idx="136">
                  <c:v>2999364104486912</c:v>
                </c:pt>
                <c:pt idx="137">
                  <c:v>2225389643707187.2</c:v>
                </c:pt>
                <c:pt idx="138">
                  <c:v>3661858649145344</c:v>
                </c:pt>
                <c:pt idx="139">
                  <c:v>2560664293448089.5</c:v>
                </c:pt>
                <c:pt idx="140">
                  <c:v>2857133980778496</c:v>
                </c:pt>
                <c:pt idx="141">
                  <c:v>4146374258773197</c:v>
                </c:pt>
                <c:pt idx="142">
                  <c:v>2.0067628563300352E+16</c:v>
                </c:pt>
                <c:pt idx="143">
                  <c:v>1.2808342055839334E+16</c:v>
                </c:pt>
              </c:numCache>
            </c:numRef>
          </c:val>
          <c:smooth val="0"/>
          <c:extLst xmlns:c16r2="http://schemas.microsoft.com/office/drawing/2015/06/chart">
            <c:ext xmlns:c16="http://schemas.microsoft.com/office/drawing/2014/chart" uri="{C3380CC4-5D6E-409C-BE32-E72D297353CC}">
              <c16:uniqueId val="{00000000-4C51-4204-9308-C533618AE589}"/>
            </c:ext>
          </c:extLst>
        </c:ser>
        <c:ser>
          <c:idx val="1"/>
          <c:order val="1"/>
          <c:tx>
            <c:v>OMI Avg</c:v>
          </c:tx>
          <c:spPr>
            <a:ln w="28575" cap="rnd">
              <a:solidFill>
                <a:schemeClr val="accent1">
                  <a:lumMod val="75000"/>
                </a:schemeClr>
              </a:solidFill>
              <a:round/>
            </a:ln>
            <a:effectLst/>
          </c:spPr>
          <c:marker>
            <c:symbol val="none"/>
          </c:marker>
          <c:cat>
            <c:numRef>
              <c:f>'Trop NO2 Comparison'!$B$1:$EO$1</c:f>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f>'Trop NO2 Comparison'!$B$3:$EO$3</c:f>
              <c:numCache>
                <c:formatCode>General</c:formatCode>
                <c:ptCount val="144"/>
                <c:pt idx="0">
                  <c:v>9545491908290150</c:v>
                </c:pt>
                <c:pt idx="1">
                  <c:v>9549011687676314</c:v>
                </c:pt>
                <c:pt idx="2">
                  <c:v>6239537844767949</c:v>
                </c:pt>
                <c:pt idx="3">
                  <c:v>4868287743236506</c:v>
                </c:pt>
                <c:pt idx="4">
                  <c:v>1564479928559206.5</c:v>
                </c:pt>
                <c:pt idx="5">
                  <c:v>2194862546249318.5</c:v>
                </c:pt>
                <c:pt idx="6">
                  <c:v>1405502613356544</c:v>
                </c:pt>
                <c:pt idx="7">
                  <c:v>1647116817321164.7</c:v>
                </c:pt>
                <c:pt idx="8">
                  <c:v>1800396589970227.2</c:v>
                </c:pt>
                <c:pt idx="9">
                  <c:v>5927654821724160</c:v>
                </c:pt>
                <c:pt idx="10">
                  <c:v>4270344382709760</c:v>
                </c:pt>
                <c:pt idx="11">
                  <c:v>9552058161666458</c:v>
                </c:pt>
                <c:pt idx="12">
                  <c:v>6374359820979405</c:v>
                </c:pt>
                <c:pt idx="13">
                  <c:v>6889441343832064</c:v>
                </c:pt>
                <c:pt idx="14">
                  <c:v>4735388033325466</c:v>
                </c:pt>
                <c:pt idx="15">
                  <c:v>3086625411380019</c:v>
                </c:pt>
                <c:pt idx="16">
                  <c:v>1843448858961510.5</c:v>
                </c:pt>
                <c:pt idx="17">
                  <c:v>1635449525239808</c:v>
                </c:pt>
                <c:pt idx="18">
                  <c:v>1556361017661849.5</c:v>
                </c:pt>
                <c:pt idx="19">
                  <c:v>1680105816876646.5</c:v>
                </c:pt>
                <c:pt idx="20">
                  <c:v>1749176715889868.7</c:v>
                </c:pt>
                <c:pt idx="21">
                  <c:v>3423131857741414.5</c:v>
                </c:pt>
                <c:pt idx="22">
                  <c:v>5792514964245709</c:v>
                </c:pt>
                <c:pt idx="23">
                  <c:v>4716588639348326</c:v>
                </c:pt>
                <c:pt idx="24">
                  <c:v>5189569147935130</c:v>
                </c:pt>
                <c:pt idx="25">
                  <c:v>7778658273145651</c:v>
                </c:pt>
                <c:pt idx="26">
                  <c:v>3832130748547072</c:v>
                </c:pt>
                <c:pt idx="27">
                  <c:v>3196317775534489.5</c:v>
                </c:pt>
                <c:pt idx="28">
                  <c:v>1636566095940812.7</c:v>
                </c:pt>
                <c:pt idx="29">
                  <c:v>1282150052030054.5</c:v>
                </c:pt>
                <c:pt idx="30">
                  <c:v>1522741637703270.5</c:v>
                </c:pt>
                <c:pt idx="31">
                  <c:v>1727433027878912</c:v>
                </c:pt>
                <c:pt idx="32">
                  <c:v>1637125461744025.5</c:v>
                </c:pt>
                <c:pt idx="33">
                  <c:v>2726490873528320</c:v>
                </c:pt>
                <c:pt idx="34">
                  <c:v>5889686559208243</c:v>
                </c:pt>
                <c:pt idx="35">
                  <c:v>5720615547410842</c:v>
                </c:pt>
                <c:pt idx="36">
                  <c:v>4266780338316902.5</c:v>
                </c:pt>
                <c:pt idx="37">
                  <c:v>5252422263059251</c:v>
                </c:pt>
                <c:pt idx="38">
                  <c:v>3428144755664486.5</c:v>
                </c:pt>
                <c:pt idx="39">
                  <c:v>2320592197491097.5</c:v>
                </c:pt>
                <c:pt idx="40">
                  <c:v>1193460024265932.7</c:v>
                </c:pt>
                <c:pt idx="41">
                  <c:v>1093963308492390.4</c:v>
                </c:pt>
                <c:pt idx="42">
                  <c:v>1577735848512716.7</c:v>
                </c:pt>
                <c:pt idx="43">
                  <c:v>1492619367756595.2</c:v>
                </c:pt>
                <c:pt idx="44">
                  <c:v>1619516511905382.5</c:v>
                </c:pt>
                <c:pt idx="45">
                  <c:v>2644488794354483</c:v>
                </c:pt>
                <c:pt idx="46">
                  <c:v>4934487738469581</c:v>
                </c:pt>
                <c:pt idx="47">
                  <c:v>4944930629327258</c:v>
                </c:pt>
                <c:pt idx="48">
                  <c:v>3901367393032601.5</c:v>
                </c:pt>
                <c:pt idx="49">
                  <c:v>4014045350015795</c:v>
                </c:pt>
                <c:pt idx="50">
                  <c:v>3241123035427635</c:v>
                </c:pt>
                <c:pt idx="51">
                  <c:v>2317816199066419</c:v>
                </c:pt>
                <c:pt idx="52">
                  <c:v>797789296105881.62</c:v>
                </c:pt>
                <c:pt idx="53">
                  <c:v>1152515335992115.2</c:v>
                </c:pt>
                <c:pt idx="54">
                  <c:v>1366781194770841.5</c:v>
                </c:pt>
                <c:pt idx="55">
                  <c:v>1610418469260492.7</c:v>
                </c:pt>
                <c:pt idx="56">
                  <c:v>1619053675492147.2</c:v>
                </c:pt>
                <c:pt idx="57">
                  <c:v>2514086272381747</c:v>
                </c:pt>
                <c:pt idx="58">
                  <c:v>3906980136825651</c:v>
                </c:pt>
                <c:pt idx="59">
                  <c:v>6950270160338944</c:v>
                </c:pt>
                <c:pt idx="60">
                  <c:v>6259990586405683</c:v>
                </c:pt>
                <c:pt idx="61">
                  <c:v>1.010596812161024E+16</c:v>
                </c:pt>
                <c:pt idx="62">
                  <c:v>3782775534518272</c:v>
                </c:pt>
                <c:pt idx="63">
                  <c:v>1801425060154572.7</c:v>
                </c:pt>
                <c:pt idx="64">
                  <c:v>1130727013875712</c:v>
                </c:pt>
                <c:pt idx="65">
                  <c:v>1354948472628838.5</c:v>
                </c:pt>
                <c:pt idx="66">
                  <c:v>1447674454317465.5</c:v>
                </c:pt>
                <c:pt idx="67">
                  <c:v>1481614990455603.2</c:v>
                </c:pt>
                <c:pt idx="68">
                  <c:v>1755064981834956.7</c:v>
                </c:pt>
                <c:pt idx="69">
                  <c:v>3505638877429760</c:v>
                </c:pt>
                <c:pt idx="70">
                  <c:v>2810485629622681.5</c:v>
                </c:pt>
                <c:pt idx="71">
                  <c:v>5845590935286579</c:v>
                </c:pt>
                <c:pt idx="72">
                  <c:v>4620794869894349</c:v>
                </c:pt>
                <c:pt idx="73">
                  <c:v>3429925663853773</c:v>
                </c:pt>
                <c:pt idx="74">
                  <c:v>2717700686086144</c:v>
                </c:pt>
                <c:pt idx="75">
                  <c:v>1886835920653516.7</c:v>
                </c:pt>
                <c:pt idx="76">
                  <c:v>1133768125867622.5</c:v>
                </c:pt>
                <c:pt idx="77">
                  <c:v>1093186597211340.7</c:v>
                </c:pt>
                <c:pt idx="78">
                  <c:v>1337752920103321.5</c:v>
                </c:pt>
                <c:pt idx="79">
                  <c:v>1671590896572825.5</c:v>
                </c:pt>
                <c:pt idx="80">
                  <c:v>1528017575529676.7</c:v>
                </c:pt>
                <c:pt idx="81">
                  <c:v>2973628392013824</c:v>
                </c:pt>
                <c:pt idx="82">
                  <c:v>4957728101787238</c:v>
                </c:pt>
                <c:pt idx="83">
                  <c:v>3902404278668493</c:v>
                </c:pt>
                <c:pt idx="84">
                  <c:v>3988822215045939</c:v>
                </c:pt>
                <c:pt idx="85">
                  <c:v>3354024813894041.5</c:v>
                </c:pt>
                <c:pt idx="86">
                  <c:v>2266558502430310.5</c:v>
                </c:pt>
                <c:pt idx="87">
                  <c:v>2148079883413094.5</c:v>
                </c:pt>
                <c:pt idx="88">
                  <c:v>1452233146027212.7</c:v>
                </c:pt>
                <c:pt idx="89">
                  <c:v>1221633660839526.5</c:v>
                </c:pt>
                <c:pt idx="90">
                  <c:v>1687404053476147.2</c:v>
                </c:pt>
                <c:pt idx="91">
                  <c:v>1696723072188416</c:v>
                </c:pt>
                <c:pt idx="92">
                  <c:v>1610240644192665.5</c:v>
                </c:pt>
                <c:pt idx="93">
                  <c:v>2723634720276480</c:v>
                </c:pt>
                <c:pt idx="94">
                  <c:v>3206633213237657.5</c:v>
                </c:pt>
                <c:pt idx="95">
                  <c:v>5133960193087898</c:v>
                </c:pt>
                <c:pt idx="96">
                  <c:v>3946393360557670.5</c:v>
                </c:pt>
                <c:pt idx="97">
                  <c:v>3884241237783347</c:v>
                </c:pt>
                <c:pt idx="98">
                  <c:v>3420903923987251</c:v>
                </c:pt>
                <c:pt idx="99">
                  <c:v>2225846775866982.5</c:v>
                </c:pt>
                <c:pt idx="100">
                  <c:v>1390844668438118.5</c:v>
                </c:pt>
                <c:pt idx="101">
                  <c:v>1014411031687987.2</c:v>
                </c:pt>
                <c:pt idx="102">
                  <c:v>1277666609489510.5</c:v>
                </c:pt>
                <c:pt idx="103">
                  <c:v>1299648809114009.5</c:v>
                </c:pt>
                <c:pt idx="104">
                  <c:v>1415835418833715.2</c:v>
                </c:pt>
                <c:pt idx="105">
                  <c:v>3006961485558579</c:v>
                </c:pt>
                <c:pt idx="106">
                  <c:v>4528405130457907</c:v>
                </c:pt>
                <c:pt idx="107">
                  <c:v>4508195054472397</c:v>
                </c:pt>
                <c:pt idx="108">
                  <c:v>4405231105553203</c:v>
                </c:pt>
                <c:pt idx="109">
                  <c:v>5840853532672000</c:v>
                </c:pt>
                <c:pt idx="110">
                  <c:v>3558420025809305.5</c:v>
                </c:pt>
                <c:pt idx="111">
                  <c:v>1844022465265664</c:v>
                </c:pt>
                <c:pt idx="112">
                  <c:v>949750426553548.75</c:v>
                </c:pt>
                <c:pt idx="113">
                  <c:v>978281679552512</c:v>
                </c:pt>
                <c:pt idx="114">
                  <c:v>1140634040454348.7</c:v>
                </c:pt>
                <c:pt idx="115">
                  <c:v>1197031866708787.2</c:v>
                </c:pt>
                <c:pt idx="116">
                  <c:v>1556959642150502.5</c:v>
                </c:pt>
                <c:pt idx="117">
                  <c:v>3139264074219520</c:v>
                </c:pt>
                <c:pt idx="118">
                  <c:v>4975140382389043</c:v>
                </c:pt>
                <c:pt idx="119">
                  <c:v>4888415785346662</c:v>
                </c:pt>
                <c:pt idx="120">
                  <c:v>5150885236493517</c:v>
                </c:pt>
                <c:pt idx="121">
                  <c:v>6125448695749018</c:v>
                </c:pt>
                <c:pt idx="122">
                  <c:v>2937457680685465.5</c:v>
                </c:pt>
                <c:pt idx="123">
                  <c:v>2333147232468992</c:v>
                </c:pt>
                <c:pt idx="124">
                  <c:v>1161870606912716.7</c:v>
                </c:pt>
                <c:pt idx="125">
                  <c:v>1007854233950617.6</c:v>
                </c:pt>
                <c:pt idx="126">
                  <c:v>1036624253576806.4</c:v>
                </c:pt>
                <c:pt idx="127">
                  <c:v>1392423350776627.2</c:v>
                </c:pt>
                <c:pt idx="128">
                  <c:v>1566683005190144</c:v>
                </c:pt>
                <c:pt idx="129">
                  <c:v>2615792265645261</c:v>
                </c:pt>
                <c:pt idx="130">
                  <c:v>2775999082345267</c:v>
                </c:pt>
                <c:pt idx="131">
                  <c:v>3924004662411264</c:v>
                </c:pt>
                <c:pt idx="132">
                  <c:v>3571705943425024</c:v>
                </c:pt>
                <c:pt idx="133">
                  <c:v>5224394594975744</c:v>
                </c:pt>
                <c:pt idx="134">
                  <c:v>2183014691058483.2</c:v>
                </c:pt>
                <c:pt idx="135">
                  <c:v>2023550152081408</c:v>
                </c:pt>
                <c:pt idx="136">
                  <c:v>1150089310293196.7</c:v>
                </c:pt>
                <c:pt idx="137">
                  <c:v>820323845301862.37</c:v>
                </c:pt>
                <c:pt idx="138">
                  <c:v>1559277461517107.2</c:v>
                </c:pt>
                <c:pt idx="139">
                  <c:v>1226706621195878.5</c:v>
                </c:pt>
                <c:pt idx="140">
                  <c:v>1511187773023846.5</c:v>
                </c:pt>
                <c:pt idx="141">
                  <c:v>1849437439236505.5</c:v>
                </c:pt>
                <c:pt idx="142">
                  <c:v>3987784094606950.5</c:v>
                </c:pt>
                <c:pt idx="143">
                  <c:v>4622944205746995</c:v>
                </c:pt>
              </c:numCache>
            </c:numRef>
          </c:val>
          <c:smooth val="0"/>
          <c:extLst xmlns:c16r2="http://schemas.microsoft.com/office/drawing/2015/06/chart">
            <c:ext xmlns:c16="http://schemas.microsoft.com/office/drawing/2014/chart" uri="{C3380CC4-5D6E-409C-BE32-E72D297353CC}">
              <c16:uniqueId val="{00000001-4C51-4204-9308-C533618AE589}"/>
            </c:ext>
          </c:extLst>
        </c:ser>
        <c:dLbls>
          <c:showLegendKey val="0"/>
          <c:showVal val="0"/>
          <c:showCatName val="0"/>
          <c:showSerName val="0"/>
          <c:showPercent val="0"/>
          <c:showBubbleSize val="0"/>
        </c:dLbls>
        <c:smooth val="0"/>
        <c:axId val="503816336"/>
        <c:axId val="503816728"/>
        <c:extLst xmlns:c16r2="http://schemas.microsoft.com/office/drawing/2015/06/chart">
          <c:ext xmlns:c15="http://schemas.microsoft.com/office/drawing/2012/chart" uri="{02D57815-91ED-43cb-92C2-25804820EDAC}">
            <c15:filteredLineSeries>
              <c15:ser>
                <c:idx val="2"/>
                <c:order val="2"/>
                <c:tx>
                  <c:v>OMI Min</c:v>
                </c:tx>
                <c:spPr>
                  <a:ln w="28575" cap="rnd">
                    <a:solidFill>
                      <a:schemeClr val="accent6">
                        <a:lumMod val="50000"/>
                      </a:schemeClr>
                    </a:solidFill>
                    <a:round/>
                  </a:ln>
                  <a:effectLst/>
                </c:spPr>
                <c:marker>
                  <c:symbol val="none"/>
                </c:marker>
                <c:cat>
                  <c:numRef>
                    <c:extLst xmlns:c16r2="http://schemas.microsoft.com/office/drawing/2015/06/chart">
                      <c:ext uri="{02D57815-91ED-43cb-92C2-25804820EDAC}">
                        <c15:formulaRef>
                          <c15:sqref>'Trop NO2 Comparison'!$B$1:$EO$1</c15:sqref>
                        </c15:formulaRef>
                      </c:ext>
                    </c:extLst>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extLst xmlns:c16r2="http://schemas.microsoft.com/office/drawing/2015/06/chart">
                      <c:ext uri="{02D57815-91ED-43cb-92C2-25804820EDAC}">
                        <c15:formulaRef>
                          <c15:sqref>'Trop NO2 Comparison'!$B$4:$EO$4</c15:sqref>
                        </c15:formulaRef>
                      </c:ext>
                    </c:extLst>
                    <c:numCache>
                      <c:formatCode>General</c:formatCode>
                      <c:ptCount val="144"/>
                      <c:pt idx="0">
                        <c:v>-8464874808016896</c:v>
                      </c:pt>
                      <c:pt idx="1">
                        <c:v>444149037373849.62</c:v>
                      </c:pt>
                      <c:pt idx="2">
                        <c:v>1753376616769126.5</c:v>
                      </c:pt>
                      <c:pt idx="3">
                        <c:v>1147016214216704</c:v>
                      </c:pt>
                      <c:pt idx="4">
                        <c:v>-189346484322304</c:v>
                      </c:pt>
                      <c:pt idx="5">
                        <c:v>45831570010931.203</c:v>
                      </c:pt>
                      <c:pt idx="6">
                        <c:v>-213456295611596.81</c:v>
                      </c:pt>
                      <c:pt idx="7">
                        <c:v>68506276069376</c:v>
                      </c:pt>
                      <c:pt idx="8">
                        <c:v>266589752524800</c:v>
                      </c:pt>
                      <c:pt idx="9">
                        <c:v>818156782642790.37</c:v>
                      </c:pt>
                      <c:pt idx="10">
                        <c:v>-2655799614216601.5</c:v>
                      </c:pt>
                      <c:pt idx="11">
                        <c:v>-2288936285319987</c:v>
                      </c:pt>
                      <c:pt idx="12">
                        <c:v>-1071037860229939.2</c:v>
                      </c:pt>
                      <c:pt idx="13">
                        <c:v>1229107528466432</c:v>
                      </c:pt>
                      <c:pt idx="14">
                        <c:v>394666553901056</c:v>
                      </c:pt>
                      <c:pt idx="15">
                        <c:v>679671271050444.75</c:v>
                      </c:pt>
                      <c:pt idx="16">
                        <c:v>-232802616344576</c:v>
                      </c:pt>
                      <c:pt idx="17">
                        <c:v>-195126054197657.59</c:v>
                      </c:pt>
                      <c:pt idx="18">
                        <c:v>166836114450022.41</c:v>
                      </c:pt>
                      <c:pt idx="19">
                        <c:v>261812427685888</c:v>
                      </c:pt>
                      <c:pt idx="20">
                        <c:v>403953680803430.37</c:v>
                      </c:pt>
                      <c:pt idx="21">
                        <c:v>-687074314918297.62</c:v>
                      </c:pt>
                      <c:pt idx="22">
                        <c:v>-1454149488292659.2</c:v>
                      </c:pt>
                      <c:pt idx="23">
                        <c:v>-1188753517523763.2</c:v>
                      </c:pt>
                      <c:pt idx="24">
                        <c:v>-3426487572732313.5</c:v>
                      </c:pt>
                      <c:pt idx="25">
                        <c:v>-2300495835797913.5</c:v>
                      </c:pt>
                      <c:pt idx="26">
                        <c:v>309085603050291.19</c:v>
                      </c:pt>
                      <c:pt idx="27">
                        <c:v>775334089719808</c:v>
                      </c:pt>
                      <c:pt idx="28">
                        <c:v>16076340251852.801</c:v>
                      </c:pt>
                      <c:pt idx="29">
                        <c:v>-465364419661004.81</c:v>
                      </c:pt>
                      <c:pt idx="30">
                        <c:v>22546325962752</c:v>
                      </c:pt>
                      <c:pt idx="31">
                        <c:v>320701286318080</c:v>
                      </c:pt>
                      <c:pt idx="32">
                        <c:v>-226736185278464</c:v>
                      </c:pt>
                      <c:pt idx="33">
                        <c:v>700746374001459.25</c:v>
                      </c:pt>
                      <c:pt idx="34">
                        <c:v>-1446923767853875.2</c:v>
                      </c:pt>
                      <c:pt idx="35">
                        <c:v>-1898361647005696</c:v>
                      </c:pt>
                      <c:pt idx="36">
                        <c:v>-970161594669465.62</c:v>
                      </c:pt>
                      <c:pt idx="37">
                        <c:v>-1580551468010700.7</c:v>
                      </c:pt>
                      <c:pt idx="38">
                        <c:v>158464159200051.19</c:v>
                      </c:pt>
                      <c:pt idx="39">
                        <c:v>86517669901107.203</c:v>
                      </c:pt>
                      <c:pt idx="40">
                        <c:v>-712096578378137.62</c:v>
                      </c:pt>
                      <c:pt idx="41">
                        <c:v>-602755583233228.75</c:v>
                      </c:pt>
                      <c:pt idx="42">
                        <c:v>-51059973370675.203</c:v>
                      </c:pt>
                      <c:pt idx="43">
                        <c:v>25577082637516.801</c:v>
                      </c:pt>
                      <c:pt idx="44">
                        <c:v>-149444991805030.41</c:v>
                      </c:pt>
                      <c:pt idx="45">
                        <c:v>-212477874379161.59</c:v>
                      </c:pt>
                      <c:pt idx="46">
                        <c:v>-991280840992358.37</c:v>
                      </c:pt>
                      <c:pt idx="47">
                        <c:v>509686760393932.81</c:v>
                      </c:pt>
                      <c:pt idx="48">
                        <c:v>-2955701040814489.5</c:v>
                      </c:pt>
                      <c:pt idx="49">
                        <c:v>508974835485900.81</c:v>
                      </c:pt>
                      <c:pt idx="50">
                        <c:v>-38130379076403.203</c:v>
                      </c:pt>
                      <c:pt idx="51">
                        <c:v>-136092372592230.41</c:v>
                      </c:pt>
                      <c:pt idx="52">
                        <c:v>-603274216892006.37</c:v>
                      </c:pt>
                      <c:pt idx="53">
                        <c:v>-238581801864396.81</c:v>
                      </c:pt>
                      <c:pt idx="54">
                        <c:v>-75501858822553.594</c:v>
                      </c:pt>
                      <c:pt idx="55">
                        <c:v>438309821297459.19</c:v>
                      </c:pt>
                      <c:pt idx="56">
                        <c:v>-118278423209574.41</c:v>
                      </c:pt>
                      <c:pt idx="57">
                        <c:v>-548895594014310.37</c:v>
                      </c:pt>
                      <c:pt idx="58">
                        <c:v>-333658588604006.37</c:v>
                      </c:pt>
                      <c:pt idx="59">
                        <c:v>532203618854502.37</c:v>
                      </c:pt>
                      <c:pt idx="60">
                        <c:v>1009536529019699.2</c:v>
                      </c:pt>
                      <c:pt idx="61">
                        <c:v>1493472589853491.2</c:v>
                      </c:pt>
                      <c:pt idx="62">
                        <c:v>1186029059755212.7</c:v>
                      </c:pt>
                      <c:pt idx="63">
                        <c:v>-32509991583744</c:v>
                      </c:pt>
                      <c:pt idx="64">
                        <c:v>-308444724304281.62</c:v>
                      </c:pt>
                      <c:pt idx="65">
                        <c:v>180452311200563.19</c:v>
                      </c:pt>
                      <c:pt idx="66">
                        <c:v>44676692207206.398</c:v>
                      </c:pt>
                      <c:pt idx="67">
                        <c:v>-27231455386009.602</c:v>
                      </c:pt>
                      <c:pt idx="68">
                        <c:v>587944896443187.25</c:v>
                      </c:pt>
                      <c:pt idx="69">
                        <c:v>1303911262165401.5</c:v>
                      </c:pt>
                      <c:pt idx="70">
                        <c:v>-5271876713368781</c:v>
                      </c:pt>
                      <c:pt idx="71">
                        <c:v>-1959447094099968</c:v>
                      </c:pt>
                      <c:pt idx="72">
                        <c:v>-26148515872768</c:v>
                      </c:pt>
                      <c:pt idx="73">
                        <c:v>206205367615488</c:v>
                      </c:pt>
                      <c:pt idx="74">
                        <c:v>-384339714192179.19</c:v>
                      </c:pt>
                      <c:pt idx="75">
                        <c:v>-1056600219451392</c:v>
                      </c:pt>
                      <c:pt idx="76">
                        <c:v>-604140926192844.75</c:v>
                      </c:pt>
                      <c:pt idx="77">
                        <c:v>-308543312127590.37</c:v>
                      </c:pt>
                      <c:pt idx="78">
                        <c:v>-100680947728384</c:v>
                      </c:pt>
                      <c:pt idx="79">
                        <c:v>221557661315891.19</c:v>
                      </c:pt>
                      <c:pt idx="80">
                        <c:v>89084496183296</c:v>
                      </c:pt>
                      <c:pt idx="81">
                        <c:v>127603880178483.2</c:v>
                      </c:pt>
                      <c:pt idx="82">
                        <c:v>631677610727833.62</c:v>
                      </c:pt>
                      <c:pt idx="83">
                        <c:v>163793085870899.19</c:v>
                      </c:pt>
                      <c:pt idx="84">
                        <c:v>-484758503450214.37</c:v>
                      </c:pt>
                      <c:pt idx="85">
                        <c:v>161409882338099.19</c:v>
                      </c:pt>
                      <c:pt idx="86">
                        <c:v>-345003822940160</c:v>
                      </c:pt>
                      <c:pt idx="87">
                        <c:v>294173846955622.37</c:v>
                      </c:pt>
                      <c:pt idx="88">
                        <c:v>-113362421415936</c:v>
                      </c:pt>
                      <c:pt idx="89">
                        <c:v>-270102161679974.41</c:v>
                      </c:pt>
                      <c:pt idx="90">
                        <c:v>356719218026086.37</c:v>
                      </c:pt>
                      <c:pt idx="91">
                        <c:v>-119357166164377.59</c:v>
                      </c:pt>
                      <c:pt idx="92">
                        <c:v>181260402452070.41</c:v>
                      </c:pt>
                      <c:pt idx="93">
                        <c:v>316604495691776</c:v>
                      </c:pt>
                      <c:pt idx="94">
                        <c:v>-983042589248716.75</c:v>
                      </c:pt>
                      <c:pt idx="95">
                        <c:v>353999153581260.81</c:v>
                      </c:pt>
                      <c:pt idx="96">
                        <c:v>720461537214464</c:v>
                      </c:pt>
                      <c:pt idx="97">
                        <c:v>864326441657958.37</c:v>
                      </c:pt>
                      <c:pt idx="98">
                        <c:v>-428525550252851.19</c:v>
                      </c:pt>
                      <c:pt idx="99">
                        <c:v>123940625815961.59</c:v>
                      </c:pt>
                      <c:pt idx="100">
                        <c:v>-76228667952332.797</c:v>
                      </c:pt>
                      <c:pt idx="101">
                        <c:v>-433497729033830.37</c:v>
                      </c:pt>
                      <c:pt idx="102">
                        <c:v>-370134845856153.62</c:v>
                      </c:pt>
                      <c:pt idx="103">
                        <c:v>-71249081663488</c:v>
                      </c:pt>
                      <c:pt idx="104">
                        <c:v>-94154860265472</c:v>
                      </c:pt>
                      <c:pt idx="105">
                        <c:v>381883363046195.19</c:v>
                      </c:pt>
                      <c:pt idx="106">
                        <c:v>862568282954137.62</c:v>
                      </c:pt>
                      <c:pt idx="107">
                        <c:v>358946301385113.62</c:v>
                      </c:pt>
                      <c:pt idx="108">
                        <c:v>356032747615027.19</c:v>
                      </c:pt>
                      <c:pt idx="109">
                        <c:v>852235037913907.25</c:v>
                      </c:pt>
                      <c:pt idx="110">
                        <c:v>-1465702983034470.5</c:v>
                      </c:pt>
                      <c:pt idx="111">
                        <c:v>270706364173516.81</c:v>
                      </c:pt>
                      <c:pt idx="112">
                        <c:v>-372644869937561.62</c:v>
                      </c:pt>
                      <c:pt idx="113">
                        <c:v>-106596775703347.2</c:v>
                      </c:pt>
                      <c:pt idx="114">
                        <c:v>-261107608033689.59</c:v>
                      </c:pt>
                      <c:pt idx="115">
                        <c:v>-39216108430950.398</c:v>
                      </c:pt>
                      <c:pt idx="116">
                        <c:v>-26706257641472</c:v>
                      </c:pt>
                      <c:pt idx="117">
                        <c:v>458075283442892.81</c:v>
                      </c:pt>
                      <c:pt idx="118">
                        <c:v>1245457374668390.5</c:v>
                      </c:pt>
                      <c:pt idx="119">
                        <c:v>636151391269683.25</c:v>
                      </c:pt>
                      <c:pt idx="120">
                        <c:v>1819349327701606.5</c:v>
                      </c:pt>
                      <c:pt idx="121">
                        <c:v>585001246654464</c:v>
                      </c:pt>
                      <c:pt idx="122">
                        <c:v>-96349295555379.203</c:v>
                      </c:pt>
                      <c:pt idx="123">
                        <c:v>-42756117574451.203</c:v>
                      </c:pt>
                      <c:pt idx="124">
                        <c:v>-412039349325004.81</c:v>
                      </c:pt>
                      <c:pt idx="125">
                        <c:v>-337694059344691.19</c:v>
                      </c:pt>
                      <c:pt idx="126">
                        <c:v>-264287065368166.41</c:v>
                      </c:pt>
                      <c:pt idx="127">
                        <c:v>73793601168998.406</c:v>
                      </c:pt>
                      <c:pt idx="128">
                        <c:v>228668882288640</c:v>
                      </c:pt>
                      <c:pt idx="129">
                        <c:v>701218438722355.25</c:v>
                      </c:pt>
                      <c:pt idx="130">
                        <c:v>-1564930674471731.2</c:v>
                      </c:pt>
                      <c:pt idx="131">
                        <c:v>-2570274052925030.5</c:v>
                      </c:pt>
                      <c:pt idx="132">
                        <c:v>-123965596290252.8</c:v>
                      </c:pt>
                      <c:pt idx="133">
                        <c:v>408814580504985.62</c:v>
                      </c:pt>
                      <c:pt idx="134">
                        <c:v>-874557665705984</c:v>
                      </c:pt>
                      <c:pt idx="135">
                        <c:v>-467828498182963.19</c:v>
                      </c:pt>
                      <c:pt idx="136">
                        <c:v>-421648127334809.62</c:v>
                      </c:pt>
                      <c:pt idx="137">
                        <c:v>-551790172962816</c:v>
                      </c:pt>
                      <c:pt idx="138">
                        <c:v>-614420115777126.37</c:v>
                      </c:pt>
                      <c:pt idx="139">
                        <c:v>-54884590891827.203</c:v>
                      </c:pt>
                      <c:pt idx="140">
                        <c:v>171217961195929.59</c:v>
                      </c:pt>
                      <c:pt idx="141">
                        <c:v>167002865972019.19</c:v>
                      </c:pt>
                      <c:pt idx="142">
                        <c:v>294536187006156.81</c:v>
                      </c:pt>
                      <c:pt idx="143">
                        <c:v>174263223766220.81</c:v>
                      </c:pt>
                    </c:numCache>
                  </c:numRef>
                </c:val>
                <c:smooth val="0"/>
                <c:extLst xmlns:c16r2="http://schemas.microsoft.com/office/drawing/2015/06/chart">
                  <c:ext xmlns:c16="http://schemas.microsoft.com/office/drawing/2014/chart" uri="{C3380CC4-5D6E-409C-BE32-E72D297353CC}">
                    <c16:uniqueId val="{00000002-4C51-4204-9308-C533618AE589}"/>
                  </c:ext>
                </c:extLst>
              </c15:ser>
            </c15:filteredLineSeries>
          </c:ext>
        </c:extLst>
      </c:lineChart>
      <c:dateAx>
        <c:axId val="503816336"/>
        <c:scaling>
          <c:orientation val="minMax"/>
        </c:scaling>
        <c:delete val="0"/>
        <c:axPos val="b"/>
        <c:majorGridlines>
          <c:spPr>
            <a:ln w="9525" cap="flat" cmpd="sng" algn="ctr">
              <a:solidFill>
                <a:schemeClr val="tx1">
                  <a:lumMod val="15000"/>
                  <a:lumOff val="85000"/>
                </a:schemeClr>
              </a:solidFill>
              <a:round/>
            </a:ln>
            <a:effectLst/>
          </c:spPr>
        </c:majorGridlines>
        <c:numFmt formatCode="yyyy"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3816728"/>
        <c:crosses val="autoZero"/>
        <c:auto val="0"/>
        <c:lblOffset val="100"/>
        <c:baseTimeUnit val="months"/>
        <c:majorUnit val="1"/>
        <c:majorTimeUnit val="years"/>
      </c:dateAx>
      <c:valAx>
        <c:axId val="503816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r>
                  <a:rPr lang="en-US" sz="1200"/>
                  <a:t>NO</a:t>
                </a:r>
                <a:r>
                  <a:rPr lang="en-US" sz="1200" baseline="-25000"/>
                  <a:t>2 </a:t>
                </a:r>
                <a:r>
                  <a:rPr lang="en-US" sz="1200"/>
                  <a:t>Concentration (molecules/cm</a:t>
                </a:r>
                <a:r>
                  <a:rPr lang="en-US" sz="1200" baseline="30000"/>
                  <a:t>2</a:t>
                </a:r>
                <a:r>
                  <a:rPr lang="en-US" sz="1200"/>
                  <a:t>)</a:t>
                </a:r>
              </a:p>
            </c:rich>
          </c:tx>
          <c:layout>
            <c:manualLayout>
              <c:xMode val="edge"/>
              <c:yMode val="edge"/>
              <c:x val="1.4957264957264958E-2"/>
              <c:y val="0.155732067738108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03816336"/>
        <c:crosses val="autoZero"/>
        <c:crossBetween val="between"/>
      </c:valAx>
      <c:spPr>
        <a:noFill/>
        <a:ln>
          <a:noFill/>
        </a:ln>
        <a:effectLst/>
      </c:spPr>
    </c:plotArea>
    <c:legend>
      <c:legendPos val="b"/>
      <c:layout>
        <c:manualLayout>
          <c:xMode val="edge"/>
          <c:yMode val="edge"/>
          <c:x val="0.31955094555488256"/>
          <c:y val="0.92195448171718264"/>
          <c:w val="0.36089794064203512"/>
          <c:h val="7.073958220975802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US" sz="1400" b="0"/>
              <a:t>SO</a:t>
            </a:r>
            <a:r>
              <a:rPr lang="en-US" sz="1400" b="0" baseline="-25000"/>
              <a:t>2</a:t>
            </a:r>
            <a:r>
              <a:rPr lang="en-US" sz="1400" b="0"/>
              <a:t> Concentration Comparison</a:t>
            </a:r>
          </a:p>
        </c:rich>
      </c:tx>
      <c:overlay val="0"/>
    </c:title>
    <c:autoTitleDeleted val="0"/>
    <c:plotArea>
      <c:layout/>
      <c:lineChart>
        <c:grouping val="standard"/>
        <c:varyColors val="0"/>
        <c:ser>
          <c:idx val="0"/>
          <c:order val="0"/>
          <c:tx>
            <c:v>OMI Data (DU)</c:v>
          </c:tx>
          <c:spPr>
            <a:ln w="28575" cap="rnd">
              <a:solidFill>
                <a:schemeClr val="accent4"/>
              </a:solidFill>
              <a:round/>
            </a:ln>
            <a:effectLst/>
          </c:spPr>
          <c:marker>
            <c:symbol val="none"/>
          </c:marker>
          <c:cat>
            <c:numRef>
              <c:f>Sheet1!$B$5:$EO$5</c:f>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f>Sheet1!$B$7:$EO$7</c:f>
              <c:numCache>
                <c:formatCode>General</c:formatCode>
                <c:ptCount val="144"/>
                <c:pt idx="0">
                  <c:v>-5.3918862715363501E-3</c:v>
                </c:pt>
                <c:pt idx="1">
                  <c:v>-1.7536514351377264E-3</c:v>
                </c:pt>
                <c:pt idx="2">
                  <c:v>8.8065655902028091E-3</c:v>
                </c:pt>
                <c:pt idx="3">
                  <c:v>2.7218560187611728E-2</c:v>
                </c:pt>
                <c:pt idx="4">
                  <c:v>3.9043551497161391E-2</c:v>
                </c:pt>
                <c:pt idx="7">
                  <c:v>-1.4554043748648837E-2</c:v>
                </c:pt>
                <c:pt idx="8">
                  <c:v>-1.6483597690239549E-2</c:v>
                </c:pt>
                <c:pt idx="9">
                  <c:v>-5.1461627800017597E-2</c:v>
                </c:pt>
                <c:pt idx="10">
                  <c:v>-5.2212734147906302E-2</c:v>
                </c:pt>
                <c:pt idx="11">
                  <c:v>5.4004427423933517E-3</c:v>
                </c:pt>
                <c:pt idx="12">
                  <c:v>9.4877612544223659E-3</c:v>
                </c:pt>
                <c:pt idx="13">
                  <c:v>-4.7956145106581973E-3</c:v>
                </c:pt>
                <c:pt idx="14">
                  <c:v>2.3311330949266761E-2</c:v>
                </c:pt>
                <c:pt idx="15">
                  <c:v>1.7363708559423686E-2</c:v>
                </c:pt>
                <c:pt idx="16">
                  <c:v>-3.1554790399968627E-2</c:v>
                </c:pt>
                <c:pt idx="19">
                  <c:v>6.7007005587220198E-2</c:v>
                </c:pt>
                <c:pt idx="20">
                  <c:v>2.9893489787355064E-3</c:v>
                </c:pt>
                <c:pt idx="21">
                  <c:v>4.9527734052389862E-3</c:v>
                </c:pt>
                <c:pt idx="22">
                  <c:v>-7.2023100545629853E-2</c:v>
                </c:pt>
                <c:pt idx="23">
                  <c:v>2.418541884981096E-3</c:v>
                </c:pt>
                <c:pt idx="24">
                  <c:v>-3.2272607460618018E-2</c:v>
                </c:pt>
                <c:pt idx="25">
                  <c:v>4.6716887503862381E-2</c:v>
                </c:pt>
                <c:pt idx="26">
                  <c:v>2.9118644457776101E-2</c:v>
                </c:pt>
                <c:pt idx="27">
                  <c:v>2.0611087419092657E-2</c:v>
                </c:pt>
                <c:pt idx="28">
                  <c:v>7.5293805450201035E-2</c:v>
                </c:pt>
                <c:pt idx="31">
                  <c:v>2.5690233148634434E-2</c:v>
                </c:pt>
                <c:pt idx="32">
                  <c:v>-2.0731860352680088E-2</c:v>
                </c:pt>
                <c:pt idx="33">
                  <c:v>2.0083107799291611E-2</c:v>
                </c:pt>
                <c:pt idx="34">
                  <c:v>9.515514783561229E-3</c:v>
                </c:pt>
                <c:pt idx="35">
                  <c:v>4.1512884665280581E-2</c:v>
                </c:pt>
                <c:pt idx="36">
                  <c:v>3.0135173138114625E-2</c:v>
                </c:pt>
                <c:pt idx="37">
                  <c:v>-8.9631522074341777E-3</c:v>
                </c:pt>
                <c:pt idx="38">
                  <c:v>-5.020103696733713E-3</c:v>
                </c:pt>
                <c:pt idx="39">
                  <c:v>-1.8902158271521328E-2</c:v>
                </c:pt>
                <c:pt idx="40">
                  <c:v>1.7367613129317762E-2</c:v>
                </c:pt>
                <c:pt idx="43">
                  <c:v>4.2645792476832863E-3</c:v>
                </c:pt>
                <c:pt idx="44">
                  <c:v>2.2137396596372129E-2</c:v>
                </c:pt>
                <c:pt idx="45">
                  <c:v>-1.7726762965321542E-2</c:v>
                </c:pt>
                <c:pt idx="46">
                  <c:v>-4.9133747932501139E-3</c:v>
                </c:pt>
                <c:pt idx="47">
                  <c:v>-2.8286080900579692E-2</c:v>
                </c:pt>
                <c:pt idx="48">
                  <c:v>3.3024084102362392E-2</c:v>
                </c:pt>
                <c:pt idx="49">
                  <c:v>4.2550062574446199E-2</c:v>
                </c:pt>
                <c:pt idx="50">
                  <c:v>1.3422949146479369E-2</c:v>
                </c:pt>
                <c:pt idx="51">
                  <c:v>5.3346289414912464E-2</c:v>
                </c:pt>
                <c:pt idx="52">
                  <c:v>1.0201838938519359E-2</c:v>
                </c:pt>
                <c:pt idx="55">
                  <c:v>9.1447521001100547E-3</c:v>
                </c:pt>
                <c:pt idx="56">
                  <c:v>6.1958340537967158E-2</c:v>
                </c:pt>
                <c:pt idx="57">
                  <c:v>5.2035901695489887E-3</c:v>
                </c:pt>
                <c:pt idx="58">
                  <c:v>5.3627597726881505E-2</c:v>
                </c:pt>
                <c:pt idx="59">
                  <c:v>3.7531870044767858E-2</c:v>
                </c:pt>
                <c:pt idx="60">
                  <c:v>5.0182000780478117E-2</c:v>
                </c:pt>
                <c:pt idx="61">
                  <c:v>-1.3859094539657234E-2</c:v>
                </c:pt>
                <c:pt idx="62">
                  <c:v>-3.6041098646819589E-4</c:v>
                </c:pt>
                <c:pt idx="63">
                  <c:v>4.9344827421009541E-2</c:v>
                </c:pt>
                <c:pt idx="64">
                  <c:v>6.5754341892898083E-2</c:v>
                </c:pt>
                <c:pt idx="67">
                  <c:v>6.137440763413906E-2</c:v>
                </c:pt>
                <c:pt idx="68">
                  <c:v>-4.5275207026861611E-3</c:v>
                </c:pt>
                <c:pt idx="69">
                  <c:v>2.1271046251058578E-2</c:v>
                </c:pt>
                <c:pt idx="70">
                  <c:v>-5.8826603740453717E-2</c:v>
                </c:pt>
                <c:pt idx="71">
                  <c:v>9.1850367374718186E-3</c:v>
                </c:pt>
                <c:pt idx="72">
                  <c:v>-3.7034453806700188E-2</c:v>
                </c:pt>
                <c:pt idx="73">
                  <c:v>7.9990455508232111E-2</c:v>
                </c:pt>
                <c:pt idx="74">
                  <c:v>2.3173263296484949E-3</c:v>
                </c:pt>
                <c:pt idx="75">
                  <c:v>4.9216058850288388E-2</c:v>
                </c:pt>
                <c:pt idx="76">
                  <c:v>1.7693087714724241E-2</c:v>
                </c:pt>
                <c:pt idx="79">
                  <c:v>0.12361342068761587</c:v>
                </c:pt>
                <c:pt idx="80">
                  <c:v>2.4304228392429648E-2</c:v>
                </c:pt>
                <c:pt idx="81">
                  <c:v>-5.3213187865912913E-2</c:v>
                </c:pt>
                <c:pt idx="82">
                  <c:v>-3.5894867032766343E-4</c:v>
                </c:pt>
                <c:pt idx="83">
                  <c:v>-1.9683881755918266E-2</c:v>
                </c:pt>
                <c:pt idx="84">
                  <c:v>3.4349054098129273E-3</c:v>
                </c:pt>
                <c:pt idx="85">
                  <c:v>3.2594508025795221E-2</c:v>
                </c:pt>
                <c:pt idx="86">
                  <c:v>-0.10165686784312129</c:v>
                </c:pt>
                <c:pt idx="87">
                  <c:v>2.4057664803694933E-2</c:v>
                </c:pt>
                <c:pt idx="88">
                  <c:v>0.13012254908680915</c:v>
                </c:pt>
                <c:pt idx="91">
                  <c:v>1.1018187273293734E-2</c:v>
                </c:pt>
                <c:pt idx="92">
                  <c:v>1.2712731584906578E-2</c:v>
                </c:pt>
                <c:pt idx="93">
                  <c:v>3.036861354485154E-3</c:v>
                </c:pt>
                <c:pt idx="94">
                  <c:v>-4.1702653374522926E-2</c:v>
                </c:pt>
                <c:pt idx="95">
                  <c:v>-3.5646827984601261E-2</c:v>
                </c:pt>
                <c:pt idx="96">
                  <c:v>5.7505533937364815E-2</c:v>
                </c:pt>
                <c:pt idx="97">
                  <c:v>-3.4626757260411978E-3</c:v>
                </c:pt>
                <c:pt idx="98">
                  <c:v>2.4441575491800906E-2</c:v>
                </c:pt>
                <c:pt idx="99">
                  <c:v>7.7932419721037146E-3</c:v>
                </c:pt>
                <c:pt idx="100">
                  <c:v>3.4057865664362905E-2</c:v>
                </c:pt>
                <c:pt idx="103">
                  <c:v>7.0665177796036011E-2</c:v>
                </c:pt>
                <c:pt idx="104">
                  <c:v>7.7402649447321894E-3</c:v>
                </c:pt>
                <c:pt idx="105">
                  <c:v>1.4012724766507745E-2</c:v>
                </c:pt>
                <c:pt idx="106">
                  <c:v>-5.5377520644105969E-2</c:v>
                </c:pt>
                <c:pt idx="107">
                  <c:v>-1.5706716571003199E-2</c:v>
                </c:pt>
                <c:pt idx="108">
                  <c:v>-7.2539888240862632E-2</c:v>
                </c:pt>
                <c:pt idx="109">
                  <c:v>-4.762166189029813E-2</c:v>
                </c:pt>
                <c:pt idx="110">
                  <c:v>-3.1944288965314628E-2</c:v>
                </c:pt>
                <c:pt idx="111">
                  <c:v>0.11450090110301972</c:v>
                </c:pt>
                <c:pt idx="112">
                  <c:v>6.5450847800821069E-2</c:v>
                </c:pt>
                <c:pt idx="115">
                  <c:v>-3.2761398050934074E-2</c:v>
                </c:pt>
                <c:pt idx="116">
                  <c:v>-5.6371613405644897E-3</c:v>
                </c:pt>
                <c:pt idx="117">
                  <c:v>1.295877555385232E-2</c:v>
                </c:pt>
                <c:pt idx="118">
                  <c:v>3.952836780808866E-2</c:v>
                </c:pt>
                <c:pt idx="119">
                  <c:v>2.4669285770505665E-2</c:v>
                </c:pt>
                <c:pt idx="120">
                  <c:v>-2.5860315188765528E-3</c:v>
                </c:pt>
                <c:pt idx="121">
                  <c:v>-5.7443784549832348E-3</c:v>
                </c:pt>
                <c:pt idx="122">
                  <c:v>-4.8536641988903284E-2</c:v>
                </c:pt>
                <c:pt idx="123">
                  <c:v>-4.1593721229583026E-2</c:v>
                </c:pt>
                <c:pt idx="124">
                  <c:v>0.12135800151154399</c:v>
                </c:pt>
                <c:pt idx="127">
                  <c:v>9.6217985264956951E-3</c:v>
                </c:pt>
                <c:pt idx="128">
                  <c:v>-4.1005028225481507E-2</c:v>
                </c:pt>
                <c:pt idx="129">
                  <c:v>2.1680747158825397E-3</c:v>
                </c:pt>
                <c:pt idx="130">
                  <c:v>-8.0526621080934998E-3</c:v>
                </c:pt>
                <c:pt idx="131">
                  <c:v>3.2869210699573159E-3</c:v>
                </c:pt>
                <c:pt idx="132">
                  <c:v>9.3058151192963123E-2</c:v>
                </c:pt>
                <c:pt idx="133">
                  <c:v>9.8936483263969413E-4</c:v>
                </c:pt>
                <c:pt idx="134">
                  <c:v>0.12271888367831707</c:v>
                </c:pt>
                <c:pt idx="135">
                  <c:v>-2.6443525185459293E-2</c:v>
                </c:pt>
                <c:pt idx="136">
                  <c:v>-3.3617212343960999E-2</c:v>
                </c:pt>
                <c:pt idx="139">
                  <c:v>0.10733106392435729</c:v>
                </c:pt>
                <c:pt idx="140">
                  <c:v>-1.7761405557394027E-3</c:v>
                </c:pt>
                <c:pt idx="141">
                  <c:v>-2.7494520368054508E-2</c:v>
                </c:pt>
                <c:pt idx="142">
                  <c:v>-5.3514266945421697E-2</c:v>
                </c:pt>
                <c:pt idx="143">
                  <c:v>-5.6391184031963346E-2</c:v>
                </c:pt>
              </c:numCache>
            </c:numRef>
          </c:val>
          <c:smooth val="0"/>
          <c:extLst xmlns:c16r2="http://schemas.microsoft.com/office/drawing/2015/06/chart">
            <c:ext xmlns:c16="http://schemas.microsoft.com/office/drawing/2014/chart" uri="{C3380CC4-5D6E-409C-BE32-E72D297353CC}">
              <c16:uniqueId val="{00000000-F283-4F78-8361-D63480C98801}"/>
            </c:ext>
          </c:extLst>
        </c:ser>
        <c:dLbls>
          <c:showLegendKey val="0"/>
          <c:showVal val="0"/>
          <c:showCatName val="0"/>
          <c:showSerName val="0"/>
          <c:showPercent val="0"/>
          <c:showBubbleSize val="0"/>
        </c:dLbls>
        <c:marker val="1"/>
        <c:smooth val="0"/>
        <c:axId val="503817512"/>
        <c:axId val="503817904"/>
      </c:lineChart>
      <c:lineChart>
        <c:grouping val="standard"/>
        <c:varyColors val="0"/>
        <c:ser>
          <c:idx val="1"/>
          <c:order val="1"/>
          <c:tx>
            <c:v>Big Meadows (ppb)</c:v>
          </c:tx>
          <c:spPr>
            <a:ln w="28575" cap="rnd">
              <a:solidFill>
                <a:schemeClr val="accent2"/>
              </a:solidFill>
              <a:round/>
            </a:ln>
            <a:effectLst/>
          </c:spPr>
          <c:marker>
            <c:symbol val="none"/>
          </c:marker>
          <c:cat>
            <c:numRef>
              <c:f>Sheet1!$B$5:$EO$5</c:f>
              <c:numCache>
                <c:formatCode>mmm\-yy</c:formatCode>
                <c:ptCount val="144"/>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numCache>
            </c:numRef>
          </c:cat>
          <c:val>
            <c:numRef>
              <c:f>Sheet1!$B$6:$EO$6</c:f>
              <c:numCache>
                <c:formatCode>General</c:formatCode>
                <c:ptCount val="144"/>
                <c:pt idx="0">
                  <c:v>9.8216438665986068E-3</c:v>
                </c:pt>
                <c:pt idx="1">
                  <c:v>5.8320116437971595E-2</c:v>
                </c:pt>
                <c:pt idx="2">
                  <c:v>1.9361819140613079E-2</c:v>
                </c:pt>
                <c:pt idx="3">
                  <c:v>2.3144063726067542E-2</c:v>
                </c:pt>
                <c:pt idx="4">
                  <c:v>4.4828305393457411E-2</c:v>
                </c:pt>
                <c:pt idx="5">
                  <c:v>7.4266502633690834E-2</c:v>
                </c:pt>
                <c:pt idx="6">
                  <c:v>0.10212999191135168</c:v>
                </c:pt>
                <c:pt idx="7">
                  <c:v>1.0873027611523867E-2</c:v>
                </c:pt>
                <c:pt idx="8">
                  <c:v>3.0006097722798587E-2</c:v>
                </c:pt>
                <c:pt idx="9">
                  <c:v>5.0058484077453612E-3</c:v>
                </c:pt>
                <c:pt idx="10">
                  <c:v>2.3075086995959282E-2</c:v>
                </c:pt>
                <c:pt idx="11">
                  <c:v>0.44922016672790049</c:v>
                </c:pt>
                <c:pt idx="12">
                  <c:v>6.1001257970929148E-3</c:v>
                </c:pt>
                <c:pt idx="13">
                  <c:v>2.7401511371135712E-2</c:v>
                </c:pt>
                <c:pt idx="14">
                  <c:v>2.1855587325990199E-2</c:v>
                </c:pt>
                <c:pt idx="15">
                  <c:v>2.4959637224674223E-2</c:v>
                </c:pt>
                <c:pt idx="16">
                  <c:v>5.5213639885187148E-2</c:v>
                </c:pt>
                <c:pt idx="17">
                  <c:v>5.3400179184973237E-2</c:v>
                </c:pt>
                <c:pt idx="18">
                  <c:v>2.700082305818796E-3</c:v>
                </c:pt>
                <c:pt idx="19">
                  <c:v>6.7464831564575431E-2</c:v>
                </c:pt>
                <c:pt idx="20">
                  <c:v>0</c:v>
                </c:pt>
                <c:pt idx="21">
                  <c:v>7.5483011081814762E-3</c:v>
                </c:pt>
                <c:pt idx="22">
                  <c:v>0.10173840969800949</c:v>
                </c:pt>
                <c:pt idx="23">
                  <c:v>2.7664981561247259E-2</c:v>
                </c:pt>
                <c:pt idx="24">
                  <c:v>2.2291395813226699E-3</c:v>
                </c:pt>
                <c:pt idx="25">
                  <c:v>6.0686326585710049E-2</c:v>
                </c:pt>
                <c:pt idx="26">
                  <c:v>1.9460252393037079E-2</c:v>
                </c:pt>
                <c:pt idx="27">
                  <c:v>3.942733803996816E-2</c:v>
                </c:pt>
                <c:pt idx="28">
                  <c:v>3.5556623339653017E-2</c:v>
                </c:pt>
                <c:pt idx="29">
                  <c:v>0.14216092973947525</c:v>
                </c:pt>
                <c:pt idx="30">
                  <c:v>7.4828519858419901E-2</c:v>
                </c:pt>
                <c:pt idx="31">
                  <c:v>1.5409325994551182E-2</c:v>
                </c:pt>
                <c:pt idx="32">
                  <c:v>6.4371305285021666E-3</c:v>
                </c:pt>
                <c:pt idx="33">
                  <c:v>4.7883617412298921E-2</c:v>
                </c:pt>
                <c:pt idx="34">
                  <c:v>2.0259923115372658E-2</c:v>
                </c:pt>
                <c:pt idx="35">
                  <c:v>3.3057116344571112E-2</c:v>
                </c:pt>
                <c:pt idx="36">
                  <c:v>8.3196326531469827E-2</c:v>
                </c:pt>
                <c:pt idx="37">
                  <c:v>4.2159732058644296E-2</c:v>
                </c:pt>
                <c:pt idx="38">
                  <c:v>2.6781807094812392E-2</c:v>
                </c:pt>
                <c:pt idx="39">
                  <c:v>8.1577743310481315E-2</c:v>
                </c:pt>
                <c:pt idx="40">
                  <c:v>6.3957819156348711E-2</c:v>
                </c:pt>
                <c:pt idx="41">
                  <c:v>4.4600481539964675E-2</c:v>
                </c:pt>
                <c:pt idx="42">
                  <c:v>4.6975409146398309E-3</c:v>
                </c:pt>
                <c:pt idx="43">
                  <c:v>6.3116140197962524E-3</c:v>
                </c:pt>
                <c:pt idx="44">
                  <c:v>1.1215383652597666E-2</c:v>
                </c:pt>
                <c:pt idx="45">
                  <c:v>3.3988994080573322E-3</c:v>
                </c:pt>
                <c:pt idx="46">
                  <c:v>2.8923885338008402E-2</c:v>
                </c:pt>
                <c:pt idx="47">
                  <c:v>7.0876882085576659E-2</c:v>
                </c:pt>
                <c:pt idx="48">
                  <c:v>3.0375723633915185E-2</c:v>
                </c:pt>
                <c:pt idx="49">
                  <c:v>2.7735938783735037E-4</c:v>
                </c:pt>
                <c:pt idx="50">
                  <c:v>2.090706266462803E-2</c:v>
                </c:pt>
                <c:pt idx="51">
                  <c:v>3.9611726626753808E-2</c:v>
                </c:pt>
                <c:pt idx="52">
                  <c:v>0.14718833509832621</c:v>
                </c:pt>
                <c:pt idx="53">
                  <c:v>7.9319497197866434E-2</c:v>
                </c:pt>
                <c:pt idx="54">
                  <c:v>0.3265368355438113</c:v>
                </c:pt>
                <c:pt idx="55">
                  <c:v>0.12597611099481582</c:v>
                </c:pt>
                <c:pt idx="56">
                  <c:v>2.2623347630724312E-2</c:v>
                </c:pt>
                <c:pt idx="57">
                  <c:v>1.0296070575714111E-2</c:v>
                </c:pt>
                <c:pt idx="58">
                  <c:v>6.2669286876916891E-2</c:v>
                </c:pt>
                <c:pt idx="59">
                  <c:v>4.4972173869609833E-2</c:v>
                </c:pt>
                <c:pt idx="60">
                  <c:v>5.7609189813956616E-2</c:v>
                </c:pt>
                <c:pt idx="61">
                  <c:v>5.6775880604982377E-2</c:v>
                </c:pt>
                <c:pt idx="62">
                  <c:v>7.1313770487904549E-2</c:v>
                </c:pt>
                <c:pt idx="63">
                  <c:v>8.9394904859364036E-2</c:v>
                </c:pt>
                <c:pt idx="64">
                  <c:v>0.14591173790395259</c:v>
                </c:pt>
                <c:pt idx="65">
                  <c:v>0.15673162788152695</c:v>
                </c:pt>
                <c:pt idx="66">
                  <c:v>7.2145804762840271E-2</c:v>
                </c:pt>
                <c:pt idx="67">
                  <c:v>4.465955775231123E-2</c:v>
                </c:pt>
                <c:pt idx="68">
                  <c:v>3.2321013882756232E-2</c:v>
                </c:pt>
                <c:pt idx="69">
                  <c:v>1.1991884186863899E-2</c:v>
                </c:pt>
                <c:pt idx="70">
                  <c:v>9.5756398513913155E-2</c:v>
                </c:pt>
                <c:pt idx="71">
                  <c:v>3.9671507675666365E-2</c:v>
                </c:pt>
                <c:pt idx="72">
                  <c:v>4.9923710618168117E-2</c:v>
                </c:pt>
                <c:pt idx="73">
                  <c:v>6.7005662247538567E-2</c:v>
                </c:pt>
                <c:pt idx="74">
                  <c:v>3.443891741335392E-2</c:v>
                </c:pt>
                <c:pt idx="75">
                  <c:v>0.14505852460861207</c:v>
                </c:pt>
                <c:pt idx="76">
                  <c:v>8.0218866467475884E-3</c:v>
                </c:pt>
                <c:pt idx="77">
                  <c:v>0.11427302211523056</c:v>
                </c:pt>
                <c:pt idx="78">
                  <c:v>2.4415988475084303E-3</c:v>
                </c:pt>
                <c:pt idx="79">
                  <c:v>7.0040140557102865E-2</c:v>
                </c:pt>
                <c:pt idx="80">
                  <c:v>0.10323171336203814</c:v>
                </c:pt>
                <c:pt idx="81">
                  <c:v>6.8720776587724686E-2</c:v>
                </c:pt>
                <c:pt idx="82">
                  <c:v>2.1283214818686245E-2</c:v>
                </c:pt>
                <c:pt idx="83">
                  <c:v>1.7804993316531182E-3</c:v>
                </c:pt>
                <c:pt idx="84">
                  <c:v>0.12474058195948601</c:v>
                </c:pt>
                <c:pt idx="85">
                  <c:v>8.5383807378821078E-2</c:v>
                </c:pt>
                <c:pt idx="86">
                  <c:v>3.6123720742762086E-2</c:v>
                </c:pt>
                <c:pt idx="87">
                  <c:v>2.0664039067924023E-2</c:v>
                </c:pt>
                <c:pt idx="88">
                  <c:v>3.7913158815354106E-2</c:v>
                </c:pt>
                <c:pt idx="89">
                  <c:v>6.32054328918457E-2</c:v>
                </c:pt>
                <c:pt idx="90">
                  <c:v>2.2615054622292519E-2</c:v>
                </c:pt>
                <c:pt idx="91">
                  <c:v>7.3495608195662504E-2</c:v>
                </c:pt>
                <c:pt idx="92">
                  <c:v>3.1992501486092804E-2</c:v>
                </c:pt>
                <c:pt idx="93">
                  <c:v>6.6824608342722053E-2</c:v>
                </c:pt>
                <c:pt idx="94">
                  <c:v>1.7152394400909543E-2</c:v>
                </c:pt>
                <c:pt idx="95">
                  <c:v>5.2409689920023081E-2</c:v>
                </c:pt>
                <c:pt idx="96">
                  <c:v>1.773869264870882E-2</c:v>
                </c:pt>
                <c:pt idx="97">
                  <c:v>6.8373383022844791E-2</c:v>
                </c:pt>
                <c:pt idx="98">
                  <c:v>5.7130745053291319E-2</c:v>
                </c:pt>
                <c:pt idx="99">
                  <c:v>1.5638721069262829E-2</c:v>
                </c:pt>
                <c:pt idx="100">
                  <c:v>6.86745760962367E-2</c:v>
                </c:pt>
                <c:pt idx="101">
                  <c:v>0.10416913330554962</c:v>
                </c:pt>
                <c:pt idx="102">
                  <c:v>0.14534498425200582</c:v>
                </c:pt>
                <c:pt idx="103">
                  <c:v>7.039165124297142E-3</c:v>
                </c:pt>
                <c:pt idx="104">
                  <c:v>3.6170190759003164E-2</c:v>
                </c:pt>
                <c:pt idx="105">
                  <c:v>6.7131583951413637E-2</c:v>
                </c:pt>
                <c:pt idx="106">
                  <c:v>2.0177694410085677E-2</c:v>
                </c:pt>
                <c:pt idx="107">
                  <c:v>2.7283381996676327E-2</c:v>
                </c:pt>
                <c:pt idx="108">
                  <c:v>2.4060338921844959E-2</c:v>
                </c:pt>
                <c:pt idx="109">
                  <c:v>4.0020668320357798E-2</c:v>
                </c:pt>
                <c:pt idx="110">
                  <c:v>5.7022226229310038E-2</c:v>
                </c:pt>
                <c:pt idx="111">
                  <c:v>5.7458512857556342E-2</c:v>
                </c:pt>
                <c:pt idx="112">
                  <c:v>0.17757726795971393</c:v>
                </c:pt>
                <c:pt idx="113">
                  <c:v>0.14118909928947687</c:v>
                </c:pt>
                <c:pt idx="114">
                  <c:v>8.2238118629902601E-2</c:v>
                </c:pt>
                <c:pt idx="115">
                  <c:v>9.4563089311122898E-3</c:v>
                </c:pt>
                <c:pt idx="116">
                  <c:v>6.2394961714744568E-3</c:v>
                </c:pt>
                <c:pt idx="117">
                  <c:v>2.3608106747269632E-2</c:v>
                </c:pt>
                <c:pt idx="118">
                  <c:v>1.3308828324079513E-2</c:v>
                </c:pt>
                <c:pt idx="119">
                  <c:v>6.8939053243957465E-2</c:v>
                </c:pt>
                <c:pt idx="120">
                  <c:v>8.7766446545720106E-2</c:v>
                </c:pt>
                <c:pt idx="121">
                  <c:v>2.8113009501248599E-2</c:v>
                </c:pt>
                <c:pt idx="122">
                  <c:v>8.0812558345496652E-2</c:v>
                </c:pt>
                <c:pt idx="123">
                  <c:v>5.8240775577723981E-2</c:v>
                </c:pt>
                <c:pt idx="124">
                  <c:v>2.6626774389296771E-2</c:v>
                </c:pt>
                <c:pt idx="125">
                  <c:v>0.10222752541303634</c:v>
                </c:pt>
                <c:pt idx="126">
                  <c:v>6.2659601308405394E-2</c:v>
                </c:pt>
                <c:pt idx="127">
                  <c:v>5.8089575916528705E-2</c:v>
                </c:pt>
                <c:pt idx="128">
                  <c:v>1.7748754099011423E-2</c:v>
                </c:pt>
                <c:pt idx="129">
                  <c:v>2.3358156904578209E-3</c:v>
                </c:pt>
                <c:pt idx="130">
                  <c:v>1.8081591557711364E-2</c:v>
                </c:pt>
                <c:pt idx="131">
                  <c:v>7.3932083323597904E-4</c:v>
                </c:pt>
                <c:pt idx="132">
                  <c:v>2.0039837481454013E-2</c:v>
                </c:pt>
                <c:pt idx="133">
                  <c:v>4.698597319656983E-2</c:v>
                </c:pt>
                <c:pt idx="134">
                  <c:v>4.4971749442629515E-2</c:v>
                </c:pt>
                <c:pt idx="135">
                  <c:v>1.4115044893696905E-2</c:v>
                </c:pt>
                <c:pt idx="136">
                  <c:v>4.267360419034958E-2</c:v>
                </c:pt>
                <c:pt idx="137">
                  <c:v>0.11193659082055092</c:v>
                </c:pt>
                <c:pt idx="138">
                  <c:v>4.9382370011880991E-2</c:v>
                </c:pt>
                <c:pt idx="139">
                  <c:v>4.355136528611183E-2</c:v>
                </c:pt>
                <c:pt idx="140">
                  <c:v>3.6910149827599527E-2</c:v>
                </c:pt>
                <c:pt idx="141">
                  <c:v>5.4110307991504666E-2</c:v>
                </c:pt>
                <c:pt idx="142">
                  <c:v>3.5258322954177856E-2</c:v>
                </c:pt>
                <c:pt idx="143">
                  <c:v>2.9433765076100828E-2</c:v>
                </c:pt>
              </c:numCache>
            </c:numRef>
          </c:val>
          <c:smooth val="0"/>
          <c:extLst xmlns:c16r2="http://schemas.microsoft.com/office/drawing/2015/06/chart">
            <c:ext xmlns:c16="http://schemas.microsoft.com/office/drawing/2014/chart" uri="{C3380CC4-5D6E-409C-BE32-E72D297353CC}">
              <c16:uniqueId val="{00000001-F283-4F78-8361-D63480C98801}"/>
            </c:ext>
          </c:extLst>
        </c:ser>
        <c:dLbls>
          <c:showLegendKey val="0"/>
          <c:showVal val="0"/>
          <c:showCatName val="0"/>
          <c:showSerName val="0"/>
          <c:showPercent val="0"/>
          <c:showBubbleSize val="0"/>
        </c:dLbls>
        <c:marker val="1"/>
        <c:smooth val="0"/>
        <c:axId val="277020688"/>
        <c:axId val="277021080"/>
      </c:lineChart>
      <c:dateAx>
        <c:axId val="503817512"/>
        <c:scaling>
          <c:orientation val="minMax"/>
        </c:scaling>
        <c:delete val="0"/>
        <c:axPos val="b"/>
        <c:majorGridlines>
          <c:spPr>
            <a:ln w="3175">
              <a:solidFill>
                <a:schemeClr val="tx1">
                  <a:tint val="75000"/>
                  <a:alpha val="50000"/>
                </a:schemeClr>
              </a:solidFill>
            </a:ln>
          </c:spPr>
        </c:majorGridlines>
        <c:numFmt formatCode="yyyy" sourceLinked="0"/>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a:pPr>
            <a:endParaRPr lang="en-US"/>
          </a:p>
        </c:txPr>
        <c:crossAx val="503817904"/>
        <c:crosses val="autoZero"/>
        <c:auto val="1"/>
        <c:lblOffset val="100"/>
        <c:baseTimeUnit val="months"/>
        <c:majorUnit val="1"/>
        <c:majorTimeUnit val="years"/>
      </c:dateAx>
      <c:valAx>
        <c:axId val="50381790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1200" b="0"/>
                </a:pPr>
                <a:r>
                  <a:rPr lang="en-US" sz="1200" b="0"/>
                  <a:t>Dobson Units (DU)</a:t>
                </a:r>
              </a:p>
            </c:rich>
          </c:tx>
          <c:layout>
            <c:manualLayout>
              <c:xMode val="edge"/>
              <c:yMode val="edge"/>
              <c:x val="1.7094017094017096E-2"/>
              <c:y val="0.2783153182594540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503817512"/>
        <c:crosses val="autoZero"/>
        <c:crossBetween val="between"/>
      </c:valAx>
      <c:dateAx>
        <c:axId val="277020688"/>
        <c:scaling>
          <c:orientation val="minMax"/>
        </c:scaling>
        <c:delete val="1"/>
        <c:axPos val="b"/>
        <c:numFmt formatCode="mmm\-yy" sourceLinked="1"/>
        <c:majorTickMark val="out"/>
        <c:minorTickMark val="none"/>
        <c:tickLblPos val="nextTo"/>
        <c:crossAx val="277021080"/>
        <c:crosses val="autoZero"/>
        <c:auto val="1"/>
        <c:lblOffset val="100"/>
        <c:baseTimeUnit val="months"/>
      </c:dateAx>
      <c:valAx>
        <c:axId val="277021080"/>
        <c:scaling>
          <c:orientation val="minMax"/>
          <c:max val="0.5"/>
          <c:min val="-0.15000000000000002"/>
        </c:scaling>
        <c:delete val="0"/>
        <c:axPos val="r"/>
        <c:title>
          <c:tx>
            <c:rich>
              <a:bodyPr rot="-5400000" vert="horz"/>
              <a:lstStyle/>
              <a:p>
                <a:pPr>
                  <a:defRPr sz="1200" b="0"/>
                </a:pPr>
                <a:r>
                  <a:rPr lang="en-US" sz="1200" b="0"/>
                  <a:t>Parts per billion (ppb)</a:t>
                </a:r>
              </a:p>
            </c:rich>
          </c:tx>
          <c:layout>
            <c:manualLayout>
              <c:xMode val="edge"/>
              <c:yMode val="edge"/>
              <c:x val="0.94978632478632474"/>
              <c:y val="0.26241868552648623"/>
            </c:manualLayout>
          </c:layout>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en-US"/>
          </a:p>
        </c:txPr>
        <c:crossAx val="277020688"/>
        <c:crosses val="max"/>
        <c:crossBetween val="between"/>
      </c:valAx>
      <c:spPr>
        <a:noFill/>
        <a:ln w="25400">
          <a:noFill/>
        </a:ln>
      </c:spPr>
    </c:plotArea>
    <c:legend>
      <c:legendPos val="b"/>
      <c:overlay val="0"/>
      <c:spPr>
        <a:noFill/>
        <a:ln>
          <a:noFill/>
        </a:ln>
        <a:effectLst/>
      </c:spPr>
      <c:txPr>
        <a:bodyPr rot="0" vert="horz"/>
        <a:lstStyle/>
        <a:p>
          <a:pPr>
            <a:defRPr sz="1200"/>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aramond" panose="02020404030301010803"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0.794</cdr:x>
      <cdr:y>0.1617</cdr:y>
    </cdr:from>
    <cdr:to>
      <cdr:x>0.93679</cdr:x>
      <cdr:y>0.23062</cdr:y>
    </cdr:to>
    <cdr:sp macro="" textlink="">
      <cdr:nvSpPr>
        <cdr:cNvPr id="2" name="TextBox 1"/>
        <cdr:cNvSpPr txBox="1"/>
      </cdr:nvSpPr>
      <cdr:spPr>
        <a:xfrm xmlns:a="http://schemas.openxmlformats.org/drawingml/2006/main">
          <a:off x="4719202" y="465860"/>
          <a:ext cx="848686" cy="198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Garamond" panose="02020404030301010803" pitchFamily="18" charset="0"/>
            </a:rPr>
            <a:t>R = 0.9736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4995</Words>
  <Characters>28474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Clayton</dc:creator>
  <cp:keywords/>
  <dc:description/>
  <cp:lastModifiedBy>Miller, Tiffani N. (LARC-E3)[SSAI DEVELOP]</cp:lastModifiedBy>
  <cp:revision>9</cp:revision>
  <cp:lastPrinted>2017-08-10T18:48:00Z</cp:lastPrinted>
  <dcterms:created xsi:type="dcterms:W3CDTF">2017-08-10T19:12:00Z</dcterms:created>
  <dcterms:modified xsi:type="dcterms:W3CDTF">2017-08-29T21:09:00Z</dcterms:modified>
</cp:coreProperties>
</file>