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4FF3D8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B4CB7">
        <w:rPr>
          <w:rFonts w:ascii="Century Gothic" w:hAnsi="Century Gothic" w:cs="Arial"/>
          <w:sz w:val="24"/>
        </w:rPr>
        <w:t>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3561ECD"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B4CB7">
        <w:rPr>
          <w:rFonts w:ascii="Century Gothic" w:hAnsi="Century Gothic" w:cs="Arial"/>
          <w:b/>
          <w:sz w:val="24"/>
        </w:rPr>
        <w:t>Texas Water Resources</w:t>
      </w:r>
    </w:p>
    <w:p w14:paraId="38FB8E53" w14:textId="1F676B0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073FFC">
        <w:rPr>
          <w:rFonts w:ascii="Century Gothic" w:hAnsi="Century Gothic" w:cs="Arial"/>
        </w:rPr>
        <w:t>Utilizing NASA Earth Observations to Monitor Drought Severity in Texas for Wildfire Mitigation Support</w:t>
      </w:r>
    </w:p>
    <w:p w14:paraId="258FD607" w14:textId="1B2D2004"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AC1026">
        <w:rPr>
          <w:rFonts w:ascii="Century Gothic" w:hAnsi="Century Gothic" w:cs="Arial"/>
        </w:rPr>
        <w:t xml:space="preserve">Breaking the Ring of Fire: </w:t>
      </w:r>
      <w:r w:rsidR="00EF2239">
        <w:rPr>
          <w:rFonts w:ascii="Century Gothic" w:hAnsi="Century Gothic" w:cs="Arial"/>
        </w:rPr>
        <w:t>Preparing for Drought D</w:t>
      </w:r>
      <w:r w:rsidR="00AC1026">
        <w:rPr>
          <w:rFonts w:ascii="Century Gothic" w:hAnsi="Century Gothic" w:cs="Arial"/>
        </w:rPr>
        <w:t>isasters in Texas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14:paraId="6B901898" w14:textId="6A582D9F" w:rsidR="00E507D0"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Megan </w:t>
      </w:r>
      <w:proofErr w:type="spellStart"/>
      <w:r>
        <w:rPr>
          <w:rFonts w:ascii="Century Gothic" w:hAnsi="Century Gothic" w:cs="Arial"/>
          <w:sz w:val="20"/>
          <w:szCs w:val="20"/>
        </w:rPr>
        <w:t>Buzanowicz</w:t>
      </w:r>
      <w:proofErr w:type="spellEnd"/>
      <w:r>
        <w:rPr>
          <w:rFonts w:ascii="Century Gothic" w:hAnsi="Century Gothic" w:cs="Arial"/>
          <w:sz w:val="20"/>
          <w:szCs w:val="20"/>
        </w:rPr>
        <w:t xml:space="preserve"> (project lead) mbuzanowicz@gmail.com</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484DBB51"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Laura Lykens</w:t>
      </w:r>
    </w:p>
    <w:p w14:paraId="6B8F900E" w14:textId="1ED10A7D" w:rsidR="002E4378" w:rsidRPr="00D579FC" w:rsidRDefault="00073FFC"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Zacary</w:t>
      </w:r>
      <w:proofErr w:type="spellEnd"/>
      <w:r>
        <w:rPr>
          <w:rFonts w:ascii="Century Gothic" w:hAnsi="Century Gothic" w:cs="Arial"/>
          <w:sz w:val="20"/>
          <w:szCs w:val="20"/>
        </w:rPr>
        <w:t xml:space="preserve"> Richards</w:t>
      </w:r>
    </w:p>
    <w:p w14:paraId="7D964878" w14:textId="0699A987"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t>Jeff Close (USAF)</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63C22D46" w:rsidR="002E4378" w:rsidRPr="00D579FC" w:rsidRDefault="00073FFC"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Dr. Kenton Ross, Science Advisor DEVELOP National Program</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E40D184" w14:textId="2F62E81D" w:rsidR="00677CB8" w:rsidRPr="00D579FC" w:rsidRDefault="00073FFC" w:rsidP="00677CB8">
      <w:pPr>
        <w:spacing w:after="0" w:line="240" w:lineRule="auto"/>
        <w:rPr>
          <w:rFonts w:ascii="Century Gothic" w:hAnsi="Century Gothic" w:cs="Arial"/>
          <w:sz w:val="20"/>
          <w:szCs w:val="20"/>
        </w:rPr>
      </w:pPr>
      <w:proofErr w:type="spellStart"/>
      <w:r>
        <w:rPr>
          <w:rFonts w:ascii="Century Gothic" w:hAnsi="Century Gothic" w:cs="Arial"/>
          <w:sz w:val="20"/>
          <w:szCs w:val="20"/>
        </w:rPr>
        <w:lastRenderedPageBreak/>
        <w:t>Stennis</w:t>
      </w:r>
      <w:proofErr w:type="spellEnd"/>
      <w:r>
        <w:rPr>
          <w:rFonts w:ascii="Century Gothic" w:hAnsi="Century Gothic" w:cs="Arial"/>
          <w:sz w:val="20"/>
          <w:szCs w:val="20"/>
        </w:rPr>
        <w:t xml:space="preserve"> Space Center DEVELOP Texas Disasters project</w:t>
      </w:r>
    </w:p>
    <w:p w14:paraId="77B2A8CA" w14:textId="7F3F5B77" w:rsidR="00677CB8" w:rsidRPr="00D579FC" w:rsidRDefault="000667A6" w:rsidP="00677CB8">
      <w:pPr>
        <w:spacing w:after="0" w:line="240" w:lineRule="auto"/>
        <w:rPr>
          <w:rFonts w:ascii="Century Gothic" w:hAnsi="Century Gothic" w:cs="Arial"/>
          <w:sz w:val="20"/>
          <w:szCs w:val="20"/>
        </w:rPr>
      </w:pPr>
      <w:r>
        <w:rPr>
          <w:rFonts w:ascii="Century Gothic" w:hAnsi="Century Gothic" w:cs="Arial"/>
          <w:sz w:val="20"/>
          <w:szCs w:val="20"/>
        </w:rPr>
        <w:t>Texas Forest Service</w:t>
      </w:r>
      <w:r w:rsidR="00C016DE">
        <w:rPr>
          <w:rFonts w:ascii="Century Gothic" w:hAnsi="Century Gothic" w:cs="Arial"/>
          <w:sz w:val="20"/>
          <w:szCs w:val="20"/>
        </w:rPr>
        <w:t xml:space="preserve"> partnered with DEVELOP in 2011</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1B8E65C" w14:textId="617EDA7C" w:rsidR="00D579FC" w:rsidRPr="00D579FC" w:rsidRDefault="00073FFC" w:rsidP="00D579FC">
      <w:pPr>
        <w:spacing w:after="0" w:line="240" w:lineRule="auto"/>
        <w:rPr>
          <w:rFonts w:ascii="Century Gothic" w:hAnsi="Century Gothic" w:cs="Arial"/>
          <w:sz w:val="20"/>
          <w:szCs w:val="20"/>
        </w:rPr>
      </w:pPr>
      <w:r>
        <w:rPr>
          <w:rFonts w:ascii="Century Gothic" w:hAnsi="Century Gothic" w:cs="Arial"/>
          <w:sz w:val="20"/>
          <w:szCs w:val="20"/>
        </w:rPr>
        <w:t>Texas Forest Service, Boundary Organization and End-User, POC: Curt S</w:t>
      </w:r>
      <w:r w:rsidR="00630C13">
        <w:rPr>
          <w:rFonts w:ascii="Century Gothic" w:hAnsi="Century Gothic" w:cs="Arial"/>
          <w:sz w:val="20"/>
          <w:szCs w:val="20"/>
        </w:rPr>
        <w:t>tripling, GIS Systems Coordinator; Tom Spencer, Department Head – Predictive Services</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7FEB31E1" w:rsidR="009A326F" w:rsidRPr="00E80174" w:rsidRDefault="00CB32CC" w:rsidP="009A326F">
      <w:pPr>
        <w:spacing w:after="0" w:line="240" w:lineRule="auto"/>
        <w:rPr>
          <w:rFonts w:ascii="Century Gothic" w:hAnsi="Century Gothic" w:cs="Arial"/>
          <w:sz w:val="20"/>
          <w:szCs w:val="20"/>
        </w:rPr>
      </w:pPr>
      <w:r>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6F99312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079A6">
        <w:rPr>
          <w:rFonts w:ascii="Century Gothic" w:hAnsi="Century Gothic" w:cs="Arial"/>
          <w:sz w:val="20"/>
          <w:szCs w:val="20"/>
        </w:rPr>
        <w:t xml:space="preserve">TX </w:t>
      </w:r>
      <w:r w:rsidR="004A39F8">
        <w:rPr>
          <w:rFonts w:ascii="Century Gothic" w:hAnsi="Century Gothic" w:cs="Arial"/>
          <w:sz w:val="20"/>
          <w:szCs w:val="20"/>
        </w:rPr>
        <w:t>United States</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51B4A5BF"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9D3C08">
        <w:rPr>
          <w:rFonts w:ascii="Century Gothic" w:hAnsi="Century Gothic" w:cs="Arial"/>
          <w:sz w:val="20"/>
          <w:szCs w:val="20"/>
        </w:rPr>
        <w:t xml:space="preserve"> 2010 - 2015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0D28F486" w14:textId="21CA543B" w:rsidR="00E80174" w:rsidRPr="00E80174" w:rsidRDefault="009F6437" w:rsidP="00E80174">
      <w:pPr>
        <w:spacing w:after="0" w:line="240" w:lineRule="auto"/>
        <w:rPr>
          <w:rFonts w:ascii="Century Gothic" w:hAnsi="Century Gothic" w:cs="Arial"/>
          <w:sz w:val="20"/>
          <w:szCs w:val="20"/>
        </w:rPr>
      </w:pPr>
      <w:r>
        <w:rPr>
          <w:rFonts w:ascii="Century Gothic" w:hAnsi="Century Gothic" w:cs="Arial"/>
          <w:sz w:val="20"/>
          <w:szCs w:val="20"/>
        </w:rPr>
        <w:t>GPM, Dual - Frequency Precipitation Radar (DPI) - Precipitation</w:t>
      </w:r>
    </w:p>
    <w:p w14:paraId="77397EE2" w14:textId="40F95281" w:rsidR="00E80174" w:rsidRDefault="009F6437" w:rsidP="00E80174">
      <w:pPr>
        <w:spacing w:after="0" w:line="240" w:lineRule="auto"/>
        <w:rPr>
          <w:rFonts w:ascii="Century Gothic" w:hAnsi="Century Gothic" w:cs="Arial"/>
          <w:sz w:val="20"/>
          <w:szCs w:val="20"/>
        </w:rPr>
      </w:pPr>
      <w:r>
        <w:rPr>
          <w:rFonts w:ascii="Century Gothic" w:hAnsi="Century Gothic" w:cs="Arial"/>
          <w:sz w:val="20"/>
          <w:szCs w:val="20"/>
        </w:rPr>
        <w:t>Aqua and Terra, MODIS – Land Surface Temperature (LST), NDVI</w:t>
      </w:r>
    </w:p>
    <w:p w14:paraId="37DEEE5D" w14:textId="0892B69B" w:rsidR="009F6437" w:rsidRDefault="009F6437" w:rsidP="00E80174">
      <w:pPr>
        <w:spacing w:after="0" w:line="240" w:lineRule="auto"/>
        <w:rPr>
          <w:rFonts w:ascii="Century Gothic" w:hAnsi="Century Gothic" w:cs="Arial"/>
          <w:sz w:val="20"/>
          <w:szCs w:val="20"/>
        </w:rPr>
      </w:pPr>
      <w:r>
        <w:rPr>
          <w:rFonts w:ascii="Century Gothic" w:hAnsi="Century Gothic" w:cs="Arial"/>
          <w:sz w:val="20"/>
          <w:szCs w:val="20"/>
        </w:rPr>
        <w:t>GRACE – Ground Water</w:t>
      </w:r>
    </w:p>
    <w:p w14:paraId="7AED9C51" w14:textId="6BCCEB18" w:rsidR="009F6437" w:rsidRPr="00E80174" w:rsidRDefault="009F6437" w:rsidP="00E80174">
      <w:pPr>
        <w:spacing w:after="0" w:line="240" w:lineRule="auto"/>
        <w:rPr>
          <w:rFonts w:ascii="Century Gothic" w:hAnsi="Century Gothic" w:cs="Arial"/>
          <w:sz w:val="20"/>
          <w:szCs w:val="20"/>
        </w:rPr>
      </w:pPr>
      <w:r>
        <w:rPr>
          <w:rFonts w:ascii="Century Gothic" w:hAnsi="Century Gothic" w:cs="Arial"/>
          <w:sz w:val="20"/>
          <w:szCs w:val="20"/>
        </w:rPr>
        <w:t>SMAP – Soil Moisture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120B641B" w14:textId="0BF8B74E" w:rsidR="00E25967" w:rsidRPr="009F6437" w:rsidRDefault="009F6437"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NOAA Multisensory Precipitation Estimate (MPE) – Precipitation data prior to GPM launch</w:t>
      </w:r>
    </w:p>
    <w:p w14:paraId="0BC2416F" w14:textId="77777777" w:rsidR="000D0C17" w:rsidRDefault="000D0C17" w:rsidP="00603BB8">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7B971981" w14:textId="57640805" w:rsidR="00603BB8" w:rsidRPr="001730AA" w:rsidRDefault="00603BB8" w:rsidP="001730AA">
      <w:pPr>
        <w:spacing w:after="0" w:line="240" w:lineRule="auto"/>
        <w:rPr>
          <w:rFonts w:ascii="Century Gothic" w:hAnsi="Century Gothic" w:cs="Arial"/>
          <w:sz w:val="20"/>
          <w:szCs w:val="20"/>
        </w:rPr>
      </w:pPr>
      <w:bookmarkStart w:id="0" w:name="_GoBack"/>
    </w:p>
    <w:bookmarkEnd w:id="0"/>
    <w:p w14:paraId="394E3C45" w14:textId="77777777" w:rsidR="0093009B" w:rsidRDefault="0093009B" w:rsidP="00603BB8">
      <w:pPr>
        <w:spacing w:after="0" w:line="240" w:lineRule="auto"/>
        <w:rPr>
          <w:rFonts w:ascii="Century Gothic" w:hAnsi="Century Gothic" w:cs="Arial"/>
          <w:b/>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A61043C" w14:textId="295EE2F2" w:rsidR="00CC6870" w:rsidRDefault="009F6437" w:rsidP="00CC6870">
      <w:pPr>
        <w:spacing w:after="0" w:line="240" w:lineRule="auto"/>
        <w:rPr>
          <w:rFonts w:ascii="Century Gothic" w:hAnsi="Century Gothic" w:cs="Arial"/>
          <w:sz w:val="20"/>
          <w:szCs w:val="20"/>
        </w:rPr>
      </w:pPr>
      <w:r>
        <w:rPr>
          <w:rFonts w:ascii="Century Gothic" w:hAnsi="Century Gothic" w:cs="Arial"/>
          <w:sz w:val="20"/>
          <w:szCs w:val="20"/>
        </w:rPr>
        <w:t xml:space="preserve">ArcGIS </w:t>
      </w:r>
      <w:r w:rsidR="00F91BCA">
        <w:rPr>
          <w:rFonts w:ascii="Century Gothic" w:hAnsi="Century Gothic" w:cs="Arial"/>
          <w:sz w:val="20"/>
          <w:szCs w:val="20"/>
        </w:rPr>
        <w:t>– Raster Manipulation/Analysis, Image Enhancement and Map Creation of GPM DPI, GRACE, SMAP, and Aqua/Terra MODIS</w:t>
      </w:r>
    </w:p>
    <w:p w14:paraId="5F9CE57B" w14:textId="2AC34E22" w:rsidR="009F6437" w:rsidRDefault="009F6437" w:rsidP="00CC6870">
      <w:pPr>
        <w:spacing w:after="0" w:line="240" w:lineRule="auto"/>
        <w:rPr>
          <w:rFonts w:ascii="Century Gothic" w:hAnsi="Century Gothic" w:cs="Arial"/>
          <w:b/>
          <w:sz w:val="20"/>
          <w:szCs w:val="20"/>
        </w:rPr>
      </w:pPr>
      <w:r>
        <w:rPr>
          <w:rFonts w:ascii="Century Gothic" w:hAnsi="Century Gothic" w:cs="Arial"/>
          <w:sz w:val="20"/>
          <w:szCs w:val="20"/>
        </w:rPr>
        <w:t>Python</w:t>
      </w:r>
      <w:r w:rsidR="00F91BCA">
        <w:rPr>
          <w:rFonts w:ascii="Century Gothic" w:hAnsi="Century Gothic" w:cs="Arial"/>
          <w:sz w:val="20"/>
          <w:szCs w:val="20"/>
        </w:rPr>
        <w:t xml:space="preserve"> – Drought Severity Index</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6EFB2FFA" w14:textId="7B38CE28" w:rsidR="001730AA" w:rsidRPr="001730AA" w:rsidRDefault="001730AA" w:rsidP="001730AA">
      <w:pPr>
        <w:rPr>
          <w:rFonts w:ascii="Century Gothic" w:hAnsi="Century Gothic"/>
          <w:b/>
          <w:sz w:val="20"/>
          <w:szCs w:val="20"/>
        </w:rPr>
      </w:pPr>
      <w:r w:rsidRPr="001730AA">
        <w:rPr>
          <w:rFonts w:ascii="Century Gothic" w:hAnsi="Century Gothic"/>
          <w:sz w:val="20"/>
          <w:szCs w:val="20"/>
        </w:rPr>
        <w:t xml:space="preserve">In a cooperative effort with the John C. </w:t>
      </w:r>
      <w:proofErr w:type="spellStart"/>
      <w:r w:rsidRPr="001730AA">
        <w:rPr>
          <w:rFonts w:ascii="Century Gothic" w:hAnsi="Century Gothic"/>
          <w:sz w:val="20"/>
          <w:szCs w:val="20"/>
        </w:rPr>
        <w:t>Stennis</w:t>
      </w:r>
      <w:proofErr w:type="spellEnd"/>
      <w:r w:rsidRPr="001730AA">
        <w:rPr>
          <w:rFonts w:ascii="Century Gothic" w:hAnsi="Century Gothic"/>
          <w:sz w:val="20"/>
          <w:szCs w:val="20"/>
        </w:rPr>
        <w:t xml:space="preserve"> Space Center (SSC), our team at NASA DEV</w:t>
      </w:r>
      <w:r w:rsidR="00A311E0">
        <w:rPr>
          <w:rFonts w:ascii="Century Gothic" w:hAnsi="Century Gothic"/>
          <w:sz w:val="20"/>
          <w:szCs w:val="20"/>
        </w:rPr>
        <w:t>ELOP Langley will assist the Texas Forest Service (TFS)</w:t>
      </w:r>
      <w:r w:rsidRPr="001730AA">
        <w:rPr>
          <w:rFonts w:ascii="Century Gothic" w:hAnsi="Century Gothic"/>
          <w:sz w:val="20"/>
          <w:szCs w:val="20"/>
        </w:rPr>
        <w:t xml:space="preserve"> in preparing for future wildfires by expanding upon a DSI created during a previous term which will allow the TFS to identify what geographical locations within the state of Texas are the most prone to wildfire disasters, and where water resources may be concentrated in order to fight them efficiently. Our team will also be comparing and contrasting our DSI with other drought se</w:t>
      </w:r>
      <w:r w:rsidR="00A311E0">
        <w:rPr>
          <w:rFonts w:ascii="Century Gothic" w:hAnsi="Century Gothic"/>
          <w:sz w:val="20"/>
          <w:szCs w:val="20"/>
        </w:rPr>
        <w:t>verity indexes, such as the Palmer Drought Severity Index (PDSI)</w:t>
      </w:r>
      <w:r w:rsidRPr="001730AA">
        <w:rPr>
          <w:rFonts w:ascii="Century Gothic" w:hAnsi="Century Gothic"/>
          <w:sz w:val="20"/>
          <w:szCs w:val="20"/>
        </w:rPr>
        <w:t xml:space="preserve"> currently used by the </w:t>
      </w:r>
      <w:r w:rsidR="00A311E0">
        <w:rPr>
          <w:rFonts w:ascii="Century Gothic" w:hAnsi="Century Gothic"/>
          <w:sz w:val="20"/>
          <w:szCs w:val="20"/>
        </w:rPr>
        <w:t>Texas Water Resources Institute (</w:t>
      </w:r>
      <w:r w:rsidRPr="001730AA">
        <w:rPr>
          <w:rFonts w:ascii="Century Gothic" w:hAnsi="Century Gothic"/>
          <w:sz w:val="20"/>
          <w:szCs w:val="20"/>
        </w:rPr>
        <w:t>TWRI</w:t>
      </w:r>
      <w:r w:rsidR="00A311E0">
        <w:rPr>
          <w:rFonts w:ascii="Century Gothic" w:hAnsi="Century Gothic"/>
          <w:sz w:val="20"/>
          <w:szCs w:val="20"/>
        </w:rPr>
        <w:t>)</w:t>
      </w:r>
      <w:r w:rsidRPr="001730AA">
        <w:rPr>
          <w:rFonts w:ascii="Century Gothic" w:hAnsi="Century Gothic"/>
          <w:sz w:val="20"/>
          <w:szCs w:val="20"/>
        </w:rPr>
        <w:t xml:space="preserve">. </w:t>
      </w: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3B988D9B" w14:textId="77777777" w:rsidR="00246CAE" w:rsidRPr="00246CAE" w:rsidRDefault="00246CAE" w:rsidP="00246CAE">
      <w:pPr>
        <w:rPr>
          <w:rFonts w:ascii="Century Gothic" w:hAnsi="Century Gothic"/>
          <w:sz w:val="20"/>
          <w:szCs w:val="20"/>
        </w:rPr>
      </w:pPr>
      <w:r w:rsidRPr="00246CAE">
        <w:rPr>
          <w:rFonts w:ascii="Century Gothic" w:hAnsi="Century Gothic"/>
          <w:sz w:val="20"/>
          <w:szCs w:val="20"/>
        </w:rPr>
        <w:t xml:space="preserve">A severe multi-year drought may create the ideal environment for uncontrollable wildfires due to consistent high temperatures, a lack of precipitation, and easily ignitable fuels in the form of dry vegetation. The purpose of our project is to compare and contrast the Drought Severity Index (DSI) against other drought severity indexes as a valid form of methodology for determining drought conditions throughout the state of Texas while simultaneously providing a risk map of potential wildfire areas that contain dry fuels; specifically, how dry the fuels are. To accomplish this, data will be acquired from satellites that measure specific factors that contribute to drought conditions and dry vegetation. Our DSI will be composed of data that measure precipitation through the Multi-Sensor Precipitation Estimate (MPE) satellite, soil moisture from the Soil Moisture and Ocean Salinity (SMOS), land surface temperature from the Moderate Resolution Imaging Spectrometer (MODIS), as well as the Normalized Difference Vegetation Index (NDVI). Our team will then compile layers of data through ArcGIS in order to assemble the risk map. This project was undertaken in conjunction with the John C. </w:t>
      </w:r>
      <w:proofErr w:type="spellStart"/>
      <w:r w:rsidRPr="00246CAE">
        <w:rPr>
          <w:rFonts w:ascii="Century Gothic" w:hAnsi="Century Gothic"/>
          <w:sz w:val="20"/>
          <w:szCs w:val="20"/>
        </w:rPr>
        <w:t>Stennis</w:t>
      </w:r>
      <w:proofErr w:type="spellEnd"/>
      <w:r w:rsidRPr="00246CAE">
        <w:rPr>
          <w:rFonts w:ascii="Century Gothic" w:hAnsi="Century Gothic"/>
          <w:sz w:val="20"/>
          <w:szCs w:val="20"/>
        </w:rPr>
        <w:t xml:space="preserve"> Space Center (SSC) node in Mississippi which also utilized Aqua/Terra MODIS to quantify the fuels present in Texas currently. The methods and results produced will be presented to the Texas Forest Service (TFS) for future use throughout the state; the benefits of which is a high resolution drought index that can be easily constructed with little cost to the end user.</w:t>
      </w: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4A878DE5" w14:textId="34C66530" w:rsidR="00CC6870" w:rsidRPr="00D579FC" w:rsidRDefault="00D13457"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TFS is the incident management agency for state emergencies, including wildfires</w:t>
      </w:r>
    </w:p>
    <w:p w14:paraId="4D5B68AD" w14:textId="2EED3ABE" w:rsidR="00CC6870" w:rsidRDefault="00D13457"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Wildfires pose a constant risk for many regions across the state</w:t>
      </w:r>
    </w:p>
    <w:p w14:paraId="3B8D1E75" w14:textId="2FD6420D" w:rsidR="00C016DE" w:rsidRDefault="00C016DE"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In 2013, there were 7,598 fires reported which burned 45,963 acres</w:t>
      </w:r>
    </w:p>
    <w:p w14:paraId="46CB908F" w14:textId="62EAF987" w:rsidR="00CC6870" w:rsidRDefault="00D13457"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Ability to accurately monitor drought conditions is vital to forecasting wildfire risk, in particular in grassland regions, where fire</w:t>
      </w:r>
      <w:r w:rsidR="00542A63">
        <w:rPr>
          <w:rFonts w:ascii="Century Gothic" w:hAnsi="Century Gothic" w:cs="Arial"/>
          <w:sz w:val="20"/>
          <w:szCs w:val="20"/>
        </w:rPr>
        <w:t>s</w:t>
      </w:r>
      <w:r>
        <w:rPr>
          <w:rFonts w:ascii="Century Gothic" w:hAnsi="Century Gothic" w:cs="Arial"/>
          <w:sz w:val="20"/>
          <w:szCs w:val="20"/>
        </w:rPr>
        <w:t xml:space="preserve"> often spread rapidly</w:t>
      </w:r>
    </w:p>
    <w:p w14:paraId="49E89776" w14:textId="177D2337" w:rsidR="00CC1EF4" w:rsidRPr="00D579FC" w:rsidRDefault="00D13457"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More information about the spatial coverage of drought conditions will allow decision makers at TFS to better allocate resources to mitigate the spread of wildfires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4DF4988C" w:rsidR="00CC6870" w:rsidRDefault="004A39F8" w:rsidP="00CC6870">
      <w:pPr>
        <w:spacing w:after="0" w:line="240" w:lineRule="auto"/>
        <w:rPr>
          <w:rFonts w:ascii="Century Gothic" w:hAnsi="Century Gothic" w:cs="Arial"/>
          <w:b/>
          <w:sz w:val="20"/>
          <w:szCs w:val="20"/>
        </w:rPr>
      </w:pPr>
      <w:r>
        <w:rPr>
          <w:rFonts w:ascii="Century Gothic" w:hAnsi="Century Gothic" w:cs="Arial"/>
          <w:sz w:val="20"/>
          <w:szCs w:val="20"/>
        </w:rPr>
        <w:t>The TFS currently uses products from the LANDFIRE program and the National Predictive Services Unit. The National Predictive Services Unit uses the Palmer Drought Severity Index, Climate Prediction Center Soil Moisture Model, USGS Weekly Streamflow, Standardized Precipitation Indicator, and object indicator blends to classify the drought severity.</w:t>
      </w:r>
      <w:r w:rsidR="00C016DE">
        <w:rPr>
          <w:rFonts w:ascii="Century Gothic" w:hAnsi="Century Gothic" w:cs="Arial"/>
          <w:sz w:val="20"/>
          <w:szCs w:val="20"/>
        </w:rPr>
        <w:t xml:space="preserve"> KBDI, </w:t>
      </w:r>
      <w:proofErr w:type="spellStart"/>
      <w:r w:rsidR="00C016DE">
        <w:rPr>
          <w:rFonts w:ascii="Century Gothic" w:hAnsi="Century Gothic" w:cs="Arial"/>
          <w:sz w:val="20"/>
          <w:szCs w:val="20"/>
        </w:rPr>
        <w:t>Keetch-Byram</w:t>
      </w:r>
      <w:proofErr w:type="spellEnd"/>
      <w:r w:rsidR="00C016DE">
        <w:rPr>
          <w:rFonts w:ascii="Century Gothic" w:hAnsi="Century Gothic" w:cs="Arial"/>
          <w:sz w:val="20"/>
          <w:szCs w:val="20"/>
        </w:rPr>
        <w:t xml:space="preserve"> </w:t>
      </w:r>
      <w:r w:rsidR="00C016DE">
        <w:rPr>
          <w:rFonts w:ascii="Century Gothic" w:hAnsi="Century Gothic" w:cs="Arial"/>
          <w:sz w:val="20"/>
          <w:szCs w:val="20"/>
        </w:rPr>
        <w:lastRenderedPageBreak/>
        <w:t xml:space="preserve">Drought Index, which has inputs from NOAA NEXRAD is also used. Texas </w:t>
      </w:r>
      <w:proofErr w:type="gramStart"/>
      <w:r w:rsidR="00C016DE">
        <w:rPr>
          <w:rFonts w:ascii="Century Gothic" w:hAnsi="Century Gothic" w:cs="Arial"/>
          <w:sz w:val="20"/>
          <w:szCs w:val="20"/>
        </w:rPr>
        <w:t>A&amp;M</w:t>
      </w:r>
      <w:proofErr w:type="gramEnd"/>
      <w:r w:rsidR="00C016DE">
        <w:rPr>
          <w:rFonts w:ascii="Century Gothic" w:hAnsi="Century Gothic" w:cs="Arial"/>
          <w:sz w:val="20"/>
          <w:szCs w:val="20"/>
        </w:rPr>
        <w:t xml:space="preserve"> is leading another effort using AVHRR with NEXRAD to determine drought locations and severity. The LANDFIRE program is designed to help the TFS support fire planning, analysis, and budgeting to evaluate fire management alternatives and is used to supplement strategic and tactical planning for fire operations. </w:t>
      </w:r>
    </w:p>
    <w:p w14:paraId="4811D585" w14:textId="77777777" w:rsidR="00DC1791" w:rsidRDefault="00DC1791"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5"/>
        <w:gridCol w:w="2821"/>
        <w:gridCol w:w="3696"/>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0881F13"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Drought Severity Index Maps</w:t>
            </w:r>
          </w:p>
        </w:tc>
        <w:tc>
          <w:tcPr>
            <w:tcW w:w="2880" w:type="dxa"/>
          </w:tcPr>
          <w:p w14:paraId="0595BF43" w14:textId="54586A14"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GPM and MODIS</w:t>
            </w:r>
          </w:p>
        </w:tc>
        <w:tc>
          <w:tcPr>
            <w:tcW w:w="3798" w:type="dxa"/>
          </w:tcPr>
          <w:p w14:paraId="5CD72B01" w14:textId="6C8A46D6"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Provides estimation of water stress to vegetation; Impacts where TFS will allocate resources in preparation for wildfires</w:t>
            </w:r>
          </w:p>
        </w:tc>
      </w:tr>
      <w:tr w:rsidR="00CC6870" w14:paraId="22005DC5" w14:textId="77777777" w:rsidTr="00132FC0">
        <w:tc>
          <w:tcPr>
            <w:tcW w:w="2790" w:type="dxa"/>
          </w:tcPr>
          <w:p w14:paraId="344EDF1A" w14:textId="0D43CAEC"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Soil Moisture Maps</w:t>
            </w:r>
          </w:p>
        </w:tc>
        <w:tc>
          <w:tcPr>
            <w:tcW w:w="2880" w:type="dxa"/>
          </w:tcPr>
          <w:p w14:paraId="50D1C342" w14:textId="1B099257"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Sample SMAP data; SMOS</w:t>
            </w:r>
          </w:p>
        </w:tc>
        <w:tc>
          <w:tcPr>
            <w:tcW w:w="3798" w:type="dxa"/>
          </w:tcPr>
          <w:p w14:paraId="1A3C9A83" w14:textId="41B05958" w:rsidR="00CC6870" w:rsidRDefault="00181CD4" w:rsidP="00132FC0">
            <w:pPr>
              <w:spacing w:after="0" w:line="240" w:lineRule="auto"/>
              <w:rPr>
                <w:rFonts w:ascii="Century Gothic" w:hAnsi="Century Gothic" w:cs="Arial"/>
                <w:sz w:val="20"/>
                <w:szCs w:val="20"/>
              </w:rPr>
            </w:pPr>
            <w:r>
              <w:rPr>
                <w:rFonts w:ascii="Century Gothic" w:hAnsi="Century Gothic" w:cs="Arial"/>
                <w:sz w:val="20"/>
                <w:szCs w:val="20"/>
              </w:rPr>
              <w:t>Show available soil moisture in the upper-most portion of the soil, will give a good indication of the water available for grasslands; Impacts where the TFS will allocate resources in preparation for wildfires</w:t>
            </w:r>
          </w:p>
        </w:tc>
      </w:tr>
      <w:tr w:rsidR="00CC6870" w14:paraId="5A252A62" w14:textId="77777777" w:rsidTr="00132FC0">
        <w:tc>
          <w:tcPr>
            <w:tcW w:w="2790" w:type="dxa"/>
          </w:tcPr>
          <w:p w14:paraId="031A21AA" w14:textId="4C7AB89F"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Ground Water Anomalies</w:t>
            </w:r>
          </w:p>
        </w:tc>
        <w:tc>
          <w:tcPr>
            <w:tcW w:w="2880" w:type="dxa"/>
          </w:tcPr>
          <w:p w14:paraId="1C8A3B18" w14:textId="593FE0A1" w:rsidR="00CC6870" w:rsidRDefault="0029067B" w:rsidP="00132FC0">
            <w:pPr>
              <w:spacing w:after="0" w:line="240" w:lineRule="auto"/>
              <w:rPr>
                <w:rFonts w:ascii="Century Gothic" w:hAnsi="Century Gothic" w:cs="Arial"/>
                <w:sz w:val="20"/>
                <w:szCs w:val="20"/>
              </w:rPr>
            </w:pPr>
            <w:r>
              <w:rPr>
                <w:rFonts w:ascii="Century Gothic" w:hAnsi="Century Gothic" w:cs="Arial"/>
                <w:sz w:val="20"/>
                <w:szCs w:val="20"/>
              </w:rPr>
              <w:t>GRACE</w:t>
            </w:r>
          </w:p>
        </w:tc>
        <w:tc>
          <w:tcPr>
            <w:tcW w:w="3798" w:type="dxa"/>
          </w:tcPr>
          <w:p w14:paraId="7E09D45F" w14:textId="64214988" w:rsidR="00CC6870" w:rsidRDefault="00181CD4" w:rsidP="00132FC0">
            <w:pPr>
              <w:spacing w:after="0" w:line="240" w:lineRule="auto"/>
              <w:rPr>
                <w:rFonts w:ascii="Century Gothic" w:hAnsi="Century Gothic" w:cs="Arial"/>
                <w:sz w:val="20"/>
                <w:szCs w:val="20"/>
              </w:rPr>
            </w:pPr>
            <w:r>
              <w:rPr>
                <w:rFonts w:ascii="Century Gothic" w:hAnsi="Century Gothic" w:cs="Arial"/>
                <w:sz w:val="20"/>
                <w:szCs w:val="20"/>
              </w:rPr>
              <w:t>Show where ground water is depleted during droughts or where ground water storage is being recharged; Impacts where TFS will allocate resources in preparation for wildfires</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D719D" w14:textId="77777777" w:rsidR="00555138" w:rsidRDefault="00555138" w:rsidP="00816220">
      <w:pPr>
        <w:spacing w:after="0" w:line="240" w:lineRule="auto"/>
      </w:pPr>
      <w:r>
        <w:separator/>
      </w:r>
    </w:p>
  </w:endnote>
  <w:endnote w:type="continuationSeparator" w:id="0">
    <w:p w14:paraId="2A8B967D" w14:textId="77777777" w:rsidR="00555138" w:rsidRDefault="0055513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F1210" w14:textId="77777777" w:rsidR="00555138" w:rsidRDefault="00555138" w:rsidP="00816220">
      <w:pPr>
        <w:spacing w:after="0" w:line="240" w:lineRule="auto"/>
      </w:pPr>
      <w:r>
        <w:separator/>
      </w:r>
    </w:p>
  </w:footnote>
  <w:footnote w:type="continuationSeparator" w:id="0">
    <w:p w14:paraId="7339D1D8" w14:textId="77777777" w:rsidR="00555138" w:rsidRDefault="0055513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67A6"/>
    <w:rsid w:val="00071662"/>
    <w:rsid w:val="00073FFC"/>
    <w:rsid w:val="000A7821"/>
    <w:rsid w:val="000C0E41"/>
    <w:rsid w:val="000D0C17"/>
    <w:rsid w:val="000D1653"/>
    <w:rsid w:val="000E7559"/>
    <w:rsid w:val="00112740"/>
    <w:rsid w:val="001726C7"/>
    <w:rsid w:val="001730AA"/>
    <w:rsid w:val="00181CD4"/>
    <w:rsid w:val="00183B60"/>
    <w:rsid w:val="001F4570"/>
    <w:rsid w:val="00200201"/>
    <w:rsid w:val="00246CAE"/>
    <w:rsid w:val="002516A3"/>
    <w:rsid w:val="0029067B"/>
    <w:rsid w:val="002E4378"/>
    <w:rsid w:val="003053B0"/>
    <w:rsid w:val="003079A6"/>
    <w:rsid w:val="00313897"/>
    <w:rsid w:val="003545A4"/>
    <w:rsid w:val="003B2A86"/>
    <w:rsid w:val="003F2639"/>
    <w:rsid w:val="003F68F5"/>
    <w:rsid w:val="00402FAF"/>
    <w:rsid w:val="00420300"/>
    <w:rsid w:val="00434799"/>
    <w:rsid w:val="00454EA3"/>
    <w:rsid w:val="00470436"/>
    <w:rsid w:val="00486C4B"/>
    <w:rsid w:val="004A39F8"/>
    <w:rsid w:val="004B4C28"/>
    <w:rsid w:val="004B5AA2"/>
    <w:rsid w:val="00501143"/>
    <w:rsid w:val="00520FF6"/>
    <w:rsid w:val="00542A63"/>
    <w:rsid w:val="00555138"/>
    <w:rsid w:val="00592371"/>
    <w:rsid w:val="005D3548"/>
    <w:rsid w:val="00603BB8"/>
    <w:rsid w:val="006138B8"/>
    <w:rsid w:val="00630C13"/>
    <w:rsid w:val="00677CB8"/>
    <w:rsid w:val="006A6894"/>
    <w:rsid w:val="006F18ED"/>
    <w:rsid w:val="00707C56"/>
    <w:rsid w:val="007338D2"/>
    <w:rsid w:val="0075569C"/>
    <w:rsid w:val="00770D88"/>
    <w:rsid w:val="007E4F6F"/>
    <w:rsid w:val="00816220"/>
    <w:rsid w:val="00860A65"/>
    <w:rsid w:val="008746A4"/>
    <w:rsid w:val="008B166F"/>
    <w:rsid w:val="00902BE7"/>
    <w:rsid w:val="0093009B"/>
    <w:rsid w:val="0093138E"/>
    <w:rsid w:val="0097582D"/>
    <w:rsid w:val="009A326F"/>
    <w:rsid w:val="009D3C08"/>
    <w:rsid w:val="009F6437"/>
    <w:rsid w:val="009F6F3F"/>
    <w:rsid w:val="00A174D1"/>
    <w:rsid w:val="00A311E0"/>
    <w:rsid w:val="00A538DB"/>
    <w:rsid w:val="00A60645"/>
    <w:rsid w:val="00AC0354"/>
    <w:rsid w:val="00AC1026"/>
    <w:rsid w:val="00AC5084"/>
    <w:rsid w:val="00AD6679"/>
    <w:rsid w:val="00B23EAA"/>
    <w:rsid w:val="00B82BB6"/>
    <w:rsid w:val="00BA5773"/>
    <w:rsid w:val="00BB2FD0"/>
    <w:rsid w:val="00C016DE"/>
    <w:rsid w:val="00C1027B"/>
    <w:rsid w:val="00C370C2"/>
    <w:rsid w:val="00C82473"/>
    <w:rsid w:val="00CB32CC"/>
    <w:rsid w:val="00CC1EF4"/>
    <w:rsid w:val="00CC559E"/>
    <w:rsid w:val="00CC6870"/>
    <w:rsid w:val="00D13457"/>
    <w:rsid w:val="00D339EB"/>
    <w:rsid w:val="00D579FC"/>
    <w:rsid w:val="00DC1791"/>
    <w:rsid w:val="00E157E8"/>
    <w:rsid w:val="00E25967"/>
    <w:rsid w:val="00E507D0"/>
    <w:rsid w:val="00E80174"/>
    <w:rsid w:val="00E96701"/>
    <w:rsid w:val="00EB4CB7"/>
    <w:rsid w:val="00EB54F0"/>
    <w:rsid w:val="00EB7CF9"/>
    <w:rsid w:val="00EF2239"/>
    <w:rsid w:val="00F13449"/>
    <w:rsid w:val="00F1798C"/>
    <w:rsid w:val="00F261BD"/>
    <w:rsid w:val="00F36A8C"/>
    <w:rsid w:val="00F6325C"/>
    <w:rsid w:val="00F76AD7"/>
    <w:rsid w:val="00F82819"/>
    <w:rsid w:val="00F91BCA"/>
    <w:rsid w:val="00F9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30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Buzanowicz, Megan E. (LARC-E3)[SSAI DEVELOP]</cp:lastModifiedBy>
  <cp:revision>7</cp:revision>
  <dcterms:created xsi:type="dcterms:W3CDTF">2015-06-10T13:01:00Z</dcterms:created>
  <dcterms:modified xsi:type="dcterms:W3CDTF">2015-06-10T13:28:00Z</dcterms:modified>
</cp:coreProperties>
</file>