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854DE" w:rsidRDefault="00DF4D38">
      <w:pPr>
        <w:spacing w:after="0" w:line="240" w:lineRule="auto"/>
        <w:jc w:val="right"/>
      </w:pPr>
      <w:r>
        <w:rPr>
          <w:rFonts w:ascii="Century Gothic" w:eastAsia="Century Gothic" w:hAnsi="Century Gothic" w:cs="Century Gothic"/>
          <w:b/>
          <w:sz w:val="32"/>
        </w:rPr>
        <w:t>NASA DEVELOP National Program</w:t>
      </w:r>
    </w:p>
    <w:p w:rsidR="007854DE" w:rsidRDefault="00DF4D38">
      <w:pPr>
        <w:spacing w:after="0" w:line="240" w:lineRule="auto"/>
        <w:jc w:val="right"/>
      </w:pPr>
      <w:r>
        <w:rPr>
          <w:noProof/>
        </w:rPr>
        <w:drawing>
          <wp:inline distT="0" distB="0" distL="0" distR="0">
            <wp:extent cx="5943600" cy="297180"/>
            <wp:effectExtent l="0" t="0" r="0" b="0"/>
            <wp:docPr id="3"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tretch>
                      <a:fillRect/>
                    </a:stretch>
                  </pic:blipFill>
                  <pic:spPr>
                    <a:xfrm>
                      <a:off x="0" y="0"/>
                      <a:ext cx="5943600" cy="297180"/>
                    </a:xfrm>
                    <a:prstGeom prst="rect">
                      <a:avLst/>
                    </a:prstGeom>
                  </pic:spPr>
                </pic:pic>
              </a:graphicData>
            </a:graphic>
          </wp:inline>
        </w:drawing>
      </w:r>
      <w:r>
        <w:rPr>
          <w:rFonts w:ascii="Century Gothic" w:eastAsia="Century Gothic" w:hAnsi="Century Gothic" w:cs="Century Gothic"/>
          <w:sz w:val="24"/>
        </w:rPr>
        <w:t>The University of Georgia and NASA Marshall Space Flight Center</w:t>
      </w:r>
    </w:p>
    <w:p w:rsidR="007854DE" w:rsidRDefault="00DF4D38">
      <w:pPr>
        <w:spacing w:after="0" w:line="240" w:lineRule="auto"/>
        <w:jc w:val="right"/>
      </w:pPr>
      <w:r>
        <w:rPr>
          <w:rFonts w:ascii="Century Gothic" w:eastAsia="Century Gothic" w:hAnsi="Century Gothic" w:cs="Century Gothic"/>
          <w:b/>
        </w:rPr>
        <w:t>Summer 2013</w:t>
      </w:r>
    </w:p>
    <w:p w:rsidR="007854DE" w:rsidRDefault="007854DE">
      <w:pPr>
        <w:spacing w:after="0" w:line="240" w:lineRule="auto"/>
      </w:pPr>
    </w:p>
    <w:p w:rsidR="007854DE" w:rsidRDefault="00DF4D38">
      <w:pPr>
        <w:spacing w:after="0" w:line="240" w:lineRule="auto"/>
        <w:ind w:left="2160" w:firstLine="720"/>
      </w:pPr>
      <w:r>
        <w:rPr>
          <w:rFonts w:ascii="Century Gothic" w:eastAsia="Century Gothic" w:hAnsi="Century Gothic" w:cs="Century Gothic"/>
          <w:b/>
          <w:sz w:val="24"/>
        </w:rPr>
        <w:t>Southeast Health and Air Quality</w:t>
      </w:r>
    </w:p>
    <w:p w:rsidR="007854DE" w:rsidRDefault="00DF4D38">
      <w:pPr>
        <w:spacing w:after="0" w:line="240" w:lineRule="auto"/>
        <w:jc w:val="center"/>
      </w:pPr>
      <w:r>
        <w:rPr>
          <w:rFonts w:ascii="Century Gothic" w:eastAsia="Century Gothic" w:hAnsi="Century Gothic" w:cs="Century Gothic"/>
          <w:i/>
        </w:rPr>
        <w:t xml:space="preserve">Infusing NASA satellite data to model air-quality for Southeast United States: </w:t>
      </w:r>
    </w:p>
    <w:p w:rsidR="007854DE" w:rsidRDefault="00DF4D38">
      <w:pPr>
        <w:spacing w:after="0" w:line="240" w:lineRule="auto"/>
        <w:jc w:val="center"/>
      </w:pPr>
      <w:r>
        <w:rPr>
          <w:rFonts w:ascii="Century Gothic" w:eastAsia="Century Gothic" w:hAnsi="Century Gothic" w:cs="Century Gothic"/>
          <w:i/>
        </w:rPr>
        <w:t>A wildfire, aerosol transport, and respiratory health case study</w:t>
      </w:r>
    </w:p>
    <w:p w:rsidR="007854DE" w:rsidRDefault="007854DE">
      <w:pPr>
        <w:spacing w:after="0" w:line="240" w:lineRule="auto"/>
      </w:pPr>
    </w:p>
    <w:p w:rsidR="007854DE" w:rsidRDefault="00DF4D38">
      <w:pPr>
        <w:spacing w:after="0" w:line="240" w:lineRule="auto"/>
      </w:pPr>
      <w:r>
        <w:rPr>
          <w:rFonts w:ascii="Century Gothic" w:eastAsia="Century Gothic" w:hAnsi="Century Gothic" w:cs="Century Gothic"/>
          <w:b/>
        </w:rPr>
        <w:t xml:space="preserve">Team Leads: </w:t>
      </w:r>
      <w:proofErr w:type="spellStart"/>
      <w:r>
        <w:rPr>
          <w:rFonts w:ascii="Century Gothic" w:eastAsia="Century Gothic" w:hAnsi="Century Gothic" w:cs="Century Gothic"/>
        </w:rPr>
        <w:t>Binita</w:t>
      </w:r>
      <w:proofErr w:type="spellEnd"/>
      <w:r>
        <w:rPr>
          <w:rFonts w:ascii="Century Gothic" w:eastAsia="Century Gothic" w:hAnsi="Century Gothic" w:cs="Century Gothic"/>
        </w:rPr>
        <w:t xml:space="preserve"> KC (The University of Georgia), </w:t>
      </w:r>
      <w:hyperlink r:id="rId9">
        <w:r>
          <w:rPr>
            <w:rFonts w:ascii="Century Gothic" w:eastAsia="Century Gothic" w:hAnsi="Century Gothic" w:cs="Century Gothic"/>
          </w:rPr>
          <w:t>leebinita@gmail.com</w:t>
        </w:r>
      </w:hyperlink>
      <w:r>
        <w:rPr>
          <w:rFonts w:ascii="Century Gothic" w:eastAsia="Century Gothic" w:hAnsi="Century Gothic" w:cs="Century Gothic"/>
        </w:rPr>
        <w:t xml:space="preserve"> &amp; </w:t>
      </w:r>
      <w:proofErr w:type="spellStart"/>
      <w:r>
        <w:rPr>
          <w:rFonts w:ascii="Century Gothic" w:eastAsia="Century Gothic" w:hAnsi="Century Gothic" w:cs="Century Gothic"/>
        </w:rPr>
        <w:t>Swatantra</w:t>
      </w:r>
      <w:proofErr w:type="spellEnd"/>
      <w:r>
        <w:rPr>
          <w:rFonts w:ascii="Century Gothic" w:eastAsia="Century Gothic" w:hAnsi="Century Gothic" w:cs="Century Gothic"/>
        </w:rPr>
        <w:t xml:space="preserve"> </w:t>
      </w:r>
      <w:proofErr w:type="spellStart"/>
      <w:r>
        <w:rPr>
          <w:rFonts w:ascii="Century Gothic" w:eastAsia="Century Gothic" w:hAnsi="Century Gothic" w:cs="Century Gothic"/>
        </w:rPr>
        <w:t>Kethireddy</w:t>
      </w:r>
      <w:proofErr w:type="spellEnd"/>
      <w:r>
        <w:rPr>
          <w:rFonts w:ascii="Century Gothic" w:eastAsia="Century Gothic" w:hAnsi="Century Gothic" w:cs="Century Gothic"/>
        </w:rPr>
        <w:t xml:space="preserve"> (Jackson State University), swatantra.r.kethireddy</w:t>
      </w:r>
      <w:r>
        <w:rPr>
          <w:rFonts w:ascii="Century Gothic" w:eastAsia="Century Gothic" w:hAnsi="Century Gothic" w:cs="Century Gothic"/>
        </w:rPr>
        <w:t>@students.jsums.edu</w:t>
      </w:r>
    </w:p>
    <w:p w:rsidR="007854DE" w:rsidRDefault="007854DE">
      <w:pPr>
        <w:spacing w:after="0" w:line="240" w:lineRule="auto"/>
        <w:jc w:val="both"/>
      </w:pPr>
    </w:p>
    <w:p w:rsidR="007854DE" w:rsidRDefault="00DF4D38">
      <w:pPr>
        <w:spacing w:after="0" w:line="240" w:lineRule="auto"/>
      </w:pPr>
      <w:r>
        <w:rPr>
          <w:rFonts w:ascii="Century Gothic" w:eastAsia="Century Gothic" w:hAnsi="Century Gothic" w:cs="Century Gothic"/>
          <w:b/>
        </w:rPr>
        <w:t>Team Members:</w:t>
      </w:r>
    </w:p>
    <w:p w:rsidR="007854DE" w:rsidRDefault="00DF4D38">
      <w:pPr>
        <w:spacing w:after="0" w:line="240" w:lineRule="auto"/>
      </w:pPr>
      <w:r>
        <w:rPr>
          <w:rFonts w:ascii="Century Gothic" w:eastAsia="Century Gothic" w:hAnsi="Century Gothic" w:cs="Century Gothic"/>
        </w:rPr>
        <w:t>Eric Dobbs (University of Alabama in Huntsville)</w:t>
      </w:r>
    </w:p>
    <w:p w:rsidR="007854DE" w:rsidRDefault="00DF4D38">
      <w:pPr>
        <w:spacing w:after="0" w:line="240" w:lineRule="auto"/>
      </w:pPr>
      <w:r>
        <w:rPr>
          <w:rFonts w:ascii="Century Gothic" w:eastAsia="Century Gothic" w:hAnsi="Century Gothic" w:cs="Century Gothic"/>
        </w:rPr>
        <w:t>Jennifer Bell (The University of Georgia)</w:t>
      </w:r>
    </w:p>
    <w:p w:rsidR="007854DE" w:rsidRDefault="007854DE">
      <w:pPr>
        <w:spacing w:after="0" w:line="240" w:lineRule="auto"/>
        <w:jc w:val="both"/>
      </w:pPr>
    </w:p>
    <w:p w:rsidR="007854DE" w:rsidRDefault="00DF4D38">
      <w:pPr>
        <w:spacing w:after="0" w:line="240" w:lineRule="auto"/>
      </w:pPr>
      <w:r>
        <w:rPr>
          <w:rFonts w:ascii="Century Gothic" w:eastAsia="Century Gothic" w:hAnsi="Century Gothic" w:cs="Century Gothic"/>
          <w:b/>
        </w:rPr>
        <w:t>Advisors &amp; Mentors:</w:t>
      </w:r>
    </w:p>
    <w:p w:rsidR="007854DE" w:rsidRDefault="00DF4D38">
      <w:pPr>
        <w:spacing w:after="0" w:line="240" w:lineRule="auto"/>
      </w:pPr>
      <w:r>
        <w:rPr>
          <w:rFonts w:ascii="Century Gothic" w:eastAsia="Century Gothic" w:hAnsi="Century Gothic" w:cs="Century Gothic"/>
        </w:rPr>
        <w:t xml:space="preserve">Dr. Jeffrey C. </w:t>
      </w:r>
      <w:proofErr w:type="spellStart"/>
      <w:r>
        <w:rPr>
          <w:rFonts w:ascii="Century Gothic" w:eastAsia="Century Gothic" w:hAnsi="Century Gothic" w:cs="Century Gothic"/>
        </w:rPr>
        <w:t>Luvall</w:t>
      </w:r>
      <w:proofErr w:type="spellEnd"/>
      <w:r>
        <w:rPr>
          <w:rFonts w:ascii="Century Gothic" w:eastAsia="Century Gothic" w:hAnsi="Century Gothic" w:cs="Century Gothic"/>
        </w:rPr>
        <w:t xml:space="preserve"> (Global Hydrology and Climate Center, MSFC)</w:t>
      </w:r>
    </w:p>
    <w:p w:rsidR="007854DE" w:rsidRDefault="00DF4D38">
      <w:pPr>
        <w:spacing w:after="0" w:line="240" w:lineRule="auto"/>
      </w:pPr>
      <w:r>
        <w:rPr>
          <w:rFonts w:ascii="Century Gothic" w:eastAsia="Century Gothic" w:hAnsi="Century Gothic" w:cs="Century Gothic"/>
        </w:rPr>
        <w:t>Dr. Marshall Shepherd (Department of Geogra</w:t>
      </w:r>
      <w:r>
        <w:rPr>
          <w:rFonts w:ascii="Century Gothic" w:eastAsia="Century Gothic" w:hAnsi="Century Gothic" w:cs="Century Gothic"/>
        </w:rPr>
        <w:t>phy, UGA)</w:t>
      </w:r>
    </w:p>
    <w:p w:rsidR="007854DE" w:rsidRDefault="00DF4D38">
      <w:pPr>
        <w:spacing w:after="0" w:line="240" w:lineRule="auto"/>
      </w:pPr>
      <w:r>
        <w:rPr>
          <w:rFonts w:ascii="Century Gothic" w:eastAsia="Century Gothic" w:hAnsi="Century Gothic" w:cs="Century Gothic"/>
        </w:rPr>
        <w:t>Dr. Thomas L. Mote (Department of Geography, UGA)</w:t>
      </w:r>
    </w:p>
    <w:p w:rsidR="007854DE" w:rsidRDefault="00DF4D38">
      <w:pPr>
        <w:spacing w:after="0" w:line="240" w:lineRule="auto"/>
      </w:pPr>
      <w:r>
        <w:rPr>
          <w:rFonts w:ascii="Century Gothic" w:eastAsia="Century Gothic" w:hAnsi="Century Gothic" w:cs="Century Gothic"/>
        </w:rPr>
        <w:t xml:space="preserve">Dr. </w:t>
      </w:r>
      <w:proofErr w:type="spellStart"/>
      <w:r>
        <w:rPr>
          <w:rFonts w:ascii="Century Gothic" w:eastAsia="Century Gothic" w:hAnsi="Century Gothic" w:cs="Century Gothic"/>
        </w:rPr>
        <w:t>Sundar</w:t>
      </w:r>
      <w:proofErr w:type="spellEnd"/>
      <w:r>
        <w:rPr>
          <w:rFonts w:ascii="Century Gothic" w:eastAsia="Century Gothic" w:hAnsi="Century Gothic" w:cs="Century Gothic"/>
        </w:rPr>
        <w:t xml:space="preserve"> A. Christopher (Department of Atmospheric Science, UAH)</w:t>
      </w:r>
    </w:p>
    <w:p w:rsidR="007854DE" w:rsidRDefault="00DF4D38">
      <w:pPr>
        <w:spacing w:after="0" w:line="240" w:lineRule="auto"/>
      </w:pPr>
      <w:r>
        <w:rPr>
          <w:rFonts w:ascii="Century Gothic" w:eastAsia="Century Gothic" w:hAnsi="Century Gothic" w:cs="Century Gothic"/>
        </w:rPr>
        <w:t>Dr. Mohammad Al-</w:t>
      </w:r>
      <w:proofErr w:type="spellStart"/>
      <w:r>
        <w:rPr>
          <w:rFonts w:ascii="Century Gothic" w:eastAsia="Century Gothic" w:hAnsi="Century Gothic" w:cs="Century Gothic"/>
        </w:rPr>
        <w:t>Hamdan</w:t>
      </w:r>
      <w:proofErr w:type="spellEnd"/>
      <w:r>
        <w:rPr>
          <w:rFonts w:ascii="Century Gothic" w:eastAsia="Century Gothic" w:hAnsi="Century Gothic" w:cs="Century Gothic"/>
        </w:rPr>
        <w:t xml:space="preserve"> (Research Scientist, USRA)</w:t>
      </w:r>
    </w:p>
    <w:p w:rsidR="007854DE" w:rsidRDefault="00DF4D38">
      <w:pPr>
        <w:spacing w:after="0" w:line="240" w:lineRule="auto"/>
      </w:pPr>
      <w:r>
        <w:rPr>
          <w:rFonts w:ascii="Century Gothic" w:eastAsia="Century Gothic" w:hAnsi="Century Gothic" w:cs="Century Gothic"/>
        </w:rPr>
        <w:t>Steve Padgett-Vasquez (UGA)</w:t>
      </w:r>
    </w:p>
    <w:p w:rsidR="007854DE" w:rsidRDefault="007854DE">
      <w:pPr>
        <w:spacing w:after="0" w:line="240" w:lineRule="auto"/>
        <w:jc w:val="both"/>
      </w:pPr>
    </w:p>
    <w:p w:rsidR="007854DE" w:rsidRDefault="00DF4D38">
      <w:pPr>
        <w:spacing w:after="0" w:line="240" w:lineRule="auto"/>
      </w:pPr>
      <w:r>
        <w:rPr>
          <w:rFonts w:ascii="Century Gothic" w:eastAsia="Century Gothic" w:hAnsi="Century Gothic" w:cs="Century Gothic"/>
          <w:b/>
        </w:rPr>
        <w:t>Past or Other Contributors:</w:t>
      </w:r>
    </w:p>
    <w:p w:rsidR="007854DE" w:rsidRDefault="00DF4D38">
      <w:pPr>
        <w:spacing w:after="0" w:line="240" w:lineRule="auto"/>
      </w:pPr>
      <w:r>
        <w:rPr>
          <w:rFonts w:ascii="Century Gothic" w:eastAsia="Century Gothic" w:hAnsi="Century Gothic" w:cs="Century Gothic"/>
        </w:rPr>
        <w:t xml:space="preserve">Mark T. </w:t>
      </w:r>
      <w:proofErr w:type="spellStart"/>
      <w:r>
        <w:rPr>
          <w:rFonts w:ascii="Century Gothic" w:eastAsia="Century Gothic" w:hAnsi="Century Gothic" w:cs="Century Gothic"/>
        </w:rPr>
        <w:t>Dransfield</w:t>
      </w:r>
      <w:proofErr w:type="spellEnd"/>
      <w:r>
        <w:rPr>
          <w:rFonts w:ascii="Century Gothic" w:eastAsia="Century Gothic" w:hAnsi="Century Gothic" w:cs="Century Gothic"/>
        </w:rPr>
        <w:t>, MD (Medical Director, University of Alabama at Birmingham Lung Health Center)</w:t>
      </w:r>
    </w:p>
    <w:p w:rsidR="007854DE" w:rsidRDefault="00DF4D38">
      <w:pPr>
        <w:spacing w:after="0" w:line="240" w:lineRule="auto"/>
      </w:pPr>
      <w:r>
        <w:rPr>
          <w:rFonts w:ascii="Century Gothic" w:eastAsia="Century Gothic" w:hAnsi="Century Gothic" w:cs="Century Gothic"/>
        </w:rPr>
        <w:t>Michael Rogers (Operations Analyst, Georgia Department of Public Health)</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Applied Sciences National Applications Addressed:</w:t>
      </w:r>
      <w:r>
        <w:rPr>
          <w:rFonts w:ascii="Century Gothic" w:eastAsia="Century Gothic" w:hAnsi="Century Gothic" w:cs="Century Gothic"/>
        </w:rPr>
        <w:t xml:space="preserve"> Health &amp; Air Quality</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Study Area:</w:t>
      </w:r>
      <w:r>
        <w:rPr>
          <w:rFonts w:ascii="Century Gothic" w:eastAsia="Century Gothic" w:hAnsi="Century Gothic" w:cs="Century Gothic"/>
        </w:rPr>
        <w:t xml:space="preserve"> </w:t>
      </w:r>
      <w:r>
        <w:rPr>
          <w:rFonts w:ascii="Century Gothic" w:eastAsia="Century Gothic" w:hAnsi="Century Gothic" w:cs="Century Gothic"/>
        </w:rPr>
        <w:t xml:space="preserve">Pollution </w:t>
      </w:r>
      <w:r w:rsidR="00225628">
        <w:rPr>
          <w:rFonts w:ascii="Century Gothic" w:eastAsia="Century Gothic" w:hAnsi="Century Gothic" w:cs="Century Gothic"/>
        </w:rPr>
        <w:t>modeling</w:t>
      </w:r>
      <w:bookmarkStart w:id="0" w:name="_GoBack"/>
      <w:bookmarkEnd w:id="0"/>
      <w:r>
        <w:rPr>
          <w:rFonts w:ascii="Century Gothic" w:eastAsia="Century Gothic" w:hAnsi="Century Gothic" w:cs="Century Gothic"/>
        </w:rPr>
        <w:t>: Southeast, USA and Health study: Jefferson County, AL and all counties in Georgia</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Study Period:</w:t>
      </w:r>
      <w:r>
        <w:rPr>
          <w:rFonts w:ascii="Century Gothic" w:eastAsia="Century Gothic" w:hAnsi="Century Gothic" w:cs="Century Gothic"/>
        </w:rPr>
        <w:t xml:space="preserve"> May 14, 2007 - June 3, 2007 (Time series comparison: May 14 - June 3, 2006 and 2008)</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Community Concerns</w:t>
      </w:r>
    </w:p>
    <w:p w:rsidR="007854DE" w:rsidRDefault="00DF4D38">
      <w:pPr>
        <w:spacing w:after="0" w:line="240" w:lineRule="auto"/>
        <w:ind w:firstLine="720"/>
      </w:pPr>
      <w:r>
        <w:rPr>
          <w:rFonts w:ascii="Century Gothic" w:eastAsia="Century Gothic" w:hAnsi="Century Gothic" w:cs="Century Gothic"/>
        </w:rPr>
        <w:t>The Okefenokee fires, which occur</w:t>
      </w:r>
      <w:r>
        <w:rPr>
          <w:rFonts w:ascii="Century Gothic" w:eastAsia="Century Gothic" w:hAnsi="Century Gothic" w:cs="Century Gothic"/>
        </w:rPr>
        <w:t>red between April and July of 2007, caused biases in ambient air quality measurements in Birmingham, AL which ultimately led to the reclassification of the period between May 14 and June 3, 2007 as an “exceptional event”. This sudden spike of fine particul</w:t>
      </w:r>
      <w:r>
        <w:rPr>
          <w:rFonts w:ascii="Century Gothic" w:eastAsia="Century Gothic" w:hAnsi="Century Gothic" w:cs="Century Gothic"/>
        </w:rPr>
        <w:t>ate matter (PM</w:t>
      </w:r>
      <w:r>
        <w:rPr>
          <w:rFonts w:ascii="Century Gothic" w:eastAsia="Century Gothic" w:hAnsi="Century Gothic" w:cs="Century Gothic"/>
          <w:vertAlign w:val="subscript"/>
        </w:rPr>
        <w:t>2.5</w:t>
      </w:r>
      <w:r>
        <w:t>)</w:t>
      </w:r>
      <w:r>
        <w:rPr>
          <w:rFonts w:ascii="Century Gothic" w:eastAsia="Century Gothic" w:hAnsi="Century Gothic" w:cs="Century Gothic"/>
        </w:rPr>
        <w:t xml:space="preserve"> levels adversely impacted the population especially those with upper respiratory health disorders. The Southeastern U.S. utilizes prescribed fires as a land management tool to burn an average of four to six million acres per year which further contributes</w:t>
      </w:r>
      <w:r>
        <w:rPr>
          <w:rFonts w:ascii="Century Gothic" w:eastAsia="Century Gothic" w:hAnsi="Century Gothic" w:cs="Century Gothic"/>
        </w:rPr>
        <w:t xml:space="preserve"> to air pollutants. Regions not meeting National Ambient Air Quality Standards (NAAQS) are classified as </w:t>
      </w:r>
      <w:r>
        <w:rPr>
          <w:rFonts w:ascii="Century Gothic" w:eastAsia="Century Gothic" w:hAnsi="Century Gothic" w:cs="Century Gothic"/>
        </w:rPr>
        <w:lastRenderedPageBreak/>
        <w:t>non-attainment areas and are subject to stringent rules governing pollution activities. The more stringent the new standards for fine particulate matte</w:t>
      </w:r>
      <w:r>
        <w:rPr>
          <w:rFonts w:ascii="Century Gothic" w:eastAsia="Century Gothic" w:hAnsi="Century Gothic" w:cs="Century Gothic"/>
        </w:rPr>
        <w:t>r are, the more likely that counties will be pushed into non-attainment status. Non-attainment status would severely limit the use of prescribed fire in a region further adversely impacting the economic development in many areas in the Southeast and Gulf C</w:t>
      </w:r>
      <w:r>
        <w:rPr>
          <w:rFonts w:ascii="Century Gothic" w:eastAsia="Century Gothic" w:hAnsi="Century Gothic" w:cs="Century Gothic"/>
        </w:rPr>
        <w:t xml:space="preserve">oast regions. NASA satellite products are valuable in estimating and analyzing the amount of aerosol transport into an area which could be helpful in developing a set of rules that may be utilized in decision making processes by public health departments. </w:t>
      </w:r>
    </w:p>
    <w:p w:rsidR="007854DE" w:rsidRDefault="007854DE">
      <w:pPr>
        <w:spacing w:after="0" w:line="240" w:lineRule="auto"/>
      </w:pPr>
    </w:p>
    <w:p w:rsidR="007854DE" w:rsidRDefault="00DF4D38">
      <w:pPr>
        <w:spacing w:after="0" w:line="240" w:lineRule="auto"/>
        <w:jc w:val="both"/>
      </w:pPr>
      <w:r>
        <w:rPr>
          <w:rFonts w:ascii="Century Gothic" w:eastAsia="Century Gothic" w:hAnsi="Century Gothic" w:cs="Century Gothic"/>
          <w:b/>
        </w:rPr>
        <w:t>80-100 Word Blurb</w:t>
      </w:r>
    </w:p>
    <w:p w:rsidR="007854DE" w:rsidRDefault="00DF4D38">
      <w:pPr>
        <w:spacing w:after="0" w:line="240" w:lineRule="auto"/>
        <w:ind w:firstLine="720"/>
      </w:pPr>
      <w:r>
        <w:rPr>
          <w:rFonts w:ascii="Century Gothic" w:eastAsia="Century Gothic" w:hAnsi="Century Gothic" w:cs="Century Gothic"/>
        </w:rPr>
        <w:t>The main objective of this study is to determine the level of fine particulate matter (PM</w:t>
      </w:r>
      <w:r>
        <w:rPr>
          <w:rFonts w:ascii="Century Gothic" w:eastAsia="Century Gothic" w:hAnsi="Century Gothic" w:cs="Century Gothic"/>
          <w:vertAlign w:val="subscript"/>
        </w:rPr>
        <w:t>2.5</w:t>
      </w:r>
      <w:r>
        <w:rPr>
          <w:rFonts w:ascii="Century Gothic" w:eastAsia="Century Gothic" w:hAnsi="Century Gothic" w:cs="Century Gothic"/>
        </w:rPr>
        <w:t>) transported into Jefferson County, AL during the Okefenokee fires (April to July of 2007). NASA satellite products are advantageous to a great</w:t>
      </w:r>
      <w:r>
        <w:rPr>
          <w:rFonts w:ascii="Century Gothic" w:eastAsia="Century Gothic" w:hAnsi="Century Gothic" w:cs="Century Gothic"/>
        </w:rPr>
        <w:t xml:space="preserve">er degree when integrated and analyzed in combination with ground based observations and other ancillary data. Utilizing multiple sets of data provides a holistic and integrated approach to understand an environmental phenomenon. The flux of fine aerosols </w:t>
      </w:r>
      <w:r>
        <w:rPr>
          <w:rFonts w:ascii="Century Gothic" w:eastAsia="Century Gothic" w:hAnsi="Century Gothic" w:cs="Century Gothic"/>
        </w:rPr>
        <w:t>into Jefferson County, AL was assessed in relation to the respiratory health of the population which could assist in decision making processes.</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Abstract</w:t>
      </w:r>
    </w:p>
    <w:p w:rsidR="007854DE" w:rsidRDefault="00DF4D38">
      <w:pPr>
        <w:spacing w:after="0" w:line="240" w:lineRule="auto"/>
        <w:ind w:firstLine="720"/>
      </w:pPr>
      <w:r>
        <w:rPr>
          <w:rFonts w:ascii="Century Gothic" w:eastAsia="Century Gothic" w:hAnsi="Century Gothic" w:cs="Century Gothic"/>
        </w:rPr>
        <w:t xml:space="preserve">Air pollutants from the burning of </w:t>
      </w:r>
      <w:r w:rsidR="009B4ADF">
        <w:rPr>
          <w:rFonts w:ascii="Century Gothic" w:eastAsia="Century Gothic" w:hAnsi="Century Gothic" w:cs="Century Gothic"/>
        </w:rPr>
        <w:t>wild land</w:t>
      </w:r>
      <w:r>
        <w:rPr>
          <w:rFonts w:ascii="Century Gothic" w:eastAsia="Century Gothic" w:hAnsi="Century Gothic" w:cs="Century Gothic"/>
        </w:rPr>
        <w:t xml:space="preserve"> vegetation have adverse impacts on air quality, visibility</w:t>
      </w:r>
      <w:r>
        <w:rPr>
          <w:rFonts w:ascii="Century Gothic" w:eastAsia="Century Gothic" w:hAnsi="Century Gothic" w:cs="Century Gothic"/>
        </w:rPr>
        <w:t>, and public health. Fine particulate matter from smoke has been shown to cause respiratory and pulmonary ailments in susceptible populations. The Okefenokee Swamp fires were the largest fire complex in Florida and Georgia history. The fires began in Georg</w:t>
      </w:r>
      <w:r>
        <w:rPr>
          <w:rFonts w:ascii="Century Gothic" w:eastAsia="Century Gothic" w:hAnsi="Century Gothic" w:cs="Century Gothic"/>
        </w:rPr>
        <w:t xml:space="preserve">ia in April 2007 and merged with another large fire to the south which then began to move over the </w:t>
      </w:r>
      <w:r w:rsidR="009B4ADF">
        <w:rPr>
          <w:rFonts w:ascii="Century Gothic" w:eastAsia="Century Gothic" w:hAnsi="Century Gothic" w:cs="Century Gothic"/>
        </w:rPr>
        <w:t>state line</w:t>
      </w:r>
      <w:r>
        <w:rPr>
          <w:rFonts w:ascii="Century Gothic" w:eastAsia="Century Gothic" w:hAnsi="Century Gothic" w:cs="Century Gothic"/>
        </w:rPr>
        <w:t xml:space="preserve"> into Florida; a total of approximately 600,000 acres of land had burned by the time the fires were contained in July 2007. The low oxygen environme</w:t>
      </w:r>
      <w:r>
        <w:rPr>
          <w:rFonts w:ascii="Century Gothic" w:eastAsia="Century Gothic" w:hAnsi="Century Gothic" w:cs="Century Gothic"/>
        </w:rPr>
        <w:t>nt found in swamps such as the Okefenokee caused an incomplete combustion of vegetation leading to large quantities of particulates released into the troposphere. The burn scars from the Okefenokee fires were identified using Landsat 5 Level 1 product util</w:t>
      </w:r>
      <w:r>
        <w:rPr>
          <w:rFonts w:ascii="Century Gothic" w:eastAsia="Century Gothic" w:hAnsi="Century Gothic" w:cs="Century Gothic"/>
        </w:rPr>
        <w:t xml:space="preserve">izing the 7, 4, 2 band combinations. </w:t>
      </w:r>
    </w:p>
    <w:p w:rsidR="007854DE" w:rsidRDefault="00DF4D38">
      <w:pPr>
        <w:spacing w:after="0" w:line="240" w:lineRule="auto"/>
        <w:ind w:firstLine="720"/>
      </w:pPr>
      <w:r>
        <w:rPr>
          <w:rFonts w:ascii="Century Gothic" w:eastAsia="Century Gothic" w:hAnsi="Century Gothic" w:cs="Century Gothic"/>
        </w:rPr>
        <w:t>With the use of NASA datasets such as MODIS Aerosol Optical Depth (AOD), the UGA/MSFC DEVELOP team analyzed the regional transport of PM</w:t>
      </w:r>
      <w:r>
        <w:rPr>
          <w:rFonts w:ascii="Century Gothic" w:eastAsia="Century Gothic" w:hAnsi="Century Gothic" w:cs="Century Gothic"/>
          <w:vertAlign w:val="subscript"/>
        </w:rPr>
        <w:t xml:space="preserve">2.5 </w:t>
      </w:r>
      <w:r>
        <w:rPr>
          <w:rFonts w:ascii="Century Gothic" w:eastAsia="Century Gothic" w:hAnsi="Century Gothic" w:cs="Century Gothic"/>
        </w:rPr>
        <w:t>into Jefferson County, AL between May 14 and June 3, 2007. Level 2 MODIS AOD d</w:t>
      </w:r>
      <w:r>
        <w:rPr>
          <w:rFonts w:ascii="Century Gothic" w:eastAsia="Century Gothic" w:hAnsi="Century Gothic" w:cs="Century Gothic"/>
        </w:rPr>
        <w:t>ata sets were used to derive PM</w:t>
      </w:r>
      <w:r>
        <w:rPr>
          <w:rFonts w:ascii="Century Gothic" w:eastAsia="Century Gothic" w:hAnsi="Century Gothic" w:cs="Century Gothic"/>
          <w:vertAlign w:val="subscript"/>
        </w:rPr>
        <w:t xml:space="preserve">2.5 </w:t>
      </w:r>
      <w:r>
        <w:rPr>
          <w:rFonts w:ascii="Century Gothic" w:eastAsia="Century Gothic" w:hAnsi="Century Gothic" w:cs="Century Gothic"/>
        </w:rPr>
        <w:t>levels which in turn were validated with ground-based observations. Because the spatial presence of the Environmental Protection Agency’s (EPA) PM</w:t>
      </w:r>
      <w:r>
        <w:rPr>
          <w:rFonts w:ascii="Century Gothic" w:eastAsia="Century Gothic" w:hAnsi="Century Gothic" w:cs="Century Gothic"/>
          <w:vertAlign w:val="subscript"/>
        </w:rPr>
        <w:t>2.5</w:t>
      </w:r>
      <w:r>
        <w:rPr>
          <w:rFonts w:ascii="Century Gothic" w:eastAsia="Century Gothic" w:hAnsi="Century Gothic" w:cs="Century Gothic"/>
        </w:rPr>
        <w:t xml:space="preserve"> monitoring stations is sparse, pollution maps produced using spatial in</w:t>
      </w:r>
      <w:r>
        <w:rPr>
          <w:rFonts w:ascii="Century Gothic" w:eastAsia="Century Gothic" w:hAnsi="Century Gothic" w:cs="Century Gothic"/>
        </w:rPr>
        <w:t>terpolation techniques may not alone represent the holistic picture of the studied phenomenon. For this reason, MODIS AOD products were used to derive the estimated PM</w:t>
      </w:r>
      <w:r>
        <w:rPr>
          <w:rFonts w:ascii="Century Gothic" w:eastAsia="Century Gothic" w:hAnsi="Century Gothic" w:cs="Century Gothic"/>
          <w:vertAlign w:val="subscript"/>
        </w:rPr>
        <w:t>2.5</w:t>
      </w:r>
      <w:r>
        <w:rPr>
          <w:rFonts w:ascii="Century Gothic" w:eastAsia="Century Gothic" w:hAnsi="Century Gothic" w:cs="Century Gothic"/>
        </w:rPr>
        <w:t xml:space="preserve"> levels at the surface for all of the areas that did not contain PM</w:t>
      </w:r>
      <w:r>
        <w:rPr>
          <w:rFonts w:ascii="Century Gothic" w:eastAsia="Century Gothic" w:hAnsi="Century Gothic" w:cs="Century Gothic"/>
          <w:vertAlign w:val="subscript"/>
        </w:rPr>
        <w:t>2.5</w:t>
      </w:r>
      <w:r>
        <w:rPr>
          <w:rFonts w:ascii="Century Gothic" w:eastAsia="Century Gothic" w:hAnsi="Century Gothic" w:cs="Century Gothic"/>
          <w:sz w:val="16"/>
        </w:rPr>
        <w:t xml:space="preserve"> </w:t>
      </w:r>
      <w:r>
        <w:rPr>
          <w:rFonts w:ascii="Century Gothic" w:eastAsia="Century Gothic" w:hAnsi="Century Gothic" w:cs="Century Gothic"/>
        </w:rPr>
        <w:t xml:space="preserve">monitors. True </w:t>
      </w:r>
      <w:r>
        <w:rPr>
          <w:rFonts w:ascii="Century Gothic" w:eastAsia="Century Gothic" w:hAnsi="Century Gothic" w:cs="Century Gothic"/>
        </w:rPr>
        <w:t xml:space="preserve">color composites created from MODIS Level 1B Radiance data and archive synoptic meteorological charts were used to qualitatively assess the transport of smoke aerosols. NOAA’s Hybrid Single Particle </w:t>
      </w:r>
      <w:proofErr w:type="spellStart"/>
      <w:r>
        <w:rPr>
          <w:rFonts w:ascii="Century Gothic" w:eastAsia="Century Gothic" w:hAnsi="Century Gothic" w:cs="Century Gothic"/>
        </w:rPr>
        <w:t>Lagrangian</w:t>
      </w:r>
      <w:proofErr w:type="spellEnd"/>
      <w:r>
        <w:rPr>
          <w:rFonts w:ascii="Century Gothic" w:eastAsia="Century Gothic" w:hAnsi="Century Gothic" w:cs="Century Gothic"/>
        </w:rPr>
        <w:t xml:space="preserve"> Integrated Trajectory Model (HYSPLIT model) wa</w:t>
      </w:r>
      <w:r>
        <w:rPr>
          <w:rFonts w:ascii="Century Gothic" w:eastAsia="Century Gothic" w:hAnsi="Century Gothic" w:cs="Century Gothic"/>
        </w:rPr>
        <w:t xml:space="preserve">s used to analyze the forward trajectories in the Southeast. Flux analysis using NOAA Geostationary Operational Environmental Satellite (GOES) GASP product was used to determine the amount of aerosol transported into Jefferson County, AL compared to local </w:t>
      </w:r>
      <w:r>
        <w:rPr>
          <w:rFonts w:ascii="Century Gothic" w:eastAsia="Century Gothic" w:hAnsi="Century Gothic" w:cs="Century Gothic"/>
        </w:rPr>
        <w:t xml:space="preserve">source generation. Finally, statistical analysis was performed using t-test to assess </w:t>
      </w:r>
      <w:r>
        <w:rPr>
          <w:rFonts w:ascii="Century Gothic" w:eastAsia="Century Gothic" w:hAnsi="Century Gothic" w:cs="Century Gothic"/>
        </w:rPr>
        <w:lastRenderedPageBreak/>
        <w:t xml:space="preserve">the respiratory health of populations before and after the fires using emergency room visits in Birmingham, AL and all Georgia counties.  </w:t>
      </w:r>
      <w:r>
        <w:rPr>
          <w:rFonts w:ascii="Century Gothic" w:eastAsia="Century Gothic" w:hAnsi="Century Gothic" w:cs="Century Gothic"/>
          <w:color w:val="FF0000"/>
        </w:rPr>
        <w:t xml:space="preserve">  </w:t>
      </w:r>
    </w:p>
    <w:p w:rsidR="007854DE" w:rsidRDefault="007854DE">
      <w:pPr>
        <w:spacing w:after="0" w:line="240" w:lineRule="auto"/>
        <w:jc w:val="both"/>
      </w:pP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Partners/Collaborators</w:t>
      </w:r>
    </w:p>
    <w:p w:rsidR="007854DE" w:rsidRDefault="00DF4D38">
      <w:pPr>
        <w:spacing w:after="0" w:line="240" w:lineRule="auto"/>
        <w:jc w:val="both"/>
      </w:pPr>
      <w:r>
        <w:rPr>
          <w:rFonts w:ascii="Century Gothic" w:eastAsia="Century Gothic" w:hAnsi="Century Gothic" w:cs="Century Gothic"/>
        </w:rPr>
        <w:t>Jeff</w:t>
      </w:r>
      <w:r>
        <w:rPr>
          <w:rFonts w:ascii="Century Gothic" w:eastAsia="Century Gothic" w:hAnsi="Century Gothic" w:cs="Century Gothic"/>
        </w:rPr>
        <w:t xml:space="preserve">erson County Department of Health (POC: Matt </w:t>
      </w:r>
      <w:proofErr w:type="spellStart"/>
      <w:r>
        <w:rPr>
          <w:rFonts w:ascii="Century Gothic" w:eastAsia="Century Gothic" w:hAnsi="Century Gothic" w:cs="Century Gothic"/>
        </w:rPr>
        <w:t>Lacke</w:t>
      </w:r>
      <w:proofErr w:type="spellEnd"/>
      <w:r>
        <w:rPr>
          <w:rFonts w:ascii="Century Gothic" w:eastAsia="Century Gothic" w:hAnsi="Century Gothic" w:cs="Century Gothic"/>
        </w:rPr>
        <w:t>)</w:t>
      </w:r>
    </w:p>
    <w:p w:rsidR="007854DE" w:rsidRDefault="00DF4D38">
      <w:pPr>
        <w:spacing w:after="0" w:line="240" w:lineRule="auto"/>
        <w:jc w:val="both"/>
      </w:pPr>
      <w:r>
        <w:rPr>
          <w:rFonts w:ascii="Century Gothic" w:eastAsia="Century Gothic" w:hAnsi="Century Gothic" w:cs="Century Gothic"/>
        </w:rPr>
        <w:t xml:space="preserve">U.S. Forest Service (POC: Dr. Scott </w:t>
      </w:r>
      <w:proofErr w:type="spellStart"/>
      <w:r>
        <w:rPr>
          <w:rFonts w:ascii="Century Gothic" w:eastAsia="Century Gothic" w:hAnsi="Century Gothic" w:cs="Century Gothic"/>
        </w:rPr>
        <w:t>Goodrick</w:t>
      </w:r>
      <w:proofErr w:type="spellEnd"/>
      <w:r>
        <w:rPr>
          <w:rFonts w:ascii="Century Gothic" w:eastAsia="Century Gothic" w:hAnsi="Century Gothic" w:cs="Century Gothic"/>
        </w:rPr>
        <w:t>)</w:t>
      </w:r>
    </w:p>
    <w:p w:rsidR="007854DE" w:rsidRDefault="007854DE">
      <w:pPr>
        <w:spacing w:after="0" w:line="240" w:lineRule="auto"/>
        <w:jc w:val="both"/>
      </w:pP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Current Management Practices &amp; Policies</w:t>
      </w:r>
      <w:r>
        <w:rPr>
          <w:rFonts w:ascii="Century Gothic" w:eastAsia="Century Gothic" w:hAnsi="Century Gothic" w:cs="Century Gothic"/>
        </w:rPr>
        <w:t xml:space="preserve"> </w:t>
      </w:r>
    </w:p>
    <w:p w:rsidR="007854DE" w:rsidRDefault="00DF4D38">
      <w:pPr>
        <w:spacing w:after="0" w:line="240" w:lineRule="auto"/>
        <w:ind w:firstLine="720"/>
      </w:pPr>
      <w:r>
        <w:rPr>
          <w:rFonts w:ascii="Century Gothic" w:eastAsia="Century Gothic" w:hAnsi="Century Gothic" w:cs="Century Gothic"/>
        </w:rPr>
        <w:t>To analyze PM</w:t>
      </w:r>
      <w:r>
        <w:rPr>
          <w:rFonts w:ascii="Century Gothic" w:eastAsia="Century Gothic" w:hAnsi="Century Gothic" w:cs="Century Gothic"/>
          <w:vertAlign w:val="subscript"/>
        </w:rPr>
        <w:t>2.5</w:t>
      </w:r>
      <w:r>
        <w:rPr>
          <w:rFonts w:ascii="Century Gothic" w:eastAsia="Century Gothic" w:hAnsi="Century Gothic" w:cs="Century Gothic"/>
        </w:rPr>
        <w:t xml:space="preserve"> levels, the Jefferson County Department of Health utilizes eight monitoring ground stations in the Birmingham area. Currently, the department does not have a reliable method of assessing the origins and quantities of PM</w:t>
      </w:r>
      <w:r>
        <w:rPr>
          <w:rFonts w:ascii="Century Gothic" w:eastAsia="Century Gothic" w:hAnsi="Century Gothic" w:cs="Century Gothic"/>
          <w:vertAlign w:val="subscript"/>
        </w:rPr>
        <w:t>2.5</w:t>
      </w:r>
      <w:r>
        <w:rPr>
          <w:rFonts w:ascii="Century Gothic" w:eastAsia="Century Gothic" w:hAnsi="Century Gothic" w:cs="Century Gothic"/>
        </w:rPr>
        <w:t xml:space="preserve"> reaching Birmingham from other a</w:t>
      </w:r>
      <w:r>
        <w:rPr>
          <w:rFonts w:ascii="Century Gothic" w:eastAsia="Century Gothic" w:hAnsi="Century Gothic" w:cs="Century Gothic"/>
        </w:rPr>
        <w:t>reas in the region. This is an issue that will become very important over the next few years as new air quality</w:t>
      </w:r>
      <w:r>
        <w:rPr>
          <w:rFonts w:ascii="Century Gothic" w:eastAsia="Century Gothic" w:hAnsi="Century Gothic" w:cs="Century Gothic"/>
          <w:vertAlign w:val="subscript"/>
        </w:rPr>
        <w:t xml:space="preserve"> </w:t>
      </w:r>
      <w:r>
        <w:rPr>
          <w:rFonts w:ascii="Century Gothic" w:eastAsia="Century Gothic" w:hAnsi="Century Gothic" w:cs="Century Gothic"/>
        </w:rPr>
        <w:t>regulations are enacted; for example, in 2006, the daily standard PM</w:t>
      </w:r>
      <w:r>
        <w:rPr>
          <w:rFonts w:ascii="Century Gothic" w:eastAsia="Century Gothic" w:hAnsi="Century Gothic" w:cs="Century Gothic"/>
          <w:vertAlign w:val="subscript"/>
        </w:rPr>
        <w:t>2.5</w:t>
      </w:r>
      <w:r>
        <w:t xml:space="preserve"> </w:t>
      </w:r>
      <w:r>
        <w:rPr>
          <w:rFonts w:ascii="Century Gothic" w:eastAsia="Century Gothic" w:hAnsi="Century Gothic" w:cs="Century Gothic"/>
        </w:rPr>
        <w:t xml:space="preserve">averaged over 24-hour periods was reduced from 65 </w:t>
      </w:r>
      <w:proofErr w:type="spellStart"/>
      <w:r>
        <w:rPr>
          <w:rFonts w:ascii="Century Gothic" w:eastAsia="Century Gothic" w:hAnsi="Century Gothic" w:cs="Century Gothic"/>
        </w:rPr>
        <w:t>μg</w:t>
      </w:r>
      <w:proofErr w:type="spellEnd"/>
      <w:r>
        <w:rPr>
          <w:rFonts w:ascii="Century Gothic" w:eastAsia="Century Gothic" w:hAnsi="Century Gothic" w:cs="Century Gothic"/>
        </w:rPr>
        <w:t>/m</w:t>
      </w:r>
      <w:r>
        <w:rPr>
          <w:rFonts w:ascii="Century Gothic" w:eastAsia="Century Gothic" w:hAnsi="Century Gothic" w:cs="Century Gothic"/>
          <w:vertAlign w:val="superscript"/>
        </w:rPr>
        <w:t>3</w:t>
      </w:r>
      <w:r>
        <w:rPr>
          <w:rFonts w:ascii="Century Gothic" w:eastAsia="Century Gothic" w:hAnsi="Century Gothic" w:cs="Century Gothic"/>
        </w:rPr>
        <w:t xml:space="preserve"> to 35 </w:t>
      </w:r>
      <w:proofErr w:type="spellStart"/>
      <w:r>
        <w:rPr>
          <w:rFonts w:ascii="Century Gothic" w:eastAsia="Century Gothic" w:hAnsi="Century Gothic" w:cs="Century Gothic"/>
        </w:rPr>
        <w:t>μg</w:t>
      </w:r>
      <w:proofErr w:type="spellEnd"/>
      <w:r>
        <w:rPr>
          <w:rFonts w:ascii="Century Gothic" w:eastAsia="Century Gothic" w:hAnsi="Century Gothic" w:cs="Century Gothic"/>
        </w:rPr>
        <w:t>/m</w:t>
      </w:r>
      <w:r>
        <w:rPr>
          <w:rFonts w:ascii="Century Gothic" w:eastAsia="Century Gothic" w:hAnsi="Century Gothic" w:cs="Century Gothic"/>
          <w:vertAlign w:val="superscript"/>
        </w:rPr>
        <w:t>3</w:t>
      </w:r>
      <w:r>
        <w:rPr>
          <w:rFonts w:ascii="Century Gothic" w:eastAsia="Century Gothic" w:hAnsi="Century Gothic" w:cs="Century Gothic"/>
        </w:rPr>
        <w:t>. Tra</w:t>
      </w:r>
      <w:r>
        <w:rPr>
          <w:rFonts w:ascii="Century Gothic" w:eastAsia="Century Gothic" w:hAnsi="Century Gothic" w:cs="Century Gothic"/>
        </w:rPr>
        <w:t>cking of air pollutants and their sources using satellite monitoring may be cost-effective and may benefit the public health departments in decision making processes.</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Benefit to End-User:</w:t>
      </w:r>
    </w:p>
    <w:p w:rsidR="007854DE" w:rsidRDefault="00DF4D38">
      <w:pPr>
        <w:spacing w:after="0" w:line="240" w:lineRule="auto"/>
        <w:ind w:firstLine="720"/>
      </w:pPr>
      <w:r w:rsidRPr="009B4ADF">
        <w:rPr>
          <w:rFonts w:ascii="Century Gothic" w:eastAsia="Arial" w:hAnsi="Century Gothic" w:cs="Arial"/>
        </w:rPr>
        <w:t>Using MODIS AOD to estimate PM</w:t>
      </w:r>
      <w:r w:rsidRPr="009B4ADF">
        <w:rPr>
          <w:rFonts w:ascii="Century Gothic" w:eastAsia="Arial" w:hAnsi="Century Gothic" w:cs="Arial"/>
          <w:sz w:val="16"/>
        </w:rPr>
        <w:t xml:space="preserve">2.5 </w:t>
      </w:r>
      <w:r w:rsidRPr="009B4ADF">
        <w:rPr>
          <w:rFonts w:ascii="Century Gothic" w:eastAsia="Arial" w:hAnsi="Century Gothic" w:cs="Arial"/>
        </w:rPr>
        <w:t>could provide more accurate and r</w:t>
      </w:r>
      <w:r w:rsidRPr="009B4ADF">
        <w:rPr>
          <w:rFonts w:ascii="Century Gothic" w:eastAsia="Arial" w:hAnsi="Century Gothic" w:cs="Arial"/>
        </w:rPr>
        <w:t>eliable levels of pollutant over Jefferson County, AL. Our project and data support can help Jefferson County Department of Health (JCDH), Alabama Department of Public Health (ADPH), and Alabama Department of Environmental Management (ADEM) to formulate ru</w:t>
      </w:r>
      <w:r w:rsidRPr="009B4ADF">
        <w:rPr>
          <w:rFonts w:ascii="Century Gothic" w:eastAsia="Arial" w:hAnsi="Century Gothic" w:cs="Arial"/>
        </w:rPr>
        <w:t>les and set practices. These organizations can come to a coordinated approach to discuss implications and future plan of actions during wildfires. This data can be used in epidemiological, in vitro controlled exposure-response, and geospatial health modeli</w:t>
      </w:r>
      <w:r w:rsidRPr="009B4ADF">
        <w:rPr>
          <w:rFonts w:ascii="Century Gothic" w:eastAsia="Arial" w:hAnsi="Century Gothic" w:cs="Arial"/>
        </w:rPr>
        <w:t>ng studies to understand what levels and duration of exposure is harmful to the public health. These experimental results can be further used by federal and state governments to administer air-quality and population health</w:t>
      </w:r>
      <w:r w:rsidRPr="009B4ADF">
        <w:rPr>
          <w:rFonts w:ascii="Century Gothic" w:eastAsia="Century Gothic" w:hAnsi="Century Gothic" w:cs="Century Gothic"/>
        </w:rPr>
        <w:t>.</w:t>
      </w:r>
      <w:r>
        <w:rPr>
          <w:rFonts w:ascii="Century Gothic" w:eastAsia="Century Gothic" w:hAnsi="Century Gothic" w:cs="Century Gothic"/>
        </w:rPr>
        <w:t xml:space="preserve"> The flux analysis of aerosols in</w:t>
      </w:r>
      <w:r>
        <w:rPr>
          <w:rFonts w:ascii="Century Gothic" w:eastAsia="Century Gothic" w:hAnsi="Century Gothic" w:cs="Century Gothic"/>
        </w:rPr>
        <w:t xml:space="preserve"> the Southeast U.S. provides a comparison between locally versus regionally generated PM</w:t>
      </w:r>
      <w:r>
        <w:rPr>
          <w:rFonts w:ascii="Century Gothic" w:eastAsia="Century Gothic" w:hAnsi="Century Gothic" w:cs="Century Gothic"/>
          <w:vertAlign w:val="subscript"/>
        </w:rPr>
        <w:t>2.5</w:t>
      </w:r>
      <w:r>
        <w:rPr>
          <w:rFonts w:ascii="Century Gothic" w:eastAsia="Century Gothic" w:hAnsi="Century Gothic" w:cs="Century Gothic"/>
        </w:rPr>
        <w:t xml:space="preserve"> in Jefferson County, AL. The EPA has a great use for the flux methodology in determining whether or not certain days should be considered “exceptional events” in te</w:t>
      </w:r>
      <w:r>
        <w:rPr>
          <w:rFonts w:ascii="Century Gothic" w:eastAsia="Century Gothic" w:hAnsi="Century Gothic" w:cs="Century Gothic"/>
        </w:rPr>
        <w:t xml:space="preserve">rms of the county meeting NAAQS.  </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Decision Support Tools</w:t>
      </w:r>
      <w:r>
        <w:rPr>
          <w:rFonts w:ascii="Century Gothic" w:eastAsia="Century Gothic" w:hAnsi="Century Gothic" w:cs="Century Gothic"/>
        </w:rPr>
        <w:t xml:space="preserve"> </w:t>
      </w:r>
    </w:p>
    <w:p w:rsidR="007854DE" w:rsidRDefault="00DF4D38">
      <w:pPr>
        <w:numPr>
          <w:ilvl w:val="0"/>
          <w:numId w:val="1"/>
        </w:numPr>
        <w:spacing w:after="0" w:line="240" w:lineRule="auto"/>
        <w:ind w:hanging="359"/>
        <w:jc w:val="both"/>
      </w:pPr>
      <w:r>
        <w:rPr>
          <w:rFonts w:ascii="Century Gothic" w:eastAsia="Century Gothic" w:hAnsi="Century Gothic" w:cs="Century Gothic"/>
        </w:rPr>
        <w:t>NASA EOS satellite AOD data to assess columnar loading of aerosols for particular regions.</w:t>
      </w:r>
    </w:p>
    <w:p w:rsidR="007854DE" w:rsidRDefault="00DF4D38">
      <w:pPr>
        <w:numPr>
          <w:ilvl w:val="0"/>
          <w:numId w:val="1"/>
        </w:numPr>
        <w:spacing w:after="0" w:line="240" w:lineRule="auto"/>
        <w:ind w:hanging="359"/>
        <w:jc w:val="both"/>
      </w:pPr>
      <w:r>
        <w:rPr>
          <w:rFonts w:ascii="Century Gothic" w:eastAsia="Century Gothic" w:hAnsi="Century Gothic" w:cs="Century Gothic"/>
        </w:rPr>
        <w:t>PM</w:t>
      </w:r>
      <w:r>
        <w:rPr>
          <w:rFonts w:ascii="Century Gothic" w:eastAsia="Century Gothic" w:hAnsi="Century Gothic" w:cs="Century Gothic"/>
          <w:vertAlign w:val="subscript"/>
        </w:rPr>
        <w:t xml:space="preserve">2.5 </w:t>
      </w:r>
      <w:r>
        <w:rPr>
          <w:rFonts w:ascii="Century Gothic" w:eastAsia="Century Gothic" w:hAnsi="Century Gothic" w:cs="Century Gothic"/>
        </w:rPr>
        <w:t>pollution maps of Southeast U.S.</w:t>
      </w:r>
    </w:p>
    <w:p w:rsidR="007854DE" w:rsidRDefault="00DF4D38">
      <w:pPr>
        <w:numPr>
          <w:ilvl w:val="0"/>
          <w:numId w:val="1"/>
        </w:numPr>
        <w:spacing w:after="0" w:line="240" w:lineRule="auto"/>
        <w:ind w:hanging="359"/>
        <w:jc w:val="both"/>
      </w:pPr>
      <w:r>
        <w:rPr>
          <w:rFonts w:ascii="Century Gothic" w:eastAsia="Century Gothic" w:hAnsi="Century Gothic" w:cs="Century Gothic"/>
        </w:rPr>
        <w:t>Maps comparing upper respiratory related ER visits and PM</w:t>
      </w:r>
      <w:r>
        <w:rPr>
          <w:rFonts w:ascii="Century Gothic" w:eastAsia="Century Gothic" w:hAnsi="Century Gothic" w:cs="Century Gothic"/>
          <w:vertAlign w:val="subscript"/>
        </w:rPr>
        <w:t xml:space="preserve">2.5 </w:t>
      </w:r>
      <w:r>
        <w:rPr>
          <w:rFonts w:ascii="Century Gothic" w:eastAsia="Century Gothic" w:hAnsi="Century Gothic" w:cs="Century Gothic"/>
        </w:rPr>
        <w:t>levels</w:t>
      </w:r>
    </w:p>
    <w:p w:rsidR="007854DE" w:rsidRDefault="00DF4D38">
      <w:pPr>
        <w:numPr>
          <w:ilvl w:val="0"/>
          <w:numId w:val="1"/>
        </w:numPr>
        <w:spacing w:after="0" w:line="240" w:lineRule="auto"/>
        <w:ind w:hanging="359"/>
        <w:jc w:val="both"/>
      </w:pPr>
      <w:r>
        <w:rPr>
          <w:rFonts w:ascii="Century Gothic" w:eastAsia="Century Gothic" w:hAnsi="Century Gothic" w:cs="Century Gothic"/>
        </w:rPr>
        <w:t>Aerosol flux map</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Earth Observations &amp; Parameters</w:t>
      </w:r>
    </w:p>
    <w:p w:rsidR="007854DE" w:rsidRDefault="00DF4D38">
      <w:pPr>
        <w:spacing w:after="0" w:line="240" w:lineRule="auto"/>
        <w:jc w:val="both"/>
      </w:pPr>
      <w:r>
        <w:rPr>
          <w:rFonts w:ascii="Century Gothic" w:eastAsia="Century Gothic" w:hAnsi="Century Gothic" w:cs="Century Gothic"/>
        </w:rPr>
        <w:t>Aqua and Terra, MODIS - Aerosol Optical Depth</w:t>
      </w:r>
    </w:p>
    <w:p w:rsidR="007854DE" w:rsidRDefault="00DF4D38">
      <w:pPr>
        <w:spacing w:after="0" w:line="240" w:lineRule="auto"/>
        <w:jc w:val="both"/>
      </w:pPr>
      <w:r>
        <w:rPr>
          <w:rFonts w:ascii="Century Gothic" w:eastAsia="Century Gothic" w:hAnsi="Century Gothic" w:cs="Century Gothic"/>
        </w:rPr>
        <w:t>Landsat 5 TM - Burn Scars</w:t>
      </w:r>
    </w:p>
    <w:p w:rsidR="007854DE" w:rsidRDefault="00DF4D38">
      <w:pPr>
        <w:spacing w:after="0" w:line="240" w:lineRule="auto"/>
        <w:jc w:val="both"/>
      </w:pPr>
      <w:r>
        <w:rPr>
          <w:rFonts w:ascii="Century Gothic" w:eastAsia="Century Gothic" w:hAnsi="Century Gothic" w:cs="Century Gothic"/>
        </w:rPr>
        <w:t>GOES GASP - Flux Analysis</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lastRenderedPageBreak/>
        <w:t>Future Applicable NASA Missions</w:t>
      </w:r>
    </w:p>
    <w:p w:rsidR="007854DE" w:rsidRDefault="00DF4D38">
      <w:pPr>
        <w:spacing w:after="0" w:line="240" w:lineRule="auto"/>
        <w:jc w:val="both"/>
      </w:pPr>
      <w:r>
        <w:rPr>
          <w:rFonts w:ascii="Century Gothic" w:eastAsia="Century Gothic" w:hAnsi="Century Gothic" w:cs="Century Gothic"/>
        </w:rPr>
        <w:t xml:space="preserve">PACE </w:t>
      </w:r>
      <w:r>
        <w:rPr>
          <w:rFonts w:ascii="Century Gothic" w:eastAsia="Century Gothic" w:hAnsi="Century Gothic" w:cs="Century Gothic"/>
        </w:rPr>
        <w:t>-</w:t>
      </w:r>
      <w:r>
        <w:rPr>
          <w:rFonts w:ascii="Century Gothic" w:eastAsia="Century Gothic" w:hAnsi="Century Gothic" w:cs="Century Gothic"/>
        </w:rPr>
        <w:t xml:space="preserve"> Pre-Aerosol, Clouds, and </w:t>
      </w:r>
      <w:r>
        <w:rPr>
          <w:rFonts w:ascii="Century Gothic" w:eastAsia="Century Gothic" w:hAnsi="Century Gothic" w:cs="Century Gothic"/>
        </w:rPr>
        <w:t>O</w:t>
      </w:r>
      <w:r>
        <w:rPr>
          <w:rFonts w:ascii="Century Gothic" w:eastAsia="Century Gothic" w:hAnsi="Century Gothic" w:cs="Century Gothic"/>
        </w:rPr>
        <w:t xml:space="preserve">cean Ecosystem </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Models Utilized</w:t>
      </w:r>
    </w:p>
    <w:p w:rsidR="007854DE" w:rsidRDefault="00DF4D38">
      <w:pPr>
        <w:spacing w:after="0" w:line="240" w:lineRule="auto"/>
        <w:jc w:val="both"/>
      </w:pPr>
      <w:r>
        <w:rPr>
          <w:rFonts w:ascii="Century Gothic" w:eastAsia="Century Gothic" w:hAnsi="Century Gothic" w:cs="Century Gothic"/>
        </w:rPr>
        <w:t>Fl</w:t>
      </w:r>
      <w:r>
        <w:rPr>
          <w:rFonts w:ascii="Century Gothic" w:eastAsia="Century Gothic" w:hAnsi="Century Gothic" w:cs="Century Gothic"/>
        </w:rPr>
        <w:t>ux model- Optical Flow Technique</w:t>
      </w:r>
    </w:p>
    <w:p w:rsidR="007854DE" w:rsidRDefault="00DF4D38">
      <w:pPr>
        <w:spacing w:after="0" w:line="240" w:lineRule="auto"/>
        <w:jc w:val="both"/>
      </w:pPr>
      <w:r>
        <w:rPr>
          <w:rFonts w:ascii="Century Gothic" w:eastAsia="Century Gothic" w:hAnsi="Century Gothic" w:cs="Century Gothic"/>
        </w:rPr>
        <w:t>AOD - PM</w:t>
      </w:r>
      <w:r>
        <w:rPr>
          <w:rFonts w:ascii="Century Gothic" w:eastAsia="Century Gothic" w:hAnsi="Century Gothic" w:cs="Century Gothic"/>
          <w:vertAlign w:val="subscript"/>
        </w:rPr>
        <w:t xml:space="preserve">2.5 </w:t>
      </w:r>
      <w:r>
        <w:rPr>
          <w:rFonts w:ascii="Century Gothic" w:eastAsia="Century Gothic" w:hAnsi="Century Gothic" w:cs="Century Gothic"/>
        </w:rPr>
        <w:t>Linear Regression Analysis</w:t>
      </w:r>
    </w:p>
    <w:p w:rsidR="007854DE" w:rsidRDefault="00DF4D38">
      <w:pPr>
        <w:spacing w:after="0" w:line="240" w:lineRule="auto"/>
        <w:jc w:val="both"/>
      </w:pPr>
      <w:proofErr w:type="spellStart"/>
      <w:r>
        <w:rPr>
          <w:rFonts w:ascii="Century Gothic" w:eastAsia="Century Gothic" w:hAnsi="Century Gothic" w:cs="Century Gothic"/>
        </w:rPr>
        <w:t>Geostatistical</w:t>
      </w:r>
      <w:proofErr w:type="spellEnd"/>
      <w:r>
        <w:rPr>
          <w:rFonts w:ascii="Century Gothic" w:eastAsia="Century Gothic" w:hAnsi="Century Gothic" w:cs="Century Gothic"/>
        </w:rPr>
        <w:t xml:space="preserve"> Modeling for PM</w:t>
      </w:r>
      <w:r>
        <w:rPr>
          <w:rFonts w:ascii="Century Gothic" w:eastAsia="Century Gothic" w:hAnsi="Century Gothic" w:cs="Century Gothic"/>
          <w:sz w:val="16"/>
        </w:rPr>
        <w:t>2.5</w:t>
      </w:r>
      <w:r>
        <w:rPr>
          <w:rFonts w:ascii="Century Gothic" w:eastAsia="Century Gothic" w:hAnsi="Century Gothic" w:cs="Century Gothic"/>
        </w:rPr>
        <w:t xml:space="preserve"> - </w:t>
      </w:r>
      <w:proofErr w:type="spellStart"/>
      <w:r>
        <w:rPr>
          <w:rFonts w:ascii="Century Gothic" w:eastAsia="Century Gothic" w:hAnsi="Century Gothic" w:cs="Century Gothic"/>
        </w:rPr>
        <w:t>Kriging</w:t>
      </w:r>
      <w:proofErr w:type="spellEnd"/>
      <w:r>
        <w:rPr>
          <w:rFonts w:ascii="Century Gothic" w:eastAsia="Century Gothic" w:hAnsi="Century Gothic" w:cs="Century Gothic"/>
        </w:rPr>
        <w:t xml:space="preserve"> and Inverse Distance Weighting (IDW)</w:t>
      </w:r>
    </w:p>
    <w:p w:rsidR="007854DE" w:rsidRDefault="00DF4D38">
      <w:pPr>
        <w:spacing w:after="0" w:line="240" w:lineRule="auto"/>
        <w:jc w:val="both"/>
      </w:pPr>
      <w:r>
        <w:rPr>
          <w:rFonts w:ascii="Century Gothic" w:eastAsia="Century Gothic" w:hAnsi="Century Gothic" w:cs="Century Gothic"/>
        </w:rPr>
        <w:t>HYSPLIT model - Aerosol Forward Trajectory</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Ancillary Datasets Utilized</w:t>
      </w:r>
    </w:p>
    <w:p w:rsidR="007854DE" w:rsidRDefault="00DF4D38">
      <w:pPr>
        <w:spacing w:after="0" w:line="240" w:lineRule="auto"/>
        <w:jc w:val="both"/>
      </w:pPr>
      <w:r>
        <w:rPr>
          <w:rFonts w:ascii="Century Gothic" w:eastAsia="Century Gothic" w:hAnsi="Century Gothic" w:cs="Century Gothic"/>
        </w:rPr>
        <w:t>EPA Air</w:t>
      </w:r>
      <w:r w:rsidR="009B4ADF">
        <w:rPr>
          <w:rFonts w:ascii="Century Gothic" w:eastAsia="Century Gothic" w:hAnsi="Century Gothic" w:cs="Century Gothic"/>
        </w:rPr>
        <w:t xml:space="preserve"> </w:t>
      </w:r>
      <w:r>
        <w:rPr>
          <w:rFonts w:ascii="Century Gothic" w:eastAsia="Century Gothic" w:hAnsi="Century Gothic" w:cs="Century Gothic"/>
        </w:rPr>
        <w:t>Data - PM</w:t>
      </w:r>
      <w:r>
        <w:rPr>
          <w:rFonts w:ascii="Century Gothic" w:eastAsia="Century Gothic" w:hAnsi="Century Gothic" w:cs="Century Gothic"/>
          <w:vertAlign w:val="subscript"/>
        </w:rPr>
        <w:t xml:space="preserve">2.5 </w:t>
      </w:r>
      <w:r>
        <w:rPr>
          <w:rFonts w:ascii="Century Gothic" w:eastAsia="Century Gothic" w:hAnsi="Century Gothic" w:cs="Century Gothic"/>
        </w:rPr>
        <w:t>dataset</w:t>
      </w:r>
    </w:p>
    <w:p w:rsidR="007854DE" w:rsidRDefault="00DF4D38">
      <w:pPr>
        <w:spacing w:after="0" w:line="240" w:lineRule="auto"/>
        <w:jc w:val="both"/>
      </w:pPr>
      <w:r>
        <w:rPr>
          <w:rFonts w:ascii="Century Gothic" w:eastAsia="Century Gothic" w:hAnsi="Century Gothic" w:cs="Century Gothic"/>
        </w:rPr>
        <w:t xml:space="preserve">UAB Hospital - Inpatient chronic obstructive pulmonary disease (COPD) </w:t>
      </w:r>
    </w:p>
    <w:p w:rsidR="007854DE" w:rsidRDefault="00DF4D38">
      <w:pPr>
        <w:spacing w:after="0" w:line="240" w:lineRule="auto"/>
        <w:ind w:left="720" w:firstLine="720"/>
        <w:jc w:val="both"/>
      </w:pPr>
      <w:r>
        <w:rPr>
          <w:rFonts w:ascii="Century Gothic" w:eastAsia="Century Gothic" w:hAnsi="Century Gothic" w:cs="Century Gothic"/>
        </w:rPr>
        <w:t>- Outpatient asthma ER visit dataset</w:t>
      </w:r>
    </w:p>
    <w:p w:rsidR="007854DE" w:rsidRDefault="00DF4D38">
      <w:pPr>
        <w:spacing w:after="0" w:line="240" w:lineRule="auto"/>
        <w:jc w:val="both"/>
      </w:pPr>
      <w:r>
        <w:rPr>
          <w:rFonts w:ascii="Century Gothic" w:eastAsia="Century Gothic" w:hAnsi="Century Gothic" w:cs="Century Gothic"/>
        </w:rPr>
        <w:t xml:space="preserve">USGS - Federal </w:t>
      </w:r>
      <w:r w:rsidR="009B4ADF">
        <w:rPr>
          <w:rFonts w:ascii="Century Gothic" w:eastAsia="Century Gothic" w:hAnsi="Century Gothic" w:cs="Century Gothic"/>
        </w:rPr>
        <w:t>Wild land</w:t>
      </w:r>
      <w:r>
        <w:rPr>
          <w:rFonts w:ascii="Century Gothic" w:eastAsia="Century Gothic" w:hAnsi="Century Gothic" w:cs="Century Gothic"/>
        </w:rPr>
        <w:t xml:space="preserve"> Fire Occurrence Data</w:t>
      </w:r>
    </w:p>
    <w:p w:rsidR="007854DE" w:rsidRDefault="007854DE">
      <w:pPr>
        <w:spacing w:after="0" w:line="240" w:lineRule="auto"/>
        <w:jc w:val="both"/>
      </w:pP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Software Utilized</w:t>
      </w:r>
    </w:p>
    <w:p w:rsidR="007854DE" w:rsidRDefault="00DF4D38">
      <w:pPr>
        <w:spacing w:after="0" w:line="240" w:lineRule="auto"/>
        <w:jc w:val="both"/>
      </w:pPr>
      <w:r>
        <w:rPr>
          <w:rFonts w:ascii="Century Gothic" w:eastAsia="Century Gothic" w:hAnsi="Century Gothic" w:cs="Century Gothic"/>
        </w:rPr>
        <w:t>IDL - Extract Level 2 AOD values around Jefferson County, AL and create images</w:t>
      </w:r>
    </w:p>
    <w:p w:rsidR="007854DE" w:rsidRDefault="00DF4D38">
      <w:pPr>
        <w:spacing w:after="0" w:line="240" w:lineRule="auto"/>
        <w:jc w:val="both"/>
      </w:pPr>
      <w:r>
        <w:rPr>
          <w:rFonts w:ascii="Century Gothic" w:eastAsia="Century Gothic" w:hAnsi="Century Gothic" w:cs="Century Gothic"/>
        </w:rPr>
        <w:t>Pyth</w:t>
      </w:r>
      <w:r>
        <w:rPr>
          <w:rFonts w:ascii="Century Gothic" w:eastAsia="Century Gothic" w:hAnsi="Century Gothic" w:cs="Century Gothic"/>
        </w:rPr>
        <w:t>on - Image differencing for Flux analysis</w:t>
      </w:r>
    </w:p>
    <w:p w:rsidR="007854DE" w:rsidRDefault="00DF4D38">
      <w:pPr>
        <w:spacing w:after="0" w:line="240" w:lineRule="auto"/>
        <w:jc w:val="both"/>
      </w:pPr>
      <w:r>
        <w:rPr>
          <w:rFonts w:ascii="Century Gothic" w:eastAsia="Century Gothic" w:hAnsi="Century Gothic" w:cs="Century Gothic"/>
        </w:rPr>
        <w:t xml:space="preserve">ERDAS IMAGINE 10 - Landsat band stacking </w:t>
      </w:r>
    </w:p>
    <w:p w:rsidR="007854DE" w:rsidRDefault="00DF4D38">
      <w:pPr>
        <w:spacing w:after="0" w:line="240" w:lineRule="auto"/>
        <w:jc w:val="both"/>
      </w:pPr>
      <w:r>
        <w:rPr>
          <w:rFonts w:ascii="Century Gothic" w:eastAsia="Century Gothic" w:hAnsi="Century Gothic" w:cs="Century Gothic"/>
        </w:rPr>
        <w:t>ArcGIS 10.1 - PM</w:t>
      </w:r>
      <w:r>
        <w:rPr>
          <w:rFonts w:ascii="Century Gothic" w:eastAsia="Century Gothic" w:hAnsi="Century Gothic" w:cs="Century Gothic"/>
          <w:vertAlign w:val="subscript"/>
        </w:rPr>
        <w:t>2.5</w:t>
      </w:r>
      <w:r>
        <w:rPr>
          <w:rFonts w:ascii="Century Gothic" w:eastAsia="Century Gothic" w:hAnsi="Century Gothic" w:cs="Century Gothic"/>
        </w:rPr>
        <w:t xml:space="preserve"> surface pollution interpolation and burn scar maps </w:t>
      </w:r>
    </w:p>
    <w:p w:rsidR="007854DE" w:rsidRDefault="007854DE">
      <w:pPr>
        <w:spacing w:after="0" w:line="240" w:lineRule="auto"/>
        <w:jc w:val="both"/>
      </w:pPr>
    </w:p>
    <w:p w:rsidR="007854DE" w:rsidRDefault="00DF4D38">
      <w:pPr>
        <w:spacing w:after="0" w:line="240" w:lineRule="auto"/>
        <w:jc w:val="both"/>
      </w:pPr>
      <w:r>
        <w:rPr>
          <w:rFonts w:ascii="Century Gothic" w:eastAsia="Century Gothic" w:hAnsi="Century Gothic" w:cs="Century Gothic"/>
          <w:b/>
        </w:rPr>
        <w:t>Imagery &amp; Captions</w:t>
      </w:r>
    </w:p>
    <w:p w:rsidR="007854DE" w:rsidRDefault="007854DE">
      <w:pPr>
        <w:spacing w:after="0" w:line="240" w:lineRule="auto"/>
        <w:jc w:val="both"/>
      </w:pPr>
    </w:p>
    <w:p w:rsidR="007854DE" w:rsidRDefault="00DF4D38">
      <w:pPr>
        <w:spacing w:after="0" w:line="240" w:lineRule="auto"/>
      </w:pPr>
      <w:bookmarkStart w:id="1" w:name="h.3x0rfujdmg2p" w:colFirst="0" w:colLast="0"/>
      <w:bookmarkEnd w:id="1"/>
      <w:r>
        <w:rPr>
          <w:noProof/>
        </w:rPr>
        <w:drawing>
          <wp:inline distT="0" distB="0" distL="0" distR="0">
            <wp:extent cx="5238750" cy="2990850"/>
            <wp:effectExtent l="0" t="0" r="0" b="0"/>
            <wp:docPr id="1"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0"/>
                    <a:stretch>
                      <a:fillRect/>
                    </a:stretch>
                  </pic:blipFill>
                  <pic:spPr>
                    <a:xfrm>
                      <a:off x="0" y="0"/>
                      <a:ext cx="5238750" cy="2990850"/>
                    </a:xfrm>
                    <a:prstGeom prst="rect">
                      <a:avLst/>
                    </a:prstGeom>
                  </pic:spPr>
                </pic:pic>
              </a:graphicData>
            </a:graphic>
          </wp:inline>
        </w:drawing>
      </w:r>
    </w:p>
    <w:p w:rsidR="007854DE" w:rsidRDefault="007854DE">
      <w:pPr>
        <w:spacing w:after="0" w:line="240" w:lineRule="auto"/>
      </w:pPr>
      <w:bookmarkStart w:id="2" w:name="h.9h4r5rts6r40" w:colFirst="0" w:colLast="0"/>
      <w:bookmarkEnd w:id="2"/>
    </w:p>
    <w:p w:rsidR="007854DE" w:rsidRDefault="00DF4D38">
      <w:pPr>
        <w:spacing w:after="0" w:line="240" w:lineRule="auto"/>
      </w:pPr>
      <w:bookmarkStart w:id="3" w:name="h.amtmgq4mmuur" w:colFirst="0" w:colLast="0"/>
      <w:bookmarkEnd w:id="3"/>
      <w:r>
        <w:rPr>
          <w:rFonts w:ascii="Century Gothic" w:eastAsia="Century Gothic" w:hAnsi="Century Gothic" w:cs="Century Gothic"/>
        </w:rPr>
        <w:t xml:space="preserve">Figure 1a: True-color composite from MODIS aboard the NASA Terra satellite on May 20, 2007. A large plume of smoke can be seen over the fire’s location; smoke from the fire can also be seen rising into the upper levels and being transported by upper-level </w:t>
      </w:r>
      <w:r>
        <w:rPr>
          <w:rFonts w:ascii="Century Gothic" w:eastAsia="Century Gothic" w:hAnsi="Century Gothic" w:cs="Century Gothic"/>
        </w:rPr>
        <w:t>flow.</w:t>
      </w:r>
    </w:p>
    <w:p w:rsidR="007854DE" w:rsidRDefault="007854DE">
      <w:pPr>
        <w:spacing w:after="0" w:line="240" w:lineRule="auto"/>
      </w:pPr>
      <w:bookmarkStart w:id="4" w:name="h.fk7n4ixzsygm" w:colFirst="0" w:colLast="0"/>
      <w:bookmarkEnd w:id="4"/>
    </w:p>
    <w:p w:rsidR="007854DE" w:rsidRDefault="00DF4D38">
      <w:pPr>
        <w:spacing w:after="0" w:line="240" w:lineRule="auto"/>
      </w:pPr>
      <w:bookmarkStart w:id="5" w:name="h.cdcd56mhbr81" w:colFirst="0" w:colLast="0"/>
      <w:bookmarkEnd w:id="5"/>
      <w:r>
        <w:rPr>
          <w:noProof/>
        </w:rPr>
        <w:lastRenderedPageBreak/>
        <w:drawing>
          <wp:inline distT="0" distB="0" distL="0" distR="0">
            <wp:extent cx="5743575" cy="2981325"/>
            <wp:effectExtent l="0" t="0" r="9525" b="9525"/>
            <wp:docPr id="7"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11"/>
                    <a:stretch>
                      <a:fillRect/>
                    </a:stretch>
                  </pic:blipFill>
                  <pic:spPr>
                    <a:xfrm>
                      <a:off x="0" y="0"/>
                      <a:ext cx="5743575" cy="2981325"/>
                    </a:xfrm>
                    <a:prstGeom prst="rect">
                      <a:avLst/>
                    </a:prstGeom>
                  </pic:spPr>
                </pic:pic>
              </a:graphicData>
            </a:graphic>
          </wp:inline>
        </w:drawing>
      </w:r>
    </w:p>
    <w:p w:rsidR="007854DE" w:rsidRDefault="007854DE">
      <w:pPr>
        <w:spacing w:after="0" w:line="240" w:lineRule="auto"/>
      </w:pPr>
      <w:bookmarkStart w:id="6" w:name="h.dwba9nnf53ro" w:colFirst="0" w:colLast="0"/>
      <w:bookmarkEnd w:id="6"/>
    </w:p>
    <w:p w:rsidR="007854DE" w:rsidRDefault="00DF4D38">
      <w:pPr>
        <w:spacing w:after="0" w:line="240" w:lineRule="auto"/>
      </w:pPr>
      <w:bookmarkStart w:id="7" w:name="h.7hb9fn803lud" w:colFirst="0" w:colLast="0"/>
      <w:bookmarkEnd w:id="7"/>
      <w:r>
        <w:rPr>
          <w:rFonts w:ascii="Century Gothic" w:eastAsia="Century Gothic" w:hAnsi="Century Gothic" w:cs="Century Gothic"/>
        </w:rPr>
        <w:t>Figure 1b: This image contains Terra MODIS Level 2 AOD data from May 20, 2007 overlaid on top of the MODIS true-color composite image from the NASA Terra satellite in Figure 1a. High AOD values can be seen in areas where the smoke is being lifted</w:t>
      </w:r>
      <w:r>
        <w:rPr>
          <w:rFonts w:ascii="Century Gothic" w:eastAsia="Century Gothic" w:hAnsi="Century Gothic" w:cs="Century Gothic"/>
        </w:rPr>
        <w:t xml:space="preserve"> high into the atmosphere.</w:t>
      </w:r>
    </w:p>
    <w:p w:rsidR="007854DE" w:rsidRDefault="007854DE">
      <w:pPr>
        <w:spacing w:after="0" w:line="240" w:lineRule="auto"/>
      </w:pPr>
      <w:bookmarkStart w:id="8" w:name="h.fdfh8as470b9" w:colFirst="0" w:colLast="0"/>
      <w:bookmarkEnd w:id="8"/>
    </w:p>
    <w:p w:rsidR="007854DE" w:rsidRDefault="007854DE">
      <w:pPr>
        <w:spacing w:after="0" w:line="240" w:lineRule="auto"/>
      </w:pPr>
      <w:bookmarkStart w:id="9" w:name="h.bxzn3hw8yo6m" w:colFirst="0" w:colLast="0"/>
      <w:bookmarkEnd w:id="9"/>
    </w:p>
    <w:p w:rsidR="007854DE" w:rsidRDefault="007854DE">
      <w:pPr>
        <w:spacing w:after="0" w:line="240" w:lineRule="auto"/>
      </w:pPr>
      <w:bookmarkStart w:id="10" w:name="h.skefm3pfxhx1" w:colFirst="0" w:colLast="0"/>
      <w:bookmarkEnd w:id="10"/>
    </w:p>
    <w:p w:rsidR="007854DE" w:rsidRDefault="00DF4D38">
      <w:pPr>
        <w:spacing w:after="0" w:line="240" w:lineRule="auto"/>
      </w:pPr>
      <w:bookmarkStart w:id="11" w:name="h.53l1uisj9lou" w:colFirst="0" w:colLast="0"/>
      <w:bookmarkEnd w:id="11"/>
      <w:r>
        <w:rPr>
          <w:noProof/>
        </w:rPr>
        <w:drawing>
          <wp:inline distT="0" distB="0" distL="0" distR="0">
            <wp:extent cx="1895475" cy="2686050"/>
            <wp:effectExtent l="0" t="0" r="0" b="0"/>
            <wp:docPr id="6"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2"/>
                    <a:stretch>
                      <a:fillRect/>
                    </a:stretch>
                  </pic:blipFill>
                  <pic:spPr>
                    <a:xfrm>
                      <a:off x="0" y="0"/>
                      <a:ext cx="1895475" cy="2686050"/>
                    </a:xfrm>
                    <a:prstGeom prst="rect">
                      <a:avLst/>
                    </a:prstGeom>
                  </pic:spPr>
                </pic:pic>
              </a:graphicData>
            </a:graphic>
          </wp:inline>
        </w:drawing>
      </w:r>
      <w:r>
        <w:rPr>
          <w:noProof/>
        </w:rPr>
        <w:drawing>
          <wp:inline distT="0" distB="0" distL="0" distR="0">
            <wp:extent cx="1885950" cy="2667000"/>
            <wp:effectExtent l="0" t="0" r="0" b="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3"/>
                    <a:stretch>
                      <a:fillRect/>
                    </a:stretch>
                  </pic:blipFill>
                  <pic:spPr>
                    <a:xfrm>
                      <a:off x="0" y="0"/>
                      <a:ext cx="1885950" cy="2667000"/>
                    </a:xfrm>
                    <a:prstGeom prst="rect">
                      <a:avLst/>
                    </a:prstGeom>
                  </pic:spPr>
                </pic:pic>
              </a:graphicData>
            </a:graphic>
          </wp:inline>
        </w:drawing>
      </w:r>
      <w:r>
        <w:rPr>
          <w:noProof/>
        </w:rPr>
        <w:drawing>
          <wp:inline distT="0" distB="0" distL="0" distR="0">
            <wp:extent cx="1885950" cy="2667000"/>
            <wp:effectExtent l="0" t="0" r="0" b="0"/>
            <wp:docPr id="5"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4"/>
                    <a:stretch>
                      <a:fillRect/>
                    </a:stretch>
                  </pic:blipFill>
                  <pic:spPr>
                    <a:xfrm>
                      <a:off x="0" y="0"/>
                      <a:ext cx="1885950" cy="2667000"/>
                    </a:xfrm>
                    <a:prstGeom prst="rect">
                      <a:avLst/>
                    </a:prstGeom>
                  </pic:spPr>
                </pic:pic>
              </a:graphicData>
            </a:graphic>
          </wp:inline>
        </w:drawing>
      </w:r>
    </w:p>
    <w:p w:rsidR="007854DE" w:rsidRDefault="00DF4D38">
      <w:pPr>
        <w:spacing w:after="0" w:line="240" w:lineRule="auto"/>
        <w:ind w:left="1440"/>
      </w:pPr>
      <w:bookmarkStart w:id="12" w:name="h.23iynxsx6ek" w:colFirst="0" w:colLast="0"/>
      <w:bookmarkEnd w:id="12"/>
      <w:r>
        <w:rPr>
          <w:rFonts w:ascii="Century Gothic" w:eastAsia="Century Gothic" w:hAnsi="Century Gothic" w:cs="Century Gothic"/>
        </w:rPr>
        <w:t>2a</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 xml:space="preserve">                 2b</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2c</w:t>
      </w:r>
    </w:p>
    <w:p w:rsidR="00F54193" w:rsidRDefault="00DF4D38">
      <w:pPr>
        <w:spacing w:after="0" w:line="240" w:lineRule="auto"/>
        <w:rPr>
          <w:rFonts w:ascii="Century Gothic" w:eastAsia="Century Gothic" w:hAnsi="Century Gothic" w:cs="Century Gothic"/>
        </w:rPr>
      </w:pPr>
      <w:bookmarkStart w:id="13" w:name="h.ljn4nqrm4dww" w:colFirst="0" w:colLast="0"/>
      <w:bookmarkEnd w:id="13"/>
      <w:r>
        <w:rPr>
          <w:rFonts w:ascii="Century Gothic" w:eastAsia="Century Gothic" w:hAnsi="Century Gothic" w:cs="Century Gothic"/>
        </w:rPr>
        <w:t>Figure 2: Okefenokee Swamp</w:t>
      </w:r>
    </w:p>
    <w:p w:rsidR="00F54193" w:rsidRDefault="00F54193">
      <w:pPr>
        <w:spacing w:after="0" w:line="240" w:lineRule="auto"/>
        <w:rPr>
          <w:rFonts w:ascii="Century Gothic" w:eastAsia="Century Gothic" w:hAnsi="Century Gothic" w:cs="Century Gothic"/>
        </w:rPr>
      </w:pPr>
      <w:r>
        <w:rPr>
          <w:rFonts w:ascii="Century Gothic" w:eastAsia="Century Gothic" w:hAnsi="Century Gothic" w:cs="Century Gothic"/>
        </w:rPr>
        <w:t>2a: Before</w:t>
      </w:r>
      <w:r w:rsidR="00DF4D38">
        <w:rPr>
          <w:rFonts w:ascii="Century Gothic" w:eastAsia="Century Gothic" w:hAnsi="Century Gothic" w:cs="Century Gothic"/>
        </w:rPr>
        <w:t xml:space="preserve"> the fire occurrence in January 29, </w:t>
      </w:r>
      <w:r>
        <w:rPr>
          <w:rFonts w:ascii="Century Gothic" w:eastAsia="Century Gothic" w:hAnsi="Century Gothic" w:cs="Century Gothic"/>
        </w:rPr>
        <w:t>2007</w:t>
      </w:r>
    </w:p>
    <w:p w:rsidR="00F54193" w:rsidRDefault="00F54193">
      <w:pPr>
        <w:spacing w:after="0" w:line="240" w:lineRule="auto"/>
        <w:rPr>
          <w:rFonts w:ascii="Century Gothic" w:eastAsia="Century Gothic" w:hAnsi="Century Gothic" w:cs="Century Gothic"/>
        </w:rPr>
      </w:pPr>
      <w:r>
        <w:rPr>
          <w:rFonts w:ascii="Century Gothic" w:eastAsia="Century Gothic" w:hAnsi="Century Gothic" w:cs="Century Gothic"/>
        </w:rPr>
        <w:t xml:space="preserve">2b: During the fire in May 21, 2007 </w:t>
      </w:r>
    </w:p>
    <w:p w:rsidR="007854DE" w:rsidRDefault="00F54193">
      <w:pPr>
        <w:spacing w:after="0" w:line="240" w:lineRule="auto"/>
      </w:pPr>
      <w:r>
        <w:rPr>
          <w:rFonts w:ascii="Century Gothic" w:eastAsia="Century Gothic" w:hAnsi="Century Gothic" w:cs="Century Gothic"/>
        </w:rPr>
        <w:t>2c:</w:t>
      </w:r>
      <w:r w:rsidR="00DF4D38">
        <w:rPr>
          <w:rFonts w:ascii="Century Gothic" w:eastAsia="Century Gothic" w:hAnsi="Century Gothic" w:cs="Century Gothic"/>
        </w:rPr>
        <w:t xml:space="preserve"> </w:t>
      </w:r>
      <w:r>
        <w:rPr>
          <w:rFonts w:ascii="Century Gothic" w:eastAsia="Century Gothic" w:hAnsi="Century Gothic" w:cs="Century Gothic"/>
        </w:rPr>
        <w:t>A</w:t>
      </w:r>
      <w:r w:rsidR="00DF4D38">
        <w:rPr>
          <w:rFonts w:ascii="Century Gothic" w:eastAsia="Century Gothic" w:hAnsi="Century Gothic" w:cs="Century Gothic"/>
        </w:rPr>
        <w:t xml:space="preserve">fter </w:t>
      </w:r>
      <w:r w:rsidR="008D4539">
        <w:rPr>
          <w:rFonts w:ascii="Century Gothic" w:eastAsia="Century Gothic" w:hAnsi="Century Gothic" w:cs="Century Gothic"/>
        </w:rPr>
        <w:t>the fire in August 09, 2007 (Bottom</w:t>
      </w:r>
      <w:r w:rsidR="00DF4D38">
        <w:rPr>
          <w:rFonts w:ascii="Century Gothic" w:eastAsia="Century Gothic" w:hAnsi="Century Gothic" w:cs="Century Gothic"/>
        </w:rPr>
        <w:t xml:space="preserve"> s</w:t>
      </w:r>
      <w:r w:rsidR="008D4539">
        <w:rPr>
          <w:rFonts w:ascii="Century Gothic" w:eastAsia="Century Gothic" w:hAnsi="Century Gothic" w:cs="Century Gothic"/>
        </w:rPr>
        <w:t>cene) and March 20, 2008 (Top</w:t>
      </w:r>
      <w:r w:rsidR="00DF4D38">
        <w:rPr>
          <w:rFonts w:ascii="Century Gothic" w:eastAsia="Century Gothic" w:hAnsi="Century Gothic" w:cs="Century Gothic"/>
        </w:rPr>
        <w:t xml:space="preserve"> scene).</w:t>
      </w:r>
      <w:bookmarkStart w:id="14" w:name="h.yautkxgmi8o4" w:colFirst="0" w:colLast="0"/>
      <w:bookmarkStart w:id="15" w:name="h.u75cpdsr9wbc" w:colFirst="0" w:colLast="0"/>
      <w:bookmarkStart w:id="16" w:name="h.masxnj4tx0ec" w:colFirst="0" w:colLast="0"/>
      <w:bookmarkEnd w:id="14"/>
      <w:bookmarkEnd w:id="15"/>
      <w:bookmarkEnd w:id="16"/>
      <w:r w:rsidR="00DF4D38">
        <w:rPr>
          <w:rFonts w:ascii="Arial" w:eastAsia="Arial" w:hAnsi="Arial" w:cs="Arial"/>
        </w:rPr>
        <w:t xml:space="preserve"> </w:t>
      </w:r>
    </w:p>
    <w:p w:rsidR="007854DE" w:rsidRDefault="007854DE">
      <w:pPr>
        <w:spacing w:after="0" w:line="240" w:lineRule="auto"/>
      </w:pPr>
      <w:bookmarkStart w:id="17" w:name="h.i9xx5oel19xp" w:colFirst="0" w:colLast="0"/>
      <w:bookmarkEnd w:id="17"/>
    </w:p>
    <w:sectPr w:rsidR="007854DE">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D38" w:rsidRDefault="00DF4D38">
      <w:pPr>
        <w:spacing w:after="0" w:line="240" w:lineRule="auto"/>
      </w:pPr>
      <w:r>
        <w:separator/>
      </w:r>
    </w:p>
  </w:endnote>
  <w:endnote w:type="continuationSeparator" w:id="0">
    <w:p w:rsidR="00DF4D38" w:rsidRDefault="00DF4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DE" w:rsidRDefault="00DF4D38">
    <w:pPr>
      <w:tabs>
        <w:tab w:val="center" w:pos="4680"/>
        <w:tab w:val="right" w:pos="9360"/>
      </w:tabs>
      <w:jc w:val="center"/>
    </w:pPr>
    <w:r>
      <w:rPr>
        <w:noProof/>
      </w:rPr>
      <w:drawing>
        <wp:inline distT="0" distB="0" distL="0" distR="0">
          <wp:extent cx="1497330" cy="285750"/>
          <wp:effectExtent l="0" t="0" r="0" b="0"/>
          <wp:docPr id="4"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tretch>
                    <a:fillRect/>
                  </a:stretch>
                </pic:blipFill>
                <pic:spPr>
                  <a:xfrm>
                    <a:off x="0" y="0"/>
                    <a:ext cx="1497330" cy="285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D38" w:rsidRDefault="00DF4D38">
      <w:pPr>
        <w:spacing w:after="0" w:line="240" w:lineRule="auto"/>
      </w:pPr>
      <w:r>
        <w:separator/>
      </w:r>
    </w:p>
  </w:footnote>
  <w:footnote w:type="continuationSeparator" w:id="0">
    <w:p w:rsidR="00DF4D38" w:rsidRDefault="00DF4D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5724C"/>
    <w:multiLevelType w:val="multilevel"/>
    <w:tmpl w:val="38C2D1E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854DE"/>
    <w:rsid w:val="00225628"/>
    <w:rsid w:val="00681E21"/>
    <w:rsid w:val="007854DE"/>
    <w:rsid w:val="008D4539"/>
    <w:rsid w:val="009B4ADF"/>
    <w:rsid w:val="00DF4D38"/>
    <w:rsid w:val="00F541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9B4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ADF"/>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9B4A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ADF"/>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leebinita@gmail.com" TargetMode="Externa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Pages>
  <Words>1459</Words>
  <Characters>8317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2013 Summer Project Summary Rough Draft SE Health and AQ.docx</vt:lpstr>
    </vt:vector>
  </TitlesOfParts>
  <Company>NSSTC-UAH</Company>
  <LinksUpToDate>false</LinksUpToDate>
  <CharactersWithSpaces>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Summer Project Summary Rough Draft SE Health and AQ.docx</dc:title>
  <cp:lastModifiedBy>Swatantra Kethireddy</cp:lastModifiedBy>
  <cp:revision>8</cp:revision>
  <dcterms:created xsi:type="dcterms:W3CDTF">2013-07-19T20:46:00Z</dcterms:created>
  <dcterms:modified xsi:type="dcterms:W3CDTF">2013-07-19T21:12:00Z</dcterms:modified>
</cp:coreProperties>
</file>