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0AA4C3F3" w:rsidR="006E2A1C" w:rsidRPr="007E68B5" w:rsidRDefault="004D65D0" w:rsidP="00195D23">
      <w:pPr>
        <w:spacing w:after="0" w:line="240" w:lineRule="auto"/>
        <w:jc w:val="right"/>
        <w:rPr>
          <w:rFonts w:ascii="Century Gothic" w:hAnsi="Century Gothic" w:cs="Arial"/>
          <w:sz w:val="32"/>
        </w:rPr>
      </w:pPr>
      <w:r>
        <w:rPr>
          <w:rFonts w:ascii="Century Gothic" w:hAnsi="Century Gothic" w:cs="Arial"/>
          <w:sz w:val="32"/>
        </w:rPr>
        <w:t>NASA Langley Research Center</w:t>
      </w:r>
    </w:p>
    <w:p w14:paraId="1C745550" w14:textId="7B0AE165" w:rsidR="00B265D9" w:rsidRPr="00FC670A" w:rsidRDefault="00A2773A" w:rsidP="00195D23">
      <w:pPr>
        <w:spacing w:after="0" w:line="240" w:lineRule="auto"/>
        <w:jc w:val="right"/>
        <w:rPr>
          <w:rFonts w:ascii="Century Gothic" w:hAnsi="Century Gothic" w:cs="Arial"/>
          <w:i/>
          <w:sz w:val="28"/>
        </w:rPr>
      </w:pPr>
      <w:r>
        <w:rPr>
          <w:rFonts w:ascii="Century Gothic" w:hAnsi="Century Gothic" w:cs="Arial"/>
          <w:i/>
          <w:sz w:val="28"/>
        </w:rPr>
        <w:t>Spring 2016</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523BFED6" w:rsidR="009830D6" w:rsidRPr="00E578D6" w:rsidRDefault="004D65D0" w:rsidP="00E578D6">
      <w:pPr>
        <w:spacing w:after="0" w:line="240" w:lineRule="auto"/>
        <w:jc w:val="right"/>
        <w:rPr>
          <w:rFonts w:ascii="Century Gothic" w:hAnsi="Century Gothic" w:cs="Arial"/>
          <w:sz w:val="40"/>
        </w:rPr>
      </w:pPr>
      <w:r>
        <w:rPr>
          <w:rFonts w:ascii="Century Gothic" w:hAnsi="Century Gothic" w:cs="Arial"/>
          <w:sz w:val="40"/>
        </w:rPr>
        <w:t>El Salvador Ecological Forecasting II</w:t>
      </w:r>
    </w:p>
    <w:p w14:paraId="5C53A2B7" w14:textId="229CEA05" w:rsidR="009830D6" w:rsidRPr="00B265D9" w:rsidRDefault="004D65D0" w:rsidP="00E578D6">
      <w:pPr>
        <w:spacing w:after="0" w:line="240" w:lineRule="auto"/>
        <w:jc w:val="right"/>
        <w:rPr>
          <w:rFonts w:ascii="Century Gothic" w:hAnsi="Century Gothic" w:cs="Arial"/>
          <w:sz w:val="28"/>
        </w:rPr>
      </w:pPr>
      <w:r w:rsidRPr="004D65D0">
        <w:rPr>
          <w:rFonts w:ascii="Century Gothic" w:hAnsi="Century Gothic" w:cs="Arial"/>
          <w:sz w:val="28"/>
        </w:rPr>
        <w:t>Utilizing NASA Earth Observations to Predict Deforestation and Degradation in El Salvador</w:t>
      </w:r>
    </w:p>
    <w:p w14:paraId="0F963EE5" w14:textId="77777777" w:rsidR="009830D6" w:rsidRDefault="009830D6" w:rsidP="00916AAB">
      <w:pPr>
        <w:spacing w:after="0" w:line="240" w:lineRule="auto"/>
        <w:rPr>
          <w:rFonts w:ascii="Century Gothic" w:hAnsi="Century Gothic" w:cs="Arial"/>
          <w:sz w:val="32"/>
        </w:rPr>
      </w:pP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22971753"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A2773A">
        <w:rPr>
          <w:rFonts w:ascii="Century Gothic" w:hAnsi="Century Gothic" w:cs="Arial"/>
          <w:sz w:val="28"/>
        </w:rPr>
        <w:t>Feb 18, 2016</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0D275054" w14:textId="77777777" w:rsidR="004D65D0" w:rsidRPr="004D65D0" w:rsidRDefault="004D65D0" w:rsidP="004D65D0">
      <w:pPr>
        <w:spacing w:after="0" w:line="240" w:lineRule="auto"/>
        <w:jc w:val="center"/>
        <w:rPr>
          <w:rFonts w:ascii="Century Gothic" w:hAnsi="Century Gothic" w:cs="Arial"/>
          <w:sz w:val="20"/>
          <w:szCs w:val="20"/>
        </w:rPr>
      </w:pPr>
      <w:r w:rsidRPr="004D65D0">
        <w:rPr>
          <w:rFonts w:ascii="Century Gothic" w:hAnsi="Century Gothic" w:cs="Arial"/>
          <w:sz w:val="20"/>
          <w:szCs w:val="20"/>
        </w:rPr>
        <w:t>Britta Dosch (Project Lead), britta.c.dosch@nasa.gov</w:t>
      </w:r>
    </w:p>
    <w:p w14:paraId="3841519A" w14:textId="77777777" w:rsidR="004D65D0" w:rsidRPr="004D65D0" w:rsidRDefault="004D65D0" w:rsidP="004D65D0">
      <w:pPr>
        <w:spacing w:after="0" w:line="240" w:lineRule="auto"/>
        <w:jc w:val="center"/>
        <w:rPr>
          <w:rFonts w:ascii="Century Gothic" w:hAnsi="Century Gothic" w:cs="Arial"/>
          <w:sz w:val="20"/>
          <w:szCs w:val="20"/>
        </w:rPr>
      </w:pPr>
      <w:r w:rsidRPr="004D65D0">
        <w:rPr>
          <w:rFonts w:ascii="Century Gothic" w:hAnsi="Century Gothic" w:cs="Arial"/>
          <w:sz w:val="20"/>
          <w:szCs w:val="20"/>
        </w:rPr>
        <w:t>Rebekke Muench</w:t>
      </w:r>
    </w:p>
    <w:p w14:paraId="3CE4456E" w14:textId="77777777" w:rsidR="004D65D0" w:rsidRPr="004D65D0" w:rsidRDefault="004D65D0" w:rsidP="004D65D0">
      <w:pPr>
        <w:spacing w:after="0" w:line="240" w:lineRule="auto"/>
        <w:jc w:val="center"/>
        <w:rPr>
          <w:rFonts w:ascii="Century Gothic" w:hAnsi="Century Gothic" w:cs="Arial"/>
          <w:sz w:val="20"/>
          <w:szCs w:val="20"/>
        </w:rPr>
      </w:pPr>
      <w:r w:rsidRPr="004D65D0">
        <w:rPr>
          <w:rFonts w:ascii="Century Gothic" w:hAnsi="Century Gothic" w:cs="Arial"/>
          <w:sz w:val="20"/>
          <w:szCs w:val="20"/>
        </w:rPr>
        <w:t>Amy Wolfe</w:t>
      </w:r>
    </w:p>
    <w:p w14:paraId="1C48678D" w14:textId="77777777" w:rsidR="004D65D0" w:rsidRPr="004D65D0" w:rsidRDefault="004D65D0" w:rsidP="004D65D0">
      <w:pPr>
        <w:spacing w:after="0" w:line="240" w:lineRule="auto"/>
        <w:jc w:val="center"/>
        <w:rPr>
          <w:rFonts w:ascii="Century Gothic" w:hAnsi="Century Gothic" w:cs="Arial"/>
          <w:sz w:val="20"/>
          <w:szCs w:val="20"/>
        </w:rPr>
      </w:pPr>
      <w:r w:rsidRPr="004D65D0">
        <w:rPr>
          <w:rFonts w:ascii="Century Gothic" w:hAnsi="Century Gothic" w:cs="Arial"/>
          <w:sz w:val="20"/>
          <w:szCs w:val="20"/>
        </w:rPr>
        <w:t>Jacob Patrick</w:t>
      </w:r>
    </w:p>
    <w:p w14:paraId="20B956DA" w14:textId="77777777" w:rsidR="004D65D0" w:rsidRPr="004D65D0" w:rsidRDefault="004D65D0" w:rsidP="004D65D0">
      <w:pPr>
        <w:spacing w:after="0" w:line="240" w:lineRule="auto"/>
        <w:jc w:val="center"/>
        <w:rPr>
          <w:rFonts w:ascii="Century Gothic" w:hAnsi="Century Gothic" w:cs="Arial"/>
          <w:sz w:val="20"/>
          <w:szCs w:val="20"/>
        </w:rPr>
      </w:pPr>
      <w:r w:rsidRPr="004D65D0">
        <w:rPr>
          <w:rFonts w:ascii="Century Gothic" w:hAnsi="Century Gothic" w:cs="Arial"/>
          <w:sz w:val="20"/>
          <w:szCs w:val="20"/>
        </w:rPr>
        <w:t>Garrett Kidd</w:t>
      </w:r>
    </w:p>
    <w:p w14:paraId="58C3E2E7" w14:textId="0145BFBE" w:rsidR="00FC670A" w:rsidRDefault="004D65D0" w:rsidP="004D65D0">
      <w:pPr>
        <w:spacing w:after="0" w:line="240" w:lineRule="auto"/>
        <w:jc w:val="center"/>
        <w:rPr>
          <w:rFonts w:ascii="Century Gothic" w:hAnsi="Century Gothic" w:cs="Arial"/>
          <w:sz w:val="20"/>
          <w:szCs w:val="20"/>
        </w:rPr>
      </w:pPr>
      <w:r w:rsidRPr="004D65D0">
        <w:rPr>
          <w:rFonts w:ascii="Century Gothic" w:hAnsi="Century Gothic" w:cs="Arial"/>
          <w:sz w:val="20"/>
          <w:szCs w:val="20"/>
        </w:rPr>
        <w:t>Labreshia Mims</w:t>
      </w:r>
    </w:p>
    <w:p w14:paraId="78365577" w14:textId="77777777" w:rsidR="004D65D0" w:rsidRPr="00FC670A" w:rsidRDefault="004D65D0" w:rsidP="004D65D0">
      <w:pPr>
        <w:spacing w:after="0" w:line="240" w:lineRule="auto"/>
        <w:jc w:val="center"/>
        <w:rPr>
          <w:rFonts w:ascii="Century Gothic" w:hAnsi="Century Gothic" w:cs="Arial"/>
          <w:sz w:val="20"/>
          <w:szCs w:val="20"/>
        </w:rPr>
      </w:pPr>
    </w:p>
    <w:p w14:paraId="6DE48D2F" w14:textId="133520C1" w:rsidR="00916AAB" w:rsidRPr="00FC670A" w:rsidRDefault="004D65D0" w:rsidP="00E578D6">
      <w:pPr>
        <w:spacing w:after="0" w:line="240" w:lineRule="auto"/>
        <w:jc w:val="center"/>
        <w:rPr>
          <w:rFonts w:ascii="Century Gothic" w:hAnsi="Century Gothic" w:cs="Arial"/>
          <w:sz w:val="20"/>
          <w:szCs w:val="20"/>
        </w:rPr>
      </w:pPr>
      <w:r>
        <w:rPr>
          <w:rFonts w:ascii="Century Gothic" w:hAnsi="Century Gothic" w:cs="Arial"/>
          <w:sz w:val="20"/>
          <w:szCs w:val="20"/>
        </w:rPr>
        <w:t>Dr. Kenton Ross, NASA DEVELOP National Program</w:t>
      </w:r>
      <w:r w:rsidR="00916AAB" w:rsidRPr="00FC670A">
        <w:rPr>
          <w:rFonts w:ascii="Century Gothic" w:hAnsi="Century Gothic" w:cs="Arial"/>
          <w:sz w:val="20"/>
          <w:szCs w:val="20"/>
        </w:rPr>
        <w:t xml:space="preserve"> (Science Advisor)</w:t>
      </w:r>
    </w:p>
    <w:p w14:paraId="20DDFCF1" w14:textId="77777777" w:rsidR="00FC670A" w:rsidRPr="00FC670A" w:rsidRDefault="00FC670A" w:rsidP="00E578D6">
      <w:pPr>
        <w:spacing w:after="0" w:line="240" w:lineRule="auto"/>
        <w:jc w:val="center"/>
        <w:rPr>
          <w:rFonts w:ascii="Century Gothic" w:hAnsi="Century Gothic" w:cs="Arial"/>
          <w:sz w:val="20"/>
          <w:szCs w:val="20"/>
        </w:rPr>
      </w:pPr>
    </w:p>
    <w:p w14:paraId="7F3D67F6" w14:textId="77777777" w:rsidR="00FC670A" w:rsidRPr="00FC670A" w:rsidRDefault="00FC670A" w:rsidP="00E578D6">
      <w:pPr>
        <w:spacing w:after="0" w:line="240" w:lineRule="auto"/>
        <w:jc w:val="center"/>
        <w:rPr>
          <w:rFonts w:ascii="Century Gothic" w:hAnsi="Century Gothic" w:cs="Arial"/>
          <w:sz w:val="20"/>
          <w:szCs w:val="20"/>
        </w:rPr>
      </w:pPr>
      <w:r w:rsidRPr="00FC670A">
        <w:rPr>
          <w:rFonts w:ascii="Century Gothic" w:hAnsi="Century Gothic" w:cs="Arial"/>
          <w:sz w:val="20"/>
          <w:szCs w:val="20"/>
        </w:rPr>
        <w:t>Previous Contributors:</w:t>
      </w:r>
    </w:p>
    <w:p w14:paraId="7E2EB5D1" w14:textId="77777777" w:rsidR="004D65D0" w:rsidRPr="004D65D0" w:rsidRDefault="004D65D0" w:rsidP="004D65D0">
      <w:pPr>
        <w:spacing w:after="0" w:line="240" w:lineRule="auto"/>
        <w:jc w:val="center"/>
        <w:rPr>
          <w:rFonts w:ascii="Century Gothic" w:hAnsi="Century Gothic" w:cs="Arial"/>
          <w:sz w:val="20"/>
          <w:szCs w:val="20"/>
        </w:rPr>
      </w:pPr>
      <w:r w:rsidRPr="004D65D0">
        <w:rPr>
          <w:rFonts w:ascii="Century Gothic" w:hAnsi="Century Gothic" w:cs="Arial"/>
          <w:sz w:val="20"/>
          <w:szCs w:val="20"/>
        </w:rPr>
        <w:t xml:space="preserve">Jordan Ped </w:t>
      </w:r>
    </w:p>
    <w:p w14:paraId="6102196C" w14:textId="77777777" w:rsidR="004D65D0" w:rsidRPr="004D65D0" w:rsidRDefault="004D65D0" w:rsidP="004D65D0">
      <w:pPr>
        <w:spacing w:after="0" w:line="240" w:lineRule="auto"/>
        <w:jc w:val="center"/>
        <w:rPr>
          <w:rFonts w:ascii="Century Gothic" w:hAnsi="Century Gothic" w:cs="Arial"/>
          <w:sz w:val="20"/>
          <w:szCs w:val="20"/>
        </w:rPr>
      </w:pPr>
      <w:r w:rsidRPr="004D65D0">
        <w:rPr>
          <w:rFonts w:ascii="Century Gothic" w:hAnsi="Century Gothic" w:cs="Arial"/>
          <w:sz w:val="20"/>
          <w:szCs w:val="20"/>
        </w:rPr>
        <w:t xml:space="preserve">Courtney Duquette </w:t>
      </w:r>
    </w:p>
    <w:p w14:paraId="28961FE0" w14:textId="77777777" w:rsidR="004D65D0" w:rsidRPr="004D65D0" w:rsidRDefault="004D65D0" w:rsidP="004D65D0">
      <w:pPr>
        <w:spacing w:after="0" w:line="240" w:lineRule="auto"/>
        <w:jc w:val="center"/>
        <w:rPr>
          <w:rFonts w:ascii="Century Gothic" w:hAnsi="Century Gothic" w:cs="Arial"/>
          <w:sz w:val="20"/>
          <w:szCs w:val="20"/>
        </w:rPr>
      </w:pPr>
      <w:r w:rsidRPr="004D65D0">
        <w:rPr>
          <w:rFonts w:ascii="Century Gothic" w:hAnsi="Century Gothic" w:cs="Arial"/>
          <w:sz w:val="20"/>
          <w:szCs w:val="20"/>
        </w:rPr>
        <w:t xml:space="preserve">Clarence Kimbrell </w:t>
      </w:r>
    </w:p>
    <w:p w14:paraId="22518D79" w14:textId="77777777" w:rsidR="004D65D0" w:rsidRPr="004D65D0" w:rsidRDefault="004D65D0" w:rsidP="004D65D0">
      <w:pPr>
        <w:spacing w:after="0" w:line="240" w:lineRule="auto"/>
        <w:jc w:val="center"/>
        <w:rPr>
          <w:rFonts w:ascii="Century Gothic" w:hAnsi="Century Gothic" w:cs="Arial"/>
          <w:sz w:val="20"/>
          <w:szCs w:val="20"/>
        </w:rPr>
      </w:pPr>
      <w:r w:rsidRPr="004D65D0">
        <w:rPr>
          <w:rFonts w:ascii="Century Gothic" w:hAnsi="Century Gothic" w:cs="Arial"/>
          <w:sz w:val="20"/>
          <w:szCs w:val="20"/>
        </w:rPr>
        <w:t>Susannah Miller</w:t>
      </w:r>
    </w:p>
    <w:p w14:paraId="7A122667" w14:textId="2DAD1E2B" w:rsidR="00FC670A" w:rsidRPr="00FC670A" w:rsidRDefault="004D65D0" w:rsidP="004D65D0">
      <w:pPr>
        <w:spacing w:after="0" w:line="240" w:lineRule="auto"/>
        <w:jc w:val="center"/>
        <w:rPr>
          <w:rFonts w:ascii="Century Gothic" w:hAnsi="Century Gothic" w:cs="Arial"/>
          <w:sz w:val="20"/>
          <w:szCs w:val="20"/>
        </w:rPr>
      </w:pPr>
      <w:r w:rsidRPr="004D65D0">
        <w:rPr>
          <w:rFonts w:ascii="Century Gothic" w:hAnsi="Century Gothic" w:cs="Arial"/>
          <w:sz w:val="20"/>
          <w:szCs w:val="20"/>
        </w:rPr>
        <w:t>Stephen Zimmerman</w:t>
      </w:r>
    </w:p>
    <w:p w14:paraId="2558426B" w14:textId="77777777" w:rsidR="0064280B" w:rsidRPr="00FC670A" w:rsidRDefault="0064280B">
      <w:pPr>
        <w:rPr>
          <w:rFonts w:ascii="Century Gothic" w:hAnsi="Century Gothic" w:cs="Arial"/>
          <w:sz w:val="20"/>
          <w:szCs w:val="20"/>
        </w:rPr>
      </w:pPr>
      <w:r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3D9AA95"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36F9FEF5" w14:textId="071359B8" w:rsidR="002C4C2E" w:rsidRPr="00494746" w:rsidRDefault="004D65D0" w:rsidP="008975BD">
      <w:pPr>
        <w:spacing w:after="0" w:line="240" w:lineRule="auto"/>
        <w:rPr>
          <w:rFonts w:ascii="Century Gothic" w:hAnsi="Century Gothic" w:cs="Arial"/>
        </w:rPr>
      </w:pPr>
      <w:r w:rsidRPr="004D65D0">
        <w:rPr>
          <w:rFonts w:ascii="Century Gothic" w:hAnsi="Century Gothic" w:cs="Arial"/>
        </w:rPr>
        <w:t>Remote Sensing, GIS, Google Earth Engine, TerrSet, Land Change Modeler, Chalatenango</w:t>
      </w:r>
      <w:r w:rsidR="0010405E">
        <w:rPr>
          <w:rFonts w:ascii="Century Gothic" w:hAnsi="Century Gothic" w:cs="Arial"/>
        </w:rPr>
        <w:t xml:space="preserve">, </w:t>
      </w:r>
      <w:r w:rsidRPr="004D65D0">
        <w:rPr>
          <w:rFonts w:ascii="Century Gothic" w:hAnsi="Century Gothic" w:cs="Arial"/>
        </w:rPr>
        <w:t>REDD+</w:t>
      </w:r>
    </w:p>
    <w:p w14:paraId="2FB6D409" w14:textId="77777777" w:rsidR="00FB5846" w:rsidRPr="00B265D9" w:rsidRDefault="008B7071" w:rsidP="00D3013B">
      <w:pPr>
        <w:pStyle w:val="Heading1"/>
        <w:rPr>
          <w:rFonts w:ascii="Century Gothic" w:hAnsi="Century Gothic"/>
        </w:rPr>
      </w:pPr>
      <w:bookmarkStart w:id="0" w:name="_Toc334198720"/>
      <w:r>
        <w:rPr>
          <w:rFonts w:ascii="Century Gothic" w:hAnsi="Century Gothic"/>
        </w:rPr>
        <w:t xml:space="preserve">II. </w:t>
      </w:r>
      <w:r w:rsidR="00FB5846" w:rsidRPr="00B265D9">
        <w:rPr>
          <w:rFonts w:ascii="Century Gothic" w:hAnsi="Century Gothic"/>
        </w:rPr>
        <w:t>Introduction</w:t>
      </w:r>
      <w:bookmarkEnd w:id="0"/>
    </w:p>
    <w:p w14:paraId="1C137D70" w14:textId="35D85B51" w:rsidR="004D65D0" w:rsidRPr="004D65D0" w:rsidRDefault="004D65D0" w:rsidP="004D65D0">
      <w:pPr>
        <w:spacing w:after="0" w:line="240" w:lineRule="auto"/>
        <w:rPr>
          <w:rFonts w:ascii="Century Gothic" w:hAnsi="Century Gothic" w:cs="Arial"/>
        </w:rPr>
      </w:pPr>
      <w:r w:rsidRPr="004D65D0">
        <w:rPr>
          <w:rFonts w:ascii="Century Gothic" w:hAnsi="Century Gothic" w:cs="Arial"/>
        </w:rPr>
        <w:t xml:space="preserve">Tropical forests provide vital environmental and ecosystem services. As carbon sinks, forests remove </w:t>
      </w:r>
      <w:r w:rsidR="00B51B67">
        <w:rPr>
          <w:rFonts w:ascii="Century Gothic" w:hAnsi="Century Gothic" w:cs="Arial"/>
        </w:rPr>
        <w:t>3.6</w:t>
      </w:r>
      <w:r w:rsidRPr="004D65D0">
        <w:rPr>
          <w:rFonts w:ascii="Century Gothic" w:hAnsi="Century Gothic" w:cs="Arial"/>
        </w:rPr>
        <w:t xml:space="preserve"> billion </w:t>
      </w:r>
      <w:r w:rsidR="00B51B67">
        <w:rPr>
          <w:rFonts w:ascii="Century Gothic" w:hAnsi="Century Gothic" w:cs="Arial"/>
        </w:rPr>
        <w:t xml:space="preserve">metric </w:t>
      </w:r>
      <w:r w:rsidR="0010405E" w:rsidRPr="004D65D0">
        <w:rPr>
          <w:rFonts w:ascii="Century Gothic" w:hAnsi="Century Gothic" w:cs="Arial"/>
        </w:rPr>
        <w:t>tons</w:t>
      </w:r>
      <w:r w:rsidRPr="004D65D0">
        <w:rPr>
          <w:rFonts w:ascii="Century Gothic" w:hAnsi="Century Gothic" w:cs="Arial"/>
        </w:rPr>
        <w:t xml:space="preserve"> of carbon per year; however, t</w:t>
      </w:r>
      <w:r w:rsidR="00B51B67">
        <w:rPr>
          <w:rFonts w:ascii="Century Gothic" w:hAnsi="Century Gothic" w:cs="Arial"/>
        </w:rPr>
        <w:t>ropical deforestation releases 2.7</w:t>
      </w:r>
      <w:r w:rsidRPr="004D65D0">
        <w:rPr>
          <w:rFonts w:ascii="Century Gothic" w:hAnsi="Century Gothic" w:cs="Arial"/>
        </w:rPr>
        <w:t xml:space="preserve"> billion </w:t>
      </w:r>
      <w:r w:rsidR="00B51B67">
        <w:rPr>
          <w:rFonts w:ascii="Century Gothic" w:hAnsi="Century Gothic" w:cs="Arial"/>
        </w:rPr>
        <w:t xml:space="preserve">metric </w:t>
      </w:r>
      <w:r w:rsidR="0010405E" w:rsidRPr="004D65D0">
        <w:rPr>
          <w:rFonts w:ascii="Century Gothic" w:hAnsi="Century Gothic" w:cs="Arial"/>
        </w:rPr>
        <w:t>tons</w:t>
      </w:r>
      <w:r w:rsidRPr="004D65D0">
        <w:rPr>
          <w:rFonts w:ascii="Century Gothic" w:hAnsi="Century Gothic" w:cs="Arial"/>
        </w:rPr>
        <w:t xml:space="preserve"> annually</w:t>
      </w:r>
      <w:r w:rsidR="00896439">
        <w:rPr>
          <w:rFonts w:ascii="Century Gothic" w:hAnsi="Century Gothic" w:cs="Arial"/>
        </w:rPr>
        <w:t xml:space="preserve"> (</w:t>
      </w:r>
      <w:r w:rsidR="00AE0456">
        <w:rPr>
          <w:rFonts w:ascii="Century Gothic" w:hAnsi="Century Gothic" w:cs="Arial"/>
        </w:rPr>
        <w:t>Reich, 2011</w:t>
      </w:r>
      <w:r w:rsidR="00896439">
        <w:rPr>
          <w:rFonts w:ascii="Century Gothic" w:hAnsi="Century Gothic" w:cs="Arial"/>
        </w:rPr>
        <w:t>)</w:t>
      </w:r>
      <w:r w:rsidRPr="004D65D0">
        <w:rPr>
          <w:rFonts w:ascii="Century Gothic" w:hAnsi="Century Gothic" w:cs="Arial"/>
        </w:rPr>
        <w:t>. This destructive activity reduces the yearly net</w:t>
      </w:r>
      <w:r w:rsidR="00AE0456">
        <w:rPr>
          <w:rFonts w:ascii="Century Gothic" w:hAnsi="Century Gothic" w:cs="Arial"/>
        </w:rPr>
        <w:t xml:space="preserve"> forest carbon sink to about 1</w:t>
      </w:r>
      <w:r w:rsidRPr="004D65D0">
        <w:rPr>
          <w:rFonts w:ascii="Century Gothic" w:hAnsi="Century Gothic" w:cs="Arial"/>
        </w:rPr>
        <w:t xml:space="preserve"> billion </w:t>
      </w:r>
      <w:r w:rsidR="00AE0456">
        <w:rPr>
          <w:rFonts w:ascii="Century Gothic" w:hAnsi="Century Gothic" w:cs="Arial"/>
        </w:rPr>
        <w:t xml:space="preserve">metric </w:t>
      </w:r>
      <w:r w:rsidR="0010405E" w:rsidRPr="004D65D0">
        <w:rPr>
          <w:rFonts w:ascii="Century Gothic" w:hAnsi="Century Gothic" w:cs="Arial"/>
        </w:rPr>
        <w:t>tons</w:t>
      </w:r>
      <w:r w:rsidRPr="004D65D0">
        <w:rPr>
          <w:rFonts w:ascii="Century Gothic" w:hAnsi="Century Gothic" w:cs="Arial"/>
        </w:rPr>
        <w:t xml:space="preserve">, one-seventh of annual fossil fuel emissions (Reich, 2011). Forests also play a crucial role in regulating the nutrient cycle and maintaining soil stability. </w:t>
      </w:r>
      <w:r w:rsidR="00B51B67">
        <w:rPr>
          <w:rFonts w:ascii="Century Gothic" w:hAnsi="Century Gothic" w:cs="Arial"/>
        </w:rPr>
        <w:t>D</w:t>
      </w:r>
      <w:r w:rsidR="00B51B67" w:rsidRPr="004D65D0">
        <w:rPr>
          <w:rFonts w:ascii="Century Gothic" w:hAnsi="Century Gothic" w:cs="Arial"/>
        </w:rPr>
        <w:t>eforestation for agricultural purposes often leads to soil erosion and nutrient leaching</w:t>
      </w:r>
      <w:r w:rsidR="00B51B67">
        <w:rPr>
          <w:rFonts w:ascii="Century Gothic" w:hAnsi="Century Gothic" w:cs="Arial"/>
        </w:rPr>
        <w:t xml:space="preserve">. </w:t>
      </w:r>
      <w:r w:rsidRPr="004D65D0">
        <w:rPr>
          <w:rFonts w:ascii="Century Gothic" w:hAnsi="Century Gothic" w:cs="Arial"/>
        </w:rPr>
        <w:t>Trees maintain soil quality by providing organic matter</w:t>
      </w:r>
      <w:r w:rsidR="00AE0456">
        <w:rPr>
          <w:rFonts w:ascii="Century Gothic" w:hAnsi="Century Gothic" w:cs="Arial"/>
        </w:rPr>
        <w:t xml:space="preserve"> from fallen leaves and branches. </w:t>
      </w:r>
      <w:r w:rsidRPr="004D65D0">
        <w:rPr>
          <w:rFonts w:ascii="Century Gothic" w:hAnsi="Century Gothic" w:cs="Arial"/>
        </w:rPr>
        <w:t>Their roots anchor the soil and prevent it</w:t>
      </w:r>
      <w:r w:rsidR="00896439">
        <w:rPr>
          <w:rFonts w:ascii="Century Gothic" w:hAnsi="Century Gothic" w:cs="Arial"/>
        </w:rPr>
        <w:t>,</w:t>
      </w:r>
      <w:r w:rsidRPr="004D65D0">
        <w:rPr>
          <w:rFonts w:ascii="Century Gothic" w:hAnsi="Century Gothic" w:cs="Arial"/>
        </w:rPr>
        <w:t xml:space="preserve"> and the nutrients within it</w:t>
      </w:r>
      <w:r w:rsidR="00896439">
        <w:rPr>
          <w:rFonts w:ascii="Century Gothic" w:hAnsi="Century Gothic" w:cs="Arial"/>
        </w:rPr>
        <w:t>,</w:t>
      </w:r>
      <w:r w:rsidRPr="004D65D0">
        <w:rPr>
          <w:rFonts w:ascii="Century Gothic" w:hAnsi="Century Gothic" w:cs="Arial"/>
        </w:rPr>
        <w:t xml:space="preserve"> from washing away</w:t>
      </w:r>
      <w:r w:rsidR="00B51B67">
        <w:rPr>
          <w:rFonts w:ascii="Century Gothic" w:hAnsi="Century Gothic" w:cs="Arial"/>
        </w:rPr>
        <w:t xml:space="preserve">, </w:t>
      </w:r>
      <w:r w:rsidRPr="004D65D0">
        <w:rPr>
          <w:rFonts w:ascii="Century Gothic" w:hAnsi="Century Gothic" w:cs="Arial"/>
        </w:rPr>
        <w:t>also helping to maintain watersheds (Vitousek &amp; Sanford</w:t>
      </w:r>
      <w:r w:rsidR="00B51B67">
        <w:rPr>
          <w:rFonts w:ascii="Century Gothic" w:hAnsi="Century Gothic" w:cs="Arial"/>
        </w:rPr>
        <w:t>,</w:t>
      </w:r>
      <w:r w:rsidRPr="004D65D0">
        <w:rPr>
          <w:rFonts w:ascii="Century Gothic" w:hAnsi="Century Gothic" w:cs="Arial"/>
        </w:rPr>
        <w:t xml:space="preserve"> 1986). Additionally, tropical forests are essential to global biodiversity as they contain over 50% of the world’s species, including 80% of all insects and 90% of primates (</w:t>
      </w:r>
      <w:r w:rsidR="00AE0456" w:rsidRPr="00AE0456">
        <w:rPr>
          <w:rFonts w:ascii="Century Gothic" w:hAnsi="Century Gothic" w:cs="Arial"/>
        </w:rPr>
        <w:t>Hou</w:t>
      </w:r>
      <w:r w:rsidR="00AE0456">
        <w:rPr>
          <w:rFonts w:ascii="Century Gothic" w:hAnsi="Century Gothic" w:cs="Arial"/>
        </w:rPr>
        <w:t>ghton, Skole, &amp; Lefkowitz, 1991</w:t>
      </w:r>
      <w:r w:rsidRPr="004D65D0">
        <w:rPr>
          <w:rFonts w:ascii="Century Gothic" w:hAnsi="Century Gothic" w:cs="Arial"/>
        </w:rPr>
        <w:t xml:space="preserve">). </w:t>
      </w:r>
    </w:p>
    <w:p w14:paraId="32BFE6D0" w14:textId="77777777" w:rsidR="004D65D0" w:rsidRPr="004D65D0" w:rsidRDefault="004D65D0" w:rsidP="004D65D0">
      <w:pPr>
        <w:spacing w:after="0" w:line="240" w:lineRule="auto"/>
        <w:rPr>
          <w:rFonts w:ascii="Century Gothic" w:hAnsi="Century Gothic" w:cs="Arial"/>
        </w:rPr>
      </w:pPr>
    </w:p>
    <w:p w14:paraId="07068B17" w14:textId="29693A18" w:rsidR="004D65D0" w:rsidRPr="004D65D0" w:rsidRDefault="004D65D0" w:rsidP="004D65D0">
      <w:pPr>
        <w:spacing w:after="0" w:line="240" w:lineRule="auto"/>
        <w:rPr>
          <w:rFonts w:ascii="Century Gothic" w:hAnsi="Century Gothic" w:cs="Arial"/>
        </w:rPr>
      </w:pPr>
      <w:r w:rsidRPr="004D65D0">
        <w:rPr>
          <w:rFonts w:ascii="Century Gothic" w:hAnsi="Century Gothic" w:cs="Arial"/>
        </w:rPr>
        <w:t xml:space="preserve">Central America is home to 22,411 </w:t>
      </w:r>
      <w:r w:rsidR="00896439" w:rsidRPr="004D65D0">
        <w:rPr>
          <w:rFonts w:ascii="Century Gothic" w:hAnsi="Century Gothic" w:cs="Arial"/>
        </w:rPr>
        <w:t>h</w:t>
      </w:r>
      <w:r w:rsidR="00896439">
        <w:rPr>
          <w:rFonts w:ascii="Century Gothic" w:hAnsi="Century Gothic" w:cs="Arial"/>
        </w:rPr>
        <w:t>a</w:t>
      </w:r>
      <w:r w:rsidR="00896439" w:rsidRPr="004D65D0">
        <w:rPr>
          <w:rFonts w:ascii="Century Gothic" w:hAnsi="Century Gothic" w:cs="Arial"/>
        </w:rPr>
        <w:t xml:space="preserve"> </w:t>
      </w:r>
      <w:r w:rsidRPr="004D65D0">
        <w:rPr>
          <w:rFonts w:ascii="Century Gothic" w:hAnsi="Century Gothic" w:cs="Arial"/>
        </w:rPr>
        <w:t>of tropical forest. From 1990 to 2005 Central American forest cover decreased by almost 20% (Khatun</w:t>
      </w:r>
      <w:r w:rsidR="00B51B67">
        <w:rPr>
          <w:rFonts w:ascii="Century Gothic" w:hAnsi="Century Gothic" w:cs="Arial"/>
        </w:rPr>
        <w:t>,</w:t>
      </w:r>
      <w:r w:rsidRPr="004D65D0">
        <w:rPr>
          <w:rFonts w:ascii="Century Gothic" w:hAnsi="Century Gothic" w:cs="Arial"/>
        </w:rPr>
        <w:t xml:space="preserve"> 2011). The main causes of deforestation are population growth and land </w:t>
      </w:r>
      <w:r w:rsidRPr="00AE0456">
        <w:rPr>
          <w:rFonts w:ascii="Century Gothic" w:hAnsi="Century Gothic" w:cs="Arial"/>
        </w:rPr>
        <w:t>use change</w:t>
      </w:r>
      <w:r w:rsidR="00B51B67" w:rsidRPr="00AE0456">
        <w:rPr>
          <w:rStyle w:val="CommentReference"/>
          <w:rFonts w:ascii="Century Gothic" w:hAnsi="Century Gothic"/>
          <w:sz w:val="22"/>
          <w:szCs w:val="22"/>
        </w:rPr>
        <w:t xml:space="preserve"> </w:t>
      </w:r>
      <w:r w:rsidR="00AE0456" w:rsidRPr="00AE0456">
        <w:rPr>
          <w:rStyle w:val="CommentReference"/>
          <w:rFonts w:ascii="Century Gothic" w:hAnsi="Century Gothic"/>
          <w:sz w:val="22"/>
          <w:szCs w:val="22"/>
        </w:rPr>
        <w:t>(</w:t>
      </w:r>
      <w:r w:rsidRPr="00AE0456">
        <w:rPr>
          <w:rFonts w:ascii="Century Gothic" w:hAnsi="Century Gothic" w:cs="Arial"/>
        </w:rPr>
        <w:t>Redo et. al. 2012</w:t>
      </w:r>
      <w:r w:rsidRPr="004D65D0">
        <w:rPr>
          <w:rFonts w:ascii="Century Gothic" w:hAnsi="Century Gothic" w:cs="Arial"/>
        </w:rPr>
        <w:t>, Kahtun</w:t>
      </w:r>
      <w:r w:rsidR="00B51B67">
        <w:rPr>
          <w:rFonts w:ascii="Century Gothic" w:hAnsi="Century Gothic" w:cs="Arial"/>
        </w:rPr>
        <w:t>,</w:t>
      </w:r>
      <w:r w:rsidRPr="004D65D0">
        <w:rPr>
          <w:rFonts w:ascii="Century Gothic" w:hAnsi="Century Gothic" w:cs="Arial"/>
        </w:rPr>
        <w:t xml:space="preserve"> 2011). The effects of this deforestation are not contained to Central America, b</w:t>
      </w:r>
      <w:r w:rsidR="00AE0456">
        <w:rPr>
          <w:rFonts w:ascii="Century Gothic" w:hAnsi="Century Gothic" w:cs="Arial"/>
        </w:rPr>
        <w:t xml:space="preserve">ut are also seen </w:t>
      </w:r>
      <w:r w:rsidRPr="004D65D0">
        <w:rPr>
          <w:rFonts w:ascii="Century Gothic" w:hAnsi="Century Gothic" w:cs="Arial"/>
        </w:rPr>
        <w:t xml:space="preserve">in other regions as well. Biologists have linked a decline in North American </w:t>
      </w:r>
      <w:r w:rsidR="00896439">
        <w:rPr>
          <w:rFonts w:ascii="Century Gothic" w:hAnsi="Century Gothic" w:cs="Arial"/>
        </w:rPr>
        <w:t xml:space="preserve">migratory </w:t>
      </w:r>
      <w:r w:rsidRPr="004D65D0">
        <w:rPr>
          <w:rFonts w:ascii="Century Gothic" w:hAnsi="Century Gothic" w:cs="Arial"/>
        </w:rPr>
        <w:t>bird species, such as the wood thrush, to the loss of forests in Central America due to the fact that three of the four major flyways connecting the Americas pass through Central America (Finch</w:t>
      </w:r>
      <w:r w:rsidR="00B51B67">
        <w:rPr>
          <w:rFonts w:ascii="Century Gothic" w:hAnsi="Century Gothic" w:cs="Arial"/>
        </w:rPr>
        <w:t>,</w:t>
      </w:r>
      <w:r w:rsidRPr="004D65D0">
        <w:rPr>
          <w:rFonts w:ascii="Century Gothic" w:hAnsi="Century Gothic" w:cs="Arial"/>
        </w:rPr>
        <w:t xml:space="preserve"> 1991). </w:t>
      </w:r>
    </w:p>
    <w:p w14:paraId="21129672" w14:textId="77777777" w:rsidR="004D65D0" w:rsidRPr="004D65D0" w:rsidRDefault="004D65D0" w:rsidP="004D65D0">
      <w:pPr>
        <w:spacing w:after="0" w:line="240" w:lineRule="auto"/>
        <w:rPr>
          <w:rFonts w:ascii="Century Gothic" w:hAnsi="Century Gothic" w:cs="Arial"/>
        </w:rPr>
      </w:pPr>
    </w:p>
    <w:p w14:paraId="612269E1" w14:textId="785FBE1F" w:rsidR="004D65D0" w:rsidRPr="004D65D0" w:rsidRDefault="004D65D0" w:rsidP="004D65D0">
      <w:pPr>
        <w:spacing w:after="0" w:line="240" w:lineRule="auto"/>
        <w:rPr>
          <w:rFonts w:ascii="Century Gothic" w:hAnsi="Century Gothic" w:cs="Arial"/>
        </w:rPr>
      </w:pPr>
      <w:r w:rsidRPr="004D65D0">
        <w:rPr>
          <w:rFonts w:ascii="Century Gothic" w:hAnsi="Century Gothic" w:cs="Arial"/>
        </w:rPr>
        <w:t xml:space="preserve">Like much of Central America, El Salvador has experienced deforestation on a catastrophic level. </w:t>
      </w:r>
      <w:r w:rsidR="00896439">
        <w:rPr>
          <w:rFonts w:ascii="Century Gothic" w:hAnsi="Century Gothic" w:cs="Arial"/>
        </w:rPr>
        <w:t>H</w:t>
      </w:r>
      <w:r w:rsidRPr="004D65D0">
        <w:rPr>
          <w:rFonts w:ascii="Century Gothic" w:hAnsi="Century Gothic" w:cs="Arial"/>
        </w:rPr>
        <w:t xml:space="preserve">igh population density, coupled with poor enforcement of environmental regulations and unsustainable farming techniques, have been driving forces of deforestation (World Bank, 2014). El Salvador has only 2% of its primary forests remaining, the smallest amount in Latin America (Rainforest Alliance). The main contributors to this have been slash and burn techniques used by many farmers, known as </w:t>
      </w:r>
      <w:r w:rsidR="00AE0456" w:rsidRPr="004D65D0">
        <w:rPr>
          <w:rFonts w:ascii="Century Gothic" w:hAnsi="Century Gothic" w:cs="Arial"/>
        </w:rPr>
        <w:t>Tavy</w:t>
      </w:r>
      <w:r w:rsidRPr="004D65D0">
        <w:rPr>
          <w:rFonts w:ascii="Century Gothic" w:hAnsi="Century Gothic" w:cs="Arial"/>
        </w:rPr>
        <w:t xml:space="preserve"> farming, and urban expansion throughout the country. Tavy farming is exceptionally harmful because it quickly depletes soils of their nutrients, making it difficult for forest regrowth efforts to be successful (Hetch &amp; Sattchi, 2007). </w:t>
      </w:r>
    </w:p>
    <w:p w14:paraId="0044CE1C" w14:textId="77777777" w:rsidR="004D65D0" w:rsidRPr="004D65D0" w:rsidRDefault="004D65D0" w:rsidP="004D65D0">
      <w:pPr>
        <w:spacing w:after="0" w:line="240" w:lineRule="auto"/>
        <w:rPr>
          <w:rFonts w:ascii="Century Gothic" w:hAnsi="Century Gothic" w:cs="Arial"/>
        </w:rPr>
      </w:pPr>
    </w:p>
    <w:p w14:paraId="6AA3B4D4" w14:textId="77777777" w:rsidR="004D65D0" w:rsidRPr="004D65D0" w:rsidRDefault="004D65D0" w:rsidP="004D65D0">
      <w:pPr>
        <w:spacing w:after="0" w:line="240" w:lineRule="auto"/>
        <w:rPr>
          <w:rFonts w:ascii="Century Gothic" w:hAnsi="Century Gothic" w:cs="Arial"/>
        </w:rPr>
      </w:pPr>
      <w:r w:rsidRPr="004D65D0">
        <w:rPr>
          <w:rFonts w:ascii="Century Gothic" w:hAnsi="Century Gothic" w:cs="Arial"/>
        </w:rPr>
        <w:t xml:space="preserve">From 1980 to 1992, El Salvador experienced a civil war that led to a mass emigration of 25% of the population (Hetch &amp; Sattchi, 2007; Gammage 2007). Carpet bombing and destructive land campaigns resulted in the desolation of crops and forests (Weinberg 1997). However, the reduction in agricultural and pastoral practices allowed for some successional forests to emerge in previously cultivated areas. The conclusion of the civil </w:t>
      </w:r>
      <w:r w:rsidRPr="004D65D0">
        <w:rPr>
          <w:rFonts w:ascii="Century Gothic" w:hAnsi="Century Gothic" w:cs="Arial"/>
        </w:rPr>
        <w:lastRenderedPageBreak/>
        <w:t>war led to rapid urbanization with the return of the war refugees (Hetch &amp; Sattchi, 2007). Environmental initiative became a priority in this post-war era. The government signed the United Nations Framework Convention on Climate Change (UNFCCC) in 1992 and the Kyoto Protocol in 1998 (UNFCCC). In 1997, President Armando Calderon Sol issued a presidential decree creating the Ministry of the Environment and Natural Resources (MARN) (Foley &amp; Hapipi, 2005). More recent initiatives include a push to implement sustainable farming techniques, such as agroforestry, preparing for REDD+ implementation, and developing a payment for ecosystem services (PES) plan. These programs are necessary to the preservation of what little primary forest remains and to expand environmental conservation efforts nationally.</w:t>
      </w:r>
    </w:p>
    <w:p w14:paraId="255D0CC0" w14:textId="77777777" w:rsidR="004D65D0" w:rsidRPr="004D65D0" w:rsidRDefault="004D65D0" w:rsidP="004D65D0">
      <w:pPr>
        <w:spacing w:after="0" w:line="240" w:lineRule="auto"/>
        <w:rPr>
          <w:rFonts w:ascii="Century Gothic" w:hAnsi="Century Gothic" w:cs="Arial"/>
        </w:rPr>
      </w:pPr>
    </w:p>
    <w:p w14:paraId="7DBEDA8B" w14:textId="582822E4" w:rsidR="004D65D0" w:rsidRPr="004D65D0" w:rsidRDefault="004D65D0" w:rsidP="004D65D0">
      <w:pPr>
        <w:spacing w:after="0" w:line="240" w:lineRule="auto"/>
        <w:rPr>
          <w:rFonts w:ascii="Century Gothic" w:hAnsi="Century Gothic" w:cs="Arial"/>
        </w:rPr>
      </w:pPr>
      <w:r w:rsidRPr="004D65D0">
        <w:rPr>
          <w:rFonts w:ascii="Century Gothic" w:hAnsi="Century Gothic" w:cs="Arial"/>
        </w:rPr>
        <w:t>The micro-region of La Mancomunidad La Montañona in Chalatenango, El Salvador is home to a pine oak forest with both ecological and cultural</w:t>
      </w:r>
      <w:r>
        <w:rPr>
          <w:rFonts w:ascii="Century Gothic" w:hAnsi="Century Gothic" w:cs="Arial"/>
        </w:rPr>
        <w:t xml:space="preserve"> importance. The forests of La</w:t>
      </w:r>
      <w:r w:rsidRPr="004D65D0">
        <w:rPr>
          <w:rFonts w:ascii="Century Gothic" w:hAnsi="Century Gothic" w:cs="Arial"/>
        </w:rPr>
        <w:t xml:space="preserve"> Montañona are critical to maintaining local stream and river quality</w:t>
      </w:r>
      <w:r w:rsidR="00A07F67">
        <w:rPr>
          <w:rFonts w:ascii="Century Gothic" w:hAnsi="Century Gothic" w:cs="Arial"/>
        </w:rPr>
        <w:t>. They are</w:t>
      </w:r>
      <w:r w:rsidRPr="004D65D0">
        <w:rPr>
          <w:rFonts w:ascii="Century Gothic" w:hAnsi="Century Gothic" w:cs="Arial"/>
        </w:rPr>
        <w:t xml:space="preserve"> relied upon by many communities, such as San Salvador, as their main source of water (Balkan). </w:t>
      </w:r>
      <w:r w:rsidR="005069A9">
        <w:rPr>
          <w:rFonts w:ascii="Century Gothic" w:hAnsi="Century Gothic" w:cs="Arial"/>
        </w:rPr>
        <w:t xml:space="preserve">The population of this hilly area is </w:t>
      </w:r>
      <w:r w:rsidRPr="004D65D0">
        <w:rPr>
          <w:rFonts w:ascii="Century Gothic" w:hAnsi="Century Gothic" w:cs="Arial"/>
        </w:rPr>
        <w:t>dependent upon subsistence and livestock farming, often utilizing slash and burn agricultural techniques which threaten the surrounding forest</w:t>
      </w:r>
      <w:r w:rsidR="005069A9">
        <w:rPr>
          <w:rFonts w:ascii="Century Gothic" w:hAnsi="Century Gothic" w:cs="Arial"/>
        </w:rPr>
        <w:t xml:space="preserve"> (Balkan)</w:t>
      </w:r>
      <w:r w:rsidRPr="004D65D0">
        <w:rPr>
          <w:rFonts w:ascii="Century Gothic" w:hAnsi="Century Gothic" w:cs="Arial"/>
        </w:rPr>
        <w:t xml:space="preserve">. </w:t>
      </w:r>
    </w:p>
    <w:p w14:paraId="1DD2FA90" w14:textId="77777777" w:rsidR="004D65D0" w:rsidRPr="004D65D0" w:rsidRDefault="004D65D0" w:rsidP="004D65D0">
      <w:pPr>
        <w:spacing w:after="0" w:line="240" w:lineRule="auto"/>
        <w:rPr>
          <w:rFonts w:ascii="Century Gothic" w:hAnsi="Century Gothic" w:cs="Arial"/>
        </w:rPr>
      </w:pPr>
    </w:p>
    <w:p w14:paraId="78FAF590" w14:textId="2FF62F30" w:rsidR="00242822" w:rsidRPr="004D65D0" w:rsidRDefault="004D65D0" w:rsidP="004D65D0">
      <w:pPr>
        <w:spacing w:after="0" w:line="240" w:lineRule="auto"/>
        <w:rPr>
          <w:rFonts w:ascii="Century Gothic" w:hAnsi="Century Gothic"/>
        </w:rPr>
      </w:pPr>
      <w:r w:rsidRPr="004D65D0">
        <w:rPr>
          <w:rFonts w:ascii="Century Gothic" w:hAnsi="Century Gothic" w:cs="Arial"/>
        </w:rPr>
        <w:t xml:space="preserve">This project addresses the National Application Areas of Ecological Forecasting. It contributes to this application area by utilizing historical land classifications and providing the partner with forecasted land classifications which provides essential data used to develop REDD+ strategies. The overall objective of the project is to develop a methodology for monitoring </w:t>
      </w:r>
      <w:r w:rsidR="0010405E" w:rsidRPr="004D65D0">
        <w:rPr>
          <w:rFonts w:ascii="Century Gothic" w:hAnsi="Century Gothic" w:cs="Arial"/>
        </w:rPr>
        <w:t>and forecasting</w:t>
      </w:r>
      <w:r w:rsidRPr="004D65D0">
        <w:rPr>
          <w:rFonts w:ascii="Century Gothic" w:hAnsi="Century Gothic" w:cs="Arial"/>
        </w:rPr>
        <w:t xml:space="preserve"> ecological change in the La Mancomunidad La Montañona region in El Salvador by </w:t>
      </w:r>
      <w:r w:rsidR="0010405E" w:rsidRPr="004D65D0">
        <w:rPr>
          <w:rFonts w:ascii="Century Gothic" w:hAnsi="Century Gothic" w:cs="Arial"/>
        </w:rPr>
        <w:t>analyzing</w:t>
      </w:r>
      <w:r w:rsidRPr="004D65D0">
        <w:rPr>
          <w:rFonts w:ascii="Century Gothic" w:hAnsi="Century Gothic" w:cs="Arial"/>
        </w:rPr>
        <w:t xml:space="preserve"> data from December 1986 - January 2016. MARN and </w:t>
      </w:r>
      <w:r w:rsidR="0010405E" w:rsidRPr="004D65D0">
        <w:rPr>
          <w:rFonts w:ascii="Century Gothic" w:hAnsi="Century Gothic" w:cs="Arial"/>
        </w:rPr>
        <w:t>other end</w:t>
      </w:r>
      <w:r w:rsidRPr="004D65D0">
        <w:rPr>
          <w:rFonts w:ascii="Century Gothic" w:hAnsi="Century Gothic" w:cs="Arial"/>
        </w:rPr>
        <w:t xml:space="preserve">-users will use this methodology </w:t>
      </w:r>
      <w:r w:rsidR="0010405E" w:rsidRPr="004D65D0">
        <w:rPr>
          <w:rFonts w:ascii="Century Gothic" w:hAnsi="Century Gothic" w:cs="Arial"/>
        </w:rPr>
        <w:t>to anticipate</w:t>
      </w:r>
      <w:r w:rsidRPr="004D65D0">
        <w:rPr>
          <w:rFonts w:ascii="Century Gothic" w:hAnsi="Century Gothic" w:cs="Arial"/>
        </w:rPr>
        <w:t xml:space="preserve"> potential locations at risk of deforestation, allowing them to determine where to focus land use management and future REDD+ strategies at a national level.</w:t>
      </w:r>
    </w:p>
    <w:p w14:paraId="4EAB8422" w14:textId="77777777" w:rsidR="00E41324" w:rsidRPr="00B265D9" w:rsidRDefault="008B7071" w:rsidP="00D3013B">
      <w:pPr>
        <w:pStyle w:val="Heading1"/>
        <w:rPr>
          <w:rFonts w:ascii="Century Gothic" w:hAnsi="Century Gothic"/>
        </w:rPr>
      </w:pPr>
      <w:bookmarkStart w:id="1" w:name="_Toc334198726"/>
      <w:r>
        <w:rPr>
          <w:rFonts w:ascii="Century Gothic" w:hAnsi="Century Gothic"/>
        </w:rPr>
        <w:t xml:space="preserve">III. </w:t>
      </w:r>
      <w:r w:rsidR="00E41324" w:rsidRPr="00B265D9">
        <w:rPr>
          <w:rFonts w:ascii="Century Gothic" w:hAnsi="Century Gothic"/>
        </w:rPr>
        <w:t>Methodology</w:t>
      </w:r>
      <w:bookmarkEnd w:id="1"/>
    </w:p>
    <w:p w14:paraId="3C828779" w14:textId="77777777" w:rsidR="00502783" w:rsidRPr="00502783" w:rsidRDefault="00502783" w:rsidP="00502783">
      <w:pPr>
        <w:pStyle w:val="NoSpacing"/>
        <w:rPr>
          <w:rFonts w:ascii="Century Gothic" w:hAnsi="Century Gothic"/>
          <w:b/>
        </w:rPr>
      </w:pPr>
      <w:r w:rsidRPr="00502783">
        <w:rPr>
          <w:rFonts w:ascii="Century Gothic" w:hAnsi="Century Gothic"/>
          <w:b/>
        </w:rPr>
        <w:t>Data Acquisition</w:t>
      </w:r>
    </w:p>
    <w:p w14:paraId="7693EFB7" w14:textId="0F51CBAE" w:rsidR="00502783" w:rsidRPr="00502783" w:rsidRDefault="00502783" w:rsidP="00502783">
      <w:pPr>
        <w:pStyle w:val="NoSpacing"/>
        <w:rPr>
          <w:rFonts w:ascii="Century Gothic" w:hAnsi="Century Gothic"/>
        </w:rPr>
      </w:pPr>
      <w:r w:rsidRPr="00502783">
        <w:rPr>
          <w:rFonts w:ascii="Century Gothic" w:hAnsi="Century Gothic"/>
        </w:rPr>
        <w:t xml:space="preserve">Atmospherically corrected images from the Landsat 4/5 </w:t>
      </w:r>
      <w:r w:rsidR="00896439">
        <w:rPr>
          <w:rFonts w:ascii="Century Gothic" w:hAnsi="Century Gothic"/>
        </w:rPr>
        <w:t xml:space="preserve">TM </w:t>
      </w:r>
      <w:r w:rsidRPr="00502783">
        <w:rPr>
          <w:rFonts w:ascii="Century Gothic" w:hAnsi="Century Gothic"/>
        </w:rPr>
        <w:t xml:space="preserve">and Landsat 8 OLI satellites were extracted from the United States Geological Survey (USGS) for path 19, row 50 for the years 2010 and 2016. The dry season for La Mancomunidad La Montañona runs from November to April, therefore these images were representative of the 2009 and 2015 dry seasons. For consistency with the Fall 2015 term, images chosen were those with minimal cloud cover over the area of interest and as close to the month of December for each selected year. </w:t>
      </w:r>
    </w:p>
    <w:p w14:paraId="2460399E" w14:textId="77777777" w:rsidR="00502783" w:rsidRPr="00502783" w:rsidRDefault="00502783" w:rsidP="00502783">
      <w:pPr>
        <w:pStyle w:val="NoSpacing"/>
        <w:rPr>
          <w:rFonts w:ascii="Century Gothic" w:hAnsi="Century Gothic"/>
        </w:rPr>
      </w:pPr>
    </w:p>
    <w:p w14:paraId="5AD050F1" w14:textId="77777777" w:rsidR="00F70EDE" w:rsidRPr="00F70EDE" w:rsidRDefault="00F70EDE" w:rsidP="00F70EDE">
      <w:pPr>
        <w:spacing w:line="240" w:lineRule="auto"/>
        <w:jc w:val="center"/>
        <w:rPr>
          <w:rFonts w:ascii="Century Gothic" w:eastAsia="Times New Roman" w:hAnsi="Century Gothic" w:cs="Times New Roman"/>
          <w:sz w:val="24"/>
          <w:szCs w:val="24"/>
        </w:rPr>
      </w:pPr>
      <w:r w:rsidRPr="00F70EDE">
        <w:rPr>
          <w:rFonts w:ascii="Century Gothic" w:eastAsia="Times New Roman" w:hAnsi="Century Gothic" w:cs="Times New Roman"/>
          <w:b/>
          <w:bCs/>
          <w:color w:val="000000"/>
        </w:rPr>
        <w:t>Table 1. Earth Observing Systems and High Resolution Satellite Imagery</w:t>
      </w:r>
    </w:p>
    <w:tbl>
      <w:tblPr>
        <w:tblW w:w="0" w:type="auto"/>
        <w:tblCellMar>
          <w:top w:w="15" w:type="dxa"/>
          <w:left w:w="15" w:type="dxa"/>
          <w:bottom w:w="15" w:type="dxa"/>
          <w:right w:w="15" w:type="dxa"/>
        </w:tblCellMar>
        <w:tblLook w:val="04A0" w:firstRow="1" w:lastRow="0" w:firstColumn="1" w:lastColumn="0" w:noHBand="0" w:noVBand="1"/>
      </w:tblPr>
      <w:tblGrid>
        <w:gridCol w:w="1396"/>
        <w:gridCol w:w="2023"/>
        <w:gridCol w:w="1323"/>
        <w:gridCol w:w="2009"/>
        <w:gridCol w:w="2593"/>
      </w:tblGrid>
      <w:tr w:rsidR="00F70EDE" w:rsidRPr="00F70EDE" w14:paraId="1C911EF0" w14:textId="77777777" w:rsidTr="00F70EDE">
        <w:trPr>
          <w:trHeight w:val="405"/>
        </w:trPr>
        <w:tc>
          <w:tcPr>
            <w:tcW w:w="0" w:type="auto"/>
            <w:tcBorders>
              <w:top w:val="single" w:sz="6" w:space="0" w:color="000000"/>
              <w:left w:val="single" w:sz="6" w:space="0" w:color="000000"/>
              <w:bottom w:val="single" w:sz="6" w:space="0" w:color="000000"/>
              <w:right w:val="single" w:sz="6" w:space="0" w:color="000000"/>
            </w:tcBorders>
            <w:shd w:val="clear" w:color="auto" w:fill="BFBFBF"/>
            <w:tcMar>
              <w:top w:w="0" w:type="dxa"/>
              <w:left w:w="120" w:type="dxa"/>
              <w:bottom w:w="0" w:type="dxa"/>
              <w:right w:w="120" w:type="dxa"/>
            </w:tcMar>
            <w:vAlign w:val="center"/>
            <w:hideMark/>
          </w:tcPr>
          <w:p w14:paraId="04BE1721" w14:textId="77777777" w:rsidR="00F70EDE" w:rsidRPr="00F70EDE" w:rsidRDefault="00F70EDE" w:rsidP="00F70EDE">
            <w:pPr>
              <w:spacing w:after="0" w:line="240" w:lineRule="auto"/>
              <w:jc w:val="center"/>
              <w:rPr>
                <w:rFonts w:ascii="Century Gothic" w:eastAsia="Times New Roman" w:hAnsi="Century Gothic" w:cs="Times New Roman"/>
                <w:sz w:val="24"/>
                <w:szCs w:val="24"/>
              </w:rPr>
            </w:pPr>
            <w:r w:rsidRPr="00F70EDE">
              <w:rPr>
                <w:rFonts w:ascii="Century Gothic" w:eastAsia="Times New Roman" w:hAnsi="Century Gothic" w:cs="Times New Roman"/>
                <w:b/>
                <w:bCs/>
                <w:color w:val="000000"/>
              </w:rPr>
              <w:t>Satellite</w:t>
            </w:r>
          </w:p>
        </w:tc>
        <w:tc>
          <w:tcPr>
            <w:tcW w:w="0" w:type="auto"/>
            <w:tcBorders>
              <w:top w:val="single" w:sz="6" w:space="0" w:color="000000"/>
              <w:left w:val="single" w:sz="6" w:space="0" w:color="000000"/>
              <w:bottom w:val="single" w:sz="6" w:space="0" w:color="000000"/>
              <w:right w:val="single" w:sz="6" w:space="0" w:color="000000"/>
            </w:tcBorders>
            <w:shd w:val="clear" w:color="auto" w:fill="BFBFBF"/>
            <w:tcMar>
              <w:top w:w="0" w:type="dxa"/>
              <w:left w:w="120" w:type="dxa"/>
              <w:bottom w:w="0" w:type="dxa"/>
              <w:right w:w="120" w:type="dxa"/>
            </w:tcMar>
            <w:vAlign w:val="center"/>
            <w:hideMark/>
          </w:tcPr>
          <w:p w14:paraId="0B89FDD8" w14:textId="77777777" w:rsidR="00F70EDE" w:rsidRPr="00F70EDE" w:rsidRDefault="00F70EDE" w:rsidP="00F70EDE">
            <w:pPr>
              <w:spacing w:after="0" w:line="240" w:lineRule="auto"/>
              <w:jc w:val="center"/>
              <w:rPr>
                <w:rFonts w:ascii="Century Gothic" w:eastAsia="Times New Roman" w:hAnsi="Century Gothic" w:cs="Times New Roman"/>
                <w:sz w:val="24"/>
                <w:szCs w:val="24"/>
              </w:rPr>
            </w:pPr>
            <w:r w:rsidRPr="00F70EDE">
              <w:rPr>
                <w:rFonts w:ascii="Century Gothic" w:eastAsia="Times New Roman" w:hAnsi="Century Gothic" w:cs="Times New Roman"/>
                <w:b/>
                <w:bCs/>
                <w:color w:val="000000"/>
              </w:rPr>
              <w:t>Source</w:t>
            </w:r>
          </w:p>
        </w:tc>
        <w:tc>
          <w:tcPr>
            <w:tcW w:w="0" w:type="auto"/>
            <w:tcBorders>
              <w:top w:val="single" w:sz="6" w:space="0" w:color="000000"/>
              <w:left w:val="single" w:sz="6" w:space="0" w:color="000000"/>
              <w:bottom w:val="single" w:sz="6" w:space="0" w:color="000000"/>
              <w:right w:val="single" w:sz="6" w:space="0" w:color="000000"/>
            </w:tcBorders>
            <w:shd w:val="clear" w:color="auto" w:fill="BFBFBF"/>
            <w:tcMar>
              <w:top w:w="0" w:type="dxa"/>
              <w:left w:w="120" w:type="dxa"/>
              <w:bottom w:w="0" w:type="dxa"/>
              <w:right w:w="120" w:type="dxa"/>
            </w:tcMar>
            <w:vAlign w:val="center"/>
            <w:hideMark/>
          </w:tcPr>
          <w:p w14:paraId="47DC0B6E" w14:textId="77777777" w:rsidR="00F70EDE" w:rsidRPr="00F70EDE" w:rsidRDefault="00F70EDE" w:rsidP="00F70EDE">
            <w:pPr>
              <w:spacing w:after="0" w:line="240" w:lineRule="auto"/>
              <w:jc w:val="center"/>
              <w:rPr>
                <w:rFonts w:ascii="Century Gothic" w:eastAsia="Times New Roman" w:hAnsi="Century Gothic" w:cs="Times New Roman"/>
                <w:sz w:val="24"/>
                <w:szCs w:val="24"/>
              </w:rPr>
            </w:pPr>
            <w:r w:rsidRPr="00F70EDE">
              <w:rPr>
                <w:rFonts w:ascii="Century Gothic" w:eastAsia="Times New Roman" w:hAnsi="Century Gothic" w:cs="Times New Roman"/>
                <w:b/>
                <w:bCs/>
                <w:color w:val="000000"/>
              </w:rPr>
              <w:t>Resolution</w:t>
            </w:r>
          </w:p>
        </w:tc>
        <w:tc>
          <w:tcPr>
            <w:tcW w:w="0" w:type="auto"/>
            <w:tcBorders>
              <w:top w:val="single" w:sz="6" w:space="0" w:color="000000"/>
              <w:left w:val="single" w:sz="6" w:space="0" w:color="000000"/>
              <w:bottom w:val="single" w:sz="6" w:space="0" w:color="000000"/>
              <w:right w:val="single" w:sz="6" w:space="0" w:color="000000"/>
            </w:tcBorders>
            <w:shd w:val="clear" w:color="auto" w:fill="BFBFBF"/>
            <w:tcMar>
              <w:top w:w="0" w:type="dxa"/>
              <w:left w:w="120" w:type="dxa"/>
              <w:bottom w:w="0" w:type="dxa"/>
              <w:right w:w="120" w:type="dxa"/>
            </w:tcMar>
            <w:vAlign w:val="center"/>
            <w:hideMark/>
          </w:tcPr>
          <w:p w14:paraId="5FAF4B22" w14:textId="77777777" w:rsidR="00F70EDE" w:rsidRPr="00F70EDE" w:rsidRDefault="00F70EDE" w:rsidP="00F70EDE">
            <w:pPr>
              <w:spacing w:after="0" w:line="240" w:lineRule="auto"/>
              <w:jc w:val="center"/>
              <w:rPr>
                <w:rFonts w:ascii="Century Gothic" w:eastAsia="Times New Roman" w:hAnsi="Century Gothic" w:cs="Times New Roman"/>
                <w:sz w:val="24"/>
                <w:szCs w:val="24"/>
              </w:rPr>
            </w:pPr>
            <w:r w:rsidRPr="00F70EDE">
              <w:rPr>
                <w:rFonts w:ascii="Century Gothic" w:eastAsia="Times New Roman" w:hAnsi="Century Gothic" w:cs="Times New Roman"/>
                <w:b/>
                <w:bCs/>
                <w:color w:val="000000"/>
              </w:rPr>
              <w:t>Research Use</w:t>
            </w:r>
          </w:p>
        </w:tc>
        <w:tc>
          <w:tcPr>
            <w:tcW w:w="0" w:type="auto"/>
            <w:tcBorders>
              <w:top w:val="single" w:sz="6" w:space="0" w:color="000000"/>
              <w:left w:val="single" w:sz="6" w:space="0" w:color="000000"/>
              <w:bottom w:val="single" w:sz="6" w:space="0" w:color="000000"/>
              <w:right w:val="single" w:sz="6" w:space="0" w:color="000000"/>
            </w:tcBorders>
            <w:shd w:val="clear" w:color="auto" w:fill="BFBFBF"/>
            <w:tcMar>
              <w:top w:w="0" w:type="dxa"/>
              <w:left w:w="120" w:type="dxa"/>
              <w:bottom w:w="0" w:type="dxa"/>
              <w:right w:w="120" w:type="dxa"/>
            </w:tcMar>
            <w:vAlign w:val="center"/>
            <w:hideMark/>
          </w:tcPr>
          <w:p w14:paraId="62E23ED3" w14:textId="77777777" w:rsidR="00F70EDE" w:rsidRPr="00F70EDE" w:rsidRDefault="00F70EDE" w:rsidP="00F70EDE">
            <w:pPr>
              <w:spacing w:after="0" w:line="240" w:lineRule="auto"/>
              <w:jc w:val="center"/>
              <w:rPr>
                <w:rFonts w:ascii="Century Gothic" w:eastAsia="Times New Roman" w:hAnsi="Century Gothic" w:cs="Times New Roman"/>
                <w:sz w:val="24"/>
                <w:szCs w:val="24"/>
              </w:rPr>
            </w:pPr>
            <w:r w:rsidRPr="00F70EDE">
              <w:rPr>
                <w:rFonts w:ascii="Century Gothic" w:eastAsia="Times New Roman" w:hAnsi="Century Gothic" w:cs="Times New Roman"/>
                <w:b/>
                <w:bCs/>
                <w:color w:val="000000"/>
              </w:rPr>
              <w:t>Year Acquired</w:t>
            </w:r>
          </w:p>
        </w:tc>
      </w:tr>
      <w:tr w:rsidR="00F70EDE" w:rsidRPr="00F70EDE" w14:paraId="1251456F" w14:textId="77777777" w:rsidTr="00F70EDE">
        <w:trPr>
          <w:trHeight w:val="795"/>
        </w:trPr>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hideMark/>
          </w:tcPr>
          <w:p w14:paraId="065CA173" w14:textId="77777777" w:rsidR="00F70EDE" w:rsidRPr="00F70EDE" w:rsidRDefault="00F70EDE" w:rsidP="00F70EDE">
            <w:pPr>
              <w:spacing w:after="0" w:line="240" w:lineRule="auto"/>
              <w:jc w:val="center"/>
              <w:rPr>
                <w:rFonts w:ascii="Century Gothic" w:eastAsia="Times New Roman" w:hAnsi="Century Gothic" w:cs="Times New Roman"/>
                <w:sz w:val="24"/>
                <w:szCs w:val="24"/>
              </w:rPr>
            </w:pPr>
            <w:r w:rsidRPr="00F70EDE">
              <w:rPr>
                <w:rFonts w:ascii="Century Gothic" w:eastAsia="Times New Roman" w:hAnsi="Century Gothic" w:cs="Times New Roman"/>
                <w:b/>
                <w:bCs/>
                <w:color w:val="000000"/>
              </w:rPr>
              <w:t>Landsat 4/5 TM</w:t>
            </w:r>
          </w:p>
        </w:tc>
        <w:tc>
          <w:tcPr>
            <w:tcW w:w="0" w:type="auto"/>
            <w:tcBorders>
              <w:top w:val="single" w:sz="6" w:space="0" w:color="000000"/>
              <w:left w:val="single" w:sz="6" w:space="0" w:color="000000"/>
              <w:bottom w:val="single" w:sz="6" w:space="0" w:color="000000"/>
              <w:right w:val="single" w:sz="6" w:space="0" w:color="000000"/>
            </w:tcBorders>
            <w:shd w:val="clear" w:color="auto" w:fill="D5DCE4"/>
            <w:tcMar>
              <w:top w:w="0" w:type="dxa"/>
              <w:left w:w="120" w:type="dxa"/>
              <w:bottom w:w="0" w:type="dxa"/>
              <w:right w:w="120" w:type="dxa"/>
            </w:tcMar>
            <w:vAlign w:val="center"/>
            <w:hideMark/>
          </w:tcPr>
          <w:p w14:paraId="2AAA7E76" w14:textId="77777777" w:rsidR="00F70EDE" w:rsidRPr="00F70EDE" w:rsidRDefault="00F70EDE" w:rsidP="00F70EDE">
            <w:pPr>
              <w:spacing w:after="0" w:line="240" w:lineRule="auto"/>
              <w:jc w:val="center"/>
              <w:rPr>
                <w:rFonts w:ascii="Century Gothic" w:eastAsia="Times New Roman" w:hAnsi="Century Gothic" w:cs="Times New Roman"/>
                <w:sz w:val="24"/>
                <w:szCs w:val="24"/>
              </w:rPr>
            </w:pPr>
            <w:r w:rsidRPr="00F70EDE">
              <w:rPr>
                <w:rFonts w:ascii="Century Gothic" w:eastAsia="Times New Roman" w:hAnsi="Century Gothic" w:cs="Times New Roman"/>
                <w:color w:val="000000"/>
              </w:rPr>
              <w:t>USGS GLOVIS</w:t>
            </w:r>
          </w:p>
        </w:tc>
        <w:tc>
          <w:tcPr>
            <w:tcW w:w="0" w:type="auto"/>
            <w:tcBorders>
              <w:top w:val="single" w:sz="6" w:space="0" w:color="000000"/>
              <w:left w:val="single" w:sz="6" w:space="0" w:color="000000"/>
              <w:bottom w:val="single" w:sz="6" w:space="0" w:color="000000"/>
              <w:right w:val="single" w:sz="6" w:space="0" w:color="000000"/>
            </w:tcBorders>
            <w:shd w:val="clear" w:color="auto" w:fill="D5DCE4"/>
            <w:tcMar>
              <w:top w:w="0" w:type="dxa"/>
              <w:left w:w="120" w:type="dxa"/>
              <w:bottom w:w="0" w:type="dxa"/>
              <w:right w:w="120" w:type="dxa"/>
            </w:tcMar>
            <w:vAlign w:val="center"/>
            <w:hideMark/>
          </w:tcPr>
          <w:p w14:paraId="69C24BDB" w14:textId="77777777" w:rsidR="00F70EDE" w:rsidRPr="00F70EDE" w:rsidRDefault="00F70EDE" w:rsidP="00F70EDE">
            <w:pPr>
              <w:spacing w:after="0" w:line="240" w:lineRule="auto"/>
              <w:jc w:val="center"/>
              <w:rPr>
                <w:rFonts w:ascii="Century Gothic" w:eastAsia="Times New Roman" w:hAnsi="Century Gothic" w:cs="Times New Roman"/>
                <w:sz w:val="24"/>
                <w:szCs w:val="24"/>
              </w:rPr>
            </w:pPr>
            <w:r w:rsidRPr="00F70EDE">
              <w:rPr>
                <w:rFonts w:ascii="Century Gothic" w:eastAsia="Times New Roman" w:hAnsi="Century Gothic" w:cs="Times New Roman"/>
                <w:color w:val="000000"/>
              </w:rPr>
              <w:t>30 m</w:t>
            </w:r>
          </w:p>
        </w:tc>
        <w:tc>
          <w:tcPr>
            <w:tcW w:w="0" w:type="auto"/>
            <w:tcBorders>
              <w:top w:val="single" w:sz="6" w:space="0" w:color="000000"/>
              <w:left w:val="single" w:sz="6" w:space="0" w:color="000000"/>
              <w:bottom w:val="single" w:sz="6" w:space="0" w:color="000000"/>
              <w:right w:val="single" w:sz="6" w:space="0" w:color="000000"/>
            </w:tcBorders>
            <w:shd w:val="clear" w:color="auto" w:fill="D5DCE4"/>
            <w:tcMar>
              <w:top w:w="0" w:type="dxa"/>
              <w:left w:w="120" w:type="dxa"/>
              <w:bottom w:w="0" w:type="dxa"/>
              <w:right w:w="120" w:type="dxa"/>
            </w:tcMar>
            <w:vAlign w:val="center"/>
            <w:hideMark/>
          </w:tcPr>
          <w:p w14:paraId="5DE50C57" w14:textId="77777777" w:rsidR="00F70EDE" w:rsidRPr="00F70EDE" w:rsidRDefault="00F70EDE" w:rsidP="00F70EDE">
            <w:pPr>
              <w:spacing w:after="0" w:line="240" w:lineRule="auto"/>
              <w:jc w:val="center"/>
              <w:rPr>
                <w:rFonts w:ascii="Century Gothic" w:eastAsia="Times New Roman" w:hAnsi="Century Gothic" w:cs="Times New Roman"/>
                <w:sz w:val="24"/>
                <w:szCs w:val="24"/>
              </w:rPr>
            </w:pPr>
            <w:r w:rsidRPr="00F70EDE">
              <w:rPr>
                <w:rFonts w:ascii="Century Gothic" w:eastAsia="Times New Roman" w:hAnsi="Century Gothic" w:cs="Times New Roman"/>
                <w:color w:val="000000"/>
              </w:rPr>
              <w:t>Land Use/Land Cover</w:t>
            </w:r>
          </w:p>
        </w:tc>
        <w:tc>
          <w:tcPr>
            <w:tcW w:w="0" w:type="auto"/>
            <w:tcBorders>
              <w:top w:val="single" w:sz="6" w:space="0" w:color="000000"/>
              <w:left w:val="single" w:sz="6" w:space="0" w:color="000000"/>
              <w:bottom w:val="single" w:sz="6" w:space="0" w:color="000000"/>
              <w:right w:val="single" w:sz="6" w:space="0" w:color="000000"/>
            </w:tcBorders>
            <w:shd w:val="clear" w:color="auto" w:fill="D5DCE4"/>
            <w:tcMar>
              <w:top w:w="0" w:type="dxa"/>
              <w:left w:w="120" w:type="dxa"/>
              <w:bottom w:w="0" w:type="dxa"/>
              <w:right w:w="120" w:type="dxa"/>
            </w:tcMar>
            <w:vAlign w:val="center"/>
            <w:hideMark/>
          </w:tcPr>
          <w:p w14:paraId="37174225" w14:textId="77777777" w:rsidR="00F70EDE" w:rsidRPr="00F70EDE" w:rsidRDefault="00F70EDE" w:rsidP="00F70EDE">
            <w:pPr>
              <w:spacing w:after="0" w:line="240" w:lineRule="auto"/>
              <w:jc w:val="center"/>
              <w:rPr>
                <w:rFonts w:ascii="Century Gothic" w:eastAsia="Times New Roman" w:hAnsi="Century Gothic" w:cs="Times New Roman"/>
                <w:sz w:val="24"/>
                <w:szCs w:val="24"/>
              </w:rPr>
            </w:pPr>
            <w:r w:rsidRPr="00F70EDE">
              <w:rPr>
                <w:rFonts w:ascii="Century Gothic" w:eastAsia="Times New Roman" w:hAnsi="Century Gothic" w:cs="Times New Roman"/>
                <w:color w:val="000000"/>
              </w:rPr>
              <w:t>December 1986, January 1997, February 2001, January 2010</w:t>
            </w:r>
          </w:p>
        </w:tc>
      </w:tr>
      <w:tr w:rsidR="00F70EDE" w:rsidRPr="00F70EDE" w14:paraId="14A0E0FE" w14:textId="77777777" w:rsidTr="00F70EDE">
        <w:trPr>
          <w:trHeight w:val="795"/>
        </w:trPr>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hideMark/>
          </w:tcPr>
          <w:p w14:paraId="52E16B72" w14:textId="77777777" w:rsidR="00F70EDE" w:rsidRPr="00F70EDE" w:rsidRDefault="00F70EDE" w:rsidP="00F70EDE">
            <w:pPr>
              <w:spacing w:after="0" w:line="240" w:lineRule="auto"/>
              <w:jc w:val="center"/>
              <w:rPr>
                <w:rFonts w:ascii="Century Gothic" w:eastAsia="Times New Roman" w:hAnsi="Century Gothic" w:cs="Times New Roman"/>
                <w:sz w:val="24"/>
                <w:szCs w:val="24"/>
              </w:rPr>
            </w:pPr>
            <w:r w:rsidRPr="00F70EDE">
              <w:rPr>
                <w:rFonts w:ascii="Century Gothic" w:eastAsia="Times New Roman" w:hAnsi="Century Gothic" w:cs="Times New Roman"/>
                <w:b/>
                <w:bCs/>
                <w:color w:val="000000"/>
              </w:rPr>
              <w:lastRenderedPageBreak/>
              <w:t>Landsat 8 OLI</w:t>
            </w:r>
          </w:p>
        </w:tc>
        <w:tc>
          <w:tcPr>
            <w:tcW w:w="0" w:type="auto"/>
            <w:tcBorders>
              <w:top w:val="single" w:sz="6" w:space="0" w:color="000000"/>
              <w:left w:val="single" w:sz="6" w:space="0" w:color="000000"/>
              <w:bottom w:val="single" w:sz="6" w:space="0" w:color="000000"/>
              <w:right w:val="single" w:sz="6" w:space="0" w:color="000000"/>
            </w:tcBorders>
            <w:shd w:val="clear" w:color="auto" w:fill="D5DCE4"/>
            <w:tcMar>
              <w:top w:w="0" w:type="dxa"/>
              <w:left w:w="120" w:type="dxa"/>
              <w:bottom w:w="0" w:type="dxa"/>
              <w:right w:w="120" w:type="dxa"/>
            </w:tcMar>
            <w:vAlign w:val="center"/>
            <w:hideMark/>
          </w:tcPr>
          <w:p w14:paraId="2CE3D021" w14:textId="77777777" w:rsidR="00F70EDE" w:rsidRPr="00F70EDE" w:rsidRDefault="00F70EDE" w:rsidP="00F70EDE">
            <w:pPr>
              <w:spacing w:after="0" w:line="240" w:lineRule="auto"/>
              <w:jc w:val="center"/>
              <w:rPr>
                <w:rFonts w:ascii="Century Gothic" w:eastAsia="Times New Roman" w:hAnsi="Century Gothic" w:cs="Times New Roman"/>
                <w:sz w:val="24"/>
                <w:szCs w:val="24"/>
              </w:rPr>
            </w:pPr>
            <w:r w:rsidRPr="00F70EDE">
              <w:rPr>
                <w:rFonts w:ascii="Century Gothic" w:eastAsia="Times New Roman" w:hAnsi="Century Gothic" w:cs="Times New Roman"/>
                <w:color w:val="000000"/>
              </w:rPr>
              <w:t>USGS GLOVIS</w:t>
            </w:r>
          </w:p>
        </w:tc>
        <w:tc>
          <w:tcPr>
            <w:tcW w:w="0" w:type="auto"/>
            <w:tcBorders>
              <w:top w:val="single" w:sz="6" w:space="0" w:color="000000"/>
              <w:left w:val="single" w:sz="6" w:space="0" w:color="000000"/>
              <w:bottom w:val="single" w:sz="6" w:space="0" w:color="000000"/>
              <w:right w:val="single" w:sz="6" w:space="0" w:color="000000"/>
            </w:tcBorders>
            <w:shd w:val="clear" w:color="auto" w:fill="D5DCE4"/>
            <w:tcMar>
              <w:top w:w="0" w:type="dxa"/>
              <w:left w:w="120" w:type="dxa"/>
              <w:bottom w:w="0" w:type="dxa"/>
              <w:right w:w="120" w:type="dxa"/>
            </w:tcMar>
            <w:vAlign w:val="center"/>
            <w:hideMark/>
          </w:tcPr>
          <w:p w14:paraId="3AB4420D" w14:textId="77777777" w:rsidR="00F70EDE" w:rsidRPr="00F70EDE" w:rsidRDefault="00F70EDE" w:rsidP="00F70EDE">
            <w:pPr>
              <w:spacing w:after="0" w:line="240" w:lineRule="auto"/>
              <w:jc w:val="center"/>
              <w:rPr>
                <w:rFonts w:ascii="Century Gothic" w:eastAsia="Times New Roman" w:hAnsi="Century Gothic" w:cs="Times New Roman"/>
                <w:sz w:val="24"/>
                <w:szCs w:val="24"/>
              </w:rPr>
            </w:pPr>
            <w:r w:rsidRPr="00F70EDE">
              <w:rPr>
                <w:rFonts w:ascii="Century Gothic" w:eastAsia="Times New Roman" w:hAnsi="Century Gothic" w:cs="Times New Roman"/>
                <w:color w:val="000000"/>
              </w:rPr>
              <w:t>30 m</w:t>
            </w:r>
          </w:p>
        </w:tc>
        <w:tc>
          <w:tcPr>
            <w:tcW w:w="0" w:type="auto"/>
            <w:tcBorders>
              <w:top w:val="single" w:sz="6" w:space="0" w:color="000000"/>
              <w:left w:val="single" w:sz="6" w:space="0" w:color="000000"/>
              <w:bottom w:val="single" w:sz="6" w:space="0" w:color="000000"/>
              <w:right w:val="single" w:sz="6" w:space="0" w:color="000000"/>
            </w:tcBorders>
            <w:shd w:val="clear" w:color="auto" w:fill="D5DCE4"/>
            <w:tcMar>
              <w:top w:w="0" w:type="dxa"/>
              <w:left w:w="120" w:type="dxa"/>
              <w:bottom w:w="0" w:type="dxa"/>
              <w:right w:w="120" w:type="dxa"/>
            </w:tcMar>
            <w:vAlign w:val="center"/>
            <w:hideMark/>
          </w:tcPr>
          <w:p w14:paraId="3056D22D" w14:textId="77777777" w:rsidR="00F70EDE" w:rsidRPr="00F70EDE" w:rsidRDefault="00F70EDE" w:rsidP="00F70EDE">
            <w:pPr>
              <w:spacing w:after="0" w:line="240" w:lineRule="auto"/>
              <w:jc w:val="center"/>
              <w:rPr>
                <w:rFonts w:ascii="Century Gothic" w:eastAsia="Times New Roman" w:hAnsi="Century Gothic" w:cs="Times New Roman"/>
                <w:sz w:val="24"/>
                <w:szCs w:val="24"/>
              </w:rPr>
            </w:pPr>
            <w:r w:rsidRPr="00F70EDE">
              <w:rPr>
                <w:rFonts w:ascii="Century Gothic" w:eastAsia="Times New Roman" w:hAnsi="Century Gothic" w:cs="Times New Roman"/>
                <w:color w:val="000000"/>
              </w:rPr>
              <w:t>Land Use/Land Cover</w:t>
            </w:r>
          </w:p>
        </w:tc>
        <w:tc>
          <w:tcPr>
            <w:tcW w:w="0" w:type="auto"/>
            <w:tcBorders>
              <w:top w:val="single" w:sz="6" w:space="0" w:color="000000"/>
              <w:left w:val="single" w:sz="6" w:space="0" w:color="000000"/>
              <w:bottom w:val="single" w:sz="6" w:space="0" w:color="000000"/>
              <w:right w:val="single" w:sz="6" w:space="0" w:color="000000"/>
            </w:tcBorders>
            <w:shd w:val="clear" w:color="auto" w:fill="D5DCE4"/>
            <w:tcMar>
              <w:top w:w="0" w:type="dxa"/>
              <w:left w:w="120" w:type="dxa"/>
              <w:bottom w:w="0" w:type="dxa"/>
              <w:right w:w="120" w:type="dxa"/>
            </w:tcMar>
            <w:vAlign w:val="center"/>
            <w:hideMark/>
          </w:tcPr>
          <w:p w14:paraId="0DC9DFF1" w14:textId="77777777" w:rsidR="00F70EDE" w:rsidRPr="00F70EDE" w:rsidRDefault="00F70EDE" w:rsidP="00F70EDE">
            <w:pPr>
              <w:spacing w:after="0" w:line="240" w:lineRule="auto"/>
              <w:jc w:val="center"/>
              <w:rPr>
                <w:rFonts w:ascii="Century Gothic" w:eastAsia="Times New Roman" w:hAnsi="Century Gothic" w:cs="Times New Roman"/>
                <w:sz w:val="24"/>
                <w:szCs w:val="24"/>
              </w:rPr>
            </w:pPr>
            <w:r w:rsidRPr="00F70EDE">
              <w:rPr>
                <w:rFonts w:ascii="Century Gothic" w:eastAsia="Times New Roman" w:hAnsi="Century Gothic" w:cs="Times New Roman"/>
                <w:color w:val="000000"/>
              </w:rPr>
              <w:t>January 2014, January 2016</w:t>
            </w:r>
          </w:p>
        </w:tc>
      </w:tr>
      <w:tr w:rsidR="00F70EDE" w:rsidRPr="00F70EDE" w14:paraId="3118D5AA" w14:textId="77777777" w:rsidTr="00F70EDE">
        <w:trPr>
          <w:trHeight w:val="795"/>
        </w:trPr>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hideMark/>
          </w:tcPr>
          <w:p w14:paraId="7AE42BD7" w14:textId="77777777" w:rsidR="00F70EDE" w:rsidRPr="00F70EDE" w:rsidRDefault="00F70EDE" w:rsidP="00F70EDE">
            <w:pPr>
              <w:spacing w:after="0" w:line="240" w:lineRule="auto"/>
              <w:jc w:val="center"/>
              <w:rPr>
                <w:rFonts w:ascii="Century Gothic" w:eastAsia="Times New Roman" w:hAnsi="Century Gothic" w:cs="Times New Roman"/>
                <w:sz w:val="24"/>
                <w:szCs w:val="24"/>
              </w:rPr>
            </w:pPr>
            <w:r w:rsidRPr="00F70EDE">
              <w:rPr>
                <w:rFonts w:ascii="Century Gothic" w:eastAsia="Times New Roman" w:hAnsi="Century Gothic" w:cs="Times New Roman"/>
                <w:b/>
                <w:bCs/>
                <w:color w:val="000000"/>
              </w:rPr>
              <w:t>RapidEye</w:t>
            </w:r>
          </w:p>
        </w:tc>
        <w:tc>
          <w:tcPr>
            <w:tcW w:w="0" w:type="auto"/>
            <w:tcBorders>
              <w:top w:val="single" w:sz="6" w:space="0" w:color="000000"/>
              <w:left w:val="single" w:sz="6" w:space="0" w:color="000000"/>
              <w:bottom w:val="single" w:sz="6" w:space="0" w:color="000000"/>
              <w:right w:val="single" w:sz="6" w:space="0" w:color="000000"/>
            </w:tcBorders>
            <w:shd w:val="clear" w:color="auto" w:fill="D5DCE4"/>
            <w:tcMar>
              <w:top w:w="0" w:type="dxa"/>
              <w:left w:w="120" w:type="dxa"/>
              <w:bottom w:w="0" w:type="dxa"/>
              <w:right w:w="120" w:type="dxa"/>
            </w:tcMar>
            <w:vAlign w:val="center"/>
            <w:hideMark/>
          </w:tcPr>
          <w:p w14:paraId="1E72C075" w14:textId="77777777" w:rsidR="00F70EDE" w:rsidRPr="00F70EDE" w:rsidRDefault="00F70EDE" w:rsidP="00F70EDE">
            <w:pPr>
              <w:spacing w:after="0" w:line="240" w:lineRule="auto"/>
              <w:jc w:val="center"/>
              <w:rPr>
                <w:rFonts w:ascii="Century Gothic" w:eastAsia="Times New Roman" w:hAnsi="Century Gothic" w:cs="Times New Roman"/>
                <w:sz w:val="24"/>
                <w:szCs w:val="24"/>
              </w:rPr>
            </w:pPr>
            <w:r w:rsidRPr="00F70EDE">
              <w:rPr>
                <w:rFonts w:ascii="Century Gothic" w:eastAsia="Times New Roman" w:hAnsi="Century Gothic" w:cs="Times New Roman"/>
                <w:color w:val="000000"/>
              </w:rPr>
              <w:t>Project Collaborators (ABES)</w:t>
            </w:r>
          </w:p>
        </w:tc>
        <w:tc>
          <w:tcPr>
            <w:tcW w:w="0" w:type="auto"/>
            <w:tcBorders>
              <w:top w:val="single" w:sz="6" w:space="0" w:color="000000"/>
              <w:left w:val="single" w:sz="6" w:space="0" w:color="000000"/>
              <w:bottom w:val="single" w:sz="6" w:space="0" w:color="000000"/>
              <w:right w:val="single" w:sz="6" w:space="0" w:color="000000"/>
            </w:tcBorders>
            <w:shd w:val="clear" w:color="auto" w:fill="D5DCE4"/>
            <w:tcMar>
              <w:top w:w="0" w:type="dxa"/>
              <w:left w:w="120" w:type="dxa"/>
              <w:bottom w:w="0" w:type="dxa"/>
              <w:right w:w="120" w:type="dxa"/>
            </w:tcMar>
            <w:vAlign w:val="center"/>
            <w:hideMark/>
          </w:tcPr>
          <w:p w14:paraId="334E0AF7" w14:textId="77777777" w:rsidR="00F70EDE" w:rsidRPr="00F70EDE" w:rsidRDefault="00F70EDE" w:rsidP="00F70EDE">
            <w:pPr>
              <w:spacing w:after="0" w:line="240" w:lineRule="auto"/>
              <w:jc w:val="center"/>
              <w:rPr>
                <w:rFonts w:ascii="Century Gothic" w:eastAsia="Times New Roman" w:hAnsi="Century Gothic" w:cs="Times New Roman"/>
                <w:sz w:val="24"/>
                <w:szCs w:val="24"/>
              </w:rPr>
            </w:pPr>
            <w:r w:rsidRPr="00F70EDE">
              <w:rPr>
                <w:rFonts w:ascii="Century Gothic" w:eastAsia="Times New Roman" w:hAnsi="Century Gothic" w:cs="Times New Roman"/>
                <w:color w:val="000000"/>
              </w:rPr>
              <w:t>5 m</w:t>
            </w:r>
          </w:p>
        </w:tc>
        <w:tc>
          <w:tcPr>
            <w:tcW w:w="0" w:type="auto"/>
            <w:tcBorders>
              <w:top w:val="single" w:sz="6" w:space="0" w:color="000000"/>
              <w:left w:val="single" w:sz="6" w:space="0" w:color="000000"/>
              <w:bottom w:val="single" w:sz="6" w:space="0" w:color="000000"/>
              <w:right w:val="single" w:sz="6" w:space="0" w:color="000000"/>
            </w:tcBorders>
            <w:shd w:val="clear" w:color="auto" w:fill="D5DCE4"/>
            <w:tcMar>
              <w:top w:w="0" w:type="dxa"/>
              <w:left w:w="120" w:type="dxa"/>
              <w:bottom w:w="0" w:type="dxa"/>
              <w:right w:w="120" w:type="dxa"/>
            </w:tcMar>
            <w:vAlign w:val="center"/>
            <w:hideMark/>
          </w:tcPr>
          <w:p w14:paraId="540783FD" w14:textId="77777777" w:rsidR="00F70EDE" w:rsidRPr="00F70EDE" w:rsidRDefault="00F70EDE" w:rsidP="00F70EDE">
            <w:pPr>
              <w:spacing w:after="0" w:line="240" w:lineRule="auto"/>
              <w:jc w:val="center"/>
              <w:rPr>
                <w:rFonts w:ascii="Century Gothic" w:eastAsia="Times New Roman" w:hAnsi="Century Gothic" w:cs="Times New Roman"/>
                <w:sz w:val="24"/>
                <w:szCs w:val="24"/>
              </w:rPr>
            </w:pPr>
            <w:r w:rsidRPr="00F70EDE">
              <w:rPr>
                <w:rFonts w:ascii="Century Gothic" w:eastAsia="Times New Roman" w:hAnsi="Century Gothic" w:cs="Times New Roman"/>
                <w:color w:val="000000"/>
              </w:rPr>
              <w:t>Ground Truth for Land Use Land Cover</w:t>
            </w:r>
          </w:p>
        </w:tc>
        <w:tc>
          <w:tcPr>
            <w:tcW w:w="0" w:type="auto"/>
            <w:tcBorders>
              <w:top w:val="single" w:sz="6" w:space="0" w:color="000000"/>
              <w:left w:val="single" w:sz="6" w:space="0" w:color="000000"/>
              <w:bottom w:val="single" w:sz="6" w:space="0" w:color="000000"/>
              <w:right w:val="single" w:sz="6" w:space="0" w:color="000000"/>
            </w:tcBorders>
            <w:shd w:val="clear" w:color="auto" w:fill="D5DCE4"/>
            <w:tcMar>
              <w:top w:w="0" w:type="dxa"/>
              <w:left w:w="120" w:type="dxa"/>
              <w:bottom w:w="0" w:type="dxa"/>
              <w:right w:w="120" w:type="dxa"/>
            </w:tcMar>
            <w:vAlign w:val="center"/>
            <w:hideMark/>
          </w:tcPr>
          <w:p w14:paraId="3F5F6E15" w14:textId="77777777" w:rsidR="00F70EDE" w:rsidRPr="00F70EDE" w:rsidRDefault="00F70EDE" w:rsidP="00F70EDE">
            <w:pPr>
              <w:spacing w:after="0" w:line="240" w:lineRule="auto"/>
              <w:jc w:val="center"/>
              <w:rPr>
                <w:rFonts w:ascii="Century Gothic" w:eastAsia="Times New Roman" w:hAnsi="Century Gothic" w:cs="Times New Roman"/>
                <w:sz w:val="24"/>
                <w:szCs w:val="24"/>
              </w:rPr>
            </w:pPr>
            <w:r w:rsidRPr="00F70EDE">
              <w:rPr>
                <w:rFonts w:ascii="Century Gothic" w:eastAsia="Times New Roman" w:hAnsi="Century Gothic" w:cs="Times New Roman"/>
                <w:color w:val="000000"/>
              </w:rPr>
              <w:t>December 2012 (Region)</w:t>
            </w:r>
          </w:p>
          <w:p w14:paraId="4B0EE80E" w14:textId="77777777" w:rsidR="00F70EDE" w:rsidRPr="00F70EDE" w:rsidRDefault="00F70EDE" w:rsidP="00F70EDE">
            <w:pPr>
              <w:spacing w:after="0" w:line="240" w:lineRule="auto"/>
              <w:jc w:val="center"/>
              <w:rPr>
                <w:rFonts w:ascii="Century Gothic" w:eastAsia="Times New Roman" w:hAnsi="Century Gothic" w:cs="Times New Roman"/>
                <w:sz w:val="24"/>
                <w:szCs w:val="24"/>
              </w:rPr>
            </w:pPr>
            <w:r w:rsidRPr="00F70EDE">
              <w:rPr>
                <w:rFonts w:ascii="Century Gothic" w:eastAsia="Times New Roman" w:hAnsi="Century Gothic" w:cs="Times New Roman"/>
                <w:color w:val="000000"/>
              </w:rPr>
              <w:t>January 2016</w:t>
            </w:r>
          </w:p>
          <w:p w14:paraId="15E9456B" w14:textId="77777777" w:rsidR="00F70EDE" w:rsidRPr="00F70EDE" w:rsidRDefault="00F70EDE" w:rsidP="00F70EDE">
            <w:pPr>
              <w:spacing w:after="0" w:line="240" w:lineRule="auto"/>
              <w:rPr>
                <w:rFonts w:ascii="Century Gothic" w:eastAsia="Times New Roman" w:hAnsi="Century Gothic" w:cs="Times New Roman"/>
                <w:sz w:val="24"/>
                <w:szCs w:val="24"/>
              </w:rPr>
            </w:pPr>
          </w:p>
        </w:tc>
      </w:tr>
      <w:tr w:rsidR="00F70EDE" w:rsidRPr="00F70EDE" w14:paraId="059A20FA" w14:textId="77777777" w:rsidTr="00F70EDE">
        <w:trPr>
          <w:trHeight w:val="795"/>
        </w:trPr>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hideMark/>
          </w:tcPr>
          <w:p w14:paraId="20C9B2A7" w14:textId="77777777" w:rsidR="00F70EDE" w:rsidRPr="00F70EDE" w:rsidRDefault="00F70EDE" w:rsidP="00F70EDE">
            <w:pPr>
              <w:spacing w:after="0" w:line="240" w:lineRule="auto"/>
              <w:jc w:val="center"/>
              <w:rPr>
                <w:rFonts w:ascii="Century Gothic" w:eastAsia="Times New Roman" w:hAnsi="Century Gothic" w:cs="Times New Roman"/>
                <w:sz w:val="24"/>
                <w:szCs w:val="24"/>
              </w:rPr>
            </w:pPr>
            <w:r w:rsidRPr="00F70EDE">
              <w:rPr>
                <w:rFonts w:ascii="Century Gothic" w:eastAsia="Times New Roman" w:hAnsi="Century Gothic" w:cs="Times New Roman"/>
                <w:b/>
                <w:bCs/>
                <w:color w:val="000000"/>
              </w:rPr>
              <w:t>QuickBird</w:t>
            </w:r>
          </w:p>
        </w:tc>
        <w:tc>
          <w:tcPr>
            <w:tcW w:w="0" w:type="auto"/>
            <w:tcBorders>
              <w:top w:val="single" w:sz="6" w:space="0" w:color="000000"/>
              <w:left w:val="single" w:sz="6" w:space="0" w:color="000000"/>
              <w:bottom w:val="single" w:sz="6" w:space="0" w:color="000000"/>
              <w:right w:val="single" w:sz="6" w:space="0" w:color="000000"/>
            </w:tcBorders>
            <w:shd w:val="clear" w:color="auto" w:fill="D5DCE4"/>
            <w:tcMar>
              <w:top w:w="0" w:type="dxa"/>
              <w:left w:w="120" w:type="dxa"/>
              <w:bottom w:w="0" w:type="dxa"/>
              <w:right w:w="120" w:type="dxa"/>
            </w:tcMar>
            <w:vAlign w:val="center"/>
            <w:hideMark/>
          </w:tcPr>
          <w:p w14:paraId="74D7669D" w14:textId="77777777" w:rsidR="00F70EDE" w:rsidRPr="00F70EDE" w:rsidRDefault="00F70EDE" w:rsidP="00F70EDE">
            <w:pPr>
              <w:spacing w:after="0" w:line="240" w:lineRule="auto"/>
              <w:jc w:val="center"/>
              <w:rPr>
                <w:rFonts w:ascii="Century Gothic" w:eastAsia="Times New Roman" w:hAnsi="Century Gothic" w:cs="Times New Roman"/>
                <w:sz w:val="24"/>
                <w:szCs w:val="24"/>
              </w:rPr>
            </w:pPr>
            <w:r w:rsidRPr="00F70EDE">
              <w:rPr>
                <w:rFonts w:ascii="Century Gothic" w:eastAsia="Times New Roman" w:hAnsi="Century Gothic" w:cs="Times New Roman"/>
                <w:color w:val="000000"/>
              </w:rPr>
              <w:t>Project Collaborators (ABES)</w:t>
            </w:r>
          </w:p>
        </w:tc>
        <w:tc>
          <w:tcPr>
            <w:tcW w:w="0" w:type="auto"/>
            <w:tcBorders>
              <w:top w:val="single" w:sz="6" w:space="0" w:color="000000"/>
              <w:left w:val="single" w:sz="6" w:space="0" w:color="000000"/>
              <w:bottom w:val="single" w:sz="6" w:space="0" w:color="000000"/>
              <w:right w:val="single" w:sz="6" w:space="0" w:color="000000"/>
            </w:tcBorders>
            <w:shd w:val="clear" w:color="auto" w:fill="D5DCE4"/>
            <w:tcMar>
              <w:top w:w="0" w:type="dxa"/>
              <w:left w:w="120" w:type="dxa"/>
              <w:bottom w:w="0" w:type="dxa"/>
              <w:right w:w="120" w:type="dxa"/>
            </w:tcMar>
            <w:vAlign w:val="center"/>
            <w:hideMark/>
          </w:tcPr>
          <w:p w14:paraId="06888CD9" w14:textId="77777777" w:rsidR="00F70EDE" w:rsidRPr="00F70EDE" w:rsidRDefault="00F70EDE" w:rsidP="00F70EDE">
            <w:pPr>
              <w:spacing w:after="0" w:line="240" w:lineRule="auto"/>
              <w:jc w:val="center"/>
              <w:rPr>
                <w:rFonts w:ascii="Century Gothic" w:eastAsia="Times New Roman" w:hAnsi="Century Gothic" w:cs="Times New Roman"/>
                <w:sz w:val="24"/>
                <w:szCs w:val="24"/>
              </w:rPr>
            </w:pPr>
            <w:r w:rsidRPr="00F70EDE">
              <w:rPr>
                <w:rFonts w:ascii="Century Gothic" w:eastAsia="Times New Roman" w:hAnsi="Century Gothic" w:cs="Times New Roman"/>
                <w:color w:val="000000"/>
              </w:rPr>
              <w:t>2.4 m</w:t>
            </w:r>
          </w:p>
        </w:tc>
        <w:tc>
          <w:tcPr>
            <w:tcW w:w="0" w:type="auto"/>
            <w:tcBorders>
              <w:top w:val="single" w:sz="6" w:space="0" w:color="000000"/>
              <w:left w:val="single" w:sz="6" w:space="0" w:color="000000"/>
              <w:bottom w:val="single" w:sz="6" w:space="0" w:color="000000"/>
              <w:right w:val="single" w:sz="6" w:space="0" w:color="000000"/>
            </w:tcBorders>
            <w:shd w:val="clear" w:color="auto" w:fill="D5DCE4"/>
            <w:tcMar>
              <w:top w:w="0" w:type="dxa"/>
              <w:left w:w="120" w:type="dxa"/>
              <w:bottom w:w="0" w:type="dxa"/>
              <w:right w:w="120" w:type="dxa"/>
            </w:tcMar>
            <w:vAlign w:val="center"/>
            <w:hideMark/>
          </w:tcPr>
          <w:p w14:paraId="3F902564" w14:textId="77777777" w:rsidR="00F70EDE" w:rsidRPr="00F70EDE" w:rsidRDefault="00F70EDE" w:rsidP="00F70EDE">
            <w:pPr>
              <w:spacing w:after="0" w:line="240" w:lineRule="auto"/>
              <w:jc w:val="center"/>
              <w:rPr>
                <w:rFonts w:ascii="Century Gothic" w:eastAsia="Times New Roman" w:hAnsi="Century Gothic" w:cs="Times New Roman"/>
                <w:sz w:val="24"/>
                <w:szCs w:val="24"/>
              </w:rPr>
            </w:pPr>
            <w:r w:rsidRPr="00F70EDE">
              <w:rPr>
                <w:rFonts w:ascii="Century Gothic" w:eastAsia="Times New Roman" w:hAnsi="Century Gothic" w:cs="Times New Roman"/>
                <w:color w:val="000000"/>
              </w:rPr>
              <w:t>Global Forest Cover (GFC) validation,</w:t>
            </w:r>
          </w:p>
        </w:tc>
        <w:tc>
          <w:tcPr>
            <w:tcW w:w="0" w:type="auto"/>
            <w:tcBorders>
              <w:top w:val="single" w:sz="6" w:space="0" w:color="000000"/>
              <w:left w:val="single" w:sz="6" w:space="0" w:color="000000"/>
              <w:bottom w:val="single" w:sz="6" w:space="0" w:color="000000"/>
              <w:right w:val="single" w:sz="6" w:space="0" w:color="000000"/>
            </w:tcBorders>
            <w:shd w:val="clear" w:color="auto" w:fill="D5DCE4"/>
            <w:tcMar>
              <w:top w:w="0" w:type="dxa"/>
              <w:left w:w="120" w:type="dxa"/>
              <w:bottom w:w="0" w:type="dxa"/>
              <w:right w:w="120" w:type="dxa"/>
            </w:tcMar>
            <w:vAlign w:val="center"/>
            <w:hideMark/>
          </w:tcPr>
          <w:p w14:paraId="17F74EE3" w14:textId="77777777" w:rsidR="00F70EDE" w:rsidRPr="00F70EDE" w:rsidRDefault="00F70EDE" w:rsidP="00F70EDE">
            <w:pPr>
              <w:spacing w:after="0" w:line="240" w:lineRule="auto"/>
              <w:jc w:val="center"/>
              <w:rPr>
                <w:rFonts w:ascii="Century Gothic" w:eastAsia="Times New Roman" w:hAnsi="Century Gothic" w:cs="Times New Roman"/>
                <w:sz w:val="24"/>
                <w:szCs w:val="24"/>
              </w:rPr>
            </w:pPr>
            <w:r w:rsidRPr="00F70EDE">
              <w:rPr>
                <w:rFonts w:ascii="Century Gothic" w:eastAsia="Times New Roman" w:hAnsi="Century Gothic" w:cs="Times New Roman"/>
                <w:color w:val="000000"/>
              </w:rPr>
              <w:t>December, 2012</w:t>
            </w:r>
          </w:p>
        </w:tc>
      </w:tr>
    </w:tbl>
    <w:p w14:paraId="6015BC8B" w14:textId="77777777" w:rsidR="00502783" w:rsidRPr="00502783" w:rsidRDefault="00502783" w:rsidP="00502783">
      <w:pPr>
        <w:pStyle w:val="NoSpacing"/>
        <w:rPr>
          <w:rFonts w:ascii="Century Gothic" w:hAnsi="Century Gothic"/>
        </w:rPr>
      </w:pPr>
    </w:p>
    <w:p w14:paraId="3CEF1D1A" w14:textId="77777777" w:rsidR="00502783" w:rsidRPr="00502783" w:rsidRDefault="00502783" w:rsidP="00502783">
      <w:pPr>
        <w:pStyle w:val="NoSpacing"/>
        <w:rPr>
          <w:rFonts w:ascii="Century Gothic" w:hAnsi="Century Gothic"/>
        </w:rPr>
      </w:pPr>
    </w:p>
    <w:p w14:paraId="3C3C4AE8" w14:textId="77777777" w:rsidR="00502783" w:rsidRPr="00502783" w:rsidRDefault="00502783" w:rsidP="00502783">
      <w:pPr>
        <w:pStyle w:val="NoSpacing"/>
        <w:rPr>
          <w:rFonts w:ascii="Century Gothic" w:hAnsi="Century Gothic"/>
          <w:b/>
        </w:rPr>
      </w:pPr>
      <w:r w:rsidRPr="00502783">
        <w:rPr>
          <w:rFonts w:ascii="Century Gothic" w:hAnsi="Century Gothic"/>
          <w:b/>
        </w:rPr>
        <w:t xml:space="preserve">Land Use/Land Cover Classification – Data Processing </w:t>
      </w:r>
    </w:p>
    <w:p w14:paraId="701285AA" w14:textId="2B9DE389" w:rsidR="00502783" w:rsidRPr="00502783" w:rsidRDefault="00502783" w:rsidP="00502783">
      <w:pPr>
        <w:pStyle w:val="NoSpacing"/>
        <w:rPr>
          <w:rFonts w:ascii="Century Gothic" w:hAnsi="Century Gothic"/>
        </w:rPr>
      </w:pPr>
      <w:r w:rsidRPr="00502783">
        <w:rPr>
          <w:rFonts w:ascii="Century Gothic" w:hAnsi="Century Gothic"/>
        </w:rPr>
        <w:t xml:space="preserve">Preprocessing and projection of the images was unnecessary for this project since Google Earth Engine provides a simplistic platform in which top of the atmosphere (TOA) images are extracted from USGS and automatically projected onto the </w:t>
      </w:r>
      <w:r w:rsidR="00F70EDE" w:rsidRPr="00502783">
        <w:rPr>
          <w:rFonts w:ascii="Century Gothic" w:hAnsi="Century Gothic"/>
        </w:rPr>
        <w:t>base map</w:t>
      </w:r>
      <w:r w:rsidRPr="00502783">
        <w:rPr>
          <w:rFonts w:ascii="Century Gothic" w:hAnsi="Century Gothic"/>
        </w:rPr>
        <w:t>. Images were cropped to the extent of the RapidEye imagery and cell size resampled to 30 meters. Additionally, images were filtered to remove any ‘null’ value pixels.</w:t>
      </w:r>
    </w:p>
    <w:p w14:paraId="119EAD5E" w14:textId="77777777" w:rsidR="00502783" w:rsidRPr="00502783" w:rsidRDefault="00502783" w:rsidP="00502783">
      <w:pPr>
        <w:pStyle w:val="NoSpacing"/>
        <w:rPr>
          <w:rFonts w:ascii="Century Gothic" w:hAnsi="Century Gothic"/>
        </w:rPr>
      </w:pPr>
    </w:p>
    <w:p w14:paraId="0F6DA420" w14:textId="77777777" w:rsidR="00502783" w:rsidRPr="00502783" w:rsidRDefault="00502783" w:rsidP="00502783">
      <w:pPr>
        <w:pStyle w:val="NoSpacing"/>
        <w:rPr>
          <w:rFonts w:ascii="Century Gothic" w:hAnsi="Century Gothic"/>
          <w:b/>
        </w:rPr>
      </w:pPr>
      <w:r w:rsidRPr="00502783">
        <w:rPr>
          <w:rFonts w:ascii="Century Gothic" w:hAnsi="Century Gothic"/>
          <w:b/>
        </w:rPr>
        <w:t>Land Use/Land Cover Classification – Data Analysis</w:t>
      </w:r>
    </w:p>
    <w:p w14:paraId="7C3E2335" w14:textId="127D01CF" w:rsidR="00502783" w:rsidRPr="00502783" w:rsidRDefault="00502783" w:rsidP="00502783">
      <w:pPr>
        <w:pStyle w:val="NoSpacing"/>
        <w:rPr>
          <w:rFonts w:ascii="Century Gothic" w:hAnsi="Century Gothic"/>
        </w:rPr>
      </w:pPr>
      <w:r w:rsidRPr="00502783">
        <w:rPr>
          <w:rFonts w:ascii="Century Gothic" w:hAnsi="Century Gothic"/>
        </w:rPr>
        <w:t>The Google Earth Engine (GEE) platform, u</w:t>
      </w:r>
      <w:r>
        <w:rPr>
          <w:rFonts w:ascii="Century Gothic" w:hAnsi="Century Gothic"/>
        </w:rPr>
        <w:t xml:space="preserve">sing maximum entropy </w:t>
      </w:r>
      <w:r w:rsidRPr="00502783">
        <w:rPr>
          <w:rFonts w:ascii="Century Gothic" w:hAnsi="Century Gothic"/>
        </w:rPr>
        <w:t xml:space="preserve">and random forest classification methods, was utilized to produce land use and land cover (LULC) maps. While GEE is a user-friendly software, some knowledge of JavaScript or Python language is necessary to utilize the platform to its full potential. Provided scripts from GEE’s guide were modified for use to produce the LULC maps. Review and refinement of the vector data created during the fall 2015 term for the water, urban or bare land, forest, crop, and pasture categories was performed and training sites increased from 20 per category to 30 sites per category. GEE could then access the dataset through Google Fusion Table. For the years 2010 and 2016, a total of 30 training sites for each category were drawn using the GEE platform directly. The increase to 30 training sites for each category was chosen in order for the results of each classification to be statistically significant and to improve overall classification accuracy. Classes were identified by referencing a combination of high-resolution imagery and ABES plot classes ground truth data. Various band composites enabled the visual distinction between closely related classes. LULC maps were also </w:t>
      </w:r>
      <w:r w:rsidR="005069A9">
        <w:rPr>
          <w:rFonts w:ascii="Century Gothic" w:hAnsi="Century Gothic"/>
        </w:rPr>
        <w:t>created for the 2016 RapidEye 5</w:t>
      </w:r>
      <w:r w:rsidRPr="00502783">
        <w:rPr>
          <w:rFonts w:ascii="Century Gothic" w:hAnsi="Century Gothic"/>
        </w:rPr>
        <w:t xml:space="preserve">m resolution imagery to use in the accuracy assessment. After the best training sites were drawn, a supervised classification was performed through a modified script for each method. </w:t>
      </w:r>
    </w:p>
    <w:p w14:paraId="76D9A24F" w14:textId="77777777" w:rsidR="00502783" w:rsidRPr="00502783" w:rsidRDefault="00502783" w:rsidP="00502783">
      <w:pPr>
        <w:pStyle w:val="NoSpacing"/>
        <w:rPr>
          <w:rFonts w:ascii="Century Gothic" w:hAnsi="Century Gothic"/>
        </w:rPr>
      </w:pPr>
    </w:p>
    <w:p w14:paraId="1634ACDC" w14:textId="77777777" w:rsidR="00502783" w:rsidRPr="00502783" w:rsidRDefault="00502783" w:rsidP="00502783">
      <w:pPr>
        <w:pStyle w:val="NoSpacing"/>
        <w:rPr>
          <w:rFonts w:ascii="Century Gothic" w:hAnsi="Century Gothic"/>
          <w:b/>
        </w:rPr>
      </w:pPr>
      <w:r w:rsidRPr="00502783">
        <w:rPr>
          <w:rFonts w:ascii="Century Gothic" w:hAnsi="Century Gothic"/>
          <w:b/>
        </w:rPr>
        <w:t>Accuracy Assessment – Percent Similar</w:t>
      </w:r>
    </w:p>
    <w:p w14:paraId="7DD826A5" w14:textId="799AA524" w:rsidR="00502783" w:rsidRPr="00502783" w:rsidRDefault="00502783" w:rsidP="00502783">
      <w:pPr>
        <w:pStyle w:val="NoSpacing"/>
        <w:rPr>
          <w:rFonts w:ascii="Century Gothic" w:hAnsi="Century Gothic"/>
        </w:rPr>
      </w:pPr>
      <w:r w:rsidRPr="00502783">
        <w:rPr>
          <w:rFonts w:ascii="Century Gothic" w:hAnsi="Century Gothic"/>
        </w:rPr>
        <w:t xml:space="preserve">In order to compare the accuracy between the two different classification methods, classes were reclassified into </w:t>
      </w:r>
      <w:r w:rsidR="00F70EDE" w:rsidRPr="00502783">
        <w:rPr>
          <w:rFonts w:ascii="Century Gothic" w:hAnsi="Century Gothic"/>
        </w:rPr>
        <w:t>Boolean</w:t>
      </w:r>
      <w:r w:rsidRPr="00502783">
        <w:rPr>
          <w:rFonts w:ascii="Century Gothic" w:hAnsi="Century Gothic"/>
        </w:rPr>
        <w:t xml:space="preserve"> data types. The reclassification for the </w:t>
      </w:r>
      <w:r w:rsidR="00F70EDE" w:rsidRPr="00502783">
        <w:rPr>
          <w:rFonts w:ascii="Century Gothic" w:hAnsi="Century Gothic"/>
        </w:rPr>
        <w:t>Boolean</w:t>
      </w:r>
      <w:r w:rsidRPr="00502783">
        <w:rPr>
          <w:rFonts w:ascii="Century Gothic" w:hAnsi="Century Gothic"/>
        </w:rPr>
        <w:t xml:space="preserve"> data type was such that “Class” = “1” and “Non-Class” = “0” for both RapidEye and Landsat images. Comparison included the combination of RapidEye 2012 with Landsat 2014 and RapidEye 2016 with Landsat 2016. These images were then added to each other using the Basic Image Calculation to determine the percentage of pixels that </w:t>
      </w:r>
      <w:r w:rsidRPr="00502783">
        <w:rPr>
          <w:rFonts w:ascii="Century Gothic" w:hAnsi="Century Gothic"/>
        </w:rPr>
        <w:lastRenderedPageBreak/>
        <w:t>agree and disagree with the RapidEye images. Pixels with a resulting value of “2” and “0” were in agreement and those with a value of “1” were in disagreement.</w:t>
      </w:r>
    </w:p>
    <w:p w14:paraId="684F8705" w14:textId="77777777" w:rsidR="00502783" w:rsidRPr="00502783" w:rsidRDefault="00502783" w:rsidP="00502783">
      <w:pPr>
        <w:pStyle w:val="NoSpacing"/>
        <w:rPr>
          <w:rFonts w:ascii="Century Gothic" w:hAnsi="Century Gothic"/>
        </w:rPr>
      </w:pPr>
    </w:p>
    <w:p w14:paraId="4DFBA70D" w14:textId="77777777" w:rsidR="00502783" w:rsidRPr="00502783" w:rsidRDefault="00502783" w:rsidP="00502783">
      <w:pPr>
        <w:pStyle w:val="NoSpacing"/>
        <w:rPr>
          <w:rFonts w:ascii="Century Gothic" w:hAnsi="Century Gothic"/>
        </w:rPr>
      </w:pPr>
      <w:r w:rsidRPr="00502783">
        <w:rPr>
          <w:rFonts w:ascii="Century Gothic" w:hAnsi="Century Gothic"/>
        </w:rPr>
        <w:t xml:space="preserve">Percent similar statistics were then extrapolated from pixels with values of “0” and “2”. These pixels were then added and divided by the total number of image pixels using (GEE code). </w:t>
      </w:r>
    </w:p>
    <w:p w14:paraId="4A448E90" w14:textId="77777777" w:rsidR="00502783" w:rsidRPr="00502783" w:rsidRDefault="00502783" w:rsidP="00502783">
      <w:pPr>
        <w:pStyle w:val="NoSpacing"/>
        <w:rPr>
          <w:rFonts w:ascii="Century Gothic" w:hAnsi="Century Gothic"/>
        </w:rPr>
      </w:pPr>
    </w:p>
    <w:p w14:paraId="431E1948" w14:textId="77777777" w:rsidR="00502783" w:rsidRPr="00502783" w:rsidRDefault="00502783" w:rsidP="00502783">
      <w:pPr>
        <w:pStyle w:val="NoSpacing"/>
        <w:rPr>
          <w:rFonts w:ascii="Century Gothic" w:hAnsi="Century Gothic"/>
          <w:b/>
        </w:rPr>
      </w:pPr>
      <w:r w:rsidRPr="00502783">
        <w:rPr>
          <w:rFonts w:ascii="Century Gothic" w:hAnsi="Century Gothic"/>
          <w:b/>
        </w:rPr>
        <w:t>Accuracy Assessment – Percent Accurate</w:t>
      </w:r>
    </w:p>
    <w:p w14:paraId="74BCB95E" w14:textId="55843DEF" w:rsidR="00502783" w:rsidRPr="00502783" w:rsidRDefault="00502783" w:rsidP="00502783">
      <w:pPr>
        <w:pStyle w:val="NoSpacing"/>
        <w:rPr>
          <w:rFonts w:ascii="Century Gothic" w:hAnsi="Century Gothic"/>
        </w:rPr>
      </w:pPr>
      <w:r w:rsidRPr="00502783">
        <w:rPr>
          <w:rFonts w:ascii="Century Gothic" w:hAnsi="Century Gothic"/>
        </w:rPr>
        <w:t xml:space="preserve">Confusion matrices and kappa coefficients were created easily through GEE by incorporating the appropriate scripts to compare the accuracy of the training sites.  Results of the overall accuracy, confusion matrix tables, and kappa coefficients were extracted from the console within GEE. </w:t>
      </w:r>
    </w:p>
    <w:p w14:paraId="07203FAA" w14:textId="77777777" w:rsidR="00502783" w:rsidRPr="00502783" w:rsidRDefault="00502783" w:rsidP="00502783">
      <w:pPr>
        <w:pStyle w:val="NoSpacing"/>
        <w:rPr>
          <w:rFonts w:ascii="Century Gothic" w:hAnsi="Century Gothic"/>
        </w:rPr>
      </w:pPr>
    </w:p>
    <w:p w14:paraId="4D826B19" w14:textId="252FE455" w:rsidR="00242822" w:rsidRPr="00502783" w:rsidRDefault="00502783" w:rsidP="00502783">
      <w:pPr>
        <w:pStyle w:val="NoSpacing"/>
        <w:rPr>
          <w:rFonts w:ascii="Century Gothic" w:hAnsi="Century Gothic"/>
          <w:b/>
        </w:rPr>
      </w:pPr>
      <w:r w:rsidRPr="00502783">
        <w:rPr>
          <w:rFonts w:ascii="Century Gothic" w:hAnsi="Century Gothic"/>
          <w:b/>
        </w:rPr>
        <w:t>Land Use Time-lapse</w:t>
      </w:r>
    </w:p>
    <w:p w14:paraId="1F53876F" w14:textId="77777777" w:rsidR="00E41324" w:rsidRPr="00B265D9" w:rsidRDefault="008B7071" w:rsidP="00D3013B">
      <w:pPr>
        <w:pStyle w:val="Heading1"/>
        <w:rPr>
          <w:rFonts w:ascii="Century Gothic" w:hAnsi="Century Gothic"/>
        </w:rPr>
      </w:pPr>
      <w:bookmarkStart w:id="2" w:name="_Toc334198730"/>
      <w:r>
        <w:rPr>
          <w:rFonts w:ascii="Century Gothic" w:hAnsi="Century Gothic"/>
        </w:rPr>
        <w:t xml:space="preserve">IV. </w:t>
      </w:r>
      <w:r w:rsidR="00E41324" w:rsidRPr="00B265D9">
        <w:rPr>
          <w:rFonts w:ascii="Century Gothic" w:hAnsi="Century Gothic"/>
        </w:rPr>
        <w:t>Results</w:t>
      </w:r>
      <w:bookmarkEnd w:id="2"/>
      <w:r w:rsidR="001F1328">
        <w:rPr>
          <w:rFonts w:ascii="Century Gothic" w:hAnsi="Century Gothic"/>
        </w:rPr>
        <w:t xml:space="preserve"> &amp; Discussion</w:t>
      </w:r>
    </w:p>
    <w:p w14:paraId="627F6FA2" w14:textId="77777777" w:rsidR="009A20ED" w:rsidRDefault="00E41324" w:rsidP="008975BD">
      <w:pPr>
        <w:spacing w:after="0" w:line="240" w:lineRule="auto"/>
        <w:rPr>
          <w:rFonts w:ascii="Century Gothic" w:hAnsi="Century Gothic"/>
          <w:szCs w:val="24"/>
        </w:rPr>
      </w:pPr>
      <w:r w:rsidRPr="00494746">
        <w:rPr>
          <w:rFonts w:ascii="Century Gothic" w:hAnsi="Century Gothic"/>
          <w:szCs w:val="24"/>
        </w:rPr>
        <w:t xml:space="preserve">Insert </w:t>
      </w:r>
      <w:r w:rsidR="00242822" w:rsidRPr="00494746">
        <w:rPr>
          <w:rFonts w:ascii="Century Gothic" w:hAnsi="Century Gothic"/>
          <w:szCs w:val="24"/>
        </w:rPr>
        <w:t>images, graphs, maps, charts, etc. here</w:t>
      </w:r>
      <w:r w:rsidR="001F1328">
        <w:rPr>
          <w:rFonts w:ascii="Century Gothic" w:hAnsi="Century Gothic"/>
          <w:szCs w:val="24"/>
        </w:rPr>
        <w:t>. Choose the most important results to highlight here.</w:t>
      </w:r>
      <w:r w:rsidR="0014039E">
        <w:rPr>
          <w:rFonts w:ascii="Century Gothic" w:hAnsi="Century Gothic"/>
          <w:szCs w:val="24"/>
        </w:rPr>
        <w:t xml:space="preserve"> No word cap, but </w:t>
      </w:r>
      <w:r w:rsidR="0014039E" w:rsidRPr="0014039E">
        <w:rPr>
          <w:rFonts w:ascii="Century Gothic" w:hAnsi="Century Gothic"/>
          <w:szCs w:val="24"/>
          <w:highlight w:val="yellow"/>
        </w:rPr>
        <w:t>two to six pages</w:t>
      </w:r>
      <w:r w:rsidR="0014039E">
        <w:rPr>
          <w:rFonts w:ascii="Century Gothic" w:hAnsi="Century Gothic"/>
          <w:szCs w:val="24"/>
        </w:rPr>
        <w:t xml:space="preserve"> is a good range.</w:t>
      </w:r>
      <w:r w:rsidR="001F1328">
        <w:rPr>
          <w:rFonts w:ascii="Century Gothic" w:hAnsi="Century Gothic"/>
          <w:szCs w:val="24"/>
        </w:rPr>
        <w:t xml:space="preserve"> </w:t>
      </w:r>
    </w:p>
    <w:p w14:paraId="4DEA908A" w14:textId="77777777" w:rsidR="009A20ED" w:rsidRDefault="009A20ED" w:rsidP="008975BD">
      <w:pPr>
        <w:spacing w:after="0" w:line="240" w:lineRule="auto"/>
        <w:rPr>
          <w:rFonts w:ascii="Century Gothic" w:hAnsi="Century Gothic"/>
          <w:szCs w:val="24"/>
        </w:rPr>
      </w:pPr>
    </w:p>
    <w:p w14:paraId="3AB7CD2F" w14:textId="77777777" w:rsidR="00E41324" w:rsidRPr="00494746" w:rsidRDefault="001F1328" w:rsidP="008975BD">
      <w:pPr>
        <w:spacing w:after="0" w:line="240" w:lineRule="auto"/>
        <w:rPr>
          <w:rFonts w:ascii="Century Gothic" w:hAnsi="Century Gothic"/>
          <w:szCs w:val="24"/>
        </w:rPr>
      </w:pPr>
      <w:r>
        <w:rPr>
          <w:rFonts w:ascii="Century Gothic" w:hAnsi="Century Gothic"/>
          <w:szCs w:val="24"/>
        </w:rPr>
        <w:t>Things to discuss:</w:t>
      </w:r>
    </w:p>
    <w:p w14:paraId="38474FC1" w14:textId="77777777" w:rsidR="00242822" w:rsidRPr="001F1328" w:rsidRDefault="00E41324" w:rsidP="001F1328">
      <w:pPr>
        <w:pStyle w:val="NoSpacing"/>
        <w:numPr>
          <w:ilvl w:val="0"/>
          <w:numId w:val="4"/>
        </w:numPr>
        <w:rPr>
          <w:rFonts w:ascii="Century Gothic" w:hAnsi="Century Gothic"/>
          <w:b/>
          <w:bCs/>
          <w:szCs w:val="24"/>
        </w:rPr>
      </w:pPr>
      <w:bookmarkStart w:id="3" w:name="_Toc334198732"/>
      <w:r w:rsidRPr="001F1328">
        <w:rPr>
          <w:rFonts w:ascii="Century Gothic" w:hAnsi="Century Gothic"/>
          <w:szCs w:val="24"/>
        </w:rPr>
        <w:t>Analysis of Results</w:t>
      </w:r>
      <w:bookmarkEnd w:id="3"/>
      <w:r w:rsidR="001F1328">
        <w:rPr>
          <w:rFonts w:ascii="Century Gothic" w:hAnsi="Century Gothic"/>
          <w:szCs w:val="24"/>
        </w:rPr>
        <w:t xml:space="preserve">: </w:t>
      </w:r>
      <w:r w:rsidR="00242822" w:rsidRPr="001F1328">
        <w:rPr>
          <w:rFonts w:ascii="Century Gothic" w:hAnsi="Century Gothic"/>
          <w:szCs w:val="24"/>
        </w:rPr>
        <w:t>What can you tell from your graphs, images, etc? What does this mean for your project?</w:t>
      </w:r>
    </w:p>
    <w:p w14:paraId="22CB6420" w14:textId="288ED3A2" w:rsidR="00242822" w:rsidRPr="001F1328" w:rsidRDefault="00E41324" w:rsidP="001F1328">
      <w:pPr>
        <w:pStyle w:val="NoSpacing"/>
        <w:numPr>
          <w:ilvl w:val="0"/>
          <w:numId w:val="4"/>
        </w:numPr>
        <w:rPr>
          <w:rFonts w:ascii="Century Gothic" w:eastAsia="Times New Roman" w:hAnsi="Century Gothic" w:cs="Arial"/>
          <w:bCs/>
          <w:szCs w:val="24"/>
        </w:rPr>
      </w:pPr>
      <w:bookmarkStart w:id="4" w:name="_Toc334198733"/>
      <w:r w:rsidRPr="001F1328">
        <w:rPr>
          <w:rFonts w:ascii="Century Gothic" w:hAnsi="Century Gothic"/>
          <w:szCs w:val="24"/>
        </w:rPr>
        <w:t>Errors &amp; Uncertainty</w:t>
      </w:r>
      <w:bookmarkEnd w:id="4"/>
      <w:r w:rsidR="001F1328">
        <w:rPr>
          <w:rFonts w:ascii="Century Gothic" w:hAnsi="Century Gothic"/>
          <w:szCs w:val="24"/>
        </w:rPr>
        <w:t xml:space="preserve">: </w:t>
      </w:r>
      <w:r w:rsidR="00242822" w:rsidRPr="001F1328">
        <w:rPr>
          <w:rFonts w:ascii="Century Gothic" w:eastAsia="Times New Roman" w:hAnsi="Century Gothic" w:cs="Arial"/>
          <w:bCs/>
          <w:szCs w:val="24"/>
        </w:rPr>
        <w:t>What factors could you not account for, what things didn’t work out like you expected they would, etc</w:t>
      </w:r>
      <w:r w:rsidR="00163111">
        <w:rPr>
          <w:rFonts w:ascii="Century Gothic" w:eastAsia="Times New Roman" w:hAnsi="Century Gothic" w:cs="Arial"/>
          <w:bCs/>
          <w:szCs w:val="24"/>
        </w:rPr>
        <w:t>.</w:t>
      </w:r>
    </w:p>
    <w:p w14:paraId="6FCCDE43" w14:textId="77777777" w:rsidR="001F1328" w:rsidRDefault="00E41324" w:rsidP="001F1328">
      <w:pPr>
        <w:pStyle w:val="NoSpacing"/>
        <w:numPr>
          <w:ilvl w:val="0"/>
          <w:numId w:val="4"/>
        </w:numPr>
        <w:rPr>
          <w:szCs w:val="24"/>
        </w:rPr>
      </w:pPr>
      <w:bookmarkStart w:id="5" w:name="_Toc334198734"/>
      <w:r w:rsidRPr="001F1328">
        <w:rPr>
          <w:rFonts w:ascii="Century Gothic" w:hAnsi="Century Gothic"/>
          <w:szCs w:val="24"/>
        </w:rPr>
        <w:t>Future Work</w:t>
      </w:r>
      <w:bookmarkEnd w:id="5"/>
      <w:r w:rsidR="001F1328">
        <w:rPr>
          <w:rFonts w:ascii="Century Gothic" w:hAnsi="Century Gothic"/>
          <w:szCs w:val="24"/>
        </w:rPr>
        <w:t xml:space="preserve">: </w:t>
      </w:r>
      <w:r w:rsidR="00242822" w:rsidRPr="001F1328">
        <w:rPr>
          <w:rFonts w:ascii="Century Gothic" w:hAnsi="Century Gothic"/>
          <w:szCs w:val="24"/>
        </w:rPr>
        <w:t>If this project was to be selected for another term, what would be the focus? What other areas would be of interest</w:t>
      </w:r>
      <w:r w:rsidR="00242822" w:rsidRPr="00494746">
        <w:rPr>
          <w:szCs w:val="24"/>
        </w:rPr>
        <w:t>?</w:t>
      </w:r>
    </w:p>
    <w:p w14:paraId="2177AADA" w14:textId="77777777" w:rsidR="00E41324" w:rsidRPr="00B265D9" w:rsidRDefault="008B7071" w:rsidP="00D3013B">
      <w:pPr>
        <w:pStyle w:val="Heading1"/>
        <w:rPr>
          <w:rFonts w:ascii="Century Gothic" w:hAnsi="Century Gothic"/>
        </w:rPr>
      </w:pPr>
      <w:bookmarkStart w:id="6" w:name="_Toc334198735"/>
      <w:r>
        <w:rPr>
          <w:rFonts w:ascii="Century Gothic" w:hAnsi="Century Gothic"/>
        </w:rPr>
        <w:t xml:space="preserve">V. </w:t>
      </w:r>
      <w:r w:rsidR="00E41324" w:rsidRPr="00B265D9">
        <w:rPr>
          <w:rFonts w:ascii="Century Gothic" w:hAnsi="Century Gothic"/>
        </w:rPr>
        <w:t>Conclusions</w:t>
      </w:r>
      <w:bookmarkEnd w:id="6"/>
    </w:p>
    <w:p w14:paraId="06E22013" w14:textId="77777777" w:rsidR="00E41324" w:rsidRPr="00494746" w:rsidRDefault="00242822" w:rsidP="008975BD">
      <w:pPr>
        <w:spacing w:after="0" w:line="240" w:lineRule="auto"/>
        <w:rPr>
          <w:rFonts w:ascii="Century Gothic" w:hAnsi="Century Gothic"/>
          <w:szCs w:val="24"/>
        </w:rPr>
      </w:pPr>
      <w:r w:rsidRPr="00494746">
        <w:rPr>
          <w:rFonts w:ascii="Century Gothic" w:hAnsi="Century Gothic"/>
          <w:szCs w:val="24"/>
        </w:rPr>
        <w:t>Final conclusions</w:t>
      </w:r>
      <w:r w:rsidR="00E6105B">
        <w:rPr>
          <w:rFonts w:ascii="Century Gothic" w:hAnsi="Century Gothic"/>
          <w:szCs w:val="24"/>
        </w:rPr>
        <w:t xml:space="preserve">. Word count: </w:t>
      </w:r>
      <w:r w:rsidR="00E6105B" w:rsidRPr="0014039E">
        <w:rPr>
          <w:rFonts w:ascii="Century Gothic" w:hAnsi="Century Gothic"/>
          <w:szCs w:val="24"/>
          <w:highlight w:val="yellow"/>
        </w:rPr>
        <w:t>2</w:t>
      </w:r>
      <w:r w:rsidR="0015019B" w:rsidRPr="0014039E">
        <w:rPr>
          <w:rFonts w:ascii="Century Gothic" w:hAnsi="Century Gothic"/>
          <w:szCs w:val="24"/>
          <w:highlight w:val="yellow"/>
        </w:rPr>
        <w:t>00-600</w:t>
      </w:r>
      <w:r w:rsidR="009A20ED">
        <w:rPr>
          <w:rFonts w:ascii="Century Gothic" w:hAnsi="Century Gothic"/>
          <w:szCs w:val="24"/>
        </w:rPr>
        <w:t xml:space="preserve"> (~a page)</w:t>
      </w:r>
      <w:r w:rsidR="0015019B">
        <w:rPr>
          <w:rFonts w:ascii="Century Gothic" w:hAnsi="Century Gothic"/>
          <w:szCs w:val="24"/>
        </w:rPr>
        <w:t>.</w:t>
      </w:r>
    </w:p>
    <w:p w14:paraId="2BF53931" w14:textId="77777777" w:rsidR="00E41324" w:rsidRPr="00B265D9" w:rsidRDefault="008B7071" w:rsidP="00D3013B">
      <w:pPr>
        <w:pStyle w:val="Heading1"/>
        <w:rPr>
          <w:rFonts w:ascii="Century Gothic" w:hAnsi="Century Gothic"/>
        </w:rPr>
      </w:pPr>
      <w:bookmarkStart w:id="7" w:name="_Toc334198736"/>
      <w:r>
        <w:rPr>
          <w:rFonts w:ascii="Century Gothic" w:hAnsi="Century Gothic"/>
        </w:rPr>
        <w:t xml:space="preserve">VI. </w:t>
      </w:r>
      <w:r w:rsidR="00E41324" w:rsidRPr="00B265D9">
        <w:rPr>
          <w:rFonts w:ascii="Century Gothic" w:hAnsi="Century Gothic"/>
        </w:rPr>
        <w:t>Acknowledgments</w:t>
      </w:r>
      <w:bookmarkEnd w:id="7"/>
    </w:p>
    <w:p w14:paraId="799FE0CB" w14:textId="77777777" w:rsidR="0015019B" w:rsidRDefault="00E41324" w:rsidP="008975BD">
      <w:pPr>
        <w:spacing w:after="0" w:line="240" w:lineRule="auto"/>
        <w:rPr>
          <w:rFonts w:ascii="Century Gothic" w:hAnsi="Century Gothic"/>
          <w:szCs w:val="24"/>
        </w:rPr>
      </w:pPr>
      <w:r w:rsidRPr="00494746">
        <w:rPr>
          <w:rFonts w:ascii="Century Gothic" w:hAnsi="Century Gothic"/>
          <w:szCs w:val="24"/>
        </w:rPr>
        <w:t>Insert here</w:t>
      </w:r>
      <w:r w:rsidR="00FC670A">
        <w:rPr>
          <w:rFonts w:ascii="Century Gothic" w:hAnsi="Century Gothic"/>
          <w:szCs w:val="24"/>
        </w:rPr>
        <w:t xml:space="preserve">. Keep to a </w:t>
      </w:r>
      <w:r w:rsidR="00FC670A" w:rsidRPr="0014039E">
        <w:rPr>
          <w:rFonts w:ascii="Century Gothic" w:hAnsi="Century Gothic"/>
          <w:szCs w:val="24"/>
          <w:highlight w:val="yellow"/>
        </w:rPr>
        <w:t>concise paragraph</w:t>
      </w:r>
      <w:r w:rsidR="00FC670A">
        <w:rPr>
          <w:rFonts w:ascii="Century Gothic" w:hAnsi="Century Gothic"/>
          <w:szCs w:val="24"/>
        </w:rPr>
        <w:t xml:space="preserve"> or bullets of names</w:t>
      </w:r>
      <w:r w:rsidR="00855532">
        <w:rPr>
          <w:rFonts w:ascii="Century Gothic" w:hAnsi="Century Gothic"/>
          <w:szCs w:val="24"/>
        </w:rPr>
        <w:t>. End with the following sentence.</w:t>
      </w:r>
    </w:p>
    <w:p w14:paraId="057FBD57" w14:textId="77777777" w:rsidR="00FC670A" w:rsidRDefault="00FC670A" w:rsidP="008975BD">
      <w:pPr>
        <w:spacing w:after="0" w:line="240" w:lineRule="auto"/>
        <w:rPr>
          <w:rFonts w:ascii="Century Gothic" w:hAnsi="Century Gothic"/>
          <w:szCs w:val="24"/>
        </w:rPr>
      </w:pPr>
    </w:p>
    <w:p w14:paraId="108F742C" w14:textId="77777777" w:rsidR="00FC670A" w:rsidRDefault="00FC670A" w:rsidP="008975BD">
      <w:pPr>
        <w:spacing w:after="0" w:line="240" w:lineRule="auto"/>
        <w:rPr>
          <w:rFonts w:ascii="Century Gothic" w:hAnsi="Century Gothic"/>
          <w:szCs w:val="24"/>
        </w:rPr>
      </w:pPr>
      <w:r w:rsidRPr="00FC670A">
        <w:rPr>
          <w:rFonts w:ascii="Century Gothic" w:hAnsi="Century Gothic"/>
          <w:szCs w:val="24"/>
        </w:rPr>
        <w:t xml:space="preserve">This material 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59B24B3D" w14:textId="661665A1" w:rsidR="004D65D0" w:rsidRPr="0010405E" w:rsidRDefault="008B7071" w:rsidP="0010405E">
      <w:pPr>
        <w:pStyle w:val="Heading1"/>
        <w:rPr>
          <w:rFonts w:ascii="Century Gothic" w:hAnsi="Century Gothic"/>
        </w:rPr>
      </w:pPr>
      <w:bookmarkStart w:id="8" w:name="_Toc334198737"/>
      <w:r>
        <w:rPr>
          <w:rFonts w:ascii="Century Gothic" w:hAnsi="Century Gothic"/>
        </w:rPr>
        <w:t xml:space="preserve">VII. </w:t>
      </w:r>
      <w:r w:rsidR="00E41324" w:rsidRPr="00B265D9">
        <w:rPr>
          <w:rFonts w:ascii="Century Gothic" w:hAnsi="Century Gothic"/>
        </w:rPr>
        <w:t>References</w:t>
      </w:r>
      <w:bookmarkEnd w:id="8"/>
    </w:p>
    <w:p w14:paraId="483A9982" w14:textId="77777777" w:rsidR="0010405E" w:rsidRDefault="0010405E" w:rsidP="0010405E">
      <w:pPr>
        <w:spacing w:after="0" w:line="240" w:lineRule="auto"/>
        <w:ind w:left="720" w:hanging="720"/>
        <w:rPr>
          <w:rFonts w:ascii="Century Gothic" w:hAnsi="Century Gothic"/>
          <w:szCs w:val="24"/>
        </w:rPr>
      </w:pPr>
      <w:r w:rsidRPr="004D65D0">
        <w:rPr>
          <w:rFonts w:ascii="Century Gothic" w:hAnsi="Century Gothic"/>
          <w:szCs w:val="24"/>
        </w:rPr>
        <w:t>Balkan, Neşecan. "Analysis of the "Economic Change, Poverty, and the Environment Project” In La Montanona, Chalatenango, El Salvador." Web.</w:t>
      </w:r>
    </w:p>
    <w:p w14:paraId="6E4CE315" w14:textId="77777777" w:rsidR="0010405E" w:rsidRPr="004D65D0" w:rsidRDefault="0010405E" w:rsidP="0010405E">
      <w:pPr>
        <w:spacing w:after="0" w:line="240" w:lineRule="auto"/>
        <w:ind w:left="720" w:hanging="720"/>
        <w:rPr>
          <w:rFonts w:ascii="Century Gothic" w:hAnsi="Century Gothic"/>
          <w:szCs w:val="24"/>
        </w:rPr>
      </w:pPr>
      <w:r w:rsidRPr="004D65D0">
        <w:rPr>
          <w:rFonts w:ascii="Century Gothic" w:hAnsi="Century Gothic"/>
          <w:szCs w:val="24"/>
        </w:rPr>
        <w:t xml:space="preserve">Daniel J. Redo, H. Ricardo Grau, T. Mitchell Aide, and Matthew L. Clark. Asymmetric forest transition driven by the interaction of socioeconomic development and </w:t>
      </w:r>
      <w:r w:rsidRPr="004D65D0">
        <w:rPr>
          <w:rFonts w:ascii="Century Gothic" w:hAnsi="Century Gothic"/>
          <w:szCs w:val="24"/>
        </w:rPr>
        <w:lastRenderedPageBreak/>
        <w:t>environmental heterogeneity in Central America in: Proc Natl Acad Sci U S A. Jun 5, 2012; 109(23): 8839–8844.</w:t>
      </w:r>
    </w:p>
    <w:p w14:paraId="49F75557" w14:textId="77777777" w:rsidR="0010405E" w:rsidRPr="004D65D0" w:rsidRDefault="0010405E" w:rsidP="0010405E">
      <w:pPr>
        <w:spacing w:after="0" w:line="240" w:lineRule="auto"/>
        <w:ind w:left="720" w:hanging="720"/>
        <w:rPr>
          <w:rFonts w:ascii="Century Gothic" w:hAnsi="Century Gothic"/>
          <w:szCs w:val="24"/>
        </w:rPr>
      </w:pPr>
      <w:r w:rsidRPr="004D65D0">
        <w:rPr>
          <w:rFonts w:ascii="Century Gothic" w:hAnsi="Century Gothic"/>
          <w:szCs w:val="24"/>
        </w:rPr>
        <w:t>Finch, Deborah M. Population Ecology, Habitat Requirements, and Conservation of N Eotropical Migratory Birds. Rep. Fort Collins, CO: United States Departme</w:t>
      </w:r>
      <w:r>
        <w:rPr>
          <w:rFonts w:ascii="Century Gothic" w:hAnsi="Century Gothic"/>
          <w:szCs w:val="24"/>
        </w:rPr>
        <w:t>nt of Agriculture, 1991. Print.</w:t>
      </w:r>
    </w:p>
    <w:p w14:paraId="0A851CF5" w14:textId="77777777" w:rsidR="0010405E" w:rsidRPr="004D65D0" w:rsidRDefault="0010405E" w:rsidP="0010405E">
      <w:pPr>
        <w:spacing w:after="0" w:line="240" w:lineRule="auto"/>
        <w:ind w:left="720" w:hanging="720"/>
        <w:rPr>
          <w:rFonts w:ascii="Century Gothic" w:hAnsi="Century Gothic"/>
          <w:szCs w:val="24"/>
        </w:rPr>
      </w:pPr>
      <w:r w:rsidRPr="005069A9">
        <w:rPr>
          <w:rFonts w:ascii="Century Gothic" w:hAnsi="Century Gothic"/>
          <w:szCs w:val="24"/>
          <w:lang w:val="es-ES"/>
        </w:rPr>
        <w:t xml:space="preserve">Foley, E., &amp; Hapipi, R. (2005). El Salvador. </w:t>
      </w:r>
      <w:r w:rsidRPr="004D65D0">
        <w:rPr>
          <w:rFonts w:ascii="Century Gothic" w:hAnsi="Century Gothic"/>
          <w:szCs w:val="24"/>
        </w:rPr>
        <w:t>New York: Marshall Cavendish Benchmark.</w:t>
      </w:r>
    </w:p>
    <w:p w14:paraId="5F6DB940" w14:textId="77777777" w:rsidR="0010405E" w:rsidRPr="004D65D0" w:rsidRDefault="0010405E" w:rsidP="0010405E">
      <w:pPr>
        <w:spacing w:after="0" w:line="240" w:lineRule="auto"/>
        <w:ind w:left="720" w:hanging="720"/>
        <w:rPr>
          <w:rFonts w:ascii="Century Gothic" w:hAnsi="Century Gothic"/>
          <w:szCs w:val="24"/>
        </w:rPr>
      </w:pPr>
      <w:r w:rsidRPr="004D65D0">
        <w:rPr>
          <w:rFonts w:ascii="Century Gothic" w:hAnsi="Century Gothic"/>
          <w:szCs w:val="24"/>
        </w:rPr>
        <w:t>Gammage, Sarah. "El Salvador: Despite End to Civil War, Emigration Continues." Migrationpolic</w:t>
      </w:r>
      <w:r>
        <w:rPr>
          <w:rFonts w:ascii="Century Gothic" w:hAnsi="Century Gothic"/>
          <w:szCs w:val="24"/>
        </w:rPr>
        <w:t>y.org. 2007. Web. 11 Feb. 2016.</w:t>
      </w:r>
    </w:p>
    <w:p w14:paraId="76AA521D" w14:textId="77777777" w:rsidR="004D65D0" w:rsidRDefault="004D65D0" w:rsidP="0010405E">
      <w:pPr>
        <w:spacing w:after="0" w:line="240" w:lineRule="auto"/>
        <w:ind w:left="720" w:hanging="720"/>
        <w:rPr>
          <w:rFonts w:ascii="Century Gothic" w:hAnsi="Century Gothic"/>
          <w:szCs w:val="24"/>
        </w:rPr>
      </w:pPr>
      <w:r w:rsidRPr="004D65D0">
        <w:rPr>
          <w:rFonts w:ascii="Century Gothic" w:hAnsi="Century Gothic"/>
          <w:szCs w:val="24"/>
        </w:rPr>
        <w:t>Hecht, S. B., &amp; Saatchi, S. S. (2007). Globalization and Forest Resurgence: Changes in Forest Cover in El Salvador. BioScience, 57(8), 665. Retrieved February 4, 2016.</w:t>
      </w:r>
    </w:p>
    <w:p w14:paraId="399464A8" w14:textId="4F21CD4F" w:rsidR="00AE0456" w:rsidRPr="004D65D0" w:rsidRDefault="00AE0456" w:rsidP="00AE0456">
      <w:pPr>
        <w:spacing w:after="0" w:line="240" w:lineRule="auto"/>
        <w:ind w:left="720" w:hanging="720"/>
        <w:rPr>
          <w:rFonts w:ascii="Century Gothic" w:hAnsi="Century Gothic"/>
          <w:szCs w:val="24"/>
        </w:rPr>
      </w:pPr>
      <w:r w:rsidRPr="00AE0456">
        <w:rPr>
          <w:rFonts w:ascii="Century Gothic" w:hAnsi="Century Gothic"/>
          <w:szCs w:val="24"/>
        </w:rPr>
        <w:t>Houghton R.A., D.L. Skole, and D.S. Lefkowitz. 1991. Changes in</w:t>
      </w:r>
      <w:r>
        <w:rPr>
          <w:rFonts w:ascii="Century Gothic" w:hAnsi="Century Gothic"/>
          <w:szCs w:val="24"/>
        </w:rPr>
        <w:t xml:space="preserve"> the landscape of Latin America </w:t>
      </w:r>
      <w:r w:rsidRPr="00AE0456">
        <w:rPr>
          <w:rFonts w:ascii="Century Gothic" w:hAnsi="Century Gothic"/>
          <w:szCs w:val="24"/>
        </w:rPr>
        <w:t>between 1850 and 1985: II a net release of CO2 into the</w:t>
      </w:r>
      <w:r>
        <w:rPr>
          <w:rFonts w:ascii="Century Gothic" w:hAnsi="Century Gothic"/>
          <w:szCs w:val="24"/>
        </w:rPr>
        <w:t xml:space="preserve"> atmosphere. Journal of Forest </w:t>
      </w:r>
      <w:r w:rsidRPr="00AE0456">
        <w:rPr>
          <w:rFonts w:ascii="Century Gothic" w:hAnsi="Century Gothic"/>
          <w:szCs w:val="24"/>
        </w:rPr>
        <w:t>Ecology and Management, 38:133-199.</w:t>
      </w:r>
    </w:p>
    <w:p w14:paraId="46934C18" w14:textId="77777777" w:rsidR="0010405E" w:rsidRPr="004D65D0" w:rsidRDefault="0010405E" w:rsidP="0010405E">
      <w:pPr>
        <w:spacing w:after="0" w:line="240" w:lineRule="auto"/>
        <w:ind w:left="720" w:hanging="720"/>
        <w:rPr>
          <w:rFonts w:ascii="Century Gothic" w:hAnsi="Century Gothic"/>
          <w:szCs w:val="24"/>
        </w:rPr>
      </w:pPr>
      <w:r w:rsidRPr="004D65D0">
        <w:rPr>
          <w:rFonts w:ascii="Century Gothic" w:hAnsi="Century Gothic"/>
          <w:szCs w:val="24"/>
        </w:rPr>
        <w:t>Khatun, Kaysara. "Reconciling Timber Provision with Carbon Sequestration Opportunities in the Tropical Forests of Central America." Environmental Science &amp; Pol</w:t>
      </w:r>
      <w:r>
        <w:rPr>
          <w:rFonts w:ascii="Century Gothic" w:hAnsi="Century Gothic"/>
          <w:szCs w:val="24"/>
        </w:rPr>
        <w:t>icy 14.8 (2011): 1091-102. Web.</w:t>
      </w:r>
    </w:p>
    <w:p w14:paraId="2327BBB2" w14:textId="77777777" w:rsidR="0010405E" w:rsidRPr="004D65D0" w:rsidRDefault="0010405E" w:rsidP="0010405E">
      <w:pPr>
        <w:spacing w:after="0" w:line="240" w:lineRule="auto"/>
        <w:ind w:left="720" w:hanging="720"/>
        <w:rPr>
          <w:rFonts w:ascii="Century Gothic" w:hAnsi="Century Gothic"/>
          <w:szCs w:val="24"/>
        </w:rPr>
      </w:pPr>
      <w:r w:rsidRPr="004D65D0">
        <w:rPr>
          <w:rFonts w:ascii="Century Gothic" w:hAnsi="Century Gothic"/>
          <w:szCs w:val="24"/>
        </w:rPr>
        <w:t>Rainforest Alliance. Bosque El Imposible, El Salvador. Retrieved February 10, 2016, from http://www.rainforest-alliance</w:t>
      </w:r>
      <w:r>
        <w:rPr>
          <w:rFonts w:ascii="Century Gothic" w:hAnsi="Century Gothic"/>
          <w:szCs w:val="24"/>
        </w:rPr>
        <w:t>.org/adopt/projects/el-salvador</w:t>
      </w:r>
    </w:p>
    <w:p w14:paraId="7F1D24C2" w14:textId="77777777" w:rsidR="004D65D0" w:rsidRPr="004D65D0" w:rsidRDefault="004D65D0" w:rsidP="0010405E">
      <w:pPr>
        <w:spacing w:after="0" w:line="240" w:lineRule="auto"/>
        <w:ind w:left="720" w:hanging="720"/>
        <w:rPr>
          <w:rFonts w:ascii="Century Gothic" w:hAnsi="Century Gothic"/>
          <w:szCs w:val="24"/>
        </w:rPr>
      </w:pPr>
      <w:r w:rsidRPr="004D65D0">
        <w:rPr>
          <w:rFonts w:ascii="Century Gothic" w:hAnsi="Century Gothic"/>
          <w:szCs w:val="24"/>
        </w:rPr>
        <w:t xml:space="preserve">Reich, Peter B. (2011). Biogeochemistry: Taking stock of forest carbon. Nature Climate Change, 1, (346-347). Retrieved February 4, 2016.  </w:t>
      </w:r>
    </w:p>
    <w:p w14:paraId="18BDE77F" w14:textId="77777777" w:rsidR="0010405E" w:rsidRDefault="0010405E" w:rsidP="0010405E">
      <w:pPr>
        <w:spacing w:after="0" w:line="240" w:lineRule="auto"/>
        <w:ind w:left="720" w:hanging="720"/>
        <w:rPr>
          <w:rFonts w:ascii="Century Gothic" w:hAnsi="Century Gothic"/>
          <w:szCs w:val="24"/>
        </w:rPr>
      </w:pPr>
      <w:r w:rsidRPr="004D65D0">
        <w:rPr>
          <w:rFonts w:ascii="Century Gothic" w:hAnsi="Century Gothic"/>
          <w:szCs w:val="24"/>
        </w:rPr>
        <w:t xml:space="preserve">UNFCCC: El Salvador. (n.d.). Retrieved February 10, 2016, from </w:t>
      </w:r>
      <w:hyperlink r:id="rId10" w:history="1">
        <w:r w:rsidRPr="00545E13">
          <w:rPr>
            <w:rStyle w:val="Hyperlink"/>
            <w:rFonts w:ascii="Century Gothic" w:hAnsi="Century Gothic"/>
            <w:szCs w:val="24"/>
          </w:rPr>
          <w:t>http://unfccc.int/parties_and_observers/parties/items/country_SV.php</w:t>
        </w:r>
      </w:hyperlink>
    </w:p>
    <w:p w14:paraId="49DFC11A" w14:textId="77777777" w:rsidR="0010405E" w:rsidRPr="004D65D0" w:rsidRDefault="0010405E" w:rsidP="0010405E">
      <w:pPr>
        <w:spacing w:after="0" w:line="240" w:lineRule="auto"/>
        <w:ind w:left="720" w:hanging="720"/>
        <w:rPr>
          <w:rFonts w:ascii="Century Gothic" w:hAnsi="Century Gothic"/>
          <w:szCs w:val="24"/>
        </w:rPr>
      </w:pPr>
      <w:r w:rsidRPr="004D65D0">
        <w:rPr>
          <w:rFonts w:ascii="Century Gothic" w:hAnsi="Century Gothic"/>
          <w:szCs w:val="24"/>
        </w:rPr>
        <w:t>Vitousek, P. M., and R. L. Sanford. "Nutrient Cycling in Moist Tropical Forest."Annual Review of Ecology and System</w:t>
      </w:r>
      <w:r>
        <w:rPr>
          <w:rFonts w:ascii="Century Gothic" w:hAnsi="Century Gothic"/>
          <w:szCs w:val="24"/>
        </w:rPr>
        <w:t>atics 17.1 (1986): 137-67. Web.</w:t>
      </w:r>
    </w:p>
    <w:p w14:paraId="55CA116B" w14:textId="77777777" w:rsidR="0010405E" w:rsidRPr="004D65D0" w:rsidRDefault="0010405E" w:rsidP="0010405E">
      <w:pPr>
        <w:spacing w:after="0" w:line="240" w:lineRule="auto"/>
        <w:ind w:left="720" w:hanging="720"/>
        <w:rPr>
          <w:rFonts w:ascii="Century Gothic" w:hAnsi="Century Gothic"/>
          <w:szCs w:val="24"/>
        </w:rPr>
      </w:pPr>
      <w:r w:rsidRPr="004D65D0">
        <w:rPr>
          <w:rFonts w:ascii="Century Gothic" w:hAnsi="Century Gothic"/>
          <w:szCs w:val="24"/>
        </w:rPr>
        <w:t>Weinberg, S. (1997, May). ICE Case Studies, El Salvador Civil War. Retrieved February 10, 2016, from http://www1.american.edu/ted/ice/elsalv.htm</w:t>
      </w:r>
    </w:p>
    <w:p w14:paraId="1C181AFE" w14:textId="77777777" w:rsidR="004D65D0" w:rsidRPr="004D65D0" w:rsidRDefault="004D65D0" w:rsidP="0010405E">
      <w:pPr>
        <w:spacing w:after="0" w:line="240" w:lineRule="auto"/>
        <w:ind w:left="720" w:hanging="720"/>
        <w:rPr>
          <w:rFonts w:ascii="Century Gothic" w:hAnsi="Century Gothic"/>
          <w:szCs w:val="24"/>
        </w:rPr>
      </w:pPr>
      <w:r w:rsidRPr="004D65D0">
        <w:rPr>
          <w:rFonts w:ascii="Century Gothic" w:hAnsi="Century Gothic"/>
          <w:szCs w:val="24"/>
        </w:rPr>
        <w:t>World Bank, 2014. Population density (people per sq. km of land area). Retrieved from http://data.worldbank.org/indicator/EN.POP.DNST/countries?display=default</w:t>
      </w:r>
    </w:p>
    <w:p w14:paraId="020F1B9E" w14:textId="77777777" w:rsidR="004D65D0" w:rsidRDefault="004D65D0" w:rsidP="008975BD">
      <w:pPr>
        <w:spacing w:after="0" w:line="240" w:lineRule="auto"/>
        <w:rPr>
          <w:rFonts w:ascii="Century Gothic" w:hAnsi="Century Gothic"/>
          <w:szCs w:val="24"/>
        </w:rPr>
      </w:pPr>
    </w:p>
    <w:p w14:paraId="646F2E87" w14:textId="54152A40" w:rsidR="00E41324" w:rsidRPr="00B265D9" w:rsidRDefault="008B7071" w:rsidP="00D3013B">
      <w:pPr>
        <w:pStyle w:val="Heading1"/>
        <w:rPr>
          <w:rFonts w:ascii="Century Gothic" w:hAnsi="Century Gothic"/>
        </w:rPr>
      </w:pPr>
      <w:bookmarkStart w:id="9" w:name="_Toc334198738"/>
      <w:r>
        <w:rPr>
          <w:rFonts w:ascii="Century Gothic" w:hAnsi="Century Gothic"/>
        </w:rPr>
        <w:t xml:space="preserve">VIII. </w:t>
      </w:r>
      <w:r w:rsidR="006528A0">
        <w:rPr>
          <w:rFonts w:ascii="Century Gothic" w:hAnsi="Century Gothic"/>
        </w:rPr>
        <w:t>Content Innovation</w:t>
      </w:r>
      <w:bookmarkEnd w:id="9"/>
    </w:p>
    <w:p w14:paraId="23631B25" w14:textId="0110FA2E" w:rsidR="00E41324" w:rsidRDefault="00615E3A" w:rsidP="008975BD">
      <w:pPr>
        <w:spacing w:after="0" w:line="240" w:lineRule="auto"/>
        <w:rPr>
          <w:rFonts w:ascii="Century Gothic" w:hAnsi="Century Gothic"/>
          <w:szCs w:val="24"/>
        </w:rPr>
      </w:pPr>
      <w:r>
        <w:rPr>
          <w:rFonts w:ascii="Century Gothic" w:hAnsi="Century Gothic"/>
          <w:szCs w:val="24"/>
        </w:rPr>
        <w:t xml:space="preserve">In preparation for </w:t>
      </w:r>
      <w:r w:rsidR="006528A0">
        <w:rPr>
          <w:rFonts w:ascii="Century Gothic" w:hAnsi="Century Gothic"/>
          <w:szCs w:val="24"/>
        </w:rPr>
        <w:t xml:space="preserve">DEVELOP’s coming </w:t>
      </w:r>
      <w:r>
        <w:rPr>
          <w:rFonts w:ascii="Century Gothic" w:hAnsi="Century Gothic"/>
          <w:szCs w:val="24"/>
        </w:rPr>
        <w:t>microjo</w:t>
      </w:r>
      <w:r w:rsidR="006528A0">
        <w:rPr>
          <w:rFonts w:ascii="Century Gothic" w:hAnsi="Century Gothic"/>
          <w:szCs w:val="24"/>
        </w:rPr>
        <w:t>urnal</w:t>
      </w:r>
      <w:r>
        <w:rPr>
          <w:rFonts w:ascii="Century Gothic" w:hAnsi="Century Gothic"/>
          <w:szCs w:val="24"/>
        </w:rPr>
        <w:t xml:space="preserve">, please select </w:t>
      </w:r>
      <w:r w:rsidR="00482519">
        <w:rPr>
          <w:rFonts w:ascii="Century Gothic" w:hAnsi="Century Gothic"/>
          <w:szCs w:val="24"/>
        </w:rPr>
        <w:t>t</w:t>
      </w:r>
      <w:r w:rsidR="00F24FCE">
        <w:rPr>
          <w:rFonts w:ascii="Century Gothic" w:hAnsi="Century Gothic"/>
          <w:szCs w:val="24"/>
        </w:rPr>
        <w:t>wo</w:t>
      </w:r>
      <w:r w:rsidR="006528A0">
        <w:rPr>
          <w:rFonts w:ascii="Century Gothic" w:hAnsi="Century Gothic"/>
          <w:szCs w:val="24"/>
        </w:rPr>
        <w:t xml:space="preserve"> content innovation</w:t>
      </w:r>
      <w:r>
        <w:rPr>
          <w:rFonts w:ascii="Century Gothic" w:hAnsi="Century Gothic"/>
          <w:szCs w:val="24"/>
        </w:rPr>
        <w:t xml:space="preserve"> features to support your paper. For each item,</w:t>
      </w:r>
      <w:r w:rsidR="006528A0">
        <w:rPr>
          <w:rFonts w:ascii="Century Gothic" w:hAnsi="Century Gothic"/>
          <w:szCs w:val="24"/>
        </w:rPr>
        <w:t xml:space="preserve"> please list the name of the feature</w:t>
      </w:r>
      <w:r>
        <w:rPr>
          <w:rFonts w:ascii="Century Gothic" w:hAnsi="Century Gothic"/>
          <w:szCs w:val="24"/>
        </w:rPr>
        <w:t xml:space="preserve">, and include the tool itself if possible (eg. </w:t>
      </w:r>
      <w:r w:rsidR="006528A0">
        <w:rPr>
          <w:rFonts w:ascii="Century Gothic" w:hAnsi="Century Gothic"/>
          <w:szCs w:val="24"/>
        </w:rPr>
        <w:t>glossary terms and definitions</w:t>
      </w:r>
      <w:r>
        <w:rPr>
          <w:rFonts w:ascii="Century Gothic" w:hAnsi="Century Gothic"/>
          <w:szCs w:val="24"/>
        </w:rPr>
        <w:t xml:space="preserve">). If the tool does not work in Microsoft Word (eg. </w:t>
      </w:r>
      <w:r w:rsidR="00482519">
        <w:rPr>
          <w:rFonts w:ascii="Century Gothic" w:hAnsi="Century Gothic"/>
          <w:szCs w:val="24"/>
        </w:rPr>
        <w:t>Interactive MAT</w:t>
      </w:r>
      <w:r>
        <w:rPr>
          <w:rFonts w:ascii="Century Gothic" w:hAnsi="Century Gothic"/>
          <w:szCs w:val="24"/>
        </w:rPr>
        <w:t>L</w:t>
      </w:r>
      <w:r w:rsidR="00482519">
        <w:rPr>
          <w:rFonts w:ascii="Century Gothic" w:hAnsi="Century Gothic"/>
          <w:szCs w:val="24"/>
        </w:rPr>
        <w:t>AB</w:t>
      </w:r>
      <w:r>
        <w:rPr>
          <w:rFonts w:ascii="Century Gothic" w:hAnsi="Century Gothic"/>
          <w:szCs w:val="24"/>
        </w:rPr>
        <w:t xml:space="preserve"> Figure Viewer), please list the file name and upload the related file to the microjournal folder on the DEVE</w:t>
      </w:r>
      <w:r w:rsidR="00732B10">
        <w:rPr>
          <w:rFonts w:ascii="Century Gothic" w:hAnsi="Century Gothic"/>
          <w:szCs w:val="24"/>
        </w:rPr>
        <w:t>LOP E</w:t>
      </w:r>
      <w:r>
        <w:rPr>
          <w:rFonts w:ascii="Century Gothic" w:hAnsi="Century Gothic"/>
          <w:szCs w:val="24"/>
        </w:rPr>
        <w:t>xchange.</w:t>
      </w:r>
      <w:r w:rsidR="00DA7F96">
        <w:rPr>
          <w:rFonts w:ascii="Century Gothic" w:hAnsi="Century Gothic"/>
          <w:szCs w:val="24"/>
        </w:rPr>
        <w:t xml:space="preserve"> If you choose to use Inline Supplementary Material, please also include where the material should appear in the text.</w:t>
      </w:r>
    </w:p>
    <w:p w14:paraId="6D2BBF9D" w14:textId="77777777" w:rsidR="006528A0" w:rsidRDefault="006528A0" w:rsidP="008975BD">
      <w:pPr>
        <w:spacing w:after="0" w:line="240" w:lineRule="auto"/>
        <w:rPr>
          <w:rFonts w:ascii="Century Gothic" w:hAnsi="Century Gothic"/>
          <w:szCs w:val="24"/>
        </w:rPr>
      </w:pPr>
    </w:p>
    <w:p w14:paraId="66E681BC" w14:textId="340BEFF3" w:rsidR="006528A0" w:rsidRPr="00732B10" w:rsidRDefault="006528A0" w:rsidP="008975BD">
      <w:pPr>
        <w:spacing w:after="0" w:line="240" w:lineRule="auto"/>
        <w:rPr>
          <w:rFonts w:ascii="Century Gothic" w:hAnsi="Century Gothic"/>
          <w:b/>
          <w:szCs w:val="24"/>
        </w:rPr>
      </w:pPr>
      <w:r w:rsidRPr="00732B10">
        <w:rPr>
          <w:rFonts w:ascii="Century Gothic" w:hAnsi="Century Gothic"/>
          <w:b/>
          <w:szCs w:val="24"/>
        </w:rPr>
        <w:t>Some options include</w:t>
      </w:r>
      <w:bookmarkStart w:id="10" w:name="_GoBack"/>
      <w:bookmarkEnd w:id="10"/>
      <w:r w:rsidRPr="00732B10">
        <w:rPr>
          <w:rFonts w:ascii="Century Gothic" w:hAnsi="Century Gothic"/>
          <w:b/>
          <w:szCs w:val="24"/>
        </w:rPr>
        <w:t>:</w:t>
      </w:r>
    </w:p>
    <w:p w14:paraId="1885B909" w14:textId="5D185107" w:rsidR="00482519" w:rsidRDefault="00482519" w:rsidP="008975BD">
      <w:pPr>
        <w:spacing w:after="0" w:line="240" w:lineRule="auto"/>
        <w:rPr>
          <w:rFonts w:ascii="Century Gothic" w:hAnsi="Century Gothic"/>
          <w:szCs w:val="24"/>
        </w:rPr>
      </w:pPr>
      <w:r>
        <w:rPr>
          <w:rFonts w:ascii="Century Gothic" w:hAnsi="Century Gothic"/>
          <w:szCs w:val="24"/>
        </w:rPr>
        <w:t>AudioSlides</w:t>
      </w:r>
    </w:p>
    <w:p w14:paraId="2B2173E8" w14:textId="3D6867BE" w:rsidR="00482519" w:rsidRDefault="00482519" w:rsidP="008975BD">
      <w:pPr>
        <w:spacing w:after="0" w:line="240" w:lineRule="auto"/>
        <w:rPr>
          <w:rFonts w:ascii="Century Gothic" w:hAnsi="Century Gothic"/>
          <w:szCs w:val="24"/>
        </w:rPr>
      </w:pPr>
      <w:r>
        <w:rPr>
          <w:rFonts w:ascii="Century Gothic" w:hAnsi="Century Gothic"/>
          <w:szCs w:val="24"/>
        </w:rPr>
        <w:t>Database Linking Tool</w:t>
      </w:r>
    </w:p>
    <w:p w14:paraId="2E62B49E" w14:textId="1BB7E672" w:rsidR="00DA7F96" w:rsidRDefault="00DA7F96" w:rsidP="008975BD">
      <w:pPr>
        <w:spacing w:after="0" w:line="240" w:lineRule="auto"/>
        <w:rPr>
          <w:rFonts w:ascii="Century Gothic" w:hAnsi="Century Gothic"/>
          <w:szCs w:val="24"/>
        </w:rPr>
      </w:pPr>
      <w:r>
        <w:rPr>
          <w:rFonts w:ascii="Century Gothic" w:hAnsi="Century Gothic"/>
          <w:szCs w:val="24"/>
        </w:rPr>
        <w:t>Data Profile</w:t>
      </w:r>
    </w:p>
    <w:p w14:paraId="305AD345" w14:textId="2767C70C" w:rsidR="006528A0" w:rsidRDefault="006528A0" w:rsidP="008975BD">
      <w:pPr>
        <w:spacing w:after="0" w:line="240" w:lineRule="auto"/>
        <w:rPr>
          <w:rFonts w:ascii="Century Gothic" w:hAnsi="Century Gothic"/>
          <w:szCs w:val="24"/>
        </w:rPr>
      </w:pPr>
      <w:r>
        <w:rPr>
          <w:rFonts w:ascii="Century Gothic" w:hAnsi="Century Gothic"/>
          <w:szCs w:val="24"/>
        </w:rPr>
        <w:t>Executable Papers</w:t>
      </w:r>
    </w:p>
    <w:p w14:paraId="534BEE0D" w14:textId="22F848A2" w:rsidR="006528A0" w:rsidRDefault="006528A0" w:rsidP="008975BD">
      <w:pPr>
        <w:spacing w:after="0" w:line="240" w:lineRule="auto"/>
        <w:rPr>
          <w:rFonts w:ascii="Century Gothic" w:hAnsi="Century Gothic"/>
          <w:szCs w:val="24"/>
        </w:rPr>
      </w:pPr>
      <w:r>
        <w:rPr>
          <w:rFonts w:ascii="Century Gothic" w:hAnsi="Century Gothic"/>
          <w:szCs w:val="24"/>
        </w:rPr>
        <w:t>Featured Author Videos</w:t>
      </w:r>
    </w:p>
    <w:p w14:paraId="2A073583" w14:textId="44515F9C" w:rsidR="006528A0" w:rsidRDefault="006528A0" w:rsidP="008975BD">
      <w:pPr>
        <w:spacing w:after="0" w:line="240" w:lineRule="auto"/>
        <w:rPr>
          <w:rFonts w:ascii="Century Gothic" w:hAnsi="Century Gothic"/>
          <w:szCs w:val="24"/>
        </w:rPr>
      </w:pPr>
      <w:r>
        <w:rPr>
          <w:rFonts w:ascii="Century Gothic" w:hAnsi="Century Gothic"/>
          <w:szCs w:val="24"/>
        </w:rPr>
        <w:t>Featured Multimedia for this Article (video and podcast options)</w:t>
      </w:r>
    </w:p>
    <w:p w14:paraId="00CDBEB7" w14:textId="701A1A31" w:rsidR="006528A0" w:rsidRDefault="006528A0" w:rsidP="008975BD">
      <w:pPr>
        <w:spacing w:after="0" w:line="240" w:lineRule="auto"/>
        <w:rPr>
          <w:rFonts w:ascii="Century Gothic" w:hAnsi="Century Gothic"/>
          <w:szCs w:val="24"/>
        </w:rPr>
      </w:pPr>
      <w:r>
        <w:rPr>
          <w:rFonts w:ascii="Century Gothic" w:hAnsi="Century Gothic"/>
          <w:szCs w:val="24"/>
        </w:rPr>
        <w:lastRenderedPageBreak/>
        <w:t>Glossary Viewer</w:t>
      </w:r>
    </w:p>
    <w:p w14:paraId="3536BD82" w14:textId="043B7765" w:rsidR="006528A0" w:rsidRDefault="006528A0" w:rsidP="008975BD">
      <w:pPr>
        <w:spacing w:after="0" w:line="240" w:lineRule="auto"/>
        <w:rPr>
          <w:rFonts w:ascii="Century Gothic" w:hAnsi="Century Gothic"/>
          <w:szCs w:val="24"/>
        </w:rPr>
      </w:pPr>
      <w:r>
        <w:rPr>
          <w:rFonts w:ascii="Century Gothic" w:hAnsi="Century Gothic"/>
          <w:szCs w:val="24"/>
        </w:rPr>
        <w:t>Inline Supplementary Material</w:t>
      </w:r>
      <w:r w:rsidR="00DA7F96">
        <w:rPr>
          <w:rFonts w:ascii="Century Gothic" w:hAnsi="Century Gothic"/>
          <w:szCs w:val="24"/>
        </w:rPr>
        <w:t xml:space="preserve"> (figures, tables, computer code)</w:t>
      </w:r>
    </w:p>
    <w:p w14:paraId="346BADFB" w14:textId="21FE5605" w:rsidR="006528A0" w:rsidRDefault="006528A0" w:rsidP="008975BD">
      <w:pPr>
        <w:spacing w:after="0" w:line="240" w:lineRule="auto"/>
        <w:rPr>
          <w:rFonts w:ascii="Century Gothic" w:hAnsi="Century Gothic"/>
          <w:szCs w:val="24"/>
        </w:rPr>
      </w:pPr>
      <w:r>
        <w:rPr>
          <w:rFonts w:ascii="Century Gothic" w:hAnsi="Century Gothic"/>
          <w:szCs w:val="24"/>
        </w:rPr>
        <w:t>Interactive Map Viewer</w:t>
      </w:r>
    </w:p>
    <w:p w14:paraId="45F9F0E6" w14:textId="209B7302" w:rsidR="00482519" w:rsidRDefault="00482519" w:rsidP="008975BD">
      <w:pPr>
        <w:spacing w:after="0" w:line="240" w:lineRule="auto"/>
        <w:rPr>
          <w:rFonts w:ascii="Century Gothic" w:hAnsi="Century Gothic"/>
          <w:szCs w:val="24"/>
        </w:rPr>
      </w:pPr>
      <w:r>
        <w:rPr>
          <w:rFonts w:ascii="Century Gothic" w:hAnsi="Century Gothic"/>
          <w:szCs w:val="24"/>
        </w:rPr>
        <w:t>Interactive MATLAB Figure Viewer</w:t>
      </w:r>
    </w:p>
    <w:p w14:paraId="221E1FB7" w14:textId="78B37B14" w:rsidR="00482519" w:rsidRDefault="00482519" w:rsidP="008975BD">
      <w:pPr>
        <w:spacing w:after="0" w:line="240" w:lineRule="auto"/>
        <w:rPr>
          <w:rFonts w:ascii="Century Gothic" w:hAnsi="Century Gothic"/>
          <w:szCs w:val="24"/>
        </w:rPr>
      </w:pPr>
      <w:r>
        <w:rPr>
          <w:rFonts w:ascii="Century Gothic" w:hAnsi="Century Gothic"/>
          <w:szCs w:val="24"/>
        </w:rPr>
        <w:t>Interactive Plot Viewer</w:t>
      </w:r>
    </w:p>
    <w:p w14:paraId="167503C3" w14:textId="6040A5B1" w:rsidR="00482519" w:rsidRDefault="00482519" w:rsidP="008975BD">
      <w:pPr>
        <w:spacing w:after="0" w:line="240" w:lineRule="auto"/>
        <w:rPr>
          <w:rFonts w:ascii="Century Gothic" w:hAnsi="Century Gothic"/>
          <w:szCs w:val="24"/>
        </w:rPr>
      </w:pPr>
      <w:r>
        <w:rPr>
          <w:rFonts w:ascii="Century Gothic" w:hAnsi="Century Gothic"/>
          <w:szCs w:val="24"/>
        </w:rPr>
        <w:t>Nomenclature Viewer</w:t>
      </w:r>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12C538AD" w14:textId="77777777" w:rsidR="00615E3A" w:rsidRPr="00494746" w:rsidRDefault="00615E3A" w:rsidP="00615E3A">
      <w:pPr>
        <w:spacing w:after="0" w:line="240" w:lineRule="auto"/>
        <w:rPr>
          <w:rFonts w:ascii="Century Gothic" w:hAnsi="Century Gothic"/>
          <w:szCs w:val="24"/>
        </w:rPr>
      </w:pPr>
      <w:r w:rsidRPr="00494746">
        <w:rPr>
          <w:rFonts w:ascii="Century Gothic" w:hAnsi="Century Gothic"/>
          <w:szCs w:val="24"/>
        </w:rPr>
        <w:t>Insert here</w:t>
      </w:r>
    </w:p>
    <w:p w14:paraId="2C151530"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1"/>
      <w:headerReference w:type="first" r:id="rId12"/>
      <w:footerReference w:type="first" r:id="rId1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07E23B" w14:textId="77777777" w:rsidR="00C50DB6" w:rsidRDefault="00C50DB6" w:rsidP="00242822">
      <w:pPr>
        <w:spacing w:after="0" w:line="240" w:lineRule="auto"/>
      </w:pPr>
      <w:r>
        <w:separator/>
      </w:r>
    </w:p>
  </w:endnote>
  <w:endnote w:type="continuationSeparator" w:id="0">
    <w:p w14:paraId="158208FD" w14:textId="77777777" w:rsidR="00C50DB6" w:rsidRDefault="00C50DB6"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3652F1">
          <w:rPr>
            <w:noProof/>
          </w:rPr>
          <w:t>3</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A632FF" w14:textId="77777777" w:rsidR="00C50DB6" w:rsidRDefault="00C50DB6" w:rsidP="00242822">
      <w:pPr>
        <w:spacing w:after="0" w:line="240" w:lineRule="auto"/>
      </w:pPr>
      <w:r>
        <w:separator/>
      </w:r>
    </w:p>
  </w:footnote>
  <w:footnote w:type="continuationSeparator" w:id="0">
    <w:p w14:paraId="77E98937" w14:textId="77777777" w:rsidR="00C50DB6" w:rsidRDefault="00C50DB6"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0E"/>
    <w:rsid w:val="00030B13"/>
    <w:rsid w:val="000F1545"/>
    <w:rsid w:val="0010405E"/>
    <w:rsid w:val="0014039E"/>
    <w:rsid w:val="0014286F"/>
    <w:rsid w:val="0015019B"/>
    <w:rsid w:val="001556CC"/>
    <w:rsid w:val="0016035A"/>
    <w:rsid w:val="00163111"/>
    <w:rsid w:val="0017072E"/>
    <w:rsid w:val="001821EB"/>
    <w:rsid w:val="00195D23"/>
    <w:rsid w:val="001F1328"/>
    <w:rsid w:val="0023574D"/>
    <w:rsid w:val="00242822"/>
    <w:rsid w:val="00293F47"/>
    <w:rsid w:val="002A37F8"/>
    <w:rsid w:val="002B2BE4"/>
    <w:rsid w:val="002C4C2E"/>
    <w:rsid w:val="003000D0"/>
    <w:rsid w:val="003652F1"/>
    <w:rsid w:val="00366BA2"/>
    <w:rsid w:val="003F39BF"/>
    <w:rsid w:val="0041150E"/>
    <w:rsid w:val="0043112E"/>
    <w:rsid w:val="00482519"/>
    <w:rsid w:val="00494746"/>
    <w:rsid w:val="004951A9"/>
    <w:rsid w:val="004D19D3"/>
    <w:rsid w:val="004D65D0"/>
    <w:rsid w:val="00502783"/>
    <w:rsid w:val="005069A9"/>
    <w:rsid w:val="005C723F"/>
    <w:rsid w:val="005F6AD4"/>
    <w:rsid w:val="00604F24"/>
    <w:rsid w:val="00615E3A"/>
    <w:rsid w:val="0064280B"/>
    <w:rsid w:val="006528A0"/>
    <w:rsid w:val="00684FE5"/>
    <w:rsid w:val="00695331"/>
    <w:rsid w:val="006C7B8F"/>
    <w:rsid w:val="006D1A28"/>
    <w:rsid w:val="006E1497"/>
    <w:rsid w:val="006E2A1C"/>
    <w:rsid w:val="006F3F6E"/>
    <w:rsid w:val="00716586"/>
    <w:rsid w:val="00732B10"/>
    <w:rsid w:val="00770650"/>
    <w:rsid w:val="00771691"/>
    <w:rsid w:val="007775D4"/>
    <w:rsid w:val="007E508C"/>
    <w:rsid w:val="007E68B5"/>
    <w:rsid w:val="007F6093"/>
    <w:rsid w:val="0081261B"/>
    <w:rsid w:val="00855532"/>
    <w:rsid w:val="00870E95"/>
    <w:rsid w:val="008741CE"/>
    <w:rsid w:val="00896439"/>
    <w:rsid w:val="008975BD"/>
    <w:rsid w:val="008B7071"/>
    <w:rsid w:val="00916AAB"/>
    <w:rsid w:val="00933965"/>
    <w:rsid w:val="009830D6"/>
    <w:rsid w:val="009A20ED"/>
    <w:rsid w:val="009F5966"/>
    <w:rsid w:val="00A07F67"/>
    <w:rsid w:val="00A11DB7"/>
    <w:rsid w:val="00A2773A"/>
    <w:rsid w:val="00A44FFF"/>
    <w:rsid w:val="00A60645"/>
    <w:rsid w:val="00AB12D0"/>
    <w:rsid w:val="00AD07E1"/>
    <w:rsid w:val="00AD5D0D"/>
    <w:rsid w:val="00AE0456"/>
    <w:rsid w:val="00B2307C"/>
    <w:rsid w:val="00B24E61"/>
    <w:rsid w:val="00B265D9"/>
    <w:rsid w:val="00B51B67"/>
    <w:rsid w:val="00B64CCF"/>
    <w:rsid w:val="00BA41F7"/>
    <w:rsid w:val="00C3045C"/>
    <w:rsid w:val="00C50DB6"/>
    <w:rsid w:val="00C60F7D"/>
    <w:rsid w:val="00C82473"/>
    <w:rsid w:val="00CB1C0F"/>
    <w:rsid w:val="00CD092A"/>
    <w:rsid w:val="00CE7909"/>
    <w:rsid w:val="00CF6083"/>
    <w:rsid w:val="00D03C8E"/>
    <w:rsid w:val="00D3013B"/>
    <w:rsid w:val="00D523CD"/>
    <w:rsid w:val="00DA7F96"/>
    <w:rsid w:val="00DF5C03"/>
    <w:rsid w:val="00E00E6B"/>
    <w:rsid w:val="00E03B8E"/>
    <w:rsid w:val="00E41324"/>
    <w:rsid w:val="00E578D6"/>
    <w:rsid w:val="00E6105B"/>
    <w:rsid w:val="00E64FEA"/>
    <w:rsid w:val="00E74845"/>
    <w:rsid w:val="00E75D54"/>
    <w:rsid w:val="00F24FCE"/>
    <w:rsid w:val="00F70EDE"/>
    <w:rsid w:val="00F85D9B"/>
    <w:rsid w:val="00FB2F9A"/>
    <w:rsid w:val="00FB5846"/>
    <w:rsid w:val="00FC670A"/>
    <w:rsid w:val="00FE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15:docId w15:val="{A5854B8F-39E4-425F-8FF7-D95D4614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styleId="NormalWeb">
    <w:name w:val="Normal (Web)"/>
    <w:basedOn w:val="Normal"/>
    <w:uiPriority w:val="99"/>
    <w:semiHidden/>
    <w:unhideWhenUsed/>
    <w:rsid w:val="00F70ED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396618">
      <w:bodyDiv w:val="1"/>
      <w:marLeft w:val="0"/>
      <w:marRight w:val="0"/>
      <w:marTop w:val="0"/>
      <w:marBottom w:val="0"/>
      <w:divBdr>
        <w:top w:val="none" w:sz="0" w:space="0" w:color="auto"/>
        <w:left w:val="none" w:sz="0" w:space="0" w:color="auto"/>
        <w:bottom w:val="none" w:sz="0" w:space="0" w:color="auto"/>
        <w:right w:val="none" w:sz="0" w:space="0" w:color="auto"/>
      </w:divBdr>
      <w:divsChild>
        <w:div w:id="1977880605">
          <w:marLeft w:val="-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unfccc.int/parties_and_observers/parties/items/country_SV.ph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55FE5-1D12-4C8F-A5A5-7FB3195A0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2130</Words>
  <Characters>12147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14249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Dosch, Britta C. (LARC-E3)[SSAI DEVELOP]</cp:lastModifiedBy>
  <cp:revision>2</cp:revision>
  <dcterms:created xsi:type="dcterms:W3CDTF">2016-02-18T14:52:00Z</dcterms:created>
  <dcterms:modified xsi:type="dcterms:W3CDTF">2016-02-18T14:52:00Z</dcterms:modified>
</cp:coreProperties>
</file>