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397DC01" w:rsidR="005F6AD4" w:rsidRPr="0066138C" w:rsidRDefault="00AC1675" w:rsidP="00AA4C5F">
      <w:pPr>
        <w:tabs>
          <w:tab w:val="left" w:pos="7329"/>
        </w:tabs>
        <w:spacing w:after="0" w:line="240" w:lineRule="auto"/>
        <w:jc w:val="right"/>
        <w:rPr>
          <w:rFonts w:ascii="Garamond" w:hAnsi="Garamond" w:cs="Arial"/>
          <w:sz w:val="40"/>
        </w:rPr>
      </w:pPr>
      <w:r>
        <w:rPr>
          <w:rFonts w:ascii="Garamond" w:hAnsi="Garamond" w:cs="Arial"/>
          <w:sz w:val="40"/>
        </w:rPr>
        <w:t>Southern Wyoming Ecological Forecasting</w:t>
      </w:r>
    </w:p>
    <w:p w14:paraId="11A243CF" w14:textId="3DBC75A9" w:rsidR="00AC1675" w:rsidRDefault="00AC1675" w:rsidP="00AC1675">
      <w:pPr>
        <w:spacing w:after="0" w:line="240" w:lineRule="auto"/>
        <w:jc w:val="right"/>
        <w:rPr>
          <w:rFonts w:ascii="Garamond" w:hAnsi="Garamond" w:cs="Arial"/>
          <w:sz w:val="28"/>
          <w:szCs w:val="28"/>
        </w:rPr>
      </w:pPr>
      <w:r w:rsidRPr="194B89F8">
        <w:rPr>
          <w:rFonts w:ascii="Garamond" w:hAnsi="Garamond" w:cs="Arial"/>
          <w:sz w:val="28"/>
          <w:szCs w:val="28"/>
        </w:rPr>
        <w:t>Monitoring Cheatgrass in Southern Wyoming and Northern Colorado to Inform Management Efforts Post-Mullen Fire</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214CAE4D" w:rsidR="00916AAB" w:rsidRPr="0066138C" w:rsidRDefault="00AC1675" w:rsidP="1608FBC2">
      <w:pPr>
        <w:spacing w:after="0" w:line="240" w:lineRule="auto"/>
        <w:jc w:val="center"/>
        <w:rPr>
          <w:rFonts w:ascii="Garamond" w:hAnsi="Garamond" w:cs="Arial"/>
          <w:sz w:val="28"/>
          <w:szCs w:val="28"/>
        </w:rPr>
      </w:pPr>
      <w:r w:rsidRPr="00AC1675">
        <w:rPr>
          <w:rFonts w:ascii="Garamond" w:hAnsi="Garamond" w:cs="Arial"/>
          <w:sz w:val="28"/>
          <w:szCs w:val="28"/>
        </w:rPr>
        <w:t>Final</w:t>
      </w:r>
      <w:r w:rsidR="0064280B" w:rsidRPr="00AC1675">
        <w:rPr>
          <w:rFonts w:ascii="Garamond" w:hAnsi="Garamond" w:cs="Arial"/>
          <w:sz w:val="28"/>
          <w:szCs w:val="28"/>
        </w:rPr>
        <w:t xml:space="preserve"> </w:t>
      </w:r>
      <w:r w:rsidR="009A20ED" w:rsidRPr="00AC1675">
        <w:rPr>
          <w:rFonts w:ascii="Garamond" w:hAnsi="Garamond" w:cs="Arial"/>
          <w:sz w:val="28"/>
          <w:szCs w:val="28"/>
        </w:rPr>
        <w:t>–</w:t>
      </w:r>
      <w:r w:rsidR="000D5104" w:rsidRPr="00AC1675">
        <w:rPr>
          <w:rFonts w:ascii="Garamond" w:hAnsi="Garamond" w:cs="Arial"/>
          <w:sz w:val="28"/>
          <w:szCs w:val="28"/>
        </w:rPr>
        <w:t xml:space="preserve"> </w:t>
      </w:r>
      <w:r w:rsidRPr="00AC1675">
        <w:rPr>
          <w:rFonts w:ascii="Garamond" w:hAnsi="Garamond" w:cs="Arial"/>
          <w:sz w:val="28"/>
          <w:szCs w:val="28"/>
        </w:rPr>
        <w:t>November</w:t>
      </w:r>
      <w:r w:rsidR="00FD2B86" w:rsidRPr="00AC1675">
        <w:rPr>
          <w:rFonts w:ascii="Garamond" w:hAnsi="Garamond" w:cs="Arial"/>
          <w:sz w:val="28"/>
          <w:szCs w:val="28"/>
        </w:rPr>
        <w:t xml:space="preserve"> 1</w:t>
      </w:r>
      <w:r w:rsidRPr="00AC1675">
        <w:rPr>
          <w:rFonts w:ascii="Garamond" w:hAnsi="Garamond" w:cs="Arial"/>
          <w:sz w:val="28"/>
          <w:szCs w:val="28"/>
        </w:rPr>
        <w:t>8</w:t>
      </w:r>
      <w:r w:rsidR="00611ACB" w:rsidRPr="00AC1675">
        <w:rPr>
          <w:rFonts w:ascii="Garamond" w:hAnsi="Garamond" w:cs="Arial"/>
          <w:sz w:val="28"/>
          <w:szCs w:val="28"/>
          <w:vertAlign w:val="superscript"/>
        </w:rPr>
        <w:t>th</w:t>
      </w:r>
      <w:r w:rsidR="00A2773A" w:rsidRPr="00AC1675">
        <w:rPr>
          <w:rFonts w:ascii="Garamond" w:hAnsi="Garamond" w:cs="Arial"/>
          <w:sz w:val="28"/>
          <w:szCs w:val="28"/>
        </w:rPr>
        <w:t xml:space="preserve">, </w:t>
      </w:r>
      <w:r w:rsidR="00A84352" w:rsidRPr="00AC1675">
        <w:rPr>
          <w:rFonts w:ascii="Garamond" w:hAnsi="Garamond" w:cs="Arial"/>
          <w:sz w:val="28"/>
          <w:szCs w:val="28"/>
        </w:rPr>
        <w:t>202</w:t>
      </w:r>
      <w:r w:rsidR="2D7990E1" w:rsidRPr="00AC1675">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08D0CEBF" w14:textId="77777777" w:rsidR="00AC1675" w:rsidRDefault="00AC1675" w:rsidP="0066138C">
      <w:pPr>
        <w:spacing w:after="0" w:line="240" w:lineRule="auto"/>
        <w:jc w:val="center"/>
        <w:rPr>
          <w:rFonts w:ascii="Garamond" w:hAnsi="Garamond" w:cs="Arial"/>
          <w:sz w:val="20"/>
        </w:rPr>
      </w:pPr>
      <w:r>
        <w:rPr>
          <w:rFonts w:ascii="Garamond" w:hAnsi="Garamond" w:cs="Arial"/>
          <w:sz w:val="20"/>
        </w:rPr>
        <w:t>Dahlia Shahin</w:t>
      </w:r>
    </w:p>
    <w:p w14:paraId="4A9425BB" w14:textId="77777777" w:rsidR="00AC1675" w:rsidRDefault="00AC1675" w:rsidP="0066138C">
      <w:pPr>
        <w:spacing w:after="0" w:line="240" w:lineRule="auto"/>
        <w:jc w:val="center"/>
        <w:rPr>
          <w:rFonts w:ascii="Garamond" w:hAnsi="Garamond" w:cs="Arial"/>
          <w:sz w:val="20"/>
        </w:rPr>
      </w:pPr>
      <w:r>
        <w:rPr>
          <w:rFonts w:ascii="Garamond" w:hAnsi="Garamond" w:cs="Arial"/>
          <w:sz w:val="20"/>
        </w:rPr>
        <w:t>Emily Snyder</w:t>
      </w:r>
    </w:p>
    <w:p w14:paraId="4F62CB2E" w14:textId="77777777" w:rsidR="00AC1675" w:rsidRDefault="00AC1675" w:rsidP="0066138C">
      <w:pPr>
        <w:spacing w:after="0" w:line="240" w:lineRule="auto"/>
        <w:jc w:val="center"/>
        <w:rPr>
          <w:rFonts w:ascii="Garamond" w:hAnsi="Garamond" w:cs="Arial"/>
          <w:sz w:val="20"/>
        </w:rPr>
      </w:pPr>
      <w:r>
        <w:rPr>
          <w:rFonts w:ascii="Garamond" w:hAnsi="Garamond" w:cs="Arial"/>
          <w:sz w:val="20"/>
        </w:rPr>
        <w:t>Sanju Khatri</w:t>
      </w:r>
    </w:p>
    <w:p w14:paraId="1F94A0E6" w14:textId="77777777" w:rsidR="00AC1675" w:rsidRDefault="00AC1675" w:rsidP="0066138C">
      <w:pPr>
        <w:spacing w:after="0" w:line="240" w:lineRule="auto"/>
        <w:jc w:val="center"/>
        <w:rPr>
          <w:rFonts w:ascii="Garamond" w:hAnsi="Garamond" w:cs="Arial"/>
          <w:sz w:val="20"/>
        </w:rPr>
      </w:pPr>
      <w:r>
        <w:rPr>
          <w:rFonts w:ascii="Garamond" w:hAnsi="Garamond" w:cs="Arial"/>
          <w:sz w:val="20"/>
        </w:rPr>
        <w:t>Kyle Paulekas</w:t>
      </w:r>
    </w:p>
    <w:p w14:paraId="59E0FBD7" w14:textId="77777777" w:rsidR="00AC1675" w:rsidRDefault="00AC1675" w:rsidP="0066138C">
      <w:pPr>
        <w:spacing w:after="0" w:line="240" w:lineRule="auto"/>
        <w:jc w:val="center"/>
        <w:rPr>
          <w:rFonts w:ascii="Garamond" w:hAnsi="Garamond" w:cs="Arial"/>
          <w:sz w:val="20"/>
        </w:rPr>
      </w:pPr>
      <w:r>
        <w:rPr>
          <w:rFonts w:ascii="Garamond" w:hAnsi="Garamond" w:cs="Arial"/>
          <w:sz w:val="20"/>
        </w:rPr>
        <w:t>Michael Segala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4518F397" w14:textId="77777777" w:rsidR="00AC1675" w:rsidRPr="00914B19" w:rsidRDefault="00AC1675" w:rsidP="00AC1675">
      <w:pPr>
        <w:spacing w:after="0" w:line="240" w:lineRule="auto"/>
        <w:jc w:val="center"/>
        <w:rPr>
          <w:rFonts w:ascii="Garamond" w:hAnsi="Garamond" w:cs="Arial"/>
          <w:sz w:val="20"/>
        </w:rPr>
      </w:pPr>
      <w:r w:rsidRPr="3F1AAA42">
        <w:rPr>
          <w:rFonts w:ascii="Garamond" w:hAnsi="Garamond" w:cs="Arial"/>
          <w:sz w:val="20"/>
          <w:szCs w:val="20"/>
        </w:rPr>
        <w:t>Dr. Paul Evangelista, Colorado State University, Natural Resource Ecology Lab</w:t>
      </w:r>
    </w:p>
    <w:p w14:paraId="6945B57B" w14:textId="77777777" w:rsidR="00AC1675" w:rsidRPr="00914B19" w:rsidRDefault="00AC1675" w:rsidP="00AC1675">
      <w:pPr>
        <w:spacing w:after="0" w:line="240" w:lineRule="auto"/>
        <w:jc w:val="center"/>
        <w:rPr>
          <w:rFonts w:ascii="Garamond" w:hAnsi="Garamond" w:cs="Arial"/>
          <w:sz w:val="20"/>
          <w:szCs w:val="20"/>
        </w:rPr>
      </w:pPr>
      <w:r w:rsidRPr="3F1AAA42">
        <w:rPr>
          <w:rFonts w:ascii="Garamond" w:hAnsi="Garamond" w:cs="Arial"/>
          <w:sz w:val="20"/>
          <w:szCs w:val="20"/>
        </w:rPr>
        <w:t>Dr. Catherine Jarnevich, United States Geological Survey</w:t>
      </w:r>
    </w:p>
    <w:p w14:paraId="3250106B" w14:textId="77777777" w:rsidR="00AC1675" w:rsidRDefault="00AC1675" w:rsidP="00AC1675">
      <w:pPr>
        <w:spacing w:after="0" w:line="240" w:lineRule="auto"/>
        <w:jc w:val="center"/>
        <w:rPr>
          <w:rFonts w:ascii="Garamond" w:hAnsi="Garamond" w:cs="Arial"/>
          <w:sz w:val="20"/>
          <w:szCs w:val="20"/>
        </w:rPr>
      </w:pPr>
      <w:r w:rsidRPr="3F1AAA42">
        <w:rPr>
          <w:rFonts w:ascii="Garamond" w:hAnsi="Garamond" w:cs="Arial"/>
          <w:sz w:val="20"/>
          <w:szCs w:val="20"/>
        </w:rPr>
        <w:t>Dr. Anthony Vorster, Colorado State University, Natural Resource Ecology Lab (Primary Science Advisor)</w:t>
      </w:r>
    </w:p>
    <w:p w14:paraId="44929F74" w14:textId="77777777" w:rsidR="00AC1675" w:rsidRPr="00914B19" w:rsidRDefault="00AC1675" w:rsidP="00AC1675">
      <w:pPr>
        <w:spacing w:after="0" w:line="240" w:lineRule="auto"/>
        <w:jc w:val="center"/>
        <w:rPr>
          <w:rFonts w:ascii="Garamond" w:hAnsi="Garamond" w:cs="Arial"/>
          <w:sz w:val="20"/>
          <w:szCs w:val="20"/>
        </w:rPr>
      </w:pPr>
      <w:r w:rsidRPr="3F1AAA42">
        <w:rPr>
          <w:rFonts w:ascii="Garamond" w:hAnsi="Garamond" w:cs="Arial"/>
          <w:sz w:val="20"/>
          <w:szCs w:val="20"/>
        </w:rPr>
        <w:t>Dr. Brian Woodward, Colorado State University, Natural Resource Ecology Lab (Primary Science Advisor)</w:t>
      </w:r>
    </w:p>
    <w:p w14:paraId="47FC0307" w14:textId="77777777" w:rsidR="00AC1675" w:rsidRPr="00914B19" w:rsidRDefault="00AC1675" w:rsidP="00AC1675">
      <w:pPr>
        <w:spacing w:after="0" w:line="240" w:lineRule="auto"/>
        <w:jc w:val="center"/>
        <w:rPr>
          <w:rFonts w:ascii="Garamond" w:hAnsi="Garamond" w:cs="Arial"/>
          <w:sz w:val="20"/>
        </w:rPr>
      </w:pPr>
      <w:r w:rsidRPr="00914B19">
        <w:rPr>
          <w:rFonts w:ascii="Garamond" w:hAnsi="Garamond" w:cs="Arial"/>
          <w:sz w:val="20"/>
        </w:rPr>
        <w:t>Peder Engelstad, Colorado State University, Natural Resource Ecology Lab</w:t>
      </w:r>
    </w:p>
    <w:p w14:paraId="2A0CEDE0" w14:textId="77777777" w:rsidR="00AC1675" w:rsidRPr="00914B19" w:rsidRDefault="00AC1675" w:rsidP="00AC1675">
      <w:pPr>
        <w:spacing w:after="0" w:line="240" w:lineRule="auto"/>
        <w:jc w:val="center"/>
        <w:rPr>
          <w:rFonts w:ascii="Garamond" w:hAnsi="Garamond" w:cs="Arial"/>
          <w:sz w:val="20"/>
        </w:rPr>
      </w:pPr>
      <w:r w:rsidRPr="00914B19">
        <w:rPr>
          <w:rFonts w:ascii="Garamond" w:hAnsi="Garamond" w:cs="Arial"/>
          <w:sz w:val="20"/>
        </w:rPr>
        <w:t>Nicholas Young, Colorado State University, Natural Resource Ecology Lab</w:t>
      </w:r>
    </w:p>
    <w:p w14:paraId="1A782D87" w14:textId="77777777" w:rsidR="009C10DA" w:rsidRDefault="0064280B" w:rsidP="009C10DA">
      <w:pPr>
        <w:pStyle w:val="Heading1"/>
        <w:rPr>
          <w:rFonts w:ascii="Garamond" w:hAnsi="Garamond" w:cs="Arial"/>
          <w:sz w:val="20"/>
          <w:szCs w:val="20"/>
        </w:rPr>
      </w:pPr>
      <w:r w:rsidRPr="0066138C">
        <w:rPr>
          <w:rFonts w:ascii="Garamond" w:hAnsi="Garamond" w:cs="Arial"/>
          <w:sz w:val="20"/>
          <w:szCs w:val="20"/>
        </w:rPr>
        <w:br w:type="page"/>
      </w:r>
    </w:p>
    <w:p w14:paraId="0F7754A2" w14:textId="77777777" w:rsidR="009C10DA" w:rsidRPr="00914B19" w:rsidRDefault="009C10DA" w:rsidP="009C10DA">
      <w:pPr>
        <w:pStyle w:val="Heading1"/>
        <w:spacing w:before="0" w:line="240" w:lineRule="auto"/>
        <w:rPr>
          <w:rFonts w:ascii="Garamond" w:hAnsi="Garamond"/>
        </w:rPr>
      </w:pPr>
      <w:r w:rsidRPr="00914B19">
        <w:rPr>
          <w:rFonts w:ascii="Garamond" w:hAnsi="Garamond"/>
        </w:rPr>
        <w:lastRenderedPageBreak/>
        <w:t>1. Abstract</w:t>
      </w:r>
    </w:p>
    <w:p w14:paraId="6FF6945B" w14:textId="77777777" w:rsidR="009C10DA" w:rsidRDefault="009C10DA" w:rsidP="009C10DA">
      <w:pPr>
        <w:spacing w:after="0" w:line="240" w:lineRule="auto"/>
        <w:rPr>
          <w:rFonts w:ascii="Garamond" w:eastAsia="Garamond" w:hAnsi="Garamond" w:cs="Garamond"/>
          <w:color w:val="000000" w:themeColor="text1"/>
        </w:rPr>
      </w:pPr>
      <w:r w:rsidRPr="5492323B">
        <w:rPr>
          <w:rFonts w:ascii="Garamond" w:eastAsia="Garamond" w:hAnsi="Garamond" w:cs="Garamond"/>
          <w:color w:val="000000" w:themeColor="text1"/>
        </w:rPr>
        <w:t>Cheatgrass (</w:t>
      </w:r>
      <w:r w:rsidRPr="5492323B">
        <w:rPr>
          <w:rFonts w:ascii="Garamond" w:eastAsia="Garamond" w:hAnsi="Garamond" w:cs="Garamond"/>
          <w:i/>
          <w:iCs/>
          <w:color w:val="000000" w:themeColor="text1"/>
        </w:rPr>
        <w:t>Bromus tectorum</w:t>
      </w:r>
      <w:r w:rsidRPr="5492323B">
        <w:rPr>
          <w:rFonts w:ascii="Garamond" w:eastAsia="Garamond" w:hAnsi="Garamond" w:cs="Garamond"/>
          <w:color w:val="000000" w:themeColor="text1"/>
        </w:rPr>
        <w:t>) is a prominent invasive species in the Intermountain West that has the potential to out-compete native plant species, reduce biodiversity, and reduce quality of habitat for ungulates. Furthermore, because cheatgrass readily establishes in disturbed landscapes, it can potentially increase fuel loads and exacerbate wildfire risk. In 2020, the Mullen Fire burned 176,878 acres in Carbon and Albany Counties, Wyoming and Jackson County, Colorado. Large fires such as this one raise concern for our partners, the United States Forest Service and the United States Geological Survey Fort Collins Science Center who are tasked with rapidly detecting and controlling invasive species in the post-fire environment. We developed a random forest model trained by in-situ field data and spectral indices such as Normalized Difference Vegetation Index, Soil Adjusted Vegetation Index, and Enhanced Vegetation Index derived from Landsat 8 Operational Land Imager, Sentinel-2 MultiSpectral Instrument, and Shuttle Radar Topography Mission to detect and map cheatgrass presence during the 2021 growing season. Our team was able to successfully create a spectral cheatgrass detection map in the study area (RMSE = 13.71, R</w:t>
      </w:r>
      <w:r w:rsidRPr="5492323B">
        <w:rPr>
          <w:rFonts w:ascii="Garamond" w:eastAsia="Garamond" w:hAnsi="Garamond" w:cs="Garamond"/>
          <w:color w:val="000000" w:themeColor="text1"/>
          <w:vertAlign w:val="superscript"/>
        </w:rPr>
        <w:t>2</w:t>
      </w:r>
      <w:r w:rsidRPr="5492323B">
        <w:rPr>
          <w:rFonts w:ascii="Garamond" w:eastAsia="Garamond" w:hAnsi="Garamond" w:cs="Garamond"/>
          <w:color w:val="000000" w:themeColor="text1"/>
        </w:rPr>
        <w:t xml:space="preserve"> = 0.34). We also produced a NDVI time-series derived from Sentinel-2 MSI to analyze vegetation recovery pattens.</w:t>
      </w:r>
    </w:p>
    <w:p w14:paraId="61A6482A" w14:textId="77777777" w:rsidR="009C10DA" w:rsidRPr="00914B19" w:rsidRDefault="009C10DA" w:rsidP="009C10DA">
      <w:pPr>
        <w:spacing w:after="0" w:line="240" w:lineRule="auto"/>
        <w:rPr>
          <w:rFonts w:ascii="Garamond" w:hAnsi="Garamond" w:cs="Arial"/>
          <w:szCs w:val="24"/>
        </w:rPr>
      </w:pPr>
    </w:p>
    <w:p w14:paraId="432B5CAF" w14:textId="77777777" w:rsidR="009C10DA" w:rsidRPr="00914B19" w:rsidRDefault="009C10DA" w:rsidP="009C10DA">
      <w:pPr>
        <w:spacing w:after="0" w:line="240" w:lineRule="auto"/>
        <w:rPr>
          <w:rFonts w:ascii="Garamond" w:hAnsi="Garamond" w:cs="Arial"/>
          <w:b/>
        </w:rPr>
      </w:pPr>
      <w:r w:rsidRPr="5492323B">
        <w:rPr>
          <w:rFonts w:ascii="Garamond" w:hAnsi="Garamond" w:cs="Arial"/>
          <w:b/>
          <w:bCs/>
        </w:rPr>
        <w:t>Key Terms</w:t>
      </w:r>
    </w:p>
    <w:p w14:paraId="718F6EDA" w14:textId="77777777" w:rsidR="009C10DA" w:rsidRDefault="009C10DA" w:rsidP="009C10DA">
      <w:pPr>
        <w:spacing w:after="0" w:line="240" w:lineRule="auto"/>
        <w:rPr>
          <w:rFonts w:ascii="Garamond" w:hAnsi="Garamond" w:cs="Arial"/>
        </w:rPr>
      </w:pPr>
      <w:r w:rsidRPr="5492323B">
        <w:rPr>
          <w:rFonts w:ascii="Garamond" w:hAnsi="Garamond" w:cs="Arial"/>
        </w:rPr>
        <w:t xml:space="preserve">remote sensing, post-fire, invasive species, cheatgrass presence, Landsat 8 OLI, Sentinel-2 MSI, random  </w:t>
      </w:r>
    </w:p>
    <w:p w14:paraId="269C93C3" w14:textId="77777777" w:rsidR="009C10DA" w:rsidRDefault="009C10DA" w:rsidP="009C10DA">
      <w:pPr>
        <w:spacing w:after="0" w:line="240" w:lineRule="auto"/>
        <w:rPr>
          <w:rFonts w:ascii="Garamond" w:hAnsi="Garamond" w:cs="Arial"/>
        </w:rPr>
      </w:pPr>
      <w:r w:rsidRPr="5492323B">
        <w:rPr>
          <w:rFonts w:ascii="Garamond" w:hAnsi="Garamond" w:cs="Arial"/>
        </w:rPr>
        <w:t>forest</w:t>
      </w:r>
    </w:p>
    <w:p w14:paraId="7BFA5F77" w14:textId="613A73C5" w:rsidR="009C10DA" w:rsidRPr="00810989" w:rsidRDefault="009C10DA" w:rsidP="009C10DA">
      <w:pPr>
        <w:pStyle w:val="Heading1"/>
        <w:rPr>
          <w:rFonts w:ascii="Garamond" w:eastAsia="Garamond" w:hAnsi="Garamond" w:cs="Garamond"/>
        </w:rPr>
      </w:pPr>
      <w:r w:rsidRPr="2BD5D6E5">
        <w:rPr>
          <w:rFonts w:ascii="Garamond" w:eastAsia="Garamond" w:hAnsi="Garamond" w:cs="Garamond"/>
        </w:rPr>
        <w:t>2. Introduction</w:t>
      </w:r>
    </w:p>
    <w:p w14:paraId="4F2D6193" w14:textId="77777777" w:rsidR="009C10DA" w:rsidRPr="0066138C" w:rsidRDefault="009C10DA" w:rsidP="009C10DA">
      <w:pPr>
        <w:pStyle w:val="NoSpacing"/>
        <w:rPr>
          <w:rFonts w:ascii="Garamond" w:eastAsia="Garamond" w:hAnsi="Garamond" w:cs="Garamond"/>
          <w:b/>
          <w:bCs/>
          <w:i/>
          <w:iCs/>
        </w:rPr>
      </w:pPr>
      <w:bookmarkStart w:id="0" w:name="_Toc334198721"/>
      <w:r w:rsidRPr="194B89F8">
        <w:rPr>
          <w:rFonts w:ascii="Garamond" w:eastAsia="Garamond" w:hAnsi="Garamond" w:cs="Garamond"/>
          <w:b/>
          <w:bCs/>
          <w:i/>
          <w:iCs/>
        </w:rPr>
        <w:t>2.1 Background Information</w:t>
      </w:r>
    </w:p>
    <w:p w14:paraId="1B051C4C" w14:textId="77777777" w:rsidR="009C10DA" w:rsidRPr="00810989" w:rsidRDefault="009C10DA" w:rsidP="009C10DA">
      <w:pPr>
        <w:spacing w:after="0" w:line="240" w:lineRule="auto"/>
        <w:rPr>
          <w:rFonts w:ascii="Garamond" w:hAnsi="Garamond"/>
        </w:rPr>
      </w:pPr>
      <w:r w:rsidRPr="14D27B37">
        <w:rPr>
          <w:rFonts w:ascii="Garamond" w:eastAsia="Garamond" w:hAnsi="Garamond" w:cs="Garamond"/>
        </w:rPr>
        <w:t xml:space="preserve">Invasive species </w:t>
      </w:r>
      <w:r w:rsidRPr="14D27B37">
        <w:rPr>
          <w:rFonts w:ascii="Garamond" w:eastAsia="Garamond" w:hAnsi="Garamond" w:cs="Garamond"/>
          <w:i/>
          <w:iCs/>
        </w:rPr>
        <w:t>Bromus tectorum</w:t>
      </w:r>
      <w:r w:rsidRPr="14D27B37">
        <w:rPr>
          <w:rFonts w:ascii="Garamond" w:eastAsia="Garamond" w:hAnsi="Garamond" w:cs="Garamond"/>
        </w:rPr>
        <w:t>, or cheatgrass, was introduced to the US in the 1800s through grain seed and packing material imports (Novak &amp; Mack, 2001). Cheatgrass has since become a prominent invasive species in the Intermountain West from the Rockies to the Cascadian range. Cheatgrass germinates in the fall, spreading an extensive seed bank before winter, growing to maturity in spring, and dying off by early summer. Traits such as prioritizing seed production over root development, establishing quickly in disturbed areas, and favoring elevated nitrogen levels have allowed cheatgrass to out-compete native vegetation and readily establish in post-wildfire landscapes. Cheatgrass can potentially alter ecosystem fire regimes post-invasion, increasing fire frequency and intensity, which further exacerbates the invasion (Peters &amp; Bunting, 1994; Bradley et al., 2018).</w:t>
      </w:r>
    </w:p>
    <w:p w14:paraId="2E1B458F" w14:textId="77777777" w:rsidR="009C10DA" w:rsidRDefault="009C10DA" w:rsidP="009C10DA">
      <w:pPr>
        <w:spacing w:after="0" w:line="240" w:lineRule="auto"/>
        <w:rPr>
          <w:rFonts w:ascii="Garamond" w:eastAsia="Garamond" w:hAnsi="Garamond" w:cs="Garamond"/>
        </w:rPr>
      </w:pPr>
    </w:p>
    <w:p w14:paraId="67485065" w14:textId="77777777" w:rsidR="009C10DA" w:rsidRPr="00810989" w:rsidRDefault="009C10DA" w:rsidP="009C10DA">
      <w:pPr>
        <w:spacing w:after="0" w:line="240" w:lineRule="auto"/>
        <w:rPr>
          <w:rFonts w:ascii="Garamond" w:eastAsia="Garamond" w:hAnsi="Garamond" w:cs="Garamond"/>
        </w:rPr>
      </w:pPr>
      <w:r w:rsidRPr="194B89F8">
        <w:rPr>
          <w:rFonts w:ascii="Garamond" w:eastAsia="Garamond" w:hAnsi="Garamond" w:cs="Garamond"/>
        </w:rPr>
        <w:t>Physical, cultural, biological, and chemical methods can be used to control the spread of cheatgrass depending on the management goals and objectives. To determine an appropriate method, land managers need to assess the degree and density of infestation, current land use, and site conditions (USDA 2014). Due to the difficulties associated with field-based data collection, the use of remote sensing is promising since it provides a landscape-level view of an area with a high temporal resolution (Rocchini, 2010).</w:t>
      </w:r>
    </w:p>
    <w:bookmarkEnd w:id="0"/>
    <w:p w14:paraId="5C411D8A" w14:textId="77777777" w:rsidR="009C10DA" w:rsidRPr="00341FA2" w:rsidRDefault="009C10DA" w:rsidP="009C10DA">
      <w:pPr>
        <w:spacing w:after="0" w:line="240" w:lineRule="auto"/>
        <w:rPr>
          <w:rFonts w:ascii="Garamond" w:hAnsi="Garamond"/>
        </w:rPr>
      </w:pPr>
    </w:p>
    <w:p w14:paraId="491711B9" w14:textId="77777777" w:rsidR="009C10DA" w:rsidRPr="00341FA2" w:rsidRDefault="009C10DA" w:rsidP="009C10DA">
      <w:pPr>
        <w:spacing w:after="0" w:line="240" w:lineRule="auto"/>
        <w:rPr>
          <w:rFonts w:ascii="Garamond" w:hAnsi="Garamond"/>
        </w:rPr>
      </w:pPr>
      <w:r w:rsidRPr="194B89F8">
        <w:rPr>
          <w:rFonts w:ascii="Garamond" w:eastAsia="Garamond" w:hAnsi="Garamond" w:cs="Garamond"/>
        </w:rPr>
        <w:t xml:space="preserve">Remote sensing can provide a unique approach for the detection of invasive plants and freely available imagery can be used to evaluate its distribution. Vegetation indices derived from different spectral bands have been recognized as useful transformations to distinguish vegetation on the landscape (West et al., 2017). </w:t>
      </w:r>
      <w:r w:rsidRPr="194B89F8">
        <w:rPr>
          <w:rFonts w:ascii="Garamond" w:hAnsi="Garamond"/>
        </w:rPr>
        <w:t xml:space="preserve">The </w:t>
      </w:r>
      <w:r w:rsidRPr="194B89F8">
        <w:rPr>
          <w:rFonts w:ascii="Garamond" w:eastAsia="Garamond" w:hAnsi="Garamond" w:cs="Garamond"/>
          <w:color w:val="000000" w:themeColor="text1"/>
        </w:rPr>
        <w:t>Landsat 8 Operational Land Imager (Landsat 8</w:t>
      </w:r>
      <w:r>
        <w:rPr>
          <w:rFonts w:ascii="Garamond" w:eastAsia="Garamond" w:hAnsi="Garamond" w:cs="Garamond"/>
          <w:color w:val="000000" w:themeColor="text1"/>
        </w:rPr>
        <w:t xml:space="preserve"> OLI</w:t>
      </w:r>
      <w:r w:rsidRPr="194B89F8">
        <w:rPr>
          <w:rFonts w:ascii="Garamond" w:eastAsia="Garamond" w:hAnsi="Garamond" w:cs="Garamond"/>
          <w:color w:val="000000" w:themeColor="text1"/>
        </w:rPr>
        <w:t>) and Sentinel-2</w:t>
      </w:r>
      <w:r w:rsidRPr="194B89F8">
        <w:rPr>
          <w:rFonts w:ascii="Garamond" w:eastAsia="Garamond" w:hAnsi="Garamond" w:cs="Garamond"/>
        </w:rPr>
        <w:t xml:space="preserve"> MultiSpectral Instrument (Sentinel-2</w:t>
      </w:r>
      <w:r>
        <w:rPr>
          <w:rFonts w:ascii="Garamond" w:eastAsia="Garamond" w:hAnsi="Garamond" w:cs="Garamond"/>
        </w:rPr>
        <w:t xml:space="preserve"> MSI</w:t>
      </w:r>
      <w:r w:rsidRPr="194B89F8">
        <w:rPr>
          <w:rFonts w:ascii="Garamond" w:eastAsia="Garamond" w:hAnsi="Garamond" w:cs="Garamond"/>
        </w:rPr>
        <w:t>)</w:t>
      </w:r>
      <w:r w:rsidRPr="194B89F8">
        <w:rPr>
          <w:rFonts w:ascii="Garamond" w:hAnsi="Garamond"/>
        </w:rPr>
        <w:t xml:space="preserve"> provide multispectral and moderate spatial resolution imagery of the earth’s surface making both ideal instruments for deriving vegetation indices and monitoring vegetation.</w:t>
      </w:r>
    </w:p>
    <w:p w14:paraId="2558426B" w14:textId="190A821C" w:rsidR="0064280B" w:rsidRDefault="0064280B" w:rsidP="0066138C">
      <w:pPr>
        <w:spacing w:after="0" w:line="240" w:lineRule="auto"/>
        <w:rPr>
          <w:rFonts w:ascii="Garamond" w:hAnsi="Garamond" w:cs="Arial"/>
          <w:sz w:val="20"/>
          <w:szCs w:val="20"/>
        </w:rPr>
      </w:pPr>
    </w:p>
    <w:p w14:paraId="432E2A10" w14:textId="5F532994" w:rsidR="009C10DA" w:rsidRDefault="009C10DA" w:rsidP="0066138C">
      <w:pPr>
        <w:spacing w:after="0" w:line="240" w:lineRule="auto"/>
        <w:rPr>
          <w:rFonts w:ascii="Garamond" w:hAnsi="Garamond" w:cs="Arial"/>
        </w:rPr>
      </w:pPr>
      <w:r w:rsidRPr="009C10DA">
        <w:rPr>
          <w:rFonts w:ascii="Garamond" w:hAnsi="Garamond" w:cs="Arial"/>
        </w:rPr>
        <w:t>For example, Bradley et al. (2018) used satellite phenology predictors and field surveys of cheatgrass abundance to create regional models of cheatgrass distribution and percent cover. This study found that 1) cheatgrass is more spatially exclusive and abundant than previously documented and 2) cheatgrass has the potential to double fire frequency. West et al. (2017) successfully mapped cheatgrass cover with high accuracy in aerial herbicide sprayed areas after the Squirrel Creek fire in Medicine Bow National Forest using tasseled cap indices, a Modified Normalized Difference Water Index (MNDWI), and a Normalized Difference Water Index (NDWI) derived from summer months.</w:t>
      </w:r>
    </w:p>
    <w:p w14:paraId="146EFC58" w14:textId="00D36CD4" w:rsidR="009C10DA" w:rsidRDefault="009C10DA" w:rsidP="0066138C">
      <w:pPr>
        <w:spacing w:after="0" w:line="240" w:lineRule="auto"/>
        <w:rPr>
          <w:rFonts w:ascii="Garamond" w:hAnsi="Garamond" w:cs="Arial"/>
        </w:rPr>
      </w:pPr>
    </w:p>
    <w:p w14:paraId="618BBD35" w14:textId="77777777" w:rsidR="009C10DA" w:rsidRDefault="009C10DA" w:rsidP="009C10DA">
      <w:pPr>
        <w:pStyle w:val="NoSpacing"/>
        <w:rPr>
          <w:rFonts w:ascii="Garamond" w:eastAsia="Garamond" w:hAnsi="Garamond" w:cs="Garamond"/>
          <w:b/>
          <w:bCs/>
          <w:i/>
          <w:iCs/>
        </w:rPr>
      </w:pPr>
      <w:r w:rsidRPr="5492323B">
        <w:rPr>
          <w:rFonts w:ascii="Garamond" w:eastAsia="Garamond" w:hAnsi="Garamond" w:cs="Garamond"/>
          <w:b/>
          <w:bCs/>
          <w:i/>
          <w:iCs/>
        </w:rPr>
        <w:t>2.2 Project Partners &amp; Objectives</w:t>
      </w:r>
    </w:p>
    <w:p w14:paraId="48E68D32" w14:textId="77777777" w:rsidR="009C10DA" w:rsidRDefault="009C10DA" w:rsidP="009C10DA">
      <w:pPr>
        <w:pStyle w:val="NoSpacing"/>
        <w:rPr>
          <w:rFonts w:ascii="Garamond" w:eastAsia="Garamond" w:hAnsi="Garamond" w:cs="Garamond"/>
        </w:rPr>
      </w:pPr>
      <w:r w:rsidRPr="194B89F8">
        <w:rPr>
          <w:rFonts w:ascii="Garamond" w:eastAsia="Garamond" w:hAnsi="Garamond" w:cs="Garamond"/>
        </w:rPr>
        <w:t xml:space="preserve">The Mullen Fire ignited in September 2020 and burned 176,878 acres across Wyoming and northern Colorado. Land managers have become concerned about the potential spread of the invasive species Bromus tectorum, cheatgrass, into large post-fire regions. The U.S. Forest Service and Wyoming Game &amp; Fish Department are both concerned with managing recovery after the Mullen Fire. They have identified the control of invasive species as a common goal to provide quality habitat and encourage the recovery of native vegetation. They sprayed cheatgrass with herbicide during the summer of 2021, with planned efforts to continue over the next few years. They are deciding which areas to prioritize for treatment in the future and are interested in evaluating the effectiveness of spraying in post-fire environments.  </w:t>
      </w:r>
    </w:p>
    <w:p w14:paraId="4FC38311" w14:textId="77777777" w:rsidR="009C10DA" w:rsidRDefault="009C10DA" w:rsidP="009C10DA">
      <w:pPr>
        <w:spacing w:after="0" w:line="240" w:lineRule="auto"/>
        <w:rPr>
          <w:rFonts w:ascii="Garamond" w:eastAsia="Garamond" w:hAnsi="Garamond" w:cs="Garamond"/>
        </w:rPr>
      </w:pPr>
    </w:p>
    <w:p w14:paraId="1A87FD18" w14:textId="77777777" w:rsidR="009C10DA" w:rsidRPr="00341FA2" w:rsidRDefault="009C10DA" w:rsidP="009C10DA">
      <w:pPr>
        <w:spacing w:after="0" w:line="240" w:lineRule="auto"/>
        <w:rPr>
          <w:rFonts w:ascii="Garamond" w:eastAsia="Garamond" w:hAnsi="Garamond" w:cs="Garamond"/>
        </w:rPr>
      </w:pPr>
      <w:r w:rsidRPr="4DC731BF">
        <w:rPr>
          <w:rFonts w:ascii="Garamond" w:eastAsia="Garamond" w:hAnsi="Garamond" w:cs="Garamond"/>
        </w:rPr>
        <w:t>The team investigated the use of remote sensing data to detect and map cheatgrass in this post-fire environment to inform the US Forest Service and Wyoming Game &amp; Fish Department management efforts. Additionally, we utilized pre- and post-fire imagery to generate a burn severity and vegetation recovery analysis and explored patterns in cheatgrass cover. These data may provide our partners with critical information to assess the current extent of cheatgrass and plan for appropriate mitigation strategies.</w:t>
      </w:r>
    </w:p>
    <w:p w14:paraId="6E0533FE" w14:textId="77777777" w:rsidR="009C10DA" w:rsidRDefault="009C10DA" w:rsidP="009C10DA">
      <w:pPr>
        <w:spacing w:after="0" w:line="240" w:lineRule="auto"/>
        <w:rPr>
          <w:rFonts w:ascii="Garamond" w:eastAsia="Garamond" w:hAnsi="Garamond" w:cs="Garamond"/>
        </w:rPr>
      </w:pPr>
    </w:p>
    <w:p w14:paraId="58A892E7" w14:textId="77777777" w:rsidR="009C10DA" w:rsidRPr="006F7B3D" w:rsidRDefault="009C10DA" w:rsidP="009C10DA">
      <w:pPr>
        <w:spacing w:after="0" w:line="240" w:lineRule="auto"/>
        <w:rPr>
          <w:rFonts w:ascii="Garamond" w:hAnsi="Garamond"/>
          <w:b/>
          <w:bCs/>
          <w:i/>
          <w:iCs/>
          <w:color w:val="2B579A"/>
        </w:rPr>
      </w:pPr>
      <w:r w:rsidRPr="5492323B">
        <w:rPr>
          <w:rFonts w:ascii="Garamond" w:hAnsi="Garamond"/>
          <w:b/>
          <w:bCs/>
          <w:i/>
          <w:iCs/>
        </w:rPr>
        <w:t>2.3 Study Area</w:t>
      </w:r>
    </w:p>
    <w:p w14:paraId="4A029E9D" w14:textId="45D107A2" w:rsidR="009C10DA" w:rsidRDefault="009C10DA" w:rsidP="009C10DA">
      <w:pPr>
        <w:spacing w:after="0" w:line="240" w:lineRule="auto"/>
        <w:rPr>
          <w:rFonts w:ascii="Garamond" w:hAnsi="Garamond"/>
        </w:rPr>
      </w:pPr>
      <w:r w:rsidRPr="194B89F8">
        <w:rPr>
          <w:rFonts w:ascii="Garamond" w:hAnsi="Garamond"/>
        </w:rPr>
        <w:t>The study area encompasses the Savage Run and Platte River Wilderness and the Medicine Bow National Forest, with an elevation range between 1,500m to 4,000m, with a broad range of habitat types (Figure 1). The upper elevations are primarily dominated by Engelmann spruce, ponderosa pine, and Douglas fir. At lower elevations the landscape is dominated by annual grasses and the sagebrush steppe and includes riparian habitats. For upland vegetation in the Medicine Bow National Forest, mean fire return intervals have become longer at low elevations on drier sites, but fire intensity is higher due to the amount and continuity of fuels that have developed in some areas, which could lead to more stand-replacing fires in the future (Dillon</w:t>
      </w:r>
      <w:r w:rsidR="005E05DF">
        <w:rPr>
          <w:rFonts w:ascii="Garamond" w:hAnsi="Garamond"/>
        </w:rPr>
        <w:t xml:space="preserve">, Knight, &amp; Meyer, </w:t>
      </w:r>
      <w:r>
        <w:rPr>
          <w:rFonts w:ascii="Garamond" w:hAnsi="Garamond"/>
        </w:rPr>
        <w:t xml:space="preserve">2005). In recent years, pre-emergent </w:t>
      </w:r>
      <w:r w:rsidRPr="009C10DA">
        <w:rPr>
          <w:rFonts w:ascii="Garamond" w:hAnsi="Garamond"/>
        </w:rPr>
        <w:t xml:space="preserve">herbicide treatments used near our study area have shown promising long-term reductions in cheatgrass (Courkamp </w:t>
      </w:r>
      <w:r w:rsidR="005E05DF">
        <w:rPr>
          <w:rFonts w:ascii="Garamond" w:hAnsi="Garamond"/>
        </w:rPr>
        <w:t>&amp;</w:t>
      </w:r>
      <w:r w:rsidRPr="009C10DA">
        <w:rPr>
          <w:rFonts w:ascii="Garamond" w:hAnsi="Garamond"/>
        </w:rPr>
        <w:t xml:space="preserve"> Meiman, 2020</w:t>
      </w:r>
      <w:r>
        <w:rPr>
          <w:rFonts w:ascii="Garamond" w:hAnsi="Garamond"/>
        </w:rPr>
        <w:t>).</w:t>
      </w:r>
    </w:p>
    <w:p w14:paraId="70553458" w14:textId="173D563E" w:rsidR="009C10DA" w:rsidRDefault="009C10DA" w:rsidP="009C10DA">
      <w:pPr>
        <w:spacing w:after="0" w:line="240" w:lineRule="auto"/>
        <w:jc w:val="center"/>
        <w:rPr>
          <w:rFonts w:ascii="Garamond" w:hAnsi="Garamond" w:cs="Arial"/>
        </w:rPr>
      </w:pPr>
      <w:r>
        <w:rPr>
          <w:rFonts w:ascii="Garamond" w:hAnsi="Garamond" w:cs="Arial"/>
          <w:noProof/>
        </w:rPr>
        <w:drawing>
          <wp:inline distT="0" distB="0" distL="0" distR="0" wp14:anchorId="51DBE95D" wp14:editId="598035FA">
            <wp:extent cx="4907915" cy="62674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915" cy="6267450"/>
                    </a:xfrm>
                    <a:prstGeom prst="rect">
                      <a:avLst/>
                    </a:prstGeom>
                    <a:noFill/>
                  </pic:spPr>
                </pic:pic>
              </a:graphicData>
            </a:graphic>
          </wp:inline>
        </w:drawing>
      </w:r>
      <w:r>
        <w:rPr>
          <w:rFonts w:ascii="Garamond" w:hAnsi="Garamond" w:cs="Arial"/>
        </w:rPr>
        <w:tab/>
      </w:r>
    </w:p>
    <w:p w14:paraId="1E533CB9" w14:textId="7062B016" w:rsidR="009C10DA" w:rsidRPr="00E6673E" w:rsidRDefault="009C10DA" w:rsidP="00E6673E">
      <w:pPr>
        <w:pStyle w:val="Caption"/>
        <w:jc w:val="center"/>
        <w:rPr>
          <w:rFonts w:ascii="Garamond" w:hAnsi="Garamond"/>
          <w:i w:val="0"/>
          <w:iCs w:val="0"/>
          <w:color w:val="000000" w:themeColor="text1"/>
          <w:sz w:val="22"/>
          <w:szCs w:val="22"/>
        </w:rPr>
      </w:pPr>
      <w:r w:rsidRPr="5492323B">
        <w:rPr>
          <w:rFonts w:ascii="Garamond" w:hAnsi="Garamond"/>
          <w:color w:val="000000" w:themeColor="text1"/>
          <w:sz w:val="22"/>
          <w:szCs w:val="22"/>
        </w:rPr>
        <w:t>Figure 1</w:t>
      </w:r>
      <w:r w:rsidRPr="5492323B">
        <w:rPr>
          <w:rFonts w:ascii="Garamond" w:hAnsi="Garamond"/>
          <w:i w:val="0"/>
          <w:iCs w:val="0"/>
          <w:color w:val="000000" w:themeColor="text1"/>
          <w:sz w:val="22"/>
          <w:szCs w:val="22"/>
        </w:rPr>
        <w:t>. A study area map of the Mullen Fire in southern Wyoming and northern Colorado. Percent cover of cheatgrass points are derived from field sampling measurements collected by US Forest Service and Wyoming Department of Fish and Game.</w:t>
      </w:r>
    </w:p>
    <w:p w14:paraId="2F9FD75B" w14:textId="77777777" w:rsidR="009C10DA" w:rsidRDefault="009C10DA" w:rsidP="009C10DA">
      <w:pPr>
        <w:pStyle w:val="Heading1"/>
        <w:rPr>
          <w:rFonts w:ascii="Garamond" w:eastAsia="Garamond" w:hAnsi="Garamond" w:cs="Garamond"/>
        </w:rPr>
      </w:pPr>
      <w:r w:rsidRPr="2BD5D6E5">
        <w:rPr>
          <w:rFonts w:ascii="Garamond" w:eastAsia="Garamond" w:hAnsi="Garamond" w:cs="Garamond"/>
        </w:rPr>
        <w:t>3. Methodology</w:t>
      </w:r>
    </w:p>
    <w:p w14:paraId="221577E8" w14:textId="77777777" w:rsidR="009C10DA" w:rsidRPr="00B60D77" w:rsidRDefault="009C10DA" w:rsidP="009C10DA">
      <w:pPr>
        <w:pStyle w:val="NoSpacing"/>
        <w:rPr>
          <w:rFonts w:ascii="Garamond" w:eastAsia="Garamond" w:hAnsi="Garamond" w:cs="Garamond"/>
          <w:b/>
          <w:bCs/>
          <w:i/>
          <w:iCs/>
        </w:rPr>
      </w:pPr>
      <w:r w:rsidRPr="75E5FDC0">
        <w:rPr>
          <w:rFonts w:ascii="Garamond" w:eastAsia="Garamond" w:hAnsi="Garamond" w:cs="Garamond"/>
          <w:b/>
          <w:bCs/>
          <w:i/>
          <w:iCs/>
        </w:rPr>
        <w:t xml:space="preserve">3.1 Data Acquisition </w:t>
      </w:r>
    </w:p>
    <w:p w14:paraId="2CA5BB73" w14:textId="77777777" w:rsidR="009C10DA" w:rsidRPr="00341FA2" w:rsidRDefault="009C10DA" w:rsidP="009C10DA">
      <w:pPr>
        <w:spacing w:after="0" w:line="240" w:lineRule="auto"/>
        <w:rPr>
          <w:rFonts w:ascii="Garamond" w:hAnsi="Garamond" w:cs="Arial"/>
          <w:color w:val="000000" w:themeColor="text1"/>
        </w:rPr>
      </w:pPr>
      <w:r w:rsidRPr="194B89F8">
        <w:rPr>
          <w:rFonts w:ascii="Garamond" w:hAnsi="Garamond" w:cs="Arial"/>
        </w:rPr>
        <w:t xml:space="preserve">Remote sensing data from </w:t>
      </w:r>
      <w:r w:rsidRPr="194B89F8">
        <w:rPr>
          <w:rFonts w:ascii="Garamond" w:eastAsia="Times New Roman" w:hAnsi="Garamond" w:cs="Arial"/>
        </w:rPr>
        <w:t>Landsat 8</w:t>
      </w:r>
      <w:r>
        <w:rPr>
          <w:rFonts w:ascii="Garamond" w:eastAsia="Times New Roman" w:hAnsi="Garamond" w:cs="Arial"/>
        </w:rPr>
        <w:t xml:space="preserve"> OLI</w:t>
      </w:r>
      <w:r w:rsidRPr="194B89F8">
        <w:rPr>
          <w:rFonts w:ascii="Garamond" w:hAnsi="Garamond" w:cs="Arial"/>
        </w:rPr>
        <w:t xml:space="preserve">, </w:t>
      </w:r>
      <w:r w:rsidRPr="194B89F8">
        <w:rPr>
          <w:rFonts w:ascii="Garamond" w:eastAsia="Times New Roman" w:hAnsi="Garamond" w:cs="Arial"/>
        </w:rPr>
        <w:t>Sentinel-2</w:t>
      </w:r>
      <w:r>
        <w:rPr>
          <w:rFonts w:ascii="Garamond" w:eastAsia="Times New Roman" w:hAnsi="Garamond" w:cs="Arial"/>
        </w:rPr>
        <w:t xml:space="preserve"> MSI</w:t>
      </w:r>
      <w:r w:rsidRPr="194B89F8">
        <w:rPr>
          <w:rFonts w:ascii="Garamond" w:eastAsia="Times New Roman" w:hAnsi="Garamond" w:cs="Arial"/>
        </w:rPr>
        <w:t xml:space="preserve">, </w:t>
      </w:r>
      <w:r w:rsidRPr="194B89F8">
        <w:rPr>
          <w:rFonts w:ascii="Garamond" w:hAnsi="Garamond" w:cs="Arial"/>
        </w:rPr>
        <w:t xml:space="preserve">and Shuttle Radar Topography Mission Data Version 3 (SRTM) were obtained from Google Earth Engine </w:t>
      </w:r>
      <w:r w:rsidRPr="194B89F8">
        <w:rPr>
          <w:rFonts w:ascii="Garamond" w:hAnsi="Garamond" w:cs="Arial"/>
          <w:color w:val="000000" w:themeColor="text1"/>
        </w:rPr>
        <w:t xml:space="preserve">(GEE) (Table 1). In our predictor selection process, we took into consideration that cheatgrass has a unique life cycle compared to surrounding vegetation. The cheatgrass life cycle has an early green up in the spring and senescence occurs in July. </w:t>
      </w:r>
      <w:r w:rsidRPr="194B89F8">
        <w:rPr>
          <w:rFonts w:ascii="Garamond" w:hAnsi="Garamond" w:cs="Helvetica Neue"/>
          <w:color w:val="000000" w:themeColor="text1"/>
        </w:rPr>
        <w:t xml:space="preserve">In order to capture its phenological stages, </w:t>
      </w:r>
      <w:r w:rsidRPr="194B89F8">
        <w:rPr>
          <w:rFonts w:ascii="Garamond" w:hAnsi="Garamond" w:cs="Arial"/>
          <w:color w:val="000000" w:themeColor="text1"/>
        </w:rPr>
        <w:t>we acquired post-fire images from summer months in 2021 (Table 1).</w:t>
      </w:r>
    </w:p>
    <w:p w14:paraId="6D14FF25" w14:textId="77777777" w:rsidR="009C10DA" w:rsidRDefault="009C10DA" w:rsidP="009C10DA">
      <w:pPr>
        <w:pStyle w:val="NoSpacing"/>
        <w:keepNext/>
        <w:rPr>
          <w:rFonts w:ascii="Garamond" w:eastAsia="Garamond" w:hAnsi="Garamond" w:cs="Garamond"/>
        </w:rPr>
      </w:pPr>
    </w:p>
    <w:p w14:paraId="598D1C83" w14:textId="77777777" w:rsidR="009C10DA" w:rsidRPr="00330DC8" w:rsidRDefault="009C10DA" w:rsidP="009C10DA">
      <w:pPr>
        <w:pStyle w:val="NoSpacing"/>
        <w:keepNext/>
        <w:rPr>
          <w:rFonts w:ascii="Garamond" w:eastAsia="Garamond" w:hAnsi="Garamond" w:cs="Garamond"/>
        </w:rPr>
      </w:pPr>
      <w:r w:rsidRPr="4BBB895B">
        <w:rPr>
          <w:rFonts w:ascii="Garamond" w:eastAsia="Garamond" w:hAnsi="Garamond" w:cs="Garamond"/>
        </w:rPr>
        <w:t xml:space="preserve">Table </w:t>
      </w:r>
      <w:r w:rsidRPr="4BBB895B">
        <w:rPr>
          <w:rFonts w:ascii="Garamond" w:hAnsi="Garamond"/>
          <w:color w:val="000000" w:themeColor="text1"/>
          <w:sz w:val="20"/>
          <w:szCs w:val="20"/>
          <w:shd w:val="clear" w:color="auto" w:fill="E6E6E6"/>
        </w:rPr>
        <w:fldChar w:fldCharType="begin"/>
      </w:r>
      <w:r w:rsidRPr="4BBB895B">
        <w:rPr>
          <w:rFonts w:ascii="Garamond" w:hAnsi="Garamond"/>
          <w:color w:val="000000" w:themeColor="text1"/>
          <w:sz w:val="20"/>
          <w:szCs w:val="20"/>
        </w:rPr>
        <w:instrText xml:space="preserve"> SEQ Table \* ARABIC </w:instrText>
      </w:r>
      <w:r w:rsidRPr="4BBB895B">
        <w:rPr>
          <w:rFonts w:ascii="Garamond" w:hAnsi="Garamond"/>
          <w:color w:val="000000" w:themeColor="text1"/>
          <w:sz w:val="20"/>
          <w:szCs w:val="20"/>
          <w:shd w:val="clear" w:color="auto" w:fill="E6E6E6"/>
        </w:rPr>
        <w:fldChar w:fldCharType="separate"/>
      </w:r>
      <w:r w:rsidRPr="4BBB895B">
        <w:rPr>
          <w:rFonts w:ascii="Garamond" w:hAnsi="Garamond"/>
          <w:color w:val="000000" w:themeColor="text1"/>
          <w:sz w:val="20"/>
          <w:szCs w:val="20"/>
        </w:rPr>
        <w:t>1</w:t>
      </w:r>
      <w:r w:rsidRPr="4BBB895B">
        <w:rPr>
          <w:rFonts w:ascii="Garamond" w:hAnsi="Garamond"/>
          <w:color w:val="000000" w:themeColor="text1"/>
          <w:sz w:val="20"/>
          <w:szCs w:val="20"/>
          <w:shd w:val="clear" w:color="auto" w:fill="E6E6E6"/>
        </w:rPr>
        <w:fldChar w:fldCharType="end"/>
      </w:r>
      <w:r w:rsidRPr="4BBB895B">
        <w:rPr>
          <w:rFonts w:ascii="Garamond" w:eastAsia="Garamond" w:hAnsi="Garamond" w:cs="Garamond"/>
        </w:rPr>
        <w:t xml:space="preserve">. </w:t>
      </w:r>
    </w:p>
    <w:p w14:paraId="158BA0FD" w14:textId="77777777" w:rsidR="009C10DA" w:rsidRPr="00330DC8" w:rsidRDefault="009C10DA" w:rsidP="009C10DA">
      <w:pPr>
        <w:pStyle w:val="NoSpacing"/>
        <w:keepNext/>
        <w:rPr>
          <w:rFonts w:ascii="Garamond" w:eastAsia="Garamond" w:hAnsi="Garamond" w:cs="Garamond"/>
          <w:i/>
          <w:iCs/>
          <w:color w:val="000000" w:themeColor="text1"/>
        </w:rPr>
      </w:pPr>
      <w:r w:rsidRPr="78EA0B96">
        <w:rPr>
          <w:rFonts w:ascii="Garamond" w:eastAsia="Garamond" w:hAnsi="Garamond" w:cs="Garamond"/>
          <w:i/>
          <w:iCs/>
        </w:rPr>
        <w:t>Remote sensing data sources. Source: which satellite data imagery was derived from</w:t>
      </w:r>
      <w:r>
        <w:rPr>
          <w:rFonts w:ascii="Garamond" w:eastAsia="Garamond" w:hAnsi="Garamond" w:cs="Garamond"/>
          <w:i/>
          <w:iCs/>
        </w:rPr>
        <w:t xml:space="preserve">, </w:t>
      </w:r>
      <w:r w:rsidRPr="78EA0B96">
        <w:rPr>
          <w:rFonts w:ascii="Garamond" w:eastAsia="Garamond" w:hAnsi="Garamond" w:cs="Garamond"/>
          <w:i/>
          <w:iCs/>
        </w:rPr>
        <w:t>Resolution: the original resolution of the images captured, Acquisition date: which dates the images derive from and whether they were pre- or post-Mullen Fire</w:t>
      </w:r>
    </w:p>
    <w:tbl>
      <w:tblPr>
        <w:tblW w:w="9360" w:type="dxa"/>
        <w:tblLayout w:type="fixed"/>
        <w:tblLook w:val="04A0" w:firstRow="1" w:lastRow="0" w:firstColumn="1" w:lastColumn="0" w:noHBand="0" w:noVBand="1"/>
      </w:tblPr>
      <w:tblGrid>
        <w:gridCol w:w="2220"/>
        <w:gridCol w:w="2086"/>
        <w:gridCol w:w="1455"/>
        <w:gridCol w:w="1713"/>
        <w:gridCol w:w="1886"/>
      </w:tblGrid>
      <w:tr w:rsidR="009C10DA" w14:paraId="6081A5A4" w14:textId="77777777" w:rsidTr="0095418F">
        <w:trPr>
          <w:trHeight w:val="255"/>
        </w:trPr>
        <w:tc>
          <w:tcPr>
            <w:tcW w:w="936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8ABC3C2" w14:textId="77777777" w:rsidR="009C10DA" w:rsidRDefault="009C10DA" w:rsidP="0095418F">
            <w:pPr>
              <w:jc w:val="center"/>
            </w:pPr>
            <w:r w:rsidRPr="4BBB895B">
              <w:rPr>
                <w:rFonts w:ascii="Garamond" w:eastAsia="Garamond" w:hAnsi="Garamond" w:cs="Garamond"/>
                <w:b/>
                <w:bCs/>
                <w:color w:val="000000" w:themeColor="text1"/>
              </w:rPr>
              <w:t>Satellite Data</w:t>
            </w:r>
          </w:p>
        </w:tc>
      </w:tr>
      <w:tr w:rsidR="009C10DA" w14:paraId="54CBC40B" w14:textId="77777777" w:rsidTr="0095418F">
        <w:trPr>
          <w:trHeight w:val="255"/>
        </w:trPr>
        <w:tc>
          <w:tcPr>
            <w:tcW w:w="2220" w:type="dxa"/>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8BC7F4F" w14:textId="77777777" w:rsidR="009C10DA" w:rsidRDefault="009C10DA" w:rsidP="0095418F">
            <w:pPr>
              <w:jc w:val="center"/>
            </w:pPr>
            <w:r w:rsidRPr="4BBB895B">
              <w:rPr>
                <w:rFonts w:ascii="Garamond" w:eastAsia="Garamond" w:hAnsi="Garamond" w:cs="Garamond"/>
                <w:b/>
                <w:bCs/>
                <w:color w:val="000000" w:themeColor="text1"/>
              </w:rPr>
              <w:t>Data</w:t>
            </w:r>
          </w:p>
        </w:tc>
        <w:tc>
          <w:tcPr>
            <w:tcW w:w="2086" w:type="dxa"/>
            <w:vMerge w:val="restart"/>
            <w:tcBorders>
              <w:top w:val="nil"/>
              <w:left w:val="single" w:sz="8" w:space="0" w:color="auto"/>
              <w:bottom w:val="single" w:sz="8" w:space="0" w:color="auto"/>
              <w:right w:val="single" w:sz="8" w:space="0" w:color="auto"/>
            </w:tcBorders>
            <w:shd w:val="clear" w:color="auto" w:fill="BFBFBF" w:themeFill="background1" w:themeFillShade="BF"/>
            <w:vAlign w:val="center"/>
          </w:tcPr>
          <w:p w14:paraId="226CE7C5" w14:textId="77777777" w:rsidR="009C10DA" w:rsidRDefault="009C10DA" w:rsidP="0095418F">
            <w:pPr>
              <w:jc w:val="center"/>
            </w:pPr>
            <w:r w:rsidRPr="4BBB895B">
              <w:rPr>
                <w:rFonts w:ascii="Garamond" w:eastAsia="Garamond" w:hAnsi="Garamond" w:cs="Garamond"/>
                <w:b/>
                <w:bCs/>
                <w:color w:val="000000" w:themeColor="text1"/>
              </w:rPr>
              <w:t>Data Source</w:t>
            </w:r>
            <w:r w:rsidRPr="4BBB895B">
              <w:rPr>
                <w:rFonts w:ascii="Garamond" w:eastAsia="Garamond" w:hAnsi="Garamond" w:cs="Garamond"/>
                <w:color w:val="000000" w:themeColor="text1"/>
              </w:rPr>
              <w:t xml:space="preserve">  </w:t>
            </w:r>
          </w:p>
        </w:tc>
        <w:tc>
          <w:tcPr>
            <w:tcW w:w="1455" w:type="dxa"/>
            <w:vMerge w:val="restart"/>
            <w:tcBorders>
              <w:top w:val="nil"/>
              <w:left w:val="single" w:sz="8" w:space="0" w:color="auto"/>
              <w:bottom w:val="single" w:sz="8" w:space="0" w:color="auto"/>
              <w:right w:val="single" w:sz="8" w:space="0" w:color="auto"/>
            </w:tcBorders>
            <w:shd w:val="clear" w:color="auto" w:fill="BFBFBF" w:themeFill="background1" w:themeFillShade="BF"/>
            <w:vAlign w:val="center"/>
          </w:tcPr>
          <w:p w14:paraId="470443E3" w14:textId="77777777" w:rsidR="009C10DA" w:rsidRDefault="009C10DA" w:rsidP="0095418F">
            <w:pPr>
              <w:jc w:val="center"/>
            </w:pPr>
            <w:r w:rsidRPr="4BBB895B">
              <w:rPr>
                <w:rFonts w:ascii="Garamond" w:eastAsia="Garamond" w:hAnsi="Garamond" w:cs="Garamond"/>
                <w:b/>
                <w:bCs/>
                <w:color w:val="000000" w:themeColor="text1"/>
              </w:rPr>
              <w:t>Spatial Resolution</w:t>
            </w:r>
          </w:p>
        </w:tc>
        <w:tc>
          <w:tcPr>
            <w:tcW w:w="3599" w:type="dxa"/>
            <w:gridSpan w:val="2"/>
            <w:tcBorders>
              <w:top w:val="nil"/>
              <w:left w:val="single" w:sz="8" w:space="0" w:color="auto"/>
              <w:bottom w:val="single" w:sz="8" w:space="0" w:color="auto"/>
              <w:right w:val="single" w:sz="8" w:space="0" w:color="auto"/>
            </w:tcBorders>
            <w:shd w:val="clear" w:color="auto" w:fill="BFBFBF" w:themeFill="background1" w:themeFillShade="BF"/>
            <w:vAlign w:val="center"/>
          </w:tcPr>
          <w:p w14:paraId="09AD34B5" w14:textId="77777777" w:rsidR="009C10DA" w:rsidRDefault="009C10DA" w:rsidP="0095418F">
            <w:pPr>
              <w:jc w:val="center"/>
            </w:pPr>
            <w:r w:rsidRPr="4BBB895B">
              <w:rPr>
                <w:rFonts w:ascii="Garamond" w:eastAsia="Garamond" w:hAnsi="Garamond" w:cs="Garamond"/>
                <w:b/>
                <w:bCs/>
                <w:color w:val="000000" w:themeColor="text1"/>
              </w:rPr>
              <w:t xml:space="preserve">Acquisition Date </w:t>
            </w:r>
            <w:r w:rsidRPr="4BBB895B">
              <w:rPr>
                <w:rFonts w:ascii="Garamond" w:eastAsia="Garamond" w:hAnsi="Garamond" w:cs="Garamond"/>
                <w:color w:val="000000" w:themeColor="text1"/>
              </w:rPr>
              <w:t xml:space="preserve"> </w:t>
            </w:r>
          </w:p>
        </w:tc>
      </w:tr>
      <w:tr w:rsidR="009C10DA" w14:paraId="651B376B" w14:textId="77777777" w:rsidTr="0095418F">
        <w:trPr>
          <w:trHeight w:val="195"/>
        </w:trPr>
        <w:tc>
          <w:tcPr>
            <w:tcW w:w="2220" w:type="dxa"/>
            <w:vMerge/>
            <w:vAlign w:val="center"/>
          </w:tcPr>
          <w:p w14:paraId="282CADFE" w14:textId="77777777" w:rsidR="009C10DA" w:rsidRDefault="009C10DA" w:rsidP="0095418F"/>
        </w:tc>
        <w:tc>
          <w:tcPr>
            <w:tcW w:w="2086" w:type="dxa"/>
            <w:vMerge/>
            <w:vAlign w:val="center"/>
          </w:tcPr>
          <w:p w14:paraId="551BB480" w14:textId="77777777" w:rsidR="009C10DA" w:rsidRDefault="009C10DA" w:rsidP="0095418F"/>
        </w:tc>
        <w:tc>
          <w:tcPr>
            <w:tcW w:w="1455" w:type="dxa"/>
            <w:vMerge/>
            <w:vAlign w:val="center"/>
          </w:tcPr>
          <w:p w14:paraId="22E87A6D" w14:textId="77777777" w:rsidR="009C10DA" w:rsidRDefault="009C10DA" w:rsidP="0095418F"/>
        </w:tc>
        <w:tc>
          <w:tcPr>
            <w:tcW w:w="1713"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BAD7EF7" w14:textId="77777777" w:rsidR="009C10DA" w:rsidRDefault="009C10DA" w:rsidP="0095418F">
            <w:pPr>
              <w:jc w:val="center"/>
            </w:pPr>
            <w:r w:rsidRPr="4BBB895B">
              <w:rPr>
                <w:rFonts w:ascii="Garamond" w:eastAsia="Garamond" w:hAnsi="Garamond" w:cs="Garamond"/>
                <w:b/>
                <w:bCs/>
                <w:color w:val="000000" w:themeColor="text1"/>
              </w:rPr>
              <w:t>Pre-fire</w:t>
            </w:r>
          </w:p>
        </w:tc>
        <w:tc>
          <w:tcPr>
            <w:tcW w:w="1886" w:type="dxa"/>
            <w:tcBorders>
              <w:top w:val="nil"/>
              <w:left w:val="single" w:sz="8" w:space="0" w:color="auto"/>
              <w:bottom w:val="single" w:sz="8" w:space="0" w:color="auto"/>
              <w:right w:val="single" w:sz="8" w:space="0" w:color="auto"/>
            </w:tcBorders>
            <w:shd w:val="clear" w:color="auto" w:fill="BFBFBF" w:themeFill="background1" w:themeFillShade="BF"/>
            <w:vAlign w:val="center"/>
          </w:tcPr>
          <w:p w14:paraId="59EC9BA0" w14:textId="77777777" w:rsidR="009C10DA" w:rsidRDefault="009C10DA" w:rsidP="0095418F">
            <w:pPr>
              <w:jc w:val="center"/>
            </w:pPr>
            <w:r w:rsidRPr="4BBB895B">
              <w:rPr>
                <w:rFonts w:ascii="Garamond" w:eastAsia="Garamond" w:hAnsi="Garamond" w:cs="Garamond"/>
                <w:b/>
                <w:bCs/>
                <w:color w:val="000000" w:themeColor="text1"/>
              </w:rPr>
              <w:t>Post-fire</w:t>
            </w:r>
          </w:p>
        </w:tc>
      </w:tr>
      <w:tr w:rsidR="009C10DA" w14:paraId="57560C88" w14:textId="77777777" w:rsidTr="0095418F">
        <w:tc>
          <w:tcPr>
            <w:tcW w:w="2220" w:type="dxa"/>
            <w:tcBorders>
              <w:top w:val="nil"/>
              <w:left w:val="single" w:sz="8" w:space="0" w:color="auto"/>
              <w:bottom w:val="single" w:sz="8" w:space="0" w:color="auto"/>
              <w:right w:val="single" w:sz="8" w:space="0" w:color="auto"/>
            </w:tcBorders>
            <w:shd w:val="clear" w:color="auto" w:fill="FFFFFF" w:themeFill="background1"/>
            <w:vAlign w:val="center"/>
          </w:tcPr>
          <w:p w14:paraId="6029EC18" w14:textId="77777777" w:rsidR="009C10DA" w:rsidRDefault="009C10DA" w:rsidP="0095418F">
            <w:pPr>
              <w:jc w:val="center"/>
            </w:pPr>
            <w:r w:rsidRPr="4BBB895B">
              <w:rPr>
                <w:rFonts w:ascii="Garamond" w:eastAsia="Garamond" w:hAnsi="Garamond" w:cs="Garamond"/>
                <w:color w:val="000000" w:themeColor="text1"/>
              </w:rPr>
              <w:t>Sentinel-2 MSI</w:t>
            </w:r>
          </w:p>
        </w:tc>
        <w:tc>
          <w:tcPr>
            <w:tcW w:w="2086" w:type="dxa"/>
            <w:tcBorders>
              <w:top w:val="nil"/>
              <w:left w:val="single" w:sz="8" w:space="0" w:color="auto"/>
              <w:bottom w:val="single" w:sz="8" w:space="0" w:color="auto"/>
              <w:right w:val="single" w:sz="8" w:space="0" w:color="auto"/>
            </w:tcBorders>
            <w:shd w:val="clear" w:color="auto" w:fill="FFFFFF" w:themeFill="background1"/>
            <w:vAlign w:val="center"/>
          </w:tcPr>
          <w:p w14:paraId="435347F5" w14:textId="77777777" w:rsidR="009C10DA" w:rsidRDefault="009C10DA" w:rsidP="0095418F">
            <w:pPr>
              <w:jc w:val="center"/>
            </w:pPr>
            <w:r w:rsidRPr="4BBB895B">
              <w:rPr>
                <w:rFonts w:ascii="Garamond" w:eastAsia="Garamond" w:hAnsi="Garamond" w:cs="Garamond"/>
                <w:color w:val="000000" w:themeColor="text1"/>
              </w:rPr>
              <w:t>European Space Agency</w:t>
            </w:r>
          </w:p>
        </w:tc>
        <w:tc>
          <w:tcPr>
            <w:tcW w:w="1455" w:type="dxa"/>
            <w:tcBorders>
              <w:top w:val="nil"/>
              <w:left w:val="single" w:sz="8" w:space="0" w:color="auto"/>
              <w:bottom w:val="single" w:sz="8" w:space="0" w:color="auto"/>
              <w:right w:val="single" w:sz="8" w:space="0" w:color="auto"/>
            </w:tcBorders>
            <w:shd w:val="clear" w:color="auto" w:fill="FFFFFF" w:themeFill="background1"/>
            <w:vAlign w:val="center"/>
          </w:tcPr>
          <w:p w14:paraId="6CFC69C7" w14:textId="77777777" w:rsidR="009C10DA" w:rsidRDefault="009C10DA" w:rsidP="0095418F">
            <w:pPr>
              <w:jc w:val="center"/>
            </w:pPr>
            <w:r w:rsidRPr="4BBB895B">
              <w:rPr>
                <w:rFonts w:ascii="Garamond" w:eastAsia="Garamond" w:hAnsi="Garamond" w:cs="Garamond"/>
                <w:color w:val="000000" w:themeColor="text1"/>
              </w:rPr>
              <w:t>20 m</w:t>
            </w:r>
          </w:p>
        </w:tc>
        <w:tc>
          <w:tcPr>
            <w:tcW w:w="17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72E716" w14:textId="77777777" w:rsidR="009C10DA" w:rsidRDefault="009C10DA" w:rsidP="0095418F">
            <w:pPr>
              <w:jc w:val="center"/>
            </w:pPr>
            <w:r w:rsidRPr="4BBB895B">
              <w:rPr>
                <w:rFonts w:ascii="Garamond" w:eastAsia="Garamond" w:hAnsi="Garamond" w:cs="Garamond"/>
                <w:color w:val="000000" w:themeColor="text1"/>
              </w:rPr>
              <w:t>7/10/2020</w:t>
            </w:r>
          </w:p>
        </w:tc>
        <w:tc>
          <w:tcPr>
            <w:tcW w:w="18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181122" w14:textId="77777777" w:rsidR="009C10DA" w:rsidRDefault="009C10DA" w:rsidP="0095418F">
            <w:pPr>
              <w:jc w:val="center"/>
            </w:pPr>
            <w:r w:rsidRPr="194B89F8">
              <w:rPr>
                <w:rFonts w:ascii="Garamond" w:eastAsia="Garamond" w:hAnsi="Garamond" w:cs="Garamond"/>
                <w:color w:val="000000" w:themeColor="text1"/>
              </w:rPr>
              <w:t>6/10/2021,  7/10/2021, 8/29/2021, 10/3/2021</w:t>
            </w:r>
          </w:p>
        </w:tc>
      </w:tr>
      <w:tr w:rsidR="009C10DA" w14:paraId="24206777" w14:textId="77777777" w:rsidTr="0095418F">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BACAD" w14:textId="77777777" w:rsidR="009C10DA" w:rsidRDefault="009C10DA" w:rsidP="0095418F">
            <w:pPr>
              <w:jc w:val="center"/>
            </w:pPr>
            <w:r w:rsidRPr="3F1AAA42">
              <w:rPr>
                <w:rFonts w:ascii="Garamond" w:eastAsia="Garamond" w:hAnsi="Garamond" w:cs="Garamond"/>
                <w:color w:val="000000" w:themeColor="text1"/>
              </w:rPr>
              <w:t>Landsat 8 OLI</w:t>
            </w:r>
          </w:p>
        </w:tc>
        <w:tc>
          <w:tcPr>
            <w:tcW w:w="20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C3892" w14:textId="77777777" w:rsidR="009C10DA" w:rsidRDefault="009C10DA" w:rsidP="0095418F">
            <w:pPr>
              <w:jc w:val="center"/>
            </w:pPr>
            <w:r w:rsidRPr="4BBB895B">
              <w:rPr>
                <w:rFonts w:ascii="Garamond" w:eastAsia="Garamond" w:hAnsi="Garamond" w:cs="Garamond"/>
                <w:color w:val="000000" w:themeColor="text1"/>
              </w:rPr>
              <w:t>NASA Earth Observing Systems</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631D12" w14:textId="77777777" w:rsidR="009C10DA" w:rsidRDefault="009C10DA" w:rsidP="0095418F">
            <w:pPr>
              <w:jc w:val="center"/>
            </w:pPr>
            <w:r w:rsidRPr="4BBB895B">
              <w:rPr>
                <w:rFonts w:ascii="Garamond" w:eastAsia="Garamond" w:hAnsi="Garamond" w:cs="Garamond"/>
                <w:color w:val="000000" w:themeColor="text1"/>
              </w:rPr>
              <w:t xml:space="preserve">30 m </w:t>
            </w:r>
          </w:p>
        </w:tc>
        <w:tc>
          <w:tcPr>
            <w:tcW w:w="17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5F01E6" w14:textId="77777777" w:rsidR="009C10DA" w:rsidRDefault="009C10DA" w:rsidP="0095418F">
            <w:pPr>
              <w:jc w:val="center"/>
            </w:pPr>
            <w:r w:rsidRPr="4BBB895B">
              <w:rPr>
                <w:rFonts w:ascii="Garamond" w:eastAsia="Garamond" w:hAnsi="Garamond" w:cs="Garamond"/>
                <w:color w:val="000000" w:themeColor="text1"/>
              </w:rPr>
              <w:t xml:space="preserve">    8/10/2020</w:t>
            </w:r>
          </w:p>
        </w:tc>
        <w:tc>
          <w:tcPr>
            <w:tcW w:w="18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D89D89" w14:textId="77777777" w:rsidR="009C10DA" w:rsidRDefault="009C10DA" w:rsidP="0095418F">
            <w:pPr>
              <w:jc w:val="center"/>
            </w:pPr>
            <w:r w:rsidRPr="194B89F8">
              <w:rPr>
                <w:rFonts w:ascii="Garamond" w:eastAsia="Garamond" w:hAnsi="Garamond" w:cs="Garamond"/>
                <w:color w:val="000000" w:themeColor="text1"/>
              </w:rPr>
              <w:t>6/10/2021, 8/29/2021, 9/7/2021</w:t>
            </w:r>
          </w:p>
        </w:tc>
      </w:tr>
      <w:tr w:rsidR="009C10DA" w14:paraId="0B40C200" w14:textId="77777777" w:rsidTr="0095418F">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2DF9C7" w14:textId="77777777" w:rsidR="009C10DA" w:rsidRDefault="009C10DA" w:rsidP="0095418F">
            <w:pPr>
              <w:jc w:val="center"/>
            </w:pPr>
            <w:r w:rsidRPr="4BBB895B">
              <w:rPr>
                <w:rFonts w:ascii="Garamond" w:eastAsia="Garamond" w:hAnsi="Garamond" w:cs="Garamond"/>
                <w:color w:val="000000" w:themeColor="text1"/>
              </w:rPr>
              <w:t>Shuttle Radar and Topography Mission (SRTM)</w:t>
            </w:r>
          </w:p>
        </w:tc>
        <w:tc>
          <w:tcPr>
            <w:tcW w:w="20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D40DF4" w14:textId="77777777" w:rsidR="009C10DA" w:rsidRDefault="009C10DA" w:rsidP="0095418F">
            <w:pPr>
              <w:jc w:val="center"/>
            </w:pPr>
            <w:r w:rsidRPr="4BBB895B">
              <w:rPr>
                <w:rFonts w:ascii="Garamond" w:eastAsia="Garamond" w:hAnsi="Garamond" w:cs="Garamond"/>
                <w:color w:val="000000" w:themeColor="text1"/>
              </w:rPr>
              <w:t>NASA Earth Observing Systems</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280823" w14:textId="77777777" w:rsidR="009C10DA" w:rsidRDefault="009C10DA" w:rsidP="0095418F">
            <w:pPr>
              <w:spacing w:line="480" w:lineRule="auto"/>
              <w:jc w:val="center"/>
            </w:pPr>
            <w:r w:rsidRPr="4BBB895B">
              <w:rPr>
                <w:rFonts w:ascii="Garamond" w:eastAsia="Garamond" w:hAnsi="Garamond" w:cs="Garamond"/>
                <w:color w:val="000000" w:themeColor="text1"/>
              </w:rPr>
              <w:t xml:space="preserve">30 m </w:t>
            </w:r>
          </w:p>
        </w:tc>
        <w:tc>
          <w:tcPr>
            <w:tcW w:w="3599"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CCC68F" w14:textId="77777777" w:rsidR="009C10DA" w:rsidRDefault="009C10DA" w:rsidP="0095418F">
            <w:pPr>
              <w:spacing w:line="360" w:lineRule="auto"/>
              <w:jc w:val="center"/>
              <w:rPr>
                <w:rFonts w:ascii="Garamond" w:eastAsia="Garamond" w:hAnsi="Garamond" w:cs="Garamond"/>
                <w:color w:val="000000" w:themeColor="text1"/>
              </w:rPr>
            </w:pPr>
            <w:r w:rsidRPr="78EA0B96">
              <w:rPr>
                <w:rFonts w:ascii="Garamond" w:eastAsia="Garamond" w:hAnsi="Garamond" w:cs="Garamond"/>
                <w:color w:val="000000" w:themeColor="text1"/>
              </w:rPr>
              <w:t>February 2000</w:t>
            </w:r>
          </w:p>
          <w:p w14:paraId="4EEA3D5C" w14:textId="77777777" w:rsidR="009C10DA" w:rsidRDefault="009C10DA" w:rsidP="0095418F">
            <w:pPr>
              <w:jc w:val="center"/>
              <w:rPr>
                <w:rFonts w:ascii="Garamond" w:eastAsia="Garamond" w:hAnsi="Garamond" w:cs="Garamond"/>
                <w:color w:val="000000" w:themeColor="text1"/>
              </w:rPr>
            </w:pPr>
          </w:p>
        </w:tc>
      </w:tr>
    </w:tbl>
    <w:p w14:paraId="4E5F29BB" w14:textId="77777777" w:rsidR="009C10DA" w:rsidRPr="00914B19" w:rsidRDefault="009C10DA" w:rsidP="009C10DA">
      <w:pPr>
        <w:spacing w:after="0" w:line="240" w:lineRule="auto"/>
        <w:rPr>
          <w:rFonts w:ascii="Garamond" w:hAnsi="Garamond" w:cs="Arial"/>
        </w:rPr>
      </w:pPr>
    </w:p>
    <w:p w14:paraId="04724A7A" w14:textId="3E6C4B84" w:rsidR="009C10DA" w:rsidRDefault="009C10DA" w:rsidP="00E6673E">
      <w:pPr>
        <w:spacing w:after="0" w:line="240" w:lineRule="auto"/>
        <w:rPr>
          <w:rFonts w:ascii="Garamond" w:hAnsi="Garamond" w:cs="Arial"/>
        </w:rPr>
      </w:pPr>
      <w:r w:rsidRPr="5492323B">
        <w:rPr>
          <w:rFonts w:ascii="Garamond" w:hAnsi="Garamond" w:cs="Arial"/>
        </w:rPr>
        <w:t xml:space="preserve">A total of 150 vegetation field samples were collected by the United States Forest Service (USFS) between May 24th and August 18th, 2021, across the study area (Figure 1). Field plots contained a mixture of planned percent cover sampling (83 points), opportunistic percent cover sampling (23 points), and floristic sampling plots (44 points) at a minimum distance of 100 meters apart. Out of the 150 field-collected cheatgrass cover points, 46 had no cheatgrass present (31%). Each sampling site had 20-meter radial vegetation plots to assess for percent coverage of cheatgrass, perennial forbs/grasses, shrub/woody species, bare ground, and rock. Only percent cover for cheatgrass and plot location were considered for this project. </w:t>
      </w:r>
    </w:p>
    <w:p w14:paraId="5B99E284" w14:textId="77777777" w:rsidR="00E6673E" w:rsidRPr="00E6673E" w:rsidRDefault="00E6673E" w:rsidP="00E6673E">
      <w:pPr>
        <w:spacing w:after="0" w:line="240" w:lineRule="auto"/>
        <w:rPr>
          <w:rFonts w:ascii="Garamond" w:hAnsi="Garamond" w:cs="Arial"/>
        </w:rPr>
      </w:pPr>
    </w:p>
    <w:p w14:paraId="0DB344A6" w14:textId="77777777" w:rsidR="00E6673E" w:rsidRPr="00E6673E" w:rsidRDefault="00E6673E" w:rsidP="00E6673E">
      <w:pPr>
        <w:keepNext/>
        <w:keepLines/>
        <w:spacing w:before="200" w:after="0"/>
        <w:outlineLvl w:val="1"/>
        <w:rPr>
          <w:rFonts w:ascii="Garamond" w:eastAsiaTheme="majorEastAsia" w:hAnsi="Garamond" w:cstheme="majorBidi"/>
          <w:b/>
          <w:bCs/>
          <w:i/>
          <w:color w:val="000000" w:themeColor="text1"/>
        </w:rPr>
      </w:pPr>
      <w:r w:rsidRPr="00E6673E">
        <w:rPr>
          <w:rFonts w:ascii="Garamond" w:eastAsiaTheme="majorEastAsia" w:hAnsi="Garamond" w:cstheme="majorBidi"/>
          <w:b/>
          <w:bCs/>
          <w:i/>
          <w:color w:val="000000" w:themeColor="text1"/>
        </w:rPr>
        <w:t>3.2 Data Processing</w:t>
      </w:r>
    </w:p>
    <w:p w14:paraId="315D5D10" w14:textId="77777777" w:rsidR="00E6673E" w:rsidRPr="00E6673E" w:rsidRDefault="00E6673E" w:rsidP="00E6673E">
      <w:pPr>
        <w:spacing w:line="240" w:lineRule="auto"/>
        <w:rPr>
          <w:rFonts w:ascii="Garamond" w:hAnsi="Garamond" w:cs="Arial"/>
        </w:rPr>
      </w:pPr>
      <w:r w:rsidRPr="00E6673E">
        <w:rPr>
          <w:rFonts w:ascii="Garamond" w:hAnsi="Garamond" w:cs="Arial"/>
        </w:rPr>
        <w:t>To meet our project objectives, the team plotted NDVI in a time-series to analyze vegetation recovery patterns, created a cheatgrass detection map using a random forest (RF) model, and produced a burn severity map showing differenced Normalized Burn Ration (dNBR) on a continuous scale. Image pre-processing and deriving model inputs was performed in GEE. We used RStudio for developing and performing statistical analysis on the model. We ran the final model in GEE for a preliminary visualization, and used ArcGIS Pro to create our final maps and products (Section 3.2.2)</w:t>
      </w:r>
    </w:p>
    <w:p w14:paraId="65C7F099" w14:textId="77777777" w:rsidR="00E6673E" w:rsidRPr="00E6673E" w:rsidRDefault="00E6673E" w:rsidP="00E6673E">
      <w:pPr>
        <w:keepNext/>
        <w:keepLines/>
        <w:spacing w:before="40" w:after="0"/>
        <w:outlineLvl w:val="2"/>
        <w:rPr>
          <w:rFonts w:ascii="Garamond" w:eastAsiaTheme="majorEastAsia" w:hAnsi="Garamond" w:cstheme="majorBidi"/>
          <w:i/>
          <w:color w:val="000000" w:themeColor="text1"/>
        </w:rPr>
      </w:pPr>
      <w:r w:rsidRPr="00E6673E">
        <w:rPr>
          <w:rFonts w:ascii="Garamond" w:eastAsiaTheme="majorEastAsia" w:hAnsi="Garamond" w:cstheme="majorBidi"/>
          <w:i/>
          <w:color w:val="000000" w:themeColor="text1"/>
        </w:rPr>
        <w:t xml:space="preserve">3.2.1 NDVI Time Series </w:t>
      </w:r>
    </w:p>
    <w:p w14:paraId="426609DB" w14:textId="77777777" w:rsidR="00E6673E" w:rsidRPr="00E6673E" w:rsidRDefault="00E6673E" w:rsidP="00E6673E">
      <w:pPr>
        <w:spacing w:line="240" w:lineRule="auto"/>
        <w:rPr>
          <w:rFonts w:ascii="Garamond" w:hAnsi="Garamond"/>
        </w:rPr>
      </w:pPr>
      <w:r w:rsidRPr="00E6673E">
        <w:rPr>
          <w:rFonts w:ascii="Garamond" w:hAnsi="Garamond"/>
        </w:rPr>
        <w:t>Image processing of Sentinel-2 data included a cloud mask to remove any poor data influenced by clouds before NDVI calculations were applied to the time series. NDVI was derived from images before (July 2020) and after (June 2021 - October 2021) the Mullen fire used Sentinel-2 data to gain insight in cheatgrass green up and</w:t>
      </w:r>
      <w:r w:rsidRPr="00E6673E">
        <w:rPr>
          <w:rFonts w:ascii="Garamond" w:hAnsi="Garamond"/>
          <w:sz w:val="28"/>
          <w:szCs w:val="28"/>
        </w:rPr>
        <w:t xml:space="preserve"> </w:t>
      </w:r>
      <w:r w:rsidRPr="00E6673E">
        <w:rPr>
          <w:rFonts w:ascii="Garamond" w:eastAsia="Garamond" w:hAnsi="Garamond" w:cs="Garamond"/>
        </w:rPr>
        <w:t>senesces phases. Time series plots of NDVI at cheatgrass presence points provided guidance on which dates throughout the year we selected to conduct further analysis based on life stage identification of cheatgrass.</w:t>
      </w:r>
    </w:p>
    <w:p w14:paraId="5F94DC17" w14:textId="77777777" w:rsidR="00E6673E" w:rsidRPr="00E6673E" w:rsidRDefault="00E6673E" w:rsidP="00E6673E">
      <w:pPr>
        <w:keepNext/>
        <w:keepLines/>
        <w:spacing w:before="40" w:after="0"/>
        <w:outlineLvl w:val="2"/>
        <w:rPr>
          <w:rFonts w:ascii="Garamond" w:eastAsiaTheme="majorEastAsia" w:hAnsi="Garamond" w:cstheme="majorBidi"/>
          <w:i/>
          <w:color w:val="000000" w:themeColor="text1"/>
        </w:rPr>
      </w:pPr>
      <w:r w:rsidRPr="00E6673E">
        <w:rPr>
          <w:rFonts w:ascii="Garamond" w:eastAsiaTheme="majorEastAsia" w:hAnsi="Garamond" w:cstheme="majorBidi"/>
          <w:i/>
          <w:color w:val="000000" w:themeColor="text1"/>
        </w:rPr>
        <w:t xml:space="preserve">3.2.2 Cheatgrass Cover Using Random Forest </w:t>
      </w:r>
    </w:p>
    <w:p w14:paraId="6CCC4DC5" w14:textId="5AD852ED" w:rsidR="00E6673E" w:rsidRDefault="00E6673E" w:rsidP="00E6673E">
      <w:pPr>
        <w:spacing w:line="240" w:lineRule="auto"/>
        <w:jc w:val="both"/>
        <w:rPr>
          <w:rFonts w:ascii="Garamond" w:hAnsi="Garamond" w:cs="Arial"/>
          <w:color w:val="000000" w:themeColor="text1"/>
        </w:rPr>
      </w:pPr>
      <w:r w:rsidRPr="00E6673E">
        <w:rPr>
          <w:rFonts w:ascii="Garamond" w:hAnsi="Garamond" w:cs="Arial"/>
        </w:rPr>
        <w:t xml:space="preserve">We used a RF machine learning algorithm to perform both a classification for discrete categorical data and a regression for continuous numerical data. RF combines numerous decision trees to reduce overfitting and bias-related inaccuracy (Breiman, 2001). We used NDVI, Enhanced Vegetation Index (EVI), and Soil Adjusted Vegetation Index (SAVI) in our analysis (Table A in appendix). </w:t>
      </w:r>
      <w:r w:rsidRPr="00E6673E">
        <w:rPr>
          <w:rFonts w:ascii="Garamond" w:hAnsi="Garamond"/>
        </w:rPr>
        <w:t xml:space="preserve"> To identify photosynthetically active vegetation and monitor vegetation health, NDVI is frequently used in landscape ecology (Huete et al., 2002). We used EVI due to its sensitivity to high density vegetation and corrects for some distortions in the reflected light caused by particles in the air as well as the ground cover below the vegetation (Gao et al., 200</w:t>
      </w:r>
      <w:r w:rsidR="00076656">
        <w:rPr>
          <w:rFonts w:ascii="Garamond" w:hAnsi="Garamond"/>
        </w:rPr>
        <w:t>0</w:t>
      </w:r>
      <w:r w:rsidRPr="00E6673E">
        <w:rPr>
          <w:rFonts w:ascii="Garamond" w:hAnsi="Garamond"/>
        </w:rPr>
        <w:t>)</w:t>
      </w:r>
      <w:r w:rsidRPr="00E6673E">
        <w:t>.</w:t>
      </w:r>
      <w:r w:rsidRPr="00E6673E">
        <w:rPr>
          <w:rFonts w:ascii="Garamond" w:hAnsi="Garamond"/>
        </w:rPr>
        <w:t xml:space="preserve"> Areas where vegetative cover is low (i.e., &lt; 40%) and the soil surface is exposed, the reflectance of light in the red and near-infrared spectra can influence vegetation index values making SAVI a useful index (Singh &amp; Rai, 2018).</w:t>
      </w:r>
      <w:r w:rsidRPr="00E6673E">
        <w:rPr>
          <w:rFonts w:ascii="Garamond" w:hAnsi="Garamond" w:cs="Arial"/>
          <w:i/>
          <w:iCs/>
          <w:color w:val="000000" w:themeColor="text1"/>
        </w:rPr>
        <w:t xml:space="preserve"> </w:t>
      </w:r>
      <w:r w:rsidRPr="00E6673E">
        <w:rPr>
          <w:rFonts w:ascii="Garamond" w:hAnsi="Garamond" w:cs="Arial"/>
          <w:color w:val="000000" w:themeColor="text1"/>
        </w:rPr>
        <w:t>We also performed differencing of NDVI to see if phenological changes between summer months would influence model performance (Table 2).</w:t>
      </w:r>
    </w:p>
    <w:p w14:paraId="50D8DFBC" w14:textId="77777777" w:rsidR="00302055" w:rsidRDefault="00302055" w:rsidP="00302055">
      <w:pPr>
        <w:pStyle w:val="NoSpacing"/>
        <w:rPr>
          <w:rFonts w:ascii="Garamond" w:eastAsia="Garamond" w:hAnsi="Garamond" w:cs="Garamond"/>
        </w:rPr>
      </w:pPr>
      <w:r w:rsidRPr="5492323B">
        <w:rPr>
          <w:rFonts w:ascii="Garamond" w:eastAsia="Garamond" w:hAnsi="Garamond" w:cs="Garamond"/>
        </w:rPr>
        <w:t>Table 2.</w:t>
      </w:r>
    </w:p>
    <w:p w14:paraId="2B0C05D7" w14:textId="77777777" w:rsidR="00302055" w:rsidRDefault="00302055" w:rsidP="00302055">
      <w:pPr>
        <w:pStyle w:val="NoSpacing"/>
        <w:rPr>
          <w:rFonts w:ascii="Garamond" w:eastAsia="Garamond" w:hAnsi="Garamond" w:cs="Garamond"/>
          <w:i/>
          <w:iCs/>
        </w:rPr>
      </w:pPr>
      <w:r w:rsidRPr="5492323B">
        <w:rPr>
          <w:rFonts w:ascii="Garamond" w:eastAsia="Garamond" w:hAnsi="Garamond" w:cs="Garamond"/>
          <w:i/>
          <w:iCs/>
        </w:rPr>
        <w:t>Predictor variables and the associated dates with the corresponding satellite used to calculate the difference between the dates in order to highlight changes in cheatgrass phenology.</w:t>
      </w:r>
    </w:p>
    <w:tbl>
      <w:tblPr>
        <w:tblStyle w:val="TableGrid"/>
        <w:tblW w:w="0" w:type="auto"/>
        <w:tblInd w:w="-3" w:type="dxa"/>
        <w:tblLook w:val="06A0" w:firstRow="1" w:lastRow="0" w:firstColumn="1" w:lastColumn="0" w:noHBand="1" w:noVBand="1"/>
      </w:tblPr>
      <w:tblGrid>
        <w:gridCol w:w="4676"/>
        <w:gridCol w:w="4677"/>
      </w:tblGrid>
      <w:tr w:rsidR="00302055" w14:paraId="2F47F85D" w14:textId="77777777" w:rsidTr="0095418F">
        <w:tc>
          <w:tcPr>
            <w:tcW w:w="4680" w:type="dxa"/>
            <w:shd w:val="clear" w:color="auto" w:fill="BFBFBF" w:themeFill="background1" w:themeFillShade="BF"/>
          </w:tcPr>
          <w:p w14:paraId="0748DB15" w14:textId="77777777" w:rsidR="00302055" w:rsidRDefault="00302055" w:rsidP="0095418F">
            <w:pPr>
              <w:jc w:val="center"/>
              <w:rPr>
                <w:rFonts w:ascii="Garamond" w:hAnsi="Garamond"/>
                <w:b/>
                <w:bCs/>
              </w:rPr>
            </w:pPr>
            <w:r w:rsidRPr="5492323B">
              <w:rPr>
                <w:rFonts w:ascii="Garamond" w:hAnsi="Garamond"/>
                <w:b/>
                <w:bCs/>
              </w:rPr>
              <w:t>Predictor Variables</w:t>
            </w:r>
          </w:p>
        </w:tc>
        <w:tc>
          <w:tcPr>
            <w:tcW w:w="4680" w:type="dxa"/>
            <w:shd w:val="clear" w:color="auto" w:fill="BFBFBF" w:themeFill="background1" w:themeFillShade="BF"/>
          </w:tcPr>
          <w:p w14:paraId="11095D2B" w14:textId="77777777" w:rsidR="00302055" w:rsidRDefault="00302055" w:rsidP="0095418F">
            <w:pPr>
              <w:jc w:val="center"/>
              <w:rPr>
                <w:rFonts w:ascii="Garamond" w:hAnsi="Garamond"/>
                <w:b/>
                <w:bCs/>
              </w:rPr>
            </w:pPr>
            <w:r w:rsidRPr="5492323B">
              <w:rPr>
                <w:rFonts w:ascii="Garamond" w:hAnsi="Garamond"/>
                <w:b/>
                <w:bCs/>
              </w:rPr>
              <w:t>Differencing Dates</w:t>
            </w:r>
          </w:p>
        </w:tc>
      </w:tr>
      <w:tr w:rsidR="00302055" w14:paraId="3F12601D" w14:textId="77777777" w:rsidTr="0095418F">
        <w:tc>
          <w:tcPr>
            <w:tcW w:w="4680" w:type="dxa"/>
            <w:vMerge w:val="restart"/>
          </w:tcPr>
          <w:p w14:paraId="770FD508" w14:textId="77777777" w:rsidR="00302055" w:rsidRDefault="00302055" w:rsidP="0095418F">
            <w:pPr>
              <w:jc w:val="center"/>
              <w:rPr>
                <w:rFonts w:ascii="Garamond" w:hAnsi="Garamond"/>
              </w:rPr>
            </w:pPr>
          </w:p>
          <w:p w14:paraId="356C9E86" w14:textId="77777777" w:rsidR="00302055" w:rsidRDefault="00302055" w:rsidP="0095418F">
            <w:pPr>
              <w:jc w:val="center"/>
              <w:rPr>
                <w:rFonts w:ascii="Garamond" w:hAnsi="Garamond"/>
              </w:rPr>
            </w:pPr>
          </w:p>
          <w:p w14:paraId="230A5605" w14:textId="77777777" w:rsidR="00302055" w:rsidRDefault="00302055" w:rsidP="0095418F">
            <w:pPr>
              <w:jc w:val="center"/>
              <w:rPr>
                <w:rFonts w:ascii="Garamond" w:hAnsi="Garamond"/>
              </w:rPr>
            </w:pPr>
            <w:r w:rsidRPr="5492323B">
              <w:rPr>
                <w:rFonts w:ascii="Garamond" w:hAnsi="Garamond"/>
              </w:rPr>
              <w:t>NDVI, NDMI, Tasseled cap brightness, Tasseled cap greenness, Tasseled cap wetness</w:t>
            </w:r>
          </w:p>
        </w:tc>
        <w:tc>
          <w:tcPr>
            <w:tcW w:w="4680" w:type="dxa"/>
          </w:tcPr>
          <w:p w14:paraId="5E92C166" w14:textId="77777777" w:rsidR="00302055" w:rsidRDefault="00302055" w:rsidP="0095418F">
            <w:pPr>
              <w:jc w:val="center"/>
              <w:rPr>
                <w:rFonts w:ascii="Garamond" w:hAnsi="Garamond"/>
              </w:rPr>
            </w:pPr>
            <w:r w:rsidRPr="5492323B">
              <w:rPr>
                <w:rFonts w:ascii="Garamond" w:hAnsi="Garamond"/>
              </w:rPr>
              <w:t>July 10</w:t>
            </w:r>
            <w:r w:rsidRPr="5492323B">
              <w:rPr>
                <w:rFonts w:ascii="Garamond" w:hAnsi="Garamond"/>
                <w:vertAlign w:val="superscript"/>
              </w:rPr>
              <w:t>th</w:t>
            </w:r>
            <w:r w:rsidRPr="5492323B">
              <w:rPr>
                <w:rFonts w:ascii="Garamond" w:hAnsi="Garamond"/>
              </w:rPr>
              <w:t xml:space="preserve"> - June 10</w:t>
            </w:r>
            <w:r w:rsidRPr="5492323B">
              <w:rPr>
                <w:rFonts w:ascii="Garamond" w:hAnsi="Garamond"/>
                <w:vertAlign w:val="superscript"/>
              </w:rPr>
              <w:t>th</w:t>
            </w:r>
            <w:r w:rsidRPr="5492323B">
              <w:rPr>
                <w:rFonts w:ascii="Garamond" w:hAnsi="Garamond"/>
              </w:rPr>
              <w:t xml:space="preserve"> (Sentinel-2</w:t>
            </w:r>
            <w:r>
              <w:rPr>
                <w:rFonts w:ascii="Garamond" w:hAnsi="Garamond"/>
              </w:rPr>
              <w:t xml:space="preserve"> MSI</w:t>
            </w:r>
            <w:r w:rsidRPr="5492323B">
              <w:rPr>
                <w:rFonts w:ascii="Garamond" w:hAnsi="Garamond"/>
              </w:rPr>
              <w:t>)</w:t>
            </w:r>
          </w:p>
        </w:tc>
      </w:tr>
      <w:tr w:rsidR="00302055" w14:paraId="43611A43" w14:textId="77777777" w:rsidTr="0095418F">
        <w:tc>
          <w:tcPr>
            <w:tcW w:w="4680" w:type="dxa"/>
            <w:vMerge/>
          </w:tcPr>
          <w:p w14:paraId="3EFE0E41" w14:textId="77777777" w:rsidR="00302055" w:rsidRDefault="00302055" w:rsidP="0095418F"/>
        </w:tc>
        <w:tc>
          <w:tcPr>
            <w:tcW w:w="4680" w:type="dxa"/>
          </w:tcPr>
          <w:p w14:paraId="3375A5A9" w14:textId="77777777" w:rsidR="00302055" w:rsidRDefault="00302055" w:rsidP="0095418F">
            <w:pPr>
              <w:jc w:val="center"/>
              <w:rPr>
                <w:rFonts w:ascii="Garamond" w:hAnsi="Garamond"/>
              </w:rPr>
            </w:pPr>
            <w:r w:rsidRPr="5492323B">
              <w:rPr>
                <w:rFonts w:ascii="Garamond" w:hAnsi="Garamond"/>
              </w:rPr>
              <w:t>August 29</w:t>
            </w:r>
            <w:r w:rsidRPr="5492323B">
              <w:rPr>
                <w:rFonts w:ascii="Garamond" w:hAnsi="Garamond"/>
                <w:vertAlign w:val="superscript"/>
              </w:rPr>
              <w:t>th</w:t>
            </w:r>
            <w:r w:rsidRPr="5492323B">
              <w:rPr>
                <w:rFonts w:ascii="Garamond" w:hAnsi="Garamond"/>
              </w:rPr>
              <w:t xml:space="preserve"> – July 10</w:t>
            </w:r>
            <w:r w:rsidRPr="5492323B">
              <w:rPr>
                <w:rFonts w:ascii="Garamond" w:hAnsi="Garamond"/>
                <w:vertAlign w:val="superscript"/>
              </w:rPr>
              <w:t>th</w:t>
            </w:r>
            <w:r w:rsidRPr="5492323B">
              <w:rPr>
                <w:rFonts w:ascii="Garamond" w:hAnsi="Garamond"/>
              </w:rPr>
              <w:t xml:space="preserve"> (Sentinel-2</w:t>
            </w:r>
            <w:r>
              <w:rPr>
                <w:rFonts w:ascii="Garamond" w:hAnsi="Garamond"/>
              </w:rPr>
              <w:t xml:space="preserve"> MSI</w:t>
            </w:r>
            <w:r w:rsidRPr="5492323B">
              <w:rPr>
                <w:rFonts w:ascii="Garamond" w:hAnsi="Garamond"/>
              </w:rPr>
              <w:t>)</w:t>
            </w:r>
          </w:p>
        </w:tc>
      </w:tr>
      <w:tr w:rsidR="00302055" w14:paraId="13591807" w14:textId="77777777" w:rsidTr="0095418F">
        <w:tc>
          <w:tcPr>
            <w:tcW w:w="4680" w:type="dxa"/>
            <w:vMerge/>
          </w:tcPr>
          <w:p w14:paraId="7F395C52" w14:textId="77777777" w:rsidR="00302055" w:rsidRDefault="00302055" w:rsidP="0095418F"/>
        </w:tc>
        <w:tc>
          <w:tcPr>
            <w:tcW w:w="4680" w:type="dxa"/>
          </w:tcPr>
          <w:p w14:paraId="5697A9C7" w14:textId="77777777" w:rsidR="00302055" w:rsidRDefault="00302055" w:rsidP="0095418F">
            <w:pPr>
              <w:jc w:val="center"/>
              <w:rPr>
                <w:rFonts w:ascii="Garamond" w:hAnsi="Garamond"/>
              </w:rPr>
            </w:pPr>
            <w:r w:rsidRPr="5492323B">
              <w:rPr>
                <w:rFonts w:ascii="Garamond" w:hAnsi="Garamond"/>
              </w:rPr>
              <w:t>October 3</w:t>
            </w:r>
            <w:r w:rsidRPr="5492323B">
              <w:rPr>
                <w:rFonts w:ascii="Garamond" w:hAnsi="Garamond"/>
                <w:vertAlign w:val="superscript"/>
              </w:rPr>
              <w:t>rd</w:t>
            </w:r>
            <w:r w:rsidRPr="5492323B">
              <w:rPr>
                <w:rFonts w:ascii="Garamond" w:hAnsi="Garamond"/>
              </w:rPr>
              <w:t xml:space="preserve"> - August 29</w:t>
            </w:r>
            <w:r w:rsidRPr="5492323B">
              <w:rPr>
                <w:rFonts w:ascii="Garamond" w:hAnsi="Garamond"/>
                <w:vertAlign w:val="superscript"/>
              </w:rPr>
              <w:t>th</w:t>
            </w:r>
            <w:r w:rsidRPr="5492323B">
              <w:rPr>
                <w:rFonts w:ascii="Garamond" w:hAnsi="Garamond"/>
              </w:rPr>
              <w:t xml:space="preserve"> (Sentinel-2</w:t>
            </w:r>
            <w:r>
              <w:rPr>
                <w:rFonts w:ascii="Garamond" w:hAnsi="Garamond"/>
              </w:rPr>
              <w:t xml:space="preserve"> MSI</w:t>
            </w:r>
            <w:r w:rsidRPr="5492323B">
              <w:rPr>
                <w:rFonts w:ascii="Garamond" w:hAnsi="Garamond"/>
              </w:rPr>
              <w:t xml:space="preserve">) </w:t>
            </w:r>
          </w:p>
        </w:tc>
      </w:tr>
      <w:tr w:rsidR="00302055" w14:paraId="32BFF3EB" w14:textId="77777777" w:rsidTr="0095418F">
        <w:tc>
          <w:tcPr>
            <w:tcW w:w="4680" w:type="dxa"/>
            <w:vMerge/>
          </w:tcPr>
          <w:p w14:paraId="5BFB8B20" w14:textId="77777777" w:rsidR="00302055" w:rsidRDefault="00302055" w:rsidP="0095418F"/>
        </w:tc>
        <w:tc>
          <w:tcPr>
            <w:tcW w:w="4680" w:type="dxa"/>
          </w:tcPr>
          <w:p w14:paraId="5C152882" w14:textId="77777777" w:rsidR="00302055" w:rsidRDefault="00302055" w:rsidP="0095418F">
            <w:pPr>
              <w:jc w:val="center"/>
              <w:rPr>
                <w:rFonts w:ascii="Garamond" w:hAnsi="Garamond"/>
              </w:rPr>
            </w:pPr>
            <w:r w:rsidRPr="5492323B">
              <w:rPr>
                <w:rFonts w:ascii="Garamond" w:hAnsi="Garamond"/>
              </w:rPr>
              <w:t>August 29th – June 10</w:t>
            </w:r>
            <w:r w:rsidRPr="5492323B">
              <w:rPr>
                <w:rFonts w:ascii="Garamond" w:hAnsi="Garamond"/>
                <w:vertAlign w:val="superscript"/>
              </w:rPr>
              <w:t>th</w:t>
            </w:r>
            <w:r w:rsidRPr="5492323B">
              <w:rPr>
                <w:rFonts w:ascii="Garamond" w:hAnsi="Garamond"/>
              </w:rPr>
              <w:t xml:space="preserve"> (Landsat 8</w:t>
            </w:r>
            <w:r>
              <w:rPr>
                <w:rFonts w:ascii="Garamond" w:hAnsi="Garamond"/>
              </w:rPr>
              <w:t xml:space="preserve"> OLI</w:t>
            </w:r>
            <w:r w:rsidRPr="5492323B">
              <w:rPr>
                <w:rFonts w:ascii="Garamond" w:hAnsi="Garamond"/>
              </w:rPr>
              <w:t>)</w:t>
            </w:r>
          </w:p>
        </w:tc>
      </w:tr>
      <w:tr w:rsidR="00302055" w14:paraId="279062C7" w14:textId="77777777" w:rsidTr="0095418F">
        <w:tc>
          <w:tcPr>
            <w:tcW w:w="4680" w:type="dxa"/>
            <w:vMerge/>
          </w:tcPr>
          <w:p w14:paraId="08FD5F68" w14:textId="77777777" w:rsidR="00302055" w:rsidRDefault="00302055" w:rsidP="0095418F"/>
        </w:tc>
        <w:tc>
          <w:tcPr>
            <w:tcW w:w="4680" w:type="dxa"/>
          </w:tcPr>
          <w:p w14:paraId="7B41D4DF" w14:textId="77777777" w:rsidR="00302055" w:rsidRDefault="00302055" w:rsidP="0095418F">
            <w:pPr>
              <w:jc w:val="center"/>
              <w:rPr>
                <w:rFonts w:ascii="Garamond" w:hAnsi="Garamond"/>
              </w:rPr>
            </w:pPr>
            <w:r w:rsidRPr="5492323B">
              <w:rPr>
                <w:rFonts w:ascii="Garamond" w:hAnsi="Garamond"/>
              </w:rPr>
              <w:t>September 7</w:t>
            </w:r>
            <w:r w:rsidRPr="5492323B">
              <w:rPr>
                <w:rFonts w:ascii="Garamond" w:hAnsi="Garamond"/>
                <w:vertAlign w:val="superscript"/>
              </w:rPr>
              <w:t>th</w:t>
            </w:r>
            <w:r w:rsidRPr="5492323B">
              <w:rPr>
                <w:rFonts w:ascii="Garamond" w:hAnsi="Garamond"/>
              </w:rPr>
              <w:t xml:space="preserve"> - August 29</w:t>
            </w:r>
            <w:r w:rsidRPr="5492323B">
              <w:rPr>
                <w:rFonts w:ascii="Garamond" w:hAnsi="Garamond"/>
                <w:vertAlign w:val="superscript"/>
              </w:rPr>
              <w:t>th</w:t>
            </w:r>
            <w:r w:rsidRPr="5492323B">
              <w:rPr>
                <w:rFonts w:ascii="Garamond" w:hAnsi="Garamond"/>
              </w:rPr>
              <w:t xml:space="preserve"> (Landsat 8</w:t>
            </w:r>
            <w:r>
              <w:rPr>
                <w:rFonts w:ascii="Garamond" w:hAnsi="Garamond"/>
              </w:rPr>
              <w:t xml:space="preserve"> OLI</w:t>
            </w:r>
            <w:r w:rsidRPr="5492323B">
              <w:rPr>
                <w:rFonts w:ascii="Garamond" w:hAnsi="Garamond"/>
              </w:rPr>
              <w:t>)</w:t>
            </w:r>
          </w:p>
        </w:tc>
      </w:tr>
    </w:tbl>
    <w:p w14:paraId="692A3831" w14:textId="77777777" w:rsidR="00302055" w:rsidRDefault="00302055" w:rsidP="00302055">
      <w:pPr>
        <w:pStyle w:val="Heading3"/>
        <w:spacing w:line="240" w:lineRule="auto"/>
        <w:jc w:val="both"/>
        <w:rPr>
          <w:sz w:val="22"/>
          <w:szCs w:val="22"/>
        </w:rPr>
      </w:pPr>
    </w:p>
    <w:p w14:paraId="7030AC47" w14:textId="77777777" w:rsidR="00AC1675" w:rsidRPr="00AC1675" w:rsidRDefault="00AC1675" w:rsidP="00AC1675">
      <w:pPr>
        <w:keepNext/>
        <w:keepLines/>
        <w:spacing w:before="40" w:after="0" w:line="240" w:lineRule="auto"/>
        <w:jc w:val="both"/>
        <w:outlineLvl w:val="2"/>
        <w:rPr>
          <w:rFonts w:ascii="Garamond" w:eastAsiaTheme="majorEastAsia" w:hAnsi="Garamond" w:cstheme="majorBidi"/>
          <w:i/>
          <w:color w:val="000000" w:themeColor="text1"/>
        </w:rPr>
      </w:pPr>
      <w:r w:rsidRPr="00AC1675">
        <w:rPr>
          <w:rFonts w:ascii="Garamond" w:eastAsiaTheme="majorEastAsia" w:hAnsi="Garamond" w:cstheme="majorBidi"/>
          <w:i/>
          <w:color w:val="000000" w:themeColor="text1"/>
        </w:rPr>
        <w:t xml:space="preserve">3.2.3 Burn Severity </w:t>
      </w:r>
    </w:p>
    <w:p w14:paraId="7C01C7E7" w14:textId="68D1B118" w:rsidR="00302055" w:rsidRDefault="00302055" w:rsidP="00302055">
      <w:pPr>
        <w:spacing w:line="240" w:lineRule="auto"/>
        <w:rPr>
          <w:rFonts w:ascii="Garamond" w:hAnsi="Garamond"/>
        </w:rPr>
      </w:pPr>
      <w:r w:rsidRPr="194B89F8">
        <w:rPr>
          <w:rFonts w:ascii="Garamond" w:hAnsi="Garamond"/>
        </w:rPr>
        <w:t>We calculated Normalized Burn Ratio (NBR) and the dNBR using Sentinel-2</w:t>
      </w:r>
      <w:r>
        <w:rPr>
          <w:rFonts w:ascii="Garamond" w:hAnsi="Garamond"/>
        </w:rPr>
        <w:t xml:space="preserve"> MSI</w:t>
      </w:r>
      <w:r w:rsidRPr="194B89F8">
        <w:rPr>
          <w:rFonts w:ascii="Garamond" w:hAnsi="Garamond"/>
        </w:rPr>
        <w:t xml:space="preserve"> imagery before and after the fire to measure disturbance related to the Mullen Fire. The NBR identified burned areas and provided a measure of burn severity. The dNBR calculation indicated areas with vegetation regrowth and highlighted areas more affected by the Mullen fire.</w:t>
      </w:r>
    </w:p>
    <w:p w14:paraId="62564C1A" w14:textId="77777777" w:rsidR="00AC1675" w:rsidRPr="00AC1675" w:rsidRDefault="00AC1675" w:rsidP="00AC1675">
      <w:pPr>
        <w:keepNext/>
        <w:keepLines/>
        <w:spacing w:before="200" w:after="0"/>
        <w:outlineLvl w:val="1"/>
        <w:rPr>
          <w:rFonts w:ascii="Garamond" w:eastAsiaTheme="majorEastAsia" w:hAnsi="Garamond" w:cstheme="majorBidi"/>
          <w:b/>
          <w:bCs/>
          <w:i/>
          <w:color w:val="000000" w:themeColor="text1"/>
        </w:rPr>
      </w:pPr>
      <w:r w:rsidRPr="00AC1675">
        <w:rPr>
          <w:rFonts w:ascii="Garamond" w:eastAsiaTheme="majorEastAsia" w:hAnsi="Garamond" w:cstheme="majorBidi"/>
          <w:b/>
          <w:bCs/>
          <w:i/>
          <w:color w:val="000000" w:themeColor="text1"/>
        </w:rPr>
        <w:t>3.3 Data Analysis</w:t>
      </w:r>
    </w:p>
    <w:p w14:paraId="23B25CB6" w14:textId="77777777" w:rsidR="00AC1675" w:rsidRPr="00AC1675" w:rsidRDefault="00AC1675" w:rsidP="00AC1675">
      <w:pPr>
        <w:spacing w:after="0" w:line="240" w:lineRule="auto"/>
        <w:rPr>
          <w:rFonts w:ascii="Garamond" w:hAnsi="Garamond"/>
        </w:rPr>
      </w:pPr>
      <w:r w:rsidRPr="00AC1675">
        <w:rPr>
          <w:rFonts w:ascii="Garamond" w:hAnsi="Garamond"/>
        </w:rPr>
        <w:t xml:space="preserve">We produced a 1-step regression model to predict cheatgrass percent cover over the study area. This allowed us to investigate which predictors were driving the model and best recognized cheatgrass. To identify the top performing predictors, the variables were imported from GEE to RStudio to perform statistical analysis using the ‘randomForest’ package (Liaw and Wiener, 2002). When building the 1-step model, our independent variable was cheatgrass percent cover and our dependent variable were the predictors. First, we removed highly correlated variables that had correlation values greater than 0.7 (Dormann et al., 2013). We tested different subsets of variables with the goal of creating a parsimonious model that used the top predictors and reduced model over-fitting. The root mean squared error (RMSE) is a standard measure of model error predicting quantitative data and was used as an indicator of model performance. Furthermore, partial dependency plots and variable importance comparisons provided further analysis of variable influence on model results (Friedman, 2001). We ran the final model in R to create visualization of the cheatgrass detection raster and edited products and maps for our partners in ArcGIS Pro. </w:t>
      </w:r>
    </w:p>
    <w:p w14:paraId="0C9B6EBD" w14:textId="77777777" w:rsidR="00AC1675" w:rsidRPr="00AC1675" w:rsidRDefault="00AC1675" w:rsidP="00AC1675">
      <w:pPr>
        <w:spacing w:after="0" w:line="240" w:lineRule="auto"/>
        <w:rPr>
          <w:rFonts w:ascii="Garamond" w:hAnsi="Garamond"/>
        </w:rPr>
      </w:pPr>
    </w:p>
    <w:p w14:paraId="41F3FA1D" w14:textId="1F397944" w:rsidR="00AC1675" w:rsidRPr="00AC1675" w:rsidRDefault="00AC1675" w:rsidP="00AC1675">
      <w:pPr>
        <w:spacing w:after="0" w:line="240" w:lineRule="auto"/>
        <w:rPr>
          <w:rFonts w:ascii="Garamond" w:hAnsi="Garamond"/>
        </w:rPr>
      </w:pPr>
      <w:r w:rsidRPr="00AC1675">
        <w:rPr>
          <w:rFonts w:ascii="Garamond" w:hAnsi="Garamond"/>
        </w:rPr>
        <w:t>The zero-rich nature of the field data used as training data in our model encouraged us to explore a zero-inflated model. Following Savage et al., 2017, our team took a more conservative approach and created a 2-step random forest model. This model used a ‘kitchen sink’ method, in which all predictor variables were included in the model. First, we performed a binary classification to map only cheatgrass presence and absence. Then, a continuous regression was run over the binary cheatgrass presence. For both models, we used spectral indices difference between two dates to highlight the phenological change between the boot and senescing stages (Table 2).</w:t>
      </w:r>
    </w:p>
    <w:p w14:paraId="47CEFFE1" w14:textId="77777777" w:rsidR="00AC1675" w:rsidRPr="00AC1675" w:rsidRDefault="00AC1675" w:rsidP="00AC1675">
      <w:pPr>
        <w:keepNext/>
        <w:keepLines/>
        <w:spacing w:before="480" w:after="0"/>
        <w:outlineLvl w:val="0"/>
        <w:rPr>
          <w:rFonts w:ascii="Garamond" w:eastAsia="Garamond" w:hAnsi="Garamond" w:cs="Garamond"/>
          <w:b/>
          <w:bCs/>
          <w:color w:val="365F91" w:themeColor="accent1" w:themeShade="BF"/>
          <w:sz w:val="28"/>
          <w:szCs w:val="28"/>
        </w:rPr>
      </w:pPr>
      <w:bookmarkStart w:id="1" w:name="_Toc334198730"/>
      <w:r w:rsidRPr="00AC1675">
        <w:rPr>
          <w:rFonts w:ascii="Garamond" w:eastAsia="Garamond" w:hAnsi="Garamond" w:cs="Garamond"/>
          <w:b/>
          <w:bCs/>
          <w:color w:val="365F91" w:themeColor="accent1" w:themeShade="BF"/>
          <w:sz w:val="28"/>
          <w:szCs w:val="28"/>
        </w:rPr>
        <w:t>4. Results</w:t>
      </w:r>
      <w:bookmarkEnd w:id="1"/>
      <w:r w:rsidRPr="00AC1675">
        <w:rPr>
          <w:rFonts w:ascii="Garamond" w:eastAsia="Garamond" w:hAnsi="Garamond" w:cs="Garamond"/>
          <w:b/>
          <w:bCs/>
          <w:color w:val="365F91" w:themeColor="accent1" w:themeShade="BF"/>
          <w:sz w:val="28"/>
          <w:szCs w:val="28"/>
        </w:rPr>
        <w:t xml:space="preserve"> &amp; Discussion</w:t>
      </w:r>
    </w:p>
    <w:p w14:paraId="6B3B304E" w14:textId="77777777" w:rsidR="00AC1675" w:rsidRPr="00AC1675" w:rsidRDefault="00AC1675" w:rsidP="00AC1675">
      <w:pPr>
        <w:spacing w:after="0" w:line="240" w:lineRule="auto"/>
        <w:rPr>
          <w:rFonts w:ascii="Garamond" w:eastAsia="Garamond" w:hAnsi="Garamond" w:cs="Garamond"/>
          <w:b/>
          <w:bCs/>
          <w:i/>
          <w:iCs/>
        </w:rPr>
      </w:pPr>
      <w:r w:rsidRPr="00AC1675">
        <w:rPr>
          <w:rFonts w:ascii="Garamond" w:eastAsia="Garamond" w:hAnsi="Garamond" w:cs="Garamond"/>
          <w:b/>
          <w:bCs/>
          <w:i/>
          <w:iCs/>
        </w:rPr>
        <w:t>4.1 Analysis of Results</w:t>
      </w:r>
    </w:p>
    <w:p w14:paraId="58B90ACF" w14:textId="77777777" w:rsidR="00AC1675" w:rsidRPr="00AC1675" w:rsidRDefault="00AC1675" w:rsidP="00AC1675">
      <w:pPr>
        <w:spacing w:after="0" w:line="270" w:lineRule="exact"/>
        <w:rPr>
          <w:rFonts w:ascii="Garamond" w:eastAsia="Garamond" w:hAnsi="Garamond" w:cs="Garamond"/>
        </w:rPr>
      </w:pPr>
      <w:r w:rsidRPr="00AC1675">
        <w:rPr>
          <w:rFonts w:ascii="Garamond" w:eastAsia="Garamond" w:hAnsi="Garamond" w:cs="Garamond"/>
        </w:rPr>
        <w:t>The 1-step cheatgrass detection model predicted a range from 0 to 47 percent cheatgrass cover while the 2-step model predicted a range from 0 to 51 percent cheatgrass cover (Figure 2). In order to increase the accuracy of the model, we masked out landcover types we knew cheatgrass didn't typically establish in. Using the LandFire ‘Existing Vegetation Type’ data set, the team created a mask based on an inverse selection of vegetation types that contained field collected data points (LANDFIRE). Then, we determined all landcover types except Sagebrush Steppe, Ponderosa Pine Woodland, Foothill Shrubland, and Subalpine Grassland to be included in the mask. This resulted in the mask covering 85 percent of the study area.</w:t>
      </w:r>
    </w:p>
    <w:p w14:paraId="784381D6" w14:textId="0511BFD0" w:rsidR="00302055" w:rsidRPr="00E6673E" w:rsidRDefault="00AC1675" w:rsidP="00AC1675">
      <w:pPr>
        <w:spacing w:line="240" w:lineRule="auto"/>
        <w:jc w:val="center"/>
        <w:rPr>
          <w:rFonts w:ascii="Garamond" w:hAnsi="Garamond" w:cs="Arial"/>
        </w:rPr>
      </w:pPr>
      <w:r>
        <w:rPr>
          <w:noProof/>
        </w:rPr>
        <mc:AlternateContent>
          <mc:Choice Requires="wps">
            <w:drawing>
              <wp:anchor distT="0" distB="0" distL="114300" distR="114300" simplePos="0" relativeHeight="251662336" behindDoc="0" locked="0" layoutInCell="1" allowOverlap="1" wp14:anchorId="4CD1CD6B" wp14:editId="2030F76B">
                <wp:simplePos x="0" y="0"/>
                <wp:positionH relativeFrom="column">
                  <wp:posOffset>441960</wp:posOffset>
                </wp:positionH>
                <wp:positionV relativeFrom="paragraph">
                  <wp:posOffset>2611120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464321" w14:textId="376589D2" w:rsidR="00AC1675" w:rsidRPr="00AC1675" w:rsidRDefault="00AC1675" w:rsidP="00AC1675">
                            <w:pPr>
                              <w:spacing w:line="240" w:lineRule="auto"/>
                              <w:jc w:val="center"/>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675">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CD1CD6B" id="_x0000_t202" coordsize="21600,21600" o:spt="202" path="m,l,21600r21600,l21600,xe">
                <v:stroke joinstyle="miter"/>
                <v:path gradientshapeok="t" o:connecttype="rect"/>
              </v:shapetype>
              <v:shape id="Text Box 8" o:spid="_x0000_s1026" type="#_x0000_t202" style="position:absolute;left:0;text-align:left;margin-left:34.8pt;margin-top:205.6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" filled="f" stroked="f">
                <v:textbox style="mso-fit-shape-to-text:t">
                  <w:txbxContent>
                    <w:p w14:paraId="39464321" w14:textId="376589D2" w:rsidR="00AC1675" w:rsidRPr="00AC1675" w:rsidRDefault="00AC1675" w:rsidP="00AC1675">
                      <w:pPr>
                        <w:spacing w:line="240" w:lineRule="auto"/>
                        <w:jc w:val="center"/>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675">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4101165" wp14:editId="0C14E78E">
                <wp:simplePos x="0" y="0"/>
                <wp:positionH relativeFrom="column">
                  <wp:posOffset>365760</wp:posOffset>
                </wp:positionH>
                <wp:positionV relativeFrom="paragraph">
                  <wp:posOffset>7620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AC8567" w14:textId="32E2EE27" w:rsidR="00AC1675" w:rsidRPr="00AC1675" w:rsidRDefault="00AC1675" w:rsidP="00AC1675">
                            <w:pPr>
                              <w:spacing w:line="240" w:lineRule="auto"/>
                              <w:jc w:val="center"/>
                              <w:rPr>
                                <w:rFonts w:ascii="Garamond" w:hAnsi="Garamond" w:cs="Aria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675">
                              <w:rPr>
                                <w:rFonts w:ascii="Garamond" w:hAnsi="Garamond" w:cs="Aria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101165" id="Text Box 7" o:spid="_x0000_s1027" type="#_x0000_t202" style="position:absolute;left:0;text-align:left;margin-left:28.8pt;margin-top:.6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10;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" filled="f" stroked="f">
                <v:textbox style="mso-fit-shape-to-text:t">
                  <w:txbxContent>
                    <w:p w14:paraId="6EAC8567" w14:textId="32E2EE27" w:rsidR="00AC1675" w:rsidRPr="00AC1675" w:rsidRDefault="00AC1675" w:rsidP="00AC1675">
                      <w:pPr>
                        <w:spacing w:line="240" w:lineRule="auto"/>
                        <w:jc w:val="center"/>
                        <w:rPr>
                          <w:rFonts w:ascii="Garamond" w:hAnsi="Garamond" w:cs="Aria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675">
                        <w:rPr>
                          <w:rFonts w:ascii="Garamond" w:hAnsi="Garamond" w:cs="Aria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rFonts w:ascii="Garamond" w:hAnsi="Garamond" w:cs="Arial"/>
          <w:noProof/>
        </w:rPr>
        <w:drawing>
          <wp:inline distT="0" distB="0" distL="0" distR="0" wp14:anchorId="7D1D5CDD" wp14:editId="266757B5">
            <wp:extent cx="5096510" cy="2651760"/>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6510" cy="2651760"/>
                    </a:xfrm>
                    <a:prstGeom prst="rect">
                      <a:avLst/>
                    </a:prstGeom>
                    <a:noFill/>
                  </pic:spPr>
                </pic:pic>
              </a:graphicData>
            </a:graphic>
          </wp:inline>
        </w:drawing>
      </w:r>
    </w:p>
    <w:p w14:paraId="3E4284B1" w14:textId="22FBE70D" w:rsidR="00E6673E" w:rsidRDefault="00AC1675" w:rsidP="00AC1675">
      <w:pPr>
        <w:jc w:val="center"/>
      </w:pPr>
      <w:r>
        <w:rPr>
          <w:noProof/>
        </w:rPr>
        <w:drawing>
          <wp:inline distT="0" distB="0" distL="0" distR="0" wp14:anchorId="7DC76984" wp14:editId="67DF51DE">
            <wp:extent cx="5126990" cy="2688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6990" cy="2688590"/>
                    </a:xfrm>
                    <a:prstGeom prst="rect">
                      <a:avLst/>
                    </a:prstGeom>
                    <a:noFill/>
                  </pic:spPr>
                </pic:pic>
              </a:graphicData>
            </a:graphic>
          </wp:inline>
        </w:drawing>
      </w:r>
    </w:p>
    <w:p w14:paraId="22BDFBB4" w14:textId="69550EC6" w:rsidR="00AC1675" w:rsidRDefault="00AC1675" w:rsidP="00AC1675">
      <w:pPr>
        <w:pStyle w:val="NoSpacing"/>
        <w:spacing w:line="270" w:lineRule="exact"/>
        <w:jc w:val="center"/>
        <w:rPr>
          <w:rFonts w:ascii="Garamond" w:eastAsia="Garamond" w:hAnsi="Garamond" w:cs="Garamond"/>
        </w:rPr>
      </w:pPr>
      <w:r>
        <w:rPr>
          <w:rFonts w:ascii="Garamond" w:eastAsia="Garamond" w:hAnsi="Garamond" w:cs="Garamond"/>
          <w:i/>
          <w:iCs/>
        </w:rPr>
        <w:t>F</w:t>
      </w:r>
      <w:r w:rsidRPr="5492323B">
        <w:rPr>
          <w:rFonts w:ascii="Garamond" w:eastAsia="Garamond" w:hAnsi="Garamond" w:cs="Garamond"/>
          <w:i/>
          <w:iCs/>
        </w:rPr>
        <w:t>igure 2</w:t>
      </w:r>
      <w:r w:rsidRPr="5492323B">
        <w:rPr>
          <w:rFonts w:ascii="Garamond" w:eastAsia="Garamond" w:hAnsi="Garamond" w:cs="Garamond"/>
        </w:rPr>
        <w:t xml:space="preserve">. A 1-step RF model depicting cheatgrass percent cover within the study area (A) and 2-step model (B). Light to dark green depicts less to more cheatgrass percent cover. </w:t>
      </w:r>
    </w:p>
    <w:p w14:paraId="7F24AA3A" w14:textId="18260EB5" w:rsidR="00AC1675" w:rsidRDefault="00AC1675" w:rsidP="00AC1675">
      <w:pPr>
        <w:pStyle w:val="NoSpacing"/>
        <w:spacing w:line="270" w:lineRule="exact"/>
        <w:jc w:val="center"/>
        <w:rPr>
          <w:rFonts w:ascii="Garamond" w:eastAsia="Garamond" w:hAnsi="Garamond" w:cs="Garamond"/>
        </w:rPr>
      </w:pPr>
    </w:p>
    <w:p w14:paraId="64A42085" w14:textId="07808575" w:rsidR="00AC1675" w:rsidRDefault="00AC1675" w:rsidP="00AC1675">
      <w:pPr>
        <w:pStyle w:val="NoSpacing"/>
        <w:spacing w:line="270" w:lineRule="exact"/>
        <w:jc w:val="center"/>
        <w:rPr>
          <w:rFonts w:ascii="Garamond" w:eastAsia="Garamond" w:hAnsi="Garamond" w:cs="Garamond"/>
        </w:rPr>
      </w:pPr>
    </w:p>
    <w:p w14:paraId="688C85A2" w14:textId="71FCC720" w:rsidR="00AC1675" w:rsidRDefault="00AC1675" w:rsidP="00AC1675">
      <w:pPr>
        <w:pStyle w:val="NoSpacing"/>
        <w:spacing w:line="270" w:lineRule="exact"/>
        <w:jc w:val="center"/>
        <w:rPr>
          <w:rFonts w:ascii="Garamond" w:eastAsia="Garamond" w:hAnsi="Garamond" w:cs="Garamond"/>
        </w:rPr>
      </w:pPr>
    </w:p>
    <w:p w14:paraId="0F9503AB" w14:textId="77777777" w:rsidR="00AC1675" w:rsidRPr="00341FA2" w:rsidRDefault="00AC1675" w:rsidP="00AC1675">
      <w:pPr>
        <w:pStyle w:val="NoSpacing"/>
        <w:spacing w:line="270" w:lineRule="exact"/>
        <w:jc w:val="center"/>
        <w:rPr>
          <w:rFonts w:ascii="Garamond" w:eastAsia="Garamond" w:hAnsi="Garamond" w:cs="Garamond"/>
        </w:rPr>
      </w:pPr>
    </w:p>
    <w:p w14:paraId="10D194A9" w14:textId="77777777" w:rsidR="00AC1675" w:rsidRPr="00341FA2" w:rsidRDefault="00AC1675" w:rsidP="00AC1675">
      <w:pPr>
        <w:pStyle w:val="NoSpacing"/>
        <w:rPr>
          <w:rFonts w:ascii="Garamond" w:eastAsia="Garamond" w:hAnsi="Garamond" w:cs="Garamond"/>
          <w:i/>
          <w:iCs/>
        </w:rPr>
      </w:pPr>
      <w:r w:rsidRPr="194B89F8">
        <w:rPr>
          <w:rFonts w:ascii="Garamond" w:eastAsia="Garamond" w:hAnsi="Garamond" w:cs="Garamond"/>
          <w:i/>
          <w:iCs/>
        </w:rPr>
        <w:t>4.1.1 Models</w:t>
      </w:r>
    </w:p>
    <w:p w14:paraId="5340BECE" w14:textId="60ACAB0F" w:rsidR="00AC1675" w:rsidRPr="00341FA2" w:rsidRDefault="00AC1675" w:rsidP="00AC1675">
      <w:pPr>
        <w:spacing w:after="0" w:line="240" w:lineRule="auto"/>
        <w:rPr>
          <w:rFonts w:ascii="Garamond" w:eastAsia="Garamond" w:hAnsi="Garamond" w:cs="Garamond"/>
        </w:rPr>
      </w:pPr>
      <w:r w:rsidRPr="194B89F8">
        <w:rPr>
          <w:rFonts w:ascii="Garamond" w:hAnsi="Garamond"/>
        </w:rPr>
        <w:t>Our 1-step model had parameters ‘mtry’ and ‘ntree’ set to 3 and 1000</w:t>
      </w:r>
      <w:r>
        <w:rPr>
          <w:rFonts w:ascii="Garamond" w:hAnsi="Garamond"/>
        </w:rPr>
        <w:t>,</w:t>
      </w:r>
      <w:r w:rsidRPr="194B89F8">
        <w:rPr>
          <w:rFonts w:ascii="Garamond" w:hAnsi="Garamond"/>
        </w:rPr>
        <w:t xml:space="preserve"> respectively, and included seven predictor variables (Table 3). This produced a</w:t>
      </w:r>
      <w:r>
        <w:rPr>
          <w:rFonts w:ascii="Garamond" w:hAnsi="Garamond"/>
        </w:rPr>
        <w:t>n</w:t>
      </w:r>
      <w:r w:rsidRPr="194B89F8">
        <w:rPr>
          <w:rFonts w:ascii="Garamond" w:hAnsi="Garamond"/>
        </w:rPr>
        <w:t xml:space="preserve"> </w:t>
      </w:r>
      <w:r w:rsidRPr="5492323B">
        <w:rPr>
          <w:rFonts w:ascii="Garamond" w:eastAsia="Garamond" w:hAnsi="Garamond" w:cs="Garamond"/>
        </w:rPr>
        <w:t>R</w:t>
      </w:r>
      <w:r>
        <w:rPr>
          <w:rFonts w:ascii="Garamond" w:eastAsia="Garamond" w:hAnsi="Garamond" w:cs="Garamond"/>
          <w:vertAlign w:val="superscript"/>
        </w:rPr>
        <w:t>2</w:t>
      </w:r>
      <w:r w:rsidRPr="194B89F8">
        <w:rPr>
          <w:rFonts w:ascii="Garamond" w:hAnsi="Garamond"/>
        </w:rPr>
        <w:t xml:space="preserve"> of 0.34 and a RMSE of 13.71. The top performing variables were NDVI difference between June and July (Sentinel-2), simple ratio June (Sentinel-2), and SAVI June (Sentinel-2) (Figure 3A).</w:t>
      </w:r>
      <w:r w:rsidRPr="194B89F8">
        <w:rPr>
          <w:rFonts w:ascii="Garamond" w:eastAsia="Garamond" w:hAnsi="Garamond" w:cs="Garamond"/>
        </w:rPr>
        <w:t xml:space="preserve"> The top predictor being NDVI differencing corresponds with what we know about unique cheatgrass phenology. Its green-up </w:t>
      </w:r>
      <w:r>
        <w:rPr>
          <w:rFonts w:ascii="Garamond" w:eastAsia="Garamond" w:hAnsi="Garamond" w:cs="Garamond"/>
        </w:rPr>
        <w:t>wa</w:t>
      </w:r>
      <w:r w:rsidRPr="194B89F8">
        <w:rPr>
          <w:rFonts w:ascii="Garamond" w:eastAsia="Garamond" w:hAnsi="Garamond" w:cs="Garamond"/>
        </w:rPr>
        <w:t>s early in the summer (June) and began senescence near the end of June to the beginning of July. This predictor targeted important stages in the cheatgrass life cycle and distinguished cheatgrass from surrounding vegetation efficiently. The ability of SAVI using a soil-brightness correction made it efficient at distinguishing vegetation from soil. With the high percentage of bare ground cover our study area had, it makes sense that SAVI June (Sentinel-2) was an important predictor. The partial dependence plots show NDVI difference between June and July (Sentinel-2) with an increase in regression from about 0 to 0.05, June simple ratio (Sentinel-2) with an increase in regression from 0.75 to 0.8, and SAVI June (Sentinel-2) with an increase in regression from 0.1 to 0.2 (Figure 3B).</w:t>
      </w:r>
    </w:p>
    <w:p w14:paraId="75E4D381" w14:textId="77777777" w:rsidR="00AC1675" w:rsidRPr="00341FA2" w:rsidRDefault="00AC1675" w:rsidP="00AC1675">
      <w:pPr>
        <w:spacing w:after="0" w:line="240" w:lineRule="auto"/>
        <w:rPr>
          <w:rFonts w:ascii="Garamond" w:eastAsia="Garamond" w:hAnsi="Garamond" w:cs="Garamond"/>
        </w:rPr>
      </w:pPr>
    </w:p>
    <w:p w14:paraId="6692E091" w14:textId="77777777" w:rsidR="00AC1675" w:rsidRPr="00341FA2" w:rsidRDefault="00AC1675" w:rsidP="00AC1675">
      <w:pPr>
        <w:spacing w:after="0" w:line="240" w:lineRule="auto"/>
        <w:rPr>
          <w:rFonts w:ascii="Garamond" w:hAnsi="Garamond"/>
        </w:rPr>
      </w:pPr>
      <w:r w:rsidRPr="194B89F8">
        <w:rPr>
          <w:rFonts w:ascii="Garamond" w:hAnsi="Garamond"/>
        </w:rPr>
        <w:t xml:space="preserve">Table 3. </w:t>
      </w:r>
    </w:p>
    <w:p w14:paraId="2BBDF950" w14:textId="7CEADF9A" w:rsidR="00AC1675" w:rsidRPr="00341FA2" w:rsidRDefault="00AC1675" w:rsidP="00AC1675">
      <w:pPr>
        <w:spacing w:after="0" w:line="240" w:lineRule="auto"/>
        <w:rPr>
          <w:rFonts w:ascii="Garamond" w:hAnsi="Garamond"/>
          <w:i/>
          <w:iCs/>
        </w:rPr>
      </w:pPr>
      <w:r w:rsidRPr="194B89F8">
        <w:rPr>
          <w:rFonts w:ascii="Garamond" w:hAnsi="Garamond"/>
          <w:i/>
          <w:iCs/>
        </w:rPr>
        <w:t>Model performance for different random forest parameters and sets of predictor variables.</w:t>
      </w:r>
    </w:p>
    <w:tbl>
      <w:tblPr>
        <w:tblStyle w:val="TableGrid"/>
        <w:tblW w:w="0" w:type="auto"/>
        <w:tblInd w:w="-3" w:type="dxa"/>
        <w:tblLook w:val="06A0" w:firstRow="1" w:lastRow="0" w:firstColumn="1" w:lastColumn="0" w:noHBand="1" w:noVBand="1"/>
      </w:tblPr>
      <w:tblGrid>
        <w:gridCol w:w="1560"/>
        <w:gridCol w:w="869"/>
        <w:gridCol w:w="1078"/>
        <w:gridCol w:w="3213"/>
        <w:gridCol w:w="1288"/>
        <w:gridCol w:w="1345"/>
      </w:tblGrid>
      <w:tr w:rsidR="00AC1675" w14:paraId="38E53350" w14:textId="77777777" w:rsidTr="0095418F">
        <w:tc>
          <w:tcPr>
            <w:tcW w:w="1562" w:type="dxa"/>
            <w:shd w:val="clear" w:color="auto" w:fill="BFBFBF" w:themeFill="background1" w:themeFillShade="BF"/>
          </w:tcPr>
          <w:p w14:paraId="32123559" w14:textId="77777777" w:rsidR="00AC1675" w:rsidRDefault="00AC1675" w:rsidP="0095418F">
            <w:pPr>
              <w:spacing w:after="200" w:line="276" w:lineRule="auto"/>
              <w:jc w:val="center"/>
              <w:rPr>
                <w:rFonts w:ascii="Garamond" w:hAnsi="Garamond" w:cs="Arial"/>
                <w:b/>
                <w:bCs/>
              </w:rPr>
            </w:pPr>
            <w:r w:rsidRPr="194B89F8">
              <w:rPr>
                <w:rFonts w:ascii="Garamond" w:hAnsi="Garamond" w:cs="Arial"/>
                <w:b/>
                <w:bCs/>
              </w:rPr>
              <w:t>Description</w:t>
            </w:r>
          </w:p>
        </w:tc>
        <w:tc>
          <w:tcPr>
            <w:tcW w:w="870" w:type="dxa"/>
            <w:shd w:val="clear" w:color="auto" w:fill="BFBFBF" w:themeFill="background1" w:themeFillShade="BF"/>
          </w:tcPr>
          <w:p w14:paraId="7F957583" w14:textId="77777777" w:rsidR="00AC1675" w:rsidRDefault="00AC1675" w:rsidP="0095418F">
            <w:pPr>
              <w:spacing w:line="276" w:lineRule="auto"/>
              <w:jc w:val="center"/>
              <w:rPr>
                <w:rFonts w:ascii="Garamond" w:hAnsi="Garamond" w:cs="Arial"/>
                <w:b/>
                <w:bCs/>
              </w:rPr>
            </w:pPr>
            <w:r w:rsidRPr="194B89F8">
              <w:rPr>
                <w:rFonts w:ascii="Garamond" w:hAnsi="Garamond" w:cs="Arial"/>
                <w:b/>
                <w:bCs/>
              </w:rPr>
              <w:t>mtry</w:t>
            </w:r>
          </w:p>
        </w:tc>
        <w:tc>
          <w:tcPr>
            <w:tcW w:w="1080" w:type="dxa"/>
            <w:shd w:val="clear" w:color="auto" w:fill="BFBFBF" w:themeFill="background1" w:themeFillShade="BF"/>
          </w:tcPr>
          <w:p w14:paraId="23CA2F28" w14:textId="77777777" w:rsidR="00AC1675" w:rsidRDefault="00AC1675" w:rsidP="0095418F">
            <w:pPr>
              <w:spacing w:line="276" w:lineRule="auto"/>
              <w:jc w:val="center"/>
              <w:rPr>
                <w:rFonts w:ascii="Garamond" w:hAnsi="Garamond" w:cs="Arial"/>
                <w:b/>
                <w:bCs/>
              </w:rPr>
            </w:pPr>
            <w:r w:rsidRPr="194B89F8">
              <w:rPr>
                <w:rFonts w:ascii="Garamond" w:hAnsi="Garamond" w:cs="Arial"/>
                <w:b/>
                <w:bCs/>
              </w:rPr>
              <w:t>ntree</w:t>
            </w:r>
          </w:p>
        </w:tc>
        <w:tc>
          <w:tcPr>
            <w:tcW w:w="3225" w:type="dxa"/>
            <w:shd w:val="clear" w:color="auto" w:fill="BFBFBF" w:themeFill="background1" w:themeFillShade="BF"/>
          </w:tcPr>
          <w:p w14:paraId="1E7FE215" w14:textId="77777777" w:rsidR="00AC1675" w:rsidRDefault="00AC1675" w:rsidP="0095418F">
            <w:pPr>
              <w:jc w:val="center"/>
              <w:rPr>
                <w:rFonts w:ascii="Garamond" w:hAnsi="Garamond" w:cs="Arial"/>
                <w:b/>
                <w:bCs/>
              </w:rPr>
            </w:pPr>
            <w:r w:rsidRPr="194B89F8">
              <w:rPr>
                <w:rFonts w:ascii="Garamond" w:hAnsi="Garamond" w:cs="Arial"/>
                <w:b/>
                <w:bCs/>
              </w:rPr>
              <w:t>Predictor Variables</w:t>
            </w:r>
          </w:p>
        </w:tc>
        <w:tc>
          <w:tcPr>
            <w:tcW w:w="1290" w:type="dxa"/>
            <w:shd w:val="clear" w:color="auto" w:fill="BFBFBF" w:themeFill="background1" w:themeFillShade="BF"/>
          </w:tcPr>
          <w:p w14:paraId="2B10FD39" w14:textId="77777777" w:rsidR="00AC1675" w:rsidRDefault="00AC1675" w:rsidP="0095418F">
            <w:pPr>
              <w:jc w:val="center"/>
              <w:rPr>
                <w:rFonts w:ascii="Garamond" w:hAnsi="Garamond" w:cs="Arial"/>
                <w:b/>
                <w:bCs/>
              </w:rPr>
            </w:pPr>
            <w:r w:rsidRPr="194B89F8">
              <w:rPr>
                <w:rFonts w:ascii="Garamond" w:hAnsi="Garamond" w:cs="Arial"/>
                <w:b/>
                <w:bCs/>
              </w:rPr>
              <w:t>R-squared</w:t>
            </w:r>
          </w:p>
        </w:tc>
        <w:tc>
          <w:tcPr>
            <w:tcW w:w="1348" w:type="dxa"/>
            <w:shd w:val="clear" w:color="auto" w:fill="BFBFBF" w:themeFill="background1" w:themeFillShade="BF"/>
          </w:tcPr>
          <w:p w14:paraId="45CF3305" w14:textId="77777777" w:rsidR="00AC1675" w:rsidRDefault="00AC1675" w:rsidP="0095418F">
            <w:pPr>
              <w:jc w:val="center"/>
              <w:rPr>
                <w:rFonts w:ascii="Garamond" w:hAnsi="Garamond" w:cs="Arial"/>
                <w:b/>
                <w:bCs/>
              </w:rPr>
            </w:pPr>
            <w:r w:rsidRPr="194B89F8">
              <w:rPr>
                <w:rFonts w:ascii="Garamond" w:hAnsi="Garamond" w:cs="Arial"/>
                <w:b/>
                <w:bCs/>
              </w:rPr>
              <w:t>RMSE (%)</w:t>
            </w:r>
          </w:p>
        </w:tc>
      </w:tr>
      <w:tr w:rsidR="00AC1675" w14:paraId="780EE509" w14:textId="77777777" w:rsidTr="0095418F">
        <w:tc>
          <w:tcPr>
            <w:tcW w:w="1562" w:type="dxa"/>
          </w:tcPr>
          <w:p w14:paraId="4BEE5E80" w14:textId="77777777" w:rsidR="00AC1675" w:rsidRDefault="00AC1675" w:rsidP="0095418F">
            <w:pPr>
              <w:jc w:val="center"/>
              <w:rPr>
                <w:rFonts w:ascii="Garamond" w:hAnsi="Garamond" w:cs="Arial"/>
              </w:rPr>
            </w:pPr>
            <w:r w:rsidRPr="194B89F8">
              <w:rPr>
                <w:rFonts w:ascii="Garamond" w:hAnsi="Garamond" w:cs="Arial"/>
              </w:rPr>
              <w:t>All 168 variables</w:t>
            </w:r>
          </w:p>
        </w:tc>
        <w:tc>
          <w:tcPr>
            <w:tcW w:w="870" w:type="dxa"/>
          </w:tcPr>
          <w:p w14:paraId="12AC378F" w14:textId="77777777" w:rsidR="00AC1675" w:rsidRDefault="00AC1675" w:rsidP="0095418F">
            <w:pPr>
              <w:jc w:val="center"/>
              <w:rPr>
                <w:rFonts w:ascii="Garamond" w:hAnsi="Garamond" w:cs="Arial"/>
              </w:rPr>
            </w:pPr>
            <w:r w:rsidRPr="194B89F8">
              <w:rPr>
                <w:rFonts w:ascii="Garamond" w:hAnsi="Garamond" w:cs="Arial"/>
              </w:rPr>
              <w:t>5</w:t>
            </w:r>
          </w:p>
        </w:tc>
        <w:tc>
          <w:tcPr>
            <w:tcW w:w="1080" w:type="dxa"/>
          </w:tcPr>
          <w:p w14:paraId="73DC215E" w14:textId="77777777" w:rsidR="00AC1675" w:rsidRDefault="00AC1675" w:rsidP="0095418F">
            <w:pPr>
              <w:jc w:val="center"/>
              <w:rPr>
                <w:rFonts w:ascii="Garamond" w:hAnsi="Garamond" w:cs="Arial"/>
              </w:rPr>
            </w:pPr>
            <w:r w:rsidRPr="194B89F8">
              <w:rPr>
                <w:rFonts w:ascii="Garamond" w:hAnsi="Garamond" w:cs="Arial"/>
              </w:rPr>
              <w:t>1000</w:t>
            </w:r>
          </w:p>
        </w:tc>
        <w:tc>
          <w:tcPr>
            <w:tcW w:w="3225" w:type="dxa"/>
          </w:tcPr>
          <w:p w14:paraId="5EF90ABC" w14:textId="77777777" w:rsidR="00AC1675" w:rsidRDefault="00AC1675" w:rsidP="0095418F">
            <w:pPr>
              <w:jc w:val="center"/>
              <w:rPr>
                <w:rFonts w:ascii="Garamond" w:hAnsi="Garamond" w:cs="Arial"/>
              </w:rPr>
            </w:pPr>
            <w:r w:rsidRPr="5492323B">
              <w:rPr>
                <w:rFonts w:ascii="Garamond" w:hAnsi="Garamond" w:cs="Arial"/>
              </w:rPr>
              <w:t>All</w:t>
            </w:r>
          </w:p>
        </w:tc>
        <w:tc>
          <w:tcPr>
            <w:tcW w:w="1290" w:type="dxa"/>
          </w:tcPr>
          <w:p w14:paraId="131DA43E" w14:textId="77777777" w:rsidR="00AC1675" w:rsidRDefault="00AC1675" w:rsidP="0095418F">
            <w:pPr>
              <w:jc w:val="center"/>
              <w:rPr>
                <w:rFonts w:ascii="Garamond" w:hAnsi="Garamond" w:cs="Arial"/>
              </w:rPr>
            </w:pPr>
            <w:r w:rsidRPr="194B89F8">
              <w:rPr>
                <w:rFonts w:ascii="Garamond" w:hAnsi="Garamond" w:cs="Arial"/>
              </w:rPr>
              <w:t>0.26</w:t>
            </w:r>
          </w:p>
        </w:tc>
        <w:tc>
          <w:tcPr>
            <w:tcW w:w="1348" w:type="dxa"/>
          </w:tcPr>
          <w:p w14:paraId="73329F1C" w14:textId="77777777" w:rsidR="00AC1675" w:rsidRDefault="00AC1675" w:rsidP="0095418F">
            <w:pPr>
              <w:jc w:val="center"/>
              <w:rPr>
                <w:rFonts w:ascii="Garamond" w:hAnsi="Garamond" w:cs="Arial"/>
              </w:rPr>
            </w:pPr>
            <w:r w:rsidRPr="194B89F8">
              <w:rPr>
                <w:rFonts w:ascii="Garamond" w:hAnsi="Garamond" w:cs="Arial"/>
              </w:rPr>
              <w:t>14.54</w:t>
            </w:r>
          </w:p>
        </w:tc>
      </w:tr>
      <w:tr w:rsidR="00AC1675" w14:paraId="3FA587A0" w14:textId="77777777" w:rsidTr="0095418F">
        <w:tc>
          <w:tcPr>
            <w:tcW w:w="1562" w:type="dxa"/>
          </w:tcPr>
          <w:p w14:paraId="6E7591D0" w14:textId="77777777" w:rsidR="00AC1675" w:rsidRDefault="00AC1675" w:rsidP="0095418F">
            <w:pPr>
              <w:jc w:val="center"/>
              <w:rPr>
                <w:rFonts w:ascii="Garamond" w:hAnsi="Garamond" w:cs="Arial"/>
              </w:rPr>
            </w:pPr>
            <w:r w:rsidRPr="194B89F8">
              <w:rPr>
                <w:rFonts w:ascii="Garamond" w:hAnsi="Garamond" w:cs="Arial"/>
              </w:rPr>
              <w:t>7 variables</w:t>
            </w:r>
          </w:p>
        </w:tc>
        <w:tc>
          <w:tcPr>
            <w:tcW w:w="870" w:type="dxa"/>
          </w:tcPr>
          <w:p w14:paraId="2F67C908" w14:textId="77777777" w:rsidR="00AC1675" w:rsidRDefault="00AC1675" w:rsidP="0095418F">
            <w:pPr>
              <w:jc w:val="center"/>
              <w:rPr>
                <w:rFonts w:ascii="Garamond" w:hAnsi="Garamond" w:cs="Arial"/>
              </w:rPr>
            </w:pPr>
            <w:r w:rsidRPr="194B89F8">
              <w:rPr>
                <w:rFonts w:ascii="Garamond" w:hAnsi="Garamond" w:cs="Arial"/>
              </w:rPr>
              <w:t>3</w:t>
            </w:r>
          </w:p>
        </w:tc>
        <w:tc>
          <w:tcPr>
            <w:tcW w:w="1080" w:type="dxa"/>
          </w:tcPr>
          <w:p w14:paraId="3B98041C" w14:textId="77777777" w:rsidR="00AC1675" w:rsidRDefault="00AC1675" w:rsidP="0095418F">
            <w:pPr>
              <w:jc w:val="center"/>
              <w:rPr>
                <w:rFonts w:ascii="Garamond" w:hAnsi="Garamond" w:cs="Arial"/>
              </w:rPr>
            </w:pPr>
            <w:r w:rsidRPr="194B89F8">
              <w:rPr>
                <w:rFonts w:ascii="Garamond" w:hAnsi="Garamond" w:cs="Arial"/>
              </w:rPr>
              <w:t>1000</w:t>
            </w:r>
          </w:p>
        </w:tc>
        <w:tc>
          <w:tcPr>
            <w:tcW w:w="3225" w:type="dxa"/>
          </w:tcPr>
          <w:p w14:paraId="51E27598" w14:textId="77777777" w:rsidR="00AC1675" w:rsidRDefault="00AC1675" w:rsidP="0095418F">
            <w:pPr>
              <w:jc w:val="center"/>
              <w:rPr>
                <w:rFonts w:ascii="Garamond" w:hAnsi="Garamond" w:cs="Arial"/>
              </w:rPr>
            </w:pPr>
            <w:r w:rsidRPr="5492323B">
              <w:rPr>
                <w:rFonts w:ascii="Garamond" w:hAnsi="Garamond" w:cs="Arial"/>
              </w:rPr>
              <w:t>' NDVI difference between June and July (Sentinel-2) ', ' Simple ratio June (Sentinel-2) ', ' SAVI June (Sentinel-2) ', 'NDVI September (Landsat 8), ' EVI September (Landsat 8) ', ' Green difference between July and August (Sentinel-2) ',' NDVI difference between July and August (Sentinel-2) '</w:t>
            </w:r>
          </w:p>
        </w:tc>
        <w:tc>
          <w:tcPr>
            <w:tcW w:w="1290" w:type="dxa"/>
          </w:tcPr>
          <w:p w14:paraId="77C636BC" w14:textId="77777777" w:rsidR="00AC1675" w:rsidRDefault="00AC1675" w:rsidP="0095418F">
            <w:pPr>
              <w:jc w:val="center"/>
              <w:rPr>
                <w:rFonts w:ascii="Garamond" w:hAnsi="Garamond" w:cs="Arial"/>
              </w:rPr>
            </w:pPr>
            <w:r w:rsidRPr="194B89F8">
              <w:rPr>
                <w:rFonts w:ascii="Garamond" w:hAnsi="Garamond" w:cs="Arial"/>
              </w:rPr>
              <w:t>0.34</w:t>
            </w:r>
          </w:p>
        </w:tc>
        <w:tc>
          <w:tcPr>
            <w:tcW w:w="1348" w:type="dxa"/>
          </w:tcPr>
          <w:p w14:paraId="0A2EC76E" w14:textId="77777777" w:rsidR="00AC1675" w:rsidRDefault="00AC1675" w:rsidP="0095418F">
            <w:pPr>
              <w:jc w:val="center"/>
              <w:rPr>
                <w:rFonts w:ascii="Garamond" w:hAnsi="Garamond" w:cs="Arial"/>
              </w:rPr>
            </w:pPr>
            <w:r w:rsidRPr="194B89F8">
              <w:rPr>
                <w:rFonts w:ascii="Garamond" w:hAnsi="Garamond" w:cs="Arial"/>
              </w:rPr>
              <w:t>13.71</w:t>
            </w:r>
          </w:p>
        </w:tc>
      </w:tr>
      <w:tr w:rsidR="00AC1675" w14:paraId="6612AB0F" w14:textId="77777777" w:rsidTr="0095418F">
        <w:tc>
          <w:tcPr>
            <w:tcW w:w="1562" w:type="dxa"/>
          </w:tcPr>
          <w:p w14:paraId="4C50D599" w14:textId="77777777" w:rsidR="00AC1675" w:rsidRDefault="00AC1675" w:rsidP="0095418F">
            <w:pPr>
              <w:jc w:val="center"/>
              <w:rPr>
                <w:rFonts w:ascii="Garamond" w:hAnsi="Garamond" w:cs="Arial"/>
              </w:rPr>
            </w:pPr>
            <w:r w:rsidRPr="194B89F8">
              <w:rPr>
                <w:rFonts w:ascii="Garamond" w:hAnsi="Garamond" w:cs="Arial"/>
              </w:rPr>
              <w:t>2-step model</w:t>
            </w:r>
          </w:p>
        </w:tc>
        <w:tc>
          <w:tcPr>
            <w:tcW w:w="870" w:type="dxa"/>
          </w:tcPr>
          <w:p w14:paraId="541F2B91" w14:textId="77777777" w:rsidR="00AC1675" w:rsidRDefault="00AC1675" w:rsidP="0095418F">
            <w:pPr>
              <w:jc w:val="center"/>
              <w:rPr>
                <w:rFonts w:ascii="Garamond" w:hAnsi="Garamond" w:cs="Arial"/>
              </w:rPr>
            </w:pPr>
            <w:r w:rsidRPr="194B89F8">
              <w:rPr>
                <w:rFonts w:ascii="Garamond" w:hAnsi="Garamond" w:cs="Arial"/>
              </w:rPr>
              <w:t>13</w:t>
            </w:r>
          </w:p>
        </w:tc>
        <w:tc>
          <w:tcPr>
            <w:tcW w:w="1080" w:type="dxa"/>
          </w:tcPr>
          <w:p w14:paraId="4AD74379" w14:textId="77777777" w:rsidR="00AC1675" w:rsidRDefault="00AC1675" w:rsidP="0095418F">
            <w:pPr>
              <w:jc w:val="center"/>
              <w:rPr>
                <w:rFonts w:ascii="Garamond" w:hAnsi="Garamond" w:cs="Arial"/>
              </w:rPr>
            </w:pPr>
            <w:r w:rsidRPr="194B89F8">
              <w:rPr>
                <w:rFonts w:ascii="Garamond" w:hAnsi="Garamond" w:cs="Arial"/>
              </w:rPr>
              <w:t>1000</w:t>
            </w:r>
          </w:p>
        </w:tc>
        <w:tc>
          <w:tcPr>
            <w:tcW w:w="3225" w:type="dxa"/>
          </w:tcPr>
          <w:p w14:paraId="3F446514" w14:textId="77777777" w:rsidR="00AC1675" w:rsidRDefault="00AC1675" w:rsidP="0095418F">
            <w:pPr>
              <w:jc w:val="center"/>
              <w:rPr>
                <w:rFonts w:ascii="Garamond" w:hAnsi="Garamond" w:cs="Arial"/>
              </w:rPr>
            </w:pPr>
            <w:r w:rsidRPr="5492323B">
              <w:rPr>
                <w:rFonts w:ascii="Garamond" w:hAnsi="Garamond" w:cs="Arial"/>
              </w:rPr>
              <w:t>All</w:t>
            </w:r>
          </w:p>
        </w:tc>
        <w:tc>
          <w:tcPr>
            <w:tcW w:w="1290" w:type="dxa"/>
          </w:tcPr>
          <w:p w14:paraId="3DE68E3A" w14:textId="77777777" w:rsidR="00AC1675" w:rsidRDefault="00AC1675" w:rsidP="0095418F">
            <w:pPr>
              <w:jc w:val="center"/>
              <w:rPr>
                <w:rFonts w:ascii="Garamond" w:hAnsi="Garamond" w:cs="Arial"/>
              </w:rPr>
            </w:pPr>
            <w:r w:rsidRPr="194B89F8">
              <w:rPr>
                <w:rFonts w:ascii="Garamond" w:hAnsi="Garamond" w:cs="Arial"/>
              </w:rPr>
              <w:t>0.7</w:t>
            </w:r>
          </w:p>
        </w:tc>
        <w:tc>
          <w:tcPr>
            <w:tcW w:w="1348" w:type="dxa"/>
          </w:tcPr>
          <w:p w14:paraId="50EB185E" w14:textId="77777777" w:rsidR="00AC1675" w:rsidRDefault="00AC1675" w:rsidP="0095418F">
            <w:pPr>
              <w:jc w:val="center"/>
              <w:rPr>
                <w:rFonts w:ascii="Garamond" w:hAnsi="Garamond" w:cs="Arial"/>
              </w:rPr>
            </w:pPr>
            <w:r w:rsidRPr="194B89F8">
              <w:rPr>
                <w:rFonts w:ascii="Garamond" w:hAnsi="Garamond" w:cs="Arial"/>
              </w:rPr>
              <w:t>13.86</w:t>
            </w:r>
          </w:p>
        </w:tc>
      </w:tr>
    </w:tbl>
    <w:p w14:paraId="75394147" w14:textId="77777777" w:rsidR="00AC1675" w:rsidRPr="00341FA2" w:rsidRDefault="00AC1675" w:rsidP="00AC1675">
      <w:pPr>
        <w:spacing w:after="0" w:line="240" w:lineRule="auto"/>
        <w:rPr>
          <w:rFonts w:ascii="Garamond" w:eastAsia="Garamond" w:hAnsi="Garamond" w:cs="Garamond"/>
        </w:rPr>
      </w:pPr>
    </w:p>
    <w:p w14:paraId="7570C0E1" w14:textId="12116271" w:rsidR="00AC1675" w:rsidRDefault="00AC1675" w:rsidP="00AC1675">
      <w:pPr>
        <w:spacing w:after="0" w:line="240" w:lineRule="auto"/>
        <w:rPr>
          <w:rFonts w:ascii="Garamond" w:eastAsia="Garamond" w:hAnsi="Garamond" w:cs="Garamond"/>
        </w:rPr>
      </w:pPr>
      <w:r w:rsidRPr="5492323B">
        <w:rPr>
          <w:rFonts w:ascii="Garamond" w:eastAsia="Garamond" w:hAnsi="Garamond" w:cs="Garamond"/>
        </w:rPr>
        <w:t>Our 2-step model had the parameters ‘mtry’ and ‘ntree’ set to 13 and 1000 respectively and included all 163 predictor variables. We tested a ‘kitchen sink’ method for the 1-step model, which only had an RMSE greater by 1 percent (Table 3). Because of this small difference, we moved forward with this method for the 2-step model. This model produced an R</w:t>
      </w:r>
      <w:r>
        <w:rPr>
          <w:rFonts w:ascii="Garamond" w:eastAsia="Garamond" w:hAnsi="Garamond" w:cs="Garamond"/>
          <w:vertAlign w:val="superscript"/>
        </w:rPr>
        <w:t>2</w:t>
      </w:r>
      <w:r w:rsidRPr="5492323B">
        <w:rPr>
          <w:rFonts w:ascii="Garamond" w:eastAsia="Garamond" w:hAnsi="Garamond" w:cs="Garamond"/>
        </w:rPr>
        <w:t xml:space="preserve"> of 0.70 and an RMSE of 13.86. We did not do further analysis on top performing predictors for the 2-step model because it contained highly correlated variables. This made it difficult to distinguish which variables were contributing more to the model. However, the 2-step model predicted cheatgrass cover with greater accuracy compared to the 1-step model.</w:t>
      </w:r>
    </w:p>
    <w:p w14:paraId="3FFA418C" w14:textId="4D4B8541" w:rsidR="00AC1675" w:rsidRDefault="00AC1675" w:rsidP="00AC1675">
      <w:pPr>
        <w:spacing w:after="0" w:line="240" w:lineRule="auto"/>
        <w:rPr>
          <w:rFonts w:ascii="Garamond" w:eastAsia="Garamond" w:hAnsi="Garamond" w:cs="Garamond"/>
        </w:rPr>
      </w:pPr>
    </w:p>
    <w:p w14:paraId="6110EC04" w14:textId="613B4A4D" w:rsidR="00AC1675" w:rsidRDefault="00AC1675" w:rsidP="00AC1675">
      <w:pPr>
        <w:spacing w:after="0" w:line="240" w:lineRule="auto"/>
        <w:jc w:val="center"/>
        <w:rPr>
          <w:b/>
          <w:bCs/>
        </w:rPr>
      </w:pPr>
      <w:r>
        <w:rPr>
          <w:noProof/>
        </w:rPr>
        <mc:AlternateContent>
          <mc:Choice Requires="wps">
            <w:drawing>
              <wp:anchor distT="0" distB="0" distL="114300" distR="114300" simplePos="0" relativeHeight="251664384" behindDoc="0" locked="0" layoutInCell="1" allowOverlap="1" wp14:anchorId="5014DCF9" wp14:editId="08813A01">
                <wp:simplePos x="0" y="0"/>
                <wp:positionH relativeFrom="column">
                  <wp:posOffset>99060</wp:posOffset>
                </wp:positionH>
                <wp:positionV relativeFrom="paragraph">
                  <wp:posOffset>3634740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367E63" w14:textId="77777777" w:rsidR="00AC1675" w:rsidRPr="00AC1675" w:rsidRDefault="00AC1675" w:rsidP="00AC1675">
                            <w:pPr>
                              <w:spacing w:line="240" w:lineRule="auto"/>
                              <w:jc w:val="center"/>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675">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14DCF9" id="Text Box 9" o:spid="_x0000_s1028" type="#_x0000_t202" style="position:absolute;left:0;text-align:left;margin-left:7.8pt;margin-top:286.2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" filled="f" stroked="f">
                <v:textbox style="mso-fit-shape-to-text:t">
                  <w:txbxContent>
                    <w:p w14:paraId="26367E63" w14:textId="77777777" w:rsidR="00AC1675" w:rsidRPr="00AC1675" w:rsidRDefault="00AC1675" w:rsidP="00AC1675">
                      <w:pPr>
                        <w:spacing w:line="240" w:lineRule="auto"/>
                        <w:jc w:val="center"/>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675">
                        <w:rPr>
                          <w:rFonts w:ascii="Garamond" w:hAnsi="Garamond" w:cs="Arial"/>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w:drawing>
          <wp:inline distT="0" distB="0" distL="0" distR="0" wp14:anchorId="427267B6" wp14:editId="3A018497">
            <wp:extent cx="2852630" cy="3651366"/>
            <wp:effectExtent l="0" t="0" r="0" b="0"/>
            <wp:docPr id="1309848577" name="Picture 13098485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48577" name="Picture 1309848577"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2630" cy="3651366"/>
                    </a:xfrm>
                    <a:prstGeom prst="rect">
                      <a:avLst/>
                    </a:prstGeom>
                  </pic:spPr>
                </pic:pic>
              </a:graphicData>
            </a:graphic>
          </wp:inline>
        </w:drawing>
      </w:r>
    </w:p>
    <w:p w14:paraId="3A9E6342" w14:textId="75EBD655" w:rsidR="00AC1675" w:rsidRDefault="00AC1675" w:rsidP="00AC1675">
      <w:pPr>
        <w:spacing w:after="0" w:line="240" w:lineRule="auto"/>
        <w:jc w:val="center"/>
        <w:rPr>
          <w:b/>
          <w:bCs/>
        </w:rPr>
      </w:pPr>
    </w:p>
    <w:p w14:paraId="738A6E1E" w14:textId="77777777" w:rsidR="00AC1675" w:rsidRDefault="00AC1675" w:rsidP="00AC1675">
      <w:pPr>
        <w:spacing w:after="0" w:line="240" w:lineRule="auto"/>
        <w:jc w:val="center"/>
        <w:rPr>
          <w:b/>
          <w:bCs/>
        </w:rPr>
      </w:pPr>
    </w:p>
    <w:p w14:paraId="7824748B" w14:textId="609AED09" w:rsidR="00AC1675" w:rsidRDefault="00AC1675" w:rsidP="00AC1675">
      <w:pPr>
        <w:spacing w:after="0" w:line="240" w:lineRule="auto"/>
        <w:jc w:val="center"/>
        <w:rPr>
          <w:b/>
          <w:bCs/>
        </w:rPr>
      </w:pPr>
      <w:r>
        <w:rPr>
          <w:noProof/>
        </w:rPr>
        <w:drawing>
          <wp:inline distT="0" distB="0" distL="0" distR="0" wp14:anchorId="00EF511D" wp14:editId="229F5D00">
            <wp:extent cx="5943600" cy="1708487"/>
            <wp:effectExtent l="0" t="0" r="0" b="6350"/>
            <wp:docPr id="1931759061" name="Picture 19317590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59061" name="Picture 1931759061"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708487"/>
                    </a:xfrm>
                    <a:prstGeom prst="rect">
                      <a:avLst/>
                    </a:prstGeom>
                  </pic:spPr>
                </pic:pic>
              </a:graphicData>
            </a:graphic>
          </wp:inline>
        </w:drawing>
      </w:r>
    </w:p>
    <w:p w14:paraId="328466B6" w14:textId="77777777" w:rsidR="00AC1675" w:rsidRPr="00AC1675" w:rsidRDefault="00AC1675" w:rsidP="00AC1675">
      <w:pPr>
        <w:spacing w:after="0" w:line="240" w:lineRule="auto"/>
        <w:jc w:val="center"/>
        <w:rPr>
          <w:b/>
          <w:bCs/>
        </w:rPr>
      </w:pPr>
    </w:p>
    <w:p w14:paraId="45824740" w14:textId="1FDB4CBF" w:rsidR="009C10DA" w:rsidRDefault="00AC1675" w:rsidP="00AC1675">
      <w:pPr>
        <w:pStyle w:val="NoSpacing"/>
        <w:jc w:val="center"/>
        <w:rPr>
          <w:rFonts w:ascii="Garamond" w:eastAsia="Garamond" w:hAnsi="Garamond" w:cs="Garamond"/>
        </w:rPr>
      </w:pPr>
      <w:r w:rsidRPr="194B89F8">
        <w:rPr>
          <w:rFonts w:ascii="Garamond" w:eastAsia="Garamond" w:hAnsi="Garamond" w:cs="Garamond"/>
          <w:i/>
          <w:iCs/>
        </w:rPr>
        <w:t xml:space="preserve">Figure 3. </w:t>
      </w:r>
      <w:r w:rsidRPr="194B89F8">
        <w:rPr>
          <w:rFonts w:ascii="Garamond" w:eastAsia="Garamond" w:hAnsi="Garamond" w:cs="Garamond"/>
        </w:rPr>
        <w:t>Top predictors in our 1-step cheatgrass detection model (A) as described on the y-axis, with the increase of the mean squared error (or how much our model accuracy decreases if we leave out that variable) on the x-axis. Partial dependence plots (B) showing predicted cheatgrass cover on the y-axis and the value of the predictor on the x-axis.</w:t>
      </w:r>
    </w:p>
    <w:p w14:paraId="3B1BFDEC" w14:textId="77777777" w:rsidR="00AC1675" w:rsidRPr="00AC1675" w:rsidRDefault="00AC1675" w:rsidP="00AC1675">
      <w:pPr>
        <w:pStyle w:val="NoSpacing"/>
        <w:jc w:val="center"/>
        <w:rPr>
          <w:rFonts w:ascii="Garamond" w:eastAsia="Garamond" w:hAnsi="Garamond" w:cs="Garamond"/>
        </w:rPr>
      </w:pPr>
    </w:p>
    <w:p w14:paraId="2D02484A" w14:textId="77777777" w:rsidR="00AC1675" w:rsidRPr="00341FA2" w:rsidRDefault="00AC1675" w:rsidP="00AC1675">
      <w:pPr>
        <w:pStyle w:val="NoSpacing"/>
        <w:rPr>
          <w:rFonts w:ascii="Garamond" w:hAnsi="Garamond"/>
          <w:i/>
          <w:iCs/>
        </w:rPr>
      </w:pPr>
      <w:r w:rsidRPr="194B89F8">
        <w:rPr>
          <w:rFonts w:ascii="Garamond" w:hAnsi="Garamond"/>
          <w:i/>
          <w:iCs/>
        </w:rPr>
        <w:t>4.1.2 Time Series</w:t>
      </w:r>
    </w:p>
    <w:p w14:paraId="4B9BFA4D" w14:textId="77777777" w:rsidR="00AC1675" w:rsidRDefault="00AC1675" w:rsidP="00AC1675">
      <w:pPr>
        <w:pStyle w:val="NoSpacing"/>
        <w:rPr>
          <w:rFonts w:ascii="Garamond" w:eastAsia="Garamond" w:hAnsi="Garamond" w:cs="Garamond"/>
        </w:rPr>
      </w:pPr>
      <w:r w:rsidRPr="194B89F8">
        <w:rPr>
          <w:rFonts w:ascii="Garamond" w:hAnsi="Garamond"/>
        </w:rPr>
        <w:t>T</w:t>
      </w:r>
      <w:r w:rsidRPr="194B89F8">
        <w:rPr>
          <w:rFonts w:ascii="Garamond" w:eastAsia="Garamond" w:hAnsi="Garamond" w:cs="Garamond"/>
        </w:rPr>
        <w:t xml:space="preserve">he time </w:t>
      </w:r>
      <w:r w:rsidRPr="194B89F8">
        <w:rPr>
          <w:rFonts w:ascii="Garamond" w:eastAsia="Garamond" w:hAnsi="Garamond" w:cs="Garamond"/>
          <w:color w:val="000000" w:themeColor="text1"/>
        </w:rPr>
        <w:t>series plot which shows the NDVI values across the summer and fall months of 2021 at the 10 different camera locations and have been divided into cheatgrass present and absent in the view of each camera (Figure 4).</w:t>
      </w:r>
      <w:r w:rsidRPr="194B89F8">
        <w:rPr>
          <w:rFonts w:ascii="Garamond" w:eastAsia="Garamond" w:hAnsi="Garamond" w:cs="Garamond"/>
          <w:i/>
          <w:iCs/>
          <w:color w:val="000000" w:themeColor="text1"/>
        </w:rPr>
        <w:t xml:space="preserve"> </w:t>
      </w:r>
      <w:r w:rsidRPr="194B89F8">
        <w:rPr>
          <w:rFonts w:ascii="Garamond" w:eastAsia="Garamond" w:hAnsi="Garamond" w:cs="Garamond"/>
          <w:color w:val="000000" w:themeColor="text1"/>
        </w:rPr>
        <w:t xml:space="preserve">The mean and a confidence interval </w:t>
      </w:r>
      <w:r>
        <w:rPr>
          <w:rFonts w:ascii="Garamond" w:eastAsia="Garamond" w:hAnsi="Garamond" w:cs="Garamond"/>
          <w:color w:val="000000" w:themeColor="text1"/>
        </w:rPr>
        <w:t>were</w:t>
      </w:r>
      <w:r w:rsidRPr="194B89F8">
        <w:rPr>
          <w:rFonts w:ascii="Garamond" w:eastAsia="Garamond" w:hAnsi="Garamond" w:cs="Garamond"/>
          <w:color w:val="000000" w:themeColor="text1"/>
        </w:rPr>
        <w:t xml:space="preserve"> plotted for both the cheatgrass present cameras and the cheatgrass absent ones. The cheatgrass absent cameras show dramatic changes in the mean NDVI values over the course of the summer and fall while the cheatgrass present cameras show little change in vegetation growth over the course of the summer and fall.</w:t>
      </w:r>
      <w:r w:rsidRPr="194B89F8">
        <w:rPr>
          <w:rFonts w:ascii="Garamond" w:hAnsi="Garamond"/>
        </w:rPr>
        <w:t xml:space="preserve"> Growth was not as prevalent due to the fire occurring less than a year previously.</w:t>
      </w:r>
    </w:p>
    <w:p w14:paraId="39DE3763" w14:textId="77777777" w:rsidR="00AC1675" w:rsidRDefault="00AC1675" w:rsidP="00AC1675">
      <w:pPr>
        <w:pStyle w:val="NoSpacing"/>
        <w:rPr>
          <w:rFonts w:ascii="Garamond" w:eastAsia="Garamond" w:hAnsi="Garamond" w:cs="Garamond"/>
        </w:rPr>
      </w:pPr>
    </w:p>
    <w:p w14:paraId="1CFF9B85" w14:textId="77777777" w:rsidR="00AC1675" w:rsidRDefault="00AC1675" w:rsidP="00AC1675">
      <w:pPr>
        <w:pStyle w:val="NoSpacing"/>
        <w:jc w:val="center"/>
        <w:rPr>
          <w:rFonts w:ascii="Garamond" w:eastAsia="Garamond" w:hAnsi="Garamond" w:cs="Garamond"/>
        </w:rPr>
      </w:pPr>
      <w:r>
        <w:rPr>
          <w:noProof/>
        </w:rPr>
        <w:drawing>
          <wp:inline distT="0" distB="0" distL="0" distR="0" wp14:anchorId="236A3FC1" wp14:editId="3E1C9B51">
            <wp:extent cx="4572000" cy="2714625"/>
            <wp:effectExtent l="0" t="0" r="0" b="0"/>
            <wp:docPr id="456467692" name="Picture 45646769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67692" name="Picture 456467692"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14FE0CE5" w14:textId="77777777" w:rsidR="00AC1675" w:rsidRDefault="00AC1675" w:rsidP="00AC1675">
      <w:pPr>
        <w:pStyle w:val="NoSpacing"/>
        <w:jc w:val="center"/>
        <w:rPr>
          <w:rFonts w:ascii="Garamond" w:eastAsia="Garamond" w:hAnsi="Garamond" w:cs="Garamond"/>
        </w:rPr>
      </w:pPr>
      <w:r w:rsidRPr="5492323B">
        <w:rPr>
          <w:rFonts w:ascii="Garamond" w:eastAsia="Garamond" w:hAnsi="Garamond" w:cs="Garamond"/>
          <w:i/>
          <w:iCs/>
        </w:rPr>
        <w:t xml:space="preserve">Figure 4. </w:t>
      </w:r>
      <w:r w:rsidRPr="5492323B">
        <w:rPr>
          <w:rFonts w:ascii="Garamond" w:eastAsia="Garamond" w:hAnsi="Garamond" w:cs="Garamond"/>
        </w:rPr>
        <w:t>This plot shows NDVI values at the locations of 10 time-lapse cameras in our field site divided into two categories (absent and present) from June 2021 to October 2021. The colored lines represent the mean for each category and each category has a 95% confidence interval associated with it shown. Time-lapse cameras with cheatgrass absent from view are shown in red and the cameras with cheatgrass present in view are in blue.</w:t>
      </w:r>
    </w:p>
    <w:p w14:paraId="71415CEB" w14:textId="77777777" w:rsidR="00AC1675" w:rsidRDefault="00AC1675" w:rsidP="00AC1675">
      <w:pPr>
        <w:pStyle w:val="NoSpacing"/>
        <w:rPr>
          <w:rFonts w:ascii="Garamond" w:eastAsia="Garamond" w:hAnsi="Garamond" w:cs="Garamond"/>
        </w:rPr>
      </w:pPr>
    </w:p>
    <w:p w14:paraId="73969842" w14:textId="77777777" w:rsidR="00AC1675" w:rsidRPr="00341FA2" w:rsidRDefault="00AC1675" w:rsidP="00AC1675">
      <w:pPr>
        <w:pStyle w:val="NoSpacing"/>
        <w:rPr>
          <w:rFonts w:ascii="Garamond" w:eastAsia="Garamond" w:hAnsi="Garamond" w:cs="Garamond"/>
        </w:rPr>
      </w:pPr>
      <w:r w:rsidRPr="194B89F8">
        <w:rPr>
          <w:rFonts w:ascii="Garamond" w:eastAsia="Garamond" w:hAnsi="Garamond" w:cs="Garamond"/>
          <w:i/>
          <w:iCs/>
        </w:rPr>
        <w:t>4.1.3 Limitations</w:t>
      </w:r>
    </w:p>
    <w:p w14:paraId="4252D244" w14:textId="57AF6F9E" w:rsidR="00AC1675" w:rsidRDefault="00AC1675" w:rsidP="00AC1675">
      <w:pPr>
        <w:pStyle w:val="NoSpacing"/>
        <w:rPr>
          <w:rFonts w:ascii="Garamond" w:eastAsia="Garamond" w:hAnsi="Garamond" w:cs="Garamond"/>
        </w:rPr>
      </w:pPr>
      <w:r w:rsidRPr="194B89F8">
        <w:rPr>
          <w:rFonts w:ascii="Garamond" w:eastAsia="Garamond" w:hAnsi="Garamond" w:cs="Garamond"/>
        </w:rPr>
        <w:t xml:space="preserve">The study period of June-September 2021 had significant cloud cover in satellite imagery, which reduced image quality. There was also little vegetation growth post-fire as this was only the first growing season after a burn. Field observations stated that bare ground dominated much of the post-fire environment (89 of 150 field data points had ≤ 10% cheatgrass cover). This reduced accuracy when detecting cheatgrass below 40% cover. Lastly, a combination of the above factors resulted in model difficulties of spectrally distinguishing cheatgrass from surrounding vegetation. This potentially impacted lower cheatgrass cover being undetected by our model.   </w:t>
      </w:r>
    </w:p>
    <w:p w14:paraId="1C18DD30" w14:textId="77777777" w:rsidR="00AC1675" w:rsidRPr="00AC1675" w:rsidRDefault="00AC1675" w:rsidP="00AC1675">
      <w:pPr>
        <w:keepNext/>
        <w:keepLines/>
        <w:spacing w:before="200" w:after="0"/>
        <w:outlineLvl w:val="1"/>
        <w:rPr>
          <w:rFonts w:ascii="Garamond" w:eastAsiaTheme="majorEastAsia" w:hAnsi="Garamond" w:cstheme="majorBidi"/>
          <w:b/>
          <w:bCs/>
          <w:i/>
          <w:color w:val="000000" w:themeColor="text1"/>
        </w:rPr>
      </w:pPr>
      <w:r w:rsidRPr="00AC1675">
        <w:rPr>
          <w:rFonts w:ascii="Garamond" w:eastAsiaTheme="majorEastAsia" w:hAnsi="Garamond" w:cstheme="majorBidi"/>
          <w:b/>
          <w:bCs/>
          <w:i/>
          <w:color w:val="000000" w:themeColor="text1"/>
        </w:rPr>
        <w:t>4.2 Future Work</w:t>
      </w:r>
    </w:p>
    <w:p w14:paraId="00EA3782" w14:textId="77777777" w:rsidR="00AC1675" w:rsidRPr="00AC1675" w:rsidRDefault="00AC1675" w:rsidP="00AC1675">
      <w:pPr>
        <w:spacing w:after="0" w:line="240" w:lineRule="auto"/>
        <w:rPr>
          <w:rFonts w:ascii="Garamond" w:eastAsia="Garamond" w:hAnsi="Garamond" w:cs="Garamond"/>
        </w:rPr>
      </w:pPr>
      <w:r w:rsidRPr="00AC1675">
        <w:rPr>
          <w:rFonts w:ascii="Garamond" w:hAnsi="Garamond"/>
        </w:rPr>
        <w:t>We recommend comparing sites treated with and without herbicide would increase the understanding of the importance of using herbicide to prevent cheatgrass growth. The Natural Resource Ecology Lab at Colorado State University will continue to refine the cheatgrass map f</w:t>
      </w:r>
      <w:r w:rsidRPr="00AC1675">
        <w:rPr>
          <w:rFonts w:ascii="Garamond" w:eastAsia="Garamond" w:hAnsi="Garamond" w:cs="Garamond"/>
        </w:rPr>
        <w:t>or years to come w</w:t>
      </w:r>
      <w:r w:rsidRPr="00AC1675">
        <w:rPr>
          <w:rFonts w:ascii="Garamond" w:eastAsia="Garamond" w:hAnsi="Garamond" w:cs="Garamond"/>
          <w:color w:val="000000" w:themeColor="text1"/>
        </w:rPr>
        <w:t>ith the assistance of our partners in the US Forest Service and the USGS. We also hope to present our work either at a conference or via a publication.</w:t>
      </w:r>
    </w:p>
    <w:p w14:paraId="0059EFE5" w14:textId="44A516A0" w:rsidR="00AC1675" w:rsidRDefault="00AC1675" w:rsidP="00AC1675">
      <w:pPr>
        <w:pStyle w:val="NoSpacing"/>
        <w:rPr>
          <w:rFonts w:ascii="Garamond" w:eastAsia="Garamond" w:hAnsi="Garamond" w:cs="Garamond"/>
        </w:rPr>
      </w:pPr>
    </w:p>
    <w:p w14:paraId="6FDAD15C" w14:textId="77777777" w:rsidR="00AC1675" w:rsidRPr="00341FA2" w:rsidRDefault="00AC1675" w:rsidP="00AC1675">
      <w:pPr>
        <w:pStyle w:val="Heading1"/>
        <w:spacing w:before="0" w:line="240" w:lineRule="auto"/>
        <w:rPr>
          <w:rFonts w:ascii="Garamond" w:hAnsi="Garamond"/>
        </w:rPr>
      </w:pPr>
      <w:bookmarkStart w:id="2" w:name="_Toc334198735"/>
      <w:r w:rsidRPr="00341FA2">
        <w:rPr>
          <w:rFonts w:ascii="Garamond" w:hAnsi="Garamond"/>
        </w:rPr>
        <w:t>5. Conclusions</w:t>
      </w:r>
      <w:bookmarkEnd w:id="2"/>
    </w:p>
    <w:p w14:paraId="389EA6AA" w14:textId="77777777" w:rsidR="00AC1675" w:rsidRPr="00341FA2" w:rsidRDefault="00AC1675" w:rsidP="00AC1675">
      <w:pPr>
        <w:spacing w:after="0" w:line="240" w:lineRule="auto"/>
        <w:rPr>
          <w:rFonts w:ascii="Garamond" w:eastAsia="Garamond" w:hAnsi="Garamond" w:cs="Garamond"/>
        </w:rPr>
      </w:pPr>
      <w:r w:rsidRPr="5492323B">
        <w:rPr>
          <w:rFonts w:ascii="Garamond" w:eastAsia="Garamond" w:hAnsi="Garamond" w:cs="Garamond"/>
        </w:rPr>
        <w:t xml:space="preserve">The analysis of this study highlights the importance of implementing </w:t>
      </w:r>
      <w:r>
        <w:rPr>
          <w:rFonts w:ascii="Garamond" w:eastAsia="Garamond" w:hAnsi="Garamond" w:cs="Garamond"/>
        </w:rPr>
        <w:t>E</w:t>
      </w:r>
      <w:r w:rsidRPr="5492323B">
        <w:rPr>
          <w:rFonts w:ascii="Garamond" w:eastAsia="Garamond" w:hAnsi="Garamond" w:cs="Garamond"/>
        </w:rPr>
        <w:t xml:space="preserve">arth observations to detect cheatgrass. Post wildfire disturbance in the Intermountain West is of grave concern as cheatgrass spreads across large landscapes, </w:t>
      </w:r>
      <w:r w:rsidRPr="5492323B">
        <w:rPr>
          <w:rFonts w:ascii="Garamond" w:eastAsia="Garamond" w:hAnsi="Garamond" w:cs="Garamond"/>
          <w:color w:val="000000" w:themeColor="text1"/>
        </w:rPr>
        <w:t>out-competing native plant species, reducing biodiversity, and reducing quality of habitat for ungulates.</w:t>
      </w:r>
      <w:r w:rsidRPr="5492323B">
        <w:rPr>
          <w:rFonts w:ascii="Garamond" w:eastAsia="Garamond" w:hAnsi="Garamond" w:cs="Garamond"/>
        </w:rPr>
        <w:t xml:space="preserve"> By applying a random forest model, our team detected cheatgrass through Landsat 8 OLI and Sentinel-2 MSI within the study area. Our findings have demonstrated that in burned areas of the Mullen Fire, NDVI from the end and middle of the growing season (July) differenced from the start of the growing season (June) were top predictors for inputs in the random forest model to detect the different phenological trends of cheatgrass. The predictor variables employed in the random forest model have been selected based upon their ability to accurately and efficiently identify cheatgrass percent cover post-disturbance. However, the random forest model used to detect cheatgrass has a weak relationship between the predicted and actual observations. In addition, the team found a weak relationship between cheatgrass percent cover and fire burn severity.  Thus, the study provides a valuable framework for land managers who may need similar products and data to manage invasive species post-disturbance.</w:t>
      </w:r>
    </w:p>
    <w:p w14:paraId="69D735DA" w14:textId="77777777" w:rsidR="00AC1675" w:rsidRDefault="00AC1675" w:rsidP="00AC1675">
      <w:pPr>
        <w:pStyle w:val="Heading1"/>
        <w:spacing w:before="0" w:line="240" w:lineRule="auto"/>
        <w:rPr>
          <w:rFonts w:ascii="Garamond" w:hAnsi="Garamond"/>
        </w:rPr>
      </w:pPr>
      <w:bookmarkStart w:id="3" w:name="_Toc334198736"/>
    </w:p>
    <w:p w14:paraId="5C1B5CA0" w14:textId="097F0B0A" w:rsidR="00AC1675" w:rsidRPr="00341FA2" w:rsidRDefault="00AC1675" w:rsidP="00AC1675">
      <w:pPr>
        <w:pStyle w:val="Heading1"/>
        <w:spacing w:before="0" w:line="240" w:lineRule="auto"/>
        <w:rPr>
          <w:rFonts w:ascii="Garamond" w:hAnsi="Garamond"/>
        </w:rPr>
      </w:pPr>
      <w:r w:rsidRPr="194B89F8">
        <w:rPr>
          <w:rFonts w:ascii="Garamond" w:hAnsi="Garamond"/>
        </w:rPr>
        <w:t>6. Acknowledgments</w:t>
      </w:r>
      <w:bookmarkEnd w:id="3"/>
    </w:p>
    <w:p w14:paraId="20BD5519" w14:textId="77777777" w:rsidR="00AC1675" w:rsidRDefault="00AC1675" w:rsidP="00AC1675">
      <w:pPr>
        <w:spacing w:line="240" w:lineRule="auto"/>
        <w:rPr>
          <w:rFonts w:ascii="Garamond" w:eastAsia="Garamond" w:hAnsi="Garamond" w:cs="Garamond"/>
        </w:rPr>
      </w:pPr>
      <w:r w:rsidRPr="194B89F8">
        <w:rPr>
          <w:rFonts w:ascii="Garamond" w:eastAsia="Garamond" w:hAnsi="Garamond" w:cs="Garamond"/>
        </w:rPr>
        <w:t>Thank you to our collaborator Dr. Janet Prevey with the USGS and end user Dr. Katie Hanes with the USFS for providing us with expertise about cheatgrass occurrence and cheatgrass phenology in the study area. Also, thank you to Scott Cunningham, our Fellow with DEVELOP, and our primary science advisors, Dr. Paul Evangelista, Dr. Anthony Vorster, Dr. Brian Woodward, and Peder Engelstad with Colorado State University's Natural Resource Ecology Lab and Dr. Catherine Jarnevich with the USGS.</w:t>
      </w:r>
    </w:p>
    <w:p w14:paraId="486E3F64" w14:textId="5B179A64" w:rsidR="00AC1675" w:rsidRDefault="00AC1675" w:rsidP="00AC1675">
      <w:pPr>
        <w:spacing w:line="240" w:lineRule="auto"/>
        <w:rPr>
          <w:rFonts w:ascii="Garamond" w:eastAsia="Garamond" w:hAnsi="Garamond" w:cs="Garamond"/>
        </w:rPr>
      </w:pPr>
      <w:r w:rsidRPr="75E5FDC0">
        <w:rPr>
          <w:rFonts w:ascii="Garamond" w:eastAsia="Garamond" w:hAnsi="Garamond" w:cs="Garamond"/>
        </w:rPr>
        <w:t>This material contains modified Copernicus Sentinel data (2020), processed by ESA. Any opinions, findings, and conclusions or recommendations expressed in this material are those of the author(s) and do not necessarily reflect the views of the National Aeronautics and Space Administration. This material is based upon work supported by NASA through contract NNL16AA05C.</w:t>
      </w:r>
    </w:p>
    <w:p w14:paraId="338AE16B" w14:textId="77777777" w:rsidR="00AC1675" w:rsidRPr="00AC1675" w:rsidRDefault="00AC1675" w:rsidP="00AC1675">
      <w:pPr>
        <w:spacing w:line="240" w:lineRule="auto"/>
        <w:rPr>
          <w:rFonts w:ascii="Garamond" w:eastAsia="Garamond" w:hAnsi="Garamond" w:cs="Garamond"/>
        </w:rPr>
      </w:pPr>
    </w:p>
    <w:p w14:paraId="487EC5F9" w14:textId="0039E762" w:rsidR="00AC1675" w:rsidRPr="00341FA2" w:rsidRDefault="00AC1675" w:rsidP="00AC1675">
      <w:pPr>
        <w:pStyle w:val="Heading1"/>
        <w:spacing w:before="0" w:line="240" w:lineRule="auto"/>
        <w:rPr>
          <w:rFonts w:ascii="Garamond" w:hAnsi="Garamond"/>
        </w:rPr>
      </w:pPr>
      <w:r w:rsidRPr="00341FA2">
        <w:rPr>
          <w:rFonts w:ascii="Garamond" w:hAnsi="Garamond"/>
        </w:rPr>
        <w:t>7. Glossary</w:t>
      </w:r>
    </w:p>
    <w:p w14:paraId="427DCC9B" w14:textId="77777777" w:rsidR="00AC1675" w:rsidRPr="0007580D" w:rsidRDefault="00AC1675" w:rsidP="00AC1675">
      <w:pPr>
        <w:spacing w:after="0" w:line="240" w:lineRule="auto"/>
        <w:rPr>
          <w:rFonts w:ascii="Garamond" w:hAnsi="Garamond"/>
          <w:color w:val="404040" w:themeColor="text1" w:themeTint="BF"/>
        </w:rPr>
      </w:pPr>
      <w:r w:rsidRPr="000C4153">
        <w:rPr>
          <w:rFonts w:ascii="Garamond" w:hAnsi="Garamond"/>
          <w:b/>
          <w:bCs/>
          <w:color w:val="404040" w:themeColor="text1" w:themeTint="BF"/>
        </w:rPr>
        <w:t xml:space="preserve">Difference </w:t>
      </w:r>
      <w:r w:rsidRPr="0007580D">
        <w:rPr>
          <w:rFonts w:ascii="Garamond" w:hAnsi="Garamond"/>
          <w:b/>
          <w:color w:val="404040" w:themeColor="text1" w:themeTint="BF"/>
        </w:rPr>
        <w:t>Normalized Burn Ratio (dNBR):</w:t>
      </w:r>
      <w:r w:rsidRPr="0007580D">
        <w:rPr>
          <w:rFonts w:ascii="Garamond" w:hAnsi="Garamond"/>
          <w:b/>
          <w:bCs/>
          <w:color w:val="404040" w:themeColor="text1" w:themeTint="BF"/>
        </w:rPr>
        <w:t xml:space="preserve"> </w:t>
      </w:r>
      <w:r w:rsidRPr="0007580D">
        <w:rPr>
          <w:rFonts w:ascii="Garamond" w:hAnsi="Garamond"/>
          <w:color w:val="404040" w:themeColor="text1" w:themeTint="BF"/>
        </w:rPr>
        <w:t xml:space="preserve">The difference between pre and post fire normalized burn ratio. </w:t>
      </w:r>
    </w:p>
    <w:p w14:paraId="6F1F2668" w14:textId="77777777" w:rsidR="00AC1675" w:rsidRPr="00341FA2" w:rsidRDefault="00AC1675" w:rsidP="00AC1675">
      <w:pPr>
        <w:spacing w:after="0" w:line="240" w:lineRule="auto"/>
        <w:rPr>
          <w:rFonts w:ascii="Garamond" w:hAnsi="Garamond"/>
          <w:color w:val="404040" w:themeColor="text1" w:themeTint="BF"/>
        </w:rPr>
      </w:pPr>
      <w:r w:rsidRPr="75E5FDC0">
        <w:rPr>
          <w:rFonts w:ascii="Garamond" w:hAnsi="Garamond"/>
          <w:b/>
          <w:bCs/>
          <w:color w:val="404040" w:themeColor="text1" w:themeTint="BF"/>
        </w:rPr>
        <w:t xml:space="preserve">Earth Observations (EO): </w:t>
      </w:r>
      <w:r w:rsidRPr="75E5FDC0">
        <w:rPr>
          <w:rFonts w:ascii="Garamond" w:hAnsi="Garamond"/>
          <w:color w:val="404040" w:themeColor="text1" w:themeTint="BF"/>
        </w:rPr>
        <w:t xml:space="preserve">The collection of data about the physical, chemical, and biological systems of planet Earth. </w:t>
      </w:r>
    </w:p>
    <w:p w14:paraId="1911444B" w14:textId="77777777" w:rsidR="00AC1675" w:rsidRDefault="00AC1675" w:rsidP="00AC1675">
      <w:pPr>
        <w:spacing w:after="0" w:line="240" w:lineRule="auto"/>
        <w:rPr>
          <w:rFonts w:ascii="Garamond" w:hAnsi="Garamond"/>
          <w:color w:val="404040" w:themeColor="text1" w:themeTint="BF"/>
        </w:rPr>
      </w:pPr>
      <w:r w:rsidRPr="75E5FDC0">
        <w:rPr>
          <w:rFonts w:ascii="Garamond" w:hAnsi="Garamond"/>
          <w:b/>
          <w:bCs/>
          <w:color w:val="404040" w:themeColor="text1" w:themeTint="BF"/>
        </w:rPr>
        <w:t>Earth Observing Systems (EOS):</w:t>
      </w:r>
      <w:r w:rsidRPr="75E5FDC0">
        <w:rPr>
          <w:rFonts w:ascii="Garamond" w:hAnsi="Garamond"/>
          <w:color w:val="404040" w:themeColor="text1" w:themeTint="BF"/>
        </w:rPr>
        <w:t xml:space="preserve"> NASA funded satellite missions that provide long-term global observations of land surfaces, biosphere, solid Earth, atmosphere and oceans for research. </w:t>
      </w:r>
    </w:p>
    <w:p w14:paraId="4675A2EC" w14:textId="77777777" w:rsidR="00AC1675" w:rsidRPr="00792739" w:rsidRDefault="00AC1675" w:rsidP="00AC1675">
      <w:pPr>
        <w:spacing w:after="0" w:line="240" w:lineRule="auto"/>
        <w:rPr>
          <w:rFonts w:ascii="Garamond" w:hAnsi="Garamond"/>
          <w:b/>
          <w:bCs/>
          <w:color w:val="404040" w:themeColor="text1" w:themeTint="BF"/>
        </w:rPr>
      </w:pPr>
      <w:r w:rsidRPr="000C4153">
        <w:rPr>
          <w:rFonts w:ascii="Garamond" w:hAnsi="Garamond"/>
          <w:b/>
          <w:bCs/>
          <w:color w:val="404040" w:themeColor="text1" w:themeTint="BF"/>
        </w:rPr>
        <w:t xml:space="preserve">Enhanced Vegetation Index (EVI): </w:t>
      </w:r>
      <w:r w:rsidRPr="00792739">
        <w:rPr>
          <w:rFonts w:ascii="Garamond" w:hAnsi="Garamond"/>
          <w:b/>
          <w:color w:val="404040" w:themeColor="text1" w:themeTint="BF"/>
        </w:rPr>
        <w:t xml:space="preserve"> </w:t>
      </w:r>
      <w:r w:rsidRPr="00792739">
        <w:rPr>
          <w:rFonts w:ascii="Garamond" w:hAnsi="Garamond"/>
          <w:color w:val="404040" w:themeColor="text1" w:themeTint="BF"/>
        </w:rPr>
        <w:t xml:space="preserve">A vegetation index to quantify greenness that corrects for atmospheric conditions. </w:t>
      </w:r>
    </w:p>
    <w:p w14:paraId="29F821FC" w14:textId="77777777" w:rsidR="00AC1675" w:rsidRPr="00792739" w:rsidRDefault="00AC1675" w:rsidP="00AC1675">
      <w:pPr>
        <w:spacing w:after="0" w:line="240" w:lineRule="auto"/>
        <w:rPr>
          <w:rFonts w:ascii="Garamond" w:hAnsi="Garamond"/>
          <w:b/>
          <w:bCs/>
          <w:color w:val="404040" w:themeColor="text1" w:themeTint="BF"/>
        </w:rPr>
      </w:pPr>
      <w:r w:rsidRPr="00792739">
        <w:rPr>
          <w:rFonts w:ascii="Garamond" w:hAnsi="Garamond"/>
          <w:b/>
          <w:bCs/>
          <w:color w:val="404040" w:themeColor="text1" w:themeTint="BF"/>
        </w:rPr>
        <w:t xml:space="preserve">Fire Regimes: </w:t>
      </w:r>
      <w:r w:rsidRPr="00341FA2">
        <w:rPr>
          <w:rFonts w:ascii="Garamond" w:hAnsi="Garamond"/>
          <w:color w:val="404040" w:themeColor="text1" w:themeTint="BF"/>
        </w:rPr>
        <w:t>T</w:t>
      </w:r>
      <w:r w:rsidRPr="008B2431">
        <w:rPr>
          <w:rFonts w:ascii="Garamond" w:hAnsi="Garamond"/>
          <w:color w:val="404040" w:themeColor="text1" w:themeTint="BF"/>
        </w:rPr>
        <w:t>he patters</w:t>
      </w:r>
      <w:r w:rsidRPr="00792739">
        <w:rPr>
          <w:rFonts w:ascii="Garamond" w:hAnsi="Garamond"/>
          <w:color w:val="404040" w:themeColor="text1" w:themeTint="BF"/>
        </w:rPr>
        <w:t xml:space="preserve">, frequency, and intensity that fire occurs in a given ecosystem. </w:t>
      </w:r>
    </w:p>
    <w:p w14:paraId="2F3C89C1" w14:textId="77777777" w:rsidR="00AC1675" w:rsidRPr="00792739" w:rsidRDefault="00AC1675" w:rsidP="00AC1675">
      <w:pPr>
        <w:spacing w:after="0" w:line="240" w:lineRule="auto"/>
        <w:rPr>
          <w:rFonts w:ascii="Garamond" w:hAnsi="Garamond"/>
          <w:b/>
          <w:bCs/>
          <w:color w:val="404040" w:themeColor="text1" w:themeTint="BF"/>
        </w:rPr>
      </w:pPr>
      <w:r w:rsidRPr="00792739">
        <w:rPr>
          <w:rFonts w:ascii="Garamond" w:hAnsi="Garamond"/>
          <w:b/>
          <w:bCs/>
          <w:color w:val="404040" w:themeColor="text1" w:themeTint="BF"/>
        </w:rPr>
        <w:t xml:space="preserve">Google Earth Engine (GEE): </w:t>
      </w:r>
      <w:r w:rsidRPr="00792739">
        <w:rPr>
          <w:rFonts w:ascii="Garamond" w:hAnsi="Garamond"/>
          <w:color w:val="404040" w:themeColor="text1" w:themeTint="BF"/>
        </w:rPr>
        <w:t xml:space="preserve">A geospatial processing service provided by Google powered by a cloud platform to perform analysis at scale. </w:t>
      </w:r>
    </w:p>
    <w:p w14:paraId="407D7659" w14:textId="77777777" w:rsidR="00AC1675" w:rsidRPr="00792739" w:rsidRDefault="00AC1675" w:rsidP="00AC1675">
      <w:pPr>
        <w:spacing w:after="0" w:line="240" w:lineRule="auto"/>
        <w:rPr>
          <w:rFonts w:ascii="Garamond" w:hAnsi="Garamond"/>
          <w:color w:val="404040" w:themeColor="text1" w:themeTint="BF"/>
        </w:rPr>
      </w:pPr>
      <w:r w:rsidRPr="00792739">
        <w:rPr>
          <w:rFonts w:ascii="Garamond" w:hAnsi="Garamond"/>
          <w:b/>
          <w:bCs/>
          <w:color w:val="404040" w:themeColor="text1" w:themeTint="BF"/>
        </w:rPr>
        <w:t xml:space="preserve">Moderate Resolution Imaging Spectroradiometer (MODIS): </w:t>
      </w:r>
      <w:r w:rsidRPr="00792739">
        <w:rPr>
          <w:rFonts w:ascii="Garamond" w:hAnsi="Garamond"/>
          <w:color w:val="404040" w:themeColor="text1" w:themeTint="BF"/>
        </w:rPr>
        <w:t>An imaging sensor onboard the Terra and Aqua satellite missions funded by NASA</w:t>
      </w:r>
    </w:p>
    <w:p w14:paraId="283207E1" w14:textId="77777777" w:rsidR="00AC1675" w:rsidRPr="00792739" w:rsidRDefault="00AC1675" w:rsidP="00AC1675">
      <w:pPr>
        <w:spacing w:after="0" w:line="240" w:lineRule="auto"/>
        <w:rPr>
          <w:rFonts w:ascii="Garamond" w:hAnsi="Garamond"/>
          <w:b/>
          <w:bCs/>
          <w:color w:val="404040" w:themeColor="text1" w:themeTint="BF"/>
        </w:rPr>
      </w:pPr>
      <w:r w:rsidRPr="00792739">
        <w:rPr>
          <w:rFonts w:ascii="Garamond" w:hAnsi="Garamond"/>
          <w:b/>
          <w:bCs/>
          <w:color w:val="404040" w:themeColor="text1" w:themeTint="BF"/>
        </w:rPr>
        <w:t xml:space="preserve">Normalized Burn Ratio (NBR): </w:t>
      </w:r>
      <w:r w:rsidRPr="00792739">
        <w:rPr>
          <w:rFonts w:ascii="Garamond" w:hAnsi="Garamond"/>
          <w:color w:val="404040" w:themeColor="text1" w:themeTint="BF"/>
        </w:rPr>
        <w:t>A burn index used to identify burned areas and assess severity</w:t>
      </w:r>
    </w:p>
    <w:p w14:paraId="22650A86" w14:textId="77777777" w:rsidR="00AC1675" w:rsidRPr="00792739" w:rsidRDefault="00AC1675" w:rsidP="00AC1675">
      <w:pPr>
        <w:spacing w:after="0" w:line="240" w:lineRule="auto"/>
        <w:rPr>
          <w:rFonts w:ascii="Garamond" w:hAnsi="Garamond"/>
          <w:color w:val="404040" w:themeColor="text1" w:themeTint="BF"/>
        </w:rPr>
      </w:pPr>
      <w:r w:rsidRPr="00792739">
        <w:rPr>
          <w:rFonts w:ascii="Garamond" w:hAnsi="Garamond"/>
          <w:b/>
          <w:bCs/>
          <w:color w:val="404040" w:themeColor="text1" w:themeTint="BF"/>
        </w:rPr>
        <w:t xml:space="preserve">Normalized Difference Vegetation Index (NDVI): </w:t>
      </w:r>
      <w:r w:rsidRPr="00792739">
        <w:rPr>
          <w:rFonts w:ascii="Garamond" w:hAnsi="Garamond"/>
          <w:color w:val="404040" w:themeColor="text1" w:themeTint="BF"/>
        </w:rPr>
        <w:t xml:space="preserve">A vegetation index using the difference between visible and near-inferred reflectance as an indicator of vegetation health. </w:t>
      </w:r>
    </w:p>
    <w:p w14:paraId="19516A9C" w14:textId="77777777" w:rsidR="00AC1675" w:rsidRPr="00341FA2" w:rsidRDefault="00AC1675" w:rsidP="00AC1675">
      <w:pPr>
        <w:spacing w:after="0" w:line="240" w:lineRule="auto"/>
        <w:rPr>
          <w:rFonts w:ascii="Garamond" w:eastAsia="Garamond" w:hAnsi="Garamond" w:cs="Garamond"/>
          <w:color w:val="000000" w:themeColor="text1"/>
        </w:rPr>
      </w:pPr>
      <w:r w:rsidRPr="00792739">
        <w:rPr>
          <w:rFonts w:ascii="Garamond" w:hAnsi="Garamond"/>
          <w:b/>
          <w:bCs/>
          <w:color w:val="404040" w:themeColor="text1" w:themeTint="BF"/>
        </w:rPr>
        <w:t>Remote Sensing (RS):</w:t>
      </w:r>
      <w:r w:rsidRPr="00341FA2">
        <w:rPr>
          <w:rFonts w:ascii="Garamond" w:eastAsia="Garamond" w:hAnsi="Garamond" w:cs="Garamond"/>
          <w:color w:val="000000" w:themeColor="text1"/>
        </w:rPr>
        <w:t xml:space="preserve"> The recording and collection of information the ultraviolet, visible, near infrared, infrared and microwave regions of the electromagnetic spectrum through cameras, scanners, lasers, and/or sensors located on platforms such as aircraft or spacecraft. </w:t>
      </w:r>
    </w:p>
    <w:p w14:paraId="6373916D" w14:textId="77777777" w:rsidR="00AC1675" w:rsidRPr="00792739" w:rsidRDefault="00AC1675" w:rsidP="00AC1675">
      <w:pPr>
        <w:spacing w:after="0" w:line="240" w:lineRule="auto"/>
        <w:rPr>
          <w:rFonts w:ascii="Garamond" w:hAnsi="Garamond"/>
          <w:color w:val="404040" w:themeColor="text1" w:themeTint="BF"/>
        </w:rPr>
      </w:pPr>
      <w:r w:rsidRPr="75E5FDC0">
        <w:rPr>
          <w:rFonts w:ascii="Garamond" w:hAnsi="Garamond"/>
          <w:b/>
          <w:bCs/>
          <w:color w:val="404040" w:themeColor="text1" w:themeTint="BF"/>
        </w:rPr>
        <w:t xml:space="preserve">Relative Burn Ratio (RBR): </w:t>
      </w:r>
      <w:r w:rsidRPr="75E5FDC0">
        <w:rPr>
          <w:rFonts w:ascii="Garamond" w:hAnsi="Garamond"/>
          <w:color w:val="404040" w:themeColor="text1" w:themeTint="BF"/>
        </w:rPr>
        <w:t xml:space="preserve">A burn ratio index which performs best a determining high severity burns in low vegetation cover areas. </w:t>
      </w:r>
    </w:p>
    <w:p w14:paraId="639EE99F" w14:textId="77777777" w:rsidR="00AC1675" w:rsidRPr="00792739" w:rsidRDefault="00AC1675" w:rsidP="00AC1675">
      <w:pPr>
        <w:spacing w:after="0" w:line="240" w:lineRule="auto"/>
        <w:rPr>
          <w:rFonts w:ascii="Garamond" w:hAnsi="Garamond"/>
          <w:b/>
          <w:bCs/>
          <w:color w:val="404040" w:themeColor="text1" w:themeTint="BF"/>
        </w:rPr>
      </w:pPr>
      <w:r w:rsidRPr="75E5FDC0">
        <w:rPr>
          <w:rFonts w:ascii="Garamond" w:hAnsi="Garamond"/>
          <w:b/>
          <w:bCs/>
          <w:color w:val="404040" w:themeColor="text1" w:themeTint="BF"/>
        </w:rPr>
        <w:t xml:space="preserve">Relative Differenced Normalized Burn Ratio (RdNBR): </w:t>
      </w:r>
      <w:r w:rsidRPr="75E5FDC0">
        <w:rPr>
          <w:rFonts w:ascii="Garamond" w:hAnsi="Garamond"/>
          <w:color w:val="404040" w:themeColor="text1" w:themeTint="BF"/>
        </w:rPr>
        <w:t>An adjusted dNBR, which accounts for the different chlorophyl content values of the vegetation pre-fire.</w:t>
      </w:r>
    </w:p>
    <w:p w14:paraId="62756F99" w14:textId="77777777" w:rsidR="00AC1675" w:rsidRPr="00792739" w:rsidRDefault="00AC1675" w:rsidP="00AC1675">
      <w:pPr>
        <w:spacing w:after="0" w:line="240" w:lineRule="auto"/>
        <w:rPr>
          <w:rFonts w:ascii="Garamond" w:hAnsi="Garamond"/>
          <w:b/>
          <w:bCs/>
          <w:color w:val="404040" w:themeColor="text1" w:themeTint="BF"/>
        </w:rPr>
      </w:pPr>
      <w:r w:rsidRPr="00792739">
        <w:rPr>
          <w:rFonts w:ascii="Garamond" w:hAnsi="Garamond"/>
          <w:b/>
          <w:bCs/>
          <w:color w:val="404040" w:themeColor="text1" w:themeTint="BF"/>
        </w:rPr>
        <w:t xml:space="preserve">Shuttle Radar Topography Mission (SRTM): </w:t>
      </w:r>
      <w:r w:rsidRPr="00792739">
        <w:rPr>
          <w:rFonts w:ascii="Garamond" w:hAnsi="Garamond"/>
          <w:color w:val="404040" w:themeColor="text1" w:themeTint="BF"/>
        </w:rPr>
        <w:t>An international research mission to establish a near-global digital elevation model of the Earth.</w:t>
      </w:r>
    </w:p>
    <w:p w14:paraId="4E471D91" w14:textId="77777777" w:rsidR="00AC1675" w:rsidRPr="00341FA2" w:rsidRDefault="00AC1675" w:rsidP="00AC1675">
      <w:pPr>
        <w:spacing w:after="0" w:line="240" w:lineRule="auto"/>
        <w:rPr>
          <w:rFonts w:ascii="Garamond" w:hAnsi="Garamond"/>
          <w:color w:val="404040" w:themeColor="text1" w:themeTint="BF"/>
        </w:rPr>
      </w:pPr>
      <w:r w:rsidRPr="00792739">
        <w:rPr>
          <w:rFonts w:ascii="Garamond" w:hAnsi="Garamond"/>
          <w:b/>
          <w:bCs/>
          <w:color w:val="404040" w:themeColor="text1" w:themeTint="BF"/>
        </w:rPr>
        <w:t xml:space="preserve">Software for Assisted Habitat Modeling (SAHM): </w:t>
      </w:r>
      <w:r w:rsidRPr="00792739">
        <w:rPr>
          <w:rFonts w:ascii="Garamond" w:hAnsi="Garamond"/>
          <w:color w:val="404040" w:themeColor="text1" w:themeTint="BF"/>
        </w:rPr>
        <w:t xml:space="preserve">An opensource software package designed to construct habitat suitability models by combining environmental predictor layers of an area of interest with field samples to predict potential species distribution. </w:t>
      </w:r>
    </w:p>
    <w:p w14:paraId="19462D7A" w14:textId="77777777" w:rsidR="00AC1675" w:rsidRPr="00792739" w:rsidRDefault="00AC1675" w:rsidP="00AC1675">
      <w:pPr>
        <w:spacing w:after="0" w:line="240" w:lineRule="auto"/>
        <w:rPr>
          <w:rFonts w:ascii="Garamond" w:hAnsi="Garamond"/>
          <w:b/>
          <w:bCs/>
          <w:color w:val="404040" w:themeColor="text1" w:themeTint="BF"/>
        </w:rPr>
      </w:pPr>
      <w:r w:rsidRPr="000C4153">
        <w:rPr>
          <w:rFonts w:ascii="Garamond" w:hAnsi="Garamond"/>
          <w:b/>
          <w:bCs/>
          <w:color w:val="404040" w:themeColor="text1" w:themeTint="BF"/>
        </w:rPr>
        <w:t>Soil Adjusted Vegetation Index</w:t>
      </w:r>
      <w:r w:rsidRPr="00792739">
        <w:rPr>
          <w:rFonts w:ascii="Garamond" w:hAnsi="Garamond"/>
          <w:b/>
          <w:color w:val="404040" w:themeColor="text1" w:themeTint="BF"/>
        </w:rPr>
        <w:t xml:space="preserve"> (</w:t>
      </w:r>
      <w:r w:rsidRPr="00792739">
        <w:rPr>
          <w:rFonts w:ascii="Garamond" w:hAnsi="Garamond"/>
          <w:b/>
          <w:bCs/>
          <w:color w:val="404040" w:themeColor="text1" w:themeTint="BF"/>
        </w:rPr>
        <w:t xml:space="preserve">SAVI): </w:t>
      </w:r>
      <w:r w:rsidRPr="00792739">
        <w:rPr>
          <w:rFonts w:ascii="Garamond" w:hAnsi="Garamond"/>
          <w:color w:val="404040" w:themeColor="text1" w:themeTint="BF"/>
        </w:rPr>
        <w:t xml:space="preserve">An index for correcting the Normalized Difference Vegetation Index for the influence of soil brightness in locations of low vegetation cover. </w:t>
      </w:r>
    </w:p>
    <w:p w14:paraId="344B6714" w14:textId="77777777" w:rsidR="00AC1675" w:rsidRPr="00341FA2" w:rsidRDefault="00AC1675" w:rsidP="00AC1675">
      <w:pPr>
        <w:spacing w:after="0" w:line="240" w:lineRule="auto"/>
        <w:rPr>
          <w:rFonts w:ascii="Garamond" w:hAnsi="Garamond"/>
          <w:color w:val="404040" w:themeColor="text1" w:themeTint="BF"/>
        </w:rPr>
      </w:pPr>
      <w:r w:rsidRPr="00341FA2">
        <w:rPr>
          <w:rFonts w:ascii="Garamond" w:hAnsi="Garamond"/>
          <w:b/>
          <w:color w:val="000000" w:themeColor="text1"/>
        </w:rPr>
        <w:t xml:space="preserve">Tasseled Cap Brightness (TCB): </w:t>
      </w:r>
      <w:r w:rsidRPr="00341FA2">
        <w:rPr>
          <w:rFonts w:ascii="Garamond" w:hAnsi="Garamond"/>
          <w:color w:val="000000" w:themeColor="text1"/>
        </w:rPr>
        <w:t xml:space="preserve">A linear equation transformation that is specific to a sensor producing a brightness value for the ground. </w:t>
      </w:r>
    </w:p>
    <w:p w14:paraId="4BBE483A" w14:textId="77777777" w:rsidR="00AC1675" w:rsidRPr="00341FA2" w:rsidRDefault="00AC1675" w:rsidP="00AC1675">
      <w:pPr>
        <w:spacing w:after="0" w:line="240" w:lineRule="auto"/>
        <w:rPr>
          <w:rFonts w:ascii="Garamond" w:hAnsi="Garamond"/>
          <w:color w:val="404040" w:themeColor="text1" w:themeTint="BF"/>
        </w:rPr>
      </w:pPr>
      <w:r w:rsidRPr="008B2431">
        <w:rPr>
          <w:rFonts w:ascii="Garamond" w:hAnsi="Garamond"/>
          <w:b/>
          <w:bCs/>
          <w:color w:val="404040" w:themeColor="text1" w:themeTint="BF"/>
        </w:rPr>
        <w:t xml:space="preserve">Tasseled Cap Greenness (TCG): </w:t>
      </w:r>
      <w:r w:rsidRPr="00341FA2">
        <w:rPr>
          <w:rFonts w:ascii="Garamond" w:hAnsi="Garamond"/>
          <w:color w:val="000000" w:themeColor="text1"/>
        </w:rPr>
        <w:t>A linear</w:t>
      </w:r>
      <w:r w:rsidRPr="008B2431">
        <w:rPr>
          <w:rFonts w:ascii="Garamond" w:hAnsi="Garamond"/>
          <w:color w:val="404040" w:themeColor="text1" w:themeTint="BF"/>
        </w:rPr>
        <w:t xml:space="preserve"> equation transformation that is specific to a </w:t>
      </w:r>
      <w:r w:rsidRPr="00792739">
        <w:rPr>
          <w:rFonts w:ascii="Garamond" w:hAnsi="Garamond"/>
          <w:color w:val="404040" w:themeColor="text1" w:themeTint="BF"/>
        </w:rPr>
        <w:t>sensor producing a brightness value for the ground.</w:t>
      </w:r>
    </w:p>
    <w:p w14:paraId="5DE5AA5E" w14:textId="77777777" w:rsidR="00AC1675" w:rsidRPr="00792739" w:rsidRDefault="00AC1675" w:rsidP="00AC1675">
      <w:pPr>
        <w:spacing w:after="0" w:line="240" w:lineRule="auto"/>
        <w:rPr>
          <w:rFonts w:ascii="Garamond" w:hAnsi="Garamond"/>
          <w:color w:val="404040" w:themeColor="text1" w:themeTint="BF"/>
        </w:rPr>
      </w:pPr>
      <w:r w:rsidRPr="3F1AAA42">
        <w:rPr>
          <w:rFonts w:ascii="Garamond" w:hAnsi="Garamond"/>
          <w:b/>
          <w:bCs/>
          <w:color w:val="404040" w:themeColor="text1" w:themeTint="BF"/>
        </w:rPr>
        <w:t xml:space="preserve">Tasseled Cap Wetness (TCW): </w:t>
      </w:r>
      <w:r w:rsidRPr="3F1AAA42">
        <w:rPr>
          <w:rFonts w:ascii="Garamond" w:hAnsi="Garamond"/>
          <w:color w:val="000000" w:themeColor="text1"/>
        </w:rPr>
        <w:t>A linear</w:t>
      </w:r>
      <w:r w:rsidRPr="3F1AAA42">
        <w:rPr>
          <w:rFonts w:ascii="Garamond" w:hAnsi="Garamond"/>
          <w:color w:val="404040" w:themeColor="text1" w:themeTint="BF"/>
        </w:rPr>
        <w:t xml:space="preserve"> equation transformation that is specific to a sensor producing a brightness value for the ground.</w:t>
      </w:r>
    </w:p>
    <w:p w14:paraId="0C61DC15" w14:textId="2C1653A6" w:rsidR="00AC1675" w:rsidRDefault="00AC1675" w:rsidP="00AC1675">
      <w:pPr>
        <w:pStyle w:val="NoSpacing"/>
        <w:rPr>
          <w:rFonts w:ascii="Garamond" w:eastAsia="Garamond" w:hAnsi="Garamond" w:cs="Garamond"/>
        </w:rPr>
      </w:pPr>
    </w:p>
    <w:p w14:paraId="16A72053" w14:textId="77777777" w:rsidR="00AC1675" w:rsidRPr="00C16C99" w:rsidRDefault="00AC1675" w:rsidP="00AC1675">
      <w:pPr>
        <w:pStyle w:val="Heading1"/>
        <w:spacing w:before="0" w:line="240" w:lineRule="auto"/>
        <w:rPr>
          <w:rFonts w:ascii="Garamond" w:hAnsi="Garamond"/>
        </w:rPr>
      </w:pPr>
      <w:r w:rsidRPr="6F148EBF">
        <w:rPr>
          <w:rFonts w:ascii="Garamond" w:hAnsi="Garamond"/>
        </w:rPr>
        <w:t>8. References</w:t>
      </w:r>
    </w:p>
    <w:p w14:paraId="25C8BC2F" w14:textId="5EF5CAC6" w:rsidR="00AC1675" w:rsidRDefault="00AC1675" w:rsidP="00AC1675">
      <w:pPr>
        <w:spacing w:after="0" w:line="240" w:lineRule="auto"/>
        <w:ind w:left="720" w:hanging="720"/>
        <w:rPr>
          <w:rFonts w:ascii="Garamond" w:eastAsia="Garamond" w:hAnsi="Garamond" w:cs="Garamond"/>
          <w:color w:val="222222"/>
        </w:rPr>
      </w:pPr>
      <w:r w:rsidRPr="6F148EBF">
        <w:rPr>
          <w:rFonts w:ascii="Garamond" w:eastAsia="Garamond" w:hAnsi="Garamond" w:cs="Garamond"/>
          <w:color w:val="222222"/>
        </w:rPr>
        <w:t xml:space="preserve">Breiman, L. (2001). Random </w:t>
      </w:r>
      <w:r w:rsidR="004E5F2A">
        <w:rPr>
          <w:rFonts w:ascii="Garamond" w:eastAsia="Garamond" w:hAnsi="Garamond" w:cs="Garamond"/>
          <w:color w:val="222222"/>
        </w:rPr>
        <w:t>f</w:t>
      </w:r>
      <w:r w:rsidRPr="6F148EBF">
        <w:rPr>
          <w:rFonts w:ascii="Garamond" w:eastAsia="Garamond" w:hAnsi="Garamond" w:cs="Garamond"/>
          <w:color w:val="222222"/>
        </w:rPr>
        <w:t xml:space="preserve">orests. </w:t>
      </w:r>
      <w:r w:rsidRPr="004E5F2A">
        <w:rPr>
          <w:rFonts w:ascii="Garamond" w:eastAsia="Garamond" w:hAnsi="Garamond" w:cs="Garamond"/>
          <w:i/>
          <w:iCs/>
          <w:color w:val="222222"/>
        </w:rPr>
        <w:t>Machine Learning</w:t>
      </w:r>
      <w:r w:rsidRPr="6F148EBF">
        <w:rPr>
          <w:rFonts w:ascii="Garamond" w:eastAsia="Garamond" w:hAnsi="Garamond" w:cs="Garamond"/>
          <w:color w:val="222222"/>
        </w:rPr>
        <w:t xml:space="preserve">, </w:t>
      </w:r>
      <w:r w:rsidRPr="004E5F2A">
        <w:rPr>
          <w:rFonts w:ascii="Garamond" w:eastAsia="Garamond" w:hAnsi="Garamond" w:cs="Garamond"/>
          <w:i/>
          <w:iCs/>
          <w:color w:val="222222"/>
        </w:rPr>
        <w:t>45</w:t>
      </w:r>
      <w:r w:rsidRPr="6F148EBF">
        <w:rPr>
          <w:rFonts w:ascii="Garamond" w:eastAsia="Garamond" w:hAnsi="Garamond" w:cs="Garamond"/>
          <w:color w:val="222222"/>
        </w:rPr>
        <w:t xml:space="preserve">(1), 5–32. </w:t>
      </w:r>
      <w:hyperlink r:id="rId18" w:history="1">
        <w:r w:rsidR="008444E8" w:rsidRPr="00FB001E">
          <w:rPr>
            <w:rStyle w:val="Hyperlink"/>
            <w:rFonts w:ascii="Garamond" w:eastAsia="Garamond" w:hAnsi="Garamond" w:cs="Garamond"/>
          </w:rPr>
          <w:t>https://doi.org/10.1023</w:t>
        </w:r>
        <w:r w:rsidR="008444E8" w:rsidRPr="00FB001E">
          <w:rPr>
            <w:rStyle w:val="Hyperlink"/>
            <w:rFonts w:ascii="Garamond" w:eastAsia="Garamond" w:hAnsi="Garamond" w:cs="Garamond"/>
          </w:rPr>
          <w:t>/</w:t>
        </w:r>
        <w:r w:rsidR="008444E8" w:rsidRPr="00FB001E">
          <w:rPr>
            <w:rStyle w:val="Hyperlink"/>
            <w:rFonts w:ascii="Garamond" w:eastAsia="Garamond" w:hAnsi="Garamond" w:cs="Garamond"/>
          </w:rPr>
          <w:t>A:1010933404324</w:t>
        </w:r>
      </w:hyperlink>
    </w:p>
    <w:p w14:paraId="20E829F2" w14:textId="77777777" w:rsidR="00AC1675" w:rsidRDefault="00AC1675" w:rsidP="00AC1675">
      <w:pPr>
        <w:spacing w:after="0" w:line="240" w:lineRule="auto"/>
        <w:rPr>
          <w:rFonts w:ascii="Garamond" w:eastAsia="Garamond" w:hAnsi="Garamond" w:cs="Garamond"/>
          <w:color w:val="222222"/>
        </w:rPr>
      </w:pPr>
    </w:p>
    <w:p w14:paraId="354BE07A" w14:textId="0DC5634F" w:rsidR="00AC1675" w:rsidRDefault="00AC1675" w:rsidP="00AC1675">
      <w:pPr>
        <w:spacing w:after="0" w:line="240" w:lineRule="auto"/>
        <w:rPr>
          <w:rFonts w:ascii="Garamond" w:eastAsia="Garamond" w:hAnsi="Garamond" w:cs="Garamond"/>
        </w:rPr>
      </w:pPr>
      <w:r w:rsidRPr="6F148EBF">
        <w:rPr>
          <w:rFonts w:ascii="Garamond" w:eastAsia="Garamond" w:hAnsi="Garamond" w:cs="Garamond"/>
          <w:color w:val="222222"/>
        </w:rPr>
        <w:t xml:space="preserve">Bradley, B. A., Curtis, C. A., Fusco, E. J., Abatzoglou, J. T., Balch, J. K., Dadashi, S., &amp; Tuanmu, M. N. </w:t>
      </w:r>
      <w:r>
        <w:tab/>
      </w:r>
      <w:r w:rsidRPr="6F148EBF">
        <w:rPr>
          <w:rFonts w:ascii="Garamond" w:eastAsia="Garamond" w:hAnsi="Garamond" w:cs="Garamond"/>
          <w:color w:val="222222"/>
        </w:rPr>
        <w:t xml:space="preserve">(2018). Cheatgrass (Bromus tectorum) distribution in the intermountain Western United States and </w:t>
      </w:r>
      <w:r>
        <w:tab/>
      </w:r>
      <w:r w:rsidRPr="6F148EBF">
        <w:rPr>
          <w:rFonts w:ascii="Garamond" w:eastAsia="Garamond" w:hAnsi="Garamond" w:cs="Garamond"/>
          <w:color w:val="222222"/>
        </w:rPr>
        <w:t xml:space="preserve">its relationship to fire frequency, seasonality, and ignitions. </w:t>
      </w:r>
      <w:r w:rsidRPr="6F148EBF">
        <w:rPr>
          <w:rFonts w:ascii="Garamond" w:eastAsia="Garamond" w:hAnsi="Garamond" w:cs="Garamond"/>
          <w:i/>
          <w:iCs/>
          <w:color w:val="222222"/>
        </w:rPr>
        <w:t xml:space="preserve">Biological </w:t>
      </w:r>
      <w:r w:rsidR="007847D3">
        <w:rPr>
          <w:rFonts w:ascii="Garamond" w:eastAsia="Garamond" w:hAnsi="Garamond" w:cs="Garamond"/>
          <w:i/>
          <w:iCs/>
          <w:color w:val="222222"/>
        </w:rPr>
        <w:t>I</w:t>
      </w:r>
      <w:r w:rsidRPr="6F148EBF">
        <w:rPr>
          <w:rFonts w:ascii="Garamond" w:eastAsia="Garamond" w:hAnsi="Garamond" w:cs="Garamond"/>
          <w:i/>
          <w:iCs/>
          <w:color w:val="222222"/>
        </w:rPr>
        <w:t>nvasions</w:t>
      </w:r>
      <w:r w:rsidRPr="6F148EBF">
        <w:rPr>
          <w:rFonts w:ascii="Garamond" w:eastAsia="Garamond" w:hAnsi="Garamond" w:cs="Garamond"/>
          <w:color w:val="222222"/>
        </w:rPr>
        <w:t xml:space="preserve">, </w:t>
      </w:r>
      <w:r w:rsidRPr="6F148EBF">
        <w:rPr>
          <w:rFonts w:ascii="Garamond" w:eastAsia="Garamond" w:hAnsi="Garamond" w:cs="Garamond"/>
          <w:i/>
          <w:iCs/>
          <w:color w:val="222222"/>
        </w:rPr>
        <w:t>20</w:t>
      </w:r>
      <w:r w:rsidRPr="6F148EBF">
        <w:rPr>
          <w:rFonts w:ascii="Garamond" w:eastAsia="Garamond" w:hAnsi="Garamond" w:cs="Garamond"/>
          <w:color w:val="222222"/>
        </w:rPr>
        <w:t>(6), 1493-1506.</w:t>
      </w:r>
    </w:p>
    <w:p w14:paraId="687F8C43" w14:textId="77777777" w:rsidR="00511D82" w:rsidRPr="00511D82" w:rsidRDefault="00511D82" w:rsidP="00AC1675">
      <w:pPr>
        <w:spacing w:after="0" w:line="240" w:lineRule="auto"/>
        <w:rPr>
          <w:rFonts w:ascii="Garamond" w:eastAsia="Garamond" w:hAnsi="Garamond" w:cs="Garamond"/>
        </w:rPr>
      </w:pPr>
    </w:p>
    <w:p w14:paraId="3AEF6889" w14:textId="3BD150ED" w:rsidR="00AC1675" w:rsidRDefault="00AC1675" w:rsidP="004E5F2A">
      <w:pPr>
        <w:spacing w:after="0" w:line="240" w:lineRule="auto"/>
        <w:ind w:left="720" w:hanging="720"/>
        <w:rPr>
          <w:rFonts w:ascii="Garamond" w:eastAsia="Garamond" w:hAnsi="Garamond" w:cs="Garamond"/>
          <w:color w:val="222222"/>
        </w:rPr>
      </w:pPr>
      <w:r w:rsidRPr="194B89F8">
        <w:rPr>
          <w:rFonts w:ascii="Garamond" w:eastAsia="Garamond" w:hAnsi="Garamond" w:cs="Garamond"/>
          <w:color w:val="222222"/>
        </w:rPr>
        <w:t>Courkamp, J.</w:t>
      </w:r>
      <w:r w:rsidR="005E05DF">
        <w:rPr>
          <w:rFonts w:ascii="Garamond" w:eastAsia="Garamond" w:hAnsi="Garamond" w:cs="Garamond"/>
          <w:color w:val="222222"/>
        </w:rPr>
        <w:t xml:space="preserve"> &amp;</w:t>
      </w:r>
      <w:r w:rsidRPr="194B89F8">
        <w:rPr>
          <w:rFonts w:ascii="Garamond" w:eastAsia="Garamond" w:hAnsi="Garamond" w:cs="Garamond"/>
          <w:color w:val="222222"/>
        </w:rPr>
        <w:t xml:space="preserve"> Meiman, P. 2020. Long-term Cheatgrass Reduction with Indaziflam in Sagebrush-Grassland Plant Communities in Sublette County, Wyoming. (</w:t>
      </w:r>
      <w:r w:rsidRPr="194B89F8">
        <w:rPr>
          <w:rFonts w:ascii="Garamond" w:eastAsia="Garamond" w:hAnsi="Garamond" w:cs="Garamond"/>
          <w:i/>
          <w:iCs/>
          <w:color w:val="222222"/>
        </w:rPr>
        <w:t>In prep</w:t>
      </w:r>
      <w:r w:rsidRPr="194B89F8">
        <w:rPr>
          <w:rFonts w:ascii="Garamond" w:eastAsia="Garamond" w:hAnsi="Garamond" w:cs="Garamond"/>
          <w:color w:val="222222"/>
        </w:rPr>
        <w:t>)</w:t>
      </w:r>
    </w:p>
    <w:p w14:paraId="0D8A1CCD" w14:textId="77777777" w:rsidR="00AC1675" w:rsidRDefault="00AC1675" w:rsidP="00AC1675">
      <w:pPr>
        <w:spacing w:after="0" w:line="240" w:lineRule="auto"/>
        <w:rPr>
          <w:rFonts w:ascii="Garamond" w:eastAsia="Garamond" w:hAnsi="Garamond" w:cs="Garamond"/>
          <w:color w:val="222222"/>
        </w:rPr>
      </w:pPr>
    </w:p>
    <w:p w14:paraId="067F8D76" w14:textId="4EDA6637" w:rsidR="00AC1675" w:rsidRDefault="00AC1675" w:rsidP="00AC1675">
      <w:pPr>
        <w:spacing w:after="0" w:line="240" w:lineRule="auto"/>
        <w:rPr>
          <w:rFonts w:ascii="Garamond" w:eastAsia="Garamond" w:hAnsi="Garamond" w:cs="Garamond"/>
          <w:color w:val="222222"/>
        </w:rPr>
      </w:pPr>
      <w:r w:rsidRPr="723248CA">
        <w:rPr>
          <w:rFonts w:ascii="Garamond" w:eastAsia="Garamond" w:hAnsi="Garamond" w:cs="Garamond"/>
          <w:color w:val="222222"/>
        </w:rPr>
        <w:t>Crist, E.P., and Cicone, R.C. (1984). A physically-based transformation of Thematic Mapper data-</w:t>
      </w:r>
      <w:r w:rsidR="002938C6">
        <w:rPr>
          <w:rFonts w:ascii="Garamond" w:eastAsia="Garamond" w:hAnsi="Garamond" w:cs="Garamond"/>
          <w:color w:val="222222"/>
        </w:rPr>
        <w:t>--</w:t>
      </w:r>
      <w:r w:rsidRPr="723248CA">
        <w:rPr>
          <w:rFonts w:ascii="Garamond" w:eastAsia="Garamond" w:hAnsi="Garamond" w:cs="Garamond"/>
          <w:color w:val="222222"/>
        </w:rPr>
        <w:t xml:space="preserve">the TM </w:t>
      </w:r>
    </w:p>
    <w:p w14:paraId="6662A90E" w14:textId="5BFDD52A" w:rsidR="00AC1675" w:rsidRPr="002938C6" w:rsidRDefault="00AC1675" w:rsidP="00AC1675">
      <w:pPr>
        <w:spacing w:after="0" w:line="240" w:lineRule="auto"/>
        <w:ind w:firstLine="720"/>
        <w:rPr>
          <w:rFonts w:ascii="Garamond" w:eastAsia="Garamond" w:hAnsi="Garamond" w:cs="Garamond"/>
          <w:color w:val="222222"/>
        </w:rPr>
      </w:pPr>
      <w:r w:rsidRPr="723248CA">
        <w:rPr>
          <w:rFonts w:ascii="Garamond" w:eastAsia="Garamond" w:hAnsi="Garamond" w:cs="Garamond"/>
          <w:color w:val="222222"/>
        </w:rPr>
        <w:t xml:space="preserve">Tasseled Cap. </w:t>
      </w:r>
      <w:r w:rsidRPr="002938C6">
        <w:rPr>
          <w:rFonts w:ascii="Garamond" w:eastAsia="Garamond" w:hAnsi="Garamond" w:cs="Garamond"/>
          <w:i/>
          <w:iCs/>
          <w:color w:val="222222"/>
        </w:rPr>
        <w:t>IEEE Transactions on Geoscience and Remote Sensing</w:t>
      </w:r>
      <w:r w:rsidR="002938C6" w:rsidRPr="002938C6">
        <w:rPr>
          <w:rFonts w:ascii="Garamond" w:eastAsia="Garamond" w:hAnsi="Garamond" w:cs="Garamond"/>
          <w:i/>
          <w:iCs/>
          <w:color w:val="222222"/>
        </w:rPr>
        <w:t>,</w:t>
      </w:r>
      <w:r w:rsidRPr="002938C6">
        <w:rPr>
          <w:rFonts w:ascii="Garamond" w:eastAsia="Garamond" w:hAnsi="Garamond" w:cs="Garamond"/>
          <w:color w:val="222222"/>
        </w:rPr>
        <w:t xml:space="preserve"> </w:t>
      </w:r>
      <w:r w:rsidRPr="002938C6">
        <w:rPr>
          <w:rFonts w:ascii="Garamond" w:eastAsia="Garamond" w:hAnsi="Garamond" w:cs="Garamond"/>
          <w:i/>
          <w:iCs/>
          <w:color w:val="222222"/>
        </w:rPr>
        <w:t>22</w:t>
      </w:r>
      <w:r w:rsidR="002938C6">
        <w:rPr>
          <w:rFonts w:ascii="Garamond" w:eastAsia="Garamond" w:hAnsi="Garamond" w:cs="Garamond"/>
          <w:color w:val="222222"/>
        </w:rPr>
        <w:t>(3)</w:t>
      </w:r>
      <w:r w:rsidRPr="002938C6">
        <w:rPr>
          <w:rFonts w:ascii="Garamond" w:eastAsia="Garamond" w:hAnsi="Garamond" w:cs="Garamond"/>
          <w:color w:val="222222"/>
        </w:rPr>
        <w:t xml:space="preserve">, 256-352.  </w:t>
      </w:r>
      <w:r w:rsidRPr="002938C6">
        <w:rPr>
          <w:rFonts w:ascii="Garamond" w:hAnsi="Garamond"/>
        </w:rPr>
        <w:tab/>
      </w:r>
    </w:p>
    <w:p w14:paraId="71FC58F9" w14:textId="7A7DCBDB" w:rsidR="00AC1675" w:rsidRDefault="002938C6" w:rsidP="00AC1675">
      <w:pPr>
        <w:spacing w:after="0" w:line="240" w:lineRule="auto"/>
        <w:ind w:firstLine="720"/>
        <w:rPr>
          <w:rFonts w:ascii="Garamond" w:eastAsia="Garamond" w:hAnsi="Garamond" w:cs="Garamond"/>
          <w:color w:val="222222"/>
        </w:rPr>
      </w:pPr>
      <w:hyperlink r:id="rId19" w:history="1">
        <w:r w:rsidRPr="002938C6">
          <w:rPr>
            <w:rStyle w:val="Hyperlink"/>
            <w:rFonts w:ascii="Garamond" w:hAnsi="Garamond"/>
          </w:rPr>
          <w:t>https://doi.org/10.1109/tgrs.1984.350619</w:t>
        </w:r>
      </w:hyperlink>
      <w:r w:rsidRPr="002938C6">
        <w:rPr>
          <w:rFonts w:ascii="Garamond" w:hAnsi="Garamond"/>
        </w:rPr>
        <w:t xml:space="preserve"> </w:t>
      </w:r>
    </w:p>
    <w:p w14:paraId="78EE2EF5" w14:textId="77777777" w:rsidR="00AC1675" w:rsidRDefault="00AC1675" w:rsidP="00AC1675">
      <w:pPr>
        <w:spacing w:after="0" w:line="240" w:lineRule="auto"/>
        <w:rPr>
          <w:rFonts w:ascii="Garamond" w:eastAsia="Garamond" w:hAnsi="Garamond" w:cs="Garamond"/>
          <w:color w:val="222222"/>
        </w:rPr>
      </w:pPr>
    </w:p>
    <w:p w14:paraId="648C596C" w14:textId="77777777" w:rsidR="00AC1675" w:rsidRDefault="00AC1675" w:rsidP="00AC1675">
      <w:pPr>
        <w:spacing w:after="0" w:line="240" w:lineRule="auto"/>
        <w:ind w:left="720" w:hanging="720"/>
        <w:rPr>
          <w:rStyle w:val="Hyperlink"/>
          <w:rFonts w:ascii="Garamond" w:eastAsia="Garamond" w:hAnsi="Garamond" w:cs="Garamond"/>
        </w:rPr>
      </w:pPr>
      <w:r w:rsidRPr="3F1AAA42">
        <w:rPr>
          <w:rFonts w:ascii="Garamond" w:eastAsia="Garamond" w:hAnsi="Garamond" w:cs="Garamond"/>
          <w:color w:val="222222"/>
        </w:rPr>
        <w:t xml:space="preserve">Dillon, G. K., Knight, D. H., &amp; Meyer, C. B. (2005). Historic range of variability for upland vegetation in the Medicine Bow National Forest, Wyoming (RMRS-GTR-139; p. RMRS-GTR-139). U.S. Department of Agriculture, Forest Service, Rocky Mountain Research Station. </w:t>
      </w:r>
      <w:hyperlink r:id="rId20">
        <w:r w:rsidRPr="3F1AAA42">
          <w:rPr>
            <w:rStyle w:val="Hyperlink"/>
            <w:rFonts w:ascii="Garamond" w:eastAsia="Garamond" w:hAnsi="Garamond" w:cs="Garamond"/>
          </w:rPr>
          <w:t>https://doi.org/10.2737/RMRS-GTR-139</w:t>
        </w:r>
      </w:hyperlink>
    </w:p>
    <w:p w14:paraId="774F7E24" w14:textId="77777777" w:rsidR="00AC1675" w:rsidRDefault="00AC1675" w:rsidP="00AC1675">
      <w:pPr>
        <w:spacing w:after="0" w:line="240" w:lineRule="auto"/>
        <w:ind w:left="720" w:hanging="720"/>
        <w:rPr>
          <w:rFonts w:ascii="Garamond" w:eastAsia="Garamond" w:hAnsi="Garamond" w:cs="Garamond"/>
        </w:rPr>
      </w:pPr>
    </w:p>
    <w:p w14:paraId="3FA71939" w14:textId="77777777" w:rsidR="00AC1675" w:rsidRDefault="00AC1675" w:rsidP="00AC1675">
      <w:pPr>
        <w:spacing w:after="0" w:line="240" w:lineRule="auto"/>
        <w:ind w:left="720" w:hanging="720"/>
        <w:rPr>
          <w:rFonts w:ascii="Garamond" w:eastAsia="Garamond" w:hAnsi="Garamond" w:cs="Garamond"/>
        </w:rPr>
      </w:pPr>
      <w:r w:rsidRPr="3F1AAA42">
        <w:rPr>
          <w:rFonts w:ascii="Garamond" w:eastAsia="Garamond" w:hAnsi="Garamond" w:cs="Garamond"/>
        </w:rPr>
        <w:t>Dormann, C.F., Elith, J., Bacher, S., Buchmann, C., Carl, G., Carré, G., Marquéz, J.R.G., Gruber, B., Lafourcade, B., Leitão, P.J., Münkemüller, T., McClean, C., Osborne, P.E., Reineking, B., Schröder, B., Skidmore, A.K., Zurell, D. and Lautenbach, S. (2013), Collinearity: a review of methods to deal with it and a simulation study evaluating their performance. Ecography, 36: 27-46.</w:t>
      </w:r>
    </w:p>
    <w:p w14:paraId="087F7A26" w14:textId="77777777" w:rsidR="00AC1675" w:rsidRDefault="005A2817" w:rsidP="00AC1675">
      <w:pPr>
        <w:spacing w:after="0" w:line="240" w:lineRule="auto"/>
        <w:ind w:left="720"/>
        <w:rPr>
          <w:rFonts w:ascii="Garamond" w:eastAsia="Garamond" w:hAnsi="Garamond" w:cs="Garamond"/>
        </w:rPr>
      </w:pPr>
      <w:hyperlink r:id="rId21">
        <w:r w:rsidR="00AC1675" w:rsidRPr="3F1AAA42">
          <w:rPr>
            <w:rStyle w:val="Hyperlink"/>
            <w:rFonts w:ascii="Garamond" w:eastAsia="Garamond" w:hAnsi="Garamond" w:cs="Garamond"/>
          </w:rPr>
          <w:t>https://doi.org/10.1111/j.1600-0587.</w:t>
        </w:r>
        <w:r w:rsidR="00AC1675" w:rsidRPr="3F1AAA42">
          <w:rPr>
            <w:rStyle w:val="Hyperlink"/>
            <w:rFonts w:ascii="Garamond" w:eastAsia="Garamond" w:hAnsi="Garamond" w:cs="Garamond"/>
          </w:rPr>
          <w:t>2</w:t>
        </w:r>
        <w:r w:rsidR="00AC1675" w:rsidRPr="3F1AAA42">
          <w:rPr>
            <w:rStyle w:val="Hyperlink"/>
            <w:rFonts w:ascii="Garamond" w:eastAsia="Garamond" w:hAnsi="Garamond" w:cs="Garamond"/>
          </w:rPr>
          <w:t>012.07348.x</w:t>
        </w:r>
      </w:hyperlink>
    </w:p>
    <w:p w14:paraId="1D7DC080" w14:textId="77777777" w:rsidR="00AC1675" w:rsidRDefault="00AC1675" w:rsidP="00AC1675">
      <w:pPr>
        <w:spacing w:after="0" w:line="240" w:lineRule="auto"/>
        <w:ind w:left="720" w:hanging="720"/>
        <w:rPr>
          <w:rFonts w:ascii="Garamond" w:eastAsia="Garamond" w:hAnsi="Garamond" w:cs="Garamond"/>
          <w:color w:val="222222"/>
        </w:rPr>
      </w:pPr>
    </w:p>
    <w:p w14:paraId="7C4EA6EB" w14:textId="77777777" w:rsidR="00AC1675" w:rsidRPr="005411A5" w:rsidRDefault="00AC1675" w:rsidP="00AC1675">
      <w:pPr>
        <w:spacing w:after="0" w:line="240" w:lineRule="auto"/>
        <w:rPr>
          <w:rFonts w:ascii="Garamond" w:eastAsia="Garamond" w:hAnsi="Garamond" w:cs="Garamond"/>
          <w:i/>
          <w:iCs/>
          <w:color w:val="222222"/>
        </w:rPr>
      </w:pPr>
      <w:r w:rsidRPr="2BD5D6E5">
        <w:rPr>
          <w:rFonts w:ascii="Garamond" w:eastAsia="Garamond" w:hAnsi="Garamond" w:cs="Garamond"/>
          <w:color w:val="222222"/>
        </w:rPr>
        <w:t xml:space="preserve">Friedman, Jerome H. (2001). Greedy function approximation: A gradient boosting machine. </w:t>
      </w:r>
      <w:r w:rsidRPr="005411A5">
        <w:rPr>
          <w:rFonts w:ascii="Garamond" w:eastAsia="Garamond" w:hAnsi="Garamond" w:cs="Garamond"/>
          <w:i/>
          <w:iCs/>
          <w:color w:val="222222"/>
        </w:rPr>
        <w:t xml:space="preserve">Annals of </w:t>
      </w:r>
    </w:p>
    <w:p w14:paraId="70667CF4" w14:textId="325BCEFF" w:rsidR="00AC1675" w:rsidRDefault="005411A5" w:rsidP="00AC1675">
      <w:pPr>
        <w:spacing w:after="0" w:line="240" w:lineRule="auto"/>
        <w:ind w:firstLine="720"/>
        <w:rPr>
          <w:rFonts w:ascii="Garamond" w:eastAsia="Garamond" w:hAnsi="Garamond" w:cs="Garamond"/>
          <w:color w:val="222222"/>
        </w:rPr>
      </w:pPr>
      <w:r w:rsidRPr="005411A5">
        <w:rPr>
          <w:rFonts w:ascii="Garamond" w:eastAsia="Garamond" w:hAnsi="Garamond" w:cs="Garamond"/>
          <w:i/>
          <w:iCs/>
          <w:color w:val="222222"/>
        </w:rPr>
        <w:t>S</w:t>
      </w:r>
      <w:r w:rsidR="00AC1675" w:rsidRPr="005411A5">
        <w:rPr>
          <w:rFonts w:ascii="Garamond" w:eastAsia="Garamond" w:hAnsi="Garamond" w:cs="Garamond"/>
          <w:i/>
          <w:iCs/>
          <w:color w:val="222222"/>
        </w:rPr>
        <w:t>tatistics</w:t>
      </w:r>
      <w:r>
        <w:rPr>
          <w:rFonts w:ascii="Garamond" w:eastAsia="Garamond" w:hAnsi="Garamond" w:cs="Garamond"/>
          <w:color w:val="222222"/>
        </w:rPr>
        <w:t xml:space="preserve">, </w:t>
      </w:r>
      <w:r>
        <w:rPr>
          <w:rFonts w:ascii="Garamond" w:eastAsia="Garamond" w:hAnsi="Garamond" w:cs="Garamond"/>
          <w:i/>
          <w:iCs/>
          <w:color w:val="222222"/>
        </w:rPr>
        <w:t>29</w:t>
      </w:r>
      <w:r>
        <w:rPr>
          <w:rFonts w:ascii="Garamond" w:eastAsia="Garamond" w:hAnsi="Garamond" w:cs="Garamond"/>
          <w:color w:val="222222"/>
        </w:rPr>
        <w:t>(5),</w:t>
      </w:r>
      <w:r w:rsidR="00AC1675" w:rsidRPr="14D27B37">
        <w:rPr>
          <w:rFonts w:ascii="Garamond" w:eastAsia="Garamond" w:hAnsi="Garamond" w:cs="Garamond"/>
          <w:color w:val="222222"/>
        </w:rPr>
        <w:t xml:space="preserve"> 1189-1232. </w:t>
      </w:r>
      <w:hyperlink r:id="rId22">
        <w:r w:rsidR="00AC1675" w:rsidRPr="14D27B37">
          <w:rPr>
            <w:rStyle w:val="Hyperlink"/>
            <w:rFonts w:ascii="Garamond" w:eastAsia="Garamond" w:hAnsi="Garamond" w:cs="Garamond"/>
          </w:rPr>
          <w:t>http://www.jstor.org/stable</w:t>
        </w:r>
        <w:r w:rsidR="00AC1675" w:rsidRPr="14D27B37">
          <w:rPr>
            <w:rStyle w:val="Hyperlink"/>
            <w:rFonts w:ascii="Garamond" w:eastAsia="Garamond" w:hAnsi="Garamond" w:cs="Garamond"/>
          </w:rPr>
          <w:t>/2699986</w:t>
        </w:r>
      </w:hyperlink>
      <w:r w:rsidR="00AC1675" w:rsidRPr="14D27B37">
        <w:rPr>
          <w:rFonts w:ascii="Garamond" w:eastAsia="Garamond" w:hAnsi="Garamond" w:cs="Garamond"/>
          <w:color w:val="222222"/>
        </w:rPr>
        <w:t xml:space="preserve"> </w:t>
      </w:r>
    </w:p>
    <w:p w14:paraId="26D498F3" w14:textId="77777777" w:rsidR="00AC1675" w:rsidRDefault="00AC1675" w:rsidP="00AC1675">
      <w:pPr>
        <w:spacing w:after="0" w:line="240" w:lineRule="auto"/>
        <w:rPr>
          <w:rFonts w:ascii="Garamond" w:eastAsia="Garamond" w:hAnsi="Garamond" w:cs="Garamond"/>
          <w:color w:val="222222"/>
        </w:rPr>
      </w:pPr>
    </w:p>
    <w:p w14:paraId="44FC62F1" w14:textId="77777777" w:rsidR="00AC1675" w:rsidRPr="00341FA2" w:rsidRDefault="00AC1675" w:rsidP="00AC1675">
      <w:pPr>
        <w:spacing w:after="0" w:line="240" w:lineRule="auto"/>
        <w:ind w:left="720" w:hanging="720"/>
        <w:rPr>
          <w:rFonts w:ascii="Garamond" w:eastAsia="Garamond" w:hAnsi="Garamond" w:cs="Garamond"/>
          <w:color w:val="222222"/>
        </w:rPr>
      </w:pPr>
      <w:r w:rsidRPr="1A6FFBC1">
        <w:rPr>
          <w:rFonts w:ascii="Garamond" w:eastAsia="Garamond" w:hAnsi="Garamond" w:cs="Garamond"/>
          <w:color w:val="222222"/>
        </w:rPr>
        <w:t xml:space="preserve">Huete, A. R. (1988). A soil-adjusted vegetation index (SAVI). </w:t>
      </w:r>
      <w:r w:rsidRPr="005411A5">
        <w:rPr>
          <w:rFonts w:ascii="Garamond" w:eastAsia="Garamond" w:hAnsi="Garamond" w:cs="Garamond"/>
          <w:i/>
          <w:iCs/>
          <w:color w:val="222222"/>
        </w:rPr>
        <w:t>Remote Sensing of Environment</w:t>
      </w:r>
      <w:r w:rsidRPr="1A6FFBC1">
        <w:rPr>
          <w:rFonts w:ascii="Garamond" w:eastAsia="Garamond" w:hAnsi="Garamond" w:cs="Garamond"/>
          <w:color w:val="222222"/>
        </w:rPr>
        <w:t xml:space="preserve">, </w:t>
      </w:r>
      <w:r w:rsidRPr="005411A5">
        <w:rPr>
          <w:rFonts w:ascii="Garamond" w:eastAsia="Garamond" w:hAnsi="Garamond" w:cs="Garamond"/>
          <w:i/>
          <w:iCs/>
          <w:color w:val="222222"/>
        </w:rPr>
        <w:t>25</w:t>
      </w:r>
      <w:r w:rsidRPr="1A6FFBC1">
        <w:rPr>
          <w:rFonts w:ascii="Garamond" w:eastAsia="Garamond" w:hAnsi="Garamond" w:cs="Garamond"/>
          <w:color w:val="222222"/>
        </w:rPr>
        <w:t xml:space="preserve">(3), 295–309. </w:t>
      </w:r>
      <w:hyperlink r:id="rId23">
        <w:r w:rsidRPr="62562FFD">
          <w:rPr>
            <w:rStyle w:val="Hyperlink"/>
            <w:rFonts w:ascii="Garamond" w:eastAsia="Garamond" w:hAnsi="Garamond" w:cs="Garamond"/>
          </w:rPr>
          <w:t>https://doi.org/10.1016/0034-4257(8</w:t>
        </w:r>
        <w:r w:rsidRPr="62562FFD">
          <w:rPr>
            <w:rStyle w:val="Hyperlink"/>
            <w:rFonts w:ascii="Garamond" w:eastAsia="Garamond" w:hAnsi="Garamond" w:cs="Garamond"/>
          </w:rPr>
          <w:t>8)90106-X</w:t>
        </w:r>
      </w:hyperlink>
    </w:p>
    <w:p w14:paraId="216C8807" w14:textId="77777777" w:rsidR="00AC1675" w:rsidRPr="00341FA2" w:rsidRDefault="00AC1675" w:rsidP="00AC1675">
      <w:pPr>
        <w:spacing w:after="0" w:line="240" w:lineRule="auto"/>
        <w:rPr>
          <w:rFonts w:ascii="Garamond" w:eastAsia="Garamond" w:hAnsi="Garamond" w:cs="Garamond"/>
          <w:color w:val="222222"/>
        </w:rPr>
      </w:pPr>
    </w:p>
    <w:p w14:paraId="5BAB2B2A" w14:textId="7D2A20CE" w:rsidR="00AC1675" w:rsidRPr="00341FA2" w:rsidRDefault="00AC1675" w:rsidP="00AC1675">
      <w:pPr>
        <w:spacing w:after="0" w:line="240" w:lineRule="auto"/>
        <w:ind w:left="720" w:hanging="720"/>
        <w:rPr>
          <w:rFonts w:ascii="Garamond" w:eastAsia="Garamond" w:hAnsi="Garamond" w:cs="Garamond"/>
          <w:color w:val="222222"/>
        </w:rPr>
      </w:pPr>
      <w:r w:rsidRPr="14D27B37">
        <w:rPr>
          <w:rFonts w:ascii="Garamond" w:eastAsia="Garamond" w:hAnsi="Garamond" w:cs="Garamond"/>
          <w:color w:val="222222"/>
        </w:rPr>
        <w:t xml:space="preserve">Huete, A., Didan, K., Miura, T., Rodriguez, E. P., Gao, X., &amp; Ferreira, L. G. (2002). Overview of the radiometric and biophysical performance of the MODIS vegetation indices. </w:t>
      </w:r>
      <w:r w:rsidRPr="00C607B0">
        <w:rPr>
          <w:rFonts w:ascii="Garamond" w:eastAsia="Garamond" w:hAnsi="Garamond" w:cs="Garamond"/>
          <w:i/>
          <w:iCs/>
          <w:color w:val="222222"/>
        </w:rPr>
        <w:t xml:space="preserve">Remote </w:t>
      </w:r>
      <w:r w:rsidR="00C607B0" w:rsidRPr="00C607B0">
        <w:rPr>
          <w:rFonts w:ascii="Garamond" w:eastAsia="Garamond" w:hAnsi="Garamond" w:cs="Garamond"/>
          <w:i/>
          <w:iCs/>
          <w:color w:val="222222"/>
        </w:rPr>
        <w:t>S</w:t>
      </w:r>
      <w:r w:rsidRPr="00C607B0">
        <w:rPr>
          <w:rFonts w:ascii="Garamond" w:eastAsia="Garamond" w:hAnsi="Garamond" w:cs="Garamond"/>
          <w:i/>
          <w:iCs/>
          <w:color w:val="222222"/>
        </w:rPr>
        <w:t xml:space="preserve">ensing of </w:t>
      </w:r>
      <w:r w:rsidR="00C607B0" w:rsidRPr="00C607B0">
        <w:rPr>
          <w:rFonts w:ascii="Garamond" w:eastAsia="Garamond" w:hAnsi="Garamond" w:cs="Garamond"/>
          <w:i/>
          <w:iCs/>
          <w:color w:val="222222"/>
        </w:rPr>
        <w:t>E</w:t>
      </w:r>
      <w:r w:rsidRPr="00C607B0">
        <w:rPr>
          <w:rFonts w:ascii="Garamond" w:eastAsia="Garamond" w:hAnsi="Garamond" w:cs="Garamond"/>
          <w:i/>
          <w:iCs/>
          <w:color w:val="222222"/>
        </w:rPr>
        <w:t>nvironment</w:t>
      </w:r>
      <w:r w:rsidRPr="14D27B37">
        <w:rPr>
          <w:rFonts w:ascii="Garamond" w:eastAsia="Garamond" w:hAnsi="Garamond" w:cs="Garamond"/>
          <w:color w:val="222222"/>
        </w:rPr>
        <w:t xml:space="preserve">, 83(1-2), 195-213. </w:t>
      </w:r>
      <w:hyperlink r:id="rId24">
        <w:r w:rsidRPr="14D27B37">
          <w:rPr>
            <w:rStyle w:val="Hyperlink"/>
            <w:rFonts w:ascii="Garamond" w:eastAsia="Garamond" w:hAnsi="Garamond" w:cs="Garamond"/>
          </w:rPr>
          <w:t>https://doi.org/10.1016/S0034-4257(0</w:t>
        </w:r>
        <w:r w:rsidRPr="14D27B37">
          <w:rPr>
            <w:rStyle w:val="Hyperlink"/>
            <w:rFonts w:ascii="Garamond" w:eastAsia="Garamond" w:hAnsi="Garamond" w:cs="Garamond"/>
          </w:rPr>
          <w:t>2)00096-2</w:t>
        </w:r>
      </w:hyperlink>
    </w:p>
    <w:p w14:paraId="50A3D40E" w14:textId="77777777" w:rsidR="00AC1675" w:rsidRDefault="00AC1675" w:rsidP="00AC1675">
      <w:pPr>
        <w:spacing w:after="0" w:line="240" w:lineRule="auto"/>
        <w:ind w:left="720" w:hanging="720"/>
        <w:rPr>
          <w:rFonts w:ascii="Garamond" w:eastAsia="Garamond" w:hAnsi="Garamond" w:cs="Garamond"/>
        </w:rPr>
      </w:pPr>
    </w:p>
    <w:p w14:paraId="380B0935" w14:textId="6541EF4C" w:rsidR="00AC1675" w:rsidRDefault="00AC1675" w:rsidP="00AC1675">
      <w:pPr>
        <w:spacing w:after="0" w:line="240" w:lineRule="auto"/>
        <w:ind w:left="720" w:hanging="720"/>
        <w:rPr>
          <w:rFonts w:ascii="Garamond" w:eastAsia="Garamond" w:hAnsi="Garamond" w:cs="Garamond"/>
        </w:rPr>
      </w:pPr>
      <w:r w:rsidRPr="194B89F8">
        <w:rPr>
          <w:rFonts w:ascii="Garamond" w:eastAsia="Garamond" w:hAnsi="Garamond" w:cs="Garamond"/>
        </w:rPr>
        <w:t xml:space="preserve">Key, C., &amp; Benson, N. (2006). Landscape </w:t>
      </w:r>
      <w:r w:rsidR="00B273B8">
        <w:rPr>
          <w:rFonts w:ascii="Garamond" w:eastAsia="Garamond" w:hAnsi="Garamond" w:cs="Garamond"/>
        </w:rPr>
        <w:t>a</w:t>
      </w:r>
      <w:r w:rsidRPr="194B89F8">
        <w:rPr>
          <w:rFonts w:ascii="Garamond" w:eastAsia="Garamond" w:hAnsi="Garamond" w:cs="Garamond"/>
        </w:rPr>
        <w:t xml:space="preserve">ssessment: Ground measure of severity, the Composite Burn Index; and </w:t>
      </w:r>
      <w:r w:rsidR="00B273B8">
        <w:rPr>
          <w:rFonts w:ascii="Garamond" w:eastAsia="Garamond" w:hAnsi="Garamond" w:cs="Garamond"/>
        </w:rPr>
        <w:t>r</w:t>
      </w:r>
      <w:r w:rsidRPr="194B89F8">
        <w:rPr>
          <w:rFonts w:ascii="Garamond" w:eastAsia="Garamond" w:hAnsi="Garamond" w:cs="Garamond"/>
        </w:rPr>
        <w:t>emote sensing of severity, the Normalized Burn Ratio. In FIREMON: Fire Effects Monitoring and Inventory System (p. LA 1-51).</w:t>
      </w:r>
    </w:p>
    <w:p w14:paraId="1A6D1437" w14:textId="77777777" w:rsidR="00AC1675" w:rsidRDefault="00AC1675" w:rsidP="00AC1675">
      <w:pPr>
        <w:spacing w:after="0" w:line="240" w:lineRule="auto"/>
        <w:ind w:left="720" w:hanging="720"/>
        <w:rPr>
          <w:rFonts w:ascii="Garamond" w:eastAsia="Garamond" w:hAnsi="Garamond" w:cs="Garamond"/>
        </w:rPr>
      </w:pPr>
    </w:p>
    <w:p w14:paraId="65AD5347" w14:textId="77777777" w:rsidR="00AC1675" w:rsidRDefault="00AC1675" w:rsidP="00AC1675">
      <w:pPr>
        <w:spacing w:after="0" w:line="240" w:lineRule="auto"/>
        <w:ind w:left="720" w:hanging="720"/>
        <w:rPr>
          <w:rFonts w:ascii="Garamond" w:eastAsia="Garamond" w:hAnsi="Garamond" w:cs="Garamond"/>
        </w:rPr>
      </w:pPr>
      <w:r w:rsidRPr="194B89F8">
        <w:rPr>
          <w:rFonts w:ascii="Garamond" w:eastAsia="Garamond" w:hAnsi="Garamond" w:cs="Garamond"/>
        </w:rPr>
        <w:t xml:space="preserve">LANDFIRE. (2016). Existing Vegetation Type Layer. LANDFIRE 2.0.0, U.S. Department of the Interior, Geological Survey, and U.S. Department of Agriculture. Accessed 9 November 2021 at </w:t>
      </w:r>
      <w:hyperlink r:id="rId25">
        <w:r w:rsidRPr="194B89F8">
          <w:rPr>
            <w:rStyle w:val="Hyperlink"/>
            <w:rFonts w:ascii="Garamond" w:eastAsia="Garamond" w:hAnsi="Garamond" w:cs="Garamond"/>
          </w:rPr>
          <w:t>http://landfire.cr.usgs.gov/viewer/</w:t>
        </w:r>
      </w:hyperlink>
      <w:r w:rsidRPr="194B89F8">
        <w:rPr>
          <w:rFonts w:ascii="Garamond" w:eastAsia="Garamond" w:hAnsi="Garamond" w:cs="Garamond"/>
        </w:rPr>
        <w:t xml:space="preserve">. </w:t>
      </w:r>
    </w:p>
    <w:p w14:paraId="4560A7B4" w14:textId="77777777" w:rsidR="00AC1675" w:rsidRDefault="00AC1675" w:rsidP="00AC1675">
      <w:pPr>
        <w:spacing w:after="0" w:line="240" w:lineRule="auto"/>
        <w:ind w:left="720" w:hanging="720"/>
        <w:rPr>
          <w:rFonts w:ascii="Garamond" w:eastAsia="Garamond" w:hAnsi="Garamond" w:cs="Garamond"/>
        </w:rPr>
      </w:pPr>
    </w:p>
    <w:p w14:paraId="280E8739" w14:textId="77777777" w:rsidR="00AC1675" w:rsidRDefault="00AC1675" w:rsidP="00AC1675">
      <w:pPr>
        <w:spacing w:after="0" w:line="240" w:lineRule="auto"/>
        <w:ind w:left="720" w:hanging="720"/>
        <w:rPr>
          <w:rFonts w:ascii="Garamond" w:eastAsia="Garamond" w:hAnsi="Garamond" w:cs="Garamond"/>
        </w:rPr>
      </w:pPr>
      <w:r w:rsidRPr="14D27B37">
        <w:rPr>
          <w:rFonts w:ascii="Garamond" w:eastAsia="Garamond" w:hAnsi="Garamond" w:cs="Garamond"/>
        </w:rPr>
        <w:t>Liaw, A., &amp; Wiener, M. (2002). Classiﬁcation and Regression by randomForest. 2, 5.</w:t>
      </w:r>
    </w:p>
    <w:p w14:paraId="50665F96" w14:textId="77777777" w:rsidR="00AC1675" w:rsidRDefault="00AC1675" w:rsidP="00AC1675">
      <w:pPr>
        <w:spacing w:after="0" w:line="240" w:lineRule="auto"/>
        <w:ind w:left="720" w:hanging="720"/>
        <w:rPr>
          <w:rFonts w:ascii="Garamond" w:eastAsia="Garamond" w:hAnsi="Garamond" w:cs="Garamond"/>
        </w:rPr>
      </w:pPr>
    </w:p>
    <w:p w14:paraId="026DDB15" w14:textId="6A40568C" w:rsidR="00AC1675" w:rsidRDefault="00AC1675" w:rsidP="00AC1675">
      <w:pPr>
        <w:spacing w:after="0" w:line="240" w:lineRule="auto"/>
        <w:ind w:left="720" w:hanging="720"/>
        <w:rPr>
          <w:rFonts w:ascii="Garamond" w:eastAsia="Garamond" w:hAnsi="Garamond" w:cs="Garamond"/>
        </w:rPr>
      </w:pPr>
      <w:r w:rsidRPr="194B89F8">
        <w:rPr>
          <w:rFonts w:ascii="Garamond" w:eastAsia="Garamond" w:hAnsi="Garamond" w:cs="Garamond"/>
        </w:rPr>
        <w:t xml:space="preserve">Liu, H. </w:t>
      </w:r>
      <w:r w:rsidR="004E5F2A">
        <w:rPr>
          <w:rFonts w:ascii="Garamond" w:eastAsia="Garamond" w:hAnsi="Garamond" w:cs="Garamond"/>
        </w:rPr>
        <w:t>Q</w:t>
      </w:r>
      <w:r w:rsidRPr="194B89F8">
        <w:rPr>
          <w:rFonts w:ascii="Garamond" w:eastAsia="Garamond" w:hAnsi="Garamond" w:cs="Garamond"/>
        </w:rPr>
        <w:t xml:space="preserve">., &amp; Huete, A. (1995). A feedback-based modification of the NDVI to minimize canopy background and atmospheric noise. </w:t>
      </w:r>
      <w:r w:rsidRPr="00B273B8">
        <w:rPr>
          <w:rFonts w:ascii="Garamond" w:eastAsia="Garamond" w:hAnsi="Garamond" w:cs="Garamond"/>
          <w:i/>
          <w:iCs/>
        </w:rPr>
        <w:t>IEEE Transactions on Geoscience and Remote Sensing</w:t>
      </w:r>
      <w:r w:rsidRPr="194B89F8">
        <w:rPr>
          <w:rFonts w:ascii="Garamond" w:eastAsia="Garamond" w:hAnsi="Garamond" w:cs="Garamond"/>
        </w:rPr>
        <w:t xml:space="preserve">, </w:t>
      </w:r>
      <w:r w:rsidRPr="00B273B8">
        <w:rPr>
          <w:rFonts w:ascii="Garamond" w:eastAsia="Garamond" w:hAnsi="Garamond" w:cs="Garamond"/>
          <w:i/>
          <w:iCs/>
        </w:rPr>
        <w:t>33</w:t>
      </w:r>
      <w:r w:rsidRPr="194B89F8">
        <w:rPr>
          <w:rFonts w:ascii="Garamond" w:eastAsia="Garamond" w:hAnsi="Garamond" w:cs="Garamond"/>
        </w:rPr>
        <w:t xml:space="preserve">(2), 457–465. </w:t>
      </w:r>
      <w:hyperlink r:id="rId26" w:history="1">
        <w:r w:rsidR="00B273B8" w:rsidRPr="00FB001E">
          <w:rPr>
            <w:rStyle w:val="Hyperlink"/>
            <w:rFonts w:ascii="Garamond" w:eastAsia="Garamond" w:hAnsi="Garamond" w:cs="Garamond"/>
          </w:rPr>
          <w:t>https://doi.org/10.1109/TGRS.1995.8746027</w:t>
        </w:r>
      </w:hyperlink>
      <w:r w:rsidR="00B273B8">
        <w:rPr>
          <w:rFonts w:ascii="Garamond" w:eastAsia="Garamond" w:hAnsi="Garamond" w:cs="Garamond"/>
        </w:rPr>
        <w:t xml:space="preserve"> </w:t>
      </w:r>
    </w:p>
    <w:p w14:paraId="4B7A6316" w14:textId="77777777" w:rsidR="00AC1675" w:rsidRDefault="00AC1675" w:rsidP="00AC1675">
      <w:pPr>
        <w:spacing w:after="0" w:line="240" w:lineRule="auto"/>
        <w:rPr>
          <w:rFonts w:ascii="Garamond" w:eastAsia="Garamond" w:hAnsi="Garamond" w:cs="Garamond"/>
        </w:rPr>
      </w:pPr>
    </w:p>
    <w:p w14:paraId="31380E26" w14:textId="75FEB663" w:rsidR="00AC1675" w:rsidRDefault="00AC1675" w:rsidP="00AC1675">
      <w:pPr>
        <w:spacing w:after="0" w:line="240" w:lineRule="auto"/>
        <w:ind w:left="720" w:hanging="720"/>
        <w:rPr>
          <w:rFonts w:ascii="Garamond" w:eastAsia="Garamond" w:hAnsi="Garamond" w:cs="Garamond"/>
        </w:rPr>
      </w:pPr>
      <w:r w:rsidRPr="11F4572C">
        <w:rPr>
          <w:rFonts w:ascii="Garamond" w:eastAsia="Garamond" w:hAnsi="Garamond" w:cs="Garamond"/>
        </w:rPr>
        <w:t>McF</w:t>
      </w:r>
      <w:r w:rsidR="004E5F2A">
        <w:rPr>
          <w:rFonts w:ascii="Garamond" w:eastAsia="Garamond" w:hAnsi="Garamond" w:cs="Garamond"/>
        </w:rPr>
        <w:t>eeters</w:t>
      </w:r>
      <w:r w:rsidRPr="11F4572C">
        <w:rPr>
          <w:rFonts w:ascii="Garamond" w:eastAsia="Garamond" w:hAnsi="Garamond" w:cs="Garamond"/>
        </w:rPr>
        <w:t xml:space="preserve">, S. K. (1996). The use of the Normalized Difference Water Index (NDWI) in the delineation of open water features. </w:t>
      </w:r>
      <w:r w:rsidRPr="00B273B8">
        <w:rPr>
          <w:rFonts w:ascii="Garamond" w:eastAsia="Garamond" w:hAnsi="Garamond" w:cs="Garamond"/>
          <w:i/>
          <w:iCs/>
        </w:rPr>
        <w:t>International Journal of Remote Sensing</w:t>
      </w:r>
      <w:r w:rsidRPr="11F4572C">
        <w:rPr>
          <w:rFonts w:ascii="Garamond" w:eastAsia="Garamond" w:hAnsi="Garamond" w:cs="Garamond"/>
        </w:rPr>
        <w:t xml:space="preserve">, </w:t>
      </w:r>
      <w:r w:rsidRPr="00A94687">
        <w:rPr>
          <w:rFonts w:ascii="Garamond" w:eastAsia="Garamond" w:hAnsi="Garamond" w:cs="Garamond"/>
          <w:i/>
          <w:iCs/>
        </w:rPr>
        <w:t>17</w:t>
      </w:r>
      <w:r w:rsidRPr="11F4572C">
        <w:rPr>
          <w:rFonts w:ascii="Garamond" w:eastAsia="Garamond" w:hAnsi="Garamond" w:cs="Garamond"/>
        </w:rPr>
        <w:t>(7), 1425–1432.</w:t>
      </w:r>
      <w:r w:rsidR="00A94687">
        <w:rPr>
          <w:rFonts w:ascii="Garamond" w:eastAsia="Garamond" w:hAnsi="Garamond" w:cs="Garamond"/>
        </w:rPr>
        <w:t xml:space="preserve"> </w:t>
      </w:r>
      <w:hyperlink r:id="rId27" w:history="1">
        <w:r w:rsidR="00A94687" w:rsidRPr="00FB001E">
          <w:rPr>
            <w:rStyle w:val="Hyperlink"/>
            <w:rFonts w:ascii="Garamond" w:eastAsia="Garamond" w:hAnsi="Garamond" w:cs="Garamond"/>
          </w:rPr>
          <w:t>https://doi.org/10.1080/01431169608948714</w:t>
        </w:r>
      </w:hyperlink>
      <w:r w:rsidR="00A94687">
        <w:rPr>
          <w:rFonts w:ascii="Garamond" w:eastAsia="Garamond" w:hAnsi="Garamond" w:cs="Garamond"/>
        </w:rPr>
        <w:t xml:space="preserve"> </w:t>
      </w:r>
    </w:p>
    <w:p w14:paraId="4E839967" w14:textId="77777777" w:rsidR="00AC1675" w:rsidRDefault="00AC1675" w:rsidP="00AC1675">
      <w:pPr>
        <w:spacing w:after="0" w:line="240" w:lineRule="auto"/>
        <w:ind w:left="720" w:hanging="720"/>
        <w:rPr>
          <w:rFonts w:ascii="Garamond" w:eastAsia="Garamond" w:hAnsi="Garamond" w:cs="Garamond"/>
        </w:rPr>
      </w:pPr>
    </w:p>
    <w:p w14:paraId="29A0D6D7" w14:textId="7A072CE4" w:rsidR="00AC1675" w:rsidRDefault="00AC1675" w:rsidP="00AC1675">
      <w:pPr>
        <w:spacing w:after="0" w:line="240" w:lineRule="auto"/>
        <w:ind w:left="720" w:hanging="720"/>
        <w:rPr>
          <w:rFonts w:ascii="Garamond" w:eastAsia="Garamond" w:hAnsi="Garamond" w:cs="Garamond"/>
        </w:rPr>
      </w:pPr>
      <w:r w:rsidRPr="2E732A24">
        <w:rPr>
          <w:rFonts w:ascii="Garamond" w:eastAsia="Garamond" w:hAnsi="Garamond" w:cs="Garamond"/>
        </w:rPr>
        <w:t xml:space="preserve">Miller, J. D., &amp; Thode, A. E. (2007). Quantifying burn severity in a heterogeneous landscape with a relative version of the delta Normalized Burn Ratio (dNBR). </w:t>
      </w:r>
      <w:r w:rsidRPr="00A94687">
        <w:rPr>
          <w:rFonts w:ascii="Garamond" w:eastAsia="Garamond" w:hAnsi="Garamond" w:cs="Garamond"/>
          <w:i/>
          <w:iCs/>
        </w:rPr>
        <w:t>Remote Sensing of Environment</w:t>
      </w:r>
      <w:r w:rsidRPr="00A94687">
        <w:rPr>
          <w:rFonts w:ascii="Garamond" w:eastAsia="Garamond" w:hAnsi="Garamond" w:cs="Garamond"/>
        </w:rPr>
        <w:t>,</w:t>
      </w:r>
      <w:r w:rsidRPr="00A94687">
        <w:rPr>
          <w:rFonts w:ascii="Garamond" w:eastAsia="Garamond" w:hAnsi="Garamond" w:cs="Garamond"/>
          <w:i/>
          <w:iCs/>
        </w:rPr>
        <w:t xml:space="preserve"> 109</w:t>
      </w:r>
      <w:r w:rsidRPr="2E732A24">
        <w:rPr>
          <w:rFonts w:ascii="Garamond" w:eastAsia="Garamond" w:hAnsi="Garamond" w:cs="Garamond"/>
        </w:rPr>
        <w:t xml:space="preserve">(1), 66–80. </w:t>
      </w:r>
      <w:hyperlink r:id="rId28" w:history="1">
        <w:r w:rsidR="00A94687" w:rsidRPr="00FB001E">
          <w:rPr>
            <w:rStyle w:val="Hyperlink"/>
            <w:rFonts w:ascii="Garamond" w:eastAsia="Garamond" w:hAnsi="Garamond" w:cs="Garamond"/>
          </w:rPr>
          <w:t>https://doi.org/10.1016/j.rse.20</w:t>
        </w:r>
        <w:r w:rsidR="00A94687" w:rsidRPr="00FB001E">
          <w:rPr>
            <w:rStyle w:val="Hyperlink"/>
            <w:rFonts w:ascii="Garamond" w:eastAsia="Garamond" w:hAnsi="Garamond" w:cs="Garamond"/>
          </w:rPr>
          <w:t>0</w:t>
        </w:r>
        <w:r w:rsidR="00A94687" w:rsidRPr="00FB001E">
          <w:rPr>
            <w:rStyle w:val="Hyperlink"/>
            <w:rFonts w:ascii="Garamond" w:eastAsia="Garamond" w:hAnsi="Garamond" w:cs="Garamond"/>
          </w:rPr>
          <w:t>6.12.006</w:t>
        </w:r>
      </w:hyperlink>
      <w:r w:rsidR="00A94687">
        <w:rPr>
          <w:rFonts w:ascii="Garamond" w:eastAsia="Garamond" w:hAnsi="Garamond" w:cs="Garamond"/>
        </w:rPr>
        <w:t xml:space="preserve"> </w:t>
      </w:r>
    </w:p>
    <w:p w14:paraId="55D81ED0" w14:textId="77777777" w:rsidR="00AC1675" w:rsidRDefault="00AC1675" w:rsidP="00B7705E">
      <w:pPr>
        <w:spacing w:after="0" w:line="240" w:lineRule="auto"/>
        <w:rPr>
          <w:rFonts w:ascii="Garamond" w:eastAsia="Garamond" w:hAnsi="Garamond" w:cs="Garamond"/>
        </w:rPr>
      </w:pPr>
    </w:p>
    <w:p w14:paraId="5F23070C" w14:textId="3E8B746E" w:rsidR="00AC1675" w:rsidRPr="00341FA2" w:rsidRDefault="00AC1675" w:rsidP="00AC1675">
      <w:pPr>
        <w:spacing w:after="0" w:line="240" w:lineRule="auto"/>
        <w:rPr>
          <w:rFonts w:ascii="Garamond" w:eastAsia="Garamond" w:hAnsi="Garamond" w:cs="Garamond"/>
        </w:rPr>
      </w:pPr>
      <w:r w:rsidRPr="6F148EBF">
        <w:rPr>
          <w:rFonts w:ascii="Garamond" w:eastAsia="Garamond" w:hAnsi="Garamond" w:cs="Garamond"/>
          <w:color w:val="222222"/>
        </w:rPr>
        <w:t xml:space="preserve">Novak, S. J., &amp; Mack, R. N. (2001). Tracing </w:t>
      </w:r>
      <w:r w:rsidR="00DD3D2E">
        <w:rPr>
          <w:rFonts w:ascii="Garamond" w:eastAsia="Garamond" w:hAnsi="Garamond" w:cs="Garamond"/>
          <w:color w:val="222222"/>
        </w:rPr>
        <w:t>p</w:t>
      </w:r>
      <w:r w:rsidRPr="6F148EBF">
        <w:rPr>
          <w:rFonts w:ascii="Garamond" w:eastAsia="Garamond" w:hAnsi="Garamond" w:cs="Garamond"/>
          <w:color w:val="222222"/>
        </w:rPr>
        <w:t xml:space="preserve">lant </w:t>
      </w:r>
      <w:r w:rsidR="00DD3D2E">
        <w:rPr>
          <w:rFonts w:ascii="Garamond" w:eastAsia="Garamond" w:hAnsi="Garamond" w:cs="Garamond"/>
          <w:color w:val="222222"/>
        </w:rPr>
        <w:t>i</w:t>
      </w:r>
      <w:r w:rsidRPr="6F148EBF">
        <w:rPr>
          <w:rFonts w:ascii="Garamond" w:eastAsia="Garamond" w:hAnsi="Garamond" w:cs="Garamond"/>
          <w:color w:val="222222"/>
        </w:rPr>
        <w:t xml:space="preserve">ntroduction and </w:t>
      </w:r>
      <w:r w:rsidR="00DD3D2E">
        <w:rPr>
          <w:rFonts w:ascii="Garamond" w:eastAsia="Garamond" w:hAnsi="Garamond" w:cs="Garamond"/>
          <w:color w:val="222222"/>
        </w:rPr>
        <w:t>s</w:t>
      </w:r>
      <w:r w:rsidRPr="6F148EBF">
        <w:rPr>
          <w:rFonts w:ascii="Garamond" w:eastAsia="Garamond" w:hAnsi="Garamond" w:cs="Garamond"/>
          <w:color w:val="222222"/>
        </w:rPr>
        <w:t xml:space="preserve">pread: Genetic </w:t>
      </w:r>
      <w:r w:rsidR="00DD3D2E">
        <w:rPr>
          <w:rFonts w:ascii="Garamond" w:eastAsia="Garamond" w:hAnsi="Garamond" w:cs="Garamond"/>
          <w:color w:val="222222"/>
        </w:rPr>
        <w:t>e</w:t>
      </w:r>
      <w:r w:rsidRPr="6F148EBF">
        <w:rPr>
          <w:rFonts w:ascii="Garamond" w:eastAsia="Garamond" w:hAnsi="Garamond" w:cs="Garamond"/>
          <w:color w:val="222222"/>
        </w:rPr>
        <w:t xml:space="preserve">vidence from Bromus </w:t>
      </w:r>
      <w:r>
        <w:tab/>
      </w:r>
      <w:r w:rsidRPr="6F148EBF">
        <w:rPr>
          <w:rFonts w:ascii="Garamond" w:eastAsia="Garamond" w:hAnsi="Garamond" w:cs="Garamond"/>
          <w:color w:val="222222"/>
        </w:rPr>
        <w:t>tectorum (Cheatgrass)</w:t>
      </w:r>
      <w:r w:rsidR="00DD3D2E">
        <w:rPr>
          <w:rFonts w:ascii="Garamond" w:eastAsia="Garamond" w:hAnsi="Garamond" w:cs="Garamond"/>
          <w:color w:val="222222"/>
        </w:rPr>
        <w:t>:</w:t>
      </w:r>
      <w:r w:rsidRPr="6F148EBF">
        <w:rPr>
          <w:rFonts w:ascii="Garamond" w:eastAsia="Garamond" w:hAnsi="Garamond" w:cs="Garamond"/>
          <w:color w:val="222222"/>
        </w:rPr>
        <w:t xml:space="preserve"> Introductions of the invasive grass Bromus tectorum worldwide were broadly </w:t>
      </w:r>
      <w:r>
        <w:tab/>
      </w:r>
      <w:r w:rsidRPr="6F148EBF">
        <w:rPr>
          <w:rFonts w:ascii="Garamond" w:eastAsia="Garamond" w:hAnsi="Garamond" w:cs="Garamond"/>
          <w:color w:val="222222"/>
        </w:rPr>
        <w:t xml:space="preserve">similar and closely tied to patterns of European human immigration. </w:t>
      </w:r>
      <w:r w:rsidRPr="6F148EBF">
        <w:rPr>
          <w:rFonts w:ascii="Garamond" w:eastAsia="Garamond" w:hAnsi="Garamond" w:cs="Garamond"/>
          <w:i/>
          <w:iCs/>
          <w:color w:val="222222"/>
        </w:rPr>
        <w:t>Bio</w:t>
      </w:r>
      <w:r w:rsidR="00DD3D2E">
        <w:rPr>
          <w:rFonts w:ascii="Garamond" w:eastAsia="Garamond" w:hAnsi="Garamond" w:cs="Garamond"/>
          <w:i/>
          <w:iCs/>
          <w:color w:val="222222"/>
        </w:rPr>
        <w:t>S</w:t>
      </w:r>
      <w:r w:rsidRPr="6F148EBF">
        <w:rPr>
          <w:rFonts w:ascii="Garamond" w:eastAsia="Garamond" w:hAnsi="Garamond" w:cs="Garamond"/>
          <w:i/>
          <w:iCs/>
          <w:color w:val="222222"/>
        </w:rPr>
        <w:t>cience</w:t>
      </w:r>
      <w:r w:rsidRPr="6F148EBF">
        <w:rPr>
          <w:rFonts w:ascii="Garamond" w:eastAsia="Garamond" w:hAnsi="Garamond" w:cs="Garamond"/>
          <w:color w:val="222222"/>
        </w:rPr>
        <w:t xml:space="preserve">, </w:t>
      </w:r>
      <w:r w:rsidRPr="6F148EBF">
        <w:rPr>
          <w:rFonts w:ascii="Garamond" w:eastAsia="Garamond" w:hAnsi="Garamond" w:cs="Garamond"/>
          <w:i/>
          <w:iCs/>
          <w:color w:val="222222"/>
        </w:rPr>
        <w:t>51</w:t>
      </w:r>
      <w:r w:rsidRPr="6F148EBF">
        <w:rPr>
          <w:rFonts w:ascii="Garamond" w:eastAsia="Garamond" w:hAnsi="Garamond" w:cs="Garamond"/>
          <w:color w:val="222222"/>
        </w:rPr>
        <w:t>(2), 114-122.</w:t>
      </w:r>
    </w:p>
    <w:p w14:paraId="17F7F7D7" w14:textId="77777777" w:rsidR="00AC1675" w:rsidRDefault="00AC1675" w:rsidP="00AC1675">
      <w:pPr>
        <w:spacing w:after="0" w:line="240" w:lineRule="auto"/>
        <w:rPr>
          <w:rFonts w:ascii="Garamond" w:eastAsia="Garamond" w:hAnsi="Garamond" w:cs="Garamond"/>
          <w:color w:val="222222"/>
        </w:rPr>
      </w:pPr>
    </w:p>
    <w:p w14:paraId="1EEBAE4D" w14:textId="62156096" w:rsidR="00AC1675" w:rsidRDefault="00AC1675" w:rsidP="00AC1675">
      <w:pPr>
        <w:spacing w:after="0" w:line="240" w:lineRule="auto"/>
        <w:ind w:left="720" w:hanging="720"/>
        <w:rPr>
          <w:rFonts w:ascii="Garamond" w:eastAsia="Garamond" w:hAnsi="Garamond" w:cs="Garamond"/>
          <w:color w:val="222222"/>
        </w:rPr>
      </w:pPr>
      <w:r w:rsidRPr="2E732A24">
        <w:rPr>
          <w:rFonts w:ascii="Garamond" w:eastAsia="Garamond" w:hAnsi="Garamond" w:cs="Garamond"/>
          <w:color w:val="222222"/>
        </w:rPr>
        <w:t xml:space="preserve">Parks, S. A., Dillon, G. K., &amp; Miller, C. (2014). A </w:t>
      </w:r>
      <w:r w:rsidR="00DD3D2E">
        <w:rPr>
          <w:rFonts w:ascii="Garamond" w:eastAsia="Garamond" w:hAnsi="Garamond" w:cs="Garamond"/>
          <w:color w:val="222222"/>
        </w:rPr>
        <w:t>n</w:t>
      </w:r>
      <w:r w:rsidRPr="2E732A24">
        <w:rPr>
          <w:rFonts w:ascii="Garamond" w:eastAsia="Garamond" w:hAnsi="Garamond" w:cs="Garamond"/>
          <w:color w:val="222222"/>
        </w:rPr>
        <w:t xml:space="preserve">ew </w:t>
      </w:r>
      <w:r w:rsidR="00DD3D2E">
        <w:rPr>
          <w:rFonts w:ascii="Garamond" w:eastAsia="Garamond" w:hAnsi="Garamond" w:cs="Garamond"/>
          <w:color w:val="222222"/>
        </w:rPr>
        <w:t>m</w:t>
      </w:r>
      <w:r w:rsidRPr="2E732A24">
        <w:rPr>
          <w:rFonts w:ascii="Garamond" w:eastAsia="Garamond" w:hAnsi="Garamond" w:cs="Garamond"/>
          <w:color w:val="222222"/>
        </w:rPr>
        <w:t xml:space="preserve">etric for </w:t>
      </w:r>
      <w:r w:rsidR="00DD3D2E">
        <w:rPr>
          <w:rFonts w:ascii="Garamond" w:eastAsia="Garamond" w:hAnsi="Garamond" w:cs="Garamond"/>
          <w:color w:val="222222"/>
        </w:rPr>
        <w:t>q</w:t>
      </w:r>
      <w:r w:rsidRPr="2E732A24">
        <w:rPr>
          <w:rFonts w:ascii="Garamond" w:eastAsia="Garamond" w:hAnsi="Garamond" w:cs="Garamond"/>
          <w:color w:val="222222"/>
        </w:rPr>
        <w:t xml:space="preserve">uantifying </w:t>
      </w:r>
      <w:r w:rsidR="00DD3D2E">
        <w:rPr>
          <w:rFonts w:ascii="Garamond" w:eastAsia="Garamond" w:hAnsi="Garamond" w:cs="Garamond"/>
          <w:color w:val="222222"/>
        </w:rPr>
        <w:t>b</w:t>
      </w:r>
      <w:r w:rsidRPr="2E732A24">
        <w:rPr>
          <w:rFonts w:ascii="Garamond" w:eastAsia="Garamond" w:hAnsi="Garamond" w:cs="Garamond"/>
          <w:color w:val="222222"/>
        </w:rPr>
        <w:t xml:space="preserve">urn </w:t>
      </w:r>
      <w:r w:rsidR="00DD3D2E">
        <w:rPr>
          <w:rFonts w:ascii="Garamond" w:eastAsia="Garamond" w:hAnsi="Garamond" w:cs="Garamond"/>
          <w:color w:val="222222"/>
        </w:rPr>
        <w:t>s</w:t>
      </w:r>
      <w:r w:rsidRPr="2E732A24">
        <w:rPr>
          <w:rFonts w:ascii="Garamond" w:eastAsia="Garamond" w:hAnsi="Garamond" w:cs="Garamond"/>
          <w:color w:val="222222"/>
        </w:rPr>
        <w:t xml:space="preserve">everity: The </w:t>
      </w:r>
      <w:r w:rsidR="00DD3D2E">
        <w:rPr>
          <w:rFonts w:ascii="Garamond" w:eastAsia="Garamond" w:hAnsi="Garamond" w:cs="Garamond"/>
          <w:color w:val="222222"/>
        </w:rPr>
        <w:t>r</w:t>
      </w:r>
      <w:r w:rsidRPr="2E732A24">
        <w:rPr>
          <w:rFonts w:ascii="Garamond" w:eastAsia="Garamond" w:hAnsi="Garamond" w:cs="Garamond"/>
          <w:color w:val="222222"/>
        </w:rPr>
        <w:t xml:space="preserve">elativized </w:t>
      </w:r>
      <w:r w:rsidR="00DD3D2E">
        <w:rPr>
          <w:rFonts w:ascii="Garamond" w:eastAsia="Garamond" w:hAnsi="Garamond" w:cs="Garamond"/>
          <w:color w:val="222222"/>
        </w:rPr>
        <w:t>b</w:t>
      </w:r>
      <w:r w:rsidRPr="2E732A24">
        <w:rPr>
          <w:rFonts w:ascii="Garamond" w:eastAsia="Garamond" w:hAnsi="Garamond" w:cs="Garamond"/>
          <w:color w:val="222222"/>
        </w:rPr>
        <w:t xml:space="preserve">urn </w:t>
      </w:r>
      <w:r w:rsidR="00DD3D2E">
        <w:rPr>
          <w:rFonts w:ascii="Garamond" w:eastAsia="Garamond" w:hAnsi="Garamond" w:cs="Garamond"/>
          <w:color w:val="222222"/>
        </w:rPr>
        <w:t>r</w:t>
      </w:r>
      <w:r w:rsidRPr="2E732A24">
        <w:rPr>
          <w:rFonts w:ascii="Garamond" w:eastAsia="Garamond" w:hAnsi="Garamond" w:cs="Garamond"/>
          <w:color w:val="222222"/>
        </w:rPr>
        <w:t xml:space="preserve">atio. </w:t>
      </w:r>
      <w:r w:rsidRPr="00DD3D2E">
        <w:rPr>
          <w:rFonts w:ascii="Garamond" w:eastAsia="Garamond" w:hAnsi="Garamond" w:cs="Garamond"/>
          <w:i/>
          <w:iCs/>
          <w:color w:val="222222"/>
        </w:rPr>
        <w:t>Remote Sensing</w:t>
      </w:r>
      <w:r w:rsidRPr="2E732A24">
        <w:rPr>
          <w:rFonts w:ascii="Garamond" w:eastAsia="Garamond" w:hAnsi="Garamond" w:cs="Garamond"/>
          <w:color w:val="222222"/>
        </w:rPr>
        <w:t xml:space="preserve">, </w:t>
      </w:r>
      <w:r w:rsidRPr="00DD3D2E">
        <w:rPr>
          <w:rFonts w:ascii="Garamond" w:eastAsia="Garamond" w:hAnsi="Garamond" w:cs="Garamond"/>
          <w:i/>
          <w:iCs/>
          <w:color w:val="222222"/>
        </w:rPr>
        <w:t>6</w:t>
      </w:r>
      <w:r w:rsidRPr="2E732A24">
        <w:rPr>
          <w:rFonts w:ascii="Garamond" w:eastAsia="Garamond" w:hAnsi="Garamond" w:cs="Garamond"/>
          <w:color w:val="222222"/>
        </w:rPr>
        <w:t xml:space="preserve">(3), 1827–1844. </w:t>
      </w:r>
      <w:hyperlink r:id="rId29">
        <w:r w:rsidRPr="2E732A24">
          <w:rPr>
            <w:rStyle w:val="Hyperlink"/>
            <w:rFonts w:ascii="Garamond" w:eastAsia="Garamond" w:hAnsi="Garamond" w:cs="Garamond"/>
          </w:rPr>
          <w:t>https://d</w:t>
        </w:r>
        <w:r w:rsidRPr="2E732A24">
          <w:rPr>
            <w:rStyle w:val="Hyperlink"/>
            <w:rFonts w:ascii="Garamond" w:eastAsia="Garamond" w:hAnsi="Garamond" w:cs="Garamond"/>
          </w:rPr>
          <w:t>o</w:t>
        </w:r>
        <w:r w:rsidRPr="2E732A24">
          <w:rPr>
            <w:rStyle w:val="Hyperlink"/>
            <w:rFonts w:ascii="Garamond" w:eastAsia="Garamond" w:hAnsi="Garamond" w:cs="Garamond"/>
          </w:rPr>
          <w:t>i.org/10.3390/rs6031827</w:t>
        </w:r>
      </w:hyperlink>
    </w:p>
    <w:p w14:paraId="276F2966" w14:textId="77777777" w:rsidR="00AC1675" w:rsidRPr="00341FA2" w:rsidRDefault="00AC1675" w:rsidP="002938C6">
      <w:pPr>
        <w:spacing w:after="0" w:line="240" w:lineRule="auto"/>
        <w:rPr>
          <w:rFonts w:ascii="Garamond" w:eastAsia="Garamond" w:hAnsi="Garamond" w:cs="Garamond"/>
          <w:color w:val="222222"/>
        </w:rPr>
      </w:pPr>
    </w:p>
    <w:p w14:paraId="6E93E859" w14:textId="41DE57F9" w:rsidR="00AC1675" w:rsidRDefault="00AC1675" w:rsidP="00DD3D2E">
      <w:pPr>
        <w:spacing w:after="0" w:line="240" w:lineRule="auto"/>
        <w:ind w:left="720" w:hanging="720"/>
        <w:rPr>
          <w:rFonts w:ascii="Garamond" w:eastAsia="Garamond" w:hAnsi="Garamond" w:cs="Garamond"/>
          <w:color w:val="222222"/>
        </w:rPr>
      </w:pPr>
      <w:r w:rsidRPr="3F1AAA42">
        <w:rPr>
          <w:rFonts w:ascii="Garamond" w:eastAsia="Garamond" w:hAnsi="Garamond" w:cs="Garamond"/>
          <w:color w:val="222222"/>
        </w:rPr>
        <w:t>Peters, E. F.</w:t>
      </w:r>
      <w:r w:rsidR="00B7705E">
        <w:rPr>
          <w:rFonts w:ascii="Garamond" w:eastAsia="Garamond" w:hAnsi="Garamond" w:cs="Garamond"/>
          <w:color w:val="222222"/>
        </w:rPr>
        <w:t xml:space="preserve"> &amp; Bunting, S. C.</w:t>
      </w:r>
      <w:r w:rsidRPr="3F1AAA42">
        <w:rPr>
          <w:rFonts w:ascii="Garamond" w:eastAsia="Garamond" w:hAnsi="Garamond" w:cs="Garamond"/>
          <w:color w:val="222222"/>
        </w:rPr>
        <w:t xml:space="preserve"> (1994). FIRE CONDITIONS PRE-AND POSTOCCURRENCE OF ANNUAL GRASSES ON THE SNAKE RIVER. In </w:t>
      </w:r>
      <w:r w:rsidRPr="3F1AAA42">
        <w:rPr>
          <w:rFonts w:ascii="Garamond" w:eastAsia="Garamond" w:hAnsi="Garamond" w:cs="Garamond"/>
          <w:i/>
          <w:iCs/>
          <w:color w:val="222222"/>
        </w:rPr>
        <w:t>Proceedings--</w:t>
      </w:r>
      <w:r w:rsidR="002938C6">
        <w:rPr>
          <w:rFonts w:ascii="Garamond" w:eastAsia="Garamond" w:hAnsi="Garamond" w:cs="Garamond"/>
          <w:i/>
          <w:iCs/>
          <w:color w:val="222222"/>
        </w:rPr>
        <w:t>E</w:t>
      </w:r>
      <w:r w:rsidRPr="3F1AAA42">
        <w:rPr>
          <w:rFonts w:ascii="Garamond" w:eastAsia="Garamond" w:hAnsi="Garamond" w:cs="Garamond"/>
          <w:i/>
          <w:iCs/>
          <w:color w:val="222222"/>
        </w:rPr>
        <w:t>cology and Management of Annual Rangelands</w:t>
      </w:r>
      <w:r w:rsidRPr="3F1AAA42">
        <w:rPr>
          <w:rFonts w:ascii="Garamond" w:eastAsia="Garamond" w:hAnsi="Garamond" w:cs="Garamond"/>
          <w:color w:val="222222"/>
        </w:rPr>
        <w:t xml:space="preserve"> (Vol. 313, p. 31). United States Department of Agriculture, Forest Service, Intermountain Research Station.</w:t>
      </w:r>
    </w:p>
    <w:p w14:paraId="3B45844F" w14:textId="77777777" w:rsidR="00AC1675" w:rsidRDefault="00AC1675" w:rsidP="00AC1675">
      <w:pPr>
        <w:spacing w:after="0" w:line="240" w:lineRule="auto"/>
        <w:rPr>
          <w:rFonts w:ascii="Garamond" w:eastAsia="Garamond" w:hAnsi="Garamond" w:cs="Garamond"/>
          <w:color w:val="222222"/>
        </w:rPr>
      </w:pPr>
    </w:p>
    <w:p w14:paraId="74F1ACC7" w14:textId="08920152" w:rsidR="00AC1675" w:rsidRDefault="00AC1675" w:rsidP="00AC1675">
      <w:pPr>
        <w:spacing w:after="0" w:line="240" w:lineRule="auto"/>
        <w:rPr>
          <w:rFonts w:ascii="Garamond" w:eastAsia="Garamond" w:hAnsi="Garamond" w:cs="Garamond"/>
          <w:color w:val="222222"/>
        </w:rPr>
      </w:pPr>
      <w:r w:rsidRPr="3F1AAA42">
        <w:rPr>
          <w:rFonts w:ascii="Garamond" w:eastAsia="Garamond" w:hAnsi="Garamond" w:cs="Garamond"/>
          <w:color w:val="222222"/>
        </w:rPr>
        <w:t>Rocchini</w:t>
      </w:r>
      <w:r w:rsidR="005E05DF">
        <w:rPr>
          <w:rFonts w:ascii="Garamond" w:eastAsia="Garamond" w:hAnsi="Garamond" w:cs="Garamond"/>
          <w:color w:val="222222"/>
        </w:rPr>
        <w:t>,</w:t>
      </w:r>
      <w:r w:rsidRPr="3F1AAA42">
        <w:rPr>
          <w:rFonts w:ascii="Garamond" w:eastAsia="Garamond" w:hAnsi="Garamond" w:cs="Garamond"/>
          <w:color w:val="222222"/>
        </w:rPr>
        <w:t xml:space="preserve"> D. (2010). Ecological </w:t>
      </w:r>
      <w:r w:rsidR="002938C6">
        <w:rPr>
          <w:rFonts w:ascii="Garamond" w:eastAsia="Garamond" w:hAnsi="Garamond" w:cs="Garamond"/>
          <w:color w:val="222222"/>
        </w:rPr>
        <w:t>s</w:t>
      </w:r>
      <w:r w:rsidRPr="3F1AAA42">
        <w:rPr>
          <w:rFonts w:ascii="Garamond" w:eastAsia="Garamond" w:hAnsi="Garamond" w:cs="Garamond"/>
          <w:color w:val="222222"/>
        </w:rPr>
        <w:t xml:space="preserve">tatus and </w:t>
      </w:r>
      <w:r w:rsidR="002938C6">
        <w:rPr>
          <w:rFonts w:ascii="Garamond" w:eastAsia="Garamond" w:hAnsi="Garamond" w:cs="Garamond"/>
          <w:color w:val="222222"/>
        </w:rPr>
        <w:t>c</w:t>
      </w:r>
      <w:r w:rsidRPr="3F1AAA42">
        <w:rPr>
          <w:rFonts w:ascii="Garamond" w:eastAsia="Garamond" w:hAnsi="Garamond" w:cs="Garamond"/>
          <w:color w:val="222222"/>
        </w:rPr>
        <w:t xml:space="preserve">hange by </w:t>
      </w:r>
      <w:r w:rsidR="002938C6">
        <w:rPr>
          <w:rFonts w:ascii="Garamond" w:eastAsia="Garamond" w:hAnsi="Garamond" w:cs="Garamond"/>
          <w:color w:val="222222"/>
        </w:rPr>
        <w:t>r</w:t>
      </w:r>
      <w:r w:rsidRPr="3F1AAA42">
        <w:rPr>
          <w:rFonts w:ascii="Garamond" w:eastAsia="Garamond" w:hAnsi="Garamond" w:cs="Garamond"/>
          <w:color w:val="222222"/>
        </w:rPr>
        <w:t xml:space="preserve">emote </w:t>
      </w:r>
      <w:r w:rsidR="002938C6">
        <w:rPr>
          <w:rFonts w:ascii="Garamond" w:eastAsia="Garamond" w:hAnsi="Garamond" w:cs="Garamond"/>
          <w:color w:val="222222"/>
        </w:rPr>
        <w:t>s</w:t>
      </w:r>
      <w:r w:rsidRPr="3F1AAA42">
        <w:rPr>
          <w:rFonts w:ascii="Garamond" w:eastAsia="Garamond" w:hAnsi="Garamond" w:cs="Garamond"/>
          <w:color w:val="222222"/>
        </w:rPr>
        <w:t xml:space="preserve">ensing. </w:t>
      </w:r>
      <w:r w:rsidRPr="002938C6">
        <w:rPr>
          <w:rFonts w:ascii="Garamond" w:eastAsia="Garamond" w:hAnsi="Garamond" w:cs="Garamond"/>
          <w:i/>
          <w:iCs/>
          <w:color w:val="222222"/>
        </w:rPr>
        <w:t>Remote Sensing</w:t>
      </w:r>
      <w:r w:rsidRPr="3F1AAA42">
        <w:rPr>
          <w:rFonts w:ascii="Garamond" w:eastAsia="Garamond" w:hAnsi="Garamond" w:cs="Garamond"/>
          <w:color w:val="222222"/>
        </w:rPr>
        <w:t xml:space="preserve">, </w:t>
      </w:r>
      <w:r w:rsidRPr="002938C6">
        <w:rPr>
          <w:rFonts w:ascii="Garamond" w:eastAsia="Garamond" w:hAnsi="Garamond" w:cs="Garamond"/>
          <w:i/>
          <w:iCs/>
          <w:color w:val="222222"/>
        </w:rPr>
        <w:t>2</w:t>
      </w:r>
      <w:r w:rsidRPr="3F1AAA42">
        <w:rPr>
          <w:rFonts w:ascii="Garamond" w:eastAsia="Garamond" w:hAnsi="Garamond" w:cs="Garamond"/>
          <w:color w:val="222222"/>
        </w:rPr>
        <w:t>(10)</w:t>
      </w:r>
      <w:r w:rsidR="002938C6">
        <w:rPr>
          <w:rFonts w:ascii="Garamond" w:eastAsia="Garamond" w:hAnsi="Garamond" w:cs="Garamond"/>
          <w:color w:val="222222"/>
        </w:rPr>
        <w:t xml:space="preserve">, </w:t>
      </w:r>
      <w:r w:rsidRPr="3F1AAA42">
        <w:rPr>
          <w:rFonts w:ascii="Garamond" w:eastAsia="Garamond" w:hAnsi="Garamond" w:cs="Garamond"/>
          <w:color w:val="222222"/>
        </w:rPr>
        <w:t xml:space="preserve">2424-2425. </w:t>
      </w:r>
    </w:p>
    <w:p w14:paraId="767E4593" w14:textId="77777777" w:rsidR="00AC1675" w:rsidRDefault="005A2817" w:rsidP="00AC1675">
      <w:pPr>
        <w:spacing w:after="0" w:line="240" w:lineRule="auto"/>
        <w:ind w:firstLine="720"/>
        <w:rPr>
          <w:rFonts w:ascii="Garamond" w:eastAsia="Garamond" w:hAnsi="Garamond" w:cs="Garamond"/>
          <w:color w:val="222222"/>
        </w:rPr>
      </w:pPr>
      <w:hyperlink r:id="rId30">
        <w:r w:rsidR="00AC1675" w:rsidRPr="3F1AAA42">
          <w:rPr>
            <w:rStyle w:val="Hyperlink"/>
            <w:rFonts w:ascii="Garamond" w:eastAsia="Garamond" w:hAnsi="Garamond" w:cs="Garamond"/>
          </w:rPr>
          <w:t>https://doi.org/10.3390/rs2</w:t>
        </w:r>
        <w:r w:rsidR="00AC1675" w:rsidRPr="3F1AAA42">
          <w:rPr>
            <w:rStyle w:val="Hyperlink"/>
            <w:rFonts w:ascii="Garamond" w:eastAsia="Garamond" w:hAnsi="Garamond" w:cs="Garamond"/>
          </w:rPr>
          <w:t>1</w:t>
        </w:r>
        <w:r w:rsidR="00AC1675" w:rsidRPr="3F1AAA42">
          <w:rPr>
            <w:rStyle w:val="Hyperlink"/>
            <w:rFonts w:ascii="Garamond" w:eastAsia="Garamond" w:hAnsi="Garamond" w:cs="Garamond"/>
          </w:rPr>
          <w:t>02424</w:t>
        </w:r>
      </w:hyperlink>
      <w:r w:rsidR="00AC1675" w:rsidRPr="3F1AAA42">
        <w:rPr>
          <w:rFonts w:ascii="Garamond" w:eastAsia="Garamond" w:hAnsi="Garamond" w:cs="Garamond"/>
          <w:color w:val="222222"/>
        </w:rPr>
        <w:t xml:space="preserve"> </w:t>
      </w:r>
    </w:p>
    <w:p w14:paraId="756BF9A4" w14:textId="77777777" w:rsidR="00AC1675" w:rsidRDefault="00AC1675" w:rsidP="00AC1675">
      <w:pPr>
        <w:spacing w:after="0" w:line="240" w:lineRule="auto"/>
        <w:rPr>
          <w:rFonts w:ascii="Garamond" w:eastAsia="Garamond" w:hAnsi="Garamond" w:cs="Garamond"/>
        </w:rPr>
      </w:pPr>
    </w:p>
    <w:p w14:paraId="4A54F29A" w14:textId="68EB4049" w:rsidR="00AC1675" w:rsidRPr="00341FA2" w:rsidRDefault="00AC1675" w:rsidP="00B7705E">
      <w:pPr>
        <w:spacing w:after="0" w:line="240" w:lineRule="auto"/>
        <w:ind w:left="720" w:hanging="720"/>
        <w:rPr>
          <w:rFonts w:ascii="Garamond" w:eastAsia="Garamond" w:hAnsi="Garamond" w:cs="Garamond"/>
          <w:sz w:val="28"/>
          <w:szCs w:val="28"/>
        </w:rPr>
      </w:pPr>
      <w:r w:rsidRPr="00341FA2">
        <w:rPr>
          <w:rFonts w:ascii="Garamond" w:eastAsia="Garamond" w:hAnsi="Garamond" w:cs="Garamond"/>
          <w:color w:val="222222"/>
        </w:rPr>
        <w:t xml:space="preserve">West, A. M., Evangelista, P. H., Jarnevich, C. S., Kumar, S., Swallow, A., Luizza, M. W., &amp; Chignell, S. M. </w:t>
      </w:r>
      <w:r w:rsidRPr="00914B19">
        <w:rPr>
          <w:rFonts w:ascii="Garamond" w:eastAsia="Garamond" w:hAnsi="Garamond" w:cs="Garamond"/>
          <w:color w:val="222222"/>
        </w:rPr>
        <w:t>(2017). Using multi-</w:t>
      </w:r>
      <w:r w:rsidRPr="004D0F8D">
        <w:rPr>
          <w:rFonts w:ascii="Garamond" w:eastAsia="Garamond" w:hAnsi="Garamond" w:cs="Garamond"/>
          <w:color w:val="222222"/>
        </w:rPr>
        <w:t>date satellite imagery to m</w:t>
      </w:r>
      <w:r w:rsidRPr="00C16C99">
        <w:rPr>
          <w:rFonts w:ascii="Garamond" w:eastAsia="Garamond" w:hAnsi="Garamond" w:cs="Garamond"/>
          <w:color w:val="222222"/>
        </w:rPr>
        <w:t>onitor invasive grass species distribution in post-</w:t>
      </w:r>
      <w:r w:rsidRPr="00914B19">
        <w:rPr>
          <w:rFonts w:ascii="Garamond" w:eastAsia="Garamond" w:hAnsi="Garamond" w:cs="Garamond"/>
          <w:color w:val="222222"/>
        </w:rPr>
        <w:t xml:space="preserve">wildfire landscapes: An iterative, adaptable approach that employs open-source data and software. </w:t>
      </w:r>
      <w:r w:rsidRPr="004D0F8D">
        <w:rPr>
          <w:rFonts w:ascii="Garamond" w:eastAsia="Garamond" w:hAnsi="Garamond" w:cs="Garamond"/>
          <w:i/>
          <w:iCs/>
          <w:color w:val="222222"/>
        </w:rPr>
        <w:t xml:space="preserve">International </w:t>
      </w:r>
      <w:r w:rsidR="00B7705E">
        <w:rPr>
          <w:rFonts w:ascii="Garamond" w:eastAsia="Garamond" w:hAnsi="Garamond" w:cs="Garamond"/>
          <w:i/>
          <w:iCs/>
          <w:color w:val="222222"/>
        </w:rPr>
        <w:t>J</w:t>
      </w:r>
      <w:r w:rsidRPr="004D0F8D">
        <w:rPr>
          <w:rFonts w:ascii="Garamond" w:eastAsia="Garamond" w:hAnsi="Garamond" w:cs="Garamond"/>
          <w:i/>
          <w:iCs/>
          <w:color w:val="222222"/>
        </w:rPr>
        <w:t xml:space="preserve">ournal of </w:t>
      </w:r>
      <w:r w:rsidR="00B7705E">
        <w:rPr>
          <w:rFonts w:ascii="Garamond" w:eastAsia="Garamond" w:hAnsi="Garamond" w:cs="Garamond"/>
          <w:i/>
          <w:iCs/>
          <w:color w:val="222222"/>
        </w:rPr>
        <w:t>A</w:t>
      </w:r>
      <w:r w:rsidRPr="004D0F8D">
        <w:rPr>
          <w:rFonts w:ascii="Garamond" w:eastAsia="Garamond" w:hAnsi="Garamond" w:cs="Garamond"/>
          <w:i/>
          <w:iCs/>
          <w:color w:val="222222"/>
        </w:rPr>
        <w:t xml:space="preserve">pplied </w:t>
      </w:r>
      <w:r w:rsidR="00B7705E">
        <w:rPr>
          <w:rFonts w:ascii="Garamond" w:eastAsia="Garamond" w:hAnsi="Garamond" w:cs="Garamond"/>
          <w:i/>
          <w:iCs/>
          <w:color w:val="222222"/>
        </w:rPr>
        <w:t>E</w:t>
      </w:r>
      <w:r w:rsidRPr="004D0F8D">
        <w:rPr>
          <w:rFonts w:ascii="Garamond" w:eastAsia="Garamond" w:hAnsi="Garamond" w:cs="Garamond"/>
          <w:i/>
          <w:iCs/>
          <w:color w:val="222222"/>
        </w:rPr>
        <w:t xml:space="preserve">arth </w:t>
      </w:r>
      <w:r w:rsidR="00B7705E">
        <w:rPr>
          <w:rFonts w:ascii="Garamond" w:eastAsia="Garamond" w:hAnsi="Garamond" w:cs="Garamond"/>
          <w:i/>
          <w:iCs/>
          <w:color w:val="222222"/>
        </w:rPr>
        <w:t>O</w:t>
      </w:r>
      <w:r w:rsidRPr="004D0F8D">
        <w:rPr>
          <w:rFonts w:ascii="Garamond" w:eastAsia="Garamond" w:hAnsi="Garamond" w:cs="Garamond"/>
          <w:i/>
          <w:iCs/>
          <w:color w:val="222222"/>
        </w:rPr>
        <w:t>bservation a</w:t>
      </w:r>
      <w:r w:rsidRPr="00C16C99">
        <w:rPr>
          <w:rFonts w:ascii="Garamond" w:eastAsia="Garamond" w:hAnsi="Garamond" w:cs="Garamond"/>
          <w:i/>
          <w:iCs/>
          <w:color w:val="222222"/>
        </w:rPr>
        <w:t xml:space="preserve">nd </w:t>
      </w:r>
      <w:r w:rsidR="00B7705E">
        <w:rPr>
          <w:rFonts w:ascii="Garamond" w:eastAsia="Garamond" w:hAnsi="Garamond" w:cs="Garamond"/>
          <w:i/>
          <w:iCs/>
          <w:color w:val="222222"/>
        </w:rPr>
        <w:t>G</w:t>
      </w:r>
      <w:r w:rsidRPr="00C16C99">
        <w:rPr>
          <w:rFonts w:ascii="Garamond" w:eastAsia="Garamond" w:hAnsi="Garamond" w:cs="Garamond"/>
          <w:i/>
          <w:iCs/>
          <w:color w:val="222222"/>
        </w:rPr>
        <w:t>eoinformation</w:t>
      </w:r>
      <w:r w:rsidRPr="00267DF5">
        <w:rPr>
          <w:rFonts w:ascii="Garamond" w:eastAsia="Garamond" w:hAnsi="Garamond" w:cs="Garamond"/>
          <w:color w:val="222222"/>
        </w:rPr>
        <w:t xml:space="preserve">, </w:t>
      </w:r>
      <w:r w:rsidRPr="00341FA2">
        <w:rPr>
          <w:rFonts w:ascii="Garamond" w:eastAsia="Garamond" w:hAnsi="Garamond" w:cs="Garamond"/>
          <w:i/>
          <w:color w:val="222222"/>
        </w:rPr>
        <w:t>59</w:t>
      </w:r>
      <w:r w:rsidRPr="00341FA2">
        <w:rPr>
          <w:rFonts w:ascii="Garamond" w:eastAsia="Garamond" w:hAnsi="Garamond" w:cs="Garamond"/>
          <w:color w:val="222222"/>
        </w:rPr>
        <w:t>, 135-146.</w:t>
      </w:r>
      <w:r w:rsidR="00B7705E">
        <w:rPr>
          <w:rFonts w:ascii="Garamond" w:eastAsia="Garamond" w:hAnsi="Garamond" w:cs="Garamond"/>
          <w:color w:val="222222"/>
        </w:rPr>
        <w:t xml:space="preserve"> </w:t>
      </w:r>
      <w:hyperlink r:id="rId31" w:history="1">
        <w:r w:rsidR="00B7705E" w:rsidRPr="00FB001E">
          <w:rPr>
            <w:rStyle w:val="Hyperlink"/>
            <w:rFonts w:ascii="Garamond" w:eastAsia="Garamond" w:hAnsi="Garamond" w:cs="Garamond"/>
          </w:rPr>
          <w:t>https://doi.org/10.1016/j.jag.2017.03.009</w:t>
        </w:r>
      </w:hyperlink>
      <w:r w:rsidR="00B7705E">
        <w:rPr>
          <w:rFonts w:ascii="Garamond" w:eastAsia="Garamond" w:hAnsi="Garamond" w:cs="Garamond"/>
          <w:color w:val="222222"/>
        </w:rPr>
        <w:t xml:space="preserve"> </w:t>
      </w:r>
    </w:p>
    <w:p w14:paraId="37EBD8AF" w14:textId="77777777" w:rsidR="00AC1675" w:rsidRDefault="00AC1675" w:rsidP="00AC1675">
      <w:pPr>
        <w:spacing w:after="0" w:line="240" w:lineRule="auto"/>
        <w:rPr>
          <w:rFonts w:ascii="Garamond" w:eastAsia="Garamond" w:hAnsi="Garamond" w:cs="Garamond"/>
          <w:color w:val="222222"/>
        </w:rPr>
      </w:pPr>
    </w:p>
    <w:p w14:paraId="6DE48A23" w14:textId="77777777" w:rsidR="00AC1675" w:rsidRDefault="00AC1675" w:rsidP="00AC1675">
      <w:pPr>
        <w:spacing w:after="0" w:line="240" w:lineRule="auto"/>
        <w:ind w:left="720" w:hanging="720"/>
        <w:rPr>
          <w:rFonts w:ascii="Garamond" w:eastAsia="Garamond" w:hAnsi="Garamond" w:cs="Garamond"/>
          <w:color w:val="222222"/>
        </w:rPr>
      </w:pPr>
      <w:r w:rsidRPr="4D979F59">
        <w:rPr>
          <w:rFonts w:ascii="Garamond" w:eastAsia="Garamond" w:hAnsi="Garamond" w:cs="Garamond"/>
          <w:color w:val="222222"/>
        </w:rPr>
        <w:t xml:space="preserve">Xu, H. (2006). Modification of normalised difference water index (NDWI) to enhance open water features in remotely sensed imagery. </w:t>
      </w:r>
      <w:r w:rsidRPr="00B7705E">
        <w:rPr>
          <w:rFonts w:ascii="Garamond" w:eastAsia="Garamond" w:hAnsi="Garamond" w:cs="Garamond"/>
          <w:i/>
          <w:iCs/>
          <w:color w:val="222222"/>
        </w:rPr>
        <w:t>International Journal of Remote Sensing</w:t>
      </w:r>
      <w:r w:rsidRPr="4D979F59">
        <w:rPr>
          <w:rFonts w:ascii="Garamond" w:eastAsia="Garamond" w:hAnsi="Garamond" w:cs="Garamond"/>
          <w:color w:val="222222"/>
        </w:rPr>
        <w:t xml:space="preserve">, </w:t>
      </w:r>
      <w:r w:rsidRPr="00B7705E">
        <w:rPr>
          <w:rFonts w:ascii="Garamond" w:eastAsia="Garamond" w:hAnsi="Garamond" w:cs="Garamond"/>
          <w:i/>
          <w:iCs/>
          <w:color w:val="222222"/>
        </w:rPr>
        <w:t>27</w:t>
      </w:r>
      <w:r w:rsidRPr="4D979F59">
        <w:rPr>
          <w:rFonts w:ascii="Garamond" w:eastAsia="Garamond" w:hAnsi="Garamond" w:cs="Garamond"/>
          <w:color w:val="222222"/>
        </w:rPr>
        <w:t xml:space="preserve">(14), 3025–3033. </w:t>
      </w:r>
      <w:hyperlink r:id="rId32">
        <w:r w:rsidRPr="4D979F59">
          <w:rPr>
            <w:rStyle w:val="Hyperlink"/>
            <w:rFonts w:ascii="Garamond" w:eastAsia="Garamond" w:hAnsi="Garamond" w:cs="Garamond"/>
          </w:rPr>
          <w:t>https://doi.org/10.1080/014311606</w:t>
        </w:r>
        <w:r w:rsidRPr="4D979F59">
          <w:rPr>
            <w:rStyle w:val="Hyperlink"/>
            <w:rFonts w:ascii="Garamond" w:eastAsia="Garamond" w:hAnsi="Garamond" w:cs="Garamond"/>
          </w:rPr>
          <w:t>0</w:t>
        </w:r>
        <w:r w:rsidRPr="4D979F59">
          <w:rPr>
            <w:rStyle w:val="Hyperlink"/>
            <w:rFonts w:ascii="Garamond" w:eastAsia="Garamond" w:hAnsi="Garamond" w:cs="Garamond"/>
          </w:rPr>
          <w:t>0589179</w:t>
        </w:r>
      </w:hyperlink>
    </w:p>
    <w:p w14:paraId="6F93DD8B" w14:textId="30DE512C" w:rsidR="00AC1675" w:rsidRDefault="00AC1675" w:rsidP="00AC1675">
      <w:pPr>
        <w:pStyle w:val="NoSpacing"/>
        <w:rPr>
          <w:rFonts w:ascii="Garamond" w:eastAsia="Garamond" w:hAnsi="Garamond" w:cs="Garamond"/>
        </w:rPr>
      </w:pPr>
    </w:p>
    <w:p w14:paraId="5BDCC2B9" w14:textId="54A383C2" w:rsidR="00AC1675" w:rsidRDefault="00AC1675" w:rsidP="00AC1675">
      <w:pPr>
        <w:pStyle w:val="NoSpacing"/>
        <w:rPr>
          <w:rFonts w:ascii="Garamond" w:eastAsia="Garamond" w:hAnsi="Garamond" w:cs="Garamond"/>
        </w:rPr>
      </w:pPr>
    </w:p>
    <w:p w14:paraId="200296E0" w14:textId="1E62CA59" w:rsidR="00AC1675" w:rsidRDefault="00AC1675" w:rsidP="00AC1675">
      <w:pPr>
        <w:pStyle w:val="NoSpacing"/>
        <w:rPr>
          <w:rFonts w:ascii="Garamond" w:eastAsia="Garamond" w:hAnsi="Garamond" w:cs="Garamond"/>
        </w:rPr>
      </w:pPr>
    </w:p>
    <w:p w14:paraId="4EF969EF" w14:textId="5161D91A" w:rsidR="00AC1675" w:rsidRDefault="00AC1675" w:rsidP="00AC1675">
      <w:pPr>
        <w:pStyle w:val="NoSpacing"/>
        <w:rPr>
          <w:rFonts w:ascii="Garamond" w:eastAsia="Garamond" w:hAnsi="Garamond" w:cs="Garamond"/>
        </w:rPr>
      </w:pPr>
    </w:p>
    <w:p w14:paraId="31D2AE23" w14:textId="7A6F3992" w:rsidR="00AC1675" w:rsidRDefault="00AC1675" w:rsidP="00AC1675">
      <w:pPr>
        <w:pStyle w:val="NoSpacing"/>
        <w:rPr>
          <w:rFonts w:ascii="Garamond" w:eastAsia="Garamond" w:hAnsi="Garamond" w:cs="Garamond"/>
        </w:rPr>
      </w:pPr>
    </w:p>
    <w:p w14:paraId="18009379" w14:textId="69263F21" w:rsidR="00AC1675" w:rsidRDefault="00AC1675" w:rsidP="00AC1675">
      <w:pPr>
        <w:pStyle w:val="NoSpacing"/>
        <w:rPr>
          <w:rFonts w:ascii="Garamond" w:eastAsia="Garamond" w:hAnsi="Garamond" w:cs="Garamond"/>
        </w:rPr>
      </w:pPr>
    </w:p>
    <w:p w14:paraId="7B50BB56" w14:textId="632FD717" w:rsidR="00AC1675" w:rsidRDefault="00AC1675" w:rsidP="00AC1675">
      <w:pPr>
        <w:pStyle w:val="NoSpacing"/>
        <w:rPr>
          <w:rFonts w:ascii="Garamond" w:eastAsia="Garamond" w:hAnsi="Garamond" w:cs="Garamond"/>
        </w:rPr>
      </w:pPr>
    </w:p>
    <w:p w14:paraId="3D5B6925" w14:textId="76DD7778" w:rsidR="00AC1675" w:rsidRDefault="00AC1675" w:rsidP="00AC1675">
      <w:pPr>
        <w:pStyle w:val="NoSpacing"/>
        <w:rPr>
          <w:rFonts w:ascii="Garamond" w:eastAsia="Garamond" w:hAnsi="Garamond" w:cs="Garamond"/>
        </w:rPr>
      </w:pPr>
    </w:p>
    <w:p w14:paraId="293D3E4A" w14:textId="2D8B74ED" w:rsidR="00AC1675" w:rsidRDefault="00AC1675" w:rsidP="00AC1675">
      <w:pPr>
        <w:pStyle w:val="NoSpacing"/>
        <w:rPr>
          <w:rFonts w:ascii="Garamond" w:eastAsia="Garamond" w:hAnsi="Garamond" w:cs="Garamond"/>
        </w:rPr>
      </w:pPr>
    </w:p>
    <w:p w14:paraId="5A116BFB" w14:textId="69686BC0" w:rsidR="00AC1675" w:rsidRDefault="00AC1675" w:rsidP="00AC1675">
      <w:pPr>
        <w:pStyle w:val="NoSpacing"/>
        <w:rPr>
          <w:rFonts w:ascii="Garamond" w:eastAsia="Garamond" w:hAnsi="Garamond" w:cs="Garamond"/>
        </w:rPr>
      </w:pPr>
    </w:p>
    <w:p w14:paraId="65FA9058" w14:textId="588079E0" w:rsidR="00AC1675" w:rsidRDefault="00AC1675" w:rsidP="00AC1675">
      <w:pPr>
        <w:pStyle w:val="NoSpacing"/>
        <w:rPr>
          <w:rFonts w:ascii="Garamond" w:eastAsia="Garamond" w:hAnsi="Garamond" w:cs="Garamond"/>
        </w:rPr>
      </w:pPr>
    </w:p>
    <w:p w14:paraId="53D07485" w14:textId="7F12EC9A" w:rsidR="00AC1675" w:rsidRDefault="00AC1675" w:rsidP="00AC1675">
      <w:pPr>
        <w:pStyle w:val="NoSpacing"/>
        <w:rPr>
          <w:rFonts w:ascii="Garamond" w:eastAsia="Garamond" w:hAnsi="Garamond" w:cs="Garamond"/>
        </w:rPr>
      </w:pPr>
    </w:p>
    <w:p w14:paraId="140BCB6E" w14:textId="2387FBA0" w:rsidR="00AC1675" w:rsidRDefault="00AC1675" w:rsidP="00AC1675">
      <w:pPr>
        <w:pStyle w:val="NoSpacing"/>
        <w:rPr>
          <w:rFonts w:ascii="Garamond" w:eastAsia="Garamond" w:hAnsi="Garamond" w:cs="Garamond"/>
        </w:rPr>
      </w:pPr>
    </w:p>
    <w:p w14:paraId="32CCF999" w14:textId="7C903F91" w:rsidR="00AC1675" w:rsidRDefault="00AC1675" w:rsidP="00AC1675">
      <w:pPr>
        <w:pStyle w:val="NoSpacing"/>
        <w:rPr>
          <w:rFonts w:ascii="Garamond" w:eastAsia="Garamond" w:hAnsi="Garamond" w:cs="Garamond"/>
        </w:rPr>
      </w:pPr>
    </w:p>
    <w:p w14:paraId="44E38779" w14:textId="67D11914" w:rsidR="00AC1675" w:rsidRDefault="00AC1675" w:rsidP="00AC1675">
      <w:pPr>
        <w:pStyle w:val="NoSpacing"/>
        <w:rPr>
          <w:rFonts w:ascii="Garamond" w:eastAsia="Garamond" w:hAnsi="Garamond" w:cs="Garamond"/>
        </w:rPr>
      </w:pPr>
    </w:p>
    <w:p w14:paraId="5BBBF239" w14:textId="54486C5E" w:rsidR="00AC1675" w:rsidRDefault="00AC1675" w:rsidP="00AC1675">
      <w:pPr>
        <w:pStyle w:val="NoSpacing"/>
        <w:rPr>
          <w:rFonts w:ascii="Garamond" w:eastAsia="Garamond" w:hAnsi="Garamond" w:cs="Garamond"/>
        </w:rPr>
      </w:pPr>
    </w:p>
    <w:p w14:paraId="79722F0E" w14:textId="2C843548" w:rsidR="00AC1675" w:rsidRDefault="00AC1675" w:rsidP="00AC1675">
      <w:pPr>
        <w:pStyle w:val="NoSpacing"/>
        <w:rPr>
          <w:rFonts w:ascii="Garamond" w:eastAsia="Garamond" w:hAnsi="Garamond" w:cs="Garamond"/>
        </w:rPr>
      </w:pPr>
    </w:p>
    <w:p w14:paraId="66FCD51C" w14:textId="0C8877BB" w:rsidR="00AC1675" w:rsidRDefault="00AC1675" w:rsidP="00AC1675">
      <w:pPr>
        <w:pStyle w:val="NoSpacing"/>
        <w:rPr>
          <w:rFonts w:ascii="Garamond" w:eastAsia="Garamond" w:hAnsi="Garamond" w:cs="Garamond"/>
        </w:rPr>
      </w:pPr>
    </w:p>
    <w:p w14:paraId="6A65EB44" w14:textId="62FF8198" w:rsidR="00AC1675" w:rsidRDefault="00AC1675" w:rsidP="00AC1675">
      <w:pPr>
        <w:pStyle w:val="NoSpacing"/>
        <w:rPr>
          <w:rFonts w:ascii="Garamond" w:eastAsia="Garamond" w:hAnsi="Garamond" w:cs="Garamond"/>
        </w:rPr>
      </w:pPr>
    </w:p>
    <w:p w14:paraId="0E5CAE3A" w14:textId="77777777" w:rsidR="00AC1675" w:rsidRPr="00341FA2" w:rsidRDefault="00AC1675" w:rsidP="00AC1675">
      <w:pPr>
        <w:pStyle w:val="Heading1"/>
        <w:spacing w:before="0" w:line="240" w:lineRule="auto"/>
        <w:rPr>
          <w:rFonts w:ascii="Garamond" w:hAnsi="Garamond"/>
        </w:rPr>
      </w:pPr>
      <w:r w:rsidRPr="75E5FDC0">
        <w:rPr>
          <w:rFonts w:ascii="Garamond" w:hAnsi="Garamond"/>
        </w:rPr>
        <w:t>9. Appendices</w:t>
      </w:r>
    </w:p>
    <w:p w14:paraId="14949920" w14:textId="77777777" w:rsidR="00AC1675" w:rsidRPr="00341FA2" w:rsidRDefault="00AC1675" w:rsidP="00AC1675">
      <w:pPr>
        <w:pStyle w:val="NoSpacing"/>
        <w:rPr>
          <w:rFonts w:ascii="Garamond" w:eastAsia="Garamond" w:hAnsi="Garamond" w:cs="Garamond"/>
          <w:i/>
          <w:iCs/>
        </w:rPr>
      </w:pPr>
    </w:p>
    <w:p w14:paraId="23C320FE" w14:textId="77777777" w:rsidR="00AC1675" w:rsidRPr="00341FA2" w:rsidRDefault="00AC1675" w:rsidP="00AC1675">
      <w:pPr>
        <w:pStyle w:val="NoSpacing"/>
        <w:rPr>
          <w:rFonts w:ascii="Garamond" w:eastAsia="Garamond" w:hAnsi="Garamond" w:cs="Garamond"/>
          <w:i/>
          <w:iCs/>
        </w:rPr>
      </w:pPr>
      <w:r w:rsidRPr="75E5FDC0">
        <w:rPr>
          <w:rFonts w:ascii="Garamond" w:eastAsia="Garamond" w:hAnsi="Garamond" w:cs="Garamond"/>
          <w:i/>
          <w:iCs/>
        </w:rPr>
        <w:t>Table A</w:t>
      </w:r>
    </w:p>
    <w:p w14:paraId="0FD564E0" w14:textId="77777777" w:rsidR="00AC1675" w:rsidRPr="00790241" w:rsidRDefault="00AC1675" w:rsidP="00AC1675">
      <w:pPr>
        <w:pStyle w:val="NoSpacing"/>
        <w:rPr>
          <w:rFonts w:ascii="Garamond" w:eastAsia="Garamond" w:hAnsi="Garamond" w:cs="Garamond"/>
          <w:i/>
          <w:iCs/>
        </w:rPr>
      </w:pPr>
      <w:r w:rsidRPr="75E5FDC0">
        <w:rPr>
          <w:rFonts w:ascii="Garamond" w:eastAsia="Garamond" w:hAnsi="Garamond" w:cs="Garamond"/>
          <w:i/>
          <w:iCs/>
        </w:rPr>
        <w:t>Predictor variables for detection modeling. All indices were derived from both Landsat 8 and Sentinel-2 imagery and were processed in GEE. Equations: raster math of bands to derive the predictor variables</w:t>
      </w:r>
    </w:p>
    <w:tbl>
      <w:tblPr>
        <w:tblW w:w="8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3003"/>
        <w:gridCol w:w="3003"/>
      </w:tblGrid>
      <w:tr w:rsidR="00AC1675" w:rsidRPr="00E14448" w14:paraId="24199D0F" w14:textId="77777777" w:rsidTr="0095418F">
        <w:trPr>
          <w:trHeight w:val="396"/>
        </w:trPr>
        <w:tc>
          <w:tcPr>
            <w:tcW w:w="2071" w:type="dxa"/>
            <w:shd w:val="clear" w:color="auto" w:fill="BFBFBF" w:themeFill="background1" w:themeFillShade="BF"/>
            <w:vAlign w:val="center"/>
            <w:hideMark/>
          </w:tcPr>
          <w:p w14:paraId="088BAC7C" w14:textId="77777777" w:rsidR="00AC1675" w:rsidRPr="00E14448" w:rsidRDefault="00AC1675" w:rsidP="0095418F">
            <w:pPr>
              <w:spacing w:after="0" w:line="240" w:lineRule="auto"/>
              <w:jc w:val="center"/>
              <w:rPr>
                <w:rFonts w:ascii="Garamond" w:eastAsia="Times New Roman" w:hAnsi="Garamond" w:cs="Times New Roman"/>
                <w:b/>
                <w:bCs/>
                <w:sz w:val="20"/>
                <w:szCs w:val="20"/>
              </w:rPr>
            </w:pPr>
            <w:r w:rsidRPr="00E14448">
              <w:rPr>
                <w:rFonts w:ascii="Garamond" w:eastAsia="Times New Roman" w:hAnsi="Garamond" w:cs="Times New Roman"/>
                <w:b/>
                <w:bCs/>
                <w:sz w:val="20"/>
                <w:szCs w:val="20"/>
              </w:rPr>
              <w:t>Predictor Variable</w:t>
            </w:r>
            <w:r w:rsidRPr="00E14448">
              <w:rPr>
                <w:rFonts w:ascii="Garamond" w:eastAsia="Times New Roman" w:hAnsi="Garamond" w:cs="Times New Roman"/>
                <w:sz w:val="20"/>
                <w:szCs w:val="20"/>
              </w:rPr>
              <w:t> </w:t>
            </w:r>
          </w:p>
        </w:tc>
        <w:tc>
          <w:tcPr>
            <w:tcW w:w="3003" w:type="dxa"/>
            <w:shd w:val="clear" w:color="auto" w:fill="BFBFBF" w:themeFill="background1" w:themeFillShade="BF"/>
          </w:tcPr>
          <w:p w14:paraId="7164D2FB" w14:textId="77777777" w:rsidR="00AC1675" w:rsidRPr="00E14448" w:rsidRDefault="00AC1675" w:rsidP="0095418F">
            <w:pPr>
              <w:tabs>
                <w:tab w:val="left" w:pos="1140"/>
              </w:tabs>
              <w:spacing w:before="240" w:after="0" w:line="480" w:lineRule="auto"/>
              <w:jc w:val="center"/>
              <w:rPr>
                <w:rFonts w:ascii="Garamond" w:eastAsia="Times New Roman" w:hAnsi="Garamond" w:cs="Times New Roman"/>
                <w:b/>
                <w:bCs/>
                <w:sz w:val="20"/>
                <w:szCs w:val="20"/>
              </w:rPr>
            </w:pPr>
            <w:r w:rsidRPr="00E14448">
              <w:rPr>
                <w:rFonts w:ascii="Garamond" w:eastAsia="Times New Roman" w:hAnsi="Garamond" w:cs="Times New Roman"/>
                <w:b/>
                <w:bCs/>
                <w:sz w:val="20"/>
                <w:szCs w:val="20"/>
              </w:rPr>
              <w:t>Equation</w:t>
            </w:r>
          </w:p>
        </w:tc>
        <w:tc>
          <w:tcPr>
            <w:tcW w:w="3003" w:type="dxa"/>
            <w:shd w:val="clear" w:color="auto" w:fill="BFBFBF" w:themeFill="background1" w:themeFillShade="BF"/>
          </w:tcPr>
          <w:p w14:paraId="43FEE164" w14:textId="77777777" w:rsidR="00AC1675" w:rsidRDefault="00AC1675" w:rsidP="0095418F">
            <w:pPr>
              <w:spacing w:before="240" w:line="480" w:lineRule="auto"/>
              <w:jc w:val="center"/>
              <w:rPr>
                <w:rFonts w:ascii="Garamond" w:eastAsia="Times New Roman" w:hAnsi="Garamond" w:cs="Times New Roman"/>
                <w:b/>
                <w:bCs/>
                <w:sz w:val="20"/>
                <w:szCs w:val="20"/>
              </w:rPr>
            </w:pPr>
            <w:r>
              <w:rPr>
                <w:rFonts w:ascii="Garamond" w:eastAsia="Times New Roman" w:hAnsi="Garamond" w:cs="Times New Roman"/>
                <w:b/>
                <w:bCs/>
                <w:sz w:val="20"/>
                <w:szCs w:val="20"/>
              </w:rPr>
              <w:t xml:space="preserve">Reference </w:t>
            </w:r>
          </w:p>
        </w:tc>
      </w:tr>
      <w:tr w:rsidR="00AC1675" w:rsidRPr="00E14448" w14:paraId="58114776" w14:textId="77777777" w:rsidTr="0095418F">
        <w:trPr>
          <w:trHeight w:val="322"/>
        </w:trPr>
        <w:tc>
          <w:tcPr>
            <w:tcW w:w="2071" w:type="dxa"/>
            <w:shd w:val="clear" w:color="auto" w:fill="FFFFFF" w:themeFill="background1"/>
            <w:vAlign w:val="center"/>
            <w:hideMark/>
          </w:tcPr>
          <w:p w14:paraId="05AB193A"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NDVI</w:t>
            </w:r>
          </w:p>
          <w:p w14:paraId="0FF37235" w14:textId="77777777" w:rsidR="00AC1675" w:rsidRPr="00E14448" w:rsidRDefault="00AC1675" w:rsidP="0095418F">
            <w:pPr>
              <w:spacing w:line="240" w:lineRule="auto"/>
              <w:jc w:val="center"/>
              <w:rPr>
                <w:rFonts w:ascii="Garamond" w:eastAsia="Times New Roman" w:hAnsi="Garamond" w:cs="Times New Roman"/>
                <w:sz w:val="16"/>
                <w:szCs w:val="16"/>
              </w:rPr>
            </w:pPr>
            <w:r w:rsidRPr="00E14448">
              <w:rPr>
                <w:rFonts w:ascii="Garamond" w:eastAsia="Garamond" w:hAnsi="Garamond" w:cs="Garamond"/>
                <w:sz w:val="16"/>
                <w:szCs w:val="16"/>
              </w:rPr>
              <w:t>Normalized Difference Vegetation Index</w:t>
            </w:r>
          </w:p>
        </w:tc>
        <w:tc>
          <w:tcPr>
            <w:tcW w:w="3003" w:type="dxa"/>
          </w:tcPr>
          <w:p w14:paraId="09710E35" w14:textId="77777777" w:rsidR="00AC1675" w:rsidRPr="00E14448" w:rsidRDefault="005A2817" w:rsidP="0095418F">
            <w:pPr>
              <w:spacing w:before="240" w:line="240" w:lineRule="auto"/>
              <w:jc w:val="center"/>
              <w:rPr>
                <w:rFonts w:ascii="Garamond" w:eastAsia="Times New Roman" w:hAnsi="Garamond" w:cs="Times New Roman"/>
                <w:sz w:val="16"/>
                <w:szCs w:val="16"/>
              </w:rPr>
            </w:pPr>
            <m:oMathPara>
              <m:oMath>
                <m:f>
                  <m:fPr>
                    <m:ctrlPr>
                      <w:rPr>
                        <w:rFonts w:ascii="Cambria Math" w:eastAsia="Cambria Math" w:hAnsi="Cambria Math" w:cs="Cambria Math"/>
                        <w:sz w:val="16"/>
                        <w:szCs w:val="16"/>
                      </w:rPr>
                    </m:ctrlPr>
                  </m:fPr>
                  <m:num>
                    <m:r>
                      <w:rPr>
                        <w:rFonts w:ascii="Cambria Math" w:eastAsia="Cambria Math" w:hAnsi="Cambria Math" w:cs="Cambria Math"/>
                        <w:sz w:val="16"/>
                        <w:szCs w:val="16"/>
                      </w:rPr>
                      <m:t>NIR-RED</m:t>
                    </m:r>
                  </m:num>
                  <m:den>
                    <m:r>
                      <w:rPr>
                        <w:rFonts w:ascii="Cambria Math" w:eastAsia="Cambria Math" w:hAnsi="Cambria Math" w:cs="Cambria Math"/>
                        <w:sz w:val="16"/>
                        <w:szCs w:val="16"/>
                      </w:rPr>
                      <m:t>NIR+RED</m:t>
                    </m:r>
                  </m:den>
                </m:f>
              </m:oMath>
            </m:oMathPara>
          </w:p>
        </w:tc>
        <w:tc>
          <w:tcPr>
            <w:tcW w:w="3003" w:type="dxa"/>
            <w:vAlign w:val="center"/>
          </w:tcPr>
          <w:p w14:paraId="513ACE83" w14:textId="77777777" w:rsidR="00AC1675" w:rsidRDefault="00AC1675" w:rsidP="0095418F">
            <w:pPr>
              <w:spacing w:line="240" w:lineRule="auto"/>
              <w:jc w:val="center"/>
              <w:rPr>
                <w:rFonts w:ascii="Garamond" w:hAnsi="Garamond" w:cs="Arial"/>
                <w:i/>
                <w:color w:val="000000" w:themeColor="text1"/>
              </w:rPr>
            </w:pPr>
            <w:r w:rsidRPr="2F2C391D">
              <w:rPr>
                <w:rFonts w:ascii="Garamond" w:hAnsi="Garamond"/>
              </w:rPr>
              <w:t>Huete et al., 2002</w:t>
            </w:r>
          </w:p>
        </w:tc>
      </w:tr>
      <w:tr w:rsidR="00AC1675" w:rsidRPr="00E14448" w14:paraId="46D45D49" w14:textId="77777777" w:rsidTr="0095418F">
        <w:trPr>
          <w:trHeight w:val="197"/>
        </w:trPr>
        <w:tc>
          <w:tcPr>
            <w:tcW w:w="2071" w:type="dxa"/>
            <w:shd w:val="clear" w:color="auto" w:fill="FFFFFF" w:themeFill="background1"/>
            <w:vAlign w:val="center"/>
            <w:hideMark/>
          </w:tcPr>
          <w:p w14:paraId="29EF6BD6"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SAVI</w:t>
            </w:r>
            <w:r w:rsidRPr="00E14448">
              <w:rPr>
                <w:rFonts w:ascii="Times New Roman" w:eastAsia="Times New Roman" w:hAnsi="Times New Roman" w:cs="Times New Roman"/>
                <w:sz w:val="20"/>
                <w:szCs w:val="20"/>
              </w:rPr>
              <w:t>​</w:t>
            </w:r>
          </w:p>
          <w:p w14:paraId="6108AEC8" w14:textId="77777777" w:rsidR="00AC1675" w:rsidRPr="00E14448" w:rsidRDefault="00AC1675" w:rsidP="0095418F">
            <w:pPr>
              <w:spacing w:after="0" w:line="240" w:lineRule="auto"/>
              <w:jc w:val="center"/>
              <w:rPr>
                <w:rFonts w:ascii="Garamond" w:eastAsia="Times New Roman" w:hAnsi="Garamond" w:cs="Times New Roman"/>
                <w:sz w:val="16"/>
                <w:szCs w:val="16"/>
              </w:rPr>
            </w:pPr>
            <w:r w:rsidRPr="00E14448">
              <w:rPr>
                <w:rFonts w:ascii="Garamond" w:eastAsia="Garamond" w:hAnsi="Garamond" w:cs="Garamond"/>
                <w:sz w:val="16"/>
                <w:szCs w:val="16"/>
              </w:rPr>
              <w:t>Soil Adjusted Vegetation Index</w:t>
            </w:r>
          </w:p>
        </w:tc>
        <w:tc>
          <w:tcPr>
            <w:tcW w:w="3003" w:type="dxa"/>
          </w:tcPr>
          <w:p w14:paraId="252617C8" w14:textId="77777777" w:rsidR="00AC1675" w:rsidRPr="00E14448" w:rsidRDefault="00AC1675" w:rsidP="0095418F">
            <w:pPr>
              <w:spacing w:before="240" w:line="240" w:lineRule="auto"/>
              <w:rPr>
                <w:rFonts w:ascii="Garamond" w:eastAsia="Times New Roman" w:hAnsi="Garamond" w:cs="Times New Roman"/>
                <w:sz w:val="16"/>
                <w:szCs w:val="16"/>
              </w:rPr>
            </w:pPr>
            <m:oMathPara>
              <m:oMath>
                <m:r>
                  <w:rPr>
                    <w:rFonts w:ascii="Cambria Math" w:eastAsia="Garamond" w:hAnsi="Cambria Math" w:cs="Garamond"/>
                    <w:sz w:val="16"/>
                    <w:szCs w:val="16"/>
                  </w:rPr>
                  <m:t>1.5*</m:t>
                </m:r>
                <m:f>
                  <m:fPr>
                    <m:ctrlPr>
                      <w:rPr>
                        <w:rFonts w:ascii="Cambria Math" w:eastAsia="Garamond" w:hAnsi="Cambria Math" w:cs="Garamond"/>
                        <w:sz w:val="16"/>
                        <w:szCs w:val="16"/>
                      </w:rPr>
                    </m:ctrlPr>
                  </m:fPr>
                  <m:num>
                    <m:r>
                      <w:rPr>
                        <w:rFonts w:ascii="Cambria Math" w:eastAsia="Garamond" w:hAnsi="Cambria Math" w:cs="Garamond"/>
                        <w:sz w:val="16"/>
                        <w:szCs w:val="16"/>
                      </w:rPr>
                      <m:t xml:space="preserve">(NIR-Red) </m:t>
                    </m:r>
                  </m:num>
                  <m:den>
                    <m:r>
                      <w:rPr>
                        <w:rFonts w:ascii="Cambria Math" w:eastAsia="Garamond" w:hAnsi="Cambria Math" w:cs="Garamond"/>
                        <w:sz w:val="16"/>
                        <w:szCs w:val="16"/>
                      </w:rPr>
                      <m:t>(NIR + Green + 0.5)</m:t>
                    </m:r>
                  </m:den>
                </m:f>
              </m:oMath>
            </m:oMathPara>
          </w:p>
        </w:tc>
        <w:tc>
          <w:tcPr>
            <w:tcW w:w="3003" w:type="dxa"/>
            <w:vAlign w:val="center"/>
          </w:tcPr>
          <w:p w14:paraId="416B276D" w14:textId="77777777" w:rsidR="00AC1675" w:rsidRDefault="00AC1675" w:rsidP="0095418F">
            <w:pPr>
              <w:spacing w:line="240" w:lineRule="auto"/>
              <w:jc w:val="center"/>
            </w:pPr>
            <w:r w:rsidRPr="7FF61603">
              <w:rPr>
                <w:rFonts w:ascii="Garamond" w:eastAsia="Garamond" w:hAnsi="Garamond" w:cs="Garamond"/>
              </w:rPr>
              <w:t>Huete, 1988</w:t>
            </w:r>
          </w:p>
        </w:tc>
      </w:tr>
      <w:tr w:rsidR="00AC1675" w:rsidRPr="00E14448" w14:paraId="09ABDD24" w14:textId="77777777" w:rsidTr="0095418F">
        <w:trPr>
          <w:trHeight w:val="518"/>
        </w:trPr>
        <w:tc>
          <w:tcPr>
            <w:tcW w:w="2071" w:type="dxa"/>
            <w:shd w:val="clear" w:color="auto" w:fill="FFFFFF" w:themeFill="background1"/>
            <w:vAlign w:val="center"/>
            <w:hideMark/>
          </w:tcPr>
          <w:p w14:paraId="5C0B8772" w14:textId="77777777" w:rsidR="00AC1675" w:rsidRPr="00E14448" w:rsidRDefault="00AC1675" w:rsidP="0095418F">
            <w:pPr>
              <w:spacing w:before="240"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EVI</w:t>
            </w:r>
            <w:r w:rsidRPr="00E14448">
              <w:rPr>
                <w:rFonts w:ascii="Times New Roman" w:eastAsia="Times New Roman" w:hAnsi="Times New Roman" w:cs="Times New Roman"/>
                <w:sz w:val="20"/>
                <w:szCs w:val="20"/>
              </w:rPr>
              <w:t>​</w:t>
            </w:r>
          </w:p>
          <w:p w14:paraId="4157F6A8" w14:textId="77777777" w:rsidR="00AC1675" w:rsidRPr="00E14448" w:rsidRDefault="00AC1675" w:rsidP="0095418F">
            <w:pPr>
              <w:spacing w:line="240" w:lineRule="auto"/>
              <w:jc w:val="center"/>
              <w:rPr>
                <w:rFonts w:ascii="Garamond" w:eastAsia="Times New Roman" w:hAnsi="Garamond" w:cs="Times New Roman"/>
                <w:sz w:val="16"/>
                <w:szCs w:val="16"/>
              </w:rPr>
            </w:pPr>
            <w:r w:rsidRPr="00E14448">
              <w:rPr>
                <w:rFonts w:ascii="Garamond" w:eastAsia="Garamond" w:hAnsi="Garamond" w:cs="Garamond"/>
                <w:sz w:val="16"/>
                <w:szCs w:val="16"/>
              </w:rPr>
              <w:t>Enhanced Vegetation Index</w:t>
            </w:r>
          </w:p>
        </w:tc>
        <w:tc>
          <w:tcPr>
            <w:tcW w:w="3003" w:type="dxa"/>
          </w:tcPr>
          <w:p w14:paraId="669E677E" w14:textId="77777777" w:rsidR="00AC1675" w:rsidRPr="00E14448" w:rsidRDefault="00AC1675" w:rsidP="0095418F">
            <w:pPr>
              <w:spacing w:before="240" w:after="0" w:line="240" w:lineRule="auto"/>
              <w:rPr>
                <w:rFonts w:ascii="Garamond" w:eastAsia="Times New Roman" w:hAnsi="Garamond" w:cs="Times New Roman"/>
                <w:sz w:val="16"/>
                <w:szCs w:val="16"/>
              </w:rPr>
            </w:pPr>
            <m:oMathPara>
              <m:oMath>
                <m:r>
                  <w:rPr>
                    <w:rFonts w:ascii="Cambria Math" w:eastAsia="Cambria Math" w:hAnsi="Cambria Math" w:cs="Cambria Math"/>
                    <w:sz w:val="16"/>
                    <w:szCs w:val="16"/>
                  </w:rPr>
                  <m:t>2.5*</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NIR-RED</m:t>
                    </m:r>
                  </m:num>
                  <m:den>
                    <m:d>
                      <m:dPr>
                        <m:ctrlPr>
                          <w:rPr>
                            <w:rFonts w:ascii="Cambria Math" w:eastAsia="Cambria Math" w:hAnsi="Cambria Math" w:cs="Cambria Math"/>
                            <w:sz w:val="16"/>
                            <w:szCs w:val="16"/>
                          </w:rPr>
                        </m:ctrlPr>
                      </m:dPr>
                      <m:e>
                        <m:r>
                          <w:rPr>
                            <w:rFonts w:ascii="Cambria Math" w:eastAsia="Cambria Math" w:hAnsi="Cambria Math" w:cs="Cambria Math"/>
                            <w:sz w:val="16"/>
                            <w:szCs w:val="16"/>
                          </w:rPr>
                          <m:t>NIR+6*RED-7.5*BLUE</m:t>
                        </m:r>
                      </m:e>
                    </m:d>
                    <m:r>
                      <w:rPr>
                        <w:rFonts w:ascii="Cambria Math" w:eastAsia="Cambria Math" w:hAnsi="Cambria Math" w:cs="Cambria Math"/>
                        <w:sz w:val="16"/>
                        <w:szCs w:val="16"/>
                      </w:rPr>
                      <m:t>+1</m:t>
                    </m:r>
                  </m:den>
                </m:f>
              </m:oMath>
            </m:oMathPara>
          </w:p>
        </w:tc>
        <w:tc>
          <w:tcPr>
            <w:tcW w:w="3003" w:type="dxa"/>
            <w:vAlign w:val="center"/>
          </w:tcPr>
          <w:p w14:paraId="65F52C28" w14:textId="77777777" w:rsidR="00AC1675" w:rsidRDefault="00AC1675" w:rsidP="0095418F">
            <w:pPr>
              <w:spacing w:line="240" w:lineRule="auto"/>
              <w:jc w:val="center"/>
            </w:pPr>
            <w:r w:rsidRPr="70996D4F">
              <w:rPr>
                <w:rFonts w:ascii="Garamond" w:eastAsia="Garamond" w:hAnsi="Garamond" w:cs="Garamond"/>
              </w:rPr>
              <w:t>Liu</w:t>
            </w:r>
            <w:r w:rsidRPr="3A2FABB9">
              <w:rPr>
                <w:rFonts w:ascii="Garamond" w:eastAsia="Garamond" w:hAnsi="Garamond" w:cs="Garamond"/>
              </w:rPr>
              <w:t xml:space="preserve"> &amp; </w:t>
            </w:r>
            <w:r w:rsidRPr="3AA2CF1A">
              <w:rPr>
                <w:rFonts w:ascii="Garamond" w:eastAsia="Garamond" w:hAnsi="Garamond" w:cs="Garamond"/>
              </w:rPr>
              <w:t>Huete, 1995</w:t>
            </w:r>
          </w:p>
        </w:tc>
      </w:tr>
      <w:tr w:rsidR="00AC1675" w:rsidRPr="00E14448" w14:paraId="7245317B" w14:textId="77777777" w:rsidTr="0095418F">
        <w:trPr>
          <w:trHeight w:val="705"/>
        </w:trPr>
        <w:tc>
          <w:tcPr>
            <w:tcW w:w="2071" w:type="dxa"/>
            <w:shd w:val="clear" w:color="auto" w:fill="FFFFFF" w:themeFill="background1"/>
            <w:vAlign w:val="center"/>
            <w:hideMark/>
          </w:tcPr>
          <w:p w14:paraId="214F630E"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ND</w:t>
            </w:r>
            <w:r>
              <w:rPr>
                <w:rFonts w:ascii="Garamond" w:eastAsia="Times New Roman" w:hAnsi="Garamond" w:cs="Times New Roman"/>
                <w:sz w:val="20"/>
                <w:szCs w:val="20"/>
              </w:rPr>
              <w:t>M</w:t>
            </w:r>
            <w:r w:rsidRPr="00E14448">
              <w:rPr>
                <w:rFonts w:ascii="Garamond" w:eastAsia="Times New Roman" w:hAnsi="Garamond" w:cs="Times New Roman"/>
                <w:sz w:val="20"/>
                <w:szCs w:val="20"/>
              </w:rPr>
              <w:t>I</w:t>
            </w:r>
            <w:r w:rsidRPr="00E14448">
              <w:rPr>
                <w:rFonts w:ascii="Times New Roman" w:eastAsia="Times New Roman" w:hAnsi="Times New Roman" w:cs="Times New Roman"/>
                <w:sz w:val="20"/>
                <w:szCs w:val="20"/>
              </w:rPr>
              <w:t>​</w:t>
            </w:r>
          </w:p>
          <w:p w14:paraId="7D97D3AB"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Garamond" w:hAnsi="Garamond" w:cs="Garamond"/>
                <w:sz w:val="16"/>
                <w:szCs w:val="16"/>
              </w:rPr>
              <w:t xml:space="preserve">Normalized Differenced </w:t>
            </w:r>
            <w:r>
              <w:rPr>
                <w:rFonts w:ascii="Garamond" w:eastAsia="Garamond" w:hAnsi="Garamond" w:cs="Garamond"/>
                <w:sz w:val="16"/>
                <w:szCs w:val="16"/>
              </w:rPr>
              <w:t>Moisture</w:t>
            </w:r>
            <w:r w:rsidRPr="00E14448">
              <w:rPr>
                <w:rFonts w:ascii="Garamond" w:eastAsia="Garamond" w:hAnsi="Garamond" w:cs="Garamond"/>
                <w:sz w:val="16"/>
                <w:szCs w:val="16"/>
              </w:rPr>
              <w:t xml:space="preserve"> Index</w:t>
            </w:r>
          </w:p>
          <w:p w14:paraId="44A0412E" w14:textId="77777777" w:rsidR="00AC1675" w:rsidRPr="00E14448" w:rsidRDefault="00AC1675" w:rsidP="0095418F">
            <w:pPr>
              <w:spacing w:before="240" w:line="240" w:lineRule="auto"/>
              <w:jc w:val="center"/>
              <w:rPr>
                <w:rFonts w:ascii="Garamond" w:eastAsia="Times New Roman" w:hAnsi="Garamond" w:cs="Times New Roman"/>
                <w:sz w:val="20"/>
                <w:szCs w:val="20"/>
              </w:rPr>
            </w:pPr>
          </w:p>
        </w:tc>
        <w:tc>
          <w:tcPr>
            <w:tcW w:w="3003" w:type="dxa"/>
          </w:tcPr>
          <w:p w14:paraId="52F15781" w14:textId="77777777" w:rsidR="00AC1675" w:rsidRPr="00E14448" w:rsidRDefault="00AC1675" w:rsidP="0095418F">
            <w:pPr>
              <w:spacing w:before="240" w:line="240" w:lineRule="auto"/>
              <w:rPr>
                <w:rFonts w:ascii="Garamond" w:eastAsia="Times New Roman" w:hAnsi="Garamond" w:cs="Times New Roman"/>
                <w:sz w:val="16"/>
                <w:szCs w:val="16"/>
              </w:rPr>
            </w:pPr>
            <m:oMathPara>
              <m:oMath>
                <m:r>
                  <w:rPr>
                    <w:rFonts w:ascii="Cambria Math" w:eastAsia="Garamond" w:hAnsi="Cambria Math" w:cs="Garamond"/>
                    <w:sz w:val="16"/>
                    <w:szCs w:val="16"/>
                  </w:rPr>
                  <m:t xml:space="preserve"> </m:t>
                </m:r>
                <m:f>
                  <m:fPr>
                    <m:ctrlPr>
                      <w:rPr>
                        <w:rFonts w:ascii="Cambria Math" w:eastAsia="Garamond" w:hAnsi="Cambria Math" w:cs="Garamond"/>
                        <w:sz w:val="16"/>
                        <w:szCs w:val="16"/>
                      </w:rPr>
                    </m:ctrlPr>
                  </m:fPr>
                  <m:num>
                    <m:r>
                      <w:rPr>
                        <w:rFonts w:ascii="Cambria Math" w:eastAsia="Garamond" w:hAnsi="Cambria Math" w:cs="Garamond"/>
                        <w:sz w:val="16"/>
                        <w:szCs w:val="16"/>
                      </w:rPr>
                      <m:t>(SWIR1- NIR)</m:t>
                    </m:r>
                  </m:num>
                  <m:den>
                    <m:r>
                      <w:rPr>
                        <w:rFonts w:ascii="Cambria Math" w:eastAsia="Garamond" w:hAnsi="Cambria Math" w:cs="Garamond"/>
                        <w:sz w:val="16"/>
                        <w:szCs w:val="16"/>
                      </w:rPr>
                      <m:t>(SWIR1 + NIR)</m:t>
                    </m:r>
                  </m:den>
                </m:f>
              </m:oMath>
            </m:oMathPara>
          </w:p>
        </w:tc>
        <w:tc>
          <w:tcPr>
            <w:tcW w:w="3003" w:type="dxa"/>
            <w:vAlign w:val="center"/>
          </w:tcPr>
          <w:p w14:paraId="0FB6C8E2" w14:textId="77777777" w:rsidR="00AC1675" w:rsidRDefault="00AC1675" w:rsidP="0095418F">
            <w:pPr>
              <w:spacing w:line="240" w:lineRule="auto"/>
              <w:jc w:val="center"/>
              <w:rPr>
                <w:rFonts w:ascii="Garamond" w:eastAsia="Garamond" w:hAnsi="Garamond" w:cs="Garamond"/>
              </w:rPr>
            </w:pPr>
            <w:r w:rsidRPr="5492323B">
              <w:rPr>
                <w:rFonts w:ascii="Garamond" w:eastAsia="Garamond" w:hAnsi="Garamond" w:cs="Garamond"/>
              </w:rPr>
              <w:t>McFeeters, 1996</w:t>
            </w:r>
          </w:p>
        </w:tc>
      </w:tr>
      <w:tr w:rsidR="00AC1675" w:rsidRPr="00E14448" w14:paraId="2FCD1946" w14:textId="77777777" w:rsidTr="0095418F">
        <w:trPr>
          <w:trHeight w:val="197"/>
        </w:trPr>
        <w:tc>
          <w:tcPr>
            <w:tcW w:w="2071" w:type="dxa"/>
            <w:shd w:val="clear" w:color="auto" w:fill="FFFFFF" w:themeFill="background1"/>
            <w:vAlign w:val="center"/>
            <w:hideMark/>
          </w:tcPr>
          <w:p w14:paraId="63884267"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30A68557">
              <w:rPr>
                <w:rFonts w:ascii="Garamond" w:eastAsia="Times New Roman" w:hAnsi="Garamond" w:cs="Times New Roman"/>
                <w:sz w:val="20"/>
                <w:szCs w:val="20"/>
              </w:rPr>
              <w:t>MNDWI</w:t>
            </w:r>
            <w:r w:rsidRPr="30A68557">
              <w:rPr>
                <w:rFonts w:ascii="Times New Roman" w:eastAsia="Times New Roman" w:hAnsi="Times New Roman" w:cs="Times New Roman"/>
                <w:sz w:val="20"/>
                <w:szCs w:val="20"/>
              </w:rPr>
              <w:t>​</w:t>
            </w:r>
          </w:p>
          <w:p w14:paraId="7D685A08" w14:textId="77777777" w:rsidR="00AC1675" w:rsidRPr="00E14448" w:rsidRDefault="00AC1675" w:rsidP="0095418F">
            <w:pPr>
              <w:spacing w:after="0" w:line="240" w:lineRule="auto"/>
              <w:jc w:val="center"/>
              <w:rPr>
                <w:rFonts w:ascii="Garamond" w:eastAsia="Garamond" w:hAnsi="Garamond" w:cs="Garamond"/>
                <w:sz w:val="16"/>
                <w:szCs w:val="16"/>
              </w:rPr>
            </w:pPr>
            <w:r w:rsidRPr="6838F3ED">
              <w:rPr>
                <w:rFonts w:ascii="Garamond" w:eastAsia="Garamond" w:hAnsi="Garamond" w:cs="Garamond"/>
                <w:sz w:val="16"/>
                <w:szCs w:val="16"/>
              </w:rPr>
              <w:t xml:space="preserve">Modified Normalizd </w:t>
            </w:r>
            <w:r w:rsidRPr="73F35C81">
              <w:rPr>
                <w:rFonts w:ascii="Garamond" w:eastAsia="Garamond" w:hAnsi="Garamond" w:cs="Garamond"/>
                <w:sz w:val="16"/>
                <w:szCs w:val="16"/>
              </w:rPr>
              <w:t>Difference Water Index</w:t>
            </w:r>
          </w:p>
        </w:tc>
        <w:tc>
          <w:tcPr>
            <w:tcW w:w="3003" w:type="dxa"/>
          </w:tcPr>
          <w:p w14:paraId="2752E556" w14:textId="77777777" w:rsidR="00AC1675" w:rsidRPr="00E14448" w:rsidRDefault="00AC1675" w:rsidP="0095418F">
            <w:pPr>
              <w:spacing w:before="240" w:line="240" w:lineRule="auto"/>
              <w:rPr>
                <w:rFonts w:ascii="Garamond" w:eastAsia="Times New Roman" w:hAnsi="Garamond" w:cs="Times New Roman"/>
                <w:sz w:val="16"/>
                <w:szCs w:val="16"/>
              </w:rPr>
            </w:pPr>
            <m:oMathPara>
              <m:oMath>
                <m:r>
                  <w:rPr>
                    <w:rFonts w:ascii="Cambria Math" w:eastAsia="Garamond" w:hAnsi="Cambria Math" w:cs="Garamond"/>
                    <w:sz w:val="16"/>
                    <w:szCs w:val="16"/>
                  </w:rPr>
                  <m:t xml:space="preserve"> </m:t>
                </m:r>
                <m:f>
                  <m:fPr>
                    <m:ctrlPr>
                      <w:rPr>
                        <w:rFonts w:ascii="Cambria Math" w:eastAsia="Garamond" w:hAnsi="Cambria Math" w:cs="Garamond"/>
                        <w:sz w:val="16"/>
                        <w:szCs w:val="16"/>
                      </w:rPr>
                    </m:ctrlPr>
                  </m:fPr>
                  <m:num>
                    <m:r>
                      <w:rPr>
                        <w:rFonts w:ascii="Cambria Math" w:eastAsia="Garamond" w:hAnsi="Cambria Math" w:cs="Garamond"/>
                        <w:sz w:val="16"/>
                        <w:szCs w:val="16"/>
                      </w:rPr>
                      <m:t>(Green - SWIR1)</m:t>
                    </m:r>
                  </m:num>
                  <m:den>
                    <m:r>
                      <w:rPr>
                        <w:rFonts w:ascii="Cambria Math" w:eastAsia="Garamond" w:hAnsi="Cambria Math" w:cs="Garamond"/>
                        <w:sz w:val="16"/>
                        <w:szCs w:val="16"/>
                      </w:rPr>
                      <m:t>(Green + SWIR1)</m:t>
                    </m:r>
                  </m:den>
                </m:f>
              </m:oMath>
            </m:oMathPara>
          </w:p>
        </w:tc>
        <w:tc>
          <w:tcPr>
            <w:tcW w:w="3003" w:type="dxa"/>
            <w:vAlign w:val="center"/>
          </w:tcPr>
          <w:p w14:paraId="3234D49B" w14:textId="77777777" w:rsidR="00AC1675" w:rsidRDefault="00AC1675" w:rsidP="0095418F">
            <w:pPr>
              <w:spacing w:line="240" w:lineRule="auto"/>
              <w:jc w:val="center"/>
              <w:rPr>
                <w:rFonts w:ascii="Garamond" w:eastAsia="Garamond" w:hAnsi="Garamond" w:cs="Garamond"/>
              </w:rPr>
            </w:pPr>
            <w:r w:rsidRPr="07F6DD7E">
              <w:rPr>
                <w:rFonts w:ascii="Garamond" w:eastAsia="Garamond" w:hAnsi="Garamond" w:cs="Garamond"/>
              </w:rPr>
              <w:t>Xu, 2006</w:t>
            </w:r>
          </w:p>
        </w:tc>
      </w:tr>
      <w:tr w:rsidR="00AC1675" w:rsidRPr="00E14448" w14:paraId="09C92F40" w14:textId="77777777" w:rsidTr="0095418F">
        <w:trPr>
          <w:trHeight w:val="197"/>
        </w:trPr>
        <w:tc>
          <w:tcPr>
            <w:tcW w:w="2071" w:type="dxa"/>
            <w:shd w:val="clear" w:color="auto" w:fill="FFFFFF" w:themeFill="background1"/>
            <w:vAlign w:val="center"/>
            <w:hideMark/>
          </w:tcPr>
          <w:p w14:paraId="6A4F5989"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NBR</w:t>
            </w:r>
          </w:p>
          <w:p w14:paraId="012AC513" w14:textId="77777777" w:rsidR="00AC1675" w:rsidRPr="00E14448" w:rsidRDefault="00AC1675" w:rsidP="0095418F">
            <w:pPr>
              <w:spacing w:after="0" w:line="240" w:lineRule="auto"/>
              <w:jc w:val="center"/>
              <w:rPr>
                <w:rFonts w:ascii="Garamond" w:eastAsia="Times New Roman" w:hAnsi="Garamond" w:cs="Times New Roman"/>
                <w:sz w:val="16"/>
                <w:szCs w:val="16"/>
              </w:rPr>
            </w:pPr>
            <w:r w:rsidRPr="00E14448">
              <w:rPr>
                <w:rFonts w:ascii="Garamond" w:eastAsia="Times New Roman" w:hAnsi="Garamond" w:cs="Times New Roman"/>
                <w:sz w:val="16"/>
                <w:szCs w:val="16"/>
              </w:rPr>
              <w:t>Normalized Burn ration</w:t>
            </w:r>
          </w:p>
        </w:tc>
        <w:tc>
          <w:tcPr>
            <w:tcW w:w="3003" w:type="dxa"/>
          </w:tcPr>
          <w:p w14:paraId="60D71762" w14:textId="77777777" w:rsidR="00AC1675" w:rsidRPr="00E14448" w:rsidRDefault="005A2817" w:rsidP="0095418F">
            <w:pPr>
              <w:spacing w:before="240" w:line="240" w:lineRule="auto"/>
              <w:rPr>
                <w:rFonts w:ascii="Garamond" w:eastAsia="Times New Roman" w:hAnsi="Garamond" w:cs="Times New Roman"/>
                <w:sz w:val="20"/>
                <w:szCs w:val="20"/>
              </w:rPr>
            </w:pPr>
            <m:oMathPara>
              <m:oMath>
                <m:f>
                  <m:fPr>
                    <m:ctrlPr>
                      <w:rPr>
                        <w:rFonts w:ascii="Cambria Math" w:eastAsia="Garamond" w:hAnsi="Cambria Math" w:cs="Garamond"/>
                        <w:sz w:val="16"/>
                        <w:szCs w:val="16"/>
                      </w:rPr>
                    </m:ctrlPr>
                  </m:fPr>
                  <m:num>
                    <m:r>
                      <w:rPr>
                        <w:rFonts w:ascii="Cambria Math" w:eastAsia="Garamond" w:hAnsi="Cambria Math" w:cs="Garamond"/>
                        <w:sz w:val="16"/>
                        <w:szCs w:val="16"/>
                      </w:rPr>
                      <m:t>(NIR- SWIR1)</m:t>
                    </m:r>
                  </m:num>
                  <m:den>
                    <m:r>
                      <w:rPr>
                        <w:rFonts w:ascii="Cambria Math" w:eastAsia="Garamond" w:hAnsi="Cambria Math" w:cs="Garamond"/>
                        <w:sz w:val="16"/>
                        <w:szCs w:val="16"/>
                      </w:rPr>
                      <m:t>(NIR + SWIR1)</m:t>
                    </m:r>
                  </m:den>
                </m:f>
              </m:oMath>
            </m:oMathPara>
          </w:p>
        </w:tc>
        <w:tc>
          <w:tcPr>
            <w:tcW w:w="3003" w:type="dxa"/>
            <w:vAlign w:val="center"/>
          </w:tcPr>
          <w:p w14:paraId="36A8EE42" w14:textId="77777777" w:rsidR="00AC1675" w:rsidRDefault="00AC1675" w:rsidP="0095418F">
            <w:pPr>
              <w:spacing w:line="240" w:lineRule="auto"/>
              <w:jc w:val="center"/>
            </w:pPr>
            <w:r w:rsidRPr="11EFC3A5">
              <w:rPr>
                <w:rFonts w:ascii="Garamond" w:eastAsia="Garamond" w:hAnsi="Garamond" w:cs="Garamond"/>
              </w:rPr>
              <w:t xml:space="preserve">Key &amp; Benson </w:t>
            </w:r>
            <w:r w:rsidRPr="474C99EB">
              <w:rPr>
                <w:rFonts w:ascii="Garamond" w:eastAsia="Garamond" w:hAnsi="Garamond" w:cs="Garamond"/>
              </w:rPr>
              <w:t>2006</w:t>
            </w:r>
          </w:p>
        </w:tc>
      </w:tr>
      <w:tr w:rsidR="00AC1675" w:rsidRPr="00E14448" w14:paraId="375E785A" w14:textId="77777777" w:rsidTr="0095418F">
        <w:trPr>
          <w:trHeight w:val="197"/>
        </w:trPr>
        <w:tc>
          <w:tcPr>
            <w:tcW w:w="2071" w:type="dxa"/>
            <w:shd w:val="clear" w:color="auto" w:fill="FFFFFF" w:themeFill="background1"/>
            <w:vAlign w:val="center"/>
            <w:hideMark/>
          </w:tcPr>
          <w:p w14:paraId="0626527E"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dNBR </w:t>
            </w:r>
          </w:p>
          <w:p w14:paraId="07374DA5" w14:textId="77777777" w:rsidR="00AC1675" w:rsidRPr="00E14448" w:rsidRDefault="00AC1675" w:rsidP="0095418F">
            <w:pPr>
              <w:spacing w:after="0" w:line="240" w:lineRule="auto"/>
              <w:jc w:val="center"/>
              <w:rPr>
                <w:rFonts w:ascii="Garamond" w:eastAsia="Times New Roman" w:hAnsi="Garamond" w:cs="Times New Roman"/>
                <w:sz w:val="16"/>
                <w:szCs w:val="16"/>
              </w:rPr>
            </w:pPr>
            <w:r w:rsidRPr="00E14448">
              <w:rPr>
                <w:rFonts w:ascii="Garamond" w:eastAsia="Times New Roman" w:hAnsi="Garamond" w:cs="Times New Roman"/>
                <w:sz w:val="16"/>
                <w:szCs w:val="16"/>
              </w:rPr>
              <w:t>delta NBR</w:t>
            </w:r>
          </w:p>
        </w:tc>
        <w:tc>
          <w:tcPr>
            <w:tcW w:w="3003" w:type="dxa"/>
          </w:tcPr>
          <w:p w14:paraId="6FAA6A50" w14:textId="77777777" w:rsidR="00AC1675" w:rsidRPr="00E14448" w:rsidRDefault="005A2817" w:rsidP="0095418F">
            <w:pPr>
              <w:spacing w:before="240" w:line="240" w:lineRule="auto"/>
              <w:jc w:val="center"/>
              <w:rPr>
                <w:rFonts w:ascii="Garamond" w:eastAsia="Times New Roman" w:hAnsi="Garamond" w:cs="Times New Roman"/>
                <w:sz w:val="20"/>
                <w:szCs w:val="20"/>
              </w:rPr>
            </w:pPr>
            <m:oMathPara>
              <m:oMath>
                <m:sSub>
                  <m:sSubPr>
                    <m:ctrlPr>
                      <w:rPr>
                        <w:rFonts w:ascii="Cambria Math" w:eastAsia="Garamond" w:hAnsi="Cambria Math" w:cs="Garamond"/>
                        <w:i/>
                        <w:sz w:val="16"/>
                        <w:szCs w:val="16"/>
                      </w:rPr>
                    </m:ctrlPr>
                  </m:sSubPr>
                  <m:e>
                    <m:r>
                      <w:rPr>
                        <w:rFonts w:ascii="Cambria Math" w:eastAsia="Garamond" w:hAnsi="Cambria Math" w:cs="Garamond"/>
                        <w:sz w:val="16"/>
                        <w:szCs w:val="16"/>
                      </w:rPr>
                      <m:t>NBR</m:t>
                    </m:r>
                  </m:e>
                  <m:sub>
                    <m:r>
                      <w:rPr>
                        <w:rFonts w:ascii="Cambria Math" w:eastAsia="Garamond" w:hAnsi="Cambria Math" w:cs="Garamond"/>
                        <w:sz w:val="16"/>
                        <w:szCs w:val="16"/>
                      </w:rPr>
                      <m:t>Prefire</m:t>
                    </m:r>
                  </m:sub>
                </m:sSub>
                <m:r>
                  <w:rPr>
                    <w:rFonts w:ascii="Cambria Math" w:eastAsia="Times New Roman" w:hAnsi="Cambria Math" w:cs="Times New Roman"/>
                    <w:sz w:val="16"/>
                    <w:szCs w:val="16"/>
                  </w:rPr>
                  <m:t>-</m:t>
                </m:r>
                <m:sSub>
                  <m:sSubPr>
                    <m:ctrlPr>
                      <w:rPr>
                        <w:rFonts w:ascii="Cambria Math" w:eastAsia="Garamond" w:hAnsi="Cambria Math" w:cs="Garamond"/>
                        <w:i/>
                        <w:sz w:val="16"/>
                        <w:szCs w:val="16"/>
                      </w:rPr>
                    </m:ctrlPr>
                  </m:sSubPr>
                  <m:e>
                    <m:r>
                      <w:rPr>
                        <w:rFonts w:ascii="Cambria Math" w:eastAsia="Garamond" w:hAnsi="Cambria Math" w:cs="Garamond"/>
                        <w:sz w:val="16"/>
                        <w:szCs w:val="16"/>
                      </w:rPr>
                      <m:t>NBR</m:t>
                    </m:r>
                  </m:e>
                  <m:sub>
                    <m:r>
                      <w:rPr>
                        <w:rFonts w:ascii="Cambria Math" w:eastAsia="Garamond" w:hAnsi="Cambria Math" w:cs="Garamond"/>
                        <w:sz w:val="16"/>
                        <w:szCs w:val="16"/>
                      </w:rPr>
                      <m:t>Postfire</m:t>
                    </m:r>
                  </m:sub>
                </m:sSub>
              </m:oMath>
            </m:oMathPara>
          </w:p>
        </w:tc>
        <w:tc>
          <w:tcPr>
            <w:tcW w:w="3003" w:type="dxa"/>
            <w:vAlign w:val="center"/>
          </w:tcPr>
          <w:p w14:paraId="77BD61D1" w14:textId="77777777" w:rsidR="00AC1675" w:rsidRDefault="00AC1675" w:rsidP="0095418F">
            <w:pPr>
              <w:spacing w:line="240" w:lineRule="auto"/>
              <w:jc w:val="center"/>
            </w:pPr>
            <w:r w:rsidRPr="474C99EB">
              <w:rPr>
                <w:rFonts w:ascii="Garamond" w:eastAsia="Garamond" w:hAnsi="Garamond" w:cs="Garamond"/>
              </w:rPr>
              <w:t>Key &amp; Benson 2006</w:t>
            </w:r>
          </w:p>
        </w:tc>
      </w:tr>
      <w:tr w:rsidR="00AC1675" w:rsidRPr="00E14448" w14:paraId="47A2165E" w14:textId="77777777" w:rsidTr="0095418F">
        <w:trPr>
          <w:trHeight w:val="197"/>
        </w:trPr>
        <w:tc>
          <w:tcPr>
            <w:tcW w:w="2071" w:type="dxa"/>
            <w:shd w:val="clear" w:color="auto" w:fill="FFFFFF" w:themeFill="background1"/>
            <w:vAlign w:val="center"/>
            <w:hideMark/>
          </w:tcPr>
          <w:p w14:paraId="3E3BDE0D"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RBR</w:t>
            </w:r>
          </w:p>
          <w:p w14:paraId="19C26BE5" w14:textId="77777777" w:rsidR="00AC1675" w:rsidRPr="00E14448" w:rsidRDefault="00AC1675" w:rsidP="0095418F">
            <w:pPr>
              <w:spacing w:after="0" w:line="240" w:lineRule="auto"/>
              <w:jc w:val="center"/>
              <w:rPr>
                <w:rFonts w:ascii="Garamond" w:eastAsia="Times New Roman" w:hAnsi="Garamond" w:cs="Times New Roman"/>
                <w:sz w:val="16"/>
                <w:szCs w:val="16"/>
              </w:rPr>
            </w:pPr>
            <w:r w:rsidRPr="00E14448">
              <w:rPr>
                <w:rFonts w:ascii="Garamond" w:eastAsia="Times New Roman" w:hAnsi="Garamond" w:cs="Times New Roman"/>
                <w:sz w:val="16"/>
                <w:szCs w:val="16"/>
              </w:rPr>
              <w:t>Relative Burn Ratio</w:t>
            </w:r>
          </w:p>
        </w:tc>
        <w:tc>
          <w:tcPr>
            <w:tcW w:w="3003" w:type="dxa"/>
          </w:tcPr>
          <w:p w14:paraId="52B1FB7E" w14:textId="77777777" w:rsidR="00AC1675" w:rsidRPr="00E14448" w:rsidRDefault="005A2817" w:rsidP="0095418F">
            <w:pPr>
              <w:spacing w:before="240" w:line="240" w:lineRule="auto"/>
              <w:rPr>
                <w:rFonts w:ascii="Garamond" w:eastAsia="Times New Roman" w:hAnsi="Garamond" w:cs="Times New Roman"/>
                <w:sz w:val="20"/>
                <w:szCs w:val="20"/>
              </w:rPr>
            </w:pPr>
            <m:oMathPara>
              <m:oMath>
                <m:f>
                  <m:fPr>
                    <m:ctrlPr>
                      <w:rPr>
                        <w:rFonts w:ascii="Cambria Math" w:eastAsia="Garamond" w:hAnsi="Cambria Math" w:cs="Garamond"/>
                        <w:sz w:val="16"/>
                        <w:szCs w:val="16"/>
                      </w:rPr>
                    </m:ctrlPr>
                  </m:fPr>
                  <m:num>
                    <m:r>
                      <w:rPr>
                        <w:rFonts w:ascii="Cambria Math" w:eastAsia="Garamond" w:hAnsi="Cambria Math" w:cs="Garamond"/>
                        <w:sz w:val="16"/>
                        <w:szCs w:val="16"/>
                      </w:rPr>
                      <m:t>dNBR</m:t>
                    </m:r>
                  </m:num>
                  <m:den>
                    <m:sSub>
                      <m:sSubPr>
                        <m:ctrlPr>
                          <w:rPr>
                            <w:rFonts w:ascii="Cambria Math" w:eastAsia="Garamond" w:hAnsi="Cambria Math" w:cs="Garamond"/>
                            <w:i/>
                            <w:sz w:val="16"/>
                            <w:szCs w:val="16"/>
                          </w:rPr>
                        </m:ctrlPr>
                      </m:sSubPr>
                      <m:e>
                        <m:r>
                          <w:rPr>
                            <w:rFonts w:ascii="Cambria Math" w:eastAsia="Garamond" w:hAnsi="Cambria Math" w:cs="Garamond"/>
                            <w:sz w:val="16"/>
                            <w:szCs w:val="16"/>
                          </w:rPr>
                          <m:t>NBR</m:t>
                        </m:r>
                      </m:e>
                      <m:sub>
                        <m:r>
                          <w:rPr>
                            <w:rFonts w:ascii="Cambria Math" w:eastAsia="Garamond" w:hAnsi="Cambria Math" w:cs="Garamond"/>
                            <w:sz w:val="16"/>
                            <w:szCs w:val="16"/>
                          </w:rPr>
                          <m:t>Prefire</m:t>
                        </m:r>
                      </m:sub>
                    </m:sSub>
                    <m:r>
                      <w:rPr>
                        <w:rFonts w:ascii="Cambria Math" w:eastAsia="Garamond" w:hAnsi="Cambria Math" w:cs="Garamond"/>
                        <w:sz w:val="16"/>
                        <w:szCs w:val="16"/>
                      </w:rPr>
                      <m:t>+1.001</m:t>
                    </m:r>
                  </m:den>
                </m:f>
              </m:oMath>
            </m:oMathPara>
          </w:p>
        </w:tc>
        <w:tc>
          <w:tcPr>
            <w:tcW w:w="3003" w:type="dxa"/>
            <w:vAlign w:val="center"/>
          </w:tcPr>
          <w:p w14:paraId="1109FFAC" w14:textId="77777777" w:rsidR="00AC1675" w:rsidRDefault="00AC1675" w:rsidP="0095418F">
            <w:pPr>
              <w:spacing w:line="240" w:lineRule="auto"/>
              <w:jc w:val="center"/>
            </w:pPr>
            <w:r w:rsidRPr="2E732A24">
              <w:rPr>
                <w:rFonts w:ascii="Garamond" w:eastAsia="Garamond" w:hAnsi="Garamond" w:cs="Garamond"/>
              </w:rPr>
              <w:t>Parks et al., 2014</w:t>
            </w:r>
          </w:p>
        </w:tc>
      </w:tr>
      <w:tr w:rsidR="00AC1675" w:rsidRPr="00E14448" w14:paraId="7DC26CFA" w14:textId="77777777" w:rsidTr="0095418F">
        <w:trPr>
          <w:trHeight w:val="197"/>
        </w:trPr>
        <w:tc>
          <w:tcPr>
            <w:tcW w:w="2071" w:type="dxa"/>
            <w:shd w:val="clear" w:color="auto" w:fill="FFFFFF" w:themeFill="background1"/>
            <w:vAlign w:val="center"/>
            <w:hideMark/>
          </w:tcPr>
          <w:p w14:paraId="3040E66C"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RdNBR</w:t>
            </w:r>
          </w:p>
          <w:p w14:paraId="44D481A5" w14:textId="77777777" w:rsidR="00AC1675" w:rsidRPr="00E14448" w:rsidRDefault="00AC1675" w:rsidP="0095418F">
            <w:pPr>
              <w:spacing w:after="0" w:line="240" w:lineRule="auto"/>
              <w:jc w:val="center"/>
              <w:rPr>
                <w:rFonts w:ascii="Garamond" w:eastAsia="Times New Roman" w:hAnsi="Garamond" w:cs="Times New Roman"/>
                <w:sz w:val="16"/>
                <w:szCs w:val="16"/>
              </w:rPr>
            </w:pPr>
            <w:r w:rsidRPr="00E14448">
              <w:rPr>
                <w:rFonts w:ascii="Garamond" w:eastAsia="Times New Roman" w:hAnsi="Garamond" w:cs="Times New Roman"/>
                <w:sz w:val="16"/>
                <w:szCs w:val="16"/>
              </w:rPr>
              <w:t>Relative Delta NBR</w:t>
            </w:r>
          </w:p>
        </w:tc>
        <w:tc>
          <w:tcPr>
            <w:tcW w:w="3003" w:type="dxa"/>
          </w:tcPr>
          <w:p w14:paraId="277E6A90" w14:textId="77777777" w:rsidR="00AC1675" w:rsidRPr="00E14448" w:rsidRDefault="005A2817" w:rsidP="0095418F">
            <w:pPr>
              <w:spacing w:before="240" w:line="240" w:lineRule="auto"/>
              <w:rPr>
                <w:rFonts w:ascii="Garamond" w:eastAsia="Times New Roman" w:hAnsi="Garamond" w:cs="Times New Roman"/>
                <w:sz w:val="20"/>
                <w:szCs w:val="20"/>
              </w:rPr>
            </w:pPr>
            <m:oMathPara>
              <m:oMath>
                <m:f>
                  <m:fPr>
                    <m:ctrlPr>
                      <w:rPr>
                        <w:rFonts w:ascii="Cambria Math" w:eastAsia="Garamond" w:hAnsi="Cambria Math" w:cs="Garamond"/>
                        <w:sz w:val="16"/>
                        <w:szCs w:val="16"/>
                      </w:rPr>
                    </m:ctrlPr>
                  </m:fPr>
                  <m:num>
                    <m:r>
                      <w:rPr>
                        <w:rFonts w:ascii="Cambria Math" w:eastAsia="Garamond" w:hAnsi="Cambria Math" w:cs="Garamond"/>
                        <w:sz w:val="16"/>
                        <w:szCs w:val="16"/>
                      </w:rPr>
                      <m:t>dNBR</m:t>
                    </m:r>
                  </m:num>
                  <m:den>
                    <m:sSup>
                      <m:sSupPr>
                        <m:ctrlPr>
                          <w:rPr>
                            <w:rFonts w:ascii="Cambria Math" w:eastAsia="Garamond" w:hAnsi="Cambria Math" w:cs="Garamond"/>
                            <w:i/>
                            <w:sz w:val="16"/>
                            <w:szCs w:val="16"/>
                          </w:rPr>
                        </m:ctrlPr>
                      </m:sSupPr>
                      <m:e>
                        <m:r>
                          <w:rPr>
                            <w:rFonts w:ascii="Cambria Math" w:eastAsia="Garamond" w:hAnsi="Cambria Math" w:cs="Garamond"/>
                            <w:sz w:val="16"/>
                            <w:szCs w:val="16"/>
                          </w:rPr>
                          <m:t>|</m:t>
                        </m:r>
                        <m:sSub>
                          <m:sSubPr>
                            <m:ctrlPr>
                              <w:rPr>
                                <w:rFonts w:ascii="Cambria Math" w:eastAsia="Garamond" w:hAnsi="Cambria Math" w:cs="Garamond"/>
                                <w:i/>
                                <w:sz w:val="16"/>
                                <w:szCs w:val="16"/>
                              </w:rPr>
                            </m:ctrlPr>
                          </m:sSubPr>
                          <m:e>
                            <m:r>
                              <w:rPr>
                                <w:rFonts w:ascii="Cambria Math" w:eastAsia="Garamond" w:hAnsi="Cambria Math" w:cs="Garamond"/>
                                <w:sz w:val="16"/>
                                <w:szCs w:val="16"/>
                              </w:rPr>
                              <m:t>NBR</m:t>
                            </m:r>
                          </m:e>
                          <m:sub>
                            <m:r>
                              <w:rPr>
                                <w:rFonts w:ascii="Cambria Math" w:eastAsia="Garamond" w:hAnsi="Cambria Math" w:cs="Garamond"/>
                                <w:sz w:val="16"/>
                                <w:szCs w:val="16"/>
                              </w:rPr>
                              <m:t>Prefire</m:t>
                            </m:r>
                          </m:sub>
                        </m:sSub>
                        <m:r>
                          <w:rPr>
                            <w:rFonts w:ascii="Cambria Math" w:eastAsia="Garamond" w:hAnsi="Cambria Math" w:cs="Garamond"/>
                            <w:sz w:val="16"/>
                            <w:szCs w:val="16"/>
                          </w:rPr>
                          <m:t>|</m:t>
                        </m:r>
                      </m:e>
                      <m:sup>
                        <m:r>
                          <w:rPr>
                            <w:rFonts w:ascii="Cambria Math" w:eastAsia="Garamond" w:hAnsi="Cambria Math" w:cs="Garamond"/>
                            <w:sz w:val="16"/>
                            <w:szCs w:val="16"/>
                          </w:rPr>
                          <m:t>0.5</m:t>
                        </m:r>
                      </m:sup>
                    </m:sSup>
                  </m:den>
                </m:f>
              </m:oMath>
            </m:oMathPara>
          </w:p>
        </w:tc>
        <w:tc>
          <w:tcPr>
            <w:tcW w:w="3003" w:type="dxa"/>
            <w:vAlign w:val="center"/>
          </w:tcPr>
          <w:p w14:paraId="37CAE510" w14:textId="77777777" w:rsidR="00AC1675" w:rsidRDefault="00AC1675" w:rsidP="0095418F">
            <w:pPr>
              <w:spacing w:line="240" w:lineRule="auto"/>
              <w:jc w:val="center"/>
            </w:pPr>
            <w:r w:rsidRPr="2E732A24">
              <w:rPr>
                <w:rFonts w:ascii="Garamond" w:eastAsia="Garamond" w:hAnsi="Garamond" w:cs="Garamond"/>
              </w:rPr>
              <w:t>Miller &amp; Thode, 2007</w:t>
            </w:r>
          </w:p>
        </w:tc>
      </w:tr>
      <w:tr w:rsidR="00AC1675" w:rsidRPr="00E14448" w14:paraId="35546566" w14:textId="77777777" w:rsidTr="0095418F">
        <w:trPr>
          <w:trHeight w:val="626"/>
        </w:trPr>
        <w:tc>
          <w:tcPr>
            <w:tcW w:w="2071" w:type="dxa"/>
            <w:shd w:val="clear" w:color="auto" w:fill="FFFFFF" w:themeFill="background1"/>
            <w:vAlign w:val="center"/>
            <w:hideMark/>
          </w:tcPr>
          <w:p w14:paraId="26DBAEAE"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TCB</w:t>
            </w:r>
          </w:p>
          <w:p w14:paraId="54C9066D"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Garamond" w:hAnsi="Garamond" w:cs="Garamond"/>
                <w:sz w:val="16"/>
                <w:szCs w:val="16"/>
              </w:rPr>
              <w:t>Tasseled Cap Brightness</w:t>
            </w:r>
          </w:p>
        </w:tc>
        <w:tc>
          <w:tcPr>
            <w:tcW w:w="3003" w:type="dxa"/>
          </w:tcPr>
          <w:p w14:paraId="3F086CCC" w14:textId="77777777" w:rsidR="00AC1675" w:rsidRPr="00E14448" w:rsidRDefault="00AC1675" w:rsidP="0095418F">
            <w:pPr>
              <w:spacing w:before="240" w:line="240" w:lineRule="auto"/>
              <w:rPr>
                <w:rFonts w:ascii="Garamond" w:eastAsia="Times New Roman" w:hAnsi="Garamond" w:cs="Times New Roman"/>
                <w:sz w:val="20"/>
                <w:szCs w:val="20"/>
              </w:rPr>
            </w:pPr>
            <m:oMathPara>
              <m:oMathParaPr>
                <m:jc m:val="left"/>
              </m:oMathParaPr>
              <m:oMath>
                <m:r>
                  <w:rPr>
                    <w:rFonts w:ascii="Cambria Math" w:eastAsia="Cambria Math" w:hAnsi="Cambria Math" w:cs="Cambria Math"/>
                    <w:sz w:val="16"/>
                    <w:szCs w:val="16"/>
                  </w:rPr>
                  <m:t>0.3037(BLUE)+0.2793(GREEN)+0.4743(RED)+0.5585(NIR)+0.5082(SWIR1)+0.183(SWIR2)</m:t>
                </m:r>
              </m:oMath>
            </m:oMathPara>
          </w:p>
        </w:tc>
        <w:tc>
          <w:tcPr>
            <w:tcW w:w="3003" w:type="dxa"/>
            <w:vAlign w:val="center"/>
          </w:tcPr>
          <w:p w14:paraId="4142A8D9" w14:textId="77777777" w:rsidR="00AC1675" w:rsidRDefault="00AC1675" w:rsidP="0095418F">
            <w:pPr>
              <w:spacing w:line="240" w:lineRule="auto"/>
              <w:jc w:val="center"/>
              <w:rPr>
                <w:rFonts w:ascii="Garamond" w:hAnsi="Garamond" w:cs="Arial"/>
                <w:i/>
                <w:color w:val="000000" w:themeColor="text1"/>
              </w:rPr>
            </w:pPr>
            <w:r w:rsidRPr="2697D0D2">
              <w:rPr>
                <w:rFonts w:ascii="Garamond" w:hAnsi="Garamond"/>
              </w:rPr>
              <w:t>Crist et al., 1986</w:t>
            </w:r>
          </w:p>
        </w:tc>
      </w:tr>
      <w:tr w:rsidR="00AC1675" w:rsidRPr="00E14448" w14:paraId="61755920" w14:textId="77777777" w:rsidTr="0095418F">
        <w:trPr>
          <w:trHeight w:val="197"/>
        </w:trPr>
        <w:tc>
          <w:tcPr>
            <w:tcW w:w="2071" w:type="dxa"/>
            <w:shd w:val="clear" w:color="auto" w:fill="FFFFFF" w:themeFill="background1"/>
            <w:vAlign w:val="center"/>
            <w:hideMark/>
          </w:tcPr>
          <w:p w14:paraId="01C2C85C"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TCG</w:t>
            </w:r>
          </w:p>
          <w:p w14:paraId="288D1DC8"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Garamond" w:hAnsi="Garamond" w:cs="Garamond"/>
                <w:sz w:val="16"/>
                <w:szCs w:val="16"/>
              </w:rPr>
              <w:t>Tasseled Cap Greenness</w:t>
            </w:r>
          </w:p>
        </w:tc>
        <w:tc>
          <w:tcPr>
            <w:tcW w:w="3003" w:type="dxa"/>
          </w:tcPr>
          <w:p w14:paraId="48BC4984" w14:textId="77777777" w:rsidR="00AC1675" w:rsidRPr="00E14448" w:rsidRDefault="00AC1675" w:rsidP="0095418F">
            <w:pPr>
              <w:spacing w:before="240" w:line="240" w:lineRule="auto"/>
              <w:rPr>
                <w:rFonts w:ascii="Garamond" w:eastAsia="Times New Roman" w:hAnsi="Garamond" w:cs="Times New Roman"/>
                <w:sz w:val="20"/>
                <w:szCs w:val="20"/>
              </w:rPr>
            </w:pPr>
            <m:oMathPara>
              <m:oMath>
                <m:r>
                  <w:rPr>
                    <w:rFonts w:ascii="Cambria Math" w:eastAsia="Cambria Math" w:hAnsi="Cambria Math" w:cs="Cambria Math"/>
                    <w:sz w:val="16"/>
                    <w:szCs w:val="16"/>
                  </w:rPr>
                  <m:t>-0.2848(BLUE)- 0.2435(GREEN)-0.5436(RED)+0.7243(NIR)+0.0840(SWIR1)-0.1800(SWIR2)</m:t>
                </m:r>
              </m:oMath>
            </m:oMathPara>
          </w:p>
        </w:tc>
        <w:tc>
          <w:tcPr>
            <w:tcW w:w="3003" w:type="dxa"/>
            <w:vAlign w:val="center"/>
          </w:tcPr>
          <w:p w14:paraId="7A5D1ED9" w14:textId="77777777" w:rsidR="00AC1675" w:rsidRDefault="00AC1675" w:rsidP="0095418F">
            <w:pPr>
              <w:spacing w:line="240" w:lineRule="auto"/>
              <w:jc w:val="center"/>
              <w:rPr>
                <w:rFonts w:ascii="Garamond" w:hAnsi="Garamond" w:cs="Arial"/>
                <w:i/>
                <w:color w:val="000000" w:themeColor="text1"/>
              </w:rPr>
            </w:pPr>
            <w:r w:rsidRPr="620988F1">
              <w:rPr>
                <w:rFonts w:ascii="Garamond" w:hAnsi="Garamond"/>
              </w:rPr>
              <w:t>Crist et al., 1986</w:t>
            </w:r>
          </w:p>
        </w:tc>
      </w:tr>
      <w:tr w:rsidR="00AC1675" w:rsidRPr="00E14448" w14:paraId="1FDD057B" w14:textId="77777777" w:rsidTr="0095418F">
        <w:trPr>
          <w:trHeight w:val="197"/>
        </w:trPr>
        <w:tc>
          <w:tcPr>
            <w:tcW w:w="2071" w:type="dxa"/>
            <w:shd w:val="clear" w:color="auto" w:fill="FFFFFF" w:themeFill="background1"/>
            <w:vAlign w:val="center"/>
            <w:hideMark/>
          </w:tcPr>
          <w:p w14:paraId="6DE908D9"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Times New Roman" w:hAnsi="Garamond" w:cs="Times New Roman"/>
                <w:sz w:val="20"/>
                <w:szCs w:val="20"/>
              </w:rPr>
              <w:t>TSW</w:t>
            </w:r>
          </w:p>
          <w:p w14:paraId="20056013" w14:textId="77777777" w:rsidR="00AC1675" w:rsidRPr="00E14448" w:rsidRDefault="00AC1675" w:rsidP="0095418F">
            <w:pPr>
              <w:spacing w:after="0" w:line="240" w:lineRule="auto"/>
              <w:jc w:val="center"/>
              <w:rPr>
                <w:rFonts w:ascii="Garamond" w:eastAsia="Times New Roman" w:hAnsi="Garamond" w:cs="Times New Roman"/>
                <w:sz w:val="20"/>
                <w:szCs w:val="20"/>
              </w:rPr>
            </w:pPr>
            <w:r w:rsidRPr="00E14448">
              <w:rPr>
                <w:rFonts w:ascii="Garamond" w:eastAsia="Garamond" w:hAnsi="Garamond" w:cs="Garamond"/>
                <w:sz w:val="16"/>
                <w:szCs w:val="16"/>
              </w:rPr>
              <w:t>Tasseled Cap Wetness</w:t>
            </w:r>
          </w:p>
        </w:tc>
        <w:tc>
          <w:tcPr>
            <w:tcW w:w="3003" w:type="dxa"/>
          </w:tcPr>
          <w:p w14:paraId="09437A78" w14:textId="77777777" w:rsidR="00AC1675" w:rsidRPr="00E14448" w:rsidRDefault="00AC1675" w:rsidP="0095418F">
            <w:pPr>
              <w:spacing w:before="240" w:line="240" w:lineRule="auto"/>
              <w:rPr>
                <w:rFonts w:ascii="Garamond" w:eastAsia="Times New Roman" w:hAnsi="Garamond" w:cs="Times New Roman"/>
                <w:sz w:val="20"/>
                <w:szCs w:val="20"/>
              </w:rPr>
            </w:pPr>
            <m:oMathPara>
              <m:oMath>
                <m:r>
                  <w:rPr>
                    <w:rFonts w:ascii="Cambria Math" w:eastAsia="Cambria Math" w:hAnsi="Cambria Math" w:cs="Cambria Math"/>
                    <w:color w:val="000000"/>
                    <w:sz w:val="16"/>
                    <w:szCs w:val="16"/>
                  </w:rPr>
                  <m:t>0.1509(BLUE)+0.1973(GREEN)+0.3279(RED)+0.3406(NIR)-0.7112(SWIR1)-0.4572(SWIR2)</m:t>
                </m:r>
              </m:oMath>
            </m:oMathPara>
          </w:p>
        </w:tc>
        <w:tc>
          <w:tcPr>
            <w:tcW w:w="3003" w:type="dxa"/>
            <w:vAlign w:val="center"/>
          </w:tcPr>
          <w:p w14:paraId="7CBDFE98" w14:textId="77777777" w:rsidR="00AC1675" w:rsidRDefault="00AC1675" w:rsidP="0095418F">
            <w:pPr>
              <w:spacing w:line="240" w:lineRule="auto"/>
              <w:jc w:val="center"/>
              <w:rPr>
                <w:rFonts w:ascii="Garamond" w:hAnsi="Garamond" w:cs="Arial"/>
                <w:i/>
                <w:color w:val="000000" w:themeColor="text1"/>
              </w:rPr>
            </w:pPr>
            <w:r w:rsidRPr="620988F1">
              <w:rPr>
                <w:rFonts w:ascii="Garamond" w:hAnsi="Garamond"/>
              </w:rPr>
              <w:t>Crist et al., 1986</w:t>
            </w:r>
          </w:p>
        </w:tc>
      </w:tr>
    </w:tbl>
    <w:p w14:paraId="5C092A8B" w14:textId="77777777" w:rsidR="00AC1675" w:rsidRPr="00AC1675" w:rsidRDefault="00AC1675" w:rsidP="00AC1675">
      <w:pPr>
        <w:pStyle w:val="NoSpacing"/>
        <w:rPr>
          <w:rFonts w:ascii="Garamond" w:eastAsia="Garamond" w:hAnsi="Garamond" w:cs="Garamond"/>
        </w:rPr>
      </w:pPr>
    </w:p>
    <w:sectPr w:rsidR="00AC1675" w:rsidRPr="00AC1675" w:rsidSect="0064280B">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49675" w14:textId="77777777" w:rsidR="005A2817" w:rsidRDefault="005A2817" w:rsidP="00242822">
      <w:pPr>
        <w:spacing w:after="0" w:line="240" w:lineRule="auto"/>
      </w:pPr>
      <w:r>
        <w:separator/>
      </w:r>
    </w:p>
  </w:endnote>
  <w:endnote w:type="continuationSeparator" w:id="0">
    <w:p w14:paraId="5F0CB9E2" w14:textId="77777777" w:rsidR="005A2817" w:rsidRDefault="005A281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Helvetica Neue">
    <w:altName w:val="Sylfaen"/>
    <w:panose1 w:val="00000000000000000000"/>
    <w:charset w:val="00"/>
    <w:family w:val="auto"/>
    <w:notTrueType/>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0CC7F" w14:textId="77777777" w:rsidR="005A2817" w:rsidRDefault="005A2817" w:rsidP="00242822">
      <w:pPr>
        <w:spacing w:after="0" w:line="240" w:lineRule="auto"/>
      </w:pPr>
      <w:r>
        <w:separator/>
      </w:r>
    </w:p>
  </w:footnote>
  <w:footnote w:type="continuationSeparator" w:id="0">
    <w:p w14:paraId="3F81A158" w14:textId="77777777" w:rsidR="005A2817" w:rsidRDefault="005A2817"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FC6B879" w:rsidR="000B6E68" w:rsidRPr="000B6E68" w:rsidRDefault="0077554A" w:rsidP="00552C75">
    <w:pPr>
      <w:spacing w:after="0" w:line="240" w:lineRule="auto"/>
      <w:jc w:val="right"/>
      <w:rPr>
        <w:rFonts w:ascii="Garamond" w:hAnsi="Garamond"/>
        <w:b/>
        <w:sz w:val="32"/>
        <w:szCs w:val="32"/>
      </w:rPr>
    </w:pPr>
    <w:r w:rsidRPr="00AC1675">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AC1675" w:rsidRPr="00AC1675">
      <w:rPr>
        <w:rFonts w:ascii="Garamond" w:hAnsi="Garamond"/>
        <w:b/>
        <w:bCs/>
        <w:sz w:val="32"/>
        <w:szCs w:val="32"/>
      </w:rPr>
      <w:t>Colorado</w:t>
    </w:r>
    <w:r w:rsidR="57EE2634" w:rsidRPr="00AC1675">
      <w:rPr>
        <w:rFonts w:ascii="Garamond" w:hAnsi="Garamond"/>
        <w:b/>
        <w:bCs/>
        <w:sz w:val="32"/>
        <w:szCs w:val="32"/>
      </w:rPr>
      <w:t xml:space="preserve"> – </w:t>
    </w:r>
    <w:r w:rsidR="00AC1675" w:rsidRPr="00AC1675">
      <w:rPr>
        <w:rFonts w:ascii="Garamond" w:hAnsi="Garamond"/>
        <w:b/>
        <w:bCs/>
        <w:sz w:val="32"/>
        <w:szCs w:val="32"/>
      </w:rPr>
      <w:t>Fort Collins</w:t>
    </w:r>
  </w:p>
  <w:p w14:paraId="77B49D9A" w14:textId="729AC224"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FD2B86">
      <w:rPr>
        <w:rFonts w:ascii="Garamond" w:hAnsi="Garamond"/>
        <w:i/>
        <w:sz w:val="32"/>
        <w:szCs w:val="32"/>
      </w:rPr>
      <w:t>Fall</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4A39"/>
    <w:rsid w:val="00014DAF"/>
    <w:rsid w:val="00030B13"/>
    <w:rsid w:val="000328E4"/>
    <w:rsid w:val="00040AE0"/>
    <w:rsid w:val="000456D3"/>
    <w:rsid w:val="000501ED"/>
    <w:rsid w:val="00054474"/>
    <w:rsid w:val="00054A1A"/>
    <w:rsid w:val="00076656"/>
    <w:rsid w:val="000801F4"/>
    <w:rsid w:val="00086B7E"/>
    <w:rsid w:val="00096016"/>
    <w:rsid w:val="000B3F87"/>
    <w:rsid w:val="000B6E68"/>
    <w:rsid w:val="000C58B8"/>
    <w:rsid w:val="000D5104"/>
    <w:rsid w:val="000D6939"/>
    <w:rsid w:val="000D79AC"/>
    <w:rsid w:val="000F1545"/>
    <w:rsid w:val="000F1EE7"/>
    <w:rsid w:val="000F2ADA"/>
    <w:rsid w:val="00101280"/>
    <w:rsid w:val="00106FD6"/>
    <w:rsid w:val="001277EC"/>
    <w:rsid w:val="0014039E"/>
    <w:rsid w:val="0014286F"/>
    <w:rsid w:val="00145FA8"/>
    <w:rsid w:val="0015019B"/>
    <w:rsid w:val="001556CC"/>
    <w:rsid w:val="00163111"/>
    <w:rsid w:val="00163EFB"/>
    <w:rsid w:val="00171796"/>
    <w:rsid w:val="00173976"/>
    <w:rsid w:val="001821EB"/>
    <w:rsid w:val="00194FE1"/>
    <w:rsid w:val="00195D23"/>
    <w:rsid w:val="001A67C2"/>
    <w:rsid w:val="001E158F"/>
    <w:rsid w:val="001F1328"/>
    <w:rsid w:val="001F2623"/>
    <w:rsid w:val="00206AB6"/>
    <w:rsid w:val="0022176E"/>
    <w:rsid w:val="00221CE5"/>
    <w:rsid w:val="00234F37"/>
    <w:rsid w:val="0023574D"/>
    <w:rsid w:val="00242822"/>
    <w:rsid w:val="002539A7"/>
    <w:rsid w:val="00265D20"/>
    <w:rsid w:val="0029214C"/>
    <w:rsid w:val="002938C6"/>
    <w:rsid w:val="00293F47"/>
    <w:rsid w:val="002A2D97"/>
    <w:rsid w:val="002A37F8"/>
    <w:rsid w:val="002B1159"/>
    <w:rsid w:val="002B2BE4"/>
    <w:rsid w:val="002C28E6"/>
    <w:rsid w:val="002C4C2E"/>
    <w:rsid w:val="002D5DCD"/>
    <w:rsid w:val="002D5F9B"/>
    <w:rsid w:val="002D6167"/>
    <w:rsid w:val="002E2A19"/>
    <w:rsid w:val="002F204B"/>
    <w:rsid w:val="00302055"/>
    <w:rsid w:val="00307D86"/>
    <w:rsid w:val="00313805"/>
    <w:rsid w:val="0035532B"/>
    <w:rsid w:val="00366BA2"/>
    <w:rsid w:val="003A6D33"/>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C4352"/>
    <w:rsid w:val="004D19D3"/>
    <w:rsid w:val="004D7212"/>
    <w:rsid w:val="004D75BF"/>
    <w:rsid w:val="004D75CF"/>
    <w:rsid w:val="004E5F2A"/>
    <w:rsid w:val="004E726C"/>
    <w:rsid w:val="004E730A"/>
    <w:rsid w:val="004F3873"/>
    <w:rsid w:val="0050159F"/>
    <w:rsid w:val="00511D82"/>
    <w:rsid w:val="00524715"/>
    <w:rsid w:val="005411A5"/>
    <w:rsid w:val="005418C9"/>
    <w:rsid w:val="005447A6"/>
    <w:rsid w:val="0055005F"/>
    <w:rsid w:val="00552C75"/>
    <w:rsid w:val="0056152E"/>
    <w:rsid w:val="00561C9E"/>
    <w:rsid w:val="00571F90"/>
    <w:rsid w:val="00583B86"/>
    <w:rsid w:val="00591EAC"/>
    <w:rsid w:val="005974B9"/>
    <w:rsid w:val="005A2817"/>
    <w:rsid w:val="005A457F"/>
    <w:rsid w:val="005A5711"/>
    <w:rsid w:val="005A78B0"/>
    <w:rsid w:val="005B6AE3"/>
    <w:rsid w:val="005C723F"/>
    <w:rsid w:val="005D5E63"/>
    <w:rsid w:val="005E05DF"/>
    <w:rsid w:val="005E75E3"/>
    <w:rsid w:val="005F6188"/>
    <w:rsid w:val="005F6AD4"/>
    <w:rsid w:val="006043FF"/>
    <w:rsid w:val="00611ACB"/>
    <w:rsid w:val="00615E3A"/>
    <w:rsid w:val="00621AB9"/>
    <w:rsid w:val="00624E1E"/>
    <w:rsid w:val="0063420A"/>
    <w:rsid w:val="006368EC"/>
    <w:rsid w:val="0064280B"/>
    <w:rsid w:val="006528A0"/>
    <w:rsid w:val="0066075C"/>
    <w:rsid w:val="0066138C"/>
    <w:rsid w:val="0066727D"/>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2613C"/>
    <w:rsid w:val="00732B10"/>
    <w:rsid w:val="00753B16"/>
    <w:rsid w:val="007566D3"/>
    <w:rsid w:val="00756C0F"/>
    <w:rsid w:val="00770650"/>
    <w:rsid w:val="00771691"/>
    <w:rsid w:val="0077554A"/>
    <w:rsid w:val="007775D4"/>
    <w:rsid w:val="00781908"/>
    <w:rsid w:val="007847D3"/>
    <w:rsid w:val="00793FBF"/>
    <w:rsid w:val="007A20DC"/>
    <w:rsid w:val="007C1AEA"/>
    <w:rsid w:val="007D0214"/>
    <w:rsid w:val="007E508C"/>
    <w:rsid w:val="007E68B5"/>
    <w:rsid w:val="007E7C44"/>
    <w:rsid w:val="007F5769"/>
    <w:rsid w:val="007F6093"/>
    <w:rsid w:val="0081261B"/>
    <w:rsid w:val="0082104E"/>
    <w:rsid w:val="00824CC4"/>
    <w:rsid w:val="00832B48"/>
    <w:rsid w:val="0083391E"/>
    <w:rsid w:val="008444E8"/>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5453"/>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C10DA"/>
    <w:rsid w:val="009D6888"/>
    <w:rsid w:val="009E13E2"/>
    <w:rsid w:val="009F5966"/>
    <w:rsid w:val="009F5B6F"/>
    <w:rsid w:val="009F60A9"/>
    <w:rsid w:val="00A0128A"/>
    <w:rsid w:val="00A11DB7"/>
    <w:rsid w:val="00A12C21"/>
    <w:rsid w:val="00A212CE"/>
    <w:rsid w:val="00A2773A"/>
    <w:rsid w:val="00A402E2"/>
    <w:rsid w:val="00A43059"/>
    <w:rsid w:val="00A44FFF"/>
    <w:rsid w:val="00A45D20"/>
    <w:rsid w:val="00A462A1"/>
    <w:rsid w:val="00A542DA"/>
    <w:rsid w:val="00A571A1"/>
    <w:rsid w:val="00A60645"/>
    <w:rsid w:val="00A715D8"/>
    <w:rsid w:val="00A774D7"/>
    <w:rsid w:val="00A84352"/>
    <w:rsid w:val="00A94687"/>
    <w:rsid w:val="00A95E7B"/>
    <w:rsid w:val="00AA4C5F"/>
    <w:rsid w:val="00AA7B61"/>
    <w:rsid w:val="00AB12D0"/>
    <w:rsid w:val="00AC1675"/>
    <w:rsid w:val="00AD5D0D"/>
    <w:rsid w:val="00AD6E52"/>
    <w:rsid w:val="00AF73E3"/>
    <w:rsid w:val="00B00BCB"/>
    <w:rsid w:val="00B07E78"/>
    <w:rsid w:val="00B173A5"/>
    <w:rsid w:val="00B1778F"/>
    <w:rsid w:val="00B17AB7"/>
    <w:rsid w:val="00B2307C"/>
    <w:rsid w:val="00B24E61"/>
    <w:rsid w:val="00B265D9"/>
    <w:rsid w:val="00B273B8"/>
    <w:rsid w:val="00B3322E"/>
    <w:rsid w:val="00B35B60"/>
    <w:rsid w:val="00B365F0"/>
    <w:rsid w:val="00B468A3"/>
    <w:rsid w:val="00B564AC"/>
    <w:rsid w:val="00B64CCF"/>
    <w:rsid w:val="00B7705E"/>
    <w:rsid w:val="00B8577D"/>
    <w:rsid w:val="00B96D24"/>
    <w:rsid w:val="00BA41F7"/>
    <w:rsid w:val="00BA7E76"/>
    <w:rsid w:val="00BB1B7B"/>
    <w:rsid w:val="00BB78A4"/>
    <w:rsid w:val="00BC113C"/>
    <w:rsid w:val="00BC47BB"/>
    <w:rsid w:val="00BC5578"/>
    <w:rsid w:val="00BD1A87"/>
    <w:rsid w:val="00BD38D8"/>
    <w:rsid w:val="00BF2838"/>
    <w:rsid w:val="00C15E9C"/>
    <w:rsid w:val="00C3045C"/>
    <w:rsid w:val="00C46DF0"/>
    <w:rsid w:val="00C50F66"/>
    <w:rsid w:val="00C53F96"/>
    <w:rsid w:val="00C607B0"/>
    <w:rsid w:val="00C60F7D"/>
    <w:rsid w:val="00C82473"/>
    <w:rsid w:val="00C86E0B"/>
    <w:rsid w:val="00CB0C33"/>
    <w:rsid w:val="00CB1C0F"/>
    <w:rsid w:val="00CB7AFE"/>
    <w:rsid w:val="00CC6A0E"/>
    <w:rsid w:val="00CD092A"/>
    <w:rsid w:val="00CE7909"/>
    <w:rsid w:val="00CE7FDD"/>
    <w:rsid w:val="00CF17F8"/>
    <w:rsid w:val="00CF6083"/>
    <w:rsid w:val="00D1374C"/>
    <w:rsid w:val="00D15940"/>
    <w:rsid w:val="00D3013B"/>
    <w:rsid w:val="00D37248"/>
    <w:rsid w:val="00D41203"/>
    <w:rsid w:val="00D41B46"/>
    <w:rsid w:val="00D523CD"/>
    <w:rsid w:val="00D5524C"/>
    <w:rsid w:val="00D61206"/>
    <w:rsid w:val="00D7644D"/>
    <w:rsid w:val="00D94371"/>
    <w:rsid w:val="00DA5145"/>
    <w:rsid w:val="00DA6C24"/>
    <w:rsid w:val="00DA7B77"/>
    <w:rsid w:val="00DA7F96"/>
    <w:rsid w:val="00DB15B2"/>
    <w:rsid w:val="00DB17D1"/>
    <w:rsid w:val="00DC52E2"/>
    <w:rsid w:val="00DD3D2E"/>
    <w:rsid w:val="00DE048E"/>
    <w:rsid w:val="00E00E6B"/>
    <w:rsid w:val="00E02B08"/>
    <w:rsid w:val="00E03B8E"/>
    <w:rsid w:val="00E139E4"/>
    <w:rsid w:val="00E16257"/>
    <w:rsid w:val="00E40B9D"/>
    <w:rsid w:val="00E41324"/>
    <w:rsid w:val="00E43BB7"/>
    <w:rsid w:val="00E578D6"/>
    <w:rsid w:val="00E6105B"/>
    <w:rsid w:val="00E64FEA"/>
    <w:rsid w:val="00E6673E"/>
    <w:rsid w:val="00E74845"/>
    <w:rsid w:val="00E75D54"/>
    <w:rsid w:val="00E91B1A"/>
    <w:rsid w:val="00E91C8B"/>
    <w:rsid w:val="00EB1428"/>
    <w:rsid w:val="00EB565D"/>
    <w:rsid w:val="00ED281B"/>
    <w:rsid w:val="00ED4EBF"/>
    <w:rsid w:val="00EF4E37"/>
    <w:rsid w:val="00F121FB"/>
    <w:rsid w:val="00F24FCE"/>
    <w:rsid w:val="00F309D0"/>
    <w:rsid w:val="00F37B0F"/>
    <w:rsid w:val="00F425A7"/>
    <w:rsid w:val="00F54C5E"/>
    <w:rsid w:val="00F608C9"/>
    <w:rsid w:val="00F85D9B"/>
    <w:rsid w:val="00FA2B26"/>
    <w:rsid w:val="00FB2F9A"/>
    <w:rsid w:val="00FB5846"/>
    <w:rsid w:val="00FB5D9B"/>
    <w:rsid w:val="00FC670A"/>
    <w:rsid w:val="00FD2B86"/>
    <w:rsid w:val="00FD2E28"/>
    <w:rsid w:val="00FE08DD"/>
    <w:rsid w:val="00FE5203"/>
    <w:rsid w:val="00FF7D1E"/>
    <w:rsid w:val="012CB798"/>
    <w:rsid w:val="1336ADBD"/>
    <w:rsid w:val="1608FBC2"/>
    <w:rsid w:val="2D7990E1"/>
    <w:rsid w:val="37673A99"/>
    <w:rsid w:val="4A18264D"/>
    <w:rsid w:val="4D28AC71"/>
    <w:rsid w:val="5638C167"/>
    <w:rsid w:val="57EE2634"/>
    <w:rsid w:val="581516E4"/>
    <w:rsid w:val="58477C20"/>
    <w:rsid w:val="5E2FCDBC"/>
    <w:rsid w:val="69078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46D22A4B-AB62-4BF3-B7B2-E4247212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C10D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semiHidden/>
    <w:rsid w:val="009C10DA"/>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784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23/A:1010933404324" TargetMode="External"/><Relationship Id="rId26" Type="http://schemas.openxmlformats.org/officeDocument/2006/relationships/hyperlink" Target="https://doi.org/10.1109/TGRS.1995.8746027" TargetMode="External"/><Relationship Id="rId21" Type="http://schemas.openxmlformats.org/officeDocument/2006/relationships/hyperlink" Target="https://doi.org/10.1111/j.1600-0587.2012.07348.x"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landfire.cr.usgs.gov/viewer/"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doi.org/10.2737/RMRS-GTR-139" TargetMode="External"/><Relationship Id="rId29" Type="http://schemas.openxmlformats.org/officeDocument/2006/relationships/hyperlink" Target="https://doi.org/10.3390/rs60318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S0034-4257(02)00096-2" TargetMode="External"/><Relationship Id="rId32" Type="http://schemas.openxmlformats.org/officeDocument/2006/relationships/hyperlink" Target="https://doi.org/10.1080/01431160600589179"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16/0034-4257(88)90106-X" TargetMode="External"/><Relationship Id="rId28" Type="http://schemas.openxmlformats.org/officeDocument/2006/relationships/hyperlink" Target="https://doi.org/10.1016/j.rse.2006.12.006"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1109/tgrs.1984.350619" TargetMode="External"/><Relationship Id="rId31" Type="http://schemas.openxmlformats.org/officeDocument/2006/relationships/hyperlink" Target="https://doi.org/10.1016/j.jag.2017.03.00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jstor.org/stable/2699986" TargetMode="External"/><Relationship Id="rId27" Type="http://schemas.openxmlformats.org/officeDocument/2006/relationships/hyperlink" Target="https://doi.org/10.1080/01431169608948714" TargetMode="External"/><Relationship Id="rId30" Type="http://schemas.openxmlformats.org/officeDocument/2006/relationships/hyperlink" Target="https://doi.org/10.3390/rs2102424"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Scott Cunningham</DisplayName>
        <AccountId>28</AccountId>
        <AccountType/>
      </UserInfo>
    </SharedWithUsers>
  </documentManagement>
</p:properti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6CD859BC-4893-42F0-9FDC-BE6A35FFA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15</Pages>
  <Words>4953</Words>
  <Characters>28238</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vt:lpstr>1. Abstract</vt:lpstr>
      <vt:lpstr>2. Introduction</vt:lpstr>
      <vt:lpstr>3. Methodology</vt:lpstr>
      <vt:lpstr>    3.2 Data Processing</vt:lpstr>
      <vt:lpstr>        3.2.1 NDVI Time Series </vt:lpstr>
      <vt:lpstr>        3.2.2 Cheatgrass Cover Using Random Forest </vt:lpstr>
      <vt:lpstr>        </vt:lpstr>
      <vt:lpstr>        3.2.3 Burn Severity </vt:lpstr>
      <vt:lpstr>    3.3 Data Analysis</vt:lpstr>
      <vt:lpstr>4. Results &amp; Discussion</vt:lpstr>
      <vt:lpstr>    4.2 Future Work</vt:lpstr>
      <vt:lpstr>5. Conclusions</vt:lpstr>
      <vt:lpstr/>
      <vt:lpstr>6. Acknowledgments</vt:lpstr>
      <vt:lpstr>7. Glossary</vt:lpstr>
      <vt:lpstr>8. References</vt:lpstr>
      <vt:lpstr>9. Appendices</vt:lpstr>
    </vt:vector>
  </TitlesOfParts>
  <Company/>
  <LinksUpToDate>false</LinksUpToDate>
  <CharactersWithSpaces>33125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Cecil Byles</cp:lastModifiedBy>
  <cp:revision>5</cp:revision>
  <dcterms:created xsi:type="dcterms:W3CDTF">2022-02-03T23:11:00Z</dcterms:created>
  <dcterms:modified xsi:type="dcterms:W3CDTF">2022-02-04T23:39:00Z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