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B234B45" w:rsidR="005F6AD4" w:rsidRPr="0066138C" w:rsidRDefault="4FED4A21" w:rsidP="0717EEBB">
      <w:pPr>
        <w:tabs>
          <w:tab w:val="left" w:pos="7329"/>
        </w:tabs>
        <w:spacing w:after="0" w:line="240" w:lineRule="auto"/>
        <w:jc w:val="right"/>
        <w:rPr>
          <w:rFonts w:ascii="Garamond" w:hAnsi="Garamond" w:cs="Arial"/>
          <w:sz w:val="40"/>
          <w:szCs w:val="40"/>
        </w:rPr>
      </w:pPr>
      <w:r w:rsidRPr="6A8B6411">
        <w:rPr>
          <w:rFonts w:ascii="Garamond" w:hAnsi="Garamond" w:cs="Arial"/>
          <w:sz w:val="40"/>
          <w:szCs w:val="40"/>
        </w:rPr>
        <w:t>Oregon Wildfires</w:t>
      </w:r>
    </w:p>
    <w:p w14:paraId="5C53A2B7" w14:textId="0123EC62" w:rsidR="009830D6" w:rsidRPr="0066138C" w:rsidRDefault="4716FD1C" w:rsidP="0F53AB9C">
      <w:pPr>
        <w:spacing w:after="0" w:line="240" w:lineRule="auto"/>
        <w:jc w:val="right"/>
        <w:rPr>
          <w:rFonts w:ascii="Garamond" w:hAnsi="Garamond" w:cs="Arial"/>
          <w:sz w:val="28"/>
          <w:szCs w:val="28"/>
        </w:rPr>
      </w:pPr>
      <w:r w:rsidRPr="2C7D0C34">
        <w:rPr>
          <w:rFonts w:ascii="Garamond" w:hAnsi="Garamond" w:cs="Arial"/>
          <w:sz w:val="28"/>
          <w:szCs w:val="28"/>
        </w:rPr>
        <w:t xml:space="preserve">Integrating ECOSTRESS to Map and Analyze Vegetation Moisture for Wildfire Modeling </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A8B6411">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053BF1DC" w:rsidR="00916AAB" w:rsidRPr="0066138C" w:rsidRDefault="0064280B" w:rsidP="6A8B6411">
      <w:pPr>
        <w:spacing w:after="0" w:line="240" w:lineRule="auto"/>
        <w:jc w:val="center"/>
        <w:rPr>
          <w:rFonts w:ascii="Garamond" w:hAnsi="Garamond" w:cs="Arial"/>
          <w:sz w:val="28"/>
          <w:szCs w:val="28"/>
        </w:rPr>
      </w:pPr>
      <w:r w:rsidRPr="6A8B6411">
        <w:rPr>
          <w:rFonts w:ascii="Garamond" w:hAnsi="Garamond" w:cs="Arial"/>
          <w:sz w:val="28"/>
          <w:szCs w:val="28"/>
        </w:rPr>
        <w:t xml:space="preserve">Final </w:t>
      </w:r>
      <w:r w:rsidR="009A20ED" w:rsidRPr="6A8B6411">
        <w:rPr>
          <w:rFonts w:ascii="Garamond" w:hAnsi="Garamond" w:cs="Arial"/>
          <w:sz w:val="28"/>
          <w:szCs w:val="28"/>
        </w:rPr>
        <w:t>–</w:t>
      </w:r>
      <w:r w:rsidR="000D5104" w:rsidRPr="6A8B6411">
        <w:rPr>
          <w:rFonts w:ascii="Garamond" w:hAnsi="Garamond" w:cs="Arial"/>
          <w:sz w:val="28"/>
          <w:szCs w:val="28"/>
        </w:rPr>
        <w:t xml:space="preserve"> August 12</w:t>
      </w:r>
      <w:r w:rsidR="00611ACB" w:rsidRPr="6A8B6411">
        <w:rPr>
          <w:rFonts w:ascii="Garamond" w:hAnsi="Garamond" w:cs="Arial"/>
          <w:sz w:val="28"/>
          <w:szCs w:val="28"/>
          <w:vertAlign w:val="superscript"/>
        </w:rPr>
        <w:t>th</w:t>
      </w:r>
      <w:r w:rsidR="00A2773A" w:rsidRPr="6A8B6411">
        <w:rPr>
          <w:rFonts w:ascii="Garamond" w:hAnsi="Garamond" w:cs="Arial"/>
          <w:sz w:val="28"/>
          <w:szCs w:val="28"/>
        </w:rPr>
        <w:t xml:space="preserve">, </w:t>
      </w:r>
      <w:r w:rsidR="00A84352" w:rsidRPr="6A8B6411">
        <w:rPr>
          <w:rFonts w:ascii="Garamond" w:hAnsi="Garamond" w:cs="Arial"/>
          <w:sz w:val="28"/>
          <w:szCs w:val="28"/>
        </w:rPr>
        <w:t>202</w:t>
      </w:r>
      <w:r w:rsidR="729F00F7" w:rsidRPr="6A8B6411">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C4A277E" w:rsidR="0041150E" w:rsidRPr="004D75CF" w:rsidRDefault="00FC670A" w:rsidP="0F53AB9C">
      <w:pPr>
        <w:spacing w:after="0" w:line="240" w:lineRule="auto"/>
        <w:jc w:val="center"/>
        <w:rPr>
          <w:rFonts w:ascii="Garamond" w:hAnsi="Garamond" w:cs="Arial"/>
          <w:sz w:val="20"/>
          <w:szCs w:val="20"/>
        </w:rPr>
      </w:pPr>
      <w:r w:rsidRPr="0F53AB9C">
        <w:rPr>
          <w:rFonts w:ascii="Garamond" w:hAnsi="Garamond" w:cs="Arial"/>
          <w:sz w:val="20"/>
          <w:szCs w:val="20"/>
        </w:rPr>
        <w:t xml:space="preserve">Brenna Hatch </w:t>
      </w:r>
      <w:r w:rsidR="00BA41F7" w:rsidRPr="0F53AB9C">
        <w:rPr>
          <w:rFonts w:ascii="Garamond" w:hAnsi="Garamond" w:cs="Arial"/>
          <w:sz w:val="20"/>
          <w:szCs w:val="20"/>
        </w:rPr>
        <w:t>(Project L</w:t>
      </w:r>
      <w:r w:rsidR="76BB6D75" w:rsidRPr="0F53AB9C">
        <w:rPr>
          <w:rFonts w:ascii="Garamond" w:hAnsi="Garamond" w:cs="Arial"/>
          <w:sz w:val="20"/>
          <w:szCs w:val="20"/>
        </w:rPr>
        <w:t>ead)</w:t>
      </w:r>
    </w:p>
    <w:p w14:paraId="0A6A3CFB" w14:textId="462EB01B" w:rsidR="00B265D9" w:rsidRPr="004D75CF" w:rsidRDefault="0F53AB9C" w:rsidP="5E2FCDBC">
      <w:pPr>
        <w:spacing w:after="0" w:line="240" w:lineRule="auto"/>
        <w:jc w:val="center"/>
        <w:rPr>
          <w:rFonts w:ascii="Garamond" w:hAnsi="Garamond" w:cs="Arial"/>
          <w:sz w:val="20"/>
          <w:szCs w:val="20"/>
        </w:rPr>
      </w:pPr>
      <w:r w:rsidRPr="0F53AB9C">
        <w:rPr>
          <w:rFonts w:ascii="Garamond" w:hAnsi="Garamond" w:cs="Arial"/>
          <w:sz w:val="20"/>
          <w:szCs w:val="20"/>
        </w:rPr>
        <w:t xml:space="preserve">Kenya </w:t>
      </w:r>
      <w:proofErr w:type="spellStart"/>
      <w:r w:rsidRPr="0F53AB9C">
        <w:rPr>
          <w:rFonts w:ascii="Garamond" w:hAnsi="Garamond" w:cs="Arial"/>
          <w:sz w:val="20"/>
          <w:szCs w:val="20"/>
        </w:rPr>
        <w:t>Creer</w:t>
      </w:r>
      <w:proofErr w:type="spellEnd"/>
    </w:p>
    <w:p w14:paraId="28B20EB9" w14:textId="41D1AA73" w:rsidR="00FC670A" w:rsidRPr="004D75CF" w:rsidRDefault="0F53AB9C" w:rsidP="0F53AB9C">
      <w:pPr>
        <w:spacing w:after="0" w:line="240" w:lineRule="auto"/>
        <w:jc w:val="center"/>
        <w:rPr>
          <w:rFonts w:ascii="Garamond" w:hAnsi="Garamond" w:cs="Arial"/>
          <w:sz w:val="20"/>
          <w:szCs w:val="20"/>
        </w:rPr>
      </w:pPr>
      <w:r w:rsidRPr="0F53AB9C">
        <w:rPr>
          <w:rFonts w:ascii="Garamond" w:hAnsi="Garamond" w:cs="Arial"/>
          <w:sz w:val="20"/>
          <w:szCs w:val="20"/>
        </w:rPr>
        <w:t>Jennifer Sobolewski</w:t>
      </w:r>
    </w:p>
    <w:p w14:paraId="51EBA91F" w14:textId="53C43886" w:rsidR="00FC670A" w:rsidRPr="004D75CF" w:rsidRDefault="0F53AB9C" w:rsidP="0F53AB9C">
      <w:pPr>
        <w:spacing w:after="0" w:line="240" w:lineRule="auto"/>
        <w:jc w:val="center"/>
        <w:rPr>
          <w:rFonts w:ascii="Garamond" w:hAnsi="Garamond" w:cs="Arial"/>
          <w:sz w:val="20"/>
          <w:szCs w:val="20"/>
        </w:rPr>
      </w:pPr>
      <w:r w:rsidRPr="0F53AB9C">
        <w:rPr>
          <w:rFonts w:ascii="Garamond" w:hAnsi="Garamond" w:cs="Arial"/>
          <w:sz w:val="20"/>
          <w:szCs w:val="20"/>
        </w:rPr>
        <w:t xml:space="preserve">Nicole Roberts </w:t>
      </w:r>
    </w:p>
    <w:p w14:paraId="58C3E2E7" w14:textId="647F2E1A" w:rsidR="00FC670A" w:rsidRDefault="00FC670A" w:rsidP="0066138C">
      <w:pPr>
        <w:spacing w:after="0" w:line="240" w:lineRule="auto"/>
        <w:jc w:val="center"/>
        <w:rPr>
          <w:rFonts w:ascii="Garamond" w:hAnsi="Garamond" w:cs="Arial"/>
          <w:sz w:val="20"/>
        </w:rPr>
      </w:pPr>
    </w:p>
    <w:p w14:paraId="74093909" w14:textId="73D908DF" w:rsidR="006E2A1C" w:rsidRPr="00BF7393" w:rsidRDefault="00611ACB" w:rsidP="6A8B6411">
      <w:pPr>
        <w:spacing w:after="0" w:line="240" w:lineRule="auto"/>
        <w:jc w:val="center"/>
        <w:rPr>
          <w:rFonts w:ascii="Garamond" w:hAnsi="Garamond" w:cs="Arial"/>
          <w:b/>
          <w:bCs/>
          <w:i/>
          <w:iCs/>
          <w:sz w:val="20"/>
          <w:szCs w:val="20"/>
        </w:rPr>
      </w:pPr>
      <w:r w:rsidRPr="6A8B6411">
        <w:rPr>
          <w:rFonts w:ascii="Garamond" w:hAnsi="Garamond" w:cs="Arial"/>
          <w:b/>
          <w:bCs/>
          <w:i/>
          <w:iCs/>
          <w:sz w:val="20"/>
          <w:szCs w:val="20"/>
        </w:rPr>
        <w:t>Advisors:</w:t>
      </w:r>
    </w:p>
    <w:p w14:paraId="2C6F320D" w14:textId="4F8FF5A2" w:rsidR="00BF7393" w:rsidRPr="00BF7393" w:rsidRDefault="00BF7393" w:rsidP="6A8B6411">
      <w:pPr>
        <w:pStyle w:val="paragraph"/>
        <w:spacing w:before="0" w:beforeAutospacing="0" w:after="0" w:afterAutospacing="0"/>
        <w:jc w:val="center"/>
        <w:textAlignment w:val="baseline"/>
        <w:rPr>
          <w:rStyle w:val="normaltextrun"/>
          <w:rFonts w:ascii="Garamond" w:hAnsi="Garamond" w:cs="Segoe UI"/>
          <w:color w:val="000000" w:themeColor="text1"/>
          <w:sz w:val="20"/>
          <w:szCs w:val="20"/>
        </w:rPr>
      </w:pPr>
      <w:r w:rsidRPr="6A8B6411">
        <w:rPr>
          <w:rStyle w:val="normaltextrun"/>
          <w:rFonts w:ascii="Garamond" w:hAnsi="Garamond" w:cs="Segoe UI"/>
          <w:color w:val="000000" w:themeColor="text1"/>
          <w:sz w:val="20"/>
          <w:szCs w:val="20"/>
        </w:rPr>
        <w:t xml:space="preserve">Dr. Kerry </w:t>
      </w:r>
      <w:proofErr w:type="spellStart"/>
      <w:r w:rsidRPr="6A8B6411">
        <w:rPr>
          <w:rStyle w:val="normaltextrun"/>
          <w:rFonts w:ascii="Garamond" w:hAnsi="Garamond" w:cs="Segoe UI"/>
          <w:color w:val="000000" w:themeColor="text1"/>
          <w:sz w:val="20"/>
          <w:szCs w:val="20"/>
        </w:rPr>
        <w:t>Cawse</w:t>
      </w:r>
      <w:proofErr w:type="spellEnd"/>
      <w:r w:rsidRPr="6A8B6411">
        <w:rPr>
          <w:rStyle w:val="normaltextrun"/>
          <w:rFonts w:ascii="Garamond" w:hAnsi="Garamond" w:cs="Segoe UI"/>
          <w:color w:val="000000" w:themeColor="text1"/>
          <w:sz w:val="20"/>
          <w:szCs w:val="20"/>
        </w:rPr>
        <w:t>-Nicholson, NASA Jet Propulsion Laboratory, California Institute of Technology (Science Advisor)</w:t>
      </w:r>
    </w:p>
    <w:p w14:paraId="40DFF8A9" w14:textId="538E0CC8" w:rsidR="00BF7393" w:rsidRPr="00BF7393" w:rsidRDefault="00BF7393" w:rsidP="681AD210">
      <w:pPr>
        <w:pStyle w:val="paragraph"/>
        <w:spacing w:before="0" w:beforeAutospacing="0" w:after="0" w:afterAutospacing="0"/>
        <w:jc w:val="center"/>
        <w:textAlignment w:val="baseline"/>
        <w:rPr>
          <w:rFonts w:ascii="Segoe UI" w:hAnsi="Segoe UI" w:cs="Segoe UI"/>
          <w:sz w:val="20"/>
          <w:szCs w:val="20"/>
        </w:rPr>
      </w:pPr>
      <w:r w:rsidRPr="6A8B6411">
        <w:rPr>
          <w:rStyle w:val="normaltextrun"/>
          <w:rFonts w:ascii="Garamond" w:hAnsi="Garamond" w:cs="Segoe UI"/>
          <w:color w:val="000000" w:themeColor="text1"/>
          <w:sz w:val="20"/>
          <w:szCs w:val="20"/>
        </w:rPr>
        <w:t xml:space="preserve">Dr. Madeleine </w:t>
      </w:r>
      <w:proofErr w:type="spellStart"/>
      <w:r w:rsidRPr="6A8B6411">
        <w:rPr>
          <w:rStyle w:val="normaltextrun"/>
          <w:rFonts w:ascii="Garamond" w:hAnsi="Garamond" w:cs="Segoe UI"/>
          <w:color w:val="000000" w:themeColor="text1"/>
          <w:sz w:val="20"/>
          <w:szCs w:val="20"/>
        </w:rPr>
        <w:t>Pascolini</w:t>
      </w:r>
      <w:proofErr w:type="spellEnd"/>
      <w:r w:rsidRPr="6A8B6411">
        <w:rPr>
          <w:rStyle w:val="normaltextrun"/>
          <w:rFonts w:ascii="Garamond" w:hAnsi="Garamond" w:cs="Segoe UI"/>
          <w:color w:val="000000" w:themeColor="text1"/>
          <w:sz w:val="20"/>
          <w:szCs w:val="20"/>
        </w:rPr>
        <w:t>-Campbell, NASA Jet Propulsion Laboratory, California Institute of Technology (Science Advisor)</w:t>
      </w:r>
    </w:p>
    <w:p w14:paraId="346642AD" w14:textId="77777777" w:rsidR="00BF7393" w:rsidRPr="004D75CF" w:rsidRDefault="00BF7393" w:rsidP="6A8B6411">
      <w:pPr>
        <w:spacing w:after="0" w:line="240" w:lineRule="auto"/>
        <w:jc w:val="both"/>
        <w:rPr>
          <w:rFonts w:ascii="Garamond" w:hAnsi="Garamond" w:cs="Arial"/>
          <w:sz w:val="20"/>
          <w:szCs w:val="20"/>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6A8B6411">
        <w:rPr>
          <w:rFonts w:ascii="Garamond" w:hAnsi="Garamond"/>
        </w:rPr>
        <w:lastRenderedPageBreak/>
        <w:t>1</w:t>
      </w:r>
      <w:r w:rsidR="008B7071" w:rsidRPr="6A8B6411">
        <w:rPr>
          <w:rFonts w:ascii="Garamond" w:hAnsi="Garamond"/>
        </w:rPr>
        <w:t xml:space="preserve">. </w:t>
      </w:r>
      <w:r w:rsidR="007E508C" w:rsidRPr="6A8B6411">
        <w:rPr>
          <w:rFonts w:ascii="Garamond" w:hAnsi="Garamond"/>
        </w:rPr>
        <w:t>Abstract</w:t>
      </w:r>
    </w:p>
    <w:p w14:paraId="00721E94" w14:textId="584DFB89" w:rsidR="00D3013B" w:rsidRPr="0066138C" w:rsidRDefault="13183477" w:rsidP="5C31A34A">
      <w:pPr>
        <w:pStyle w:val="Normal0"/>
        <w:spacing w:line="240" w:lineRule="auto"/>
        <w:rPr>
          <w:rFonts w:ascii="Garamond" w:eastAsia="Garamond" w:hAnsi="Garamond" w:cs="Garamond"/>
        </w:rPr>
      </w:pPr>
      <w:r w:rsidRPr="5C31A34A">
        <w:rPr>
          <w:rFonts w:ascii="Garamond" w:eastAsia="Garamond" w:hAnsi="Garamond" w:cs="Garamond"/>
          <w:color w:val="000000" w:themeColor="text1"/>
        </w:rPr>
        <w:t xml:space="preserve">Wildfire season in the western USA is starting earlier and gaining in intensity. The Bootleg Fire in Southern Oregon began on </w:t>
      </w:r>
      <w:r w:rsidR="00E27AC4" w:rsidRPr="5C31A34A">
        <w:rPr>
          <w:rFonts w:ascii="Garamond" w:eastAsia="Garamond" w:hAnsi="Garamond" w:cs="Garamond"/>
          <w:color w:val="000000" w:themeColor="text1"/>
        </w:rPr>
        <w:t>July 6</w:t>
      </w:r>
      <w:r w:rsidR="00E27AC4" w:rsidRPr="5C31A34A">
        <w:rPr>
          <w:rFonts w:ascii="Garamond" w:eastAsia="Garamond" w:hAnsi="Garamond" w:cs="Garamond"/>
          <w:color w:val="000000" w:themeColor="text1"/>
          <w:vertAlign w:val="superscript"/>
        </w:rPr>
        <w:t>th</w:t>
      </w:r>
      <w:r w:rsidR="00E27AC4" w:rsidRPr="5C31A34A">
        <w:rPr>
          <w:rFonts w:ascii="Garamond" w:eastAsia="Garamond" w:hAnsi="Garamond" w:cs="Garamond"/>
          <w:color w:val="000000" w:themeColor="text1"/>
        </w:rPr>
        <w:t xml:space="preserve">, </w:t>
      </w:r>
      <w:proofErr w:type="gramStart"/>
      <w:r w:rsidR="00E27AC4" w:rsidRPr="5C31A34A">
        <w:rPr>
          <w:rFonts w:ascii="Garamond" w:eastAsia="Garamond" w:hAnsi="Garamond" w:cs="Garamond"/>
          <w:color w:val="000000" w:themeColor="text1"/>
        </w:rPr>
        <w:t>2021</w:t>
      </w:r>
      <w:proofErr w:type="gramEnd"/>
      <w:r w:rsidR="00E27AC4" w:rsidRPr="5C31A34A">
        <w:rPr>
          <w:rFonts w:ascii="Garamond" w:eastAsia="Garamond" w:hAnsi="Garamond" w:cs="Garamond"/>
          <w:color w:val="000000" w:themeColor="text1"/>
        </w:rPr>
        <w:t xml:space="preserve"> and</w:t>
      </w:r>
      <w:r w:rsidRPr="5C31A34A">
        <w:rPr>
          <w:rFonts w:ascii="Garamond" w:eastAsia="Garamond" w:hAnsi="Garamond" w:cs="Garamond"/>
          <w:color w:val="000000" w:themeColor="text1"/>
        </w:rPr>
        <w:t xml:space="preserve"> burned over 1675 km</w:t>
      </w:r>
      <w:r w:rsidRPr="5C31A34A">
        <w:rPr>
          <w:rFonts w:ascii="Garamond" w:eastAsia="Garamond" w:hAnsi="Garamond" w:cs="Garamond"/>
          <w:color w:val="000000" w:themeColor="text1"/>
          <w:vertAlign w:val="superscript"/>
        </w:rPr>
        <w:t>2</w:t>
      </w:r>
      <w:r w:rsidRPr="5C31A34A">
        <w:rPr>
          <w:rFonts w:ascii="Garamond" w:eastAsia="Garamond" w:hAnsi="Garamond" w:cs="Garamond"/>
          <w:color w:val="000000" w:themeColor="text1"/>
        </w:rPr>
        <w:t xml:space="preserve"> before it was fully contained on August 15</w:t>
      </w:r>
      <w:r w:rsidRPr="5C31A34A">
        <w:rPr>
          <w:rFonts w:ascii="Garamond" w:eastAsia="Garamond" w:hAnsi="Garamond" w:cs="Garamond"/>
          <w:color w:val="000000" w:themeColor="text1"/>
          <w:vertAlign w:val="superscript"/>
        </w:rPr>
        <w:t>th</w:t>
      </w:r>
      <w:r w:rsidRPr="5C31A34A">
        <w:rPr>
          <w:rFonts w:ascii="Garamond" w:eastAsia="Garamond" w:hAnsi="Garamond" w:cs="Garamond"/>
          <w:color w:val="000000" w:themeColor="text1"/>
        </w:rPr>
        <w:t xml:space="preserve">, 2021. Evapotranspiration (ET) is one indicator of vegetation moisture and there is interest in using high-resolution ET products from </w:t>
      </w:r>
      <w:proofErr w:type="spellStart"/>
      <w:r w:rsidRPr="5C31A34A">
        <w:rPr>
          <w:rFonts w:ascii="Garamond" w:eastAsia="Garamond" w:hAnsi="Garamond" w:cs="Garamond"/>
          <w:color w:val="000000" w:themeColor="text1"/>
        </w:rPr>
        <w:t>ECOsystem</w:t>
      </w:r>
      <w:proofErr w:type="spellEnd"/>
      <w:r w:rsidRPr="5C31A34A">
        <w:rPr>
          <w:rFonts w:ascii="Garamond" w:eastAsia="Garamond" w:hAnsi="Garamond" w:cs="Garamond"/>
          <w:color w:val="000000" w:themeColor="text1"/>
        </w:rPr>
        <w:t xml:space="preserve"> and Spaceborne Thermal Radiometer Experiment on Space Station (ECOSTRESS) in future wildfire modeling. In partnership with the Pacific Northwest National Laboratory and US Forest Service, the team examined ECOSTRESS ET for the two years before the Bootleg Fire and assessed the relationship between ET, topography, and vegetation. Remotely sensed data from Shuttle Radar Topography Mission (SRTM) and Global Ecosystem Dynamics Investigation (GEDI) along with ancillary data from the National Land Cover Database (NLCD) and Landscape Fire Resource Management Planning Tools (LANDFIRE) were incorporated. The team examined data in relation to soil burn severity from the Burned Area Emergency Response (BAER) program. From ET median composites for April 1</w:t>
      </w:r>
      <w:r w:rsidRPr="5C31A34A">
        <w:rPr>
          <w:rFonts w:ascii="Garamond" w:eastAsia="Garamond" w:hAnsi="Garamond" w:cs="Garamond"/>
          <w:color w:val="000000" w:themeColor="text1"/>
          <w:vertAlign w:val="superscript"/>
        </w:rPr>
        <w:t>st</w:t>
      </w:r>
      <w:r w:rsidRPr="5C31A34A">
        <w:rPr>
          <w:rFonts w:ascii="Garamond" w:eastAsia="Garamond" w:hAnsi="Garamond" w:cs="Garamond"/>
          <w:color w:val="000000" w:themeColor="text1"/>
        </w:rPr>
        <w:t xml:space="preserve"> – July 5</w:t>
      </w:r>
      <w:r w:rsidRPr="5C31A34A">
        <w:rPr>
          <w:rFonts w:ascii="Garamond" w:eastAsia="Garamond" w:hAnsi="Garamond" w:cs="Garamond"/>
          <w:color w:val="000000" w:themeColor="text1"/>
          <w:vertAlign w:val="superscript"/>
        </w:rPr>
        <w:t>th</w:t>
      </w:r>
      <w:r w:rsidRPr="5C31A34A">
        <w:rPr>
          <w:rFonts w:ascii="Garamond" w:eastAsia="Garamond" w:hAnsi="Garamond" w:cs="Garamond"/>
          <w:color w:val="000000" w:themeColor="text1"/>
        </w:rPr>
        <w:t xml:space="preserve">, </w:t>
      </w:r>
      <w:proofErr w:type="gramStart"/>
      <w:r w:rsidRPr="5C31A34A">
        <w:rPr>
          <w:rFonts w:ascii="Garamond" w:eastAsia="Garamond" w:hAnsi="Garamond" w:cs="Garamond"/>
          <w:color w:val="000000" w:themeColor="text1"/>
        </w:rPr>
        <w:t>2021</w:t>
      </w:r>
      <w:proofErr w:type="gramEnd"/>
      <w:r w:rsidRPr="5C31A34A">
        <w:rPr>
          <w:rFonts w:ascii="Garamond" w:eastAsia="Garamond" w:hAnsi="Garamond" w:cs="Garamond"/>
          <w:color w:val="000000" w:themeColor="text1"/>
        </w:rPr>
        <w:t xml:space="preserve"> and 2019, the Bootleg Fire area showed a 7 mm/day decrease in ET and a relative 75% decrease in ET between 2019 and 2021. Approximately 6% of the Bootleg Fire area was identified as having a high soil burn severity and these areas were found predominantly in the evergreen forest land cover class and northward facing slopes with a mean ET decrease of 3 mm/day between 2019 and 2021. The team also analyzed ECOSTRESS Water Use Efficiency products as an additional vegetation moisture indicator of pre-fire conditions in the study area.</w:t>
      </w:r>
      <w:r w:rsidRPr="5C31A34A">
        <w:t xml:space="preserve"> </w:t>
      </w:r>
      <w:r w:rsidRPr="5C31A34A">
        <w:rPr>
          <w:rFonts w:ascii="Garamond" w:eastAsia="Garamond" w:hAnsi="Garamond" w:cs="Garamond"/>
          <w:color w:val="000000" w:themeColor="text1"/>
        </w:rPr>
        <w:t>The end products will allow the partners to assess if higher resolution vegetation moisture datasets from ECOSTRESS will improve wildfire modeling for other susceptible areas.</w:t>
      </w:r>
    </w:p>
    <w:p w14:paraId="350BBE67" w14:textId="60F7FBFC" w:rsidR="00770650" w:rsidRPr="0066138C" w:rsidRDefault="6FC51E7E" w:rsidP="6A8B6411">
      <w:pPr>
        <w:spacing w:after="0" w:line="240" w:lineRule="auto"/>
        <w:rPr>
          <w:rFonts w:ascii="Garamond" w:hAnsi="Garamond" w:cs="Arial"/>
          <w:b/>
          <w:bCs/>
        </w:rPr>
      </w:pPr>
      <w:r w:rsidRPr="5C31A34A">
        <w:rPr>
          <w:rFonts w:ascii="Garamond" w:hAnsi="Garamond" w:cs="Arial"/>
          <w:b/>
          <w:bCs/>
        </w:rPr>
        <w:t>Key</w:t>
      </w:r>
      <w:r w:rsidR="66A8D8C6" w:rsidRPr="5C31A34A">
        <w:rPr>
          <w:rFonts w:ascii="Garamond" w:hAnsi="Garamond" w:cs="Arial"/>
          <w:b/>
          <w:bCs/>
        </w:rPr>
        <w:t xml:space="preserve"> Terms</w:t>
      </w:r>
    </w:p>
    <w:p w14:paraId="243200A8" w14:textId="5A6F0F0C" w:rsidR="0066138C" w:rsidRDefault="79603C86" w:rsidP="7A028EE4">
      <w:pPr>
        <w:spacing w:after="0" w:line="240" w:lineRule="auto"/>
        <w:rPr>
          <w:rFonts w:ascii="Garamond" w:hAnsi="Garamond" w:cs="Arial"/>
        </w:rPr>
      </w:pPr>
      <w:bookmarkStart w:id="0" w:name="_Toc334198720"/>
      <w:r>
        <w:rPr>
          <w:rStyle w:val="normaltextrun"/>
          <w:rFonts w:ascii="Garamond" w:hAnsi="Garamond"/>
          <w:color w:val="000000"/>
          <w:shd w:val="clear" w:color="auto" w:fill="FFFFFF"/>
        </w:rPr>
        <w:t>Evapotranspiration, water use efficiency, topography, aboveground biomass density, landcover classification, burn severity</w:t>
      </w:r>
      <w:r>
        <w:rPr>
          <w:rStyle w:val="eop"/>
          <w:rFonts w:ascii="Garamond" w:hAnsi="Garamond"/>
          <w:color w:val="000000"/>
          <w:shd w:val="clear" w:color="auto" w:fill="FFFFFF"/>
        </w:rPr>
        <w:t> </w:t>
      </w:r>
    </w:p>
    <w:p w14:paraId="12AB3859" w14:textId="77777777" w:rsidR="0066138C" w:rsidRPr="0066138C" w:rsidRDefault="0066138C" w:rsidP="0066138C">
      <w:pPr>
        <w:spacing w:after="0" w:line="240" w:lineRule="auto"/>
        <w:rPr>
          <w:rFonts w:ascii="Garamond" w:hAnsi="Garamond" w:cs="Arial"/>
        </w:rPr>
      </w:pPr>
    </w:p>
    <w:p w14:paraId="2FB6D409" w14:textId="4EBC3A14" w:rsidR="00FB5846" w:rsidRPr="0066138C" w:rsidRDefault="5428A35B" w:rsidP="0066138C">
      <w:pPr>
        <w:pStyle w:val="Heading1"/>
        <w:spacing w:before="0" w:line="240" w:lineRule="auto"/>
        <w:rPr>
          <w:rFonts w:ascii="Garamond" w:hAnsi="Garamond"/>
        </w:rPr>
      </w:pPr>
      <w:r w:rsidRPr="6A8B6411">
        <w:rPr>
          <w:rFonts w:ascii="Garamond" w:hAnsi="Garamond"/>
        </w:rPr>
        <w:t>2</w:t>
      </w:r>
      <w:r w:rsidR="0864B896" w:rsidRPr="6A8B6411">
        <w:rPr>
          <w:rFonts w:ascii="Garamond" w:hAnsi="Garamond"/>
        </w:rPr>
        <w:t xml:space="preserve">. </w:t>
      </w:r>
      <w:r w:rsidR="54DFB866" w:rsidRPr="6A8B6411">
        <w:rPr>
          <w:rFonts w:ascii="Garamond" w:hAnsi="Garamond"/>
        </w:rPr>
        <w:t>Introduction</w:t>
      </w:r>
      <w:bookmarkEnd w:id="0"/>
    </w:p>
    <w:p w14:paraId="19FC6246" w14:textId="77777777" w:rsidR="00E27AC4" w:rsidRDefault="5B2377C9" w:rsidP="422C0B4F">
      <w:pPr>
        <w:spacing w:after="0" w:line="240" w:lineRule="auto"/>
        <w:rPr>
          <w:rFonts w:ascii="Garamond" w:hAnsi="Garamond"/>
          <w:b/>
          <w:bCs/>
          <w:i/>
          <w:iCs/>
        </w:rPr>
      </w:pPr>
      <w:bookmarkStart w:id="1" w:name="_Toc334198721"/>
      <w:r w:rsidRPr="5C31A34A">
        <w:rPr>
          <w:rFonts w:ascii="Garamond" w:hAnsi="Garamond"/>
          <w:b/>
          <w:bCs/>
          <w:i/>
          <w:iCs/>
        </w:rPr>
        <w:t xml:space="preserve">2.1 </w:t>
      </w:r>
      <w:r w:rsidR="1327EBC5" w:rsidRPr="5C31A34A">
        <w:rPr>
          <w:rFonts w:ascii="Garamond" w:hAnsi="Garamond"/>
          <w:b/>
          <w:bCs/>
          <w:i/>
          <w:iCs/>
        </w:rPr>
        <w:t>Background Information</w:t>
      </w:r>
      <w:bookmarkEnd w:id="1"/>
    </w:p>
    <w:p w14:paraId="291E4992" w14:textId="42B7A331" w:rsidR="1469DDCF" w:rsidRDefault="3CFD8799" w:rsidP="422C0B4F">
      <w:pPr>
        <w:spacing w:after="0" w:line="240" w:lineRule="auto"/>
        <w:rPr>
          <w:rFonts w:ascii="Garamond" w:hAnsi="Garamond"/>
        </w:rPr>
      </w:pPr>
      <w:r w:rsidRPr="10D1FD28">
        <w:rPr>
          <w:rFonts w:ascii="Garamond" w:hAnsi="Garamond"/>
        </w:rPr>
        <w:t>Wildfire activity across the western United States has grown in the past 50 years, with the number of large fires and burn area increasing alongside the lengthening of the fire season (</w:t>
      </w:r>
      <w:proofErr w:type="spellStart"/>
      <w:r w:rsidRPr="10D1FD28">
        <w:rPr>
          <w:rFonts w:ascii="Garamond" w:hAnsi="Garamond"/>
        </w:rPr>
        <w:t>Abatzoglou</w:t>
      </w:r>
      <w:proofErr w:type="spellEnd"/>
      <w:r w:rsidRPr="10D1FD28">
        <w:rPr>
          <w:rFonts w:ascii="Garamond" w:hAnsi="Garamond"/>
        </w:rPr>
        <w:t xml:space="preserve"> &amp; Williams, 2016). In California, the likely driver of a five-fold increase in annual burned area and the increased occurrence of large, destructive wildfires since the 1970s is the drying of vegetation promoted by global warming (Williams et al., 2019). Recent research has found that for southwestern</w:t>
      </w:r>
      <w:r w:rsidR="296C843C" w:rsidRPr="10D1FD28">
        <w:rPr>
          <w:rFonts w:ascii="Garamond" w:hAnsi="Garamond"/>
        </w:rPr>
        <w:t xml:space="preserve"> and western</w:t>
      </w:r>
      <w:r w:rsidRPr="10D1FD28">
        <w:rPr>
          <w:rFonts w:ascii="Garamond" w:hAnsi="Garamond"/>
        </w:rPr>
        <w:t xml:space="preserve"> North America—which includes California, Oregon, and other states in the western half of the United States and northern Mexico—the period between 2000-2021 has been the driest since the year 800, with exceptional drought conditions expected to continue into 2022 (Williams et al., 2022).</w:t>
      </w:r>
    </w:p>
    <w:p w14:paraId="50E1CEBF" w14:textId="0658ED31" w:rsidR="422C0B4F" w:rsidRDefault="422C0B4F" w:rsidP="422C0B4F">
      <w:pPr>
        <w:spacing w:after="0" w:line="240" w:lineRule="auto"/>
        <w:rPr>
          <w:rFonts w:ascii="Garamond" w:hAnsi="Garamond"/>
        </w:rPr>
      </w:pPr>
    </w:p>
    <w:p w14:paraId="36E8DF6E" w14:textId="7595D972" w:rsidR="1469DDCF" w:rsidRDefault="2E679B0D" w:rsidP="422C0B4F">
      <w:pPr>
        <w:spacing w:after="0" w:line="240" w:lineRule="auto"/>
        <w:rPr>
          <w:rFonts w:ascii="Garamond" w:hAnsi="Garamond"/>
        </w:rPr>
      </w:pPr>
      <w:r w:rsidRPr="5C31A34A">
        <w:rPr>
          <w:rFonts w:ascii="Garamond" w:hAnsi="Garamond"/>
        </w:rPr>
        <w:t>Vegetation moisture is the main pathway by which drought impacts the behavior of wildfires and can be an important predictor of wildfire burn severity (Coen et al., 2018;</w:t>
      </w:r>
      <w:r w:rsidR="496686E4" w:rsidRPr="5C31A34A">
        <w:rPr>
          <w:rFonts w:ascii="Garamond" w:hAnsi="Garamond"/>
        </w:rPr>
        <w:t xml:space="preserve"> </w:t>
      </w:r>
      <w:proofErr w:type="spellStart"/>
      <w:r w:rsidRPr="5C31A34A">
        <w:rPr>
          <w:rFonts w:ascii="Garamond" w:hAnsi="Garamond"/>
        </w:rPr>
        <w:t>Pascolini</w:t>
      </w:r>
      <w:proofErr w:type="spellEnd"/>
      <w:r w:rsidRPr="5C31A34A">
        <w:rPr>
          <w:rFonts w:ascii="Garamond" w:hAnsi="Garamond"/>
        </w:rPr>
        <w:t>-Campbell et al., 2022). However, the</w:t>
      </w:r>
      <w:r w:rsidR="3559422B" w:rsidRPr="5C31A34A">
        <w:rPr>
          <w:rFonts w:ascii="Garamond" w:hAnsi="Garamond"/>
        </w:rPr>
        <w:t xml:space="preserve"> drying of vegetation in response to </w:t>
      </w:r>
      <w:r w:rsidRPr="5C31A34A">
        <w:rPr>
          <w:rFonts w:ascii="Garamond" w:hAnsi="Garamond"/>
        </w:rPr>
        <w:t>increasing temperatures and drought conditions is not uniform, and along with topography and vegetation type, vegetation moisture</w:t>
      </w:r>
      <w:r w:rsidR="3559422B" w:rsidRPr="5C31A34A">
        <w:rPr>
          <w:rFonts w:ascii="Garamond" w:hAnsi="Garamond"/>
        </w:rPr>
        <w:t xml:space="preserve"> can </w:t>
      </w:r>
      <w:r w:rsidRPr="5C31A34A">
        <w:rPr>
          <w:rFonts w:ascii="Garamond" w:hAnsi="Garamond"/>
        </w:rPr>
        <w:t>influence the pattern of burn severity from wildfires (</w:t>
      </w:r>
      <w:proofErr w:type="spellStart"/>
      <w:r w:rsidRPr="5C31A34A">
        <w:rPr>
          <w:rFonts w:ascii="Garamond" w:hAnsi="Garamond"/>
        </w:rPr>
        <w:t>Pascolini</w:t>
      </w:r>
      <w:proofErr w:type="spellEnd"/>
      <w:r w:rsidRPr="5C31A34A">
        <w:rPr>
          <w:rFonts w:ascii="Garamond" w:hAnsi="Garamond"/>
        </w:rPr>
        <w:t>-Campbell et al., 2022). Understanding the pre-fire vegetation moisture conditions of an area can help identify places susceptible to wildfires and aid in monitoring.</w:t>
      </w:r>
    </w:p>
    <w:p w14:paraId="671F7E7E" w14:textId="76583CD1" w:rsidR="422C0B4F" w:rsidRDefault="422C0B4F" w:rsidP="422C0B4F">
      <w:pPr>
        <w:spacing w:after="0" w:line="240" w:lineRule="auto"/>
        <w:rPr>
          <w:rFonts w:ascii="Garamond" w:hAnsi="Garamond"/>
        </w:rPr>
      </w:pPr>
    </w:p>
    <w:p w14:paraId="6A82ED7E" w14:textId="785E5EBD" w:rsidR="1469DDCF" w:rsidRDefault="383580A5" w:rsidP="422C0B4F">
      <w:pPr>
        <w:spacing w:after="0" w:line="240" w:lineRule="auto"/>
        <w:rPr>
          <w:rFonts w:ascii="Garamond" w:hAnsi="Garamond"/>
        </w:rPr>
      </w:pPr>
      <w:r w:rsidRPr="10D1FD28">
        <w:rPr>
          <w:rFonts w:ascii="Garamond" w:hAnsi="Garamond"/>
        </w:rPr>
        <w:t xml:space="preserve">Vegetation moisture conditions can be analyzed through a remote sensing approach using </w:t>
      </w:r>
      <w:r w:rsidR="4BF518B1" w:rsidRPr="10D1FD28">
        <w:rPr>
          <w:rFonts w:ascii="Garamond" w:hAnsi="Garamond"/>
        </w:rPr>
        <w:t>e</w:t>
      </w:r>
      <w:r w:rsidRPr="10D1FD28">
        <w:rPr>
          <w:rFonts w:ascii="Garamond" w:hAnsi="Garamond"/>
        </w:rPr>
        <w:t xml:space="preserve">vapotranspiration (ET) and water use efficiency (WUE) products obtained from the </w:t>
      </w:r>
      <w:proofErr w:type="spellStart"/>
      <w:r w:rsidR="4BF518B1" w:rsidRPr="10D1FD28">
        <w:rPr>
          <w:rFonts w:ascii="Garamond" w:hAnsi="Garamond"/>
        </w:rPr>
        <w:t>ECOsystem</w:t>
      </w:r>
      <w:proofErr w:type="spellEnd"/>
      <w:r w:rsidR="4BF518B1" w:rsidRPr="10D1FD28">
        <w:rPr>
          <w:rFonts w:ascii="Garamond" w:hAnsi="Garamond"/>
        </w:rPr>
        <w:t xml:space="preserve"> and Spaceborne Thermal Radiometer Experiment on Space Station (</w:t>
      </w:r>
      <w:r w:rsidRPr="10D1FD28">
        <w:rPr>
          <w:rFonts w:ascii="Garamond" w:hAnsi="Garamond"/>
        </w:rPr>
        <w:t xml:space="preserve">ECOSTRESS; </w:t>
      </w:r>
      <w:proofErr w:type="spellStart"/>
      <w:r w:rsidRPr="10D1FD28">
        <w:rPr>
          <w:rFonts w:ascii="Garamond" w:hAnsi="Garamond"/>
        </w:rPr>
        <w:t>Pascolini</w:t>
      </w:r>
      <w:proofErr w:type="spellEnd"/>
      <w:r w:rsidRPr="10D1FD28">
        <w:rPr>
          <w:rFonts w:ascii="Garamond" w:hAnsi="Garamond"/>
        </w:rPr>
        <w:t>-Campbell et al., 2022). ECOSTRESS</w:t>
      </w:r>
      <w:r w:rsidR="4BF518B1" w:rsidRPr="10D1FD28">
        <w:rPr>
          <w:rFonts w:ascii="Garamond" w:eastAsia="Garamond" w:hAnsi="Garamond" w:cs="Garamond"/>
        </w:rPr>
        <w:t xml:space="preserve"> derives ET products by measuring the thermal infrared brightness of plants </w:t>
      </w:r>
      <w:r w:rsidRPr="10D1FD28">
        <w:rPr>
          <w:rFonts w:ascii="Garamond" w:hAnsi="Garamond"/>
        </w:rPr>
        <w:t>at 70 m resolution every 1-5 days</w:t>
      </w:r>
      <w:r w:rsidR="3467FFAE" w:rsidRPr="10D1FD28">
        <w:rPr>
          <w:rFonts w:ascii="Garamond" w:hAnsi="Garamond"/>
        </w:rPr>
        <w:t xml:space="preserve">. </w:t>
      </w:r>
      <w:r w:rsidRPr="10D1FD28">
        <w:rPr>
          <w:rFonts w:ascii="Garamond" w:hAnsi="Garamond"/>
        </w:rPr>
        <w:t xml:space="preserve">WUE is derived from the ECOSTRESS Level-3 ET product plus observations of gross primary production (GPP) from the </w:t>
      </w:r>
      <w:r w:rsidR="3035C5C5" w:rsidRPr="10D1FD28">
        <w:rPr>
          <w:rFonts w:ascii="Garamond" w:eastAsia="Garamond" w:hAnsi="Garamond" w:cs="Garamond"/>
        </w:rPr>
        <w:t>Moderate Resolution Imaging Spectroradiometer (MODIS</w:t>
      </w:r>
      <w:r w:rsidR="50D90310" w:rsidRPr="10D1FD28">
        <w:rPr>
          <w:rFonts w:ascii="Garamond" w:eastAsia="Garamond" w:hAnsi="Garamond" w:cs="Garamond"/>
        </w:rPr>
        <w:t xml:space="preserve">; </w:t>
      </w:r>
      <w:r w:rsidRPr="10D1FD28">
        <w:rPr>
          <w:rFonts w:ascii="Garamond" w:hAnsi="Garamond"/>
        </w:rPr>
        <w:t xml:space="preserve">Fisher &amp; Halverson, 2019; Fisher et al., 2020). ET is one measure of plant water stress and is the hydrologic variable that best describes the response of vegetation to changing water conditions (Fisher, 2018). WUE is the ratio of carbon fixed through photosynthesis to water lost through ET and indicates how vegetation may respond to stressors such as drought and high temperatures (Fisher &amp; Halverson, 2019; </w:t>
      </w:r>
      <w:proofErr w:type="spellStart"/>
      <w:r w:rsidRPr="10D1FD28">
        <w:rPr>
          <w:rFonts w:ascii="Garamond" w:hAnsi="Garamond"/>
        </w:rPr>
        <w:t>Pascolini</w:t>
      </w:r>
      <w:proofErr w:type="spellEnd"/>
      <w:r w:rsidRPr="10D1FD28">
        <w:rPr>
          <w:rFonts w:ascii="Garamond" w:hAnsi="Garamond"/>
        </w:rPr>
        <w:t xml:space="preserve">-Campbell et al., 2022). </w:t>
      </w:r>
      <w:r w:rsidR="4BF518B1" w:rsidRPr="10D1FD28">
        <w:rPr>
          <w:rFonts w:ascii="Garamond" w:hAnsi="Garamond"/>
        </w:rPr>
        <w:t xml:space="preserve">Previous studies </w:t>
      </w:r>
      <w:r w:rsidR="4BF518B1" w:rsidRPr="10D1FD28">
        <w:rPr>
          <w:rFonts w:ascii="Garamond" w:hAnsi="Garamond"/>
        </w:rPr>
        <w:lastRenderedPageBreak/>
        <w:t>have utilized plant stress indicators to investigate pre-fire vegetation moisture as a control on burn severity (</w:t>
      </w:r>
      <w:r w:rsidR="5E5106B2" w:rsidRPr="10D1FD28">
        <w:rPr>
          <w:rFonts w:ascii="Garamond" w:hAnsi="Garamond"/>
        </w:rPr>
        <w:t>Coen et al., 2018; Fang et al., 2018;</w:t>
      </w:r>
      <w:r w:rsidR="21983264" w:rsidRPr="10D1FD28">
        <w:rPr>
          <w:rFonts w:ascii="Garamond" w:hAnsi="Garamond"/>
        </w:rPr>
        <w:t xml:space="preserve"> </w:t>
      </w:r>
      <w:r w:rsidR="5E5106B2" w:rsidRPr="10D1FD28">
        <w:rPr>
          <w:rFonts w:ascii="Garamond" w:hAnsi="Garamond"/>
        </w:rPr>
        <w:t>Huang et al., 2020</w:t>
      </w:r>
      <w:r w:rsidR="4BF518B1" w:rsidRPr="10D1FD28">
        <w:rPr>
          <w:rFonts w:ascii="Garamond" w:hAnsi="Garamond"/>
        </w:rPr>
        <w:t xml:space="preserve">), with one recent study using ECOSTRESS ET and WUE products to analyze how plant stress impacted burn severity over different time periods and vegetation types for six California wildfires </w:t>
      </w:r>
      <w:r w:rsidRPr="10D1FD28">
        <w:rPr>
          <w:rFonts w:ascii="Garamond" w:hAnsi="Garamond"/>
        </w:rPr>
        <w:t>(</w:t>
      </w:r>
      <w:proofErr w:type="spellStart"/>
      <w:r w:rsidRPr="10D1FD28">
        <w:rPr>
          <w:rFonts w:ascii="Garamond" w:hAnsi="Garamond"/>
        </w:rPr>
        <w:t>Pascolini</w:t>
      </w:r>
      <w:proofErr w:type="spellEnd"/>
      <w:r w:rsidRPr="10D1FD28">
        <w:rPr>
          <w:rFonts w:ascii="Garamond" w:hAnsi="Garamond"/>
        </w:rPr>
        <w:t>-Campbell et al., 2022).</w:t>
      </w:r>
    </w:p>
    <w:p w14:paraId="1BD73BF9" w14:textId="0C96CAF7" w:rsidR="422C0B4F" w:rsidRDefault="422C0B4F" w:rsidP="422C0B4F">
      <w:pPr>
        <w:spacing w:after="0" w:line="240" w:lineRule="auto"/>
        <w:rPr>
          <w:rFonts w:ascii="Garamond" w:hAnsi="Garamond"/>
        </w:rPr>
      </w:pPr>
    </w:p>
    <w:p w14:paraId="56EFA36A" w14:textId="5765763D" w:rsidR="002F3BDF" w:rsidRPr="0066138C" w:rsidRDefault="68BBC6B9" w:rsidP="65CB079E">
      <w:pPr>
        <w:pStyle w:val="Normal0"/>
        <w:spacing w:after="0" w:line="240" w:lineRule="auto"/>
        <w:rPr>
          <w:rFonts w:ascii="Garamond" w:eastAsia="Garamond" w:hAnsi="Garamond" w:cs="Garamond"/>
          <w:color w:val="000000" w:themeColor="text1"/>
        </w:rPr>
      </w:pPr>
      <w:r w:rsidRPr="10D1FD28">
        <w:rPr>
          <w:rFonts w:ascii="Garamond" w:eastAsia="Garamond" w:hAnsi="Garamond" w:cs="Garamond"/>
        </w:rPr>
        <w:t>The team focused on analyzing vegetation moisture in Klamath and Lake counties in southern Oregon for 2019</w:t>
      </w:r>
      <w:r w:rsidRPr="10D1FD28">
        <w:rPr>
          <w:rFonts w:ascii="Garamond" w:hAnsi="Garamond" w:cs="Arial"/>
        </w:rPr>
        <w:t>–</w:t>
      </w:r>
      <w:r w:rsidRPr="10D1FD28">
        <w:rPr>
          <w:rFonts w:ascii="Garamond" w:eastAsia="Garamond" w:hAnsi="Garamond" w:cs="Garamond"/>
        </w:rPr>
        <w:t xml:space="preserve">2021 using ECOSTRESS daily ET products. WUE was incorporated as a supporting vegetation moisture parameter for pre-fire conditions in the study area. Both Oregon counties were affected by the Bootleg Fire, a massive wildfire in the </w:t>
      </w:r>
      <w:r w:rsidR="053D083C" w:rsidRPr="10D1FD28">
        <w:rPr>
          <w:rFonts w:ascii="Garamond" w:eastAsia="Garamond" w:hAnsi="Garamond" w:cs="Garamond"/>
        </w:rPr>
        <w:t>Fremont-</w:t>
      </w:r>
      <w:proofErr w:type="spellStart"/>
      <w:r w:rsidR="053D083C" w:rsidRPr="10D1FD28">
        <w:rPr>
          <w:rFonts w:ascii="Garamond" w:eastAsia="Garamond" w:hAnsi="Garamond" w:cs="Garamond"/>
        </w:rPr>
        <w:t>Winema</w:t>
      </w:r>
      <w:proofErr w:type="spellEnd"/>
      <w:r w:rsidR="053D083C" w:rsidRPr="10D1FD28">
        <w:rPr>
          <w:rFonts w:ascii="Garamond" w:eastAsia="Garamond" w:hAnsi="Garamond" w:cs="Garamond"/>
        </w:rPr>
        <w:t xml:space="preserve"> National Forest </w:t>
      </w:r>
      <w:r w:rsidRPr="10D1FD28">
        <w:rPr>
          <w:rFonts w:ascii="Garamond" w:eastAsia="Garamond" w:hAnsi="Garamond" w:cs="Garamond"/>
        </w:rPr>
        <w:t xml:space="preserve">which began on </w:t>
      </w:r>
      <w:proofErr w:type="gramStart"/>
      <w:r w:rsidRPr="10D1FD28">
        <w:rPr>
          <w:rFonts w:ascii="Garamond" w:eastAsia="Garamond" w:hAnsi="Garamond" w:cs="Garamond"/>
        </w:rPr>
        <w:t>July 6</w:t>
      </w:r>
      <w:r w:rsidRPr="10D1FD28">
        <w:rPr>
          <w:rFonts w:ascii="Garamond" w:eastAsia="Garamond" w:hAnsi="Garamond" w:cs="Garamond"/>
          <w:vertAlign w:val="superscript"/>
        </w:rPr>
        <w:t>th</w:t>
      </w:r>
      <w:r w:rsidRPr="10D1FD28">
        <w:rPr>
          <w:rFonts w:ascii="Garamond" w:eastAsia="Garamond" w:hAnsi="Garamond" w:cs="Garamond"/>
        </w:rPr>
        <w:t>, 2021, and</w:t>
      </w:r>
      <w:proofErr w:type="gramEnd"/>
      <w:r w:rsidRPr="10D1FD28">
        <w:rPr>
          <w:rFonts w:ascii="Garamond" w:eastAsia="Garamond" w:hAnsi="Garamond" w:cs="Garamond"/>
        </w:rPr>
        <w:t xml:space="preserve"> burned approximately 1675 km</w:t>
      </w:r>
      <w:r w:rsidRPr="00E27AC4">
        <w:rPr>
          <w:rFonts w:ascii="Garamond" w:eastAsia="Garamond" w:hAnsi="Garamond" w:cs="Garamond"/>
          <w:vertAlign w:val="superscript"/>
        </w:rPr>
        <w:t>2</w:t>
      </w:r>
      <w:r w:rsidRPr="10D1FD28">
        <w:rPr>
          <w:rFonts w:ascii="Garamond" w:eastAsia="Garamond" w:hAnsi="Garamond" w:cs="Garamond"/>
        </w:rPr>
        <w:t xml:space="preserve"> before it was fully contained on August 15</w:t>
      </w:r>
      <w:r w:rsidRPr="10D1FD28">
        <w:rPr>
          <w:rFonts w:ascii="Garamond" w:eastAsia="Garamond" w:hAnsi="Garamond" w:cs="Garamond"/>
          <w:vertAlign w:val="superscript"/>
        </w:rPr>
        <w:t>th</w:t>
      </w:r>
      <w:r w:rsidRPr="10D1FD28">
        <w:rPr>
          <w:rFonts w:ascii="Garamond" w:eastAsia="Garamond" w:hAnsi="Garamond" w:cs="Garamond"/>
        </w:rPr>
        <w:t>, 2021 (</w:t>
      </w:r>
      <w:proofErr w:type="spellStart"/>
      <w:r w:rsidRPr="10D1FD28">
        <w:rPr>
          <w:rFonts w:ascii="Garamond" w:eastAsia="Garamond" w:hAnsi="Garamond" w:cs="Garamond"/>
        </w:rPr>
        <w:t>Inciweb</w:t>
      </w:r>
      <w:proofErr w:type="spellEnd"/>
      <w:r w:rsidRPr="10D1FD28">
        <w:rPr>
          <w:rFonts w:ascii="Garamond" w:eastAsia="Garamond" w:hAnsi="Garamond" w:cs="Garamond"/>
        </w:rPr>
        <w:t>, n.d.; Figure 1). Due to changes in the fire’s perimeter over its duration, the team used the heat perimeter established on August 5</w:t>
      </w:r>
      <w:r w:rsidRPr="10D1FD28">
        <w:rPr>
          <w:rFonts w:ascii="Garamond" w:eastAsia="Garamond" w:hAnsi="Garamond" w:cs="Garamond"/>
          <w:vertAlign w:val="superscript"/>
        </w:rPr>
        <w:t>th</w:t>
      </w:r>
      <w:r w:rsidRPr="10D1FD28">
        <w:rPr>
          <w:rFonts w:ascii="Garamond" w:eastAsia="Garamond" w:hAnsi="Garamond" w:cs="Garamond"/>
        </w:rPr>
        <w:t xml:space="preserve">, </w:t>
      </w:r>
      <w:proofErr w:type="gramStart"/>
      <w:r w:rsidRPr="10D1FD28">
        <w:rPr>
          <w:rFonts w:ascii="Garamond" w:eastAsia="Garamond" w:hAnsi="Garamond" w:cs="Garamond"/>
        </w:rPr>
        <w:t>2021</w:t>
      </w:r>
      <w:proofErr w:type="gramEnd"/>
      <w:r w:rsidRPr="10D1FD28">
        <w:rPr>
          <w:rFonts w:ascii="Garamond" w:eastAsia="Garamond" w:hAnsi="Garamond" w:cs="Garamond"/>
        </w:rPr>
        <w:t xml:space="preserve"> as the Bootleg Fire extent for analysis. The Bootleg Fire area covers a variety of vegetation types, including areas with mixed grasses and shrubs, open and dense timber stands, as well as dry meadows (</w:t>
      </w:r>
      <w:proofErr w:type="spellStart"/>
      <w:r w:rsidRPr="10D1FD28">
        <w:rPr>
          <w:rFonts w:ascii="Garamond" w:eastAsia="Garamond" w:hAnsi="Garamond" w:cs="Garamond"/>
        </w:rPr>
        <w:t>Inciweb</w:t>
      </w:r>
      <w:proofErr w:type="spellEnd"/>
      <w:r w:rsidRPr="10D1FD28">
        <w:rPr>
          <w:rFonts w:ascii="Garamond" w:eastAsia="Garamond" w:hAnsi="Garamond" w:cs="Garamond"/>
        </w:rPr>
        <w:t>, n.d.). Elevations in the Bootleg Fire area ranged from approximately 1,300 to 2,500 m, with higher burn severity in areas with higher elevation (</w:t>
      </w:r>
      <w:proofErr w:type="spellStart"/>
      <w:r w:rsidRPr="10D1FD28">
        <w:rPr>
          <w:rFonts w:ascii="Garamond" w:eastAsia="Garamond" w:hAnsi="Garamond" w:cs="Garamond"/>
        </w:rPr>
        <w:t>Inciweb</w:t>
      </w:r>
      <w:proofErr w:type="spellEnd"/>
      <w:r w:rsidRPr="10D1FD28">
        <w:rPr>
          <w:rFonts w:ascii="Garamond" w:eastAsia="Garamond" w:hAnsi="Garamond" w:cs="Garamond"/>
        </w:rPr>
        <w:t>, n.d.). The team explored how topography and different vegetation characteristics interacted with vegetation moisture during the Bootleg Fire and how these parameters impacted soil burn severity within the wildfire perimeter. Soil b</w:t>
      </w:r>
      <w:r w:rsidR="06F143C2" w:rsidRPr="10D1FD28">
        <w:rPr>
          <w:rFonts w:ascii="Garamond" w:eastAsia="Garamond" w:hAnsi="Garamond" w:cs="Garamond"/>
          <w:color w:val="000000" w:themeColor="text1"/>
        </w:rPr>
        <w:t>urn severity was classed as unburned, low, moderate, and high, and was determined from the Burn Area Emergency Response (BAER) Soil Burn Severity (SBS) Map. For topography and biomass density, w</w:t>
      </w:r>
      <w:r w:rsidRPr="10D1FD28">
        <w:rPr>
          <w:rFonts w:ascii="Garamond" w:eastAsia="Garamond" w:hAnsi="Garamond" w:cs="Garamond"/>
        </w:rPr>
        <w:t xml:space="preserve">e used </w:t>
      </w:r>
      <w:r w:rsidR="44D4786C" w:rsidRPr="10D1FD28">
        <w:rPr>
          <w:rFonts w:ascii="Garamond" w:eastAsia="Garamond" w:hAnsi="Garamond" w:cs="Garamond"/>
        </w:rPr>
        <w:t>E</w:t>
      </w:r>
      <w:r w:rsidRPr="10D1FD28">
        <w:rPr>
          <w:rFonts w:ascii="Garamond" w:eastAsia="Garamond" w:hAnsi="Garamond" w:cs="Garamond"/>
        </w:rPr>
        <w:t xml:space="preserve">arth observations from the Shuttle Radar Topography Mission (SRTM) and Global Ecosystem Dynamics Investigation (GEDI). Ancillary data from the </w:t>
      </w:r>
      <w:r w:rsidR="06F143C2" w:rsidRPr="10D1FD28">
        <w:rPr>
          <w:rFonts w:ascii="Garamond" w:eastAsia="Garamond" w:hAnsi="Garamond" w:cs="Garamond"/>
          <w:color w:val="000000" w:themeColor="text1"/>
        </w:rPr>
        <w:t xml:space="preserve">National Landcover Database (NLCD) developed by the </w:t>
      </w:r>
      <w:r w:rsidRPr="10D1FD28">
        <w:rPr>
          <w:rFonts w:ascii="Garamond" w:eastAsia="Garamond" w:hAnsi="Garamond" w:cs="Garamond"/>
        </w:rPr>
        <w:t>Multi-Resolution Land Characteristics (MRLC)</w:t>
      </w:r>
      <w:r w:rsidR="06F143C2" w:rsidRPr="10D1FD28">
        <w:rPr>
          <w:rFonts w:ascii="Garamond" w:eastAsia="Garamond" w:hAnsi="Garamond" w:cs="Garamond"/>
          <w:color w:val="000000" w:themeColor="text1"/>
        </w:rPr>
        <w:t xml:space="preserve"> and Existing Vegetation Type (EVT) from the </w:t>
      </w:r>
      <w:r w:rsidR="645C1B99" w:rsidRPr="10D1FD28">
        <w:rPr>
          <w:rFonts w:ascii="Garamond" w:eastAsia="Garamond" w:hAnsi="Garamond" w:cs="Garamond"/>
          <w:color w:val="000000" w:themeColor="text1"/>
        </w:rPr>
        <w:t>Landscape Fire Resource Management Planning Tools (LANDFIRE)</w:t>
      </w:r>
      <w:r w:rsidR="06F143C2" w:rsidRPr="10D1FD28">
        <w:rPr>
          <w:rFonts w:ascii="Garamond" w:eastAsia="Garamond" w:hAnsi="Garamond" w:cs="Garamond"/>
          <w:color w:val="000000" w:themeColor="text1"/>
        </w:rPr>
        <w:t xml:space="preserve"> was incorporated for land cover classification and existing vegetation type. </w:t>
      </w:r>
    </w:p>
    <w:p w14:paraId="4F8A289A" w14:textId="14213026" w:rsidR="65CB079E" w:rsidRDefault="65CB079E" w:rsidP="65CB079E">
      <w:pPr>
        <w:pStyle w:val="Normal0"/>
        <w:spacing w:after="0" w:line="240" w:lineRule="auto"/>
        <w:rPr>
          <w:rFonts w:ascii="Garamond" w:eastAsia="Garamond" w:hAnsi="Garamond" w:cs="Garamond"/>
          <w:color w:val="000000" w:themeColor="text1"/>
        </w:rPr>
      </w:pPr>
    </w:p>
    <w:p w14:paraId="16AB73B8" w14:textId="0F2CCAD0" w:rsidR="002F3BDF" w:rsidRPr="0066138C" w:rsidRDefault="24646EF2" w:rsidP="37848BF8">
      <w:pPr>
        <w:spacing w:after="0" w:line="240" w:lineRule="auto"/>
        <w:jc w:val="center"/>
      </w:pPr>
      <w:r>
        <w:rPr>
          <w:noProof/>
        </w:rPr>
        <w:drawing>
          <wp:inline distT="0" distB="0" distL="0" distR="0" wp14:anchorId="3E88CDBA" wp14:editId="3EA58BD5">
            <wp:extent cx="5260438" cy="3306653"/>
            <wp:effectExtent l="0" t="0" r="0" b="0"/>
            <wp:docPr id="329882243" name="Picture 32988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6300" t="15873" r="10045" b="16093"/>
                    <a:stretch>
                      <a:fillRect/>
                    </a:stretch>
                  </pic:blipFill>
                  <pic:spPr>
                    <a:xfrm>
                      <a:off x="0" y="0"/>
                      <a:ext cx="5260438" cy="3306653"/>
                    </a:xfrm>
                    <a:prstGeom prst="rect">
                      <a:avLst/>
                    </a:prstGeom>
                  </pic:spPr>
                </pic:pic>
              </a:graphicData>
            </a:graphic>
          </wp:inline>
        </w:drawing>
      </w:r>
    </w:p>
    <w:p w14:paraId="2B3D27A3" w14:textId="3924FCA6" w:rsidR="422C0B4F" w:rsidRDefault="422C0B4F" w:rsidP="7A028EE4">
      <w:pPr>
        <w:spacing w:line="240" w:lineRule="auto"/>
        <w:jc w:val="center"/>
        <w:rPr>
          <w:rFonts w:ascii="Garamond" w:eastAsia="Garamond" w:hAnsi="Garamond" w:cs="Garamond"/>
          <w:color w:val="000000" w:themeColor="text1"/>
        </w:rPr>
      </w:pPr>
      <w:r w:rsidRPr="7A028EE4">
        <w:rPr>
          <w:rFonts w:ascii="Garamond" w:eastAsia="Garamond" w:hAnsi="Garamond" w:cs="Garamond"/>
          <w:i/>
          <w:iCs/>
          <w:color w:val="000000" w:themeColor="text1"/>
        </w:rPr>
        <w:t xml:space="preserve">Figure 1. </w:t>
      </w:r>
      <w:r w:rsidRPr="7A028EE4">
        <w:rPr>
          <w:rFonts w:ascii="Garamond" w:eastAsia="Garamond" w:hAnsi="Garamond" w:cs="Garamond"/>
          <w:color w:val="000000" w:themeColor="text1"/>
        </w:rPr>
        <w:t xml:space="preserve">Study area encompassing Klamath and Lake counties in southern Oregon. The Bootleg Fire area is situated in the middle of these two counties in the </w:t>
      </w:r>
      <w:r w:rsidR="7A028EE4" w:rsidRPr="7A028EE4">
        <w:rPr>
          <w:rFonts w:ascii="Garamond" w:eastAsia="Garamond" w:hAnsi="Garamond" w:cs="Garamond"/>
        </w:rPr>
        <w:t>Fremont-</w:t>
      </w:r>
      <w:proofErr w:type="spellStart"/>
      <w:r w:rsidR="7A028EE4" w:rsidRPr="7A028EE4">
        <w:rPr>
          <w:rFonts w:ascii="Garamond" w:eastAsia="Garamond" w:hAnsi="Garamond" w:cs="Garamond"/>
        </w:rPr>
        <w:t>Winema</w:t>
      </w:r>
      <w:proofErr w:type="spellEnd"/>
      <w:r w:rsidR="7A028EE4" w:rsidRPr="7A028EE4">
        <w:rPr>
          <w:rFonts w:ascii="Garamond" w:eastAsia="Garamond" w:hAnsi="Garamond" w:cs="Garamond"/>
        </w:rPr>
        <w:t xml:space="preserve"> National Forest</w:t>
      </w:r>
      <w:r w:rsidRPr="7A028EE4">
        <w:rPr>
          <w:rFonts w:ascii="Garamond" w:eastAsia="Garamond" w:hAnsi="Garamond" w:cs="Garamond"/>
          <w:color w:val="000000" w:themeColor="text1"/>
        </w:rPr>
        <w:t>.</w:t>
      </w:r>
    </w:p>
    <w:p w14:paraId="76681630" w14:textId="4D10C887" w:rsidR="422C0B4F" w:rsidRDefault="422C0B4F" w:rsidP="00E27AC4">
      <w:pPr>
        <w:spacing w:after="0" w:line="240" w:lineRule="auto"/>
        <w:rPr>
          <w:rFonts w:ascii="Garamond" w:eastAsia="Garamond" w:hAnsi="Garamond" w:cs="Garamond"/>
          <w:b/>
          <w:bCs/>
          <w:i/>
          <w:iCs/>
          <w:color w:val="000000" w:themeColor="text1"/>
        </w:rPr>
      </w:pPr>
      <w:r w:rsidRPr="34252C20">
        <w:rPr>
          <w:rFonts w:ascii="Garamond" w:eastAsia="Garamond" w:hAnsi="Garamond" w:cs="Garamond"/>
          <w:b/>
          <w:bCs/>
          <w:i/>
          <w:iCs/>
          <w:color w:val="000000" w:themeColor="text1"/>
        </w:rPr>
        <w:t>2.2 Project Partners &amp; Objectives</w:t>
      </w:r>
    </w:p>
    <w:p w14:paraId="179A7E39" w14:textId="0B8C3C76" w:rsidR="7A028EE4" w:rsidRDefault="08CDEB90" w:rsidP="36524CC5">
      <w:pPr>
        <w:spacing w:after="0" w:line="240" w:lineRule="auto"/>
        <w:rPr>
          <w:rFonts w:ascii="Garamond" w:eastAsia="Garamond" w:hAnsi="Garamond" w:cs="Garamond"/>
        </w:rPr>
      </w:pPr>
      <w:r w:rsidRPr="2C7D0C34">
        <w:rPr>
          <w:rFonts w:ascii="Garamond" w:eastAsia="Garamond" w:hAnsi="Garamond" w:cs="Garamond"/>
          <w:color w:val="000000" w:themeColor="text1"/>
        </w:rPr>
        <w:t>The US Forest Service (USFS) strives to protect the health, diversity, and productivity of the nation's forests and grasslands by managing wildfire. The</w:t>
      </w:r>
      <w:r w:rsidR="1A0C4228" w:rsidRPr="2C7D0C34">
        <w:rPr>
          <w:rFonts w:ascii="Garamond" w:hAnsi="Garamond"/>
        </w:rPr>
        <w:t xml:space="preserve"> Pacific Northwest National Laboratory (PNNL) is a multi-</w:t>
      </w:r>
      <w:r w:rsidR="1A0C4228" w:rsidRPr="2C7D0C34">
        <w:rPr>
          <w:rFonts w:ascii="Garamond" w:hAnsi="Garamond"/>
        </w:rPr>
        <w:lastRenderedPageBreak/>
        <w:t xml:space="preserve">disciplinary research organization supporting the USFS in the prediction of wildfire behavior through the use of satellite imagery. These project partners want updated data to use in wildfire monitoring across the western United States. With the guidance of </w:t>
      </w:r>
      <w:r w:rsidR="37754C1A" w:rsidRPr="2C7D0C34">
        <w:rPr>
          <w:rStyle w:val="normaltextrun"/>
          <w:rFonts w:ascii="Garamond" w:hAnsi="Garamond"/>
          <w:color w:val="000000" w:themeColor="text1"/>
        </w:rPr>
        <w:t>PNNL, the team used ECOSTRESS daily ET and WUE products in a case study of the 2021 Bootleg Fire to analyze vegetation moisture as a fire risk indicator. The team created maps and time series with high resolution ECOSTRESS data, assessed ET as a fire risk indicator, and demonstrated the feasibility of using ECOSTRESS data</w:t>
      </w:r>
      <w:r w:rsidR="37754C1A" w:rsidRPr="2C7D0C34">
        <w:rPr>
          <w:rFonts w:ascii="Garamond" w:eastAsia="Garamond" w:hAnsi="Garamond" w:cs="Garamond"/>
        </w:rPr>
        <w:t xml:space="preserve"> </w:t>
      </w:r>
      <w:r w:rsidRPr="2C7D0C34">
        <w:rPr>
          <w:rFonts w:ascii="Garamond" w:eastAsia="Garamond" w:hAnsi="Garamond" w:cs="Garamond"/>
        </w:rPr>
        <w:t>to better characterize pre-fire vegetation moisture</w:t>
      </w:r>
      <w:r w:rsidR="37754C1A" w:rsidRPr="2C7D0C34">
        <w:rPr>
          <w:rFonts w:ascii="Garamond" w:eastAsia="Garamond" w:hAnsi="Garamond" w:cs="Garamond"/>
        </w:rPr>
        <w:t xml:space="preserve">. </w:t>
      </w:r>
      <w:r w:rsidR="37754C1A" w:rsidRPr="2C7D0C34">
        <w:rPr>
          <w:rStyle w:val="normaltextrun"/>
          <w:rFonts w:ascii="Garamond" w:hAnsi="Garamond"/>
          <w:color w:val="000000" w:themeColor="text1"/>
        </w:rPr>
        <w:t xml:space="preserve">The results of the team’s analysis </w:t>
      </w:r>
      <w:r w:rsidR="7AE14CE1" w:rsidRPr="2C7D0C34">
        <w:rPr>
          <w:rFonts w:ascii="Garamond" w:eastAsia="Garamond" w:hAnsi="Garamond" w:cs="Garamond"/>
          <w:color w:val="000000" w:themeColor="text1"/>
        </w:rPr>
        <w:t>will allow the partners to assess if high resolution vegetation moisture datasets from ECOSTRESS will improve wildfire modeling for other susceptible areas.</w:t>
      </w:r>
    </w:p>
    <w:p w14:paraId="1E6FDF6A" w14:textId="1089ADB9" w:rsidR="0066138C" w:rsidRPr="0066138C" w:rsidRDefault="0066138C" w:rsidP="7A028EE4">
      <w:pPr>
        <w:spacing w:after="0" w:line="259" w:lineRule="auto"/>
        <w:rPr>
          <w:rFonts w:ascii="Garamond" w:eastAsia="Garamond" w:hAnsi="Garamond" w:cs="Garamond"/>
          <w:color w:val="000000" w:themeColor="text1"/>
        </w:rPr>
      </w:pPr>
    </w:p>
    <w:p w14:paraId="24F8D8B5" w14:textId="45F75AAB" w:rsidR="00E41324" w:rsidRPr="00145FA8" w:rsidRDefault="1AB4F3E9" w:rsidP="422C0B4F">
      <w:pPr>
        <w:pStyle w:val="Heading1"/>
        <w:spacing w:before="0" w:line="240" w:lineRule="auto"/>
        <w:rPr>
          <w:rFonts w:ascii="Garamond" w:hAnsi="Garamond"/>
        </w:rPr>
      </w:pPr>
      <w:bookmarkStart w:id="2" w:name="_Toc334198726"/>
      <w:r w:rsidRPr="36524CC5">
        <w:rPr>
          <w:rFonts w:ascii="Garamond" w:hAnsi="Garamond"/>
        </w:rPr>
        <w:t>3</w:t>
      </w:r>
      <w:r w:rsidR="0864B896" w:rsidRPr="36524CC5">
        <w:rPr>
          <w:rFonts w:ascii="Garamond" w:hAnsi="Garamond"/>
        </w:rPr>
        <w:t xml:space="preserve">. </w:t>
      </w:r>
      <w:r w:rsidR="53F4408B" w:rsidRPr="36524CC5">
        <w:rPr>
          <w:rFonts w:ascii="Garamond" w:hAnsi="Garamond"/>
        </w:rPr>
        <w:t>Methodology</w:t>
      </w:r>
      <w:bookmarkEnd w:id="2"/>
    </w:p>
    <w:p w14:paraId="57312D48" w14:textId="20156CCF" w:rsidR="37848BF8" w:rsidRDefault="4DE4CFE8" w:rsidP="5C31A34A">
      <w:pPr>
        <w:spacing w:after="0" w:line="240" w:lineRule="auto"/>
        <w:rPr>
          <w:rFonts w:ascii="Garamond" w:hAnsi="Garamond" w:cs="Arial"/>
          <w:b/>
          <w:bCs/>
          <w:i/>
          <w:iCs/>
        </w:rPr>
      </w:pPr>
      <w:r w:rsidRPr="5C31A34A">
        <w:rPr>
          <w:rFonts w:ascii="Garamond" w:hAnsi="Garamond" w:cs="Arial"/>
          <w:b/>
          <w:bCs/>
          <w:i/>
          <w:iCs/>
        </w:rPr>
        <w:t xml:space="preserve">3.1 </w:t>
      </w:r>
      <w:r w:rsidRPr="5C31A34A">
        <w:rPr>
          <w:rFonts w:ascii="Garamond" w:hAnsi="Garamond"/>
          <w:b/>
          <w:bCs/>
          <w:i/>
          <w:iCs/>
        </w:rPr>
        <w:t>Data Acquisition</w:t>
      </w:r>
      <w:r w:rsidRPr="5C31A34A">
        <w:rPr>
          <w:rFonts w:ascii="Garamond" w:hAnsi="Garamond" w:cs="Arial"/>
          <w:b/>
          <w:bCs/>
          <w:i/>
          <w:iCs/>
        </w:rPr>
        <w:t xml:space="preserve"> </w:t>
      </w:r>
    </w:p>
    <w:p w14:paraId="6D9A2ADB" w14:textId="6A75EC7B" w:rsidR="37848BF8" w:rsidRDefault="3E700630" w:rsidP="7E9C04BA">
      <w:pPr>
        <w:spacing w:after="0" w:line="240" w:lineRule="auto"/>
        <w:rPr>
          <w:rFonts w:ascii="Garamond" w:eastAsia="Garamond" w:hAnsi="Garamond" w:cs="Garamond"/>
          <w:color w:val="000000" w:themeColor="text1"/>
        </w:rPr>
      </w:pPr>
      <w:r w:rsidRPr="10D1FD28">
        <w:rPr>
          <w:rFonts w:ascii="Garamond" w:eastAsia="Garamond" w:hAnsi="Garamond" w:cs="Garamond"/>
        </w:rPr>
        <w:t>The</w:t>
      </w:r>
      <w:r w:rsidRPr="10D1FD28">
        <w:rPr>
          <w:rFonts w:ascii="Garamond" w:eastAsia="Garamond" w:hAnsi="Garamond" w:cs="Garamond"/>
          <w:color w:val="000000" w:themeColor="text1"/>
        </w:rPr>
        <w:t xml:space="preserve"> team acquired Earth observation data products from the </w:t>
      </w:r>
      <w:r w:rsidR="35550013" w:rsidRPr="10D1FD28">
        <w:rPr>
          <w:rFonts w:ascii="Garamond" w:eastAsia="Garamond" w:hAnsi="Garamond" w:cs="Garamond"/>
          <w:color w:val="000000" w:themeColor="text1"/>
        </w:rPr>
        <w:t xml:space="preserve">Land Processes Distributed Active Archive Center Application for Extracting and Exploring Analysis Ready Samples (LP DAAC </w:t>
      </w:r>
      <w:proofErr w:type="spellStart"/>
      <w:r w:rsidR="35550013" w:rsidRPr="10D1FD28">
        <w:rPr>
          <w:rFonts w:ascii="Garamond" w:eastAsia="Garamond" w:hAnsi="Garamond" w:cs="Garamond"/>
          <w:color w:val="000000" w:themeColor="text1"/>
        </w:rPr>
        <w:t>AppEEARS</w:t>
      </w:r>
      <w:proofErr w:type="spellEnd"/>
      <w:r w:rsidR="35550013" w:rsidRPr="10D1FD28">
        <w:rPr>
          <w:rFonts w:ascii="Garamond" w:eastAsia="Garamond" w:hAnsi="Garamond" w:cs="Garamond"/>
          <w:color w:val="000000" w:themeColor="text1"/>
        </w:rPr>
        <w:t>) and</w:t>
      </w:r>
      <w:r w:rsidR="4957F0A5" w:rsidRPr="10D1FD28">
        <w:rPr>
          <w:rFonts w:ascii="Garamond" w:eastAsia="Garamond" w:hAnsi="Garamond" w:cs="Garamond"/>
        </w:rPr>
        <w:t xml:space="preserve"> </w:t>
      </w:r>
      <w:r w:rsidR="35550013" w:rsidRPr="10D1FD28">
        <w:rPr>
          <w:rFonts w:ascii="Garamond" w:eastAsia="Garamond" w:hAnsi="Garamond" w:cs="Garamond"/>
          <w:color w:val="000000" w:themeColor="text1"/>
        </w:rPr>
        <w:t>the Oak Ridge National Laboratory Distributed Active Archive Center (ORNL DAAC) (Table 1)</w:t>
      </w:r>
      <w:r w:rsidRPr="10D1FD28">
        <w:rPr>
          <w:rFonts w:ascii="Garamond" w:eastAsia="Garamond" w:hAnsi="Garamond" w:cs="Garamond"/>
          <w:color w:val="000000" w:themeColor="text1"/>
        </w:rPr>
        <w:t xml:space="preserve">. Ancillary data </w:t>
      </w:r>
      <w:r w:rsidR="3D4EA6CB" w:rsidRPr="10D1FD28">
        <w:rPr>
          <w:rFonts w:ascii="Garamond" w:eastAsia="Garamond" w:hAnsi="Garamond" w:cs="Garamond"/>
          <w:color w:val="000000" w:themeColor="text1"/>
        </w:rPr>
        <w:t xml:space="preserve">were </w:t>
      </w:r>
      <w:r w:rsidRPr="10D1FD28">
        <w:rPr>
          <w:rFonts w:ascii="Garamond" w:eastAsia="Garamond" w:hAnsi="Garamond" w:cs="Garamond"/>
          <w:color w:val="000000" w:themeColor="text1"/>
        </w:rPr>
        <w:t xml:space="preserve">also used in the team’s analysis (Table 2). </w:t>
      </w:r>
    </w:p>
    <w:p w14:paraId="7982B108" w14:textId="32EEFA95" w:rsidR="37848BF8" w:rsidRDefault="37848BF8" w:rsidP="1234300F">
      <w:pPr>
        <w:spacing w:after="0" w:line="240" w:lineRule="auto"/>
        <w:rPr>
          <w:rFonts w:ascii="Garamond" w:eastAsia="Garamond" w:hAnsi="Garamond" w:cs="Garamond"/>
          <w:color w:val="000000" w:themeColor="text1"/>
        </w:rPr>
      </w:pPr>
    </w:p>
    <w:p w14:paraId="2A6411D0" w14:textId="6F7C2503" w:rsidR="37848BF8" w:rsidRDefault="1469DDCF" w:rsidP="37848BF8">
      <w:pPr>
        <w:spacing w:after="0" w:line="240" w:lineRule="auto"/>
        <w:rPr>
          <w:rFonts w:ascii="Garamond" w:hAnsi="Garamond" w:cs="Arial"/>
        </w:rPr>
      </w:pPr>
      <w:r w:rsidRPr="1234300F">
        <w:rPr>
          <w:rFonts w:ascii="Garamond" w:hAnsi="Garamond" w:cs="Arial"/>
        </w:rPr>
        <w:t>Table 1.</w:t>
      </w:r>
    </w:p>
    <w:p w14:paraId="03365969" w14:textId="12B1F59E" w:rsidR="37848BF8" w:rsidRDefault="37848BF8" w:rsidP="36524CC5">
      <w:pPr>
        <w:spacing w:after="0" w:line="240" w:lineRule="auto"/>
        <w:rPr>
          <w:rFonts w:ascii="Garamond" w:hAnsi="Garamond" w:cs="Arial"/>
          <w:i/>
          <w:iCs/>
        </w:rPr>
      </w:pPr>
      <w:r w:rsidRPr="36524CC5">
        <w:rPr>
          <w:rFonts w:ascii="Garamond" w:hAnsi="Garamond" w:cs="Arial"/>
          <w:i/>
          <w:iCs/>
        </w:rPr>
        <w:t>List of sensors and data products utilized for this project.</w:t>
      </w:r>
    </w:p>
    <w:tbl>
      <w:tblPr>
        <w:tblStyle w:val="TableGrid"/>
        <w:tblW w:w="9360" w:type="dxa"/>
        <w:tblInd w:w="0" w:type="dxa"/>
        <w:tblLayout w:type="fixed"/>
        <w:tblLook w:val="06A0" w:firstRow="1" w:lastRow="0" w:firstColumn="1" w:lastColumn="0" w:noHBand="1" w:noVBand="1"/>
      </w:tblPr>
      <w:tblGrid>
        <w:gridCol w:w="1735"/>
        <w:gridCol w:w="2010"/>
        <w:gridCol w:w="1949"/>
        <w:gridCol w:w="1794"/>
        <w:gridCol w:w="1872"/>
      </w:tblGrid>
      <w:tr w:rsidR="37848BF8" w14:paraId="6E5840B4" w14:textId="77777777" w:rsidTr="10D1FD28">
        <w:trPr>
          <w:trHeight w:val="692"/>
        </w:trPr>
        <w:tc>
          <w:tcPr>
            <w:tcW w:w="1735" w:type="dxa"/>
            <w:vAlign w:val="center"/>
          </w:tcPr>
          <w:p w14:paraId="374E81FF" w14:textId="4BBF83D8" w:rsidR="37848BF8" w:rsidRPr="00E27AC4" w:rsidRDefault="68D13031" w:rsidP="10D1FD28">
            <w:pPr>
              <w:jc w:val="center"/>
              <w:rPr>
                <w:rFonts w:ascii="Garamond" w:hAnsi="Garamond" w:cs="Arial"/>
                <w:i/>
                <w:iCs/>
              </w:rPr>
            </w:pPr>
            <w:r w:rsidRPr="00E27AC4">
              <w:rPr>
                <w:rFonts w:ascii="Garamond" w:hAnsi="Garamond" w:cs="Arial"/>
                <w:b/>
                <w:bCs/>
              </w:rPr>
              <w:t>Platform and Sensor</w:t>
            </w:r>
          </w:p>
        </w:tc>
        <w:tc>
          <w:tcPr>
            <w:tcW w:w="2010" w:type="dxa"/>
            <w:vAlign w:val="center"/>
          </w:tcPr>
          <w:p w14:paraId="5DAA376F" w14:textId="715FC40D" w:rsidR="37848BF8" w:rsidRPr="00E27AC4" w:rsidRDefault="68D13031" w:rsidP="10D1FD28">
            <w:pPr>
              <w:jc w:val="center"/>
              <w:rPr>
                <w:rFonts w:ascii="Garamond" w:hAnsi="Garamond" w:cs="Arial"/>
                <w:b/>
                <w:bCs/>
              </w:rPr>
            </w:pPr>
            <w:r w:rsidRPr="00E27AC4">
              <w:rPr>
                <w:rFonts w:ascii="Garamond" w:hAnsi="Garamond" w:cs="Arial"/>
                <w:b/>
                <w:bCs/>
              </w:rPr>
              <w:t>Data Products</w:t>
            </w:r>
          </w:p>
        </w:tc>
        <w:tc>
          <w:tcPr>
            <w:tcW w:w="1949" w:type="dxa"/>
            <w:vAlign w:val="center"/>
          </w:tcPr>
          <w:p w14:paraId="3DE70198" w14:textId="19684BED" w:rsidR="37848BF8" w:rsidRPr="00E27AC4" w:rsidRDefault="68D13031" w:rsidP="10D1FD28">
            <w:pPr>
              <w:jc w:val="center"/>
              <w:rPr>
                <w:rFonts w:ascii="Garamond" w:hAnsi="Garamond" w:cs="Arial"/>
                <w:b/>
                <w:bCs/>
              </w:rPr>
            </w:pPr>
            <w:r w:rsidRPr="00E27AC4">
              <w:rPr>
                <w:rFonts w:ascii="Garamond" w:hAnsi="Garamond" w:cs="Arial"/>
                <w:b/>
                <w:bCs/>
              </w:rPr>
              <w:t>Parameters</w:t>
            </w:r>
          </w:p>
        </w:tc>
        <w:tc>
          <w:tcPr>
            <w:tcW w:w="1794" w:type="dxa"/>
            <w:vAlign w:val="center"/>
          </w:tcPr>
          <w:p w14:paraId="261484BA" w14:textId="54794A68" w:rsidR="37848BF8" w:rsidRPr="00E27AC4" w:rsidRDefault="68D13031" w:rsidP="10D1FD28">
            <w:pPr>
              <w:jc w:val="center"/>
              <w:rPr>
                <w:rFonts w:ascii="Garamond" w:hAnsi="Garamond" w:cs="Arial"/>
                <w:b/>
                <w:bCs/>
              </w:rPr>
            </w:pPr>
            <w:r w:rsidRPr="00E27AC4">
              <w:rPr>
                <w:rFonts w:ascii="Garamond" w:hAnsi="Garamond" w:cs="Arial"/>
                <w:b/>
                <w:bCs/>
              </w:rPr>
              <w:t>Dates</w:t>
            </w:r>
          </w:p>
        </w:tc>
        <w:tc>
          <w:tcPr>
            <w:tcW w:w="1872" w:type="dxa"/>
            <w:vAlign w:val="center"/>
          </w:tcPr>
          <w:p w14:paraId="677A826E" w14:textId="5EA1C029" w:rsidR="37848BF8" w:rsidRPr="00E27AC4" w:rsidRDefault="68D13031" w:rsidP="10D1FD28">
            <w:pPr>
              <w:jc w:val="center"/>
              <w:rPr>
                <w:rFonts w:ascii="Garamond" w:hAnsi="Garamond" w:cs="Arial"/>
                <w:b/>
                <w:bCs/>
              </w:rPr>
            </w:pPr>
            <w:r w:rsidRPr="00E27AC4">
              <w:rPr>
                <w:rFonts w:ascii="Garamond" w:hAnsi="Garamond" w:cs="Arial"/>
                <w:b/>
                <w:bCs/>
              </w:rPr>
              <w:t>Acquisition Methods</w:t>
            </w:r>
          </w:p>
        </w:tc>
      </w:tr>
      <w:tr w:rsidR="37848BF8" w14:paraId="18F5BC66" w14:textId="77777777" w:rsidTr="10D1FD28">
        <w:trPr>
          <w:trHeight w:val="1454"/>
        </w:trPr>
        <w:tc>
          <w:tcPr>
            <w:tcW w:w="1735" w:type="dxa"/>
            <w:vAlign w:val="center"/>
          </w:tcPr>
          <w:p w14:paraId="0F84F895" w14:textId="7C8BD40D" w:rsidR="37848BF8" w:rsidRPr="00E27AC4" w:rsidRDefault="68D13031" w:rsidP="10D1FD28">
            <w:pPr>
              <w:jc w:val="center"/>
              <w:rPr>
                <w:rFonts w:ascii="Garamond" w:hAnsi="Garamond" w:cs="Arial"/>
              </w:rPr>
            </w:pPr>
            <w:r w:rsidRPr="00E27AC4">
              <w:rPr>
                <w:rFonts w:ascii="Garamond" w:hAnsi="Garamond" w:cs="Arial"/>
              </w:rPr>
              <w:t>ECOSTRESS</w:t>
            </w:r>
          </w:p>
        </w:tc>
        <w:tc>
          <w:tcPr>
            <w:tcW w:w="2010" w:type="dxa"/>
            <w:vAlign w:val="center"/>
          </w:tcPr>
          <w:p w14:paraId="64E20418" w14:textId="282297C9" w:rsidR="37848BF8" w:rsidRPr="00E27AC4" w:rsidRDefault="68D13031" w:rsidP="10D1FD28">
            <w:pPr>
              <w:pStyle w:val="Heading4"/>
              <w:jc w:val="center"/>
              <w:outlineLvl w:val="3"/>
              <w:rPr>
                <w:rFonts w:ascii="Garamond" w:eastAsia="Garamond" w:hAnsi="Garamond" w:cs="Garamond"/>
                <w:i w:val="0"/>
                <w:iCs w:val="0"/>
                <w:color w:val="auto"/>
              </w:rPr>
            </w:pPr>
            <w:r w:rsidRPr="00E27AC4">
              <w:rPr>
                <w:rFonts w:ascii="Garamond" w:eastAsia="Garamond" w:hAnsi="Garamond" w:cs="Garamond"/>
                <w:i w:val="0"/>
                <w:iCs w:val="0"/>
                <w:color w:val="auto"/>
              </w:rPr>
              <w:t>ECOSTRESS Evapotranspiration dis-ALEXI Daily L3 CONUS 70 m</w:t>
            </w:r>
          </w:p>
        </w:tc>
        <w:tc>
          <w:tcPr>
            <w:tcW w:w="1949" w:type="dxa"/>
            <w:vAlign w:val="center"/>
          </w:tcPr>
          <w:p w14:paraId="5538C77D" w14:textId="2E68AB93" w:rsidR="37848BF8" w:rsidRPr="00E27AC4" w:rsidRDefault="39144308" w:rsidP="10D1FD28">
            <w:pPr>
              <w:jc w:val="center"/>
              <w:rPr>
                <w:rFonts w:ascii="Garamond" w:eastAsia="Garamond" w:hAnsi="Garamond" w:cs="Garamond"/>
                <w:color w:val="000000" w:themeColor="text1"/>
              </w:rPr>
            </w:pPr>
            <w:r w:rsidRPr="00E27AC4">
              <w:rPr>
                <w:rFonts w:ascii="Garamond" w:eastAsia="Garamond" w:hAnsi="Garamond" w:cs="Garamond"/>
                <w:color w:val="000000" w:themeColor="text1"/>
              </w:rPr>
              <w:t>Daily evapotranspiration, daily water use efficiency</w:t>
            </w:r>
          </w:p>
        </w:tc>
        <w:tc>
          <w:tcPr>
            <w:tcW w:w="1794" w:type="dxa"/>
            <w:vAlign w:val="center"/>
          </w:tcPr>
          <w:p w14:paraId="6BDCF393" w14:textId="0BC2799D" w:rsidR="37848BF8" w:rsidRPr="00E27AC4" w:rsidRDefault="68D13031" w:rsidP="10D1FD28">
            <w:pPr>
              <w:jc w:val="center"/>
              <w:rPr>
                <w:rFonts w:ascii="Garamond" w:hAnsi="Garamond" w:cs="Arial"/>
              </w:rPr>
            </w:pPr>
            <w:r w:rsidRPr="00E27AC4">
              <w:rPr>
                <w:rFonts w:ascii="Garamond" w:hAnsi="Garamond" w:cs="Arial"/>
              </w:rPr>
              <w:t>April 1</w:t>
            </w:r>
            <w:r w:rsidRPr="00E27AC4">
              <w:rPr>
                <w:rFonts w:ascii="Garamond" w:hAnsi="Garamond" w:cs="Arial"/>
                <w:vertAlign w:val="superscript"/>
              </w:rPr>
              <w:t>st</w:t>
            </w:r>
            <w:r w:rsidRPr="00E27AC4">
              <w:rPr>
                <w:rFonts w:ascii="Garamond" w:hAnsi="Garamond" w:cs="Arial"/>
              </w:rPr>
              <w:t xml:space="preserve"> – July 5th (2019, 2020, 2021),</w:t>
            </w:r>
          </w:p>
          <w:p w14:paraId="7E81609E" w14:textId="714A51D9" w:rsidR="37848BF8" w:rsidRPr="00E27AC4" w:rsidRDefault="4A4F9EB1" w:rsidP="10D1FD28">
            <w:pPr>
              <w:jc w:val="center"/>
              <w:rPr>
                <w:rFonts w:ascii="Garamond" w:hAnsi="Garamond" w:cs="Arial"/>
              </w:rPr>
            </w:pPr>
            <w:r w:rsidRPr="00E27AC4">
              <w:rPr>
                <w:rFonts w:ascii="Garamond" w:hAnsi="Garamond" w:cs="Arial"/>
              </w:rPr>
              <w:t>June (2019, 2020, 2021)</w:t>
            </w:r>
          </w:p>
        </w:tc>
        <w:tc>
          <w:tcPr>
            <w:tcW w:w="1872" w:type="dxa"/>
            <w:vAlign w:val="center"/>
          </w:tcPr>
          <w:p w14:paraId="30A26336" w14:textId="784953F8" w:rsidR="37848BF8" w:rsidRPr="00E27AC4" w:rsidRDefault="68D13031" w:rsidP="10D1FD28">
            <w:pPr>
              <w:jc w:val="center"/>
              <w:rPr>
                <w:rFonts w:ascii="Garamond" w:eastAsia="Garamond" w:hAnsi="Garamond" w:cs="Garamond"/>
                <w:color w:val="000000" w:themeColor="text1"/>
              </w:rPr>
            </w:pPr>
            <w:r w:rsidRPr="00E27AC4">
              <w:rPr>
                <w:rFonts w:ascii="Garamond" w:eastAsia="Garamond" w:hAnsi="Garamond" w:cs="Garamond"/>
                <w:color w:val="000000" w:themeColor="text1"/>
              </w:rPr>
              <w:t xml:space="preserve">LP DAAC </w:t>
            </w:r>
            <w:proofErr w:type="spellStart"/>
            <w:r w:rsidRPr="00E27AC4">
              <w:rPr>
                <w:rFonts w:ascii="Garamond" w:eastAsia="Garamond" w:hAnsi="Garamond" w:cs="Garamond"/>
                <w:color w:val="000000" w:themeColor="text1"/>
              </w:rPr>
              <w:t>AppEEARS</w:t>
            </w:r>
            <w:proofErr w:type="spellEnd"/>
          </w:p>
        </w:tc>
      </w:tr>
      <w:tr w:rsidR="37848BF8" w14:paraId="55706248" w14:textId="77777777" w:rsidTr="10D1FD28">
        <w:tc>
          <w:tcPr>
            <w:tcW w:w="1735" w:type="dxa"/>
            <w:vAlign w:val="center"/>
          </w:tcPr>
          <w:p w14:paraId="0A354F89" w14:textId="1363A2DE" w:rsidR="37848BF8" w:rsidRPr="00E27AC4" w:rsidRDefault="3CFD8799" w:rsidP="10D1FD28">
            <w:pPr>
              <w:jc w:val="center"/>
              <w:rPr>
                <w:rFonts w:ascii="Garamond" w:hAnsi="Garamond" w:cs="Arial"/>
              </w:rPr>
            </w:pPr>
            <w:r w:rsidRPr="00E27AC4">
              <w:rPr>
                <w:rFonts w:ascii="Garamond" w:hAnsi="Garamond" w:cs="Arial"/>
              </w:rPr>
              <w:t>Shuttle Radar Topography Mission (SRTM)</w:t>
            </w:r>
          </w:p>
        </w:tc>
        <w:tc>
          <w:tcPr>
            <w:tcW w:w="2010" w:type="dxa"/>
            <w:vAlign w:val="center"/>
          </w:tcPr>
          <w:p w14:paraId="4D60BFF0" w14:textId="4BAFFF20" w:rsidR="37848BF8" w:rsidRPr="00E27AC4" w:rsidRDefault="52FD012A" w:rsidP="10D1FD28">
            <w:pPr>
              <w:jc w:val="center"/>
              <w:rPr>
                <w:rFonts w:ascii="Garamond" w:hAnsi="Garamond" w:cs="Arial"/>
              </w:rPr>
            </w:pPr>
            <w:r w:rsidRPr="00E27AC4">
              <w:rPr>
                <w:rFonts w:ascii="Garamond" w:hAnsi="Garamond" w:cs="Arial"/>
              </w:rPr>
              <w:t xml:space="preserve">SRTM Version 3.0, 1-arc second </w:t>
            </w:r>
          </w:p>
        </w:tc>
        <w:tc>
          <w:tcPr>
            <w:tcW w:w="1949" w:type="dxa"/>
            <w:vAlign w:val="center"/>
          </w:tcPr>
          <w:p w14:paraId="0A28F69B" w14:textId="4FE1AA1E" w:rsidR="37848BF8" w:rsidRPr="00E27AC4" w:rsidRDefault="68D13031" w:rsidP="10D1FD28">
            <w:pPr>
              <w:jc w:val="center"/>
              <w:rPr>
                <w:rFonts w:ascii="Garamond" w:hAnsi="Garamond" w:cs="Arial"/>
              </w:rPr>
            </w:pPr>
            <w:r w:rsidRPr="00E27AC4">
              <w:rPr>
                <w:rFonts w:ascii="Garamond" w:hAnsi="Garamond" w:cs="Arial"/>
              </w:rPr>
              <w:t>Topography, aspect, slope</w:t>
            </w:r>
          </w:p>
        </w:tc>
        <w:tc>
          <w:tcPr>
            <w:tcW w:w="1794" w:type="dxa"/>
            <w:vAlign w:val="center"/>
          </w:tcPr>
          <w:p w14:paraId="1C464BB6" w14:textId="7BEC7764" w:rsidR="37848BF8" w:rsidRPr="00E27AC4" w:rsidRDefault="52FD012A" w:rsidP="10D1FD28">
            <w:pPr>
              <w:jc w:val="center"/>
              <w:rPr>
                <w:rFonts w:ascii="Garamond" w:hAnsi="Garamond" w:cs="Arial"/>
              </w:rPr>
            </w:pPr>
            <w:r w:rsidRPr="00E27AC4">
              <w:rPr>
                <w:rFonts w:ascii="Garamond" w:hAnsi="Garamond" w:cs="Arial"/>
              </w:rPr>
              <w:t>February 11, 2000</w:t>
            </w:r>
          </w:p>
        </w:tc>
        <w:tc>
          <w:tcPr>
            <w:tcW w:w="1872" w:type="dxa"/>
            <w:vAlign w:val="center"/>
          </w:tcPr>
          <w:p w14:paraId="2654BC61" w14:textId="02D9D0CE" w:rsidR="37848BF8" w:rsidRPr="00E27AC4" w:rsidRDefault="52FD012A" w:rsidP="10D1FD28">
            <w:pPr>
              <w:spacing w:after="200" w:line="276" w:lineRule="auto"/>
              <w:jc w:val="center"/>
              <w:rPr>
                <w:rFonts w:ascii="Garamond" w:hAnsi="Garamond" w:cs="Arial"/>
              </w:rPr>
            </w:pPr>
            <w:r w:rsidRPr="00E27AC4">
              <w:rPr>
                <w:rFonts w:ascii="Garamond" w:hAnsi="Garamond" w:cs="Arial"/>
              </w:rPr>
              <w:t xml:space="preserve">LP DAAC </w:t>
            </w:r>
            <w:proofErr w:type="spellStart"/>
            <w:r w:rsidRPr="00E27AC4">
              <w:rPr>
                <w:rFonts w:ascii="Garamond" w:hAnsi="Garamond" w:cs="Arial"/>
              </w:rPr>
              <w:t>AppEEARS</w:t>
            </w:r>
            <w:proofErr w:type="spellEnd"/>
          </w:p>
        </w:tc>
      </w:tr>
      <w:tr w:rsidR="37848BF8" w14:paraId="3E831EE6" w14:textId="77777777" w:rsidTr="10D1FD28">
        <w:trPr>
          <w:trHeight w:val="831"/>
        </w:trPr>
        <w:tc>
          <w:tcPr>
            <w:tcW w:w="1735" w:type="dxa"/>
            <w:vAlign w:val="center"/>
          </w:tcPr>
          <w:p w14:paraId="4AE483E2" w14:textId="505784DF" w:rsidR="37848BF8" w:rsidRPr="00E27AC4" w:rsidRDefault="68D13031" w:rsidP="10D1FD28">
            <w:pPr>
              <w:jc w:val="center"/>
              <w:rPr>
                <w:rFonts w:ascii="Garamond" w:hAnsi="Garamond" w:cs="Arial"/>
              </w:rPr>
            </w:pPr>
            <w:r w:rsidRPr="00E27AC4">
              <w:rPr>
                <w:rFonts w:ascii="Garamond" w:hAnsi="Garamond" w:cs="Arial"/>
              </w:rPr>
              <w:t>GEDI</w:t>
            </w:r>
          </w:p>
        </w:tc>
        <w:tc>
          <w:tcPr>
            <w:tcW w:w="2010" w:type="dxa"/>
            <w:vAlign w:val="center"/>
          </w:tcPr>
          <w:p w14:paraId="76420835" w14:textId="2E39C636" w:rsidR="37848BF8" w:rsidRPr="00E27AC4" w:rsidRDefault="52FD012A" w:rsidP="10D1FD28">
            <w:pPr>
              <w:jc w:val="center"/>
              <w:rPr>
                <w:rFonts w:ascii="Garamond" w:eastAsia="Garamond" w:hAnsi="Garamond" w:cs="Garamond"/>
              </w:rPr>
            </w:pPr>
            <w:r w:rsidRPr="00E27AC4">
              <w:rPr>
                <w:rFonts w:ascii="Garamond" w:eastAsia="Garamond" w:hAnsi="Garamond" w:cs="Garamond"/>
              </w:rPr>
              <w:t xml:space="preserve">GEDI </w:t>
            </w:r>
            <w:r w:rsidR="20EA2F15" w:rsidRPr="00E27AC4">
              <w:rPr>
                <w:rFonts w:ascii="Garamond" w:eastAsia="Garamond" w:hAnsi="Garamond" w:cs="Garamond"/>
              </w:rPr>
              <w:t>L4B Gridded Aboveground Biomass Density, Version 2</w:t>
            </w:r>
          </w:p>
        </w:tc>
        <w:tc>
          <w:tcPr>
            <w:tcW w:w="1949" w:type="dxa"/>
            <w:vAlign w:val="center"/>
          </w:tcPr>
          <w:p w14:paraId="4C10BAE1" w14:textId="251F3BED" w:rsidR="37848BF8" w:rsidRPr="00E27AC4" w:rsidRDefault="3CFD8799" w:rsidP="10D1FD28">
            <w:pPr>
              <w:jc w:val="center"/>
              <w:rPr>
                <w:rFonts w:ascii="Garamond" w:hAnsi="Garamond" w:cs="Arial"/>
              </w:rPr>
            </w:pPr>
            <w:r w:rsidRPr="00E27AC4">
              <w:rPr>
                <w:rFonts w:ascii="Garamond" w:hAnsi="Garamond" w:cs="Arial"/>
              </w:rPr>
              <w:t>Biomass density</w:t>
            </w:r>
          </w:p>
        </w:tc>
        <w:tc>
          <w:tcPr>
            <w:tcW w:w="1794" w:type="dxa"/>
            <w:vAlign w:val="center"/>
          </w:tcPr>
          <w:p w14:paraId="7AE6CD81" w14:textId="5BAEB705" w:rsidR="37848BF8" w:rsidRPr="00E27AC4" w:rsidRDefault="52FD012A" w:rsidP="10D1FD28">
            <w:pPr>
              <w:jc w:val="center"/>
              <w:rPr>
                <w:rFonts w:ascii="Garamond" w:hAnsi="Garamond" w:cs="Arial"/>
              </w:rPr>
            </w:pPr>
            <w:r w:rsidRPr="00E27AC4">
              <w:rPr>
                <w:rFonts w:ascii="Garamond" w:hAnsi="Garamond" w:cs="Arial"/>
              </w:rPr>
              <w:t>April 18, 2019 – August 24, 2021</w:t>
            </w:r>
          </w:p>
        </w:tc>
        <w:tc>
          <w:tcPr>
            <w:tcW w:w="1872" w:type="dxa"/>
            <w:vAlign w:val="center"/>
          </w:tcPr>
          <w:p w14:paraId="5746D9C3" w14:textId="661C545D" w:rsidR="37848BF8" w:rsidRPr="00E27AC4" w:rsidRDefault="52FD012A" w:rsidP="10D1FD28">
            <w:pPr>
              <w:jc w:val="center"/>
              <w:rPr>
                <w:rFonts w:ascii="Garamond" w:hAnsi="Garamond" w:cs="Arial"/>
              </w:rPr>
            </w:pPr>
            <w:r w:rsidRPr="00E27AC4">
              <w:rPr>
                <w:rFonts w:ascii="Garamond" w:hAnsi="Garamond" w:cs="Arial"/>
              </w:rPr>
              <w:t>ORNL DAAC</w:t>
            </w:r>
          </w:p>
        </w:tc>
      </w:tr>
    </w:tbl>
    <w:p w14:paraId="5C7C1931" w14:textId="6E71396A" w:rsidR="37848BF8" w:rsidRDefault="37848BF8" w:rsidP="10D1FD28">
      <w:pPr>
        <w:spacing w:after="0" w:line="240" w:lineRule="auto"/>
        <w:rPr>
          <w:rFonts w:ascii="Garamond" w:eastAsia="Garamond" w:hAnsi="Garamond" w:cs="Garamond"/>
        </w:rPr>
      </w:pPr>
    </w:p>
    <w:p w14:paraId="6B27FD99" w14:textId="36CB297F" w:rsidR="37848BF8" w:rsidRDefault="33ACB88E" w:rsidP="10D1FD28">
      <w:pPr>
        <w:spacing w:after="0" w:line="240" w:lineRule="auto"/>
        <w:rPr>
          <w:rFonts w:ascii="Garamond" w:eastAsia="Garamond" w:hAnsi="Garamond" w:cs="Garamond"/>
        </w:rPr>
      </w:pPr>
      <w:r w:rsidRPr="10D1FD28">
        <w:rPr>
          <w:rFonts w:ascii="Garamond" w:eastAsia="Garamond" w:hAnsi="Garamond" w:cs="Garamond"/>
        </w:rPr>
        <w:t xml:space="preserve">Table 2.  </w:t>
      </w:r>
    </w:p>
    <w:p w14:paraId="7B3D2F2F" w14:textId="625FD7DD" w:rsidR="37848BF8" w:rsidRDefault="33ACB88E" w:rsidP="10D1FD28">
      <w:pPr>
        <w:spacing w:after="0" w:line="240" w:lineRule="auto"/>
        <w:rPr>
          <w:rFonts w:ascii="Garamond" w:eastAsia="Garamond" w:hAnsi="Garamond" w:cs="Garamond"/>
        </w:rPr>
      </w:pPr>
      <w:r w:rsidRPr="10D1FD28">
        <w:rPr>
          <w:rFonts w:ascii="Garamond" w:eastAsia="Garamond" w:hAnsi="Garamond" w:cs="Garamond"/>
          <w:i/>
          <w:iCs/>
        </w:rPr>
        <w:t>List of ancillary data products utilized for this project.</w:t>
      </w:r>
    </w:p>
    <w:tbl>
      <w:tblPr>
        <w:tblW w:w="0" w:type="auto"/>
        <w:tblLayout w:type="fixed"/>
        <w:tblLook w:val="04A0" w:firstRow="1" w:lastRow="0" w:firstColumn="1" w:lastColumn="0" w:noHBand="0" w:noVBand="1"/>
      </w:tblPr>
      <w:tblGrid>
        <w:gridCol w:w="1860"/>
        <w:gridCol w:w="1860"/>
        <w:gridCol w:w="1935"/>
        <w:gridCol w:w="1785"/>
        <w:gridCol w:w="1890"/>
      </w:tblGrid>
      <w:tr w:rsidR="2C7D0C34" w14:paraId="6FAADCE7" w14:textId="77777777" w:rsidTr="10D1FD28">
        <w:tc>
          <w:tcPr>
            <w:tcW w:w="1860" w:type="dxa"/>
            <w:tcBorders>
              <w:top w:val="single" w:sz="8" w:space="0" w:color="auto"/>
              <w:left w:val="single" w:sz="8" w:space="0" w:color="auto"/>
              <w:bottom w:val="single" w:sz="8" w:space="0" w:color="auto"/>
              <w:right w:val="single" w:sz="8" w:space="0" w:color="auto"/>
            </w:tcBorders>
            <w:vAlign w:val="center"/>
          </w:tcPr>
          <w:p w14:paraId="6F6E946B" w14:textId="0AF56BE5" w:rsidR="2C7D0C34" w:rsidRPr="00E27AC4" w:rsidRDefault="33ACB88E" w:rsidP="10D1FD28">
            <w:pPr>
              <w:jc w:val="center"/>
              <w:rPr>
                <w:rFonts w:ascii="Garamond" w:eastAsia="Garamond" w:hAnsi="Garamond" w:cs="Garamond"/>
              </w:rPr>
            </w:pPr>
            <w:r w:rsidRPr="00E27AC4">
              <w:rPr>
                <w:rFonts w:ascii="Garamond" w:eastAsia="Garamond" w:hAnsi="Garamond" w:cs="Garamond"/>
                <w:b/>
                <w:bCs/>
              </w:rPr>
              <w:t>Platform</w:t>
            </w:r>
            <w:r w:rsidRPr="00E27AC4">
              <w:rPr>
                <w:rFonts w:ascii="Garamond" w:eastAsia="Garamond" w:hAnsi="Garamond" w:cs="Garamond"/>
              </w:rPr>
              <w:t xml:space="preserve"> </w:t>
            </w:r>
          </w:p>
        </w:tc>
        <w:tc>
          <w:tcPr>
            <w:tcW w:w="1860" w:type="dxa"/>
            <w:tcBorders>
              <w:top w:val="single" w:sz="8" w:space="0" w:color="auto"/>
              <w:left w:val="single" w:sz="8" w:space="0" w:color="auto"/>
              <w:bottom w:val="single" w:sz="8" w:space="0" w:color="auto"/>
              <w:right w:val="single" w:sz="8" w:space="0" w:color="auto"/>
            </w:tcBorders>
            <w:vAlign w:val="center"/>
          </w:tcPr>
          <w:p w14:paraId="171EA5B0" w14:textId="7B83A615" w:rsidR="2C7D0C34" w:rsidRPr="00E27AC4" w:rsidRDefault="33ACB88E" w:rsidP="10D1FD28">
            <w:pPr>
              <w:jc w:val="center"/>
              <w:rPr>
                <w:rFonts w:ascii="Garamond" w:eastAsia="Garamond" w:hAnsi="Garamond" w:cs="Garamond"/>
              </w:rPr>
            </w:pPr>
            <w:r w:rsidRPr="00E27AC4">
              <w:rPr>
                <w:rFonts w:ascii="Garamond" w:eastAsia="Garamond" w:hAnsi="Garamond" w:cs="Garamond"/>
                <w:b/>
                <w:bCs/>
              </w:rPr>
              <w:t>Data Products</w:t>
            </w:r>
            <w:r w:rsidRPr="00E27AC4">
              <w:rPr>
                <w:rFonts w:ascii="Garamond" w:eastAsia="Garamond" w:hAnsi="Garamond" w:cs="Garamond"/>
              </w:rPr>
              <w:t xml:space="preserve"> </w:t>
            </w:r>
          </w:p>
        </w:tc>
        <w:tc>
          <w:tcPr>
            <w:tcW w:w="1935" w:type="dxa"/>
            <w:tcBorders>
              <w:top w:val="single" w:sz="8" w:space="0" w:color="auto"/>
              <w:left w:val="single" w:sz="8" w:space="0" w:color="auto"/>
              <w:bottom w:val="single" w:sz="8" w:space="0" w:color="auto"/>
              <w:right w:val="single" w:sz="8" w:space="0" w:color="auto"/>
            </w:tcBorders>
            <w:vAlign w:val="center"/>
          </w:tcPr>
          <w:p w14:paraId="22FD2419" w14:textId="589EC348" w:rsidR="2C7D0C34" w:rsidRPr="00E27AC4" w:rsidRDefault="33ACB88E" w:rsidP="10D1FD28">
            <w:pPr>
              <w:jc w:val="center"/>
              <w:rPr>
                <w:rFonts w:ascii="Garamond" w:eastAsia="Garamond" w:hAnsi="Garamond" w:cs="Garamond"/>
              </w:rPr>
            </w:pPr>
            <w:r w:rsidRPr="00E27AC4">
              <w:rPr>
                <w:rFonts w:ascii="Garamond" w:eastAsia="Garamond" w:hAnsi="Garamond" w:cs="Garamond"/>
                <w:b/>
                <w:bCs/>
              </w:rPr>
              <w:t>Parameters</w:t>
            </w:r>
            <w:r w:rsidRPr="00E27AC4">
              <w:rPr>
                <w:rFonts w:ascii="Garamond" w:eastAsia="Garamond" w:hAnsi="Garamond" w:cs="Garamond"/>
              </w:rPr>
              <w:t xml:space="preserve"> </w:t>
            </w:r>
          </w:p>
        </w:tc>
        <w:tc>
          <w:tcPr>
            <w:tcW w:w="1785" w:type="dxa"/>
            <w:tcBorders>
              <w:top w:val="single" w:sz="8" w:space="0" w:color="auto"/>
              <w:left w:val="single" w:sz="8" w:space="0" w:color="auto"/>
              <w:bottom w:val="single" w:sz="8" w:space="0" w:color="auto"/>
              <w:right w:val="single" w:sz="8" w:space="0" w:color="auto"/>
            </w:tcBorders>
            <w:vAlign w:val="center"/>
          </w:tcPr>
          <w:p w14:paraId="7F0262C7" w14:textId="3F3ED8FA" w:rsidR="2C7D0C34" w:rsidRPr="00E27AC4" w:rsidRDefault="33ACB88E" w:rsidP="10D1FD28">
            <w:pPr>
              <w:jc w:val="center"/>
              <w:rPr>
                <w:rFonts w:ascii="Garamond" w:eastAsia="Garamond" w:hAnsi="Garamond" w:cs="Garamond"/>
              </w:rPr>
            </w:pPr>
            <w:r w:rsidRPr="00E27AC4">
              <w:rPr>
                <w:rFonts w:ascii="Garamond" w:eastAsia="Garamond" w:hAnsi="Garamond" w:cs="Garamond"/>
                <w:b/>
                <w:bCs/>
              </w:rPr>
              <w:t>Dates</w:t>
            </w:r>
            <w:r w:rsidRPr="00E27AC4">
              <w:rPr>
                <w:rFonts w:ascii="Garamond" w:eastAsia="Garamond" w:hAnsi="Garamond" w:cs="Garamond"/>
              </w:rPr>
              <w:t xml:space="preserve"> </w:t>
            </w:r>
          </w:p>
        </w:tc>
        <w:tc>
          <w:tcPr>
            <w:tcW w:w="1890" w:type="dxa"/>
            <w:tcBorders>
              <w:top w:val="single" w:sz="8" w:space="0" w:color="auto"/>
              <w:left w:val="single" w:sz="8" w:space="0" w:color="auto"/>
              <w:bottom w:val="single" w:sz="8" w:space="0" w:color="auto"/>
              <w:right w:val="single" w:sz="8" w:space="0" w:color="auto"/>
            </w:tcBorders>
            <w:vAlign w:val="center"/>
          </w:tcPr>
          <w:p w14:paraId="7A3D9DBE" w14:textId="1B8BB8F1" w:rsidR="2C7D0C34" w:rsidRPr="00E27AC4" w:rsidRDefault="33ACB88E" w:rsidP="10D1FD28">
            <w:pPr>
              <w:jc w:val="center"/>
              <w:rPr>
                <w:rFonts w:ascii="Garamond" w:eastAsia="Garamond" w:hAnsi="Garamond" w:cs="Garamond"/>
              </w:rPr>
            </w:pPr>
            <w:r w:rsidRPr="00E27AC4">
              <w:rPr>
                <w:rFonts w:ascii="Garamond" w:eastAsia="Garamond" w:hAnsi="Garamond" w:cs="Garamond"/>
                <w:b/>
                <w:bCs/>
              </w:rPr>
              <w:t>Acquisition Methods</w:t>
            </w:r>
            <w:r w:rsidRPr="00E27AC4">
              <w:rPr>
                <w:rFonts w:ascii="Garamond" w:eastAsia="Garamond" w:hAnsi="Garamond" w:cs="Garamond"/>
              </w:rPr>
              <w:t xml:space="preserve"> </w:t>
            </w:r>
          </w:p>
        </w:tc>
      </w:tr>
      <w:tr w:rsidR="2C7D0C34" w14:paraId="144743F4" w14:textId="77777777" w:rsidTr="10D1FD28">
        <w:trPr>
          <w:trHeight w:val="1245"/>
        </w:trPr>
        <w:tc>
          <w:tcPr>
            <w:tcW w:w="1860" w:type="dxa"/>
            <w:tcBorders>
              <w:top w:val="single" w:sz="8" w:space="0" w:color="auto"/>
              <w:left w:val="single" w:sz="8" w:space="0" w:color="auto"/>
              <w:bottom w:val="single" w:sz="8" w:space="0" w:color="auto"/>
              <w:right w:val="single" w:sz="8" w:space="0" w:color="auto"/>
            </w:tcBorders>
            <w:vAlign w:val="center"/>
          </w:tcPr>
          <w:p w14:paraId="377318AC" w14:textId="47A4817E"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NLCD </w:t>
            </w:r>
          </w:p>
        </w:tc>
        <w:tc>
          <w:tcPr>
            <w:tcW w:w="1860" w:type="dxa"/>
            <w:tcBorders>
              <w:top w:val="single" w:sz="8" w:space="0" w:color="auto"/>
              <w:left w:val="single" w:sz="8" w:space="0" w:color="auto"/>
              <w:bottom w:val="single" w:sz="8" w:space="0" w:color="auto"/>
              <w:right w:val="single" w:sz="8" w:space="0" w:color="auto"/>
            </w:tcBorders>
            <w:vAlign w:val="center"/>
          </w:tcPr>
          <w:p w14:paraId="3E5509BA" w14:textId="755D0D78" w:rsidR="2C7D0C34" w:rsidRPr="00E27AC4" w:rsidRDefault="33ACB88E" w:rsidP="10D1FD28">
            <w:pPr>
              <w:jc w:val="center"/>
              <w:rPr>
                <w:rFonts w:ascii="Garamond" w:eastAsia="Garamond" w:hAnsi="Garamond" w:cs="Garamond"/>
                <w:color w:val="000000" w:themeColor="text1"/>
              </w:rPr>
            </w:pPr>
            <w:r w:rsidRPr="00E27AC4">
              <w:rPr>
                <w:rFonts w:ascii="Garamond" w:eastAsia="Garamond" w:hAnsi="Garamond" w:cs="Garamond"/>
                <w:color w:val="000000" w:themeColor="text1"/>
              </w:rPr>
              <w:t xml:space="preserve">NLCD 2019 Land Cover CONUS </w:t>
            </w:r>
          </w:p>
        </w:tc>
        <w:tc>
          <w:tcPr>
            <w:tcW w:w="1935" w:type="dxa"/>
            <w:tcBorders>
              <w:top w:val="single" w:sz="8" w:space="0" w:color="auto"/>
              <w:left w:val="single" w:sz="8" w:space="0" w:color="auto"/>
              <w:bottom w:val="single" w:sz="8" w:space="0" w:color="auto"/>
              <w:right w:val="single" w:sz="8" w:space="0" w:color="auto"/>
            </w:tcBorders>
            <w:vAlign w:val="center"/>
          </w:tcPr>
          <w:p w14:paraId="63A052DD" w14:textId="3D7E1CB8"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Land cover classes </w:t>
            </w:r>
          </w:p>
        </w:tc>
        <w:tc>
          <w:tcPr>
            <w:tcW w:w="1785" w:type="dxa"/>
            <w:tcBorders>
              <w:top w:val="single" w:sz="8" w:space="0" w:color="auto"/>
              <w:left w:val="single" w:sz="8" w:space="0" w:color="auto"/>
              <w:bottom w:val="single" w:sz="8" w:space="0" w:color="auto"/>
              <w:right w:val="single" w:sz="8" w:space="0" w:color="auto"/>
            </w:tcBorders>
            <w:vAlign w:val="center"/>
          </w:tcPr>
          <w:p w14:paraId="1FE96859" w14:textId="21A463D4"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2019 </w:t>
            </w:r>
          </w:p>
        </w:tc>
        <w:tc>
          <w:tcPr>
            <w:tcW w:w="1890" w:type="dxa"/>
            <w:tcBorders>
              <w:top w:val="single" w:sz="8" w:space="0" w:color="auto"/>
              <w:left w:val="single" w:sz="8" w:space="0" w:color="auto"/>
              <w:bottom w:val="single" w:sz="8" w:space="0" w:color="auto"/>
              <w:right w:val="single" w:sz="8" w:space="0" w:color="auto"/>
            </w:tcBorders>
            <w:vAlign w:val="center"/>
          </w:tcPr>
          <w:p w14:paraId="230A9C88" w14:textId="3D3CD60C" w:rsidR="2C7D0C34" w:rsidRPr="00E27AC4" w:rsidRDefault="33ACB88E" w:rsidP="10D1FD28">
            <w:pPr>
              <w:jc w:val="center"/>
              <w:rPr>
                <w:rFonts w:ascii="Garamond" w:eastAsia="Garamond" w:hAnsi="Garamond" w:cs="Garamond"/>
                <w:color w:val="000000" w:themeColor="text1"/>
              </w:rPr>
            </w:pPr>
            <w:r w:rsidRPr="00E27AC4">
              <w:rPr>
                <w:rFonts w:ascii="Garamond" w:eastAsia="Garamond" w:hAnsi="Garamond" w:cs="Garamond"/>
                <w:color w:val="000000" w:themeColor="text1"/>
              </w:rPr>
              <w:t xml:space="preserve">Multi-Resolution Land Characteristics (MRLC) Consortium </w:t>
            </w:r>
          </w:p>
        </w:tc>
      </w:tr>
      <w:tr w:rsidR="2C7D0C34" w14:paraId="0EF71AEB" w14:textId="77777777" w:rsidTr="10D1FD28">
        <w:trPr>
          <w:trHeight w:val="945"/>
        </w:trPr>
        <w:tc>
          <w:tcPr>
            <w:tcW w:w="1860" w:type="dxa"/>
            <w:tcBorders>
              <w:top w:val="single" w:sz="8" w:space="0" w:color="auto"/>
              <w:left w:val="single" w:sz="8" w:space="0" w:color="auto"/>
              <w:bottom w:val="single" w:sz="8" w:space="0" w:color="auto"/>
              <w:right w:val="single" w:sz="8" w:space="0" w:color="auto"/>
            </w:tcBorders>
            <w:vAlign w:val="center"/>
          </w:tcPr>
          <w:p w14:paraId="582F495D" w14:textId="11E95A47"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LANDFIRE </w:t>
            </w:r>
          </w:p>
        </w:tc>
        <w:tc>
          <w:tcPr>
            <w:tcW w:w="1860" w:type="dxa"/>
            <w:tcBorders>
              <w:top w:val="single" w:sz="8" w:space="0" w:color="auto"/>
              <w:left w:val="single" w:sz="8" w:space="0" w:color="auto"/>
              <w:bottom w:val="single" w:sz="8" w:space="0" w:color="auto"/>
              <w:right w:val="single" w:sz="8" w:space="0" w:color="auto"/>
            </w:tcBorders>
            <w:vAlign w:val="center"/>
          </w:tcPr>
          <w:p w14:paraId="040FDBBB" w14:textId="1EA272AC"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Existing Vegetation Type (EVT) </w:t>
            </w:r>
          </w:p>
        </w:tc>
        <w:tc>
          <w:tcPr>
            <w:tcW w:w="1935" w:type="dxa"/>
            <w:tcBorders>
              <w:top w:val="single" w:sz="8" w:space="0" w:color="auto"/>
              <w:left w:val="single" w:sz="8" w:space="0" w:color="auto"/>
              <w:bottom w:val="single" w:sz="8" w:space="0" w:color="auto"/>
              <w:right w:val="single" w:sz="8" w:space="0" w:color="auto"/>
            </w:tcBorders>
            <w:vAlign w:val="center"/>
          </w:tcPr>
          <w:p w14:paraId="597C75BB" w14:textId="7D0B3B8D"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Land cover types </w:t>
            </w:r>
          </w:p>
        </w:tc>
        <w:tc>
          <w:tcPr>
            <w:tcW w:w="1785" w:type="dxa"/>
            <w:tcBorders>
              <w:top w:val="single" w:sz="8" w:space="0" w:color="auto"/>
              <w:left w:val="single" w:sz="8" w:space="0" w:color="auto"/>
              <w:bottom w:val="single" w:sz="8" w:space="0" w:color="auto"/>
              <w:right w:val="single" w:sz="8" w:space="0" w:color="auto"/>
            </w:tcBorders>
            <w:vAlign w:val="center"/>
          </w:tcPr>
          <w:p w14:paraId="7D695A29" w14:textId="0C362D51"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2020 </w:t>
            </w:r>
          </w:p>
        </w:tc>
        <w:tc>
          <w:tcPr>
            <w:tcW w:w="1890" w:type="dxa"/>
            <w:tcBorders>
              <w:top w:val="single" w:sz="8" w:space="0" w:color="auto"/>
              <w:left w:val="single" w:sz="8" w:space="0" w:color="auto"/>
              <w:bottom w:val="single" w:sz="8" w:space="0" w:color="auto"/>
              <w:right w:val="single" w:sz="8" w:space="0" w:color="auto"/>
            </w:tcBorders>
            <w:vAlign w:val="center"/>
          </w:tcPr>
          <w:p w14:paraId="24B78C9E" w14:textId="5A77EC62" w:rsidR="2C7D0C34" w:rsidRPr="00E27AC4" w:rsidRDefault="33ACB88E" w:rsidP="10D1FD28">
            <w:pPr>
              <w:jc w:val="center"/>
              <w:rPr>
                <w:rFonts w:ascii="Garamond" w:eastAsia="Garamond" w:hAnsi="Garamond" w:cs="Garamond"/>
                <w:color w:val="000000" w:themeColor="text1"/>
              </w:rPr>
            </w:pPr>
            <w:r w:rsidRPr="00E27AC4">
              <w:rPr>
                <w:rFonts w:ascii="Garamond" w:eastAsia="Garamond" w:hAnsi="Garamond" w:cs="Garamond"/>
                <w:color w:val="000000" w:themeColor="text1"/>
              </w:rPr>
              <w:t xml:space="preserve">LANDFIRE (LF 2020 2.2.0). </w:t>
            </w:r>
          </w:p>
        </w:tc>
      </w:tr>
      <w:tr w:rsidR="2C7D0C34" w14:paraId="76AB99D8" w14:textId="77777777" w:rsidTr="10D1FD28">
        <w:trPr>
          <w:trHeight w:val="990"/>
        </w:trPr>
        <w:tc>
          <w:tcPr>
            <w:tcW w:w="1860" w:type="dxa"/>
            <w:tcBorders>
              <w:top w:val="single" w:sz="8" w:space="0" w:color="auto"/>
              <w:left w:val="single" w:sz="8" w:space="0" w:color="auto"/>
              <w:bottom w:val="single" w:sz="8" w:space="0" w:color="auto"/>
              <w:right w:val="single" w:sz="8" w:space="0" w:color="auto"/>
            </w:tcBorders>
            <w:vAlign w:val="center"/>
          </w:tcPr>
          <w:p w14:paraId="7652B8F5" w14:textId="0174E2EF" w:rsidR="2C7D0C34" w:rsidRPr="00E27AC4" w:rsidRDefault="33ACB88E" w:rsidP="10D1FD28">
            <w:pPr>
              <w:jc w:val="center"/>
              <w:rPr>
                <w:rFonts w:ascii="Garamond" w:eastAsia="Garamond" w:hAnsi="Garamond" w:cs="Garamond"/>
              </w:rPr>
            </w:pPr>
            <w:r w:rsidRPr="00E27AC4">
              <w:rPr>
                <w:rFonts w:ascii="Garamond" w:eastAsia="Garamond" w:hAnsi="Garamond" w:cs="Garamond"/>
              </w:rPr>
              <w:lastRenderedPageBreak/>
              <w:t xml:space="preserve">BAER </w:t>
            </w:r>
          </w:p>
        </w:tc>
        <w:tc>
          <w:tcPr>
            <w:tcW w:w="1860" w:type="dxa"/>
            <w:tcBorders>
              <w:top w:val="single" w:sz="8" w:space="0" w:color="auto"/>
              <w:left w:val="single" w:sz="8" w:space="0" w:color="auto"/>
              <w:bottom w:val="single" w:sz="8" w:space="0" w:color="auto"/>
              <w:right w:val="single" w:sz="8" w:space="0" w:color="auto"/>
            </w:tcBorders>
            <w:vAlign w:val="center"/>
          </w:tcPr>
          <w:p w14:paraId="6CBC70EA" w14:textId="5DF36279"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BAER Soil Burn Severity Map </w:t>
            </w:r>
          </w:p>
        </w:tc>
        <w:tc>
          <w:tcPr>
            <w:tcW w:w="1935" w:type="dxa"/>
            <w:tcBorders>
              <w:top w:val="single" w:sz="8" w:space="0" w:color="auto"/>
              <w:left w:val="single" w:sz="8" w:space="0" w:color="auto"/>
              <w:bottom w:val="single" w:sz="8" w:space="0" w:color="auto"/>
              <w:right w:val="single" w:sz="8" w:space="0" w:color="auto"/>
            </w:tcBorders>
            <w:vAlign w:val="center"/>
          </w:tcPr>
          <w:p w14:paraId="5FCA82A9" w14:textId="7722E6E8"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Soil </w:t>
            </w:r>
            <w:proofErr w:type="gramStart"/>
            <w:r w:rsidRPr="00E27AC4">
              <w:rPr>
                <w:rFonts w:ascii="Garamond" w:eastAsia="Garamond" w:hAnsi="Garamond" w:cs="Garamond"/>
              </w:rPr>
              <w:t>burn</w:t>
            </w:r>
            <w:proofErr w:type="gramEnd"/>
            <w:r w:rsidRPr="00E27AC4">
              <w:rPr>
                <w:rFonts w:ascii="Garamond" w:eastAsia="Garamond" w:hAnsi="Garamond" w:cs="Garamond"/>
              </w:rPr>
              <w:t xml:space="preserve"> severity layer with 4 classes  </w:t>
            </w:r>
          </w:p>
        </w:tc>
        <w:tc>
          <w:tcPr>
            <w:tcW w:w="1785" w:type="dxa"/>
            <w:tcBorders>
              <w:top w:val="single" w:sz="8" w:space="0" w:color="auto"/>
              <w:left w:val="single" w:sz="8" w:space="0" w:color="auto"/>
              <w:bottom w:val="single" w:sz="8" w:space="0" w:color="auto"/>
              <w:right w:val="single" w:sz="8" w:space="0" w:color="auto"/>
            </w:tcBorders>
            <w:vAlign w:val="center"/>
          </w:tcPr>
          <w:p w14:paraId="2557CBEC" w14:textId="0F3DC9CB" w:rsidR="2C7D0C34" w:rsidRPr="00E27AC4" w:rsidRDefault="33ACB88E" w:rsidP="10D1FD28">
            <w:pPr>
              <w:jc w:val="center"/>
              <w:rPr>
                <w:rFonts w:ascii="Garamond" w:eastAsia="Garamond" w:hAnsi="Garamond" w:cs="Garamond"/>
              </w:rPr>
            </w:pPr>
            <w:r w:rsidRPr="00E27AC4">
              <w:rPr>
                <w:rFonts w:ascii="Garamond" w:eastAsia="Garamond" w:hAnsi="Garamond" w:cs="Garamond"/>
              </w:rPr>
              <w:t xml:space="preserve">August 2021 </w:t>
            </w:r>
          </w:p>
        </w:tc>
        <w:tc>
          <w:tcPr>
            <w:tcW w:w="1890" w:type="dxa"/>
            <w:tcBorders>
              <w:top w:val="single" w:sz="8" w:space="0" w:color="auto"/>
              <w:left w:val="single" w:sz="8" w:space="0" w:color="auto"/>
              <w:bottom w:val="single" w:sz="8" w:space="0" w:color="auto"/>
              <w:right w:val="single" w:sz="8" w:space="0" w:color="auto"/>
            </w:tcBorders>
            <w:vAlign w:val="center"/>
          </w:tcPr>
          <w:p w14:paraId="30820940" w14:textId="31CCAD4C" w:rsidR="2C7D0C34" w:rsidRPr="00E27AC4" w:rsidRDefault="33ACB88E" w:rsidP="10D1FD28">
            <w:pPr>
              <w:jc w:val="center"/>
              <w:rPr>
                <w:rFonts w:ascii="Garamond" w:eastAsia="Garamond" w:hAnsi="Garamond" w:cs="Garamond"/>
              </w:rPr>
            </w:pPr>
            <w:r w:rsidRPr="00E27AC4">
              <w:rPr>
                <w:rFonts w:ascii="Garamond" w:eastAsia="Garamond" w:hAnsi="Garamond" w:cs="Garamond"/>
              </w:rPr>
              <w:t>US Forest Service</w:t>
            </w:r>
          </w:p>
        </w:tc>
      </w:tr>
    </w:tbl>
    <w:p w14:paraId="78DB91F3" w14:textId="23345889" w:rsidR="37848BF8" w:rsidRDefault="37848BF8" w:rsidP="37848BF8">
      <w:pPr>
        <w:spacing w:after="0" w:line="240" w:lineRule="auto"/>
        <w:rPr>
          <w:rFonts w:ascii="Garamond" w:hAnsi="Garamond" w:cs="Arial"/>
        </w:rPr>
      </w:pPr>
    </w:p>
    <w:p w14:paraId="76007EF6" w14:textId="0D5278D8" w:rsidR="00A43059" w:rsidRPr="0066138C" w:rsidRDefault="4DE4CFE8" w:rsidP="0066138C">
      <w:pPr>
        <w:spacing w:after="0" w:line="240" w:lineRule="auto"/>
        <w:rPr>
          <w:rFonts w:ascii="Garamond" w:hAnsi="Garamond" w:cs="Arial"/>
          <w:b/>
          <w:i/>
          <w:szCs w:val="24"/>
        </w:rPr>
      </w:pPr>
      <w:r w:rsidRPr="5C31A34A">
        <w:rPr>
          <w:rFonts w:ascii="Garamond" w:hAnsi="Garamond" w:cs="Arial"/>
          <w:b/>
          <w:bCs/>
          <w:i/>
          <w:iCs/>
        </w:rPr>
        <w:t>3.2 Data Processing</w:t>
      </w:r>
    </w:p>
    <w:p w14:paraId="1967FD70" w14:textId="48FE2138" w:rsidR="7A028EE4" w:rsidRDefault="39144308" w:rsidP="2C7D0C34">
      <w:pPr>
        <w:spacing w:line="240" w:lineRule="auto"/>
        <w:rPr>
          <w:rFonts w:ascii="Garamond" w:hAnsi="Garamond" w:cs="Arial"/>
        </w:rPr>
      </w:pPr>
      <w:r w:rsidRPr="10D1FD28">
        <w:rPr>
          <w:rFonts w:ascii="Garamond" w:hAnsi="Garamond" w:cs="Arial"/>
        </w:rPr>
        <w:t xml:space="preserve">ECOSTRESS Level 3 daily ET is derived from the ECOSTRESS Level 2 land surface temperature and emissivity product. For our analysis, the team utilized the daily ET product which uses the Atmosphere Land Exchange Inverse (ALEXI) Disaggregation algorithm (dis-ALEXI) and has units of mm/day. ECOSTRESS WUE is a Level 4 product and is reported as a ratio between </w:t>
      </w:r>
      <w:r w:rsidR="4823A2CA" w:rsidRPr="10D1FD28">
        <w:rPr>
          <w:rFonts w:ascii="Garamond" w:eastAsia="Garamond" w:hAnsi="Garamond" w:cs="Garamond"/>
        </w:rPr>
        <w:t>ECOSTRESS Level 3 ET derived from</w:t>
      </w:r>
      <w:r w:rsidRPr="10D1FD28">
        <w:rPr>
          <w:rFonts w:ascii="Garamond" w:hAnsi="Garamond" w:cs="Arial"/>
        </w:rPr>
        <w:t xml:space="preserve"> the </w:t>
      </w:r>
      <w:r w:rsidR="4823A2CA" w:rsidRPr="10D1FD28">
        <w:rPr>
          <w:rFonts w:ascii="Garamond" w:eastAsia="Garamond" w:hAnsi="Garamond" w:cs="Garamond"/>
        </w:rPr>
        <w:t>Priestley-Taylor Jet Propulsion Laboratory (PT-JPL) algorithm and gross primary production (GPP) from</w:t>
      </w:r>
      <w:r w:rsidR="7B9723FF" w:rsidRPr="10D1FD28">
        <w:rPr>
          <w:rFonts w:ascii="Garamond" w:eastAsia="Garamond" w:hAnsi="Garamond" w:cs="Garamond"/>
        </w:rPr>
        <w:t xml:space="preserve"> </w:t>
      </w:r>
      <w:r w:rsidR="4823A2CA" w:rsidRPr="10D1FD28">
        <w:rPr>
          <w:rFonts w:ascii="Garamond" w:eastAsia="Garamond" w:hAnsi="Garamond" w:cs="Garamond"/>
        </w:rPr>
        <w:t xml:space="preserve">MODIS. </w:t>
      </w:r>
      <w:r w:rsidRPr="10D1FD28">
        <w:rPr>
          <w:rFonts w:ascii="Garamond" w:hAnsi="Garamond" w:cs="Arial"/>
        </w:rPr>
        <w:t xml:space="preserve">Both daily ET and WUE were projected in WGS 1984 Mercator and pre-processed before download to remove cloud cover. After downloading, the team processed ECOSTRESS daily ET and WUE in Python 3.9. Fill values caused by bad pixels or sensor errors from cloud cover, </w:t>
      </w:r>
      <w:proofErr w:type="gramStart"/>
      <w:r w:rsidRPr="10D1FD28">
        <w:rPr>
          <w:rFonts w:ascii="Garamond" w:hAnsi="Garamond" w:cs="Arial"/>
        </w:rPr>
        <w:t>smoke</w:t>
      </w:r>
      <w:proofErr w:type="gramEnd"/>
      <w:r w:rsidRPr="10D1FD28">
        <w:rPr>
          <w:rFonts w:ascii="Garamond" w:hAnsi="Garamond" w:cs="Arial"/>
        </w:rPr>
        <w:t xml:space="preserve"> and atmospheric vapor concentrations, that were</w:t>
      </w:r>
      <w:r w:rsidR="2DC7424F" w:rsidRPr="10D1FD28">
        <w:rPr>
          <w:rFonts w:ascii="Garamond" w:hAnsi="Garamond" w:cs="Arial"/>
        </w:rPr>
        <w:t xml:space="preserve"> either</w:t>
      </w:r>
      <w:r w:rsidR="4823A2CA" w:rsidRPr="10D1FD28">
        <w:rPr>
          <w:rFonts w:ascii="Garamond" w:hAnsi="Garamond" w:cs="Arial"/>
        </w:rPr>
        <w:t xml:space="preserve"> </w:t>
      </w:r>
      <w:r w:rsidRPr="10D1FD28">
        <w:rPr>
          <w:rFonts w:ascii="Garamond" w:hAnsi="Garamond" w:cs="Arial"/>
        </w:rPr>
        <w:t xml:space="preserve">greater than 9000 </w:t>
      </w:r>
      <w:r w:rsidR="09F9D476" w:rsidRPr="10D1FD28">
        <w:rPr>
          <w:rFonts w:ascii="Garamond" w:hAnsi="Garamond" w:cs="Arial"/>
        </w:rPr>
        <w:t xml:space="preserve">or </w:t>
      </w:r>
      <w:r w:rsidRPr="10D1FD28">
        <w:rPr>
          <w:rFonts w:ascii="Garamond" w:hAnsi="Garamond" w:cs="Arial"/>
        </w:rPr>
        <w:t xml:space="preserve">less than zero were removed. The team removed outliers that were less than 8% and greater than 98% percentile as well as any images where the proportion of missing pixels was greater than 50%. This resulted in 20 raster images for daily ET and 19 for the WUE analysis. </w:t>
      </w:r>
    </w:p>
    <w:p w14:paraId="2C04A3CB" w14:textId="27A6C35C" w:rsidR="7A028EE4" w:rsidRDefault="5F436358" w:rsidP="5C31A34A">
      <w:pPr>
        <w:spacing w:line="240" w:lineRule="auto"/>
        <w:rPr>
          <w:rFonts w:ascii="Garamond" w:eastAsia="Garamond" w:hAnsi="Garamond" w:cs="Garamond"/>
        </w:rPr>
      </w:pPr>
      <w:r w:rsidRPr="7E9C04BA">
        <w:rPr>
          <w:rFonts w:ascii="Garamond" w:hAnsi="Garamond" w:cs="Arial"/>
        </w:rPr>
        <w:t xml:space="preserve">The SRTM digital elevation model (DEM) of Klamath and Lake counties was projected to WGS 1984 Mercator and was processed in ArcGIS Pro 2.9.3. This projection caused a slight pixel </w:t>
      </w:r>
      <w:proofErr w:type="gramStart"/>
      <w:r w:rsidRPr="7E9C04BA">
        <w:rPr>
          <w:rFonts w:ascii="Garamond" w:hAnsi="Garamond" w:cs="Arial"/>
        </w:rPr>
        <w:t>distortion</w:t>
      </w:r>
      <w:proofErr w:type="gramEnd"/>
      <w:r w:rsidRPr="7E9C04BA">
        <w:rPr>
          <w:rFonts w:ascii="Garamond" w:hAnsi="Garamond" w:cs="Arial"/>
        </w:rPr>
        <w:t xml:space="preserve"> and the DEM was resampled from 31 to 30 m and then to a coarser resolution to match ECOSTRESS. Noise in the DEM was reduced by a 7x7 kernel with a median filter and the team used the Raster Surface Toolbox to create three map layers: classified elevation, slope, and aspect. The DEM was divided into seven classes based on the Jenks Natural Breaks algorithm. For the slope layer, the team used the 3D Analyst Slope tool to calculate the percent change in elevation from one cell of the DEM to the next and used the Reclassify tool to divide the slope map into 10 categories based on the United States Department of Agriculture’s slope gradient classification, which ranges from “Flat” to “Very Steep” (Pamela et al., 2018). For the aspect layer, the team used the Aspect tool, which employs a moving 3 x 3 kernel to identify the direction of each downhill slope face. </w:t>
      </w:r>
    </w:p>
    <w:p w14:paraId="653830CA" w14:textId="27EF7436" w:rsidR="7A028EE4" w:rsidRDefault="15AF5BE1" w:rsidP="5C31A34A">
      <w:pPr>
        <w:spacing w:line="240" w:lineRule="auto"/>
        <w:rPr>
          <w:rFonts w:ascii="Garamond" w:eastAsia="Garamond" w:hAnsi="Garamond" w:cs="Garamond"/>
        </w:rPr>
      </w:pPr>
      <w:r w:rsidRPr="10D1FD28">
        <w:rPr>
          <w:rFonts w:ascii="Garamond" w:hAnsi="Garamond" w:cs="Arial"/>
        </w:rPr>
        <w:t xml:space="preserve">The GEDI </w:t>
      </w:r>
      <w:r w:rsidR="7D5FC8E0" w:rsidRPr="10D1FD28">
        <w:rPr>
          <w:rFonts w:ascii="Garamond" w:eastAsia="Garamond" w:hAnsi="Garamond" w:cs="Garamond"/>
        </w:rPr>
        <w:t>Level-4B gridded mean aboveground biomass density (AGBD) product estimates the mean AGBD in megagrams per hectare (Mg/ha) for each 1 km cell in a global (51.6°S – 51.6°N) grid for the period April 18, 2019 – August 4, 2021. T</w:t>
      </w:r>
      <w:r w:rsidR="4BA15415" w:rsidRPr="10D1FD28">
        <w:rPr>
          <w:rFonts w:ascii="Garamond" w:hAnsi="Garamond"/>
        </w:rPr>
        <w:t>h</w:t>
      </w:r>
      <w:r w:rsidR="7D5FC8E0" w:rsidRPr="10D1FD28">
        <w:rPr>
          <w:rFonts w:ascii="Garamond" w:eastAsia="Garamond" w:hAnsi="Garamond" w:cs="Garamond"/>
        </w:rPr>
        <w:t xml:space="preserve">e team used </w:t>
      </w:r>
      <w:r w:rsidRPr="10D1FD28">
        <w:rPr>
          <w:rFonts w:ascii="Garamond" w:hAnsi="Garamond" w:cs="Arial"/>
        </w:rPr>
        <w:t xml:space="preserve">ArcGIS Pro to resample the AGBD product to 30 m resolution to match the resolution of the BAER soil burn severity map. The global mean AGBD was then clipped to the study area and Bootleg Fire heat perimeter. </w:t>
      </w:r>
    </w:p>
    <w:p w14:paraId="0F823FC1" w14:textId="75F7D47C" w:rsidR="422C0B4F" w:rsidRDefault="15AF5BE1" w:rsidP="5C31A34A">
      <w:pPr>
        <w:spacing w:after="0" w:line="240" w:lineRule="auto"/>
        <w:rPr>
          <w:rFonts w:ascii="Garamond" w:hAnsi="Garamond" w:cs="Arial"/>
        </w:rPr>
      </w:pPr>
      <w:r w:rsidRPr="10D1FD28">
        <w:rPr>
          <w:rFonts w:ascii="Garamond" w:hAnsi="Garamond" w:cs="Arial"/>
        </w:rPr>
        <w:t xml:space="preserve">NLCD and EVT data </w:t>
      </w:r>
      <w:r w:rsidR="518B0645" w:rsidRPr="10D1FD28">
        <w:rPr>
          <w:rFonts w:ascii="Garamond" w:eastAsia="Garamond" w:hAnsi="Garamond" w:cs="Garamond"/>
        </w:rPr>
        <w:t xml:space="preserve">were </w:t>
      </w:r>
      <w:r w:rsidR="7D5FC8E0" w:rsidRPr="10D1FD28">
        <w:rPr>
          <w:rFonts w:ascii="Garamond" w:eastAsia="Garamond" w:hAnsi="Garamond" w:cs="Garamond"/>
        </w:rPr>
        <w:t xml:space="preserve">processed in ArcGIS Pro. The team reprojected the data to WGS 1984 Mercator and resampled from 30m to a </w:t>
      </w:r>
      <w:proofErr w:type="gramStart"/>
      <w:r w:rsidR="7D5FC8E0" w:rsidRPr="10D1FD28">
        <w:rPr>
          <w:rFonts w:ascii="Garamond" w:eastAsia="Garamond" w:hAnsi="Garamond" w:cs="Garamond"/>
        </w:rPr>
        <w:t>coarser</w:t>
      </w:r>
      <w:proofErr w:type="gramEnd"/>
      <w:r w:rsidR="7D5FC8E0" w:rsidRPr="10D1FD28">
        <w:rPr>
          <w:rFonts w:ascii="Garamond" w:eastAsia="Garamond" w:hAnsi="Garamond" w:cs="Garamond"/>
        </w:rPr>
        <w:t xml:space="preserve"> ~81m spatial resolution to more precisely calculate the extent of </w:t>
      </w:r>
      <w:r w:rsidR="7F421004" w:rsidRPr="10D1FD28">
        <w:rPr>
          <w:rFonts w:ascii="Garamond" w:eastAsia="Garamond" w:hAnsi="Garamond" w:cs="Garamond"/>
          <w:color w:val="000000" w:themeColor="text1"/>
        </w:rPr>
        <w:t>land cover classes and existing vegetation types (collectively referred to as “vegetation”)</w:t>
      </w:r>
      <w:r w:rsidRPr="10D1FD28">
        <w:rPr>
          <w:rFonts w:ascii="Garamond" w:hAnsi="Garamond" w:cs="Arial"/>
        </w:rPr>
        <w:t xml:space="preserve"> </w:t>
      </w:r>
      <w:r w:rsidR="7D5FC8E0" w:rsidRPr="10D1FD28">
        <w:rPr>
          <w:rFonts w:ascii="Garamond" w:eastAsia="Garamond" w:hAnsi="Garamond" w:cs="Garamond"/>
        </w:rPr>
        <w:t xml:space="preserve">in the study area and Bootleg Fire heat perimeter. </w:t>
      </w:r>
      <w:r w:rsidR="7D5FC8E0" w:rsidRPr="10D1FD28">
        <w:rPr>
          <w:rFonts w:ascii="Garamond" w:hAnsi="Garamond" w:cs="Arial"/>
        </w:rPr>
        <w:t xml:space="preserve">For each SBS class, the team used </w:t>
      </w:r>
      <w:r w:rsidRPr="10D1FD28">
        <w:rPr>
          <w:rFonts w:ascii="Garamond" w:hAnsi="Garamond" w:cs="Arial"/>
        </w:rPr>
        <w:t xml:space="preserve">Raster Calculator to create a binary map with two values: “1” for areas in the burn class under analysis and “0” for all other areas. </w:t>
      </w:r>
      <w:r w:rsidR="7D5FC8E0" w:rsidRPr="10D1FD28">
        <w:rPr>
          <w:rFonts w:ascii="Garamond" w:hAnsi="Garamond" w:cs="Arial"/>
        </w:rPr>
        <w:t xml:space="preserve">The Extract by Mask tool was used to clip the classified SBS map and </w:t>
      </w:r>
      <w:proofErr w:type="spellStart"/>
      <w:r w:rsidR="7D5FC8E0" w:rsidRPr="10D1FD28">
        <w:rPr>
          <w:rFonts w:ascii="Garamond" w:hAnsi="Garamond" w:cs="Arial"/>
        </w:rPr>
        <w:t>dNBR</w:t>
      </w:r>
      <w:proofErr w:type="spellEnd"/>
      <w:r w:rsidR="7D5FC8E0" w:rsidRPr="10D1FD28">
        <w:rPr>
          <w:rFonts w:ascii="Garamond" w:hAnsi="Garamond" w:cs="Arial"/>
        </w:rPr>
        <w:t xml:space="preserve"> data to the Bootleg Fire heat perimeter. </w:t>
      </w:r>
    </w:p>
    <w:p w14:paraId="32802DB5" w14:textId="13BAF17C" w:rsidR="422C0B4F" w:rsidRDefault="422C0B4F" w:rsidP="422C0B4F">
      <w:pPr>
        <w:spacing w:after="0" w:line="240" w:lineRule="auto"/>
        <w:rPr>
          <w:rFonts w:ascii="Garamond" w:hAnsi="Garamond" w:cs="Arial"/>
        </w:rPr>
      </w:pPr>
    </w:p>
    <w:p w14:paraId="678B2835" w14:textId="30299625" w:rsidR="37848BF8" w:rsidRDefault="4DE4CFE8" w:rsidP="5C31A34A">
      <w:pPr>
        <w:spacing w:after="0" w:line="240" w:lineRule="auto"/>
        <w:rPr>
          <w:rFonts w:ascii="Garamond" w:hAnsi="Garamond" w:cs="Arial"/>
          <w:b/>
          <w:bCs/>
          <w:i/>
          <w:iCs/>
        </w:rPr>
      </w:pPr>
      <w:r w:rsidRPr="5C31A34A">
        <w:rPr>
          <w:rFonts w:ascii="Garamond" w:hAnsi="Garamond" w:cs="Arial"/>
          <w:b/>
          <w:bCs/>
          <w:i/>
          <w:iCs/>
        </w:rPr>
        <w:t>3.3 Data Analysis</w:t>
      </w:r>
    </w:p>
    <w:p w14:paraId="037110CA" w14:textId="3F9F9BF2" w:rsidR="16C21B80" w:rsidRDefault="73208E2D" w:rsidP="65CB079E">
      <w:pPr>
        <w:spacing w:after="0" w:line="240" w:lineRule="auto"/>
        <w:rPr>
          <w:rFonts w:ascii="Garamond" w:eastAsia="Garamond" w:hAnsi="Garamond" w:cs="Garamond"/>
        </w:rPr>
      </w:pPr>
      <w:r w:rsidRPr="10D1FD28">
        <w:rPr>
          <w:rFonts w:ascii="Garamond" w:hAnsi="Garamond" w:cs="Arial"/>
        </w:rPr>
        <w:t>The team mosaicked the daily ET images in Python 3.9 to create m</w:t>
      </w:r>
      <w:r w:rsidRPr="10D1FD28">
        <w:rPr>
          <w:rFonts w:ascii="Garamond" w:eastAsia="Garamond" w:hAnsi="Garamond" w:cs="Garamond"/>
        </w:rPr>
        <w:t>edian seasonal summer composites of the study area for April 1</w:t>
      </w:r>
      <w:r w:rsidRPr="10D1FD28">
        <w:rPr>
          <w:rFonts w:ascii="Garamond" w:eastAsia="Garamond" w:hAnsi="Garamond" w:cs="Garamond"/>
          <w:vertAlign w:val="superscript"/>
        </w:rPr>
        <w:t>st</w:t>
      </w:r>
      <w:r w:rsidRPr="10D1FD28">
        <w:rPr>
          <w:rFonts w:ascii="Garamond" w:eastAsia="Garamond" w:hAnsi="Garamond" w:cs="Garamond"/>
        </w:rPr>
        <w:t xml:space="preserve"> – July 5</w:t>
      </w:r>
      <w:r w:rsidRPr="10D1FD28">
        <w:rPr>
          <w:rFonts w:ascii="Garamond" w:eastAsia="Garamond" w:hAnsi="Garamond" w:cs="Garamond"/>
          <w:vertAlign w:val="superscript"/>
        </w:rPr>
        <w:t>th</w:t>
      </w:r>
      <w:proofErr w:type="gramStart"/>
      <w:r w:rsidRPr="10D1FD28">
        <w:rPr>
          <w:rFonts w:ascii="Garamond" w:eastAsia="Garamond" w:hAnsi="Garamond" w:cs="Garamond"/>
        </w:rPr>
        <w:t xml:space="preserve"> 2019</w:t>
      </w:r>
      <w:proofErr w:type="gramEnd"/>
      <w:r w:rsidRPr="10D1FD28">
        <w:rPr>
          <w:rFonts w:ascii="Garamond" w:eastAsia="Garamond" w:hAnsi="Garamond" w:cs="Garamond"/>
        </w:rPr>
        <w:t xml:space="preserve">, 2020, and 2021. WUE was merged to create a median June composite for 2019, 2020, and 2021. The team calculated zonal statistics for ET and WUE inside the SBS class </w:t>
      </w:r>
      <w:r w:rsidR="05C31657" w:rsidRPr="10D1FD28">
        <w:rPr>
          <w:rFonts w:ascii="Garamond" w:hAnsi="Garamond" w:cs="Arial"/>
        </w:rPr>
        <w:t>to find the minimum, maximum, range, mean, median and standard deviation</w:t>
      </w:r>
      <w:r w:rsidRPr="10D1FD28">
        <w:rPr>
          <w:rFonts w:ascii="Garamond" w:eastAsia="Garamond" w:hAnsi="Garamond" w:cs="Garamond"/>
        </w:rPr>
        <w:t>.</w:t>
      </w:r>
      <w:r w:rsidR="28076BE6" w:rsidRPr="10D1FD28">
        <w:rPr>
          <w:rFonts w:ascii="Garamond" w:eastAsia="Garamond" w:hAnsi="Garamond" w:cs="Garamond"/>
        </w:rPr>
        <w:t xml:space="preserve"> T</w:t>
      </w:r>
      <w:r w:rsidRPr="10D1FD28">
        <w:rPr>
          <w:rFonts w:ascii="Garamond" w:eastAsia="Garamond" w:hAnsi="Garamond" w:cs="Garamond"/>
        </w:rPr>
        <w:t xml:space="preserve">he team analyzed the change in ET for the study area by using the </w:t>
      </w:r>
      <w:r w:rsidR="28076BE6" w:rsidRPr="10D1FD28">
        <w:rPr>
          <w:rFonts w:ascii="Garamond" w:hAnsi="Garamond" w:cs="Arial"/>
        </w:rPr>
        <w:t xml:space="preserve">ArcGIS Pro </w:t>
      </w:r>
      <w:r w:rsidR="05C31657" w:rsidRPr="10D1FD28">
        <w:rPr>
          <w:rFonts w:ascii="Garamond" w:hAnsi="Garamond" w:cs="Arial"/>
        </w:rPr>
        <w:t xml:space="preserve">Raster Calculator </w:t>
      </w:r>
      <w:r w:rsidRPr="10D1FD28">
        <w:rPr>
          <w:rFonts w:ascii="Garamond" w:eastAsia="Garamond" w:hAnsi="Garamond" w:cs="Garamond"/>
        </w:rPr>
        <w:t xml:space="preserve">calculating the difference between the median summer seasonal composites for 2019, 2020, and 2021 (Equation 1; Berry &amp; Ayers 2006). </w:t>
      </w:r>
      <w:r w:rsidR="3886EC56" w:rsidRPr="10D1FD28">
        <w:rPr>
          <w:rFonts w:ascii="Garamond" w:eastAsia="Garamond" w:hAnsi="Garamond" w:cs="Garamond"/>
        </w:rPr>
        <w:t xml:space="preserve">The team then </w:t>
      </w:r>
      <w:r w:rsidR="3886EC56" w:rsidRPr="10D1FD28">
        <w:rPr>
          <w:rFonts w:ascii="Garamond" w:eastAsia="Garamond" w:hAnsi="Garamond" w:cs="Garamond"/>
        </w:rPr>
        <w:lastRenderedPageBreak/>
        <w:t>calculated the percent change between the median seasonal summer ET composites</w:t>
      </w:r>
      <w:r w:rsidR="28076BE6" w:rsidRPr="10D1FD28">
        <w:rPr>
          <w:rFonts w:ascii="Garamond" w:eastAsia="Garamond" w:hAnsi="Garamond" w:cs="Garamond"/>
        </w:rPr>
        <w:t xml:space="preserve"> for </w:t>
      </w:r>
      <w:r w:rsidR="3886EC56" w:rsidRPr="10D1FD28">
        <w:rPr>
          <w:rFonts w:ascii="Garamond" w:eastAsia="Garamond" w:hAnsi="Garamond" w:cs="Garamond"/>
        </w:rPr>
        <w:t xml:space="preserve">2019, 2020, and 2021 (Equation 2; </w:t>
      </w:r>
      <w:r w:rsidRPr="10D1FD28">
        <w:rPr>
          <w:rFonts w:ascii="Garamond" w:eastAsia="Garamond" w:hAnsi="Garamond" w:cs="Garamond"/>
        </w:rPr>
        <w:t>Berry &amp; Ayers 2006</w:t>
      </w:r>
      <w:r w:rsidR="3886EC56" w:rsidRPr="10D1FD28">
        <w:rPr>
          <w:rFonts w:ascii="Garamond" w:eastAsia="Garamond" w:hAnsi="Garamond" w:cs="Garamond"/>
        </w:rPr>
        <w:t>).</w:t>
      </w:r>
    </w:p>
    <w:p w14:paraId="696BC05C" w14:textId="74967EB6" w:rsidR="65CB079E" w:rsidRDefault="65CB079E" w:rsidP="65CB079E">
      <w:pPr>
        <w:spacing w:after="0" w:line="240" w:lineRule="auto"/>
        <w:rPr>
          <w:rFonts w:ascii="Garamond" w:eastAsia="Garamond" w:hAnsi="Garamond" w:cs="Garamond"/>
        </w:rPr>
      </w:pPr>
    </w:p>
    <w:p w14:paraId="542E152C" w14:textId="3961C3C2" w:rsidR="1234300F" w:rsidRDefault="1234300F" w:rsidP="5C31A34A">
      <w:pPr>
        <w:spacing w:after="0" w:line="240" w:lineRule="auto"/>
        <w:jc w:val="center"/>
        <w:rPr>
          <w:rFonts w:ascii="Garamond" w:eastAsia="Garamond" w:hAnsi="Garamond" w:cs="Garamond"/>
          <w:color w:val="000000" w:themeColor="text1"/>
        </w:rPr>
      </w:pPr>
      <m:oMathPara>
        <m:oMath>
          <m:r>
            <w:rPr>
              <w:rFonts w:ascii="Cambria Math" w:hAnsi="Cambria Math"/>
            </w:rPr>
            <m:t>Difference = E</m:t>
          </m:r>
          <m:sSub>
            <m:sSubPr>
              <m:ctrlPr>
                <w:rPr>
                  <w:rFonts w:ascii="Cambria Math" w:hAnsi="Cambria Math"/>
                </w:rPr>
              </m:ctrlPr>
            </m:sSubPr>
            <m:e>
              <m:r>
                <w:rPr>
                  <w:rFonts w:ascii="Cambria Math" w:hAnsi="Cambria Math"/>
                </w:rPr>
                <m:t>T</m:t>
              </m:r>
            </m:e>
            <m:sub>
              <m:r>
                <w:rPr>
                  <w:rFonts w:ascii="Cambria Math" w:hAnsi="Cambria Math"/>
                </w:rPr>
                <m:t>final</m:t>
              </m:r>
            </m:sub>
          </m:sSub>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intial</m:t>
              </m:r>
            </m:sub>
          </m:sSub>
        </m:oMath>
      </m:oMathPara>
    </w:p>
    <w:p w14:paraId="48983821" w14:textId="7136C9BD" w:rsidR="1234300F" w:rsidRDefault="447FFCB2" w:rsidP="5C31A34A">
      <w:pPr>
        <w:spacing w:after="0" w:line="240" w:lineRule="auto"/>
        <w:jc w:val="right"/>
        <w:rPr>
          <w:rFonts w:ascii="Garamond" w:eastAsia="Garamond" w:hAnsi="Garamond" w:cs="Garamond"/>
        </w:rPr>
      </w:pPr>
      <w:r w:rsidRPr="5C31A34A">
        <w:rPr>
          <w:rFonts w:ascii="Garamond" w:eastAsia="Garamond" w:hAnsi="Garamond" w:cs="Garamond"/>
        </w:rPr>
        <w:t>(1)</w:t>
      </w:r>
    </w:p>
    <w:p w14:paraId="65723ED6" w14:textId="6747ED71" w:rsidR="1234300F" w:rsidRDefault="1234300F" w:rsidP="65CB079E">
      <w:pPr>
        <w:spacing w:after="0" w:line="240" w:lineRule="auto"/>
        <w:jc w:val="right"/>
        <w:rPr>
          <w:rFonts w:ascii="Garamond" w:eastAsia="Garamond" w:hAnsi="Garamond" w:cs="Garamond"/>
        </w:rPr>
      </w:pPr>
    </w:p>
    <w:p w14:paraId="2581BBE3" w14:textId="4F4ACF8E" w:rsidR="1234300F" w:rsidRDefault="1234300F" w:rsidP="5C31A34A">
      <w:pPr>
        <w:spacing w:after="0" w:line="240" w:lineRule="auto"/>
        <w:jc w:val="center"/>
        <w:rPr>
          <w:rFonts w:ascii="Garamond" w:eastAsia="Garamond" w:hAnsi="Garamond" w:cs="Garamond"/>
        </w:rPr>
      </w:pPr>
      <m:oMathPara>
        <m:oMath>
          <m:r>
            <w:rPr>
              <w:rFonts w:ascii="Cambria Math" w:hAnsi="Cambria Math"/>
            </w:rPr>
            <m:t>Percent Change = </m:t>
          </m:r>
          <m:f>
            <m:fPr>
              <m:ctrlPr>
                <w:rPr>
                  <w:rFonts w:ascii="Cambria Math" w:hAnsi="Cambria Math"/>
                </w:rPr>
              </m:ctrlPr>
            </m:fPr>
            <m:num>
              <m:d>
                <m:dPr>
                  <m:ctrlPr>
                    <w:rPr>
                      <w:rFonts w:ascii="Cambria Math" w:hAnsi="Cambria Math"/>
                    </w:rPr>
                  </m:ctrlPr>
                </m:dPr>
                <m:e>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final</m:t>
                      </m:r>
                    </m:sub>
                  </m:sSub>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intial</m:t>
                      </m:r>
                    </m:sub>
                  </m:sSub>
                </m:e>
              </m:d>
            </m:num>
            <m:den>
              <m:r>
                <w:rPr>
                  <w:rFonts w:ascii="Cambria Math" w:hAnsi="Cambria Math"/>
                </w:rPr>
                <m:t>E</m:t>
              </m:r>
              <m:sSub>
                <m:sSubPr>
                  <m:ctrlPr>
                    <w:rPr>
                      <w:rFonts w:ascii="Cambria Math" w:hAnsi="Cambria Math"/>
                    </w:rPr>
                  </m:ctrlPr>
                </m:sSubPr>
                <m:e>
                  <m:r>
                    <w:rPr>
                      <w:rFonts w:ascii="Cambria Math" w:hAnsi="Cambria Math"/>
                    </w:rPr>
                    <m:t>T</m:t>
                  </m:r>
                </m:e>
                <m:sub>
                  <m:r>
                    <w:rPr>
                      <w:rFonts w:ascii="Cambria Math" w:hAnsi="Cambria Math"/>
                    </w:rPr>
                    <m:t>intial</m:t>
                  </m:r>
                </m:sub>
              </m:sSub>
            </m:den>
          </m:f>
          <m:r>
            <w:rPr>
              <w:rFonts w:ascii="Cambria Math" w:hAnsi="Cambria Math"/>
            </w:rPr>
            <m:t>×100</m:t>
          </m:r>
        </m:oMath>
      </m:oMathPara>
    </w:p>
    <w:p w14:paraId="1CED997F" w14:textId="662CD510" w:rsidR="5C31A34A" w:rsidRDefault="26D26CB6" w:rsidP="7E9C04BA">
      <w:pPr>
        <w:spacing w:after="0" w:line="240" w:lineRule="auto"/>
        <w:jc w:val="right"/>
        <w:rPr>
          <w:rFonts w:ascii="Garamond" w:eastAsia="Garamond" w:hAnsi="Garamond" w:cs="Garamond"/>
        </w:rPr>
      </w:pPr>
      <w:r w:rsidRPr="7E9C04BA">
        <w:rPr>
          <w:rFonts w:ascii="Garamond" w:eastAsia="Garamond" w:hAnsi="Garamond" w:cs="Garamond"/>
        </w:rPr>
        <w:t>(2)</w:t>
      </w:r>
    </w:p>
    <w:p w14:paraId="54E947F2" w14:textId="350D80DB" w:rsidR="7E9C04BA" w:rsidRDefault="7E9C04BA" w:rsidP="7E9C04BA">
      <w:pPr>
        <w:spacing w:after="0" w:line="240" w:lineRule="auto"/>
        <w:jc w:val="right"/>
        <w:rPr>
          <w:rFonts w:ascii="Garamond" w:eastAsia="Garamond" w:hAnsi="Garamond" w:cs="Garamond"/>
        </w:rPr>
      </w:pPr>
    </w:p>
    <w:p w14:paraId="2978E4C4" w14:textId="7BB91F4D" w:rsidR="5C31A34A" w:rsidRDefault="5C31A34A" w:rsidP="5C31A34A">
      <w:pPr>
        <w:spacing w:after="0" w:line="240" w:lineRule="auto"/>
        <w:rPr>
          <w:rFonts w:ascii="Garamond" w:eastAsia="Garamond" w:hAnsi="Garamond" w:cs="Garamond"/>
        </w:rPr>
      </w:pPr>
      <w:r w:rsidRPr="5C31A34A">
        <w:rPr>
          <w:rFonts w:ascii="Garamond" w:eastAsia="Garamond" w:hAnsi="Garamond" w:cs="Garamond"/>
          <w:color w:val="000000" w:themeColor="text1"/>
        </w:rPr>
        <w:t xml:space="preserve">The team calculated zonal statistics for the median ET in each SBS class for 2019, 2020, and 2021 inside the Bootleg Fire heat perimeter and tested the 2021 </w:t>
      </w:r>
      <w:r w:rsidR="447FFCB2" w:rsidRPr="5C31A34A">
        <w:rPr>
          <w:rFonts w:ascii="Garamond" w:eastAsia="Garamond" w:hAnsi="Garamond" w:cs="Garamond"/>
        </w:rPr>
        <w:t>median seasonal summer ET composite</w:t>
      </w:r>
      <w:r w:rsidRPr="5C31A34A">
        <w:rPr>
          <w:rFonts w:ascii="Garamond" w:eastAsia="Garamond" w:hAnsi="Garamond" w:cs="Garamond"/>
          <w:color w:val="000000" w:themeColor="text1"/>
        </w:rPr>
        <w:t xml:space="preserve"> for spatial autocorrelation using the Cluster and Outlier Analysis (</w:t>
      </w:r>
      <w:proofErr w:type="spellStart"/>
      <w:r w:rsidRPr="5C31A34A">
        <w:rPr>
          <w:rFonts w:ascii="Garamond" w:eastAsia="Garamond" w:hAnsi="Garamond" w:cs="Garamond"/>
          <w:color w:val="000000" w:themeColor="text1"/>
        </w:rPr>
        <w:t>Anselin</w:t>
      </w:r>
      <w:proofErr w:type="spellEnd"/>
      <w:r w:rsidRPr="5C31A34A">
        <w:rPr>
          <w:rFonts w:ascii="Garamond" w:eastAsia="Garamond" w:hAnsi="Garamond" w:cs="Garamond"/>
          <w:color w:val="000000" w:themeColor="text1"/>
        </w:rPr>
        <w:t xml:space="preserve"> Local Moran’s I) tool. This exploratory analysis identified areas of statistical significance by calculating the distance between ET values using Euclidean (straight line) distance and defined spatial relationships by inverse distance (nearby neighbors have greater influence). The pseudo p-value was set at 0.002. Additionally, the team created the median ET time series </w:t>
      </w:r>
      <w:r w:rsidR="447FFCB2" w:rsidRPr="5C31A34A">
        <w:rPr>
          <w:rFonts w:ascii="Garamond" w:eastAsia="Garamond" w:hAnsi="Garamond" w:cs="Garamond"/>
        </w:rPr>
        <w:t xml:space="preserve">for the Bootleg Fire by clipping the individual ECOSTRESS daily ET </w:t>
      </w:r>
      <w:r w:rsidR="637DDB7B" w:rsidRPr="5C31A34A">
        <w:rPr>
          <w:rFonts w:ascii="Garamond" w:hAnsi="Garamond" w:cs="Arial"/>
        </w:rPr>
        <w:t xml:space="preserve">images and calculating summary statistics for the Bootleg Fire heat perimeter area </w:t>
      </w:r>
      <w:r w:rsidR="447FFCB2" w:rsidRPr="5C31A34A">
        <w:rPr>
          <w:rFonts w:ascii="Garamond" w:eastAsia="Garamond" w:hAnsi="Garamond" w:cs="Garamond"/>
        </w:rPr>
        <w:t xml:space="preserve">using Python 3.9 and the </w:t>
      </w:r>
      <w:proofErr w:type="spellStart"/>
      <w:r w:rsidR="447FFCB2" w:rsidRPr="5C31A34A">
        <w:rPr>
          <w:rFonts w:ascii="Garamond" w:eastAsia="Garamond" w:hAnsi="Garamond" w:cs="Garamond"/>
        </w:rPr>
        <w:t>Rasterio</w:t>
      </w:r>
      <w:proofErr w:type="spellEnd"/>
      <w:r w:rsidR="447FFCB2" w:rsidRPr="5C31A34A">
        <w:rPr>
          <w:rFonts w:ascii="Garamond" w:eastAsia="Garamond" w:hAnsi="Garamond" w:cs="Garamond"/>
        </w:rPr>
        <w:t xml:space="preserve"> 1.2.10, </w:t>
      </w:r>
      <w:proofErr w:type="spellStart"/>
      <w:r w:rsidR="447FFCB2" w:rsidRPr="5C31A34A">
        <w:rPr>
          <w:rFonts w:ascii="Garamond" w:eastAsia="Garamond" w:hAnsi="Garamond" w:cs="Garamond"/>
        </w:rPr>
        <w:t>Rioxarray</w:t>
      </w:r>
      <w:proofErr w:type="spellEnd"/>
      <w:r w:rsidR="447FFCB2" w:rsidRPr="5C31A34A">
        <w:rPr>
          <w:rFonts w:ascii="Garamond" w:eastAsia="Garamond" w:hAnsi="Garamond" w:cs="Garamond"/>
        </w:rPr>
        <w:t xml:space="preserve"> 0.11.1, </w:t>
      </w:r>
      <w:proofErr w:type="spellStart"/>
      <w:r w:rsidR="447FFCB2" w:rsidRPr="5C31A34A">
        <w:rPr>
          <w:rFonts w:ascii="Garamond" w:eastAsia="Garamond" w:hAnsi="Garamond" w:cs="Garamond"/>
        </w:rPr>
        <w:t>GeoPandas</w:t>
      </w:r>
      <w:proofErr w:type="spellEnd"/>
      <w:r w:rsidR="447FFCB2" w:rsidRPr="5C31A34A">
        <w:rPr>
          <w:rFonts w:ascii="Garamond" w:eastAsia="Garamond" w:hAnsi="Garamond" w:cs="Garamond"/>
        </w:rPr>
        <w:t xml:space="preserve"> 0.11.0, NumPy 1.21.5, and Matplotlib 3.5.1 packages.</w:t>
      </w:r>
    </w:p>
    <w:p w14:paraId="229B8FE3" w14:textId="6E03A260" w:rsidR="37848BF8" w:rsidRDefault="37848BF8" w:rsidP="37848BF8">
      <w:pPr>
        <w:spacing w:after="0" w:line="240" w:lineRule="auto"/>
        <w:rPr>
          <w:rFonts w:ascii="Garamond" w:hAnsi="Garamond" w:cs="Arial"/>
          <w:i/>
          <w:iCs/>
        </w:rPr>
      </w:pPr>
    </w:p>
    <w:p w14:paraId="136BD9AD" w14:textId="78C6EB0A" w:rsidR="5C31A34A" w:rsidRDefault="7B9723FF" w:rsidP="65CB079E">
      <w:pPr>
        <w:spacing w:after="0" w:line="240" w:lineRule="auto"/>
        <w:rPr>
          <w:rFonts w:ascii="Garamond" w:hAnsi="Garamond" w:cs="Arial"/>
        </w:rPr>
      </w:pPr>
      <w:r w:rsidRPr="10D1FD28">
        <w:rPr>
          <w:rFonts w:ascii="Garamond" w:hAnsi="Garamond" w:cs="Arial"/>
        </w:rPr>
        <w:t xml:space="preserve">For the topography parameters derived from the SRTM DEM, the team overlayed the elevation and slope layers with the BAER SBS map. The ArcGIS Pro Tabulate Area </w:t>
      </w:r>
      <w:r w:rsidR="68BBC6B9" w:rsidRPr="10D1FD28">
        <w:rPr>
          <w:rFonts w:ascii="Garamond" w:hAnsi="Garamond" w:cs="Arial"/>
        </w:rPr>
        <w:t>function was used to calculate the area of each SBS classification for all elevation, aspect, and slope classes. The team then applied Zonal Statistics to find the minimum, maximum, range, mean, median and standard deviation of elevation and slope values within the different SBS class.  The Tabulate Area and Reclassify Raster tool</w:t>
      </w:r>
      <w:r w:rsidR="6F0C4777" w:rsidRPr="10D1FD28">
        <w:rPr>
          <w:rFonts w:ascii="Garamond" w:hAnsi="Garamond" w:cs="Arial"/>
        </w:rPr>
        <w:t>s</w:t>
      </w:r>
      <w:r w:rsidR="68BBC6B9" w:rsidRPr="10D1FD28">
        <w:rPr>
          <w:rFonts w:ascii="Garamond" w:hAnsi="Garamond" w:cs="Arial"/>
        </w:rPr>
        <w:t xml:space="preserve"> </w:t>
      </w:r>
      <w:r w:rsidR="1B019B9F" w:rsidRPr="10D1FD28">
        <w:rPr>
          <w:rFonts w:ascii="Garamond" w:hAnsi="Garamond" w:cs="Arial"/>
        </w:rPr>
        <w:t xml:space="preserve">were </w:t>
      </w:r>
      <w:r w:rsidR="68BBC6B9" w:rsidRPr="10D1FD28">
        <w:rPr>
          <w:rFonts w:ascii="Garamond" w:hAnsi="Garamond" w:cs="Arial"/>
        </w:rPr>
        <w:t>used to assess slope, aspect, and elevation coverage within SBS classes. These tools were reapplied with the purpose of understanding the relative proportion of unburned, low, moderate, and high SBS areas across aspect, slope, and elevation ranges. For the GEDI mean AGBD, the team used the Zonal Statistics tool in ArcGIS Pro to calculate summary statistics for biomass density in each of the SBS classifications.</w:t>
      </w:r>
    </w:p>
    <w:p w14:paraId="4468A03A" w14:textId="3CF884B0" w:rsidR="37848BF8" w:rsidRDefault="37848BF8" w:rsidP="5C31A34A">
      <w:pPr>
        <w:spacing w:after="0" w:line="240" w:lineRule="auto"/>
        <w:rPr>
          <w:i/>
          <w:iCs/>
        </w:rPr>
      </w:pPr>
    </w:p>
    <w:p w14:paraId="595A822C" w14:textId="172A1542" w:rsidR="3559422B" w:rsidRDefault="05C31657" w:rsidP="5C31A34A">
      <w:pPr>
        <w:spacing w:after="0" w:line="240" w:lineRule="auto"/>
        <w:rPr>
          <w:rFonts w:ascii="Garamond" w:eastAsia="Gungsuh" w:hAnsi="Garamond" w:cs="Gungsuh"/>
        </w:rPr>
      </w:pPr>
      <w:r w:rsidRPr="10D1FD28">
        <w:rPr>
          <w:rFonts w:ascii="Garamond" w:eastAsia="Garamond" w:hAnsi="Garamond" w:cs="Garamond"/>
        </w:rPr>
        <w:t xml:space="preserve">The team analyzed vegetation, SBS, ET and WUE to determine how vegetation was affected during the active fire as well as the relationship between pre-fire vegetation moisture and the percentage of vegetation in an area. SBS data </w:t>
      </w:r>
      <w:r w:rsidR="1A81CC1D" w:rsidRPr="10D1FD28">
        <w:rPr>
          <w:rFonts w:ascii="Garamond" w:eastAsia="Garamond" w:hAnsi="Garamond" w:cs="Garamond"/>
        </w:rPr>
        <w:t xml:space="preserve">were </w:t>
      </w:r>
      <w:r w:rsidR="28076BE6" w:rsidRPr="10D1FD28">
        <w:rPr>
          <w:rFonts w:ascii="Garamond" w:eastAsia="Garamond" w:hAnsi="Garamond" w:cs="Garamond"/>
        </w:rPr>
        <w:t xml:space="preserve">first </w:t>
      </w:r>
      <w:r w:rsidRPr="10D1FD28">
        <w:rPr>
          <w:rFonts w:ascii="Garamond" w:eastAsia="Garamond" w:hAnsi="Garamond" w:cs="Garamond"/>
        </w:rPr>
        <w:t>reprojected and resampled (</w:t>
      </w:r>
      <w:r w:rsidR="1D2C518F" w:rsidRPr="10D1FD28">
        <w:rPr>
          <w:rFonts w:ascii="Garamond" w:eastAsia="Garamond" w:hAnsi="Garamond" w:cs="Garamond"/>
        </w:rPr>
        <w:t xml:space="preserve">to </w:t>
      </w:r>
      <w:r w:rsidRPr="10D1FD28">
        <w:rPr>
          <w:rFonts w:ascii="Garamond" w:eastAsia="Garamond" w:hAnsi="Garamond" w:cs="Garamond"/>
        </w:rPr>
        <w:t>80m), and</w:t>
      </w:r>
      <w:r w:rsidR="28076BE6" w:rsidRPr="10D1FD28">
        <w:rPr>
          <w:rFonts w:ascii="Garamond" w:eastAsia="Garamond" w:hAnsi="Garamond" w:cs="Garamond"/>
        </w:rPr>
        <w:t xml:space="preserve"> </w:t>
      </w:r>
      <w:r w:rsidRPr="10D1FD28">
        <w:rPr>
          <w:rFonts w:ascii="Garamond" w:eastAsia="Garamond" w:hAnsi="Garamond" w:cs="Garamond"/>
        </w:rPr>
        <w:t>the different SBS categories were then reclassified to calculate the extent of vegetation in each SBS class. ET and WUE values were also reprojected (WGS 1984 Mercator), resampled (</w:t>
      </w:r>
      <w:r w:rsidR="7B2A8F80" w:rsidRPr="10D1FD28">
        <w:rPr>
          <w:rFonts w:ascii="Garamond" w:eastAsia="Garamond" w:hAnsi="Garamond" w:cs="Garamond"/>
        </w:rPr>
        <w:t xml:space="preserve">to </w:t>
      </w:r>
      <w:r w:rsidRPr="10D1FD28">
        <w:rPr>
          <w:rFonts w:ascii="Garamond" w:eastAsia="Garamond" w:hAnsi="Garamond" w:cs="Garamond"/>
        </w:rPr>
        <w:t>80m), and divided into equal interval bins (low</w:t>
      </w:r>
      <w:r w:rsidR="3C5147E2" w:rsidRPr="10D1FD28">
        <w:rPr>
          <w:rFonts w:ascii="Garamond" w:eastAsia="Garamond" w:hAnsi="Garamond" w:cs="Garamond"/>
        </w:rPr>
        <w:t xml:space="preserve"> </w:t>
      </w:r>
      <w:r w:rsidRPr="10D1FD28">
        <w:rPr>
          <w:rFonts w:ascii="Garamond" w:eastAsia="Garamond" w:hAnsi="Garamond" w:cs="Garamond"/>
        </w:rPr>
        <w:t>=</w:t>
      </w:r>
      <w:r w:rsidR="3C5147E2" w:rsidRPr="10D1FD28">
        <w:rPr>
          <w:rFonts w:ascii="Garamond" w:eastAsia="Garamond" w:hAnsi="Garamond" w:cs="Garamond"/>
        </w:rPr>
        <w:t xml:space="preserve"> </w:t>
      </w:r>
      <w:r w:rsidRPr="10D1FD28">
        <w:rPr>
          <w:rFonts w:ascii="Garamond" w:eastAsia="Garamond" w:hAnsi="Garamond" w:cs="Garamond"/>
        </w:rPr>
        <w:t>lower third, moderate</w:t>
      </w:r>
      <w:r w:rsidR="50FDFB9E" w:rsidRPr="10D1FD28">
        <w:rPr>
          <w:rFonts w:ascii="Garamond" w:eastAsia="Garamond" w:hAnsi="Garamond" w:cs="Garamond"/>
        </w:rPr>
        <w:t xml:space="preserve"> </w:t>
      </w:r>
      <w:r w:rsidRPr="10D1FD28">
        <w:rPr>
          <w:rFonts w:ascii="Garamond" w:eastAsia="Garamond" w:hAnsi="Garamond" w:cs="Garamond"/>
        </w:rPr>
        <w:t>=</w:t>
      </w:r>
      <w:r w:rsidR="2BAC150A" w:rsidRPr="10D1FD28">
        <w:rPr>
          <w:rFonts w:ascii="Garamond" w:eastAsia="Garamond" w:hAnsi="Garamond" w:cs="Garamond"/>
        </w:rPr>
        <w:t xml:space="preserve"> </w:t>
      </w:r>
      <w:r w:rsidRPr="10D1FD28">
        <w:rPr>
          <w:rFonts w:ascii="Garamond" w:eastAsia="Garamond" w:hAnsi="Garamond" w:cs="Garamond"/>
        </w:rPr>
        <w:t>middle third, high</w:t>
      </w:r>
      <w:r w:rsidR="58917B10" w:rsidRPr="10D1FD28">
        <w:rPr>
          <w:rFonts w:ascii="Garamond" w:eastAsia="Garamond" w:hAnsi="Garamond" w:cs="Garamond"/>
        </w:rPr>
        <w:t xml:space="preserve"> </w:t>
      </w:r>
      <w:r w:rsidRPr="10D1FD28">
        <w:rPr>
          <w:rFonts w:ascii="Garamond" w:eastAsia="Garamond" w:hAnsi="Garamond" w:cs="Garamond"/>
        </w:rPr>
        <w:t>=</w:t>
      </w:r>
      <w:r w:rsidR="58917B10" w:rsidRPr="10D1FD28">
        <w:rPr>
          <w:rFonts w:ascii="Garamond" w:eastAsia="Garamond" w:hAnsi="Garamond" w:cs="Garamond"/>
        </w:rPr>
        <w:t xml:space="preserve"> </w:t>
      </w:r>
      <w:r w:rsidRPr="10D1FD28">
        <w:rPr>
          <w:rFonts w:ascii="Garamond" w:eastAsia="Garamond" w:hAnsi="Garamond" w:cs="Garamond"/>
        </w:rPr>
        <w:t>upper third) to determine the extent of vegetation for each parameter. The team used</w:t>
      </w:r>
      <w:r w:rsidR="7EF7BFE1" w:rsidRPr="10D1FD28">
        <w:rPr>
          <w:rFonts w:ascii="Garamond" w:eastAsia="Garamond" w:hAnsi="Garamond" w:cs="Garamond"/>
        </w:rPr>
        <w:t xml:space="preserve"> the</w:t>
      </w:r>
      <w:r w:rsidRPr="10D1FD28">
        <w:rPr>
          <w:rFonts w:ascii="Garamond" w:eastAsia="Garamond" w:hAnsi="Garamond" w:cs="Garamond"/>
        </w:rPr>
        <w:t xml:space="preserve"> Zonal Statistics as a Table and Tabulate Area tools to calculate majority and minority vegetation, as well as the percent area of each specific vegetation within the study area and Bootleg Fire heat perimeter. This process was repeated to analyze how areas with different SBS, ET, and WUE were affected by the Bootleg Fire. The team also analyzed</w:t>
      </w:r>
      <w:r w:rsidR="28076BE6" w:rsidRPr="10D1FD28">
        <w:rPr>
          <w:rFonts w:ascii="Garamond" w:eastAsia="Garamond" w:hAnsi="Garamond" w:cs="Garamond"/>
        </w:rPr>
        <w:t xml:space="preserve"> wildfire intensity in different vegetation by calculating the difference </w:t>
      </w:r>
      <w:r w:rsidR="28076BE6" w:rsidRPr="10D1FD28">
        <w:rPr>
          <w:rFonts w:ascii="Garamond" w:eastAsia="Gungsuh" w:hAnsi="Garamond" w:cs="Gungsuh"/>
        </w:rPr>
        <w:t>between total percent area of vegetation in the heat perimeter and high SBS areas.</w:t>
      </w:r>
    </w:p>
    <w:p w14:paraId="726985AB" w14:textId="36403827" w:rsidR="5C31A34A" w:rsidRDefault="5C31A34A" w:rsidP="5C31A34A">
      <w:pPr>
        <w:spacing w:after="0" w:line="240" w:lineRule="auto"/>
        <w:rPr>
          <w:rFonts w:ascii="Garamond" w:eastAsia="Garamond" w:hAnsi="Garamond" w:cs="Garamond"/>
        </w:rPr>
      </w:pPr>
    </w:p>
    <w:p w14:paraId="1F53876F" w14:textId="3A06559D" w:rsidR="00E41324" w:rsidRPr="0066138C" w:rsidRDefault="149D6BC4" w:rsidP="0066138C">
      <w:pPr>
        <w:pStyle w:val="Heading1"/>
        <w:spacing w:before="0" w:line="240" w:lineRule="auto"/>
        <w:rPr>
          <w:rFonts w:ascii="Garamond" w:hAnsi="Garamond"/>
        </w:rPr>
      </w:pPr>
      <w:bookmarkStart w:id="3" w:name="_Toc334198730"/>
      <w:r w:rsidRPr="5C31A34A">
        <w:rPr>
          <w:rFonts w:ascii="Garamond" w:hAnsi="Garamond"/>
        </w:rPr>
        <w:t>4</w:t>
      </w:r>
      <w:r w:rsidR="5A2859AA" w:rsidRPr="5C31A34A">
        <w:rPr>
          <w:rFonts w:ascii="Garamond" w:hAnsi="Garamond"/>
        </w:rPr>
        <w:t xml:space="preserve">. </w:t>
      </w:r>
      <w:r w:rsidR="17E1AFF4" w:rsidRPr="5C31A34A">
        <w:rPr>
          <w:rFonts w:ascii="Garamond" w:hAnsi="Garamond"/>
        </w:rPr>
        <w:t>Results</w:t>
      </w:r>
      <w:bookmarkEnd w:id="3"/>
      <w:r w:rsidR="5E83B95D" w:rsidRPr="5C31A34A">
        <w:rPr>
          <w:rFonts w:ascii="Garamond" w:hAnsi="Garamond"/>
        </w:rPr>
        <w:t xml:space="preserve"> &amp; Discussion</w:t>
      </w:r>
    </w:p>
    <w:p w14:paraId="5D5BC72E" w14:textId="2AC84DC4" w:rsidR="7716F7A8" w:rsidRDefault="149D6BC4" w:rsidP="5C31A34A">
      <w:pPr>
        <w:spacing w:after="0" w:line="240" w:lineRule="auto"/>
        <w:rPr>
          <w:rFonts w:ascii="Garamond" w:hAnsi="Garamond"/>
          <w:b/>
          <w:bCs/>
          <w:i/>
          <w:iCs/>
        </w:rPr>
      </w:pPr>
      <w:r w:rsidRPr="5C31A34A">
        <w:rPr>
          <w:rFonts w:ascii="Garamond" w:hAnsi="Garamond"/>
          <w:b/>
          <w:bCs/>
          <w:i/>
          <w:iCs/>
        </w:rPr>
        <w:t>4.1 Analysis of Results</w:t>
      </w:r>
    </w:p>
    <w:p w14:paraId="67893884" w14:textId="784383E3" w:rsidR="7716F7A8" w:rsidRDefault="5C31A34A" w:rsidP="5C31A34A">
      <w:pPr>
        <w:pStyle w:val="NoSpacing"/>
        <w:rPr>
          <w:rFonts w:ascii="Garamond" w:hAnsi="Garamond"/>
          <w:i/>
          <w:iCs/>
        </w:rPr>
      </w:pPr>
      <w:r w:rsidRPr="5C31A34A">
        <w:rPr>
          <w:rFonts w:ascii="Garamond" w:hAnsi="Garamond"/>
          <w:i/>
          <w:iCs/>
        </w:rPr>
        <w:t>4.1.1 Evapotranspiration</w:t>
      </w:r>
    </w:p>
    <w:p w14:paraId="418A6177" w14:textId="38503C54" w:rsidR="7716F7A8" w:rsidRDefault="3C8177F9" w:rsidP="5C31A34A">
      <w:pPr>
        <w:spacing w:after="0" w:line="240" w:lineRule="auto"/>
      </w:pPr>
      <w:r w:rsidRPr="65CB079E">
        <w:rPr>
          <w:rFonts w:ascii="Garamond" w:eastAsia="Garamond" w:hAnsi="Garamond" w:cs="Garamond"/>
          <w:color w:val="000000" w:themeColor="text1"/>
        </w:rPr>
        <w:t>The team examined the ET response within the Bootleg Fire heat perimeter and the wider study area for the two years prior to the start of the Bootleg Fire on July 6, 2021 (Figure 1). A</w:t>
      </w:r>
      <w:r w:rsidRPr="65CB079E">
        <w:rPr>
          <w:rFonts w:ascii="Garamond" w:eastAsia="Garamond" w:hAnsi="Garamond" w:cs="Garamond"/>
        </w:rPr>
        <w:t xml:space="preserve"> time series of median daily ET beginning in May 2019 and ending in September 2021, approximately one month after the fire was fully contained, indicates some seasonality in the area of the Bootleg Fire (Figure 2). In the spring of 2020 and 2021, there was an increase in the median daily ET while ET decreased in the fall-winter of 2019-2020 and 2020-2021. It is expected that warming temperatures and leaf emergence would increase ET from fall and </w:t>
      </w:r>
      <w:r w:rsidRPr="65CB079E">
        <w:rPr>
          <w:rFonts w:ascii="Garamond" w:eastAsia="Garamond" w:hAnsi="Garamond" w:cs="Garamond"/>
        </w:rPr>
        <w:lastRenderedPageBreak/>
        <w:t>winter rates. For summer 2021, the median daily ET in the Bootleg Fire area dropped to zero on several days in June. During the fire, ECOSTRESS products were not available due to smoke interference, however, post-fire images from late August and September 2021 show median daily ET was also near zero. This is the expected response to the destruction of vegetation and changes in the hydraulic conductance of soils from fire.</w:t>
      </w:r>
    </w:p>
    <w:p w14:paraId="5827C92D" w14:textId="27295CE8" w:rsidR="7716F7A8" w:rsidRDefault="7D5FC8E0" w:rsidP="5C31A34A">
      <w:pPr>
        <w:spacing w:after="0" w:line="240" w:lineRule="auto"/>
        <w:jc w:val="center"/>
      </w:pPr>
      <w:r>
        <w:rPr>
          <w:noProof/>
        </w:rPr>
        <w:drawing>
          <wp:inline distT="0" distB="0" distL="0" distR="0" wp14:anchorId="5D7C121D" wp14:editId="25F7C350">
            <wp:extent cx="4989684" cy="2543934"/>
            <wp:effectExtent l="0" t="0" r="0" b="0"/>
            <wp:docPr id="835067600" name="Picture 83506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067600"/>
                    <pic:cNvPicPr/>
                  </pic:nvPicPr>
                  <pic:blipFill>
                    <a:blip r:embed="rId13">
                      <a:extLst>
                        <a:ext uri="{28A0092B-C50C-407E-A947-70E740481C1C}">
                          <a14:useLocalDpi xmlns:a14="http://schemas.microsoft.com/office/drawing/2010/main" val="0"/>
                        </a:ext>
                      </a:extLst>
                    </a:blip>
                    <a:srcRect l="8653" t="9935" r="9935" b="7051"/>
                    <a:stretch>
                      <a:fillRect/>
                    </a:stretch>
                  </pic:blipFill>
                  <pic:spPr>
                    <a:xfrm>
                      <a:off x="0" y="0"/>
                      <a:ext cx="4989684" cy="2543934"/>
                    </a:xfrm>
                    <a:prstGeom prst="rect">
                      <a:avLst/>
                    </a:prstGeom>
                  </pic:spPr>
                </pic:pic>
              </a:graphicData>
            </a:graphic>
          </wp:inline>
        </w:drawing>
      </w:r>
    </w:p>
    <w:p w14:paraId="71E191CA" w14:textId="58D86326" w:rsidR="7716F7A8" w:rsidRDefault="5F436358" w:rsidP="5C31A34A">
      <w:pPr>
        <w:spacing w:line="240" w:lineRule="auto"/>
        <w:jc w:val="center"/>
        <w:rPr>
          <w:rFonts w:ascii="Garamond" w:eastAsia="Garamond" w:hAnsi="Garamond" w:cs="Garamond"/>
        </w:rPr>
      </w:pPr>
      <w:r w:rsidRPr="65CB079E">
        <w:rPr>
          <w:rFonts w:ascii="Garamond" w:eastAsia="Garamond" w:hAnsi="Garamond" w:cs="Garamond"/>
          <w:i/>
          <w:iCs/>
          <w:color w:val="000000" w:themeColor="text1"/>
        </w:rPr>
        <w:t xml:space="preserve">Figure 2. </w:t>
      </w:r>
      <w:r w:rsidR="3C8177F9" w:rsidRPr="65CB079E">
        <w:rPr>
          <w:rFonts w:ascii="Garamond" w:eastAsia="Garamond" w:hAnsi="Garamond" w:cs="Garamond"/>
          <w:color w:val="000000" w:themeColor="text1"/>
        </w:rPr>
        <w:t xml:space="preserve">Time series of median daily ET for May 25, 2019 – September 22, </w:t>
      </w:r>
      <w:proofErr w:type="gramStart"/>
      <w:r w:rsidR="3C8177F9" w:rsidRPr="65CB079E">
        <w:rPr>
          <w:rFonts w:ascii="Garamond" w:eastAsia="Garamond" w:hAnsi="Garamond" w:cs="Garamond"/>
          <w:color w:val="000000" w:themeColor="text1"/>
        </w:rPr>
        <w:t>2021</w:t>
      </w:r>
      <w:proofErr w:type="gramEnd"/>
      <w:r w:rsidR="3C8177F9" w:rsidRPr="65CB079E">
        <w:rPr>
          <w:rFonts w:ascii="Garamond" w:eastAsia="Garamond" w:hAnsi="Garamond" w:cs="Garamond"/>
          <w:color w:val="000000" w:themeColor="text1"/>
        </w:rPr>
        <w:t xml:space="preserve"> for the area inside of the Bootleg Fire heat perimeter</w:t>
      </w:r>
      <w:r w:rsidRPr="65CB079E">
        <w:rPr>
          <w:rFonts w:ascii="Garamond" w:eastAsia="Garamond" w:hAnsi="Garamond" w:cs="Garamond"/>
          <w:color w:val="000000" w:themeColor="text1"/>
        </w:rPr>
        <w:t>. D</w:t>
      </w:r>
      <w:r w:rsidR="3C8177F9" w:rsidRPr="65CB079E">
        <w:rPr>
          <w:rFonts w:ascii="Garamond" w:eastAsia="Garamond" w:hAnsi="Garamond" w:cs="Garamond"/>
        </w:rPr>
        <w:t>ashed lines indicate the apparent trend between data points, due to gaps in the data. Green bars indicate the standard deviation.</w:t>
      </w:r>
    </w:p>
    <w:p w14:paraId="2F2CD277" w14:textId="447E47F7" w:rsidR="1234300F" w:rsidRDefault="7F421004" w:rsidP="7E9C04BA">
      <w:pPr>
        <w:spacing w:after="0" w:line="240" w:lineRule="auto"/>
        <w:rPr>
          <w:rFonts w:ascii="Garamond" w:eastAsia="Garamond" w:hAnsi="Garamond" w:cs="Garamond"/>
        </w:rPr>
      </w:pPr>
      <w:r w:rsidRPr="10D1FD28">
        <w:rPr>
          <w:rFonts w:ascii="Garamond" w:eastAsia="Garamond" w:hAnsi="Garamond" w:cs="Garamond"/>
          <w:color w:val="000000" w:themeColor="text1"/>
        </w:rPr>
        <w:t>The team created median ET summer seasonal composites for April 1</w:t>
      </w:r>
      <w:r w:rsidRPr="10D1FD28">
        <w:rPr>
          <w:rFonts w:ascii="Garamond" w:eastAsia="Garamond" w:hAnsi="Garamond" w:cs="Garamond"/>
          <w:color w:val="000000" w:themeColor="text1"/>
          <w:vertAlign w:val="superscript"/>
        </w:rPr>
        <w:t>st</w:t>
      </w:r>
      <w:r w:rsidRPr="10D1FD28">
        <w:rPr>
          <w:rFonts w:ascii="Garamond" w:eastAsia="Garamond" w:hAnsi="Garamond" w:cs="Garamond"/>
          <w:color w:val="000000" w:themeColor="text1"/>
        </w:rPr>
        <w:t xml:space="preserve"> – July 5</w:t>
      </w:r>
      <w:r w:rsidRPr="10D1FD28">
        <w:rPr>
          <w:rFonts w:ascii="Garamond" w:eastAsia="Garamond" w:hAnsi="Garamond" w:cs="Garamond"/>
          <w:color w:val="000000" w:themeColor="text1"/>
          <w:vertAlign w:val="superscript"/>
        </w:rPr>
        <w:t>th</w:t>
      </w:r>
      <w:proofErr w:type="gramStart"/>
      <w:r w:rsidRPr="10D1FD28">
        <w:rPr>
          <w:rFonts w:ascii="Garamond" w:eastAsia="Garamond" w:hAnsi="Garamond" w:cs="Garamond"/>
          <w:color w:val="000000" w:themeColor="text1"/>
        </w:rPr>
        <w:t xml:space="preserve"> 2019</w:t>
      </w:r>
      <w:proofErr w:type="gramEnd"/>
      <w:r w:rsidRPr="10D1FD28">
        <w:rPr>
          <w:rFonts w:ascii="Garamond" w:eastAsia="Garamond" w:hAnsi="Garamond" w:cs="Garamond"/>
          <w:color w:val="000000" w:themeColor="text1"/>
        </w:rPr>
        <w:t xml:space="preserve"> and 2021 </w:t>
      </w:r>
      <w:r w:rsidR="6043F069" w:rsidRPr="10D1FD28">
        <w:rPr>
          <w:rFonts w:ascii="Garamond" w:eastAsia="Garamond" w:hAnsi="Garamond" w:cs="Garamond"/>
          <w:color w:val="000000" w:themeColor="text1"/>
        </w:rPr>
        <w:t xml:space="preserve">which </w:t>
      </w:r>
      <w:r w:rsidR="28076BE6" w:rsidRPr="10D1FD28">
        <w:rPr>
          <w:rFonts w:ascii="Garamond" w:eastAsia="Garamond" w:hAnsi="Garamond" w:cs="Garamond"/>
          <w:color w:val="000000" w:themeColor="text1"/>
        </w:rPr>
        <w:t>showed a decrease in median ET between 2021 and 2019 (Figure 3). This shift to drier conditions was especially noticeable inside the southern part of the Bootleg Fire heat perimeter, where there was a decline in median ET of ~7 mm/day. The decrease in median ET for this area inside of the Bootleg Fire heat perimeter was 75% or greater (Figure 4). Summer seasonal composites for April 1</w:t>
      </w:r>
      <w:r w:rsidR="28076BE6" w:rsidRPr="10D1FD28">
        <w:rPr>
          <w:rFonts w:ascii="Garamond" w:eastAsia="Garamond" w:hAnsi="Garamond" w:cs="Garamond"/>
          <w:color w:val="000000" w:themeColor="text1"/>
          <w:vertAlign w:val="superscript"/>
        </w:rPr>
        <w:t>st</w:t>
      </w:r>
      <w:r w:rsidR="28076BE6" w:rsidRPr="10D1FD28">
        <w:rPr>
          <w:rFonts w:ascii="Garamond" w:eastAsia="Garamond" w:hAnsi="Garamond" w:cs="Garamond"/>
          <w:color w:val="000000" w:themeColor="text1"/>
        </w:rPr>
        <w:t xml:space="preserve"> – July 5</w:t>
      </w:r>
      <w:r w:rsidR="28076BE6" w:rsidRPr="10D1FD28">
        <w:rPr>
          <w:rFonts w:ascii="Garamond" w:eastAsia="Garamond" w:hAnsi="Garamond" w:cs="Garamond"/>
          <w:color w:val="000000" w:themeColor="text1"/>
          <w:vertAlign w:val="superscript"/>
        </w:rPr>
        <w:t>th</w:t>
      </w:r>
      <w:r w:rsidR="28076BE6" w:rsidRPr="10D1FD28">
        <w:rPr>
          <w:rFonts w:ascii="Garamond" w:eastAsia="Garamond" w:hAnsi="Garamond" w:cs="Garamond"/>
          <w:color w:val="000000" w:themeColor="text1"/>
        </w:rPr>
        <w:t xml:space="preserve">, </w:t>
      </w:r>
      <w:proofErr w:type="gramStart"/>
      <w:r w:rsidR="28076BE6" w:rsidRPr="10D1FD28">
        <w:rPr>
          <w:rFonts w:ascii="Garamond" w:eastAsia="Garamond" w:hAnsi="Garamond" w:cs="Garamond"/>
          <w:color w:val="000000" w:themeColor="text1"/>
        </w:rPr>
        <w:t>2019</w:t>
      </w:r>
      <w:proofErr w:type="gramEnd"/>
      <w:r w:rsidR="28076BE6" w:rsidRPr="10D1FD28">
        <w:rPr>
          <w:rFonts w:ascii="Garamond" w:eastAsia="Garamond" w:hAnsi="Garamond" w:cs="Garamond"/>
          <w:color w:val="000000" w:themeColor="text1"/>
        </w:rPr>
        <w:t xml:space="preserve"> and 2020 showed minimal decreases in median ET between the two years, although some locations decreased up to 4 mm/day in the southern part of the Bootleg Fire (Figure A4). However, analysis of the 2020 and 2021 summer seasonal composites showed a decrease in median ET of 75% or more, similar to the decrease between 2019 and 2021 (Figure A2). This indicates that for the two years preceding the Bootleg Fire, drier conditions persisted and that there was a much stronger loss of vegetation moisture between 2020 and 2021 (Figure A1; Figure A2). Exploratory testing of the 2021 median ET composite for spatial autocorrelation shows statistically significant clusters of low ET and high ET in the Bootleg Fire area as well as high-low and low-high ET outliers (Figure A5). This indicates that spatial similarity in ET values as well as the presence of outliers is not by chance.</w:t>
      </w:r>
    </w:p>
    <w:p w14:paraId="2E414EB6" w14:textId="7DBFCF73" w:rsidR="1234300F" w:rsidRDefault="1234300F" w:rsidP="7E9C04BA">
      <w:pPr>
        <w:spacing w:after="0" w:line="240" w:lineRule="auto"/>
        <w:rPr>
          <w:rFonts w:ascii="Garamond" w:eastAsia="Garamond" w:hAnsi="Garamond" w:cs="Garamond"/>
          <w:color w:val="000000" w:themeColor="text1"/>
        </w:rPr>
      </w:pPr>
    </w:p>
    <w:p w14:paraId="0D4CCAA8" w14:textId="3C554DA9" w:rsidR="1234300F" w:rsidRDefault="7F421004" w:rsidP="7E9C04BA">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113C911B" wp14:editId="6B0165C4">
            <wp:extent cx="6180571" cy="2369218"/>
            <wp:effectExtent l="0" t="0" r="0" b="0"/>
            <wp:docPr id="343728115" name="Picture 34372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28115"/>
                    <pic:cNvPicPr/>
                  </pic:nvPicPr>
                  <pic:blipFill>
                    <a:blip r:embed="rId14">
                      <a:extLst>
                        <a:ext uri="{28A0092B-C50C-407E-A947-70E740481C1C}">
                          <a14:useLocalDpi xmlns:a14="http://schemas.microsoft.com/office/drawing/2010/main" val="0"/>
                        </a:ext>
                      </a:extLst>
                    </a:blip>
                    <a:stretch>
                      <a:fillRect/>
                    </a:stretch>
                  </pic:blipFill>
                  <pic:spPr>
                    <a:xfrm>
                      <a:off x="0" y="0"/>
                      <a:ext cx="6180571" cy="2369218"/>
                    </a:xfrm>
                    <a:prstGeom prst="rect">
                      <a:avLst/>
                    </a:prstGeom>
                  </pic:spPr>
                </pic:pic>
              </a:graphicData>
            </a:graphic>
          </wp:inline>
        </w:drawing>
      </w:r>
      <w:r w:rsidR="28076BE6" w:rsidRPr="10D1FD28">
        <w:rPr>
          <w:rFonts w:ascii="Garamond" w:eastAsia="Garamond" w:hAnsi="Garamond" w:cs="Garamond"/>
          <w:i/>
          <w:iCs/>
          <w:color w:val="000000" w:themeColor="text1"/>
        </w:rPr>
        <w:t xml:space="preserve">Figure 3. </w:t>
      </w:r>
      <w:r w:rsidR="28076BE6" w:rsidRPr="10D1FD28">
        <w:rPr>
          <w:rFonts w:ascii="Garamond" w:eastAsia="Garamond" w:hAnsi="Garamond" w:cs="Garamond"/>
          <w:color w:val="000000" w:themeColor="text1"/>
        </w:rPr>
        <w:t>Median ET summer seasonal composites for April 1st – July 5th in a median ET composite 2021 (a), and the</w:t>
      </w:r>
      <w:r w:rsidR="28076BE6" w:rsidRPr="10D1FD28">
        <w:rPr>
          <w:rFonts w:ascii="Garamond" w:eastAsia="Garamond" w:hAnsi="Garamond" w:cs="Garamond"/>
          <w:i/>
          <w:iCs/>
          <w:color w:val="000000" w:themeColor="text1"/>
        </w:rPr>
        <w:t xml:space="preserve"> </w:t>
      </w:r>
      <w:r w:rsidR="28076BE6" w:rsidRPr="10D1FD28">
        <w:rPr>
          <w:rFonts w:ascii="Garamond" w:eastAsia="Garamond" w:hAnsi="Garamond" w:cs="Garamond"/>
          <w:color w:val="000000" w:themeColor="text1"/>
        </w:rPr>
        <w:t xml:space="preserve">median ET composite for 2019 (b). High ET </w:t>
      </w:r>
      <w:r w:rsidR="0FF7DE72"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 xml:space="preserve">in dark green and low ET </w:t>
      </w:r>
      <w:r w:rsidR="24A836EA"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in brown coloring. The Bootleg Fire heat perimeter boundary is shown in red.</w:t>
      </w:r>
    </w:p>
    <w:p w14:paraId="66287979" w14:textId="26411675" w:rsidR="1234300F" w:rsidRDefault="1234300F" w:rsidP="5C31A34A">
      <w:pPr>
        <w:spacing w:after="0" w:line="240" w:lineRule="auto"/>
        <w:jc w:val="center"/>
        <w:rPr>
          <w:rFonts w:ascii="Garamond" w:eastAsia="Garamond" w:hAnsi="Garamond" w:cs="Garamond"/>
          <w:color w:val="000000" w:themeColor="text1"/>
        </w:rPr>
      </w:pPr>
    </w:p>
    <w:p w14:paraId="7C494460" w14:textId="21E7BDA6" w:rsidR="1234300F" w:rsidRDefault="7E9C04BA" w:rsidP="5C31A34A">
      <w:pPr>
        <w:spacing w:after="0" w:line="240" w:lineRule="auto"/>
      </w:pPr>
      <w:r>
        <w:rPr>
          <w:noProof/>
        </w:rPr>
        <w:drawing>
          <wp:inline distT="0" distB="0" distL="0" distR="0" wp14:anchorId="67C1F25F" wp14:editId="277F20F6">
            <wp:extent cx="6249816" cy="2460865"/>
            <wp:effectExtent l="0" t="0" r="0" b="0"/>
            <wp:docPr id="548791552" name="Picture 54879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249816" cy="2460865"/>
                    </a:xfrm>
                    <a:prstGeom prst="rect">
                      <a:avLst/>
                    </a:prstGeom>
                  </pic:spPr>
                </pic:pic>
              </a:graphicData>
            </a:graphic>
          </wp:inline>
        </w:drawing>
      </w:r>
    </w:p>
    <w:p w14:paraId="6341AF72" w14:textId="61EFB52C" w:rsidR="566BDD39" w:rsidRDefault="28076BE6" w:rsidP="7E9C04BA">
      <w:pPr>
        <w:spacing w:after="0" w:line="240" w:lineRule="auto"/>
        <w:jc w:val="center"/>
        <w:rPr>
          <w:rFonts w:ascii="Garamond" w:eastAsia="Garamond" w:hAnsi="Garamond" w:cs="Garamond"/>
          <w:color w:val="000000" w:themeColor="text1"/>
        </w:rPr>
      </w:pPr>
      <w:r w:rsidRPr="10D1FD28">
        <w:rPr>
          <w:rFonts w:ascii="Garamond" w:eastAsia="Garamond" w:hAnsi="Garamond" w:cs="Garamond"/>
          <w:i/>
          <w:iCs/>
          <w:color w:val="000000" w:themeColor="text1"/>
        </w:rPr>
        <w:t xml:space="preserve">Figure 4. </w:t>
      </w:r>
      <w:r w:rsidRPr="10D1FD28">
        <w:rPr>
          <w:rFonts w:ascii="Garamond" w:eastAsia="Garamond" w:hAnsi="Garamond" w:cs="Garamond"/>
          <w:color w:val="000000" w:themeColor="text1"/>
        </w:rPr>
        <w:t>Comparison of the median ET summer seasonal composites for April 1st – July 5th</w:t>
      </w:r>
      <w:proofErr w:type="gramStart"/>
      <w:r w:rsidRPr="10D1FD28">
        <w:rPr>
          <w:rFonts w:ascii="Garamond" w:eastAsia="Garamond" w:hAnsi="Garamond" w:cs="Garamond"/>
          <w:color w:val="000000" w:themeColor="text1"/>
        </w:rPr>
        <w:t xml:space="preserve"> 2021</w:t>
      </w:r>
      <w:proofErr w:type="gramEnd"/>
      <w:r w:rsidRPr="10D1FD28">
        <w:rPr>
          <w:rFonts w:ascii="Garamond" w:eastAsia="Garamond" w:hAnsi="Garamond" w:cs="Garamond"/>
          <w:color w:val="000000" w:themeColor="text1"/>
        </w:rPr>
        <w:t xml:space="preserve"> and 2019.   The difference in the median ET composite 2021</w:t>
      </w:r>
      <w:r w:rsidR="7F421004" w:rsidRPr="10D1FD28">
        <w:rPr>
          <w:rFonts w:ascii="Garamond" w:eastAsia="Garamond" w:hAnsi="Garamond" w:cs="Garamond"/>
          <w:color w:val="000000" w:themeColor="text1"/>
        </w:rPr>
        <w:t xml:space="preserve"> </w:t>
      </w:r>
      <w:r w:rsidRPr="10D1FD28">
        <w:rPr>
          <w:rFonts w:ascii="Garamond" w:eastAsia="Garamond" w:hAnsi="Garamond" w:cs="Garamond"/>
          <w:color w:val="000000" w:themeColor="text1"/>
        </w:rPr>
        <w:t>and 2019 (a), and the percent change between</w:t>
      </w:r>
      <w:r w:rsidRPr="10D1FD28">
        <w:rPr>
          <w:rFonts w:ascii="Garamond" w:eastAsia="Garamond" w:hAnsi="Garamond" w:cs="Garamond"/>
          <w:i/>
          <w:iCs/>
          <w:color w:val="000000" w:themeColor="text1"/>
        </w:rPr>
        <w:t xml:space="preserve"> </w:t>
      </w:r>
      <w:r w:rsidRPr="10D1FD28">
        <w:rPr>
          <w:rFonts w:ascii="Garamond" w:eastAsia="Garamond" w:hAnsi="Garamond" w:cs="Garamond"/>
          <w:color w:val="000000" w:themeColor="text1"/>
        </w:rPr>
        <w:t xml:space="preserve">median ET composite 2021 and 2019 (b). Increase in ET </w:t>
      </w:r>
      <w:r w:rsidR="5A57410A"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 xml:space="preserve">in dark green and decrease in ET </w:t>
      </w:r>
      <w:r w:rsidR="4FA23FE6"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in brown. The Bootleg Fire heat perimeter boundary in red.</w:t>
      </w:r>
    </w:p>
    <w:p w14:paraId="0691DB0D" w14:textId="039CC680" w:rsidR="7E9C04BA" w:rsidRDefault="7E9C04BA" w:rsidP="7E9C04BA">
      <w:pPr>
        <w:spacing w:after="0" w:line="240" w:lineRule="auto"/>
      </w:pPr>
    </w:p>
    <w:p w14:paraId="04BBB269" w14:textId="3B9BA80C" w:rsidR="1234300F" w:rsidRDefault="7D5FC8E0" w:rsidP="5C31A34A">
      <w:pPr>
        <w:spacing w:after="0" w:line="240" w:lineRule="auto"/>
        <w:rPr>
          <w:rFonts w:ascii="Garamond" w:eastAsia="Garamond" w:hAnsi="Garamond" w:cs="Garamond"/>
        </w:rPr>
      </w:pPr>
      <w:r w:rsidRPr="10D1FD28">
        <w:rPr>
          <w:rFonts w:ascii="Garamond" w:eastAsia="Garamond" w:hAnsi="Garamond" w:cs="Garamond"/>
          <w:color w:val="000000" w:themeColor="text1"/>
        </w:rPr>
        <w:t>The team analyzed ET in each of the SBS classes for the two years prior to the start of the Bootleg Fire. The median ET decreased each year for all of the SBS categories, with the largest decrease between 2019 and 2021. High SBS areas showed the largest decrease in median ET with 3.6 mm/day (Table A1). This indicates that areas with the highest severity soil burns had become drier and more water stressed. The US Drought Monitor reports that the majority of Klamath and Lake counties were under extreme or exceptional drought conditions in the summer of 2021 (</w:t>
      </w:r>
      <w:r w:rsidR="1AE53693" w:rsidRPr="10D1FD28">
        <w:rPr>
          <w:rFonts w:ascii="Garamond" w:eastAsia="Garamond" w:hAnsi="Garamond" w:cs="Garamond"/>
          <w:color w:val="000000" w:themeColor="text1"/>
        </w:rPr>
        <w:t xml:space="preserve">National Drought Mitigation Center </w:t>
      </w:r>
      <w:r w:rsidRPr="10D1FD28">
        <w:rPr>
          <w:rFonts w:ascii="Garamond" w:eastAsia="Garamond" w:hAnsi="Garamond" w:cs="Garamond"/>
          <w:color w:val="000000" w:themeColor="text1"/>
        </w:rPr>
        <w:t>et al., 2022). However, t</w:t>
      </w:r>
      <w:r w:rsidRPr="10D1FD28">
        <w:rPr>
          <w:rFonts w:ascii="Garamond" w:eastAsia="Garamond" w:hAnsi="Garamond" w:cs="Garamond"/>
        </w:rPr>
        <w:t>he effect of drought on ET is complex, with research suggesting that declines in ET from drought can strongly vary depending on vegetation type and species (</w:t>
      </w:r>
      <w:proofErr w:type="spellStart"/>
      <w:r w:rsidRPr="10D1FD28">
        <w:rPr>
          <w:rFonts w:ascii="Garamond" w:eastAsia="Garamond" w:hAnsi="Garamond" w:cs="Garamond"/>
        </w:rPr>
        <w:t>Zha</w:t>
      </w:r>
      <w:proofErr w:type="spellEnd"/>
      <w:r w:rsidRPr="10D1FD28">
        <w:rPr>
          <w:rFonts w:ascii="Garamond" w:eastAsia="Garamond" w:hAnsi="Garamond" w:cs="Garamond"/>
        </w:rPr>
        <w:t xml:space="preserve"> et al., 2010).</w:t>
      </w:r>
    </w:p>
    <w:p w14:paraId="3704CD88" w14:textId="29E05130" w:rsidR="1234300F" w:rsidRDefault="1234300F" w:rsidP="5C31A34A">
      <w:pPr>
        <w:spacing w:after="0" w:line="240" w:lineRule="auto"/>
        <w:rPr>
          <w:rFonts w:ascii="Garamond" w:eastAsia="Gungsuh" w:hAnsi="Garamond" w:cs="Gungsuh"/>
        </w:rPr>
      </w:pPr>
    </w:p>
    <w:p w14:paraId="3B435FB5" w14:textId="66D851A2" w:rsidR="1234300F" w:rsidRDefault="5C31A34A" w:rsidP="5C31A34A">
      <w:pPr>
        <w:pStyle w:val="NoSpacing"/>
        <w:rPr>
          <w:rFonts w:ascii="Garamond" w:eastAsia="Gungsuh" w:hAnsi="Garamond" w:cs="Gungsuh"/>
          <w:b/>
          <w:bCs/>
          <w:sz w:val="28"/>
          <w:szCs w:val="28"/>
        </w:rPr>
      </w:pPr>
      <w:r w:rsidRPr="5C31A34A">
        <w:rPr>
          <w:rFonts w:ascii="Garamond" w:hAnsi="Garamond"/>
          <w:i/>
          <w:iCs/>
        </w:rPr>
        <w:t xml:space="preserve">4.1.2 Vegetation and Topography </w:t>
      </w:r>
    </w:p>
    <w:p w14:paraId="059E35D9" w14:textId="51B99F03" w:rsidR="1234300F" w:rsidRDefault="4CEFE9E4" w:rsidP="2C7D0C34">
      <w:pPr>
        <w:spacing w:after="0" w:line="240" w:lineRule="auto"/>
        <w:rPr>
          <w:rFonts w:ascii="Garamond" w:eastAsia="Garamond" w:hAnsi="Garamond" w:cs="Garamond"/>
          <w:color w:val="000000" w:themeColor="text1"/>
        </w:rPr>
      </w:pPr>
      <w:r w:rsidRPr="2C7D0C34">
        <w:rPr>
          <w:rFonts w:ascii="Garamond" w:eastAsia="Garamond" w:hAnsi="Garamond" w:cs="Garamond"/>
          <w:color w:val="000000" w:themeColor="text1"/>
        </w:rPr>
        <w:t xml:space="preserve">The team used vegetation data and topography variables (elevation, slope, and aspect) to investigate the relationship between SBS and pre-fire ET/WUE within the study area and the Bootleg Fire heat perimeter. </w:t>
      </w:r>
    </w:p>
    <w:p w14:paraId="469CAD96" w14:textId="190E6C5A" w:rsidR="1234300F" w:rsidRDefault="3C8177F9" w:rsidP="65CB079E">
      <w:pPr>
        <w:spacing w:after="0" w:line="240" w:lineRule="auto"/>
        <w:rPr>
          <w:rFonts w:ascii="Garamond" w:eastAsia="Garamond" w:hAnsi="Garamond" w:cs="Garamond"/>
          <w:color w:val="000000" w:themeColor="text1"/>
        </w:rPr>
      </w:pPr>
      <w:r w:rsidRPr="65CB079E">
        <w:rPr>
          <w:rFonts w:ascii="Garamond" w:eastAsia="Garamond" w:hAnsi="Garamond" w:cs="Garamond"/>
          <w:color w:val="000000" w:themeColor="text1"/>
        </w:rPr>
        <w:lastRenderedPageBreak/>
        <w:t xml:space="preserve">Because of the link between the amount of vegetation and wildfire burn intensity, the team examined the amount of biomass in each SBS class for the Bootleg Fire heat perimeter using the GEDI AGBD estimation (Table 4). The average AGBD for each SBS class followed the expected pattern: high SBS areas had the largest average </w:t>
      </w:r>
      <w:proofErr w:type="gramStart"/>
      <w:r w:rsidRPr="65CB079E">
        <w:rPr>
          <w:rFonts w:ascii="Garamond" w:eastAsia="Garamond" w:hAnsi="Garamond" w:cs="Garamond"/>
          <w:color w:val="000000" w:themeColor="text1"/>
        </w:rPr>
        <w:t>AGBD</w:t>
      </w:r>
      <w:proofErr w:type="gramEnd"/>
      <w:r w:rsidRPr="65CB079E">
        <w:rPr>
          <w:rFonts w:ascii="Garamond" w:eastAsia="Garamond" w:hAnsi="Garamond" w:cs="Garamond"/>
          <w:color w:val="000000" w:themeColor="text1"/>
        </w:rPr>
        <w:t xml:space="preserve"> and low SBS/unburned areas had the smallest average AGBD. Since the standard deviations show overlap between many of the classes, the median AGBD corroborated that for high SBS areas, AGBD was generally higher than in other SBS classifications. Additionally, the area for each SBS classification shows that the majority of the Bootleg Fire area fell within low and moderate SBS areas. </w:t>
      </w:r>
    </w:p>
    <w:p w14:paraId="0F0D3AB8" w14:textId="634ABEC3" w:rsidR="1234300F" w:rsidRDefault="1234300F" w:rsidP="5C31A34A">
      <w:pPr>
        <w:spacing w:after="0" w:line="240" w:lineRule="auto"/>
        <w:rPr>
          <w:rFonts w:ascii="Garamond" w:eastAsia="Garamond" w:hAnsi="Garamond" w:cs="Garamond"/>
          <w:color w:val="000000" w:themeColor="text1"/>
        </w:rPr>
      </w:pPr>
    </w:p>
    <w:p w14:paraId="201C438C" w14:textId="634ABEC3" w:rsidR="1234300F" w:rsidRDefault="5C31A34A" w:rsidP="5C31A34A">
      <w:pPr>
        <w:spacing w:after="0" w:line="240" w:lineRule="auto"/>
        <w:rPr>
          <w:rFonts w:ascii="Garamond" w:eastAsia="Garamond" w:hAnsi="Garamond" w:cs="Garamond"/>
          <w:color w:val="000000" w:themeColor="text1"/>
        </w:rPr>
      </w:pPr>
      <w:r w:rsidRPr="5C31A34A">
        <w:rPr>
          <w:rFonts w:ascii="Garamond" w:eastAsia="Garamond" w:hAnsi="Garamond" w:cs="Garamond"/>
          <w:color w:val="000000" w:themeColor="text1"/>
        </w:rPr>
        <w:t>Table 4.</w:t>
      </w:r>
    </w:p>
    <w:p w14:paraId="3B59B71F" w14:textId="634ABEC3" w:rsidR="1234300F" w:rsidRDefault="5C31A34A" w:rsidP="5C31A34A">
      <w:pPr>
        <w:spacing w:after="0" w:line="240" w:lineRule="auto"/>
        <w:rPr>
          <w:rFonts w:ascii="Garamond" w:eastAsia="Garamond" w:hAnsi="Garamond" w:cs="Garamond"/>
          <w:color w:val="000000" w:themeColor="text1"/>
        </w:rPr>
      </w:pPr>
      <w:r w:rsidRPr="5C31A34A">
        <w:rPr>
          <w:rFonts w:ascii="Garamond" w:eastAsia="Garamond" w:hAnsi="Garamond" w:cs="Garamond"/>
          <w:i/>
          <w:iCs/>
          <w:color w:val="000000" w:themeColor="text1"/>
        </w:rPr>
        <w:t>Aboveground Biomass Density Mean for each soil burn severity class.</w:t>
      </w:r>
    </w:p>
    <w:tbl>
      <w:tblPr>
        <w:tblStyle w:val="TableGrid"/>
        <w:tblW w:w="0" w:type="auto"/>
        <w:tblInd w:w="0" w:type="dxa"/>
        <w:tblLayout w:type="fixed"/>
        <w:tblLook w:val="06A0" w:firstRow="1" w:lastRow="0" w:firstColumn="1" w:lastColumn="0" w:noHBand="1" w:noVBand="1"/>
      </w:tblPr>
      <w:tblGrid>
        <w:gridCol w:w="1860"/>
        <w:gridCol w:w="1860"/>
        <w:gridCol w:w="1860"/>
        <w:gridCol w:w="1860"/>
        <w:gridCol w:w="1860"/>
      </w:tblGrid>
      <w:tr w:rsidR="5C31A34A" w14:paraId="57B49D69" w14:textId="77777777" w:rsidTr="7E9C04BA">
        <w:tc>
          <w:tcPr>
            <w:tcW w:w="1860" w:type="dxa"/>
            <w:vAlign w:val="center"/>
          </w:tcPr>
          <w:p w14:paraId="27498E41" w14:textId="66F2DFA5"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b/>
                <w:bCs/>
                <w:color w:val="000000" w:themeColor="text1"/>
              </w:rPr>
              <w:t>Soil Burn Severity</w:t>
            </w:r>
          </w:p>
        </w:tc>
        <w:tc>
          <w:tcPr>
            <w:tcW w:w="1860" w:type="dxa"/>
            <w:vAlign w:val="center"/>
          </w:tcPr>
          <w:p w14:paraId="3FAE145A" w14:textId="3811A3C6"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b/>
                <w:bCs/>
                <w:color w:val="000000" w:themeColor="text1"/>
              </w:rPr>
              <w:t>Area (km</w:t>
            </w:r>
            <w:r w:rsidRPr="5C31A34A">
              <w:rPr>
                <w:rFonts w:ascii="Garamond" w:eastAsia="Garamond" w:hAnsi="Garamond" w:cs="Garamond"/>
                <w:b/>
                <w:bCs/>
                <w:color w:val="000000" w:themeColor="text1"/>
                <w:vertAlign w:val="superscript"/>
              </w:rPr>
              <w:t>2</w:t>
            </w:r>
            <w:r w:rsidRPr="5C31A34A">
              <w:rPr>
                <w:rFonts w:ascii="Garamond" w:eastAsia="Garamond" w:hAnsi="Garamond" w:cs="Garamond"/>
                <w:b/>
                <w:bCs/>
                <w:color w:val="000000" w:themeColor="text1"/>
              </w:rPr>
              <w:t>)</w:t>
            </w:r>
          </w:p>
        </w:tc>
        <w:tc>
          <w:tcPr>
            <w:tcW w:w="1860" w:type="dxa"/>
            <w:vAlign w:val="center"/>
          </w:tcPr>
          <w:p w14:paraId="28C6FD59" w14:textId="497FFA4A"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b/>
                <w:bCs/>
                <w:color w:val="000000" w:themeColor="text1"/>
              </w:rPr>
              <w:t>Aboveground Biomass Density Mean (Mg/ha)</w:t>
            </w:r>
          </w:p>
        </w:tc>
        <w:tc>
          <w:tcPr>
            <w:tcW w:w="1860" w:type="dxa"/>
            <w:vAlign w:val="center"/>
          </w:tcPr>
          <w:p w14:paraId="2FE147F7" w14:textId="317F32FB" w:rsidR="5C31A34A" w:rsidRDefault="566BDD39" w:rsidP="7E9C04BA">
            <w:pPr>
              <w:spacing w:line="259" w:lineRule="auto"/>
              <w:jc w:val="center"/>
              <w:rPr>
                <w:rFonts w:ascii="Garamond" w:eastAsia="Garamond" w:hAnsi="Garamond" w:cs="Garamond"/>
                <w:color w:val="000000" w:themeColor="text1"/>
              </w:rPr>
            </w:pPr>
            <w:r w:rsidRPr="7E9C04BA">
              <w:rPr>
                <w:rFonts w:ascii="Garamond" w:eastAsia="Garamond" w:hAnsi="Garamond" w:cs="Garamond"/>
                <w:b/>
                <w:bCs/>
                <w:color w:val="000000" w:themeColor="text1"/>
              </w:rPr>
              <w:t>AGBD Std Dev (Mg/ha)</w:t>
            </w:r>
          </w:p>
        </w:tc>
        <w:tc>
          <w:tcPr>
            <w:tcW w:w="1860" w:type="dxa"/>
            <w:vAlign w:val="center"/>
          </w:tcPr>
          <w:p w14:paraId="70F58933" w14:textId="42DDC2BE" w:rsidR="5C31A34A" w:rsidRDefault="566BDD39" w:rsidP="7E9C04BA">
            <w:pPr>
              <w:spacing w:line="259" w:lineRule="auto"/>
              <w:jc w:val="center"/>
              <w:rPr>
                <w:rFonts w:ascii="Garamond" w:eastAsia="Garamond" w:hAnsi="Garamond" w:cs="Garamond"/>
                <w:color w:val="000000" w:themeColor="text1"/>
              </w:rPr>
            </w:pPr>
            <w:r w:rsidRPr="7E9C04BA">
              <w:rPr>
                <w:rFonts w:ascii="Garamond" w:eastAsia="Garamond" w:hAnsi="Garamond" w:cs="Garamond"/>
                <w:b/>
                <w:bCs/>
                <w:color w:val="000000" w:themeColor="text1"/>
              </w:rPr>
              <w:t>AGBD Median (Mg/ha)</w:t>
            </w:r>
          </w:p>
        </w:tc>
      </w:tr>
      <w:tr w:rsidR="5C31A34A" w14:paraId="6327E04A" w14:textId="77777777" w:rsidTr="7E9C04BA">
        <w:trPr>
          <w:trHeight w:val="479"/>
        </w:trPr>
        <w:tc>
          <w:tcPr>
            <w:tcW w:w="1860" w:type="dxa"/>
            <w:vAlign w:val="center"/>
          </w:tcPr>
          <w:p w14:paraId="70D1CEA5" w14:textId="52467260"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High</w:t>
            </w:r>
          </w:p>
        </w:tc>
        <w:tc>
          <w:tcPr>
            <w:tcW w:w="1860" w:type="dxa"/>
            <w:vAlign w:val="center"/>
          </w:tcPr>
          <w:p w14:paraId="64859D2E" w14:textId="34DD242B"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177</w:t>
            </w:r>
          </w:p>
        </w:tc>
        <w:tc>
          <w:tcPr>
            <w:tcW w:w="1860" w:type="dxa"/>
            <w:vAlign w:val="center"/>
          </w:tcPr>
          <w:p w14:paraId="1DA56CE8" w14:textId="26E70D01"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86.3</w:t>
            </w:r>
          </w:p>
        </w:tc>
        <w:tc>
          <w:tcPr>
            <w:tcW w:w="1860" w:type="dxa"/>
            <w:vAlign w:val="center"/>
          </w:tcPr>
          <w:p w14:paraId="79DFE892" w14:textId="5C7B3A39"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35.4</w:t>
            </w:r>
          </w:p>
        </w:tc>
        <w:tc>
          <w:tcPr>
            <w:tcW w:w="1860" w:type="dxa"/>
            <w:vAlign w:val="center"/>
          </w:tcPr>
          <w:p w14:paraId="722FFA0F" w14:textId="00AFAAF9"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79.2</w:t>
            </w:r>
          </w:p>
        </w:tc>
      </w:tr>
      <w:tr w:rsidR="5C31A34A" w14:paraId="74A1FF80" w14:textId="77777777" w:rsidTr="7E9C04BA">
        <w:tc>
          <w:tcPr>
            <w:tcW w:w="1860" w:type="dxa"/>
            <w:vAlign w:val="center"/>
          </w:tcPr>
          <w:p w14:paraId="70CEE344" w14:textId="3464A238"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Moderate</w:t>
            </w:r>
          </w:p>
        </w:tc>
        <w:tc>
          <w:tcPr>
            <w:tcW w:w="1860" w:type="dxa"/>
            <w:vAlign w:val="center"/>
          </w:tcPr>
          <w:p w14:paraId="4419D70C" w14:textId="157A33D2"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1414</w:t>
            </w:r>
          </w:p>
        </w:tc>
        <w:tc>
          <w:tcPr>
            <w:tcW w:w="1860" w:type="dxa"/>
            <w:vAlign w:val="center"/>
          </w:tcPr>
          <w:p w14:paraId="3C3A73D5" w14:textId="5B306B19"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61.6</w:t>
            </w:r>
          </w:p>
        </w:tc>
        <w:tc>
          <w:tcPr>
            <w:tcW w:w="1860" w:type="dxa"/>
            <w:vAlign w:val="center"/>
          </w:tcPr>
          <w:p w14:paraId="55C36255" w14:textId="3C6C6FF8"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27.2</w:t>
            </w:r>
          </w:p>
        </w:tc>
        <w:tc>
          <w:tcPr>
            <w:tcW w:w="1860" w:type="dxa"/>
            <w:vAlign w:val="center"/>
          </w:tcPr>
          <w:p w14:paraId="2700D4B5" w14:textId="59F0647E"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55.8</w:t>
            </w:r>
          </w:p>
        </w:tc>
      </w:tr>
      <w:tr w:rsidR="5C31A34A" w14:paraId="3D4CCA56" w14:textId="77777777" w:rsidTr="7E9C04BA">
        <w:tc>
          <w:tcPr>
            <w:tcW w:w="1860" w:type="dxa"/>
            <w:vAlign w:val="center"/>
          </w:tcPr>
          <w:p w14:paraId="3A213166" w14:textId="21A0CAFE"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Low</w:t>
            </w:r>
          </w:p>
        </w:tc>
        <w:tc>
          <w:tcPr>
            <w:tcW w:w="1860" w:type="dxa"/>
            <w:vAlign w:val="center"/>
          </w:tcPr>
          <w:p w14:paraId="5EBC2D6A" w14:textId="04779E07"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1048</w:t>
            </w:r>
          </w:p>
        </w:tc>
        <w:tc>
          <w:tcPr>
            <w:tcW w:w="1860" w:type="dxa"/>
            <w:vAlign w:val="center"/>
          </w:tcPr>
          <w:p w14:paraId="5FEF0849" w14:textId="09F09D4B"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54.2</w:t>
            </w:r>
          </w:p>
        </w:tc>
        <w:tc>
          <w:tcPr>
            <w:tcW w:w="1860" w:type="dxa"/>
            <w:vAlign w:val="center"/>
          </w:tcPr>
          <w:p w14:paraId="2450D9EA" w14:textId="7BB8566B"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26.8</w:t>
            </w:r>
          </w:p>
        </w:tc>
        <w:tc>
          <w:tcPr>
            <w:tcW w:w="1860" w:type="dxa"/>
            <w:vAlign w:val="center"/>
          </w:tcPr>
          <w:p w14:paraId="4CDA5777" w14:textId="0A823D3A"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49.2</w:t>
            </w:r>
          </w:p>
        </w:tc>
      </w:tr>
      <w:tr w:rsidR="5C31A34A" w14:paraId="266E25DF" w14:textId="77777777" w:rsidTr="7E9C04BA">
        <w:tc>
          <w:tcPr>
            <w:tcW w:w="1860" w:type="dxa"/>
            <w:vAlign w:val="center"/>
          </w:tcPr>
          <w:p w14:paraId="7B8823A7" w14:textId="4E979269"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Unburned</w:t>
            </w:r>
          </w:p>
        </w:tc>
        <w:tc>
          <w:tcPr>
            <w:tcW w:w="1860" w:type="dxa"/>
            <w:vAlign w:val="center"/>
          </w:tcPr>
          <w:p w14:paraId="5AF48236" w14:textId="00B8C022"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495</w:t>
            </w:r>
          </w:p>
        </w:tc>
        <w:tc>
          <w:tcPr>
            <w:tcW w:w="1860" w:type="dxa"/>
            <w:vAlign w:val="center"/>
          </w:tcPr>
          <w:p w14:paraId="4077FD21" w14:textId="3BF83B7B"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43.4</w:t>
            </w:r>
          </w:p>
        </w:tc>
        <w:tc>
          <w:tcPr>
            <w:tcW w:w="1860" w:type="dxa"/>
            <w:vAlign w:val="center"/>
          </w:tcPr>
          <w:p w14:paraId="7C390155" w14:textId="52E9D06B"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25.9</w:t>
            </w:r>
          </w:p>
        </w:tc>
        <w:tc>
          <w:tcPr>
            <w:tcW w:w="1860" w:type="dxa"/>
            <w:vAlign w:val="center"/>
          </w:tcPr>
          <w:p w14:paraId="0D65F6FD" w14:textId="0FA473BD" w:rsidR="5C31A34A" w:rsidRDefault="5C31A34A" w:rsidP="5C31A34A">
            <w:pPr>
              <w:spacing w:line="259" w:lineRule="auto"/>
              <w:jc w:val="center"/>
              <w:rPr>
                <w:rFonts w:ascii="Garamond" w:eastAsia="Garamond" w:hAnsi="Garamond" w:cs="Garamond"/>
                <w:color w:val="000000" w:themeColor="text1"/>
              </w:rPr>
            </w:pPr>
            <w:r w:rsidRPr="5C31A34A">
              <w:rPr>
                <w:rFonts w:ascii="Garamond" w:eastAsia="Garamond" w:hAnsi="Garamond" w:cs="Garamond"/>
                <w:color w:val="000000" w:themeColor="text1"/>
              </w:rPr>
              <w:t>42.2</w:t>
            </w:r>
          </w:p>
        </w:tc>
      </w:tr>
    </w:tbl>
    <w:p w14:paraId="69477AA6" w14:textId="392E9AE3" w:rsidR="1234300F" w:rsidRDefault="566BDD39"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 xml:space="preserve"> </w:t>
      </w:r>
    </w:p>
    <w:p w14:paraId="31D728FF" w14:textId="2589C16A" w:rsidR="1234300F" w:rsidRDefault="7F421004" w:rsidP="10D1FD28">
      <w:pPr>
        <w:spacing w:after="0" w:line="240" w:lineRule="auto"/>
        <w:rPr>
          <w:rFonts w:ascii="Garamond" w:eastAsia="Garamond" w:hAnsi="Garamond" w:cs="Garamond"/>
        </w:rPr>
      </w:pPr>
      <w:r w:rsidRPr="10D1FD28">
        <w:rPr>
          <w:rFonts w:ascii="Garamond" w:eastAsia="Garamond" w:hAnsi="Garamond" w:cs="Garamond"/>
        </w:rPr>
        <w:t>Vegetation is the fuel for wildfires, and different fuels have different potential impacts on wildfires and SBS due to varying moisture content, location, and dispersal on land. The team identified the main land cover classes for the Bootleg Fire area as evergreen forest (70%), followed by shrub/scrub (24%). Topography is also an important wildfire parameter, as it influences temperature, vegetation moisture, and wildfire spread. Evergreen vegetation exists in high proportions across different slope gradients and directions in the Bootleg fire perimeter and was the majority land cover in high (94%), moderate (84%), and low (61%) SBS classes (Table B1). Evergreen vegetation is also present for the entire range of elevations inside the fire perimeter (1316 m – 2523 m), reducing only slightly in area at elevation extremes.</w:t>
      </w:r>
    </w:p>
    <w:p w14:paraId="1A3AD8A4" w14:textId="669FF1D4" w:rsidR="1234300F" w:rsidRDefault="7F421004" w:rsidP="65CB079E">
      <w:pPr>
        <w:spacing w:after="0" w:line="240" w:lineRule="auto"/>
        <w:rPr>
          <w:rFonts w:ascii="Garamond" w:eastAsia="Garamond" w:hAnsi="Garamond" w:cs="Garamond"/>
        </w:rPr>
      </w:pPr>
      <w:r w:rsidRPr="10D1FD28">
        <w:rPr>
          <w:rFonts w:ascii="Garamond" w:eastAsia="Garamond" w:hAnsi="Garamond" w:cs="Garamond"/>
        </w:rPr>
        <w:t xml:space="preserve">  </w:t>
      </w:r>
    </w:p>
    <w:p w14:paraId="4C94EB2A" w14:textId="431926AB" w:rsidR="1234300F" w:rsidRDefault="7E9C04BA" w:rsidP="65CB079E">
      <w:pPr>
        <w:spacing w:after="0" w:line="240" w:lineRule="auto"/>
        <w:rPr>
          <w:rFonts w:ascii="Garamond" w:eastAsia="Garamond" w:hAnsi="Garamond" w:cs="Garamond"/>
        </w:rPr>
      </w:pPr>
      <w:r w:rsidRPr="65CB079E">
        <w:rPr>
          <w:rFonts w:ascii="Garamond" w:eastAsia="Garamond" w:hAnsi="Garamond" w:cs="Garamond"/>
        </w:rPr>
        <w:t xml:space="preserve">The team examined pre-fire ET to understand how vegetation in the Bootleg Fire area responded to water stress and used the April 1 – July 5, </w:t>
      </w:r>
      <w:proofErr w:type="gramStart"/>
      <w:r w:rsidRPr="65CB079E">
        <w:rPr>
          <w:rFonts w:ascii="Garamond" w:eastAsia="Garamond" w:hAnsi="Garamond" w:cs="Garamond"/>
        </w:rPr>
        <w:t>2021</w:t>
      </w:r>
      <w:proofErr w:type="gramEnd"/>
      <w:r w:rsidRPr="65CB079E">
        <w:rPr>
          <w:rFonts w:ascii="Garamond" w:eastAsia="Garamond" w:hAnsi="Garamond" w:cs="Garamond"/>
        </w:rPr>
        <w:t xml:space="preserve"> median ET composite for analysis (Figure 4). Evergreens were the dominant land cover for low, moderate, and high ET areas within the Bootleg Fire perimeter, and comprised 62% of low ET areas (Table B2). This ET variability in the evergreen landcover class may indicate the influence of topographic parameters such as slope, aspect, and elevation on the spread of the fire. In high SBS areas, 65% of vegetation corresponded to low ET, indicating dry conditions for the ample fuels found in woodlands (Table B3). However, there are differences in the mix of vegetation types within the evergreen landcover class. For example, high SBS areas have a larger percentage of Sierran-Intermontane Desert/Western White Pine - White Fir Woodland that occupied both high SBS (42%) and high ET (47%) regions in the Bootleg Fire area (Table B1; Table B2). </w:t>
      </w:r>
      <w:r w:rsidR="65CB079E" w:rsidRPr="65CB079E">
        <w:rPr>
          <w:rFonts w:ascii="Garamond" w:eastAsia="Garamond" w:hAnsi="Garamond" w:cs="Garamond"/>
        </w:rPr>
        <w:t>This woodland system has a more open and dry undergrowth than forest ecosystems, perhaps explaining why they appear in high SBS areas. More research is needed to understand why White Pine – White Fir Woodland was higher in ET than other evergreen types and the subsequent effects on wildfire intensity.</w:t>
      </w:r>
      <w:r w:rsidRPr="65CB079E">
        <w:rPr>
          <w:rFonts w:ascii="Garamond" w:eastAsia="Garamond" w:hAnsi="Garamond" w:cs="Garamond"/>
        </w:rPr>
        <w:t xml:space="preserve"> </w:t>
      </w:r>
      <w:r w:rsidR="65CB079E" w:rsidRPr="65CB079E">
        <w:rPr>
          <w:rFonts w:ascii="Garamond" w:eastAsia="Garamond" w:hAnsi="Garamond" w:cs="Garamond"/>
        </w:rPr>
        <w:t>The largest class of evergreens in moderate and low SBS areas was the Northern Rocky Mountain Ponderosa Pine Woodland and Savanna, which made up 36% of moderate ET and 27% of low ET (Table B2). For shrub-scrub landcover, the Colombia Plateau Low Sagebrush Steppe was the majority type in unburned SBS areas (21%), and did not comprise a substantial portion of low, moderate, or high ET areas (Table B1; B2).</w:t>
      </w:r>
    </w:p>
    <w:p w14:paraId="77C3AF41" w14:textId="6E9270D3" w:rsidR="1234300F" w:rsidRDefault="65CB079E" w:rsidP="65CB079E">
      <w:pPr>
        <w:spacing w:line="240" w:lineRule="auto"/>
        <w:jc w:val="center"/>
      </w:pPr>
      <w:r>
        <w:rPr>
          <w:noProof/>
        </w:rPr>
        <w:lastRenderedPageBreak/>
        <w:drawing>
          <wp:inline distT="0" distB="0" distL="0" distR="0" wp14:anchorId="0D68FDEA" wp14:editId="13BB160C">
            <wp:extent cx="5253540" cy="1762125"/>
            <wp:effectExtent l="0" t="0" r="0" b="0"/>
            <wp:docPr id="450510265" name="Picture 4505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53540" cy="1762125"/>
                    </a:xfrm>
                    <a:prstGeom prst="rect">
                      <a:avLst/>
                    </a:prstGeom>
                  </pic:spPr>
                </pic:pic>
              </a:graphicData>
            </a:graphic>
          </wp:inline>
        </w:drawing>
      </w:r>
    </w:p>
    <w:p w14:paraId="7848ECCB" w14:textId="70EDA42D" w:rsidR="1234300F" w:rsidRDefault="5C31A34A" w:rsidP="65CB079E">
      <w:pPr>
        <w:spacing w:line="240" w:lineRule="auto"/>
        <w:jc w:val="center"/>
        <w:rPr>
          <w:rFonts w:ascii="Garamond" w:eastAsia="Garamond" w:hAnsi="Garamond" w:cs="Garamond"/>
          <w:color w:val="000000" w:themeColor="text1"/>
        </w:rPr>
      </w:pPr>
      <w:r w:rsidRPr="65CB079E">
        <w:rPr>
          <w:rFonts w:ascii="Garamond" w:eastAsia="Garamond" w:hAnsi="Garamond" w:cs="Garamond"/>
          <w:i/>
          <w:iCs/>
          <w:color w:val="000000" w:themeColor="text1"/>
        </w:rPr>
        <w:t xml:space="preserve">Figure 4. </w:t>
      </w:r>
      <w:r w:rsidRPr="65CB079E">
        <w:rPr>
          <w:rFonts w:ascii="Garamond" w:eastAsia="Garamond" w:hAnsi="Garamond" w:cs="Garamond"/>
          <w:color w:val="000000" w:themeColor="text1"/>
        </w:rPr>
        <w:t>Bootleg Fire heat perimeter and areas of low ET and high SBS. Analysis of the Bootleg Fire heat perimeter revealed that within high SBS areas, 65% of all vegetation had low ET, indicating low moisture before the start of the fire.</w:t>
      </w:r>
    </w:p>
    <w:p w14:paraId="1701827E" w14:textId="59C8457E" w:rsidR="5C31A34A" w:rsidRDefault="5C31A34A" w:rsidP="7E9C04BA">
      <w:pPr>
        <w:spacing w:after="0" w:line="240" w:lineRule="auto"/>
        <w:rPr>
          <w:rFonts w:ascii="Garamond" w:eastAsia="Garamond" w:hAnsi="Garamond" w:cs="Garamond"/>
          <w:color w:val="000000" w:themeColor="text1"/>
        </w:rPr>
      </w:pPr>
    </w:p>
    <w:p w14:paraId="0AA281B1" w14:textId="5D8A9B9D" w:rsidR="5C31A34A" w:rsidRDefault="7F421004" w:rsidP="7E9C04BA">
      <w:pPr>
        <w:spacing w:line="240" w:lineRule="auto"/>
        <w:rPr>
          <w:rFonts w:ascii="Garamond" w:eastAsia="Garamond" w:hAnsi="Garamond" w:cs="Garamond"/>
        </w:rPr>
      </w:pPr>
      <w:r w:rsidRPr="10D1FD28">
        <w:rPr>
          <w:rFonts w:ascii="Garamond" w:eastAsia="Garamond" w:hAnsi="Garamond" w:cs="Garamond"/>
        </w:rPr>
        <w:t>Vegetation moisture is just one wildfire indicator, and the dynamics of wildfire spread and SBS are complex. The team explored how vegetation may have potentially influenced wildfire intensity (Figures B4; Figure B5). Within the Bootleg fire perimeter, the largest class of evergreens consisted of Northern Rocky Mountain Ponderosa Pine Woodland and Savanna (29%), but this type had the least propensity to contribute to overall wildfire intensity (-14%) (Table B4; Figure B4). Ponderosa Pine woodlands are generally found at lower tree lines between grasslands or shrublands in warm, dry, and exposed sites which may not occupy significant portions of high SBS areas. In high SBS areas, the Sierran-Intermontane Desert Western White Pine - White Fir Woodland was the dominant vegetation type (42%</w:t>
      </w:r>
      <w:proofErr w:type="gramStart"/>
      <w:r w:rsidRPr="10D1FD28">
        <w:rPr>
          <w:rFonts w:ascii="Garamond" w:eastAsia="Garamond" w:hAnsi="Garamond" w:cs="Garamond"/>
        </w:rPr>
        <w:t>), and</w:t>
      </w:r>
      <w:proofErr w:type="gramEnd"/>
      <w:r w:rsidRPr="10D1FD28">
        <w:rPr>
          <w:rFonts w:ascii="Garamond" w:eastAsia="Garamond" w:hAnsi="Garamond" w:cs="Garamond"/>
        </w:rPr>
        <w:t xml:space="preserve"> had the highest wildfire intensity score (27%) (Table B4; Figure B4). </w:t>
      </w:r>
      <w:r w:rsidR="73F2E5C3" w:rsidRPr="10D1FD28">
        <w:rPr>
          <w:rFonts w:ascii="Garamond" w:eastAsia="Garamond" w:hAnsi="Garamond" w:cs="Garamond"/>
        </w:rPr>
        <w:t xml:space="preserve">However, considering that White Pine – White Fir woodlands were primarily found in areas with high ET, this may indicate substantial differences in drought tolerance for vegetation in these areas. Spatial autocorrelation found statistically significant high-low and low-high ET outliers in the Bootleg fire area. </w:t>
      </w:r>
      <w:r w:rsidRPr="10D1FD28">
        <w:rPr>
          <w:rFonts w:ascii="Garamond" w:eastAsia="Garamond" w:hAnsi="Garamond" w:cs="Garamond"/>
        </w:rPr>
        <w:t>For shrub-scrub landcover, Columbia Plateau Low Sagebrush Steppe vegetation type occupied very little of the high SBS areas (4%</w:t>
      </w:r>
      <w:proofErr w:type="gramStart"/>
      <w:r w:rsidRPr="10D1FD28">
        <w:rPr>
          <w:rFonts w:ascii="Garamond" w:eastAsia="Garamond" w:hAnsi="Garamond" w:cs="Garamond"/>
        </w:rPr>
        <w:t>), and</w:t>
      </w:r>
      <w:proofErr w:type="gramEnd"/>
      <w:r w:rsidRPr="10D1FD28">
        <w:rPr>
          <w:rFonts w:ascii="Garamond" w:eastAsia="Garamond" w:hAnsi="Garamond" w:cs="Garamond"/>
        </w:rPr>
        <w:t xml:space="preserve"> did not appear to contribute to wildfire intensity (Table B4; Figure B4). Research indicates that trees have a greater fire intensity potential than shrubs and grasslands (Jens</w:t>
      </w:r>
      <w:r w:rsidR="2F3F1418" w:rsidRPr="10D1FD28">
        <w:rPr>
          <w:rFonts w:ascii="Garamond" w:eastAsia="Garamond" w:hAnsi="Garamond" w:cs="Garamond"/>
        </w:rPr>
        <w:t>e</w:t>
      </w:r>
      <w:r w:rsidRPr="10D1FD28">
        <w:rPr>
          <w:rFonts w:ascii="Garamond" w:eastAsia="Garamond" w:hAnsi="Garamond" w:cs="Garamond"/>
        </w:rPr>
        <w:t xml:space="preserve">n et al., 2018; </w:t>
      </w:r>
      <w:proofErr w:type="spellStart"/>
      <w:r w:rsidRPr="10D1FD28">
        <w:rPr>
          <w:rFonts w:ascii="Garamond" w:eastAsia="Garamond" w:hAnsi="Garamond" w:cs="Garamond"/>
        </w:rPr>
        <w:t>Pascolini</w:t>
      </w:r>
      <w:proofErr w:type="spellEnd"/>
      <w:r w:rsidRPr="10D1FD28">
        <w:rPr>
          <w:rFonts w:ascii="Garamond" w:eastAsia="Garamond" w:hAnsi="Garamond" w:cs="Garamond"/>
        </w:rPr>
        <w:t>-Campbell et al., 2022). For comparison, this process was repeated for evergreen, shrub-scrub, grassland, and wetland landcover classes within the Bootleg fire perimeter (Table B4; Figure B5).</w:t>
      </w:r>
    </w:p>
    <w:p w14:paraId="09C8C45B" w14:textId="607635F3" w:rsidR="5C31A34A" w:rsidRDefault="3C8177F9" w:rsidP="7E9C04BA">
      <w:pPr>
        <w:spacing w:line="240" w:lineRule="auto"/>
        <w:rPr>
          <w:rFonts w:ascii="Garamond" w:eastAsia="Garamond" w:hAnsi="Garamond" w:cs="Garamond"/>
          <w:color w:val="000000" w:themeColor="text1"/>
        </w:rPr>
      </w:pPr>
      <w:r w:rsidRPr="65CB079E">
        <w:rPr>
          <w:rFonts w:ascii="Garamond" w:eastAsia="Garamond" w:hAnsi="Garamond" w:cs="Garamond"/>
          <w:color w:val="000000" w:themeColor="text1"/>
        </w:rPr>
        <w:t>The team identified high SBS areas within the Bootleg fire perimeter</w:t>
      </w:r>
      <w:r w:rsidR="7E9C04BA" w:rsidRPr="65CB079E">
        <w:rPr>
          <w:rFonts w:ascii="Garamond" w:eastAsia="Garamond" w:hAnsi="Garamond" w:cs="Garamond"/>
          <w:color w:val="000000" w:themeColor="text1"/>
        </w:rPr>
        <w:t xml:space="preserve"> and </w:t>
      </w:r>
      <w:r w:rsidRPr="65CB079E">
        <w:rPr>
          <w:rFonts w:ascii="Garamond" w:eastAsia="Garamond" w:hAnsi="Garamond" w:cs="Garamond"/>
          <w:color w:val="000000" w:themeColor="text1"/>
        </w:rPr>
        <w:t>analyzed the effects of topography, vegetation, biomass, and ET on SBS</w:t>
      </w:r>
      <w:r w:rsidRPr="65CB079E">
        <w:rPr>
          <w:rFonts w:ascii="Garamond" w:eastAsia="Garamond" w:hAnsi="Garamond" w:cs="Garamond"/>
        </w:rPr>
        <w:t xml:space="preserve">. A visual assessment of the BAER SBS map revealed that high SBS areas were small in extent and mostly present in the north and south-west area of the Bootleg perimeter. These areas were coincident with low ET (Figure B1). Zonal statistics and area calculations identified northwest slopes as the majority aspect class within high SBS areas, while southwest-facing slopes were the majority aspect class in unburned, low, and moderately burned areas (Table 6; Figure B2).  The team’s results </w:t>
      </w:r>
      <w:bookmarkStart w:id="4" w:name="_Int_OkUMCtWE"/>
      <w:proofErr w:type="gramStart"/>
      <w:r w:rsidRPr="65CB079E">
        <w:rPr>
          <w:rFonts w:ascii="Garamond" w:eastAsia="Garamond" w:hAnsi="Garamond" w:cs="Garamond"/>
        </w:rPr>
        <w:t>were</w:t>
      </w:r>
      <w:bookmarkEnd w:id="4"/>
      <w:proofErr w:type="gramEnd"/>
      <w:r w:rsidRPr="65CB079E">
        <w:rPr>
          <w:rFonts w:ascii="Garamond" w:eastAsia="Garamond" w:hAnsi="Garamond" w:cs="Garamond"/>
        </w:rPr>
        <w:t xml:space="preserve"> unexpected as southern slopes receive more solar radiation and tend to be warmer and drier. However, northern aspects tend to have denser vegetation and therefore more fuel for fire under extreme drought conditions </w:t>
      </w:r>
      <w:r w:rsidRPr="65CB079E">
        <w:rPr>
          <w:rFonts w:ascii="Garamond" w:eastAsia="Garamond" w:hAnsi="Garamond" w:cs="Garamond"/>
          <w:color w:val="000000" w:themeColor="text1"/>
        </w:rPr>
        <w:t>(</w:t>
      </w:r>
      <w:r w:rsidRPr="65CB079E">
        <w:rPr>
          <w:rFonts w:ascii="Garamond" w:eastAsia="Garamond" w:hAnsi="Garamond" w:cs="Garamond"/>
        </w:rPr>
        <w:t xml:space="preserve">Miller et al. 2009). </w:t>
      </w:r>
    </w:p>
    <w:p w14:paraId="28F7C527" w14:textId="5E07FC44" w:rsidR="5C31A34A" w:rsidRDefault="3C8177F9" w:rsidP="65CB079E">
      <w:pPr>
        <w:spacing w:after="0" w:line="240" w:lineRule="auto"/>
        <w:rPr>
          <w:rFonts w:ascii="Garamond" w:eastAsia="Garamond" w:hAnsi="Garamond" w:cs="Garamond"/>
          <w:color w:val="000000" w:themeColor="text1"/>
        </w:rPr>
      </w:pPr>
      <w:r w:rsidRPr="65CB079E">
        <w:rPr>
          <w:rFonts w:ascii="Garamond" w:eastAsia="Garamond" w:hAnsi="Garamond" w:cs="Garamond"/>
        </w:rPr>
        <w:t xml:space="preserve">The team also examined the </w:t>
      </w:r>
      <w:r w:rsidRPr="65CB079E">
        <w:rPr>
          <w:rFonts w:ascii="Garamond" w:eastAsia="Garamond" w:hAnsi="Garamond" w:cs="Garamond"/>
          <w:color w:val="000000" w:themeColor="text1"/>
        </w:rPr>
        <w:t xml:space="preserve">percentage of high, moderate, and low SBS areas within all aspect classes, which showed small areas of high SBS across the landscape (Table B5). Most of the Bootleg fire area experienced moderate SBS, as discussed in the section on AGBD (Figure A4). In moderate SBS areas, average biomass density was 61.6 ± 27.2 Mg/ha, the second largest AGBD after high SBS areas at 86.3 ± 35.4 Mg/ha. This points to northwest slopes tending towards higher AGBD and therefore more potential wildfire fuel. Evergreen landcover was the majority vegetation in high SBS areas (Table B1) and also corresponded with areas of low ET (Table B2). As mentioned earlier, trees have a greater fire intensity potential than shrubs and </w:t>
      </w:r>
      <w:r w:rsidRPr="65CB079E">
        <w:rPr>
          <w:rFonts w:ascii="Garamond" w:eastAsia="Garamond" w:hAnsi="Garamond" w:cs="Garamond"/>
          <w:color w:val="000000" w:themeColor="text1"/>
        </w:rPr>
        <w:lastRenderedPageBreak/>
        <w:t>grasslands, and there may also have been an accumulation of dry vegetation from overgrown, water-stressed vegetation on these northwest slopes</w:t>
      </w:r>
      <w:r w:rsidR="7E9C04BA" w:rsidRPr="65CB079E">
        <w:rPr>
          <w:rFonts w:ascii="Garamond" w:eastAsia="Garamond" w:hAnsi="Garamond" w:cs="Garamond"/>
          <w:color w:val="000000" w:themeColor="text1"/>
        </w:rPr>
        <w:t>.</w:t>
      </w:r>
    </w:p>
    <w:p w14:paraId="7BD8FCF2" w14:textId="407DAA7B" w:rsidR="5C31A34A" w:rsidRDefault="3C8177F9" w:rsidP="7E9C04BA">
      <w:pPr>
        <w:spacing w:after="0" w:line="240" w:lineRule="auto"/>
        <w:rPr>
          <w:rFonts w:ascii="Garamond" w:eastAsia="Garamond" w:hAnsi="Garamond" w:cs="Garamond"/>
          <w:color w:val="000000" w:themeColor="text1"/>
        </w:rPr>
      </w:pPr>
      <w:r w:rsidRPr="65CB079E">
        <w:rPr>
          <w:rFonts w:ascii="Garamond" w:eastAsia="Garamond" w:hAnsi="Garamond" w:cs="Garamond"/>
          <w:color w:val="000000" w:themeColor="text1"/>
        </w:rPr>
        <w:t xml:space="preserve"> </w:t>
      </w:r>
    </w:p>
    <w:p w14:paraId="3C115238" w14:textId="751644C0" w:rsidR="4CEFE9E4" w:rsidRDefault="4CEFE9E4" w:rsidP="2C7D0C34">
      <w:pPr>
        <w:spacing w:after="0" w:line="240" w:lineRule="auto"/>
        <w:rPr>
          <w:rFonts w:ascii="Garamond" w:eastAsia="Garamond" w:hAnsi="Garamond" w:cs="Garamond"/>
          <w:color w:val="000000" w:themeColor="text1"/>
        </w:rPr>
      </w:pPr>
      <w:r w:rsidRPr="2C7D0C34">
        <w:rPr>
          <w:rFonts w:ascii="Garamond" w:eastAsia="Garamond" w:hAnsi="Garamond" w:cs="Garamond"/>
          <w:color w:val="000000" w:themeColor="text1"/>
        </w:rPr>
        <w:t>Table 6.</w:t>
      </w:r>
    </w:p>
    <w:p w14:paraId="62A52AEB" w14:textId="2E09635C" w:rsidR="4CEFE9E4" w:rsidRDefault="4CEFE9E4" w:rsidP="65CB079E">
      <w:pPr>
        <w:spacing w:line="240" w:lineRule="auto"/>
        <w:rPr>
          <w:rFonts w:ascii="Garamond" w:eastAsia="Garamond" w:hAnsi="Garamond" w:cs="Garamond"/>
          <w:color w:val="000000" w:themeColor="text1"/>
        </w:rPr>
      </w:pPr>
      <w:r w:rsidRPr="65CB079E">
        <w:rPr>
          <w:rFonts w:ascii="Garamond" w:eastAsia="Garamond" w:hAnsi="Garamond" w:cs="Garamond"/>
          <w:i/>
          <w:iCs/>
          <w:color w:val="000000" w:themeColor="text1"/>
        </w:rPr>
        <w:t>Percentage of SBS type within the Bootleg fire perimeter.  Lists the majority aspect and slope type and mean elevation within each soil burn severity class.</w:t>
      </w:r>
    </w:p>
    <w:tbl>
      <w:tblPr>
        <w:tblW w:w="0" w:type="auto"/>
        <w:tblInd w:w="135" w:type="dxa"/>
        <w:tblLook w:val="04A0" w:firstRow="1" w:lastRow="0" w:firstColumn="1" w:lastColumn="0" w:noHBand="0" w:noVBand="1"/>
      </w:tblPr>
      <w:tblGrid>
        <w:gridCol w:w="1875"/>
        <w:gridCol w:w="1904"/>
        <w:gridCol w:w="1891"/>
        <w:gridCol w:w="1878"/>
        <w:gridCol w:w="1657"/>
      </w:tblGrid>
      <w:tr w:rsidR="2C7D0C34" w14:paraId="0616C61A" w14:textId="77777777" w:rsidTr="10D1FD28">
        <w:trPr>
          <w:trHeight w:val="795"/>
        </w:trPr>
        <w:tc>
          <w:tcPr>
            <w:tcW w:w="1905" w:type="dxa"/>
            <w:tcBorders>
              <w:top w:val="single" w:sz="8" w:space="0" w:color="auto"/>
              <w:left w:val="single" w:sz="8" w:space="0" w:color="auto"/>
              <w:bottom w:val="single" w:sz="8" w:space="0" w:color="auto"/>
              <w:right w:val="single" w:sz="8" w:space="0" w:color="auto"/>
            </w:tcBorders>
            <w:vAlign w:val="center"/>
          </w:tcPr>
          <w:p w14:paraId="53931DF5" w14:textId="693D7592" w:rsidR="4CEFE9E4" w:rsidRDefault="4CEFE9E4" w:rsidP="2C7D0C34">
            <w:pPr>
              <w:jc w:val="center"/>
            </w:pPr>
            <w:r w:rsidRPr="2C7D0C34">
              <w:rPr>
                <w:rFonts w:ascii="Garamond" w:eastAsia="Garamond" w:hAnsi="Garamond" w:cs="Garamond"/>
                <w:b/>
                <w:bCs/>
              </w:rPr>
              <w:t>Soil Burn Severity</w:t>
            </w:r>
            <w:r w:rsidRPr="2C7D0C34">
              <w:rPr>
                <w:rFonts w:ascii="Garamond" w:eastAsia="Garamond" w:hAnsi="Garamond" w:cs="Garamond"/>
              </w:rPr>
              <w:t xml:space="preserve"> </w:t>
            </w:r>
          </w:p>
        </w:tc>
        <w:tc>
          <w:tcPr>
            <w:tcW w:w="1935" w:type="dxa"/>
            <w:tcBorders>
              <w:top w:val="single" w:sz="8" w:space="0" w:color="auto"/>
              <w:left w:val="single" w:sz="8" w:space="0" w:color="auto"/>
              <w:bottom w:val="single" w:sz="8" w:space="0" w:color="auto"/>
              <w:right w:val="single" w:sz="8" w:space="0" w:color="auto"/>
            </w:tcBorders>
            <w:vAlign w:val="center"/>
          </w:tcPr>
          <w:p w14:paraId="432317F2" w14:textId="13F1B492" w:rsidR="4CEFE9E4" w:rsidRDefault="4CEFE9E4" w:rsidP="2C7D0C34">
            <w:pPr>
              <w:jc w:val="center"/>
            </w:pPr>
            <w:r w:rsidRPr="2C7D0C34">
              <w:rPr>
                <w:rFonts w:ascii="Garamond" w:eastAsia="Garamond" w:hAnsi="Garamond" w:cs="Garamond"/>
                <w:b/>
                <w:bCs/>
                <w:color w:val="000000" w:themeColor="text1"/>
              </w:rPr>
              <w:t>Area Coverage</w:t>
            </w:r>
            <w:r w:rsidRPr="2C7D0C34">
              <w:rPr>
                <w:rFonts w:ascii="Garamond" w:eastAsia="Garamond" w:hAnsi="Garamond" w:cs="Garamond"/>
                <w:color w:val="000000" w:themeColor="text1"/>
              </w:rPr>
              <w:t xml:space="preserve"> </w:t>
            </w:r>
            <w:r w:rsidRPr="2C7D0C34">
              <w:rPr>
                <w:rFonts w:ascii="Garamond" w:eastAsia="Garamond" w:hAnsi="Garamond" w:cs="Garamond"/>
                <w:b/>
                <w:bCs/>
                <w:color w:val="000000" w:themeColor="text1"/>
              </w:rPr>
              <w:t>(%)</w:t>
            </w:r>
            <w:r w:rsidRPr="2C7D0C34">
              <w:rPr>
                <w:rFonts w:ascii="Garamond" w:eastAsia="Garamond" w:hAnsi="Garamond" w:cs="Garamond"/>
                <w:color w:val="000000" w:themeColor="text1"/>
              </w:rPr>
              <w:t xml:space="preserve"> </w:t>
            </w:r>
          </w:p>
        </w:tc>
        <w:tc>
          <w:tcPr>
            <w:tcW w:w="1920" w:type="dxa"/>
            <w:tcBorders>
              <w:top w:val="single" w:sz="8" w:space="0" w:color="auto"/>
              <w:left w:val="single" w:sz="8" w:space="0" w:color="auto"/>
              <w:bottom w:val="single" w:sz="8" w:space="0" w:color="auto"/>
              <w:right w:val="single" w:sz="8" w:space="0" w:color="auto"/>
            </w:tcBorders>
            <w:vAlign w:val="center"/>
          </w:tcPr>
          <w:p w14:paraId="53544026" w14:textId="09ADFA34" w:rsidR="4CEFE9E4" w:rsidRDefault="4CEFE9E4" w:rsidP="2C7D0C34">
            <w:pPr>
              <w:jc w:val="center"/>
            </w:pPr>
            <w:r w:rsidRPr="2C7D0C34">
              <w:rPr>
                <w:rFonts w:ascii="Garamond" w:eastAsia="Garamond" w:hAnsi="Garamond" w:cs="Garamond"/>
                <w:b/>
                <w:bCs/>
                <w:color w:val="000000" w:themeColor="text1"/>
              </w:rPr>
              <w:t>M</w:t>
            </w:r>
            <w:r w:rsidRPr="2C7D0C34">
              <w:rPr>
                <w:rFonts w:ascii="Garamond" w:eastAsia="Garamond" w:hAnsi="Garamond" w:cs="Garamond"/>
                <w:b/>
                <w:bCs/>
              </w:rPr>
              <w:t>ajority Aspect Class</w:t>
            </w:r>
            <w:r w:rsidRPr="2C7D0C34">
              <w:rPr>
                <w:rFonts w:ascii="Garamond" w:eastAsia="Garamond" w:hAnsi="Garamond" w:cs="Garamond"/>
              </w:rPr>
              <w:t xml:space="preserve"> </w:t>
            </w:r>
          </w:p>
        </w:tc>
        <w:tc>
          <w:tcPr>
            <w:tcW w:w="1905" w:type="dxa"/>
            <w:tcBorders>
              <w:top w:val="single" w:sz="8" w:space="0" w:color="auto"/>
              <w:left w:val="single" w:sz="8" w:space="0" w:color="auto"/>
              <w:bottom w:val="single" w:sz="8" w:space="0" w:color="auto"/>
              <w:right w:val="single" w:sz="8" w:space="0" w:color="auto"/>
            </w:tcBorders>
            <w:vAlign w:val="center"/>
          </w:tcPr>
          <w:p w14:paraId="0BD28A2B" w14:textId="5FE4F473" w:rsidR="4CEFE9E4" w:rsidRDefault="4CEFE9E4" w:rsidP="2C7D0C34">
            <w:pPr>
              <w:jc w:val="center"/>
            </w:pPr>
            <w:r w:rsidRPr="2C7D0C34">
              <w:rPr>
                <w:rFonts w:ascii="Garamond" w:eastAsia="Garamond" w:hAnsi="Garamond" w:cs="Garamond"/>
                <w:b/>
                <w:bCs/>
                <w:color w:val="000000" w:themeColor="text1"/>
              </w:rPr>
              <w:t>Majority Slope</w:t>
            </w:r>
            <w:r w:rsidRPr="2C7D0C34">
              <w:rPr>
                <w:rFonts w:ascii="Garamond" w:eastAsia="Garamond" w:hAnsi="Garamond" w:cs="Garamond"/>
                <w:color w:val="000000" w:themeColor="text1"/>
              </w:rPr>
              <w:t xml:space="preserve"> </w:t>
            </w:r>
            <w:r w:rsidRPr="2C7D0C34">
              <w:rPr>
                <w:rFonts w:ascii="Garamond" w:eastAsia="Garamond" w:hAnsi="Garamond" w:cs="Garamond"/>
                <w:b/>
                <w:bCs/>
                <w:color w:val="000000" w:themeColor="text1"/>
              </w:rPr>
              <w:t>Class</w:t>
            </w:r>
            <w:r w:rsidRPr="2C7D0C34">
              <w:rPr>
                <w:rFonts w:ascii="Garamond" w:eastAsia="Garamond" w:hAnsi="Garamond" w:cs="Garamond"/>
                <w:color w:val="000000" w:themeColor="text1"/>
              </w:rPr>
              <w:t xml:space="preserve"> </w:t>
            </w:r>
          </w:p>
        </w:tc>
        <w:tc>
          <w:tcPr>
            <w:tcW w:w="1680" w:type="dxa"/>
            <w:tcBorders>
              <w:top w:val="single" w:sz="8" w:space="0" w:color="auto"/>
              <w:left w:val="single" w:sz="8" w:space="0" w:color="auto"/>
              <w:bottom w:val="single" w:sz="8" w:space="0" w:color="auto"/>
              <w:right w:val="single" w:sz="8" w:space="0" w:color="auto"/>
            </w:tcBorders>
          </w:tcPr>
          <w:p w14:paraId="4AD5E6D3" w14:textId="6E164C9D" w:rsidR="4CEFE9E4" w:rsidRDefault="4CEFE9E4" w:rsidP="2C7D0C34">
            <w:pPr>
              <w:spacing w:after="0" w:line="240" w:lineRule="auto"/>
              <w:jc w:val="center"/>
            </w:pPr>
            <w:r w:rsidRPr="2C7D0C34">
              <w:rPr>
                <w:rFonts w:ascii="Garamond" w:eastAsia="Garamond" w:hAnsi="Garamond" w:cs="Garamond"/>
                <w:b/>
                <w:bCs/>
                <w:color w:val="000000" w:themeColor="text1"/>
              </w:rPr>
              <w:t>Mean</w:t>
            </w:r>
          </w:p>
          <w:p w14:paraId="0B541289" w14:textId="6BEAAB92" w:rsidR="4CEFE9E4" w:rsidRDefault="4CEFE9E4" w:rsidP="2C7D0C34">
            <w:pPr>
              <w:spacing w:after="0" w:line="240" w:lineRule="auto"/>
              <w:jc w:val="center"/>
            </w:pPr>
            <w:r w:rsidRPr="2C7D0C34">
              <w:rPr>
                <w:rFonts w:ascii="Garamond" w:eastAsia="Garamond" w:hAnsi="Garamond" w:cs="Garamond"/>
                <w:b/>
                <w:bCs/>
                <w:color w:val="000000" w:themeColor="text1"/>
              </w:rPr>
              <w:t>elevation</w:t>
            </w:r>
            <w:r w:rsidRPr="2C7D0C34">
              <w:rPr>
                <w:rFonts w:ascii="Garamond" w:eastAsia="Garamond" w:hAnsi="Garamond" w:cs="Garamond"/>
                <w:color w:val="000000" w:themeColor="text1"/>
              </w:rPr>
              <w:t xml:space="preserve"> </w:t>
            </w:r>
          </w:p>
        </w:tc>
      </w:tr>
      <w:tr w:rsidR="2C7D0C34" w14:paraId="6C4DF587" w14:textId="77777777" w:rsidTr="10D1FD28">
        <w:tc>
          <w:tcPr>
            <w:tcW w:w="1905" w:type="dxa"/>
            <w:tcBorders>
              <w:top w:val="single" w:sz="8" w:space="0" w:color="auto"/>
              <w:left w:val="single" w:sz="8" w:space="0" w:color="auto"/>
              <w:bottom w:val="single" w:sz="8" w:space="0" w:color="auto"/>
              <w:right w:val="single" w:sz="8" w:space="0" w:color="auto"/>
            </w:tcBorders>
            <w:vAlign w:val="center"/>
          </w:tcPr>
          <w:p w14:paraId="489BD085" w14:textId="6071CF66" w:rsidR="4CEFE9E4" w:rsidRDefault="4CEFE9E4" w:rsidP="2C7D0C34">
            <w:pPr>
              <w:jc w:val="center"/>
            </w:pPr>
            <w:r w:rsidRPr="2C7D0C34">
              <w:rPr>
                <w:rFonts w:ascii="Garamond" w:eastAsia="Garamond" w:hAnsi="Garamond" w:cs="Garamond"/>
                <w:color w:val="000000" w:themeColor="text1"/>
              </w:rPr>
              <w:t xml:space="preserve">Unburned </w:t>
            </w:r>
          </w:p>
        </w:tc>
        <w:tc>
          <w:tcPr>
            <w:tcW w:w="1935" w:type="dxa"/>
            <w:tcBorders>
              <w:top w:val="single" w:sz="8" w:space="0" w:color="auto"/>
              <w:left w:val="single" w:sz="8" w:space="0" w:color="auto"/>
              <w:bottom w:val="single" w:sz="8" w:space="0" w:color="auto"/>
              <w:right w:val="single" w:sz="8" w:space="0" w:color="auto"/>
            </w:tcBorders>
            <w:vAlign w:val="center"/>
          </w:tcPr>
          <w:p w14:paraId="0C8633A3" w14:textId="10FC50D4" w:rsidR="4CEFE9E4" w:rsidRDefault="7B9723FF" w:rsidP="2C7D0C34">
            <w:pPr>
              <w:jc w:val="center"/>
            </w:pPr>
            <w:r w:rsidRPr="10D1FD28">
              <w:rPr>
                <w:rFonts w:ascii="Garamond" w:eastAsia="Garamond" w:hAnsi="Garamond" w:cs="Garamond"/>
                <w:color w:val="000000" w:themeColor="text1"/>
              </w:rPr>
              <w:t xml:space="preserve">13% </w:t>
            </w:r>
          </w:p>
        </w:tc>
        <w:tc>
          <w:tcPr>
            <w:tcW w:w="1920" w:type="dxa"/>
            <w:tcBorders>
              <w:top w:val="single" w:sz="8" w:space="0" w:color="auto"/>
              <w:left w:val="single" w:sz="8" w:space="0" w:color="auto"/>
              <w:bottom w:val="single" w:sz="8" w:space="0" w:color="auto"/>
              <w:right w:val="single" w:sz="8" w:space="0" w:color="auto"/>
            </w:tcBorders>
            <w:vAlign w:val="center"/>
          </w:tcPr>
          <w:p w14:paraId="3D11FF64" w14:textId="5BB8330D" w:rsidR="4CEFE9E4" w:rsidRDefault="4CEFE9E4" w:rsidP="2C7D0C34">
            <w:pPr>
              <w:jc w:val="center"/>
            </w:pPr>
            <w:r w:rsidRPr="2C7D0C34">
              <w:rPr>
                <w:rFonts w:ascii="Garamond" w:eastAsia="Garamond" w:hAnsi="Garamond" w:cs="Garamond"/>
                <w:color w:val="000000" w:themeColor="text1"/>
              </w:rPr>
              <w:t xml:space="preserve">Southwest </w:t>
            </w:r>
          </w:p>
        </w:tc>
        <w:tc>
          <w:tcPr>
            <w:tcW w:w="1905" w:type="dxa"/>
            <w:tcBorders>
              <w:top w:val="single" w:sz="8" w:space="0" w:color="auto"/>
              <w:left w:val="single" w:sz="8" w:space="0" w:color="auto"/>
              <w:bottom w:val="single" w:sz="8" w:space="0" w:color="auto"/>
              <w:right w:val="single" w:sz="8" w:space="0" w:color="auto"/>
            </w:tcBorders>
            <w:vAlign w:val="center"/>
          </w:tcPr>
          <w:p w14:paraId="55D5172A" w14:textId="4386DD67" w:rsidR="4CEFE9E4" w:rsidRDefault="4CEFE9E4" w:rsidP="2C7D0C34">
            <w:pPr>
              <w:jc w:val="center"/>
            </w:pPr>
            <w:r w:rsidRPr="2C7D0C34">
              <w:rPr>
                <w:rFonts w:ascii="Garamond" w:eastAsia="Garamond" w:hAnsi="Garamond" w:cs="Garamond"/>
                <w:color w:val="000000" w:themeColor="text1"/>
              </w:rPr>
              <w:t xml:space="preserve">Flat </w:t>
            </w:r>
          </w:p>
        </w:tc>
        <w:tc>
          <w:tcPr>
            <w:tcW w:w="1680" w:type="dxa"/>
            <w:tcBorders>
              <w:top w:val="single" w:sz="8" w:space="0" w:color="auto"/>
              <w:left w:val="single" w:sz="8" w:space="0" w:color="auto"/>
              <w:bottom w:val="single" w:sz="8" w:space="0" w:color="auto"/>
              <w:right w:val="single" w:sz="8" w:space="0" w:color="auto"/>
            </w:tcBorders>
            <w:vAlign w:val="center"/>
          </w:tcPr>
          <w:p w14:paraId="21241946" w14:textId="6460BEC5" w:rsidR="4CEFE9E4" w:rsidRDefault="4CEFE9E4" w:rsidP="2C7D0C34">
            <w:pPr>
              <w:jc w:val="center"/>
            </w:pPr>
            <w:r w:rsidRPr="2C7D0C34">
              <w:rPr>
                <w:rFonts w:ascii="Garamond" w:eastAsia="Garamond" w:hAnsi="Garamond" w:cs="Garamond"/>
                <w:color w:val="000000" w:themeColor="text1"/>
              </w:rPr>
              <w:t xml:space="preserve">1645 m </w:t>
            </w:r>
          </w:p>
        </w:tc>
      </w:tr>
      <w:tr w:rsidR="2C7D0C34" w14:paraId="526B8BE5" w14:textId="77777777" w:rsidTr="10D1FD28">
        <w:tc>
          <w:tcPr>
            <w:tcW w:w="1905" w:type="dxa"/>
            <w:tcBorders>
              <w:top w:val="single" w:sz="8" w:space="0" w:color="auto"/>
              <w:left w:val="single" w:sz="8" w:space="0" w:color="auto"/>
              <w:bottom w:val="single" w:sz="8" w:space="0" w:color="auto"/>
              <w:right w:val="single" w:sz="8" w:space="0" w:color="auto"/>
            </w:tcBorders>
            <w:vAlign w:val="center"/>
          </w:tcPr>
          <w:p w14:paraId="255681D2" w14:textId="20E3D080" w:rsidR="4CEFE9E4" w:rsidRDefault="4CEFE9E4" w:rsidP="2C7D0C34">
            <w:pPr>
              <w:jc w:val="center"/>
            </w:pPr>
            <w:r w:rsidRPr="2C7D0C34">
              <w:rPr>
                <w:rFonts w:ascii="Garamond" w:eastAsia="Garamond" w:hAnsi="Garamond" w:cs="Garamond"/>
                <w:color w:val="000000" w:themeColor="text1"/>
              </w:rPr>
              <w:t xml:space="preserve">Low </w:t>
            </w:r>
          </w:p>
        </w:tc>
        <w:tc>
          <w:tcPr>
            <w:tcW w:w="1935" w:type="dxa"/>
            <w:tcBorders>
              <w:top w:val="single" w:sz="8" w:space="0" w:color="auto"/>
              <w:left w:val="single" w:sz="8" w:space="0" w:color="auto"/>
              <w:bottom w:val="single" w:sz="8" w:space="0" w:color="auto"/>
              <w:right w:val="single" w:sz="8" w:space="0" w:color="auto"/>
            </w:tcBorders>
            <w:vAlign w:val="center"/>
          </w:tcPr>
          <w:p w14:paraId="290FCA63" w14:textId="2980CC46" w:rsidR="4CEFE9E4" w:rsidRDefault="7B9723FF" w:rsidP="2C7D0C34">
            <w:pPr>
              <w:jc w:val="center"/>
            </w:pPr>
            <w:r w:rsidRPr="10D1FD28">
              <w:rPr>
                <w:rFonts w:ascii="Garamond" w:eastAsia="Garamond" w:hAnsi="Garamond" w:cs="Garamond"/>
                <w:color w:val="000000" w:themeColor="text1"/>
              </w:rPr>
              <w:t xml:space="preserve">34% </w:t>
            </w:r>
          </w:p>
        </w:tc>
        <w:tc>
          <w:tcPr>
            <w:tcW w:w="1920" w:type="dxa"/>
            <w:tcBorders>
              <w:top w:val="single" w:sz="8" w:space="0" w:color="auto"/>
              <w:left w:val="single" w:sz="8" w:space="0" w:color="auto"/>
              <w:bottom w:val="single" w:sz="8" w:space="0" w:color="auto"/>
              <w:right w:val="single" w:sz="8" w:space="0" w:color="auto"/>
            </w:tcBorders>
            <w:vAlign w:val="center"/>
          </w:tcPr>
          <w:p w14:paraId="4BCBCABE" w14:textId="066E1FB9" w:rsidR="4CEFE9E4" w:rsidRDefault="4CEFE9E4" w:rsidP="2C7D0C34">
            <w:pPr>
              <w:jc w:val="center"/>
            </w:pPr>
            <w:r w:rsidRPr="2C7D0C34">
              <w:rPr>
                <w:rFonts w:ascii="Garamond" w:eastAsia="Garamond" w:hAnsi="Garamond" w:cs="Garamond"/>
                <w:color w:val="000000" w:themeColor="text1"/>
              </w:rPr>
              <w:t xml:space="preserve">Southwest </w:t>
            </w:r>
          </w:p>
        </w:tc>
        <w:tc>
          <w:tcPr>
            <w:tcW w:w="1905" w:type="dxa"/>
            <w:tcBorders>
              <w:top w:val="single" w:sz="8" w:space="0" w:color="auto"/>
              <w:left w:val="single" w:sz="8" w:space="0" w:color="auto"/>
              <w:bottom w:val="single" w:sz="8" w:space="0" w:color="auto"/>
              <w:right w:val="single" w:sz="8" w:space="0" w:color="auto"/>
            </w:tcBorders>
            <w:vAlign w:val="center"/>
          </w:tcPr>
          <w:p w14:paraId="10F4DD38" w14:textId="3407F52E" w:rsidR="4CEFE9E4" w:rsidRDefault="4CEFE9E4" w:rsidP="2C7D0C34">
            <w:pPr>
              <w:jc w:val="center"/>
            </w:pPr>
            <w:r w:rsidRPr="2C7D0C34">
              <w:rPr>
                <w:rFonts w:ascii="Garamond" w:eastAsia="Garamond" w:hAnsi="Garamond" w:cs="Garamond"/>
                <w:color w:val="000000" w:themeColor="text1"/>
              </w:rPr>
              <w:t xml:space="preserve">Undulating </w:t>
            </w:r>
          </w:p>
        </w:tc>
        <w:tc>
          <w:tcPr>
            <w:tcW w:w="1680" w:type="dxa"/>
            <w:tcBorders>
              <w:top w:val="single" w:sz="8" w:space="0" w:color="auto"/>
              <w:left w:val="single" w:sz="8" w:space="0" w:color="auto"/>
              <w:bottom w:val="single" w:sz="8" w:space="0" w:color="auto"/>
              <w:right w:val="single" w:sz="8" w:space="0" w:color="auto"/>
            </w:tcBorders>
            <w:vAlign w:val="center"/>
          </w:tcPr>
          <w:p w14:paraId="5848FE62" w14:textId="28B94542" w:rsidR="4CEFE9E4" w:rsidRDefault="4CEFE9E4" w:rsidP="2C7D0C34">
            <w:pPr>
              <w:jc w:val="center"/>
            </w:pPr>
            <w:r w:rsidRPr="2C7D0C34">
              <w:rPr>
                <w:rFonts w:ascii="Garamond" w:eastAsia="Garamond" w:hAnsi="Garamond" w:cs="Garamond"/>
                <w:color w:val="000000" w:themeColor="text1"/>
              </w:rPr>
              <w:t xml:space="preserve">1708 m  </w:t>
            </w:r>
          </w:p>
        </w:tc>
      </w:tr>
      <w:tr w:rsidR="2C7D0C34" w14:paraId="33AFA381" w14:textId="77777777" w:rsidTr="10D1FD28">
        <w:tc>
          <w:tcPr>
            <w:tcW w:w="1905" w:type="dxa"/>
            <w:tcBorders>
              <w:top w:val="single" w:sz="8" w:space="0" w:color="auto"/>
              <w:left w:val="single" w:sz="8" w:space="0" w:color="auto"/>
              <w:bottom w:val="single" w:sz="8" w:space="0" w:color="auto"/>
              <w:right w:val="single" w:sz="8" w:space="0" w:color="auto"/>
            </w:tcBorders>
            <w:vAlign w:val="center"/>
          </w:tcPr>
          <w:p w14:paraId="48093A71" w14:textId="26AFDF9F" w:rsidR="4CEFE9E4" w:rsidRDefault="4CEFE9E4" w:rsidP="2C7D0C34">
            <w:pPr>
              <w:jc w:val="center"/>
            </w:pPr>
            <w:r w:rsidRPr="2C7D0C34">
              <w:rPr>
                <w:rFonts w:ascii="Garamond" w:eastAsia="Garamond" w:hAnsi="Garamond" w:cs="Garamond"/>
                <w:color w:val="000000" w:themeColor="text1"/>
              </w:rPr>
              <w:t xml:space="preserve">Moderate </w:t>
            </w:r>
          </w:p>
        </w:tc>
        <w:tc>
          <w:tcPr>
            <w:tcW w:w="1935" w:type="dxa"/>
            <w:tcBorders>
              <w:top w:val="single" w:sz="8" w:space="0" w:color="auto"/>
              <w:left w:val="single" w:sz="8" w:space="0" w:color="auto"/>
              <w:bottom w:val="single" w:sz="8" w:space="0" w:color="auto"/>
              <w:right w:val="single" w:sz="8" w:space="0" w:color="auto"/>
            </w:tcBorders>
            <w:vAlign w:val="center"/>
          </w:tcPr>
          <w:p w14:paraId="2A27FAFF" w14:textId="4D296508" w:rsidR="4CEFE9E4" w:rsidRDefault="7B9723FF" w:rsidP="2C7D0C34">
            <w:pPr>
              <w:jc w:val="center"/>
            </w:pPr>
            <w:r w:rsidRPr="10D1FD28">
              <w:rPr>
                <w:rFonts w:ascii="Garamond" w:eastAsia="Garamond" w:hAnsi="Garamond" w:cs="Garamond"/>
                <w:color w:val="000000" w:themeColor="text1"/>
              </w:rPr>
              <w:t xml:space="preserve">47% </w:t>
            </w:r>
          </w:p>
        </w:tc>
        <w:tc>
          <w:tcPr>
            <w:tcW w:w="1920" w:type="dxa"/>
            <w:tcBorders>
              <w:top w:val="single" w:sz="8" w:space="0" w:color="auto"/>
              <w:left w:val="single" w:sz="8" w:space="0" w:color="auto"/>
              <w:bottom w:val="single" w:sz="8" w:space="0" w:color="auto"/>
              <w:right w:val="single" w:sz="8" w:space="0" w:color="auto"/>
            </w:tcBorders>
            <w:vAlign w:val="center"/>
          </w:tcPr>
          <w:p w14:paraId="60497530" w14:textId="684836B9" w:rsidR="4CEFE9E4" w:rsidRDefault="4CEFE9E4" w:rsidP="2C7D0C34">
            <w:pPr>
              <w:jc w:val="center"/>
            </w:pPr>
            <w:r w:rsidRPr="2C7D0C34">
              <w:rPr>
                <w:rFonts w:ascii="Garamond" w:eastAsia="Garamond" w:hAnsi="Garamond" w:cs="Garamond"/>
                <w:color w:val="000000" w:themeColor="text1"/>
              </w:rPr>
              <w:t xml:space="preserve">Southwest </w:t>
            </w:r>
          </w:p>
        </w:tc>
        <w:tc>
          <w:tcPr>
            <w:tcW w:w="1905" w:type="dxa"/>
            <w:tcBorders>
              <w:top w:val="single" w:sz="8" w:space="0" w:color="auto"/>
              <w:left w:val="single" w:sz="8" w:space="0" w:color="auto"/>
              <w:bottom w:val="single" w:sz="8" w:space="0" w:color="auto"/>
              <w:right w:val="single" w:sz="8" w:space="0" w:color="auto"/>
            </w:tcBorders>
            <w:vAlign w:val="center"/>
          </w:tcPr>
          <w:p w14:paraId="61D6B88C" w14:textId="004CA12B" w:rsidR="4CEFE9E4" w:rsidRDefault="4CEFE9E4" w:rsidP="2C7D0C34">
            <w:pPr>
              <w:jc w:val="center"/>
            </w:pPr>
            <w:r w:rsidRPr="2C7D0C34">
              <w:rPr>
                <w:rFonts w:ascii="Garamond" w:eastAsia="Garamond" w:hAnsi="Garamond" w:cs="Garamond"/>
                <w:color w:val="000000" w:themeColor="text1"/>
              </w:rPr>
              <w:t xml:space="preserve">Undulating </w:t>
            </w:r>
          </w:p>
        </w:tc>
        <w:tc>
          <w:tcPr>
            <w:tcW w:w="1680" w:type="dxa"/>
            <w:tcBorders>
              <w:top w:val="single" w:sz="8" w:space="0" w:color="auto"/>
              <w:left w:val="single" w:sz="8" w:space="0" w:color="auto"/>
              <w:bottom w:val="single" w:sz="8" w:space="0" w:color="auto"/>
              <w:right w:val="single" w:sz="8" w:space="0" w:color="auto"/>
            </w:tcBorders>
            <w:vAlign w:val="center"/>
          </w:tcPr>
          <w:p w14:paraId="033E2624" w14:textId="765B458B" w:rsidR="4CEFE9E4" w:rsidRDefault="4CEFE9E4" w:rsidP="2C7D0C34">
            <w:pPr>
              <w:jc w:val="center"/>
            </w:pPr>
            <w:r w:rsidRPr="2C7D0C34">
              <w:rPr>
                <w:rFonts w:ascii="Garamond" w:eastAsia="Garamond" w:hAnsi="Garamond" w:cs="Garamond"/>
                <w:color w:val="000000" w:themeColor="text1"/>
              </w:rPr>
              <w:t xml:space="preserve">1718 m </w:t>
            </w:r>
          </w:p>
        </w:tc>
      </w:tr>
      <w:tr w:rsidR="2C7D0C34" w14:paraId="73AF1DF1" w14:textId="77777777" w:rsidTr="10D1FD28">
        <w:tc>
          <w:tcPr>
            <w:tcW w:w="1905" w:type="dxa"/>
            <w:tcBorders>
              <w:top w:val="single" w:sz="8" w:space="0" w:color="auto"/>
              <w:left w:val="single" w:sz="8" w:space="0" w:color="auto"/>
              <w:bottom w:val="single" w:sz="8" w:space="0" w:color="auto"/>
              <w:right w:val="single" w:sz="8" w:space="0" w:color="auto"/>
            </w:tcBorders>
            <w:vAlign w:val="center"/>
          </w:tcPr>
          <w:p w14:paraId="00C79012" w14:textId="1F49E38B" w:rsidR="4CEFE9E4" w:rsidRDefault="4CEFE9E4" w:rsidP="2C7D0C34">
            <w:pPr>
              <w:jc w:val="center"/>
            </w:pPr>
            <w:r w:rsidRPr="2C7D0C34">
              <w:rPr>
                <w:rFonts w:ascii="Garamond" w:eastAsia="Garamond" w:hAnsi="Garamond" w:cs="Garamond"/>
                <w:color w:val="000000" w:themeColor="text1"/>
              </w:rPr>
              <w:t xml:space="preserve">High </w:t>
            </w:r>
          </w:p>
        </w:tc>
        <w:tc>
          <w:tcPr>
            <w:tcW w:w="1935" w:type="dxa"/>
            <w:tcBorders>
              <w:top w:val="single" w:sz="8" w:space="0" w:color="auto"/>
              <w:left w:val="single" w:sz="8" w:space="0" w:color="auto"/>
              <w:bottom w:val="single" w:sz="8" w:space="0" w:color="auto"/>
              <w:right w:val="single" w:sz="8" w:space="0" w:color="auto"/>
            </w:tcBorders>
            <w:vAlign w:val="center"/>
          </w:tcPr>
          <w:p w14:paraId="4FFA7258" w14:textId="4815C84F" w:rsidR="4CEFE9E4" w:rsidRDefault="7B9723FF" w:rsidP="2C7D0C34">
            <w:pPr>
              <w:jc w:val="center"/>
            </w:pPr>
            <w:r w:rsidRPr="10D1FD28">
              <w:rPr>
                <w:rFonts w:ascii="Garamond" w:eastAsia="Garamond" w:hAnsi="Garamond" w:cs="Garamond"/>
                <w:color w:val="000000" w:themeColor="text1"/>
              </w:rPr>
              <w:t xml:space="preserve">6% </w:t>
            </w:r>
          </w:p>
        </w:tc>
        <w:tc>
          <w:tcPr>
            <w:tcW w:w="1920" w:type="dxa"/>
            <w:tcBorders>
              <w:top w:val="single" w:sz="8" w:space="0" w:color="auto"/>
              <w:left w:val="single" w:sz="8" w:space="0" w:color="auto"/>
              <w:bottom w:val="single" w:sz="8" w:space="0" w:color="auto"/>
              <w:right w:val="single" w:sz="8" w:space="0" w:color="auto"/>
            </w:tcBorders>
            <w:vAlign w:val="center"/>
          </w:tcPr>
          <w:p w14:paraId="4FE26F66" w14:textId="4CBDCE97" w:rsidR="4CEFE9E4" w:rsidRDefault="4CEFE9E4" w:rsidP="2C7D0C34">
            <w:pPr>
              <w:jc w:val="center"/>
            </w:pPr>
            <w:r w:rsidRPr="2C7D0C34">
              <w:rPr>
                <w:rFonts w:ascii="Garamond" w:eastAsia="Garamond" w:hAnsi="Garamond" w:cs="Garamond"/>
                <w:color w:val="000000" w:themeColor="text1"/>
              </w:rPr>
              <w:t xml:space="preserve">Northwest </w:t>
            </w:r>
          </w:p>
        </w:tc>
        <w:tc>
          <w:tcPr>
            <w:tcW w:w="1905" w:type="dxa"/>
            <w:tcBorders>
              <w:top w:val="single" w:sz="8" w:space="0" w:color="auto"/>
              <w:left w:val="single" w:sz="8" w:space="0" w:color="auto"/>
              <w:bottom w:val="single" w:sz="8" w:space="0" w:color="auto"/>
              <w:right w:val="single" w:sz="8" w:space="0" w:color="auto"/>
            </w:tcBorders>
            <w:vAlign w:val="center"/>
          </w:tcPr>
          <w:p w14:paraId="2B098968" w14:textId="24DB9437" w:rsidR="4CEFE9E4" w:rsidRDefault="4CEFE9E4" w:rsidP="2C7D0C34">
            <w:pPr>
              <w:jc w:val="center"/>
            </w:pPr>
            <w:r w:rsidRPr="2C7D0C34">
              <w:rPr>
                <w:rFonts w:ascii="Garamond" w:eastAsia="Garamond" w:hAnsi="Garamond" w:cs="Garamond"/>
                <w:color w:val="000000" w:themeColor="text1"/>
              </w:rPr>
              <w:t xml:space="preserve">Hilly </w:t>
            </w:r>
          </w:p>
        </w:tc>
        <w:tc>
          <w:tcPr>
            <w:tcW w:w="1680" w:type="dxa"/>
            <w:tcBorders>
              <w:top w:val="single" w:sz="8" w:space="0" w:color="auto"/>
              <w:left w:val="single" w:sz="8" w:space="0" w:color="auto"/>
              <w:bottom w:val="single" w:sz="8" w:space="0" w:color="auto"/>
              <w:right w:val="single" w:sz="8" w:space="0" w:color="auto"/>
            </w:tcBorders>
            <w:vAlign w:val="center"/>
          </w:tcPr>
          <w:p w14:paraId="646AFE84" w14:textId="6B0A211E" w:rsidR="4CEFE9E4" w:rsidRDefault="4CEFE9E4" w:rsidP="2C7D0C34">
            <w:pPr>
              <w:jc w:val="center"/>
            </w:pPr>
            <w:r w:rsidRPr="2C7D0C34">
              <w:rPr>
                <w:rFonts w:ascii="Garamond" w:eastAsia="Garamond" w:hAnsi="Garamond" w:cs="Garamond"/>
                <w:color w:val="000000" w:themeColor="text1"/>
              </w:rPr>
              <w:t xml:space="preserve">1800 m </w:t>
            </w:r>
          </w:p>
        </w:tc>
      </w:tr>
    </w:tbl>
    <w:p w14:paraId="2F39F50D" w14:textId="06304598" w:rsidR="2C7D0C34" w:rsidRDefault="2C7D0C34" w:rsidP="2C7D0C34">
      <w:pPr>
        <w:spacing w:after="0" w:line="240" w:lineRule="auto"/>
      </w:pPr>
    </w:p>
    <w:p w14:paraId="17DBB2C8" w14:textId="2B032D21" w:rsidR="4CEFE9E4" w:rsidRDefault="7D5FC8E0" w:rsidP="2C7D0C34">
      <w:pPr>
        <w:spacing w:line="240" w:lineRule="auto"/>
        <w:rPr>
          <w:rFonts w:ascii="Garamond" w:eastAsia="Garamond" w:hAnsi="Garamond" w:cs="Garamond"/>
        </w:rPr>
      </w:pPr>
      <w:r w:rsidRPr="10D1FD28">
        <w:rPr>
          <w:rFonts w:ascii="Garamond" w:eastAsia="Garamond" w:hAnsi="Garamond" w:cs="Garamond"/>
        </w:rPr>
        <w:t>The team also analyzed slope and elevation information within each SBS classification to better understand the spatial patterns of SBS in the Bootleg fire. Fire severity tends to be generally highest on steep slopes, which can increase the spread of fire by pre-heating upslope fuel (</w:t>
      </w:r>
      <w:proofErr w:type="spellStart"/>
      <w:r w:rsidRPr="10D1FD28">
        <w:rPr>
          <w:rFonts w:ascii="Garamond" w:eastAsia="Garamond" w:hAnsi="Garamond" w:cs="Garamond"/>
        </w:rPr>
        <w:t>Lindenmayer</w:t>
      </w:r>
      <w:proofErr w:type="spellEnd"/>
      <w:r w:rsidR="7276C681" w:rsidRPr="10D1FD28">
        <w:rPr>
          <w:rFonts w:ascii="Garamond" w:eastAsia="Garamond" w:hAnsi="Garamond" w:cs="Garamond"/>
        </w:rPr>
        <w:t>,</w:t>
      </w:r>
      <w:r w:rsidRPr="10D1FD28">
        <w:rPr>
          <w:rFonts w:ascii="Garamond" w:eastAsia="Garamond" w:hAnsi="Garamond" w:cs="Garamond"/>
        </w:rPr>
        <w:t xml:space="preserve"> 2021). The majority slope class within high SBS areas was “Hilly” (15 % to 30% gradient) at 37%. Area calculations revealed high proportions of high soil burn areas within Hilly, Moderate (30 – 45% gradient) and Steep (45% – 65 %) slope classes. Evergreen trees made up a higher proportion of these slope classes than shrubs. Similar to aspect, all slope classes predominantly experienced moderate burn. </w:t>
      </w:r>
    </w:p>
    <w:p w14:paraId="7C3B2A86" w14:textId="49683441" w:rsidR="4CEFE9E4" w:rsidRDefault="3C8177F9" w:rsidP="2C7D0C34">
      <w:pPr>
        <w:spacing w:line="240" w:lineRule="auto"/>
        <w:rPr>
          <w:rFonts w:ascii="Garamond" w:eastAsia="Garamond" w:hAnsi="Garamond" w:cs="Garamond"/>
        </w:rPr>
      </w:pPr>
      <w:r w:rsidRPr="65CB079E">
        <w:rPr>
          <w:rFonts w:ascii="Garamond" w:eastAsia="Garamond" w:hAnsi="Garamond" w:cs="Garamond"/>
        </w:rPr>
        <w:t>High SBS areas also had a higher median elevation as well as a narrower elevation range, between 1318 m – 2359 m (Table B6). The team examined ET and vegetation area across elevation gradients and SBS classes, finding vegetation type and spacing to be plausible explanations for this restricted elevation range. For the Bootleg fire area, the proportion of shrubs to trees increases at elevation extremes. Low-lying areas have higher shrub coverage and very high elevations have an almost equal proportion of shrubs to trees, signifying an elevation-controlled shift in vegetation patterns. This shift is important as Miller et al. (2009) found moderate and low SBS to be linked to reduced plant size and discontinuity of vegetation at elevation extremes.</w:t>
      </w:r>
      <w:r w:rsidR="038505BC" w:rsidRPr="65CB079E">
        <w:rPr>
          <w:rFonts w:ascii="Garamond" w:eastAsia="Garamond" w:hAnsi="Garamond" w:cs="Garamond"/>
        </w:rPr>
        <w:t xml:space="preserve"> </w:t>
      </w:r>
      <w:r w:rsidRPr="65CB079E">
        <w:rPr>
          <w:rFonts w:ascii="Garamond" w:eastAsia="Garamond" w:hAnsi="Garamond" w:cs="Garamond"/>
        </w:rPr>
        <w:t xml:space="preserve">A visual assessment of land cover within SBS classes indicated a strong relationship between shrubs and unburned areas on flat, low elevation areas. Despite shrubs having a lower ET than evergreens at elevations less than 1491 m, shrubs remained unburned. This indicates some relationship between vegetation structure, elevation, and SBS. At higher elevations, the connection between SBS and elevation is more complex, incorporating other parameters like vegetation moisture. </w:t>
      </w:r>
    </w:p>
    <w:p w14:paraId="55EAB0E6" w14:textId="36349FBA" w:rsidR="4CEFE9E4" w:rsidRDefault="3C8177F9" w:rsidP="2C7D0C34">
      <w:pPr>
        <w:spacing w:line="240" w:lineRule="auto"/>
        <w:rPr>
          <w:rFonts w:ascii="Garamond" w:eastAsia="Garamond" w:hAnsi="Garamond" w:cs="Garamond"/>
        </w:rPr>
      </w:pPr>
      <w:r w:rsidRPr="65CB079E">
        <w:rPr>
          <w:rFonts w:ascii="Garamond" w:eastAsia="Garamond" w:hAnsi="Garamond" w:cs="Garamond"/>
        </w:rPr>
        <w:t>Higher elevations often have cooler temperatures and increased precipitation, which influences vegetation moisture and biomass (</w:t>
      </w:r>
      <w:proofErr w:type="spellStart"/>
      <w:r w:rsidRPr="65CB079E">
        <w:rPr>
          <w:rFonts w:ascii="Garamond" w:eastAsia="Garamond" w:hAnsi="Garamond" w:cs="Garamond"/>
        </w:rPr>
        <w:t>Dehum</w:t>
      </w:r>
      <w:proofErr w:type="spellEnd"/>
      <w:r w:rsidRPr="65CB079E">
        <w:rPr>
          <w:rFonts w:ascii="Garamond" w:eastAsia="Garamond" w:hAnsi="Garamond" w:cs="Garamond"/>
        </w:rPr>
        <w:t xml:space="preserve"> 2015). However, above a certain elevation, the air becomes too dry and cold to support dense tree growth, creating a tree line. The team performed area calculations for the Bootleg fire area which revealed an increase in evergreen forest coverage with an increase in elevation as well as a decline in evergreen coverage at the highest elevations (Figure B3). ET followed this same curved trend with respect to elevation. The mean ET for evergreen trees and shrubs increased with elevation and dropped-off sharply above 2276 m (Figure B3). Lower ET, along with a decline in evergreens and an increase in shrubs at elevation extremes, may point to elevation-driven controls influencing vegetation structure and SBS within the Bootleg fire perimeter. However, the connection between SBS, elevation, and vegetation structure should be made with caution as there are multiple variables that influence how a fire behaves over a landscape and no regression or correlation analysis was conducted for this project.  </w:t>
      </w:r>
    </w:p>
    <w:p w14:paraId="0DBBB9E6" w14:textId="723E8338" w:rsidR="5C31A34A" w:rsidRDefault="566BDD39" w:rsidP="5C31A34A">
      <w:pPr>
        <w:spacing w:after="0" w:line="240" w:lineRule="auto"/>
        <w:rPr>
          <w:rFonts w:ascii="Garamond" w:eastAsia="Gungsuh" w:hAnsi="Garamond" w:cs="Gungsuh"/>
          <w:b/>
          <w:bCs/>
          <w:sz w:val="28"/>
          <w:szCs w:val="28"/>
        </w:rPr>
      </w:pPr>
      <w:r w:rsidRPr="7E9C04BA">
        <w:rPr>
          <w:rFonts w:ascii="Garamond" w:hAnsi="Garamond"/>
          <w:i/>
          <w:iCs/>
        </w:rPr>
        <w:lastRenderedPageBreak/>
        <w:t xml:space="preserve">4.1.3 Water Use Efficiency </w:t>
      </w:r>
    </w:p>
    <w:p w14:paraId="7B3E8765" w14:textId="587014F1" w:rsidR="7E9C04BA" w:rsidRDefault="7E9C04BA" w:rsidP="7E9C04BA">
      <w:pPr>
        <w:spacing w:line="240" w:lineRule="auto"/>
        <w:rPr>
          <w:rFonts w:ascii="Garamond" w:eastAsia="Garamond" w:hAnsi="Garamond" w:cs="Garamond"/>
        </w:rPr>
      </w:pPr>
      <w:r w:rsidRPr="65CB079E">
        <w:rPr>
          <w:rFonts w:ascii="Garamond" w:eastAsia="Garamond" w:hAnsi="Garamond" w:cs="Garamond"/>
        </w:rPr>
        <w:t xml:space="preserve">The team created median WUE composites for June 2019, 2020, 2021 and used the same symbology of 0.1 GPP/ET in brown to 4.9 GPP/ET in dark green for each image (Figure 5c). Visual analysis of the 2021 median WUE composite followed the same split between vegetation types described in other sections (Figure 5a) which the team corroborated using zonal statistics of NLCD, EVT, and WUE (Figure 5a). Low, </w:t>
      </w:r>
      <w:proofErr w:type="gramStart"/>
      <w:r w:rsidRPr="65CB079E">
        <w:rPr>
          <w:rFonts w:ascii="Garamond" w:eastAsia="Garamond" w:hAnsi="Garamond" w:cs="Garamond"/>
        </w:rPr>
        <w:t>moderate</w:t>
      </w:r>
      <w:proofErr w:type="gramEnd"/>
      <w:r w:rsidRPr="65CB079E">
        <w:rPr>
          <w:rFonts w:ascii="Garamond" w:eastAsia="Garamond" w:hAnsi="Garamond" w:cs="Garamond"/>
        </w:rPr>
        <w:t xml:space="preserve"> and high values for WUE represent the lower, middle, and upper third intervals of the median WUE composite. High SBS areas consisted mainly of evergreen landcover, which occupied the majority of low (77%) and moderate (53%) WUE areas (Table B2). High SBS areas also had lower ET than other SBS classes, indicating water-stressed vegetation. Evergreen landcover is a fuel source with the potential for greater wildfire intensity, although fire and drought resistance vary by evergreen type. For example, the Northern Rocky Mountain Ponderosa Pine Woodland and Savanna was the largest evergreen type represented in low (29%) and moderate (30%) regions of WUE, however previous analysis indicates it had the least propensity to contribute to overall wildfire intensity (Table B2). Unburned and very low SBS areas had a greater percentage of shrub-scrub vegetation, and although shrub-scrub had lower ET than evergreens, showed higher WUE (87%). This indicates that shrub-scrub vegetation may have a greater resiliency to drought conditions. Colombia Plateau Low Sagebrush Steppe was the majority type in both unburned SBS (21%)</w:t>
      </w:r>
      <w:r w:rsidR="65CB079E" w:rsidRPr="65CB079E">
        <w:rPr>
          <w:rFonts w:ascii="Garamond" w:eastAsia="Garamond" w:hAnsi="Garamond" w:cs="Garamond"/>
        </w:rPr>
        <w:t xml:space="preserve"> and </w:t>
      </w:r>
      <w:r w:rsidRPr="65CB079E">
        <w:rPr>
          <w:rFonts w:ascii="Garamond" w:eastAsia="Garamond" w:hAnsi="Garamond" w:cs="Garamond"/>
        </w:rPr>
        <w:t xml:space="preserve">high WUE (54%) regions (Table B1; Table B2). Within the moderate and low SBS classifications, WUE was generally </w:t>
      </w:r>
      <w:proofErr w:type="gramStart"/>
      <w:r w:rsidRPr="65CB079E">
        <w:rPr>
          <w:rFonts w:ascii="Garamond" w:eastAsia="Garamond" w:hAnsi="Garamond" w:cs="Garamond"/>
        </w:rPr>
        <w:t>low</w:t>
      </w:r>
      <w:proofErr w:type="gramEnd"/>
      <w:r w:rsidRPr="65CB079E">
        <w:rPr>
          <w:rFonts w:ascii="Garamond" w:eastAsia="Garamond" w:hAnsi="Garamond" w:cs="Garamond"/>
        </w:rPr>
        <w:t xml:space="preserve"> and ET was variable. This could potentially be due to an overgrowth of different vegetation types in 2019 and 2020 (indicated by higher ET in these years), leading to an abundant mix of fuel types which together created less wildfire intensity.</w:t>
      </w:r>
    </w:p>
    <w:p w14:paraId="2AC4CD38" w14:textId="06B267D4" w:rsidR="7E9C04BA" w:rsidRDefault="7F421004" w:rsidP="7E9C04BA">
      <w:pPr>
        <w:spacing w:line="240" w:lineRule="auto"/>
        <w:rPr>
          <w:rFonts w:ascii="Garamond" w:eastAsia="Garamond" w:hAnsi="Garamond" w:cs="Garamond"/>
        </w:rPr>
      </w:pPr>
      <w:r w:rsidRPr="10D1FD28">
        <w:rPr>
          <w:rFonts w:ascii="Garamond" w:eastAsia="Garamond" w:hAnsi="Garamond" w:cs="Garamond"/>
        </w:rPr>
        <w:t>WUE can show the vulnerability of plants to climate stressors by looking at plant productivity and water use. Median WUE between 2019 and 2021 increased or stayed the same for all SBS classes except high SBS (Table A2). Plants less efficient at assimilating carbon under water stress are expected to be more susceptible to short-term drought and temperature shocks and this may increase their susceptibility to wildfire (</w:t>
      </w:r>
      <w:proofErr w:type="spellStart"/>
      <w:r w:rsidRPr="10D1FD28">
        <w:rPr>
          <w:rFonts w:ascii="Garamond" w:eastAsia="Garamond" w:hAnsi="Garamond" w:cs="Garamond"/>
        </w:rPr>
        <w:t>Pascolini</w:t>
      </w:r>
      <w:proofErr w:type="spellEnd"/>
      <w:r w:rsidRPr="10D1FD28">
        <w:rPr>
          <w:rFonts w:ascii="Garamond" w:eastAsia="Garamond" w:hAnsi="Garamond" w:cs="Garamond"/>
        </w:rPr>
        <w:t>-Campbell et al., 2022). Zonal statistics of pre-fire WUE and high SBS show that 80% of all vegetation had low WUE in high SBS areas within the Bootleg fire perimeter (Table B3), further suggesting a possible relationship between low WUE/low ET vegetation and high SBS areas. Low WUE may indicate the effects of drought in the area</w:t>
      </w:r>
      <w:r w:rsidR="14F1CE2F" w:rsidRPr="10D1FD28">
        <w:rPr>
          <w:rFonts w:ascii="Garamond" w:eastAsia="Garamond" w:hAnsi="Garamond" w:cs="Garamond"/>
        </w:rPr>
        <w:t>;</w:t>
      </w:r>
      <w:r w:rsidRPr="10D1FD28">
        <w:rPr>
          <w:rFonts w:ascii="Garamond" w:eastAsia="Garamond" w:hAnsi="Garamond" w:cs="Garamond"/>
        </w:rPr>
        <w:t xml:space="preserve"> however</w:t>
      </w:r>
      <w:r w:rsidR="0D06087A" w:rsidRPr="10D1FD28">
        <w:rPr>
          <w:rFonts w:ascii="Garamond" w:eastAsia="Garamond" w:hAnsi="Garamond" w:cs="Garamond"/>
        </w:rPr>
        <w:t>,</w:t>
      </w:r>
      <w:r w:rsidRPr="10D1FD28">
        <w:rPr>
          <w:rFonts w:ascii="Garamond" w:eastAsia="Garamond" w:hAnsi="Garamond" w:cs="Garamond"/>
        </w:rPr>
        <w:t xml:space="preserve"> WUE depends on vegetation type and an individual plant’s physiological response to increasing carbon dioxide concentrations, surface temperature, precipitation, and humidity, which may explain the varying WUE in the fire area (Hatfield &amp; </w:t>
      </w:r>
      <w:proofErr w:type="spellStart"/>
      <w:r w:rsidRPr="10D1FD28">
        <w:rPr>
          <w:rFonts w:ascii="Garamond" w:eastAsia="Garamond" w:hAnsi="Garamond" w:cs="Garamond"/>
        </w:rPr>
        <w:t>Dold</w:t>
      </w:r>
      <w:proofErr w:type="spellEnd"/>
      <w:r w:rsidRPr="10D1FD28">
        <w:rPr>
          <w:rFonts w:ascii="Garamond" w:eastAsia="Garamond" w:hAnsi="Garamond" w:cs="Garamond"/>
        </w:rPr>
        <w:t xml:space="preserve">, 2019). This exploratory analysis suggests more research into vegetation in low ET and low WUE regions may be useful future investigations of wildfire dynamics.  </w:t>
      </w:r>
    </w:p>
    <w:p w14:paraId="1D940D0F" w14:textId="1A71CB29" w:rsidR="5C31A34A" w:rsidRDefault="65CB079E" w:rsidP="7E9C04BA">
      <w:pPr>
        <w:spacing w:after="0" w:line="240" w:lineRule="auto"/>
        <w:jc w:val="center"/>
      </w:pPr>
      <w:r>
        <w:rPr>
          <w:noProof/>
        </w:rPr>
        <w:drawing>
          <wp:inline distT="0" distB="0" distL="0" distR="0" wp14:anchorId="6E4CE3AC" wp14:editId="4E4F4723">
            <wp:extent cx="5310188" cy="1770062"/>
            <wp:effectExtent l="0" t="0" r="0" b="0"/>
            <wp:docPr id="615849555" name="Picture 61584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310188" cy="1770062"/>
                    </a:xfrm>
                    <a:prstGeom prst="rect">
                      <a:avLst/>
                    </a:prstGeom>
                  </pic:spPr>
                </pic:pic>
              </a:graphicData>
            </a:graphic>
          </wp:inline>
        </w:drawing>
      </w:r>
    </w:p>
    <w:p w14:paraId="3B891FDF" w14:textId="22312FB5" w:rsidR="65CB079E" w:rsidRDefault="65CB079E" w:rsidP="65CB079E">
      <w:pPr>
        <w:spacing w:after="0" w:line="240" w:lineRule="auto"/>
        <w:jc w:val="center"/>
      </w:pPr>
      <w:r>
        <w:rPr>
          <w:noProof/>
        </w:rPr>
        <w:lastRenderedPageBreak/>
        <w:drawing>
          <wp:inline distT="0" distB="0" distL="0" distR="0" wp14:anchorId="6296DA9C" wp14:editId="6B460DDB">
            <wp:extent cx="4661297" cy="1971340"/>
            <wp:effectExtent l="0" t="0" r="0" b="0"/>
            <wp:docPr id="2062986010" name="Picture 206298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61297" cy="1971340"/>
                    </a:xfrm>
                    <a:prstGeom prst="rect">
                      <a:avLst/>
                    </a:prstGeom>
                  </pic:spPr>
                </pic:pic>
              </a:graphicData>
            </a:graphic>
          </wp:inline>
        </w:drawing>
      </w:r>
    </w:p>
    <w:p w14:paraId="429D1F62" w14:textId="300085E6" w:rsidR="5C31A34A" w:rsidRDefault="4A4F9EB1" w:rsidP="65CB079E">
      <w:pPr>
        <w:spacing w:after="0" w:line="240" w:lineRule="auto"/>
        <w:jc w:val="center"/>
        <w:rPr>
          <w:rFonts w:ascii="Garamond" w:eastAsia="Garamond" w:hAnsi="Garamond" w:cs="Garamond"/>
          <w:color w:val="000000" w:themeColor="text1"/>
        </w:rPr>
      </w:pPr>
      <w:r w:rsidRPr="10D1FD28">
        <w:rPr>
          <w:rFonts w:ascii="Garamond" w:eastAsia="Garamond" w:hAnsi="Garamond" w:cs="Garamond"/>
          <w:i/>
          <w:iCs/>
          <w:color w:val="000000" w:themeColor="text1"/>
        </w:rPr>
        <w:t xml:space="preserve">Figure 5. </w:t>
      </w:r>
      <w:r w:rsidRPr="10D1FD28">
        <w:rPr>
          <w:rFonts w:ascii="Garamond" w:eastAsia="Garamond" w:hAnsi="Garamond" w:cs="Garamond"/>
          <w:color w:val="000000" w:themeColor="text1"/>
        </w:rPr>
        <w:t>Comparison of median ET and WUE composites of 2021 with a land cover (a) and a soil burn severity map of the Bootleg fire heat perimeter (b).</w:t>
      </w:r>
      <w:r w:rsidRPr="10D1FD28">
        <w:rPr>
          <w:rFonts w:ascii="Garamond" w:eastAsia="Garamond" w:hAnsi="Garamond" w:cs="Garamond"/>
          <w:i/>
          <w:iCs/>
          <w:color w:val="000000" w:themeColor="text1"/>
        </w:rPr>
        <w:t xml:space="preserve"> </w:t>
      </w:r>
      <w:r w:rsidRPr="10D1FD28">
        <w:rPr>
          <w:rFonts w:ascii="Garamond" w:eastAsia="Garamond" w:hAnsi="Garamond" w:cs="Garamond"/>
          <w:color w:val="000000" w:themeColor="text1"/>
        </w:rPr>
        <w:t>The Median WUE June seasonal composites for 2021 have high WUE in dark green and low WUE in brown coloring (c) and the 2021 median ET composite of the Bootleg fire heat perimeter have high ET</w:t>
      </w:r>
      <w:r w:rsidR="71F2E6F9" w:rsidRPr="10D1FD28">
        <w:rPr>
          <w:rFonts w:ascii="Garamond" w:eastAsia="Garamond" w:hAnsi="Garamond" w:cs="Garamond"/>
          <w:color w:val="000000" w:themeColor="text1"/>
        </w:rPr>
        <w:t xml:space="preserve"> shown</w:t>
      </w:r>
      <w:r w:rsidRPr="10D1FD28">
        <w:rPr>
          <w:rFonts w:ascii="Garamond" w:eastAsia="Garamond" w:hAnsi="Garamond" w:cs="Garamond"/>
          <w:color w:val="000000" w:themeColor="text1"/>
        </w:rPr>
        <w:t xml:space="preserve"> in dark green and low ET </w:t>
      </w:r>
      <w:r w:rsidR="3F1AD8EE" w:rsidRPr="10D1FD28">
        <w:rPr>
          <w:rFonts w:ascii="Garamond" w:eastAsia="Garamond" w:hAnsi="Garamond" w:cs="Garamond"/>
          <w:color w:val="000000" w:themeColor="text1"/>
        </w:rPr>
        <w:t xml:space="preserve">shown </w:t>
      </w:r>
      <w:r w:rsidRPr="10D1FD28">
        <w:rPr>
          <w:rFonts w:ascii="Garamond" w:eastAsia="Garamond" w:hAnsi="Garamond" w:cs="Garamond"/>
          <w:color w:val="000000" w:themeColor="text1"/>
        </w:rPr>
        <w:t xml:space="preserve">in brown coloring. </w:t>
      </w:r>
    </w:p>
    <w:p w14:paraId="5C94771A" w14:textId="6139C38F" w:rsidR="5C31A34A" w:rsidRDefault="5C31A34A" w:rsidP="5C31A34A">
      <w:pPr>
        <w:pStyle w:val="NoSpacing"/>
        <w:rPr>
          <w:rFonts w:ascii="Garamond" w:eastAsia="Garamond" w:hAnsi="Garamond" w:cs="Garamond"/>
          <w:color w:val="000000" w:themeColor="text1"/>
        </w:rPr>
      </w:pPr>
    </w:p>
    <w:p w14:paraId="54AF5723" w14:textId="260A4CA8" w:rsidR="149D6BC4" w:rsidRDefault="525CE705" w:rsidP="7E9C04BA">
      <w:pPr>
        <w:spacing w:after="0" w:line="240" w:lineRule="auto"/>
        <w:rPr>
          <w:rFonts w:ascii="Garamond" w:hAnsi="Garamond"/>
          <w:b/>
          <w:bCs/>
          <w:i/>
          <w:iCs/>
        </w:rPr>
      </w:pPr>
      <w:bookmarkStart w:id="5" w:name="_Toc334198734"/>
      <w:r w:rsidRPr="7E9C04BA">
        <w:rPr>
          <w:rFonts w:ascii="Garamond" w:hAnsi="Garamond"/>
          <w:b/>
          <w:bCs/>
          <w:i/>
          <w:iCs/>
        </w:rPr>
        <w:t>4.2 Errors and Uncertainties</w:t>
      </w:r>
    </w:p>
    <w:p w14:paraId="174A767D" w14:textId="08F0928E" w:rsidR="5C31A34A" w:rsidRDefault="5C31A34A" w:rsidP="65CB079E">
      <w:pPr>
        <w:pStyle w:val="NoSpacing"/>
        <w:rPr>
          <w:rFonts w:ascii="Garamond" w:eastAsia="Gungsuh" w:hAnsi="Garamond" w:cs="Gungsuh"/>
        </w:rPr>
      </w:pPr>
      <w:r w:rsidRPr="65CB079E">
        <w:rPr>
          <w:rFonts w:ascii="Garamond" w:eastAsia="Garamond" w:hAnsi="Garamond" w:cs="Garamond"/>
        </w:rPr>
        <w:t xml:space="preserve">The largest source of errors and uncertainties is in the ECOSTRESS ET and WUE observations. The product is derived by measuring the thermal infrared brightness of plants and is affected by cloud cover, smoke, the diurnal cycle, and instrument error. Although ECOSTRESS passes over an area every 1-5 days, there were far fewer images that could be analyzed, leaving gaps in the data. Calculations used to create the ET product make certain assumptions which also introduce uncertainty and error. ECOSTRESS observations are also only available since 2018, which is not long enough to determine if pre-Bootleg fire ET was anomalous on longer timescales. </w:t>
      </w:r>
      <w:r w:rsidR="3C8177F9" w:rsidRPr="65CB079E">
        <w:rPr>
          <w:rFonts w:ascii="Garamond" w:eastAsia="Gungsuh" w:hAnsi="Garamond" w:cs="Gungsuh"/>
        </w:rPr>
        <w:t>Error may also have been introduced by reprojecting NLCD and EVT datasets from their native coordinate system (Albers equal area conic) to WGS 1984 Mercator to match ECOSTRESS and SRTM analyses. Additionally, our analysis was limited to vegetation datasets from 2019 and 2020 which may not be indicative of land cover composition in 2021, the year of the Bootleg fire.</w:t>
      </w:r>
    </w:p>
    <w:p w14:paraId="1B9D75E3" w14:textId="57F9C839" w:rsidR="5C31A34A" w:rsidRDefault="5C31A34A" w:rsidP="5C31A34A">
      <w:pPr>
        <w:pStyle w:val="NoSpacing"/>
        <w:rPr>
          <w:rFonts w:ascii="Garamond" w:hAnsi="Garamond"/>
        </w:rPr>
      </w:pPr>
    </w:p>
    <w:bookmarkEnd w:id="5"/>
    <w:p w14:paraId="1AA70FD9" w14:textId="69487272" w:rsidR="149D6BC4" w:rsidRDefault="149D6BC4" w:rsidP="65CB079E">
      <w:pPr>
        <w:pStyle w:val="NoSpacing"/>
        <w:rPr>
          <w:rFonts w:ascii="Garamond" w:hAnsi="Garamond"/>
          <w:b/>
          <w:bCs/>
          <w:i/>
          <w:iCs/>
        </w:rPr>
      </w:pPr>
      <w:r w:rsidRPr="65CB079E">
        <w:rPr>
          <w:rFonts w:ascii="Garamond" w:hAnsi="Garamond"/>
          <w:b/>
          <w:bCs/>
          <w:i/>
          <w:iCs/>
        </w:rPr>
        <w:t>4.3 Future Work</w:t>
      </w:r>
    </w:p>
    <w:p w14:paraId="463DC99A" w14:textId="7635F486" w:rsidR="5C31A34A" w:rsidRDefault="5C31A34A" w:rsidP="65CB079E">
      <w:pPr>
        <w:spacing w:line="240" w:lineRule="auto"/>
        <w:rPr>
          <w:rFonts w:ascii="Garamond" w:eastAsia="Garamond" w:hAnsi="Garamond" w:cs="Garamond"/>
        </w:rPr>
      </w:pPr>
      <w:r w:rsidRPr="65CB079E">
        <w:rPr>
          <w:rFonts w:ascii="Garamond" w:eastAsia="Garamond" w:hAnsi="Garamond" w:cs="Garamond"/>
        </w:rPr>
        <w:t>Future work evaluating ECOSTRESS ET products and other vegetation moisture indicators such as WUE for wildfire behavior modeling should expand from this case study of the Bootleg fire to more fires. The team found the dynamics between pre-fire ET and vegetation/</w:t>
      </w:r>
      <w:bookmarkStart w:id="6" w:name="_Int_ZzBmmtI0"/>
      <w:r w:rsidRPr="65CB079E">
        <w:rPr>
          <w:rFonts w:ascii="Garamond" w:eastAsia="Garamond" w:hAnsi="Garamond" w:cs="Garamond"/>
        </w:rPr>
        <w:t>topography</w:t>
      </w:r>
      <w:bookmarkEnd w:id="6"/>
      <w:r w:rsidRPr="65CB079E">
        <w:rPr>
          <w:rFonts w:ascii="Garamond" w:eastAsia="Garamond" w:hAnsi="Garamond" w:cs="Garamond"/>
        </w:rPr>
        <w:t xml:space="preserve"> provided a first-order explanation of soil burn severity in areas affected by the Bootleg Fire. Scaling the team’s work to more fires would test whether these results for the Bootleg Fire are generalizable and if ECOSTRESS ET in connection with the topographic, biomass, and landcover characteristics identified by the team can explain other fires in similar ecosystems. This larger baseline could then be used as a means to screen the susceptibility of an area to wildfire. Additionally, testing the significance</w:t>
      </w:r>
      <w:r w:rsidR="65CB079E" w:rsidRPr="65CB079E">
        <w:rPr>
          <w:rFonts w:ascii="Garamond" w:eastAsia="Garamond" w:hAnsi="Garamond" w:cs="Garamond"/>
        </w:rPr>
        <w:t xml:space="preserve"> of the parameters identified as the most important from the case study would corroborate the team’s analysis.</w:t>
      </w:r>
    </w:p>
    <w:p w14:paraId="2177AADA" w14:textId="61F9B90D" w:rsidR="00E41324" w:rsidRPr="0066138C" w:rsidRDefault="6911803F" w:rsidP="0066138C">
      <w:pPr>
        <w:pStyle w:val="Heading1"/>
        <w:spacing w:before="0" w:line="240" w:lineRule="auto"/>
        <w:rPr>
          <w:rFonts w:ascii="Garamond" w:hAnsi="Garamond"/>
        </w:rPr>
      </w:pPr>
      <w:bookmarkStart w:id="7" w:name="_Toc334198735"/>
      <w:r w:rsidRPr="65CB079E">
        <w:rPr>
          <w:rFonts w:ascii="Garamond" w:hAnsi="Garamond"/>
        </w:rPr>
        <w:t>5</w:t>
      </w:r>
      <w:r w:rsidR="69F84758" w:rsidRPr="65CB079E">
        <w:rPr>
          <w:rFonts w:ascii="Garamond" w:hAnsi="Garamond"/>
        </w:rPr>
        <w:t xml:space="preserve">. </w:t>
      </w:r>
      <w:r w:rsidR="34803F65" w:rsidRPr="65CB079E">
        <w:rPr>
          <w:rFonts w:ascii="Garamond" w:hAnsi="Garamond"/>
        </w:rPr>
        <w:t>Conclusions</w:t>
      </w:r>
      <w:bookmarkEnd w:id="7"/>
    </w:p>
    <w:p w14:paraId="61CFC4F7" w14:textId="067C1D46" w:rsidR="038505BC" w:rsidRDefault="7889461E" w:rsidP="10D1FD28">
      <w:pPr>
        <w:spacing w:after="0" w:line="240" w:lineRule="auto"/>
        <w:rPr>
          <w:rFonts w:ascii="Garamond" w:eastAsia="Garamond" w:hAnsi="Garamond" w:cs="Garamond"/>
        </w:rPr>
      </w:pPr>
      <w:r w:rsidRPr="10D1FD28">
        <w:rPr>
          <w:rFonts w:ascii="Garamond" w:eastAsia="Garamond" w:hAnsi="Garamond" w:cs="Garamond"/>
          <w:color w:val="000000" w:themeColor="text1"/>
        </w:rPr>
        <w:t xml:space="preserve">This exploratory project utilized Earth observations, remote sensing techniques, and ancillary data to demonstrate how vegetation moisture products like ECOSTRESS ET can explain soil burn severity. The team analyzed how vegetation moisture changed before the Bootleg fire and the potential impact of topographic variables (elevation, slope, and aspect) and vegetation (land cover, vegetation type, biomass) on ET and wildfire behavior. The </w:t>
      </w:r>
      <w:r w:rsidR="7F421004" w:rsidRPr="10D1FD28">
        <w:rPr>
          <w:rFonts w:ascii="Garamond" w:eastAsia="Garamond" w:hAnsi="Garamond" w:cs="Garamond"/>
          <w:color w:val="000000" w:themeColor="text1"/>
        </w:rPr>
        <w:t xml:space="preserve">pre-fire variables indicated as important in explaining burn severity and wildfire spread are vegetation moisture, landcover type, elevation, and slope. Median </w:t>
      </w:r>
      <w:r w:rsidRPr="10D1FD28">
        <w:rPr>
          <w:rFonts w:ascii="Garamond" w:eastAsia="Garamond" w:hAnsi="Garamond" w:cs="Garamond"/>
          <w:color w:val="000000" w:themeColor="text1"/>
        </w:rPr>
        <w:t xml:space="preserve">ET decreased between 2019 and 2021, with much of the vegetation in the Bootleg fire area experiencing water stress and </w:t>
      </w:r>
      <w:r w:rsidR="7F421004" w:rsidRPr="10D1FD28">
        <w:rPr>
          <w:rFonts w:ascii="Garamond" w:eastAsia="Garamond" w:hAnsi="Garamond" w:cs="Garamond"/>
          <w:color w:val="000000" w:themeColor="text1"/>
        </w:rPr>
        <w:t>dry conditions. ET gave a broad picture of vegetation moisture conditions in the study area, but t</w:t>
      </w:r>
      <w:r w:rsidRPr="10D1FD28">
        <w:rPr>
          <w:rFonts w:ascii="Garamond" w:eastAsia="Garamond" w:hAnsi="Garamond" w:cs="Garamond"/>
          <w:color w:val="000000" w:themeColor="text1"/>
        </w:rPr>
        <w:t xml:space="preserve">he team’s preliminary work on WUE indicates it might provide a more subtle explanation for SBS. High SBS areas showed both lower ET and WUE values when compared to other SBS classes, indicating water-stressed </w:t>
      </w:r>
      <w:r w:rsidRPr="10D1FD28">
        <w:rPr>
          <w:rFonts w:ascii="Garamond" w:eastAsia="Garamond" w:hAnsi="Garamond" w:cs="Garamond"/>
          <w:color w:val="000000" w:themeColor="text1"/>
        </w:rPr>
        <w:lastRenderedPageBreak/>
        <w:t>plants which were not compensating for dry conditions with increased WUE. Many areas within the Bootleg perimeter classed as low SBS or unburned had low ET, but higher WUE values,</w:t>
      </w:r>
      <w:r w:rsidR="7F421004" w:rsidRPr="10D1FD28">
        <w:rPr>
          <w:rFonts w:ascii="Garamond" w:eastAsia="Garamond" w:hAnsi="Garamond" w:cs="Garamond"/>
        </w:rPr>
        <w:t xml:space="preserve"> indicating this vegetation had more resiliency to drought conditions. </w:t>
      </w:r>
      <w:r w:rsidR="7F421004" w:rsidRPr="10D1FD28">
        <w:rPr>
          <w:rFonts w:ascii="Garamond" w:eastAsia="Garamond" w:hAnsi="Garamond" w:cs="Garamond"/>
          <w:color w:val="000000" w:themeColor="text1"/>
        </w:rPr>
        <w:t xml:space="preserve">The vast majority of high SBS areas consisted of evergreen forests, with lower SBS areas containing a higher percentage of shrub-scrub vegetation. </w:t>
      </w:r>
      <w:r w:rsidRPr="10D1FD28">
        <w:rPr>
          <w:rFonts w:ascii="Garamond" w:eastAsia="Garamond" w:hAnsi="Garamond" w:cs="Garamond"/>
          <w:color w:val="000000" w:themeColor="text1"/>
        </w:rPr>
        <w:t>65% of all the vegetation in high SBS areas had low ET values. The team also found that elevation had a strong impact on SBS, with SBS increasing with elevation, most likely due to the increase in evergreen forest and decrease in shrub-scrub vegetation with elevation. Slope also showed a difference between soil burn severity classes. High SBS areas occurred on steeper gradients, which primarily consist of evergreens. Lower, almost flat gradients were typical of low and moderate SBS areas in the Bootleg fire area or remained unburned. Considering that high SBS zones also had the most AGBD, these areas likely consisted of higher density, water-stressed evergreen forest, and heat from the wildfire exacerbated dry conditions upslope as it spread to steeper terrain. Southwestern slopes dominate each SBS classification, which is expected as these areas tend to be warmer and drier. However, for the Bootleg fire, there was a high percentage of northwestern-facing slopes in high SBS areas. This may indicate that higher density forests under water stress were found on these slopes, impacting fire intensity.</w:t>
      </w:r>
    </w:p>
    <w:p w14:paraId="41624653" w14:textId="3FF091F7" w:rsidR="7E9C04BA" w:rsidRDefault="7E9C04BA" w:rsidP="7E9C04BA">
      <w:pPr>
        <w:spacing w:after="0" w:line="240" w:lineRule="auto"/>
      </w:pPr>
      <w:r w:rsidRPr="7E9C04BA">
        <w:rPr>
          <w:rFonts w:ascii="Garamond" w:eastAsia="Garamond" w:hAnsi="Garamond" w:cs="Garamond"/>
        </w:rPr>
        <w:t xml:space="preserve"> </w:t>
      </w:r>
    </w:p>
    <w:p w14:paraId="7F884D42" w14:textId="0B7F02EC" w:rsidR="038505BC" w:rsidRDefault="038505BC" w:rsidP="65CB079E">
      <w:pPr>
        <w:spacing w:after="0" w:line="240" w:lineRule="auto"/>
        <w:rPr>
          <w:rFonts w:ascii="Garamond" w:eastAsia="Garamond" w:hAnsi="Garamond" w:cs="Garamond"/>
          <w:color w:val="000000" w:themeColor="text1"/>
        </w:rPr>
      </w:pPr>
      <w:r w:rsidRPr="65CB079E">
        <w:rPr>
          <w:rFonts w:ascii="Garamond" w:eastAsia="Garamond" w:hAnsi="Garamond" w:cs="Garamond"/>
          <w:color w:val="000000" w:themeColor="text1"/>
        </w:rPr>
        <w:t>A 2022 study of six California wildfires also used ECOSTRESS vegetation moisture products as a predictor of burn severity and provides some corroboration of the team’s analysis (</w:t>
      </w:r>
      <w:proofErr w:type="spellStart"/>
      <w:r w:rsidR="3C8177F9" w:rsidRPr="65CB079E">
        <w:rPr>
          <w:rFonts w:ascii="Garamond" w:eastAsia="Garamond" w:hAnsi="Garamond" w:cs="Garamond"/>
        </w:rPr>
        <w:t>Pascolini</w:t>
      </w:r>
      <w:proofErr w:type="spellEnd"/>
      <w:r w:rsidR="3C8177F9" w:rsidRPr="65CB079E">
        <w:rPr>
          <w:rFonts w:ascii="Garamond" w:eastAsia="Garamond" w:hAnsi="Garamond" w:cs="Garamond"/>
        </w:rPr>
        <w:t xml:space="preserve">-Campbell et al., 2022). This larger study used spatial autocorrelation and random forest regression modelling, finding that vegetation moisture indicators such as ET and WUE varied with different vegetation and topographic parameters, and influenced SBS patterns. The team’s case study of the Bootleg fire adds to the growing research on using ECOSTRESS vegetation moisture products to explain wildfire behavior. </w:t>
      </w:r>
      <w:r w:rsidRPr="65CB079E">
        <w:rPr>
          <w:rFonts w:ascii="Garamond" w:eastAsia="Garamond" w:hAnsi="Garamond" w:cs="Garamond"/>
          <w:color w:val="000000" w:themeColor="text1"/>
        </w:rPr>
        <w:t>Wildfires can destroy livelihoods and wildlife habitats and are a community concern. The team’s vegetation moisture, topography, and vegetation structure maps can be used as a baseline for further study by our partners at the US Forest Service and the Pacific Northwest National Laboratory on integrating ECOSTRESS products to find areas susceptible to wildfires and assist local authorities with planning and resource allocation efforts.</w:t>
      </w:r>
    </w:p>
    <w:p w14:paraId="2BF53931" w14:textId="70EFBE80" w:rsidR="00E41324" w:rsidRPr="0066138C" w:rsidRDefault="53C4A2B5" w:rsidP="5C31A34A">
      <w:pPr>
        <w:pStyle w:val="Heading1"/>
        <w:rPr>
          <w:rFonts w:ascii="Garamond" w:hAnsi="Garamond"/>
        </w:rPr>
      </w:pPr>
      <w:bookmarkStart w:id="8" w:name="_Toc334198736"/>
      <w:r w:rsidRPr="7E9C04BA">
        <w:rPr>
          <w:rFonts w:ascii="Garamond" w:hAnsi="Garamond"/>
        </w:rPr>
        <w:t>Acknowledgments</w:t>
      </w:r>
      <w:bookmarkEnd w:id="8"/>
    </w:p>
    <w:p w14:paraId="63F7F341" w14:textId="644C54EB" w:rsidR="37848BF8" w:rsidRDefault="68D13031" w:rsidP="65CB079E">
      <w:pPr>
        <w:spacing w:line="240" w:lineRule="auto"/>
        <w:rPr>
          <w:rFonts w:ascii="Garamond" w:eastAsia="Garamond" w:hAnsi="Garamond" w:cs="Garamond"/>
          <w:color w:val="000000" w:themeColor="text1"/>
        </w:rPr>
      </w:pPr>
      <w:r w:rsidRPr="10D1FD28">
        <w:rPr>
          <w:rFonts w:ascii="Garamond" w:eastAsia="Garamond" w:hAnsi="Garamond" w:cs="Garamond"/>
          <w:color w:val="000000" w:themeColor="text1"/>
        </w:rPr>
        <w:t xml:space="preserve">The team would like to thank everyone involved in the Washington Wildfires project for their support and guidance—especially our science advisors, Madeleine </w:t>
      </w:r>
      <w:proofErr w:type="spellStart"/>
      <w:r w:rsidRPr="10D1FD28">
        <w:rPr>
          <w:rFonts w:ascii="Garamond" w:eastAsia="Garamond" w:hAnsi="Garamond" w:cs="Garamond"/>
          <w:color w:val="000000" w:themeColor="text1"/>
        </w:rPr>
        <w:t>Pascolini</w:t>
      </w:r>
      <w:proofErr w:type="spellEnd"/>
      <w:r w:rsidRPr="10D1FD28">
        <w:rPr>
          <w:rFonts w:ascii="Garamond" w:eastAsia="Garamond" w:hAnsi="Garamond" w:cs="Garamond"/>
          <w:color w:val="000000" w:themeColor="text1"/>
        </w:rPr>
        <w:t xml:space="preserve">-Campbell, Kerry </w:t>
      </w:r>
      <w:proofErr w:type="spellStart"/>
      <w:r w:rsidRPr="10D1FD28">
        <w:rPr>
          <w:rFonts w:ascii="Garamond" w:eastAsia="Garamond" w:hAnsi="Garamond" w:cs="Garamond"/>
          <w:color w:val="000000" w:themeColor="text1"/>
        </w:rPr>
        <w:t>Cawse</w:t>
      </w:r>
      <w:proofErr w:type="spellEnd"/>
      <w:r w:rsidRPr="10D1FD28">
        <w:rPr>
          <w:rFonts w:ascii="Garamond" w:eastAsia="Garamond" w:hAnsi="Garamond" w:cs="Garamond"/>
          <w:color w:val="000000" w:themeColor="text1"/>
        </w:rPr>
        <w:t xml:space="preserve">-Nicholson, and Ben Holt at NASA Jet Propulsion Laboratory, California Institute of Technology, and Erica </w:t>
      </w:r>
      <w:proofErr w:type="spellStart"/>
      <w:r w:rsidRPr="10D1FD28">
        <w:rPr>
          <w:rFonts w:ascii="Garamond" w:eastAsia="Garamond" w:hAnsi="Garamond" w:cs="Garamond"/>
          <w:color w:val="000000" w:themeColor="text1"/>
        </w:rPr>
        <w:t>Carcelén</w:t>
      </w:r>
      <w:proofErr w:type="spellEnd"/>
      <w:r w:rsidRPr="10D1FD28">
        <w:rPr>
          <w:rFonts w:ascii="Garamond" w:eastAsia="Garamond" w:hAnsi="Garamond" w:cs="Garamond"/>
          <w:color w:val="000000" w:themeColor="text1"/>
        </w:rPr>
        <w:t xml:space="preserve">, our NASA DEVELOP JPL Fellow. Special thanks also go to our </w:t>
      </w:r>
      <w:r w:rsidR="48C3D63B" w:rsidRPr="10D1FD28">
        <w:rPr>
          <w:rFonts w:ascii="Garamond" w:eastAsia="Garamond" w:hAnsi="Garamond" w:cs="Garamond"/>
          <w:color w:val="000000" w:themeColor="text1"/>
        </w:rPr>
        <w:t>p</w:t>
      </w:r>
      <w:r w:rsidRPr="10D1FD28">
        <w:rPr>
          <w:rFonts w:ascii="Garamond" w:eastAsia="Garamond" w:hAnsi="Garamond" w:cs="Garamond"/>
          <w:color w:val="000000" w:themeColor="text1"/>
        </w:rPr>
        <w:t xml:space="preserve">roject </w:t>
      </w:r>
      <w:r w:rsidR="62750EE2" w:rsidRPr="10D1FD28">
        <w:rPr>
          <w:rFonts w:ascii="Garamond" w:eastAsia="Garamond" w:hAnsi="Garamond" w:cs="Garamond"/>
          <w:color w:val="000000" w:themeColor="text1"/>
        </w:rPr>
        <w:t>p</w:t>
      </w:r>
      <w:r w:rsidRPr="10D1FD28">
        <w:rPr>
          <w:rFonts w:ascii="Garamond" w:eastAsia="Garamond" w:hAnsi="Garamond" w:cs="Garamond"/>
          <w:color w:val="000000" w:themeColor="text1"/>
        </w:rPr>
        <w:t>artners, Andre Coleman (Senior Research) and Lee Miller (Earth Scientist) from the Pacific Northwest National Laboratory, who provided us with resources and expertise throughout the Summer 2022 term.</w:t>
      </w:r>
    </w:p>
    <w:p w14:paraId="01743774" w14:textId="1E0FFFE6" w:rsidR="37848BF8" w:rsidRDefault="637DDB7B" w:rsidP="5C31A34A">
      <w:pPr>
        <w:spacing w:line="240" w:lineRule="auto"/>
        <w:rPr>
          <w:rFonts w:ascii="Garamond" w:eastAsia="Garamond" w:hAnsi="Garamond" w:cs="Garamond"/>
          <w:color w:val="000000" w:themeColor="text1"/>
        </w:rPr>
      </w:pPr>
      <w:r w:rsidRPr="5C31A34A">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 This material is based upon work supported by NASA through contract NNL16AA05C.</w:t>
      </w:r>
      <w:bookmarkStart w:id="9" w:name="_Toc334198737"/>
    </w:p>
    <w:p w14:paraId="060D2804" w14:textId="3DFD9DC5" w:rsidR="422C0B4F" w:rsidRDefault="46D5E278" w:rsidP="5C31A34A">
      <w:pPr>
        <w:pStyle w:val="Heading1"/>
        <w:spacing w:before="0" w:line="240" w:lineRule="auto"/>
        <w:rPr>
          <w:rFonts w:ascii="Garamond" w:hAnsi="Garamond"/>
        </w:rPr>
      </w:pPr>
      <w:r w:rsidRPr="5C31A34A">
        <w:rPr>
          <w:rFonts w:ascii="Garamond" w:hAnsi="Garamond"/>
        </w:rPr>
        <w:t>7</w:t>
      </w:r>
      <w:r w:rsidR="38AD39E4" w:rsidRPr="5C31A34A">
        <w:rPr>
          <w:rFonts w:ascii="Garamond" w:hAnsi="Garamond"/>
        </w:rPr>
        <w:t xml:space="preserve">. </w:t>
      </w:r>
      <w:r w:rsidR="43CE6732" w:rsidRPr="5C31A34A">
        <w:rPr>
          <w:rFonts w:ascii="Garamond" w:hAnsi="Garamond"/>
        </w:rPr>
        <w:t>Glossary</w:t>
      </w:r>
    </w:p>
    <w:p w14:paraId="3D0EBFA0" w14:textId="3699D5BA" w:rsidR="5C31A34A" w:rsidRDefault="5C31A34A" w:rsidP="5C31A34A">
      <w:pPr>
        <w:spacing w:after="0" w:line="240" w:lineRule="auto"/>
        <w:rPr>
          <w:rFonts w:ascii="Garamond" w:hAnsi="Garamond"/>
          <w:b/>
          <w:bCs/>
        </w:rPr>
      </w:pPr>
    </w:p>
    <w:p w14:paraId="6E92FD86" w14:textId="73785C92" w:rsidR="422C0B4F" w:rsidRDefault="0964FFCB" w:rsidP="422C0B4F">
      <w:pPr>
        <w:spacing w:after="0" w:line="240" w:lineRule="auto"/>
        <w:rPr>
          <w:rFonts w:ascii="Garamond" w:eastAsia="Garamond" w:hAnsi="Garamond" w:cs="Garamond"/>
          <w:color w:val="000000" w:themeColor="text1"/>
        </w:rPr>
      </w:pPr>
      <w:r w:rsidRPr="65CB079E">
        <w:rPr>
          <w:rFonts w:ascii="Garamond" w:hAnsi="Garamond"/>
          <w:b/>
          <w:bCs/>
        </w:rPr>
        <w:t xml:space="preserve">Burn Area Emergency Response (BAER) </w:t>
      </w:r>
      <w:r w:rsidR="3559422B" w:rsidRPr="65CB079E">
        <w:rPr>
          <w:rFonts w:ascii="Garamond" w:eastAsia="Garamond" w:hAnsi="Garamond" w:cs="Garamond"/>
          <w:color w:val="000000" w:themeColor="text1"/>
        </w:rPr>
        <w:t>–</w:t>
      </w:r>
      <w:r w:rsidR="3559422B" w:rsidRPr="65CB079E">
        <w:rPr>
          <w:rFonts w:ascii="Garamond" w:hAnsi="Garamond"/>
          <w:b/>
          <w:bCs/>
        </w:rPr>
        <w:t xml:space="preserve"> </w:t>
      </w:r>
      <w:r w:rsidRPr="65CB079E">
        <w:rPr>
          <w:rFonts w:ascii="Garamond" w:hAnsi="Garamond"/>
          <w:color w:val="000000" w:themeColor="text1"/>
        </w:rPr>
        <w:t xml:space="preserve">a </w:t>
      </w:r>
      <w:r w:rsidRPr="65CB079E">
        <w:rPr>
          <w:rFonts w:ascii="Garamond" w:eastAsia="Garamond" w:hAnsi="Garamond" w:cs="Garamond"/>
          <w:color w:val="000000" w:themeColor="text1"/>
        </w:rPr>
        <w:t>US Forest Service program designed to identify, assess, and manage potential risk to resources on Federal Lands as a result of fire.  Post-fire, BAER is responsible for assessing watershed conditions and producing Burn Area Reflectance Classification (BARC) products, including the Soil Burn Severity Map</w:t>
      </w:r>
    </w:p>
    <w:p w14:paraId="108EBFCC" w14:textId="53B677FA" w:rsidR="5C31A34A" w:rsidRDefault="5C31A34A" w:rsidP="5C31A34A">
      <w:pPr>
        <w:spacing w:after="0" w:line="240" w:lineRule="auto"/>
        <w:rPr>
          <w:rFonts w:ascii="Garamond" w:eastAsia="Garamond" w:hAnsi="Garamond" w:cs="Garamond"/>
          <w:b/>
          <w:bCs/>
          <w:color w:val="000000" w:themeColor="text1"/>
        </w:rPr>
      </w:pPr>
    </w:p>
    <w:p w14:paraId="18CF8D3C" w14:textId="54F87B3A" w:rsidR="422C0B4F" w:rsidRDefault="3559422B" w:rsidP="422C0B4F">
      <w:pPr>
        <w:spacing w:after="0" w:line="240" w:lineRule="auto"/>
        <w:rPr>
          <w:rFonts w:ascii="Garamond" w:eastAsia="Garamond" w:hAnsi="Garamond" w:cs="Garamond"/>
        </w:rPr>
      </w:pPr>
      <w:r w:rsidRPr="5C31A34A">
        <w:rPr>
          <w:rFonts w:ascii="Garamond" w:hAnsi="Garamond"/>
          <w:b/>
          <w:bCs/>
        </w:rPr>
        <w:t xml:space="preserve">Digital Elevation Model (DEM) </w:t>
      </w:r>
      <w:r w:rsidRPr="5C31A34A">
        <w:rPr>
          <w:rFonts w:ascii="Garamond" w:eastAsia="Garamond" w:hAnsi="Garamond" w:cs="Garamond"/>
          <w:color w:val="000000" w:themeColor="text1"/>
        </w:rPr>
        <w:t>–</w:t>
      </w:r>
      <w:r w:rsidRPr="5C31A34A">
        <w:rPr>
          <w:rFonts w:ascii="Garamond" w:hAnsi="Garamond"/>
          <w:b/>
          <w:bCs/>
        </w:rPr>
        <w:t xml:space="preserve"> </w:t>
      </w:r>
      <w:r w:rsidRPr="5C31A34A">
        <w:rPr>
          <w:rFonts w:ascii="Garamond" w:hAnsi="Garamond"/>
        </w:rPr>
        <w:t>a digital representation of bare-ground terrain</w:t>
      </w:r>
    </w:p>
    <w:p w14:paraId="1CD16787" w14:textId="0D068281" w:rsidR="5C31A34A" w:rsidRDefault="5C31A34A" w:rsidP="5C31A34A">
      <w:pPr>
        <w:spacing w:after="0" w:line="240" w:lineRule="auto"/>
        <w:rPr>
          <w:rFonts w:ascii="Garamond" w:hAnsi="Garamond"/>
          <w:b/>
          <w:bCs/>
        </w:rPr>
      </w:pPr>
    </w:p>
    <w:p w14:paraId="6BBC9395" w14:textId="5F62AFA9" w:rsidR="422C0B4F" w:rsidRDefault="534DF870" w:rsidP="5C31A34A">
      <w:pPr>
        <w:spacing w:after="0" w:line="240" w:lineRule="auto"/>
        <w:rPr>
          <w:rFonts w:ascii="Garamond" w:hAnsi="Garamond"/>
        </w:rPr>
      </w:pPr>
      <w:r w:rsidRPr="10D1FD28">
        <w:rPr>
          <w:rFonts w:ascii="Garamond" w:hAnsi="Garamond"/>
          <w:b/>
          <w:bCs/>
        </w:rPr>
        <w:t xml:space="preserve">Earth </w:t>
      </w:r>
      <w:r w:rsidR="3575C314" w:rsidRPr="10D1FD28">
        <w:rPr>
          <w:rFonts w:ascii="Garamond" w:hAnsi="Garamond"/>
          <w:b/>
          <w:bCs/>
        </w:rPr>
        <w:t>o</w:t>
      </w:r>
      <w:r w:rsidRPr="10D1FD28">
        <w:rPr>
          <w:rFonts w:ascii="Garamond" w:hAnsi="Garamond"/>
          <w:b/>
          <w:bCs/>
        </w:rPr>
        <w:t>bservations</w:t>
      </w:r>
      <w:r w:rsidRPr="10D1FD28">
        <w:rPr>
          <w:rFonts w:ascii="Garamond" w:hAnsi="Garamond"/>
        </w:rPr>
        <w:t xml:space="preserve"> </w:t>
      </w:r>
      <w:r w:rsidR="52FD012A" w:rsidRPr="10D1FD28">
        <w:rPr>
          <w:rFonts w:ascii="Garamond" w:eastAsia="Garamond" w:hAnsi="Garamond" w:cs="Garamond"/>
          <w:color w:val="000000" w:themeColor="text1"/>
        </w:rPr>
        <w:t>–</w:t>
      </w:r>
      <w:r w:rsidRPr="10D1FD28">
        <w:rPr>
          <w:rFonts w:ascii="Garamond" w:hAnsi="Garamond"/>
        </w:rPr>
        <w:t xml:space="preserve"> </w:t>
      </w:r>
      <w:r w:rsidR="55887121" w:rsidRPr="10D1FD28">
        <w:rPr>
          <w:rFonts w:ascii="Garamond" w:hAnsi="Garamond"/>
        </w:rPr>
        <w:t>Satellites and sensors that collect information about the Earth’s physical, chemical, and biological systems over space and time</w:t>
      </w:r>
    </w:p>
    <w:p w14:paraId="5F01E347" w14:textId="234621F8" w:rsidR="422C0B4F" w:rsidRDefault="422C0B4F" w:rsidP="5C31A34A">
      <w:pPr>
        <w:spacing w:after="0" w:line="240" w:lineRule="auto"/>
        <w:rPr>
          <w:rFonts w:ascii="Garamond" w:hAnsi="Garamond"/>
          <w:b/>
          <w:bCs/>
        </w:rPr>
      </w:pPr>
    </w:p>
    <w:p w14:paraId="0C05F3ED" w14:textId="1B9C5C0F" w:rsidR="422C0B4F" w:rsidRDefault="3559422B" w:rsidP="422C0B4F">
      <w:pPr>
        <w:spacing w:after="0" w:line="240" w:lineRule="auto"/>
        <w:rPr>
          <w:rFonts w:ascii="Garamond" w:hAnsi="Garamond"/>
          <w:b/>
          <w:bCs/>
        </w:rPr>
      </w:pPr>
      <w:r w:rsidRPr="5C31A34A">
        <w:rPr>
          <w:rFonts w:ascii="Garamond" w:hAnsi="Garamond"/>
          <w:b/>
          <w:bCs/>
        </w:rPr>
        <w:lastRenderedPageBreak/>
        <w:t xml:space="preserve">Ecosystem Spaceborne Thermal Radiometer Experiment on Space Station (ECOSTRESS) </w:t>
      </w:r>
      <w:r w:rsidRPr="5C31A34A">
        <w:rPr>
          <w:rFonts w:ascii="Garamond" w:eastAsia="Garamond" w:hAnsi="Garamond" w:cs="Garamond"/>
          <w:color w:val="000000" w:themeColor="text1"/>
        </w:rPr>
        <w:t>–</w:t>
      </w:r>
      <w:r w:rsidRPr="5C31A34A">
        <w:rPr>
          <w:rFonts w:ascii="Garamond" w:hAnsi="Garamond"/>
          <w:b/>
          <w:bCs/>
        </w:rPr>
        <w:t xml:space="preserve"> </w:t>
      </w:r>
    </w:p>
    <w:p w14:paraId="706E6394" w14:textId="411E794C" w:rsidR="5C31A34A" w:rsidRDefault="5C31A34A" w:rsidP="5C31A34A">
      <w:pPr>
        <w:spacing w:after="0" w:line="240" w:lineRule="auto"/>
        <w:rPr>
          <w:rFonts w:ascii="Garamond" w:eastAsia="Garamond" w:hAnsi="Garamond" w:cs="Garamond"/>
          <w:b/>
          <w:bCs/>
        </w:rPr>
      </w:pPr>
    </w:p>
    <w:p w14:paraId="03DAAF85" w14:textId="180E5760" w:rsidR="422C0B4F" w:rsidRDefault="3559422B" w:rsidP="422C0B4F">
      <w:pPr>
        <w:spacing w:after="0" w:line="240" w:lineRule="auto"/>
        <w:rPr>
          <w:rFonts w:ascii="Garamond" w:eastAsia="Garamond" w:hAnsi="Garamond" w:cs="Garamond"/>
        </w:rPr>
      </w:pPr>
      <w:r w:rsidRPr="5C31A34A">
        <w:rPr>
          <w:rFonts w:ascii="Garamond" w:eastAsia="Garamond" w:hAnsi="Garamond" w:cs="Garamond"/>
          <w:b/>
          <w:bCs/>
        </w:rPr>
        <w:t xml:space="preserve">Evapotranspiration (ET) </w:t>
      </w:r>
      <w:r w:rsidRPr="5C31A34A">
        <w:rPr>
          <w:rFonts w:ascii="Garamond" w:eastAsia="Garamond" w:hAnsi="Garamond" w:cs="Garamond"/>
          <w:color w:val="000000" w:themeColor="text1"/>
        </w:rPr>
        <w:t>–</w:t>
      </w:r>
      <w:r w:rsidRPr="5C31A34A">
        <w:rPr>
          <w:rFonts w:ascii="Garamond" w:eastAsia="Garamond" w:hAnsi="Garamond" w:cs="Garamond"/>
          <w:b/>
          <w:bCs/>
        </w:rPr>
        <w:t xml:space="preserve"> </w:t>
      </w:r>
      <w:r w:rsidRPr="5C31A34A">
        <w:rPr>
          <w:rFonts w:ascii="Garamond" w:eastAsia="Garamond" w:hAnsi="Garamond" w:cs="Garamond"/>
          <w:color w:val="101518"/>
        </w:rPr>
        <w:t>the process by which water is transferred from the land to the atmosphere by evaporation from the soil and other surfaces and by transpiration from plants</w:t>
      </w:r>
    </w:p>
    <w:p w14:paraId="5355E001" w14:textId="6E12CBF7" w:rsidR="5C31A34A" w:rsidRDefault="5C31A34A" w:rsidP="5C31A34A">
      <w:pPr>
        <w:spacing w:after="0" w:line="240" w:lineRule="auto"/>
        <w:rPr>
          <w:rFonts w:ascii="Garamond" w:eastAsia="Garamond" w:hAnsi="Garamond" w:cs="Garamond"/>
          <w:b/>
          <w:bCs/>
          <w:color w:val="101518"/>
        </w:rPr>
      </w:pPr>
    </w:p>
    <w:p w14:paraId="438C8BCE" w14:textId="258E0140" w:rsidR="5C31A34A" w:rsidRDefault="5C31A34A" w:rsidP="5C31A34A">
      <w:pPr>
        <w:spacing w:after="0" w:line="240" w:lineRule="auto"/>
        <w:rPr>
          <w:rFonts w:ascii="Garamond" w:eastAsia="Garamond" w:hAnsi="Garamond" w:cs="Garamond"/>
          <w:b/>
          <w:bCs/>
        </w:rPr>
      </w:pPr>
      <w:r w:rsidRPr="5C31A34A">
        <w:rPr>
          <w:rFonts w:ascii="Garamond" w:eastAsia="Garamond" w:hAnsi="Garamond" w:cs="Garamond"/>
          <w:b/>
          <w:bCs/>
          <w:color w:val="101518"/>
        </w:rPr>
        <w:t>Existing Vegetation Type (EVT)</w:t>
      </w:r>
      <w:r w:rsidR="3559422B" w:rsidRPr="5C31A34A">
        <w:rPr>
          <w:rFonts w:ascii="Garamond" w:eastAsia="Garamond" w:hAnsi="Garamond" w:cs="Garamond"/>
          <w:color w:val="000000" w:themeColor="text1"/>
        </w:rPr>
        <w:t xml:space="preserve"> – represents the current distribution of the terrestrial ecological systems classification, developed by NatureServe for the western hemisphere, through 2016. Describes associations that tend to co-occur within landscapes with similar ecological processes, substrates, and/or environmental gradients</w:t>
      </w:r>
    </w:p>
    <w:p w14:paraId="21C627D1" w14:textId="48D8FAED" w:rsidR="5C31A34A" w:rsidRDefault="5C31A34A" w:rsidP="5C31A34A">
      <w:pPr>
        <w:spacing w:after="0" w:line="240" w:lineRule="auto"/>
        <w:rPr>
          <w:rFonts w:ascii="Garamond" w:hAnsi="Garamond"/>
          <w:b/>
          <w:bCs/>
        </w:rPr>
      </w:pPr>
    </w:p>
    <w:p w14:paraId="60526826" w14:textId="4C415450" w:rsidR="422C0B4F" w:rsidRDefault="3559422B" w:rsidP="5C31A34A">
      <w:pPr>
        <w:spacing w:after="0" w:line="240" w:lineRule="auto"/>
        <w:rPr>
          <w:rFonts w:ascii="Garamond" w:hAnsi="Garamond"/>
        </w:rPr>
      </w:pPr>
      <w:r w:rsidRPr="5C31A34A">
        <w:rPr>
          <w:rFonts w:ascii="Garamond" w:hAnsi="Garamond"/>
          <w:b/>
          <w:bCs/>
        </w:rPr>
        <w:t>Global Ecosystem Dynamics Investigation (GEDI)</w:t>
      </w:r>
      <w:r w:rsidRPr="5C31A34A">
        <w:rPr>
          <w:rFonts w:ascii="Garamond" w:hAnsi="Garamond"/>
        </w:rPr>
        <w:t xml:space="preserve"> </w:t>
      </w:r>
      <w:r w:rsidRPr="5C31A34A">
        <w:rPr>
          <w:rFonts w:ascii="Garamond" w:eastAsia="Garamond" w:hAnsi="Garamond" w:cs="Garamond"/>
          <w:color w:val="000000" w:themeColor="text1"/>
        </w:rPr>
        <w:t>–</w:t>
      </w:r>
      <w:r w:rsidRPr="5C31A34A">
        <w:rPr>
          <w:rFonts w:ascii="Garamond" w:hAnsi="Garamond"/>
        </w:rPr>
        <w:t xml:space="preserve"> a full-waveform lidar instrument on the International Space Station (ISS) to provide detailed measurements of ecosystem structure.  GEDI can measure canopy height, canopy vertical structure, surface elevation, and vegetation biomass</w:t>
      </w:r>
    </w:p>
    <w:p w14:paraId="33EB6AC4" w14:textId="541DACF6" w:rsidR="5C31A34A" w:rsidRDefault="5C31A34A" w:rsidP="5C31A34A">
      <w:pPr>
        <w:spacing w:after="0" w:line="240" w:lineRule="auto"/>
        <w:rPr>
          <w:rFonts w:ascii="Garamond" w:hAnsi="Garamond"/>
          <w:b/>
          <w:bCs/>
        </w:rPr>
      </w:pPr>
    </w:p>
    <w:p w14:paraId="78258665" w14:textId="43F23B06" w:rsidR="422C0B4F" w:rsidRDefault="7CA36E44" w:rsidP="5C31A34A">
      <w:pPr>
        <w:spacing w:after="0" w:line="240" w:lineRule="auto"/>
        <w:rPr>
          <w:rFonts w:ascii="Garamond" w:eastAsia="Garamond" w:hAnsi="Garamond" w:cs="Garamond"/>
          <w:color w:val="000000" w:themeColor="text1"/>
        </w:rPr>
      </w:pPr>
      <w:r w:rsidRPr="5C31A34A">
        <w:rPr>
          <w:rFonts w:ascii="Garamond" w:hAnsi="Garamond"/>
          <w:b/>
          <w:bCs/>
        </w:rPr>
        <w:t>Moderate</w:t>
      </w:r>
      <w:r w:rsidR="43CE6732" w:rsidRPr="5C31A34A">
        <w:rPr>
          <w:rFonts w:ascii="Garamond" w:hAnsi="Garamond"/>
          <w:b/>
          <w:bCs/>
        </w:rPr>
        <w:t xml:space="preserve"> </w:t>
      </w:r>
      <w:r w:rsidR="11B10599" w:rsidRPr="5C31A34A">
        <w:rPr>
          <w:rFonts w:ascii="Garamond" w:hAnsi="Garamond"/>
          <w:b/>
          <w:bCs/>
        </w:rPr>
        <w:t>R</w:t>
      </w:r>
      <w:r w:rsidR="43CE6732" w:rsidRPr="5C31A34A">
        <w:rPr>
          <w:rFonts w:ascii="Garamond" w:hAnsi="Garamond"/>
          <w:b/>
          <w:bCs/>
        </w:rPr>
        <w:t>esolution Imaging Spectroradiometer</w:t>
      </w:r>
      <w:r w:rsidR="6A70CED2" w:rsidRPr="5C31A34A">
        <w:rPr>
          <w:rFonts w:ascii="Garamond" w:hAnsi="Garamond"/>
          <w:b/>
          <w:bCs/>
        </w:rPr>
        <w:t xml:space="preserve"> (M</w:t>
      </w:r>
      <w:r w:rsidR="43CE6732" w:rsidRPr="5C31A34A">
        <w:rPr>
          <w:rFonts w:ascii="Garamond" w:hAnsi="Garamond"/>
          <w:b/>
          <w:bCs/>
        </w:rPr>
        <w:t xml:space="preserve">ODIS) </w:t>
      </w:r>
      <w:r w:rsidR="3559422B" w:rsidRPr="5C31A34A">
        <w:rPr>
          <w:rFonts w:ascii="Garamond" w:eastAsia="Garamond" w:hAnsi="Garamond" w:cs="Garamond"/>
          <w:color w:val="000000" w:themeColor="text1"/>
        </w:rPr>
        <w:t>–</w:t>
      </w:r>
      <w:r w:rsidR="43CE6732" w:rsidRPr="5C31A34A">
        <w:rPr>
          <w:rFonts w:ascii="Garamond" w:hAnsi="Garamond"/>
          <w:b/>
          <w:bCs/>
        </w:rPr>
        <w:t xml:space="preserve"> </w:t>
      </w:r>
      <w:r w:rsidR="43CE6732" w:rsidRPr="5C31A34A">
        <w:rPr>
          <w:rFonts w:ascii="Garamond" w:hAnsi="Garamond"/>
        </w:rPr>
        <w:t>an instrument that operates aboard Terra and Aqua satellites to acquire data in 36 bands at 250 m, 500 m, and 1,000 m resolution</w:t>
      </w:r>
    </w:p>
    <w:p w14:paraId="517CA63C" w14:textId="46122D40" w:rsidR="5C31A34A" w:rsidRDefault="5C31A34A" w:rsidP="5C31A34A">
      <w:pPr>
        <w:spacing w:after="0" w:line="240" w:lineRule="auto"/>
        <w:rPr>
          <w:rFonts w:ascii="Garamond" w:hAnsi="Garamond"/>
          <w:b/>
          <w:bCs/>
        </w:rPr>
      </w:pPr>
    </w:p>
    <w:p w14:paraId="42251922" w14:textId="03C0305D" w:rsidR="422C0B4F" w:rsidRDefault="3559422B" w:rsidP="422C0B4F">
      <w:pPr>
        <w:spacing w:after="0" w:line="240" w:lineRule="auto"/>
        <w:rPr>
          <w:rFonts w:ascii="Garamond" w:eastAsia="Garamond" w:hAnsi="Garamond" w:cs="Garamond"/>
        </w:rPr>
      </w:pPr>
      <w:r w:rsidRPr="5C31A34A">
        <w:rPr>
          <w:rFonts w:ascii="Garamond" w:hAnsi="Garamond"/>
          <w:b/>
          <w:bCs/>
        </w:rPr>
        <w:t>National Land Cover Database</w:t>
      </w:r>
      <w:r w:rsidRPr="5C31A34A">
        <w:rPr>
          <w:rFonts w:ascii="Garamond" w:hAnsi="Garamond"/>
        </w:rPr>
        <w:t xml:space="preserve"> </w:t>
      </w:r>
      <w:r w:rsidRPr="5C31A34A">
        <w:rPr>
          <w:rFonts w:ascii="Garamond" w:hAnsi="Garamond"/>
          <w:b/>
          <w:bCs/>
        </w:rPr>
        <w:t xml:space="preserve">(NLCD) </w:t>
      </w:r>
      <w:r w:rsidRPr="5C31A34A">
        <w:rPr>
          <w:rFonts w:ascii="Garamond" w:eastAsia="Garamond" w:hAnsi="Garamond" w:cs="Garamond"/>
          <w:color w:val="000000" w:themeColor="text1"/>
        </w:rPr>
        <w:t>–</w:t>
      </w:r>
      <w:r w:rsidRPr="5C31A34A">
        <w:rPr>
          <w:rFonts w:ascii="Garamond" w:hAnsi="Garamond"/>
        </w:rPr>
        <w:t xml:space="preserve"> </w:t>
      </w:r>
      <w:r w:rsidRPr="5C31A34A">
        <w:rPr>
          <w:rFonts w:ascii="Garamond" w:eastAsia="Garamond" w:hAnsi="Garamond" w:cs="Garamond"/>
          <w:color w:val="171717"/>
        </w:rPr>
        <w:t>provides nationwide data on land cover and land cover change at the Landsat Thematic Mapper (TM) 30-meter resolution</w:t>
      </w:r>
    </w:p>
    <w:p w14:paraId="62CE1FB9" w14:textId="4E24398A" w:rsidR="5C31A34A" w:rsidRDefault="5C31A34A" w:rsidP="5C31A34A">
      <w:pPr>
        <w:spacing w:after="0" w:line="240" w:lineRule="auto"/>
        <w:rPr>
          <w:rFonts w:ascii="Garamond" w:eastAsia="Garamond" w:hAnsi="Garamond" w:cs="Garamond"/>
          <w:b/>
          <w:bCs/>
          <w:color w:val="000000" w:themeColor="text1"/>
        </w:rPr>
      </w:pPr>
    </w:p>
    <w:p w14:paraId="229CBB88" w14:textId="72C695AC" w:rsidR="1469DDCF" w:rsidRDefault="52FD012A" w:rsidP="5C31A34A">
      <w:pPr>
        <w:spacing w:after="0" w:line="240" w:lineRule="auto"/>
        <w:rPr>
          <w:rFonts w:ascii="Garamond" w:eastAsia="Garamond" w:hAnsi="Garamond" w:cs="Garamond"/>
          <w:color w:val="000000" w:themeColor="text1"/>
        </w:rPr>
      </w:pPr>
      <w:r w:rsidRPr="10D1FD28">
        <w:rPr>
          <w:rFonts w:ascii="Garamond" w:eastAsia="Garamond" w:hAnsi="Garamond" w:cs="Garamond"/>
          <w:b/>
          <w:bCs/>
          <w:color w:val="000000" w:themeColor="text1"/>
        </w:rPr>
        <w:t xml:space="preserve">Soil </w:t>
      </w:r>
      <w:proofErr w:type="gramStart"/>
      <w:r w:rsidR="5E8EF01D" w:rsidRPr="10D1FD28">
        <w:rPr>
          <w:rFonts w:ascii="Garamond" w:eastAsia="Garamond" w:hAnsi="Garamond" w:cs="Garamond"/>
          <w:b/>
          <w:bCs/>
          <w:color w:val="000000" w:themeColor="text1"/>
        </w:rPr>
        <w:t>b</w:t>
      </w:r>
      <w:r w:rsidRPr="10D1FD28">
        <w:rPr>
          <w:rFonts w:ascii="Garamond" w:eastAsia="Garamond" w:hAnsi="Garamond" w:cs="Garamond"/>
          <w:b/>
          <w:bCs/>
          <w:color w:val="000000" w:themeColor="text1"/>
        </w:rPr>
        <w:t>urn</w:t>
      </w:r>
      <w:proofErr w:type="gramEnd"/>
      <w:r w:rsidRPr="10D1FD28">
        <w:rPr>
          <w:rFonts w:ascii="Garamond" w:eastAsia="Garamond" w:hAnsi="Garamond" w:cs="Garamond"/>
          <w:b/>
          <w:bCs/>
          <w:color w:val="000000" w:themeColor="text1"/>
        </w:rPr>
        <w:t xml:space="preserve"> </w:t>
      </w:r>
      <w:r w:rsidR="4669341B" w:rsidRPr="10D1FD28">
        <w:rPr>
          <w:rFonts w:ascii="Garamond" w:eastAsia="Garamond" w:hAnsi="Garamond" w:cs="Garamond"/>
          <w:b/>
          <w:bCs/>
          <w:color w:val="000000" w:themeColor="text1"/>
        </w:rPr>
        <w:t>s</w:t>
      </w:r>
      <w:r w:rsidRPr="10D1FD28">
        <w:rPr>
          <w:rFonts w:ascii="Garamond" w:eastAsia="Garamond" w:hAnsi="Garamond" w:cs="Garamond"/>
          <w:b/>
          <w:bCs/>
          <w:color w:val="000000" w:themeColor="text1"/>
        </w:rPr>
        <w:t>everity</w:t>
      </w:r>
      <w:r w:rsidR="5193E633" w:rsidRPr="10D1FD28">
        <w:rPr>
          <w:rFonts w:ascii="Garamond" w:eastAsia="Garamond" w:hAnsi="Garamond" w:cs="Garamond"/>
          <w:b/>
          <w:bCs/>
          <w:color w:val="000000" w:themeColor="text1"/>
        </w:rPr>
        <w:t xml:space="preserve"> (SBS)</w:t>
      </w:r>
      <w:r w:rsidRPr="10D1FD28">
        <w:rPr>
          <w:rFonts w:ascii="Garamond" w:eastAsia="Garamond" w:hAnsi="Garamond" w:cs="Garamond"/>
          <w:color w:val="000000" w:themeColor="text1"/>
        </w:rPr>
        <w:t xml:space="preserve"> – the damage done to vegetation and soil from wildfire</w:t>
      </w:r>
    </w:p>
    <w:p w14:paraId="57339096" w14:textId="1955A220" w:rsidR="1469DDCF" w:rsidRDefault="1469DDCF" w:rsidP="5C31A34A">
      <w:pPr>
        <w:spacing w:after="0" w:line="240" w:lineRule="auto"/>
        <w:rPr>
          <w:rFonts w:ascii="Garamond" w:hAnsi="Garamond" w:cs="Arial"/>
          <w:b/>
          <w:bCs/>
        </w:rPr>
      </w:pPr>
    </w:p>
    <w:p w14:paraId="032F3FDB" w14:textId="0E6D9063" w:rsidR="1469DDCF" w:rsidRDefault="2E679B0D" w:rsidP="422C0B4F">
      <w:pPr>
        <w:spacing w:after="0" w:line="240" w:lineRule="auto"/>
        <w:rPr>
          <w:rFonts w:ascii="Garamond" w:hAnsi="Garamond"/>
        </w:rPr>
      </w:pPr>
      <w:r w:rsidRPr="5C31A34A">
        <w:rPr>
          <w:rFonts w:ascii="Garamond" w:hAnsi="Garamond" w:cs="Arial"/>
          <w:b/>
          <w:bCs/>
        </w:rPr>
        <w:t xml:space="preserve">Shuttle Radar Topography Mission (SRTM) </w:t>
      </w:r>
      <w:r w:rsidR="3559422B" w:rsidRPr="5C31A34A">
        <w:rPr>
          <w:rFonts w:ascii="Garamond" w:eastAsia="Garamond" w:hAnsi="Garamond" w:cs="Garamond"/>
          <w:color w:val="000000" w:themeColor="text1"/>
        </w:rPr>
        <w:t>–</w:t>
      </w:r>
      <w:r w:rsidRPr="5C31A34A">
        <w:rPr>
          <w:rFonts w:ascii="Garamond" w:hAnsi="Garamond" w:cs="Arial"/>
          <w:b/>
          <w:bCs/>
        </w:rPr>
        <w:t xml:space="preserve"> </w:t>
      </w:r>
      <w:r w:rsidR="3559422B" w:rsidRPr="5C31A34A">
        <w:rPr>
          <w:rFonts w:ascii="Garamond" w:hAnsi="Garamond"/>
        </w:rPr>
        <w:t>a synthetic aperture radar that obtained high resolution elevation data during an 11-day mission aboard the Space Shuttle Endeavour in February of 2000</w:t>
      </w:r>
    </w:p>
    <w:p w14:paraId="2FCB875F" w14:textId="631B8E66" w:rsidR="5C31A34A" w:rsidRDefault="5C31A34A" w:rsidP="5C31A34A">
      <w:pPr>
        <w:spacing w:after="0" w:line="240" w:lineRule="auto"/>
        <w:rPr>
          <w:rFonts w:ascii="Garamond" w:hAnsi="Garamond"/>
          <w:b/>
          <w:bCs/>
        </w:rPr>
      </w:pPr>
    </w:p>
    <w:p w14:paraId="67BF16D4" w14:textId="1F61D31E" w:rsidR="36524CC5" w:rsidRDefault="3CA47322" w:rsidP="5C31A34A">
      <w:pPr>
        <w:spacing w:after="0" w:line="240" w:lineRule="auto"/>
        <w:rPr>
          <w:rFonts w:ascii="Garamond" w:eastAsia="Garamond" w:hAnsi="Garamond" w:cs="Garamond"/>
          <w:b/>
          <w:bCs/>
          <w:color w:val="000000" w:themeColor="text1"/>
        </w:rPr>
      </w:pPr>
      <w:r w:rsidRPr="10D1FD28">
        <w:rPr>
          <w:rFonts w:ascii="Garamond" w:hAnsi="Garamond"/>
          <w:b/>
          <w:bCs/>
        </w:rPr>
        <w:t xml:space="preserve">Water </w:t>
      </w:r>
      <w:r w:rsidR="791FC7D6" w:rsidRPr="10D1FD28">
        <w:rPr>
          <w:rFonts w:ascii="Garamond" w:hAnsi="Garamond"/>
          <w:b/>
          <w:bCs/>
        </w:rPr>
        <w:t>u</w:t>
      </w:r>
      <w:r w:rsidRPr="10D1FD28">
        <w:rPr>
          <w:rFonts w:ascii="Garamond" w:hAnsi="Garamond"/>
          <w:b/>
          <w:bCs/>
        </w:rPr>
        <w:t xml:space="preserve">se </w:t>
      </w:r>
      <w:r w:rsidR="3B31D791" w:rsidRPr="10D1FD28">
        <w:rPr>
          <w:rFonts w:ascii="Garamond" w:hAnsi="Garamond"/>
          <w:b/>
          <w:bCs/>
        </w:rPr>
        <w:t>e</w:t>
      </w:r>
      <w:r w:rsidRPr="10D1FD28">
        <w:rPr>
          <w:rFonts w:ascii="Garamond" w:hAnsi="Garamond"/>
          <w:b/>
          <w:bCs/>
        </w:rPr>
        <w:t>fficiency (WUE)</w:t>
      </w:r>
      <w:r w:rsidRPr="10D1FD28">
        <w:rPr>
          <w:rFonts w:ascii="Garamond" w:hAnsi="Garamond"/>
        </w:rPr>
        <w:t xml:space="preserve"> </w:t>
      </w:r>
      <w:r w:rsidR="52FD012A" w:rsidRPr="10D1FD28">
        <w:rPr>
          <w:rFonts w:ascii="Garamond" w:eastAsia="Garamond" w:hAnsi="Garamond" w:cs="Garamond"/>
          <w:color w:val="000000" w:themeColor="text1"/>
        </w:rPr>
        <w:t>– a ratio of carbon stored by plants to water evaporated by plants and the ratio is given as grams of carbon stored per kilogram of water evaporated over the course of the day</w:t>
      </w:r>
    </w:p>
    <w:p w14:paraId="00E0B8C0" w14:textId="77777777" w:rsidR="0056152E" w:rsidRPr="00040AE0" w:rsidRDefault="0056152E" w:rsidP="0066138C">
      <w:pPr>
        <w:pStyle w:val="Heading1"/>
        <w:spacing w:before="0" w:line="240" w:lineRule="auto"/>
        <w:rPr>
          <w:rFonts w:ascii="Garamond" w:hAnsi="Garamond"/>
          <w:sz w:val="22"/>
        </w:rPr>
      </w:pPr>
    </w:p>
    <w:p w14:paraId="21E4AF7C" w14:textId="395FD298" w:rsidR="37848BF8" w:rsidRDefault="072C2169" w:rsidP="5C31A34A">
      <w:pPr>
        <w:pStyle w:val="Heading1"/>
        <w:spacing w:before="0" w:line="240" w:lineRule="auto"/>
        <w:rPr>
          <w:rFonts w:ascii="Garamond" w:hAnsi="Garamond"/>
        </w:rPr>
      </w:pPr>
      <w:r w:rsidRPr="5C31A34A">
        <w:rPr>
          <w:rFonts w:ascii="Garamond" w:hAnsi="Garamond"/>
        </w:rPr>
        <w:t xml:space="preserve">8. </w:t>
      </w:r>
      <w:r w:rsidR="790D224F" w:rsidRPr="5C31A34A">
        <w:rPr>
          <w:rFonts w:ascii="Garamond" w:hAnsi="Garamond"/>
        </w:rPr>
        <w:t>References</w:t>
      </w:r>
      <w:bookmarkEnd w:id="9"/>
    </w:p>
    <w:p w14:paraId="72300BAE" w14:textId="57FFCF09" w:rsidR="5C31A34A" w:rsidRDefault="5C31A34A" w:rsidP="5C31A34A">
      <w:pPr>
        <w:spacing w:after="0" w:line="240" w:lineRule="auto"/>
        <w:ind w:left="720" w:hanging="720"/>
        <w:rPr>
          <w:rFonts w:ascii="Garamond" w:eastAsia="Garamond" w:hAnsi="Garamond" w:cs="Garamond"/>
        </w:rPr>
      </w:pPr>
    </w:p>
    <w:p w14:paraId="1BBEE834" w14:textId="0A507C64" w:rsidR="2E679B0D" w:rsidRDefault="6A4E2249" w:rsidP="5C31A34A">
      <w:pPr>
        <w:spacing w:after="0" w:line="240" w:lineRule="auto"/>
        <w:ind w:left="720" w:hanging="720"/>
        <w:rPr>
          <w:rFonts w:ascii="Garamond" w:eastAsia="Garamond" w:hAnsi="Garamond" w:cs="Garamond"/>
        </w:rPr>
      </w:pPr>
      <w:proofErr w:type="spellStart"/>
      <w:r w:rsidRPr="7E9C04BA">
        <w:rPr>
          <w:rFonts w:ascii="Garamond" w:eastAsia="Garamond" w:hAnsi="Garamond" w:cs="Garamond"/>
        </w:rPr>
        <w:t>Abatzoglou</w:t>
      </w:r>
      <w:proofErr w:type="spellEnd"/>
      <w:r w:rsidRPr="7E9C04BA">
        <w:rPr>
          <w:rFonts w:ascii="Garamond" w:eastAsia="Garamond" w:hAnsi="Garamond" w:cs="Garamond"/>
        </w:rPr>
        <w:t xml:space="preserve">, J. T., &amp; Williams, A. P. (2016). Impact of anthropogenic climate change on wildfire across    western US forests. </w:t>
      </w:r>
      <w:r w:rsidRPr="7E9C04BA">
        <w:rPr>
          <w:rFonts w:ascii="Garamond" w:eastAsia="Garamond" w:hAnsi="Garamond" w:cs="Garamond"/>
          <w:i/>
          <w:iCs/>
        </w:rPr>
        <w:t>Proceedings of the National Academy of Sciences</w:t>
      </w:r>
      <w:r w:rsidRPr="7E9C04BA">
        <w:rPr>
          <w:rFonts w:ascii="Garamond" w:eastAsia="Garamond" w:hAnsi="Garamond" w:cs="Garamond"/>
        </w:rPr>
        <w:t xml:space="preserve">, </w:t>
      </w:r>
      <w:r w:rsidRPr="00E27AC4">
        <w:rPr>
          <w:rFonts w:ascii="Garamond" w:eastAsia="Garamond" w:hAnsi="Garamond" w:cs="Garamond"/>
          <w:i/>
          <w:iCs/>
        </w:rPr>
        <w:t>113</w:t>
      </w:r>
      <w:r w:rsidRPr="7E9C04BA">
        <w:rPr>
          <w:rFonts w:ascii="Garamond" w:eastAsia="Garamond" w:hAnsi="Garamond" w:cs="Garamond"/>
        </w:rPr>
        <w:t>(42), 11770</w:t>
      </w:r>
      <w:r w:rsidR="0964FFCB" w:rsidRPr="7E9C04BA">
        <w:rPr>
          <w:rFonts w:ascii="Garamond" w:eastAsia="Garamond" w:hAnsi="Garamond" w:cs="Garamond"/>
        </w:rPr>
        <w:t>–</w:t>
      </w:r>
      <w:r w:rsidRPr="7E9C04BA">
        <w:rPr>
          <w:rFonts w:ascii="Garamond" w:eastAsia="Garamond" w:hAnsi="Garamond" w:cs="Garamond"/>
        </w:rPr>
        <w:t>11775.</w:t>
      </w:r>
      <w:r w:rsidR="2E679B0D">
        <w:tab/>
      </w:r>
      <w:hyperlink r:id="rId19">
        <w:r w:rsidR="566BDD39" w:rsidRPr="7E9C04BA">
          <w:rPr>
            <w:rStyle w:val="Hyperlink"/>
            <w:rFonts w:ascii="Garamond" w:eastAsia="Garamond" w:hAnsi="Garamond" w:cs="Garamond"/>
            <w:color w:val="auto"/>
            <w:u w:val="none"/>
          </w:rPr>
          <w:t>https://doi.org/10.1073/pnas.1607171113</w:t>
        </w:r>
      </w:hyperlink>
    </w:p>
    <w:p w14:paraId="0026DF2C" w14:textId="75F2CBAA" w:rsidR="7E9C04BA" w:rsidRDefault="7E9C04BA" w:rsidP="7E9C04BA">
      <w:pPr>
        <w:spacing w:after="0" w:line="240" w:lineRule="auto"/>
        <w:ind w:left="720" w:hanging="720"/>
        <w:rPr>
          <w:rFonts w:ascii="Garamond" w:eastAsia="Garamond" w:hAnsi="Garamond" w:cs="Garamond"/>
        </w:rPr>
      </w:pPr>
    </w:p>
    <w:p w14:paraId="33A37587" w14:textId="5A9853B4" w:rsidR="5C31A34A" w:rsidRDefault="5C31A34A"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Berry, D. A., &amp; Ayers, G. D. (2006). Symmetrized percent change for treatment comparisons. </w:t>
      </w:r>
      <w:r w:rsidRPr="5C31A34A">
        <w:rPr>
          <w:rFonts w:ascii="Garamond" w:eastAsia="Garamond" w:hAnsi="Garamond" w:cs="Garamond"/>
          <w:i/>
          <w:iCs/>
        </w:rPr>
        <w:t>The American Statistician</w:t>
      </w:r>
      <w:r w:rsidRPr="5C31A34A">
        <w:rPr>
          <w:rFonts w:ascii="Garamond" w:eastAsia="Garamond" w:hAnsi="Garamond" w:cs="Garamond"/>
        </w:rPr>
        <w:t xml:space="preserve">, </w:t>
      </w:r>
      <w:r w:rsidRPr="5C31A34A">
        <w:rPr>
          <w:rFonts w:ascii="Garamond" w:eastAsia="Garamond" w:hAnsi="Garamond" w:cs="Garamond"/>
          <w:i/>
          <w:iCs/>
        </w:rPr>
        <w:t>60</w:t>
      </w:r>
      <w:r w:rsidRPr="5C31A34A">
        <w:rPr>
          <w:rFonts w:ascii="Garamond" w:eastAsia="Garamond" w:hAnsi="Garamond" w:cs="Garamond"/>
        </w:rPr>
        <w:t xml:space="preserve">(1), 27-31. </w:t>
      </w:r>
      <w:hyperlink r:id="rId20">
        <w:r w:rsidRPr="5C31A34A">
          <w:rPr>
            <w:rStyle w:val="Hyperlink"/>
            <w:rFonts w:ascii="Garamond" w:eastAsia="Garamond" w:hAnsi="Garamond" w:cs="Garamond"/>
            <w:color w:val="auto"/>
            <w:u w:val="none"/>
          </w:rPr>
          <w:t>https://doi.org/10.1080/03610910802506648</w:t>
        </w:r>
      </w:hyperlink>
    </w:p>
    <w:p w14:paraId="4A6EEB25" w14:textId="38DF4AC7" w:rsidR="5C31A34A" w:rsidRDefault="5C31A34A" w:rsidP="5C31A34A">
      <w:pPr>
        <w:spacing w:after="0" w:line="240" w:lineRule="auto"/>
        <w:rPr>
          <w:rFonts w:ascii="Garamond" w:eastAsia="Garamond" w:hAnsi="Garamond" w:cs="Garamond"/>
        </w:rPr>
      </w:pPr>
    </w:p>
    <w:p w14:paraId="39F0B93F" w14:textId="00D76779" w:rsidR="7A028EE4" w:rsidRDefault="0964FFCB" w:rsidP="5C31A34A">
      <w:pPr>
        <w:spacing w:after="0" w:line="240" w:lineRule="auto"/>
        <w:ind w:left="720" w:hanging="720"/>
        <w:rPr>
          <w:rFonts w:ascii="Garamond" w:eastAsia="Garamond" w:hAnsi="Garamond" w:cs="Garamond"/>
        </w:rPr>
      </w:pPr>
      <w:r w:rsidRPr="7E9C04BA">
        <w:rPr>
          <w:rFonts w:ascii="Garamond" w:eastAsia="Garamond" w:hAnsi="Garamond" w:cs="Garamond"/>
        </w:rPr>
        <w:t xml:space="preserve">Coen, J. L., Stavros, E. N., &amp; </w:t>
      </w:r>
      <w:proofErr w:type="spellStart"/>
      <w:r w:rsidRPr="7E9C04BA">
        <w:rPr>
          <w:rFonts w:ascii="Garamond" w:eastAsia="Garamond" w:hAnsi="Garamond" w:cs="Garamond"/>
        </w:rPr>
        <w:t>Fites</w:t>
      </w:r>
      <w:proofErr w:type="spellEnd"/>
      <w:r w:rsidRPr="7E9C04BA">
        <w:rPr>
          <w:rFonts w:ascii="Garamond" w:eastAsia="Garamond" w:hAnsi="Garamond" w:cs="Garamond"/>
        </w:rPr>
        <w:t xml:space="preserve">‐Kaufman, J. A. (2018). Deconstructing the King megafire. </w:t>
      </w:r>
      <w:r w:rsidRPr="7E9C04BA">
        <w:rPr>
          <w:rFonts w:ascii="Garamond" w:eastAsia="Garamond" w:hAnsi="Garamond" w:cs="Garamond"/>
          <w:i/>
          <w:iCs/>
        </w:rPr>
        <w:t>Ecological applications</w:t>
      </w:r>
      <w:r w:rsidRPr="00E27AC4">
        <w:rPr>
          <w:rFonts w:ascii="Garamond" w:eastAsia="Garamond" w:hAnsi="Garamond" w:cs="Garamond"/>
        </w:rPr>
        <w:t xml:space="preserve">, </w:t>
      </w:r>
      <w:r w:rsidRPr="7E9C04BA">
        <w:rPr>
          <w:rFonts w:ascii="Garamond" w:eastAsia="Garamond" w:hAnsi="Garamond" w:cs="Garamond"/>
          <w:i/>
          <w:iCs/>
        </w:rPr>
        <w:t>28</w:t>
      </w:r>
      <w:r w:rsidRPr="00E27AC4">
        <w:rPr>
          <w:rFonts w:ascii="Garamond" w:eastAsia="Garamond" w:hAnsi="Garamond" w:cs="Garamond"/>
        </w:rPr>
        <w:t>(6)</w:t>
      </w:r>
      <w:r w:rsidRPr="7E9C04BA">
        <w:rPr>
          <w:rFonts w:ascii="Garamond" w:eastAsia="Garamond" w:hAnsi="Garamond" w:cs="Garamond"/>
        </w:rPr>
        <w:t xml:space="preserve">, 1565–1580. </w:t>
      </w:r>
      <w:hyperlink r:id="rId21">
        <w:r w:rsidR="566BDD39" w:rsidRPr="7E9C04BA">
          <w:rPr>
            <w:rStyle w:val="Hyperlink"/>
            <w:rFonts w:ascii="Garamond" w:eastAsia="Garamond" w:hAnsi="Garamond" w:cs="Garamond"/>
            <w:color w:val="auto"/>
            <w:u w:val="none"/>
          </w:rPr>
          <w:t>https://doi.org/10.1002/eap.1752</w:t>
        </w:r>
      </w:hyperlink>
    </w:p>
    <w:p w14:paraId="37EAB955" w14:textId="52772B8A" w:rsidR="7E9C04BA" w:rsidRDefault="7E9C04BA" w:rsidP="7E9C04BA">
      <w:pPr>
        <w:spacing w:after="0" w:line="240" w:lineRule="auto"/>
        <w:ind w:left="720" w:hanging="720"/>
        <w:rPr>
          <w:rFonts w:ascii="Roboto" w:eastAsia="Roboto" w:hAnsi="Roboto" w:cs="Roboto"/>
          <w:color w:val="2E414F"/>
          <w:sz w:val="21"/>
          <w:szCs w:val="21"/>
        </w:rPr>
      </w:pPr>
    </w:p>
    <w:p w14:paraId="25148A84" w14:textId="32575797" w:rsidR="7E9C04BA" w:rsidRDefault="7E9C04BA" w:rsidP="7E9C04BA">
      <w:pPr>
        <w:spacing w:after="0" w:line="240" w:lineRule="auto"/>
        <w:ind w:left="720" w:hanging="720"/>
        <w:rPr>
          <w:rFonts w:ascii="Garamond" w:eastAsia="Garamond" w:hAnsi="Garamond" w:cs="Garamond"/>
          <w:i/>
          <w:iCs/>
          <w:color w:val="000000" w:themeColor="text1"/>
        </w:rPr>
      </w:pPr>
      <w:proofErr w:type="spellStart"/>
      <w:r w:rsidRPr="7E9C04BA">
        <w:rPr>
          <w:rFonts w:ascii="Garamond" w:eastAsia="Garamond" w:hAnsi="Garamond" w:cs="Garamond"/>
          <w:color w:val="000000" w:themeColor="text1"/>
        </w:rPr>
        <w:t>Dehum</w:t>
      </w:r>
      <w:proofErr w:type="spellEnd"/>
      <w:r w:rsidRPr="7E9C04BA">
        <w:rPr>
          <w:rFonts w:ascii="Garamond" w:eastAsia="Garamond" w:hAnsi="Garamond" w:cs="Garamond"/>
          <w:color w:val="000000" w:themeColor="text1"/>
        </w:rPr>
        <w:t xml:space="preserve">, S.M. (2015). Spatial analysis and modelling of fire severity and vegetation recovery on and around Mt Cooke, south-western Australia. </w:t>
      </w:r>
      <w:r w:rsidRPr="7E9C04BA">
        <w:rPr>
          <w:rFonts w:ascii="Garamond" w:eastAsia="Garamond" w:hAnsi="Garamond" w:cs="Garamond"/>
          <w:i/>
          <w:iCs/>
          <w:color w:val="000000" w:themeColor="text1"/>
        </w:rPr>
        <w:t xml:space="preserve">Environmental Science. </w:t>
      </w:r>
    </w:p>
    <w:p w14:paraId="4A3EAD19" w14:textId="451D0681" w:rsidR="7E9C04BA" w:rsidRDefault="7E9C04BA" w:rsidP="7E9C04BA">
      <w:pPr>
        <w:spacing w:after="0" w:line="240" w:lineRule="auto"/>
        <w:rPr>
          <w:rFonts w:ascii="Roboto" w:eastAsia="Roboto" w:hAnsi="Roboto" w:cs="Roboto"/>
          <w:color w:val="2E414F"/>
          <w:sz w:val="21"/>
          <w:szCs w:val="21"/>
        </w:rPr>
      </w:pPr>
    </w:p>
    <w:p w14:paraId="473DF961" w14:textId="28CF8314" w:rsidR="5C31A34A" w:rsidRDefault="4A4F9EB1" w:rsidP="5C31A34A">
      <w:pPr>
        <w:spacing w:after="0" w:line="240" w:lineRule="auto"/>
        <w:ind w:left="720" w:hanging="720"/>
        <w:rPr>
          <w:rFonts w:ascii="Garamond" w:eastAsia="Garamond" w:hAnsi="Garamond" w:cs="Garamond"/>
        </w:rPr>
      </w:pPr>
      <w:proofErr w:type="spellStart"/>
      <w:r w:rsidRPr="10D1FD28">
        <w:rPr>
          <w:rFonts w:ascii="Garamond" w:eastAsia="Garamond" w:hAnsi="Garamond" w:cs="Garamond"/>
        </w:rPr>
        <w:t>Dubayah</w:t>
      </w:r>
      <w:proofErr w:type="spellEnd"/>
      <w:r w:rsidRPr="10D1FD28">
        <w:rPr>
          <w:rFonts w:ascii="Garamond" w:eastAsia="Garamond" w:hAnsi="Garamond" w:cs="Garamond"/>
        </w:rPr>
        <w:t xml:space="preserve">, R.O., </w:t>
      </w:r>
      <w:proofErr w:type="spellStart"/>
      <w:r w:rsidRPr="10D1FD28">
        <w:rPr>
          <w:rFonts w:ascii="Garamond" w:eastAsia="Garamond" w:hAnsi="Garamond" w:cs="Garamond"/>
        </w:rPr>
        <w:t>Armston</w:t>
      </w:r>
      <w:proofErr w:type="spellEnd"/>
      <w:r w:rsidRPr="10D1FD28">
        <w:rPr>
          <w:rFonts w:ascii="Garamond" w:eastAsia="Garamond" w:hAnsi="Garamond" w:cs="Garamond"/>
        </w:rPr>
        <w:t>,</w:t>
      </w:r>
      <w:r w:rsidR="772D4D82" w:rsidRPr="10D1FD28">
        <w:rPr>
          <w:rFonts w:ascii="Garamond" w:eastAsia="Garamond" w:hAnsi="Garamond" w:cs="Garamond"/>
        </w:rPr>
        <w:t xml:space="preserve"> J.,</w:t>
      </w:r>
      <w:r w:rsidRPr="10D1FD28">
        <w:rPr>
          <w:rFonts w:ascii="Garamond" w:eastAsia="Garamond" w:hAnsi="Garamond" w:cs="Garamond"/>
        </w:rPr>
        <w:t xml:space="preserve"> Healey,</w:t>
      </w:r>
      <w:r w:rsidR="2595B27C" w:rsidRPr="10D1FD28">
        <w:rPr>
          <w:rFonts w:ascii="Garamond" w:eastAsia="Garamond" w:hAnsi="Garamond" w:cs="Garamond"/>
        </w:rPr>
        <w:t xml:space="preserve"> S.P.,</w:t>
      </w:r>
      <w:r w:rsidRPr="10D1FD28">
        <w:rPr>
          <w:rFonts w:ascii="Garamond" w:eastAsia="Garamond" w:hAnsi="Garamond" w:cs="Garamond"/>
        </w:rPr>
        <w:t xml:space="preserve"> Yang</w:t>
      </w:r>
      <w:r w:rsidR="01A6A694" w:rsidRPr="10D1FD28">
        <w:rPr>
          <w:rFonts w:ascii="Garamond" w:eastAsia="Garamond" w:hAnsi="Garamond" w:cs="Garamond"/>
        </w:rPr>
        <w:t>, Z.</w:t>
      </w:r>
      <w:r w:rsidRPr="10D1FD28">
        <w:rPr>
          <w:rFonts w:ascii="Garamond" w:eastAsia="Garamond" w:hAnsi="Garamond" w:cs="Garamond"/>
        </w:rPr>
        <w:t>, Patterson,</w:t>
      </w:r>
      <w:r w:rsidR="69324E6D" w:rsidRPr="10D1FD28">
        <w:rPr>
          <w:rFonts w:ascii="Garamond" w:eastAsia="Garamond" w:hAnsi="Garamond" w:cs="Garamond"/>
        </w:rPr>
        <w:t xml:space="preserve"> P.L.,</w:t>
      </w:r>
      <w:r w:rsidRPr="10D1FD28">
        <w:rPr>
          <w:rFonts w:ascii="Garamond" w:eastAsia="Garamond" w:hAnsi="Garamond" w:cs="Garamond"/>
        </w:rPr>
        <w:t xml:space="preserve"> </w:t>
      </w:r>
      <w:proofErr w:type="spellStart"/>
      <w:r w:rsidRPr="10D1FD28">
        <w:rPr>
          <w:rFonts w:ascii="Garamond" w:eastAsia="Garamond" w:hAnsi="Garamond" w:cs="Garamond"/>
        </w:rPr>
        <w:t>Saarela</w:t>
      </w:r>
      <w:proofErr w:type="spellEnd"/>
      <w:r w:rsidRPr="10D1FD28">
        <w:rPr>
          <w:rFonts w:ascii="Garamond" w:eastAsia="Garamond" w:hAnsi="Garamond" w:cs="Garamond"/>
        </w:rPr>
        <w:t>,</w:t>
      </w:r>
      <w:r w:rsidR="6DC01FC1" w:rsidRPr="10D1FD28">
        <w:rPr>
          <w:rFonts w:ascii="Garamond" w:eastAsia="Garamond" w:hAnsi="Garamond" w:cs="Garamond"/>
        </w:rPr>
        <w:t xml:space="preserve"> S.,</w:t>
      </w:r>
      <w:r w:rsidRPr="10D1FD28">
        <w:rPr>
          <w:rFonts w:ascii="Garamond" w:eastAsia="Garamond" w:hAnsi="Garamond" w:cs="Garamond"/>
        </w:rPr>
        <w:t xml:space="preserve"> Stahl,</w:t>
      </w:r>
      <w:r w:rsidR="0861FD73" w:rsidRPr="10D1FD28">
        <w:rPr>
          <w:rFonts w:ascii="Garamond" w:eastAsia="Garamond" w:hAnsi="Garamond" w:cs="Garamond"/>
        </w:rPr>
        <w:t xml:space="preserve"> G.</w:t>
      </w:r>
      <w:proofErr w:type="gramStart"/>
      <w:r w:rsidR="0861FD73" w:rsidRPr="10D1FD28">
        <w:rPr>
          <w:rFonts w:ascii="Garamond" w:eastAsia="Garamond" w:hAnsi="Garamond" w:cs="Garamond"/>
        </w:rPr>
        <w:t>,</w:t>
      </w:r>
      <w:r w:rsidRPr="10D1FD28">
        <w:rPr>
          <w:rFonts w:ascii="Garamond" w:eastAsia="Garamond" w:hAnsi="Garamond" w:cs="Garamond"/>
        </w:rPr>
        <w:t xml:space="preserve">  Duncanson</w:t>
      </w:r>
      <w:proofErr w:type="gramEnd"/>
      <w:r w:rsidRPr="10D1FD28">
        <w:rPr>
          <w:rFonts w:ascii="Garamond" w:eastAsia="Garamond" w:hAnsi="Garamond" w:cs="Garamond"/>
        </w:rPr>
        <w:t>,</w:t>
      </w:r>
      <w:r w:rsidR="02064B99" w:rsidRPr="10D1FD28">
        <w:rPr>
          <w:rFonts w:ascii="Garamond" w:eastAsia="Garamond" w:hAnsi="Garamond" w:cs="Garamond"/>
        </w:rPr>
        <w:t xml:space="preserve"> L.,</w:t>
      </w:r>
      <w:r w:rsidRPr="10D1FD28">
        <w:rPr>
          <w:rFonts w:ascii="Garamond" w:eastAsia="Garamond" w:hAnsi="Garamond" w:cs="Garamond"/>
        </w:rPr>
        <w:t xml:space="preserve"> and Kellner</w:t>
      </w:r>
      <w:r w:rsidR="2001F93A" w:rsidRPr="10D1FD28">
        <w:rPr>
          <w:rFonts w:ascii="Garamond" w:eastAsia="Garamond" w:hAnsi="Garamond" w:cs="Garamond"/>
        </w:rPr>
        <w:t>, J.R</w:t>
      </w:r>
      <w:r w:rsidRPr="10D1FD28">
        <w:rPr>
          <w:rFonts w:ascii="Garamond" w:eastAsia="Garamond" w:hAnsi="Garamond" w:cs="Garamond"/>
        </w:rPr>
        <w:t xml:space="preserve">. 2022. GEDI L4B Gridded Aboveground Biomass Density, Version 2. ORNL DAAC, Oak Ridge, Tennessee, USA. </w:t>
      </w:r>
      <w:hyperlink r:id="rId22">
        <w:r w:rsidRPr="10D1FD28">
          <w:rPr>
            <w:rStyle w:val="Hyperlink"/>
            <w:rFonts w:ascii="Garamond" w:eastAsia="Garamond" w:hAnsi="Garamond" w:cs="Garamond"/>
            <w:color w:val="auto"/>
            <w:u w:val="none"/>
          </w:rPr>
          <w:t>https://doi.org/10.3334/ORNLDAAC/2017</w:t>
        </w:r>
      </w:hyperlink>
    </w:p>
    <w:p w14:paraId="28622365" w14:textId="7FE2E5C8" w:rsidR="5C31A34A" w:rsidRDefault="5C31A34A" w:rsidP="5C31A34A">
      <w:pPr>
        <w:spacing w:after="0" w:line="240" w:lineRule="auto"/>
        <w:ind w:left="720" w:hanging="720"/>
        <w:rPr>
          <w:rFonts w:ascii="Garamond" w:eastAsia="Garamond" w:hAnsi="Garamond" w:cs="Garamond"/>
        </w:rPr>
      </w:pPr>
    </w:p>
    <w:p w14:paraId="6F0BD217" w14:textId="2CC5DA2A" w:rsidR="5C31A34A" w:rsidRDefault="5C31A34A" w:rsidP="5C31A34A">
      <w:pPr>
        <w:ind w:left="720" w:hanging="720"/>
        <w:rPr>
          <w:rFonts w:ascii="Garamond" w:eastAsia="Garamond" w:hAnsi="Garamond" w:cs="Garamond"/>
        </w:rPr>
      </w:pPr>
      <w:r w:rsidRPr="5C31A34A">
        <w:rPr>
          <w:rFonts w:ascii="Garamond" w:eastAsia="Garamond" w:hAnsi="Garamond" w:cs="Garamond"/>
        </w:rPr>
        <w:t xml:space="preserve">Fang, L., Yang, J., White, M., &amp; Liu, Z. (2018). Predicting potential fire severity using vegetation, </w:t>
      </w:r>
      <w:proofErr w:type="gramStart"/>
      <w:r w:rsidRPr="5C31A34A">
        <w:rPr>
          <w:rFonts w:ascii="Garamond" w:eastAsia="Garamond" w:hAnsi="Garamond" w:cs="Garamond"/>
        </w:rPr>
        <w:t>topography</w:t>
      </w:r>
      <w:proofErr w:type="gramEnd"/>
      <w:r w:rsidRPr="5C31A34A">
        <w:rPr>
          <w:rFonts w:ascii="Garamond" w:eastAsia="Garamond" w:hAnsi="Garamond" w:cs="Garamond"/>
        </w:rPr>
        <w:t xml:space="preserve"> and surface moisture availability in a Eurasian boreal forest landscape. </w:t>
      </w:r>
      <w:r w:rsidRPr="5C31A34A">
        <w:rPr>
          <w:rFonts w:ascii="Garamond" w:eastAsia="Garamond" w:hAnsi="Garamond" w:cs="Garamond"/>
          <w:i/>
          <w:iCs/>
        </w:rPr>
        <w:t>Forests</w:t>
      </w:r>
      <w:r w:rsidRPr="5C31A34A">
        <w:rPr>
          <w:rFonts w:ascii="Garamond" w:eastAsia="Garamond" w:hAnsi="Garamond" w:cs="Garamond"/>
        </w:rPr>
        <w:t xml:space="preserve">, </w:t>
      </w:r>
      <w:r w:rsidRPr="5C31A34A">
        <w:rPr>
          <w:rFonts w:ascii="Garamond" w:eastAsia="Garamond" w:hAnsi="Garamond" w:cs="Garamond"/>
          <w:i/>
          <w:iCs/>
        </w:rPr>
        <w:t>9</w:t>
      </w:r>
      <w:r w:rsidRPr="5C31A34A">
        <w:rPr>
          <w:rFonts w:ascii="Garamond" w:eastAsia="Garamond" w:hAnsi="Garamond" w:cs="Garamond"/>
        </w:rPr>
        <w:t>(3),</w:t>
      </w:r>
      <w:r w:rsidR="3559422B" w:rsidRPr="5C31A34A">
        <w:rPr>
          <w:rFonts w:ascii="Garamond" w:eastAsia="Garamond" w:hAnsi="Garamond" w:cs="Garamond"/>
        </w:rPr>
        <w:t xml:space="preserve"> 130 –156. </w:t>
      </w:r>
      <w:hyperlink r:id="rId23">
        <w:r w:rsidR="3559422B" w:rsidRPr="5C31A34A">
          <w:rPr>
            <w:rStyle w:val="Hyperlink"/>
            <w:rFonts w:ascii="Garamond" w:eastAsia="Garamond" w:hAnsi="Garamond" w:cs="Garamond"/>
            <w:color w:val="auto"/>
            <w:u w:val="none"/>
          </w:rPr>
          <w:t>https://doi.org/10.3390/f9030130</w:t>
        </w:r>
      </w:hyperlink>
    </w:p>
    <w:p w14:paraId="7B5EB15C" w14:textId="2F068280" w:rsidR="7A028EE4" w:rsidRDefault="6A70CED2" w:rsidP="5C31A34A">
      <w:pPr>
        <w:ind w:left="720" w:hanging="720"/>
        <w:rPr>
          <w:rFonts w:ascii="Garamond" w:eastAsia="Garamond" w:hAnsi="Garamond" w:cs="Garamond"/>
        </w:rPr>
      </w:pPr>
      <w:r w:rsidRPr="5C31A34A">
        <w:rPr>
          <w:rFonts w:ascii="Garamond" w:eastAsia="Garamond" w:hAnsi="Garamond" w:cs="Garamond"/>
        </w:rPr>
        <w:lastRenderedPageBreak/>
        <w:t xml:space="preserve">Fisher, J. B. (2018). </w:t>
      </w:r>
      <w:r w:rsidRPr="5C31A34A">
        <w:rPr>
          <w:rFonts w:ascii="Garamond" w:eastAsia="Garamond" w:hAnsi="Garamond" w:cs="Garamond"/>
          <w:i/>
          <w:iCs/>
        </w:rPr>
        <w:t>Level-4 Evaporative Stress Index L4(ESI_PT-JPL) Algorithm Theoretical Basis Document</w:t>
      </w:r>
      <w:r w:rsidRPr="5C31A34A">
        <w:rPr>
          <w:rFonts w:ascii="Garamond" w:eastAsia="Garamond" w:hAnsi="Garamond" w:cs="Garamond"/>
        </w:rPr>
        <w:t xml:space="preserve"> (ECOSTRESS Science Document no. D-94647). Jet Propulsion Laboratory / National Aeronautics and Space Administration. </w:t>
      </w:r>
      <w:hyperlink r:id="rId24">
        <w:r w:rsidRPr="5C31A34A">
          <w:rPr>
            <w:rStyle w:val="Hyperlink"/>
            <w:rFonts w:ascii="Garamond" w:eastAsia="Garamond" w:hAnsi="Garamond" w:cs="Garamond"/>
            <w:color w:val="auto"/>
            <w:u w:val="none"/>
          </w:rPr>
          <w:t>https://ecostress.jpl.nasa.gov/downloads/atbd/ECOSTRESS_L4_ESI_PT-JPL_ATBD_20180531.pdf</w:t>
        </w:r>
      </w:hyperlink>
    </w:p>
    <w:p w14:paraId="5E072255" w14:textId="21BF3994" w:rsidR="7A028EE4" w:rsidRDefault="6A70CED2" w:rsidP="5C31A34A">
      <w:pPr>
        <w:ind w:left="720" w:hanging="720"/>
        <w:rPr>
          <w:rFonts w:ascii="Garamond" w:eastAsia="Garamond" w:hAnsi="Garamond" w:cs="Garamond"/>
        </w:rPr>
      </w:pPr>
      <w:r w:rsidRPr="5C31A34A">
        <w:rPr>
          <w:rFonts w:ascii="Garamond" w:eastAsia="Garamond" w:hAnsi="Garamond" w:cs="Garamond"/>
        </w:rPr>
        <w:t xml:space="preserve">Fisher, J. B., &amp; </w:t>
      </w:r>
      <w:r w:rsidR="4068938C" w:rsidRPr="5C31A34A">
        <w:rPr>
          <w:rFonts w:ascii="Garamond" w:eastAsia="Garamond" w:hAnsi="Garamond" w:cs="Garamond"/>
        </w:rPr>
        <w:t xml:space="preserve">Halverson, G.H. </w:t>
      </w:r>
      <w:r w:rsidRPr="5C31A34A">
        <w:rPr>
          <w:rFonts w:ascii="Garamond" w:eastAsia="Garamond" w:hAnsi="Garamond" w:cs="Garamond"/>
        </w:rPr>
        <w:t xml:space="preserve">(2019). </w:t>
      </w:r>
      <w:r w:rsidR="4068938C" w:rsidRPr="5C31A34A">
        <w:rPr>
          <w:rFonts w:ascii="Garamond" w:eastAsia="Garamond" w:hAnsi="Garamond" w:cs="Garamond"/>
        </w:rPr>
        <w:t xml:space="preserve">Level-4 Water Use Efficiency L4(WUE) Algorithm Theoretical Basis Document </w:t>
      </w:r>
      <w:r w:rsidRPr="5C31A34A">
        <w:rPr>
          <w:rFonts w:ascii="Garamond" w:eastAsia="Garamond" w:hAnsi="Garamond" w:cs="Garamond"/>
        </w:rPr>
        <w:t>(</w:t>
      </w:r>
      <w:r w:rsidR="4068938C" w:rsidRPr="5C31A34A">
        <w:rPr>
          <w:rFonts w:ascii="Garamond" w:eastAsia="Garamond" w:hAnsi="Garamond" w:cs="Garamond"/>
        </w:rPr>
        <w:t>ECOSTRESS Science Document no. D-94649</w:t>
      </w:r>
      <w:r w:rsidRPr="5C31A34A">
        <w:rPr>
          <w:rFonts w:ascii="Garamond" w:eastAsia="Garamond" w:hAnsi="Garamond" w:cs="Garamond"/>
        </w:rPr>
        <w:t xml:space="preserve">). Jet Propulsion Laboratory / National Aeronautics and Space Administration. </w:t>
      </w:r>
      <w:r w:rsidR="4068938C" w:rsidRPr="5C31A34A">
        <w:rPr>
          <w:rFonts w:ascii="Garamond" w:eastAsia="Garamond" w:hAnsi="Garamond" w:cs="Garamond"/>
        </w:rPr>
        <w:t>https://ecostress.jpl.nasa.gov/downloads/atbd/ECOSTRESS_L4_WUE_ATBD_20190430.pdf</w:t>
      </w:r>
    </w:p>
    <w:p w14:paraId="35DC363A" w14:textId="0D5DDBB4" w:rsidR="422C0B4F" w:rsidRDefault="3559422B" w:rsidP="5C31A34A">
      <w:pPr>
        <w:ind w:left="720" w:hanging="720"/>
        <w:rPr>
          <w:rFonts w:ascii="Garamond" w:eastAsia="Garamond" w:hAnsi="Garamond" w:cs="Garamond"/>
        </w:rPr>
      </w:pPr>
      <w:r w:rsidRPr="5C31A34A">
        <w:rPr>
          <w:rFonts w:ascii="Garamond" w:eastAsia="Garamond" w:hAnsi="Garamond" w:cs="Garamond"/>
        </w:rPr>
        <w:t xml:space="preserve">Fisher, J. B., Lee, B., Purdy, A. J., Halverson, G. H., </w:t>
      </w:r>
      <w:proofErr w:type="spellStart"/>
      <w:r w:rsidRPr="5C31A34A">
        <w:rPr>
          <w:rFonts w:ascii="Garamond" w:eastAsia="Garamond" w:hAnsi="Garamond" w:cs="Garamond"/>
        </w:rPr>
        <w:t>Dohlen</w:t>
      </w:r>
      <w:proofErr w:type="spellEnd"/>
      <w:r w:rsidRPr="5C31A34A">
        <w:rPr>
          <w:rFonts w:ascii="Garamond" w:eastAsia="Garamond" w:hAnsi="Garamond" w:cs="Garamond"/>
        </w:rPr>
        <w:t xml:space="preserve">, M. B., </w:t>
      </w:r>
      <w:proofErr w:type="spellStart"/>
      <w:r w:rsidRPr="5C31A34A">
        <w:rPr>
          <w:rFonts w:ascii="Garamond" w:eastAsia="Garamond" w:hAnsi="Garamond" w:cs="Garamond"/>
        </w:rPr>
        <w:t>Cawse</w:t>
      </w:r>
      <w:proofErr w:type="spellEnd"/>
      <w:r w:rsidRPr="5C31A34A">
        <w:rPr>
          <w:rFonts w:ascii="Garamond" w:eastAsia="Garamond" w:hAnsi="Garamond" w:cs="Garamond"/>
        </w:rPr>
        <w:t xml:space="preserve">‐Nicholson, K., ... &amp; Hook, S. (2020). ECOSTRESS: NASA's next generation mission to measure evapotranspiration from the international space station. </w:t>
      </w:r>
      <w:r w:rsidRPr="5C31A34A">
        <w:rPr>
          <w:rFonts w:ascii="Garamond" w:eastAsia="Garamond" w:hAnsi="Garamond" w:cs="Garamond"/>
          <w:i/>
          <w:iCs/>
        </w:rPr>
        <w:t>Water Resources Research</w:t>
      </w:r>
      <w:r w:rsidRPr="00E27AC4">
        <w:rPr>
          <w:rFonts w:ascii="Garamond" w:eastAsia="Garamond" w:hAnsi="Garamond" w:cs="Garamond"/>
        </w:rPr>
        <w:t>,</w:t>
      </w:r>
      <w:r w:rsidRPr="5C31A34A">
        <w:rPr>
          <w:rFonts w:ascii="Garamond" w:eastAsia="Garamond" w:hAnsi="Garamond" w:cs="Garamond"/>
          <w:i/>
          <w:iCs/>
        </w:rPr>
        <w:t xml:space="preserve"> </w:t>
      </w:r>
      <w:r w:rsidRPr="00E27AC4">
        <w:rPr>
          <w:rFonts w:ascii="Garamond" w:eastAsia="Garamond" w:hAnsi="Garamond" w:cs="Garamond"/>
          <w:i/>
          <w:iCs/>
        </w:rPr>
        <w:t>56</w:t>
      </w:r>
      <w:r w:rsidRPr="5C31A34A">
        <w:rPr>
          <w:rFonts w:ascii="Garamond" w:eastAsia="Garamond" w:hAnsi="Garamond" w:cs="Garamond"/>
        </w:rPr>
        <w:t xml:space="preserve">(4), e2019WR026058. </w:t>
      </w:r>
      <w:hyperlink r:id="rId25">
        <w:r w:rsidR="5C31A34A" w:rsidRPr="5C31A34A">
          <w:rPr>
            <w:rStyle w:val="Hyperlink"/>
            <w:rFonts w:ascii="Garamond" w:eastAsia="Garamond" w:hAnsi="Garamond" w:cs="Garamond"/>
            <w:color w:val="auto"/>
            <w:u w:val="none"/>
          </w:rPr>
          <w:t>https://doi.org/10.1029/2019WR026058</w:t>
        </w:r>
      </w:hyperlink>
    </w:p>
    <w:p w14:paraId="27AFED9C" w14:textId="0DB8A6E1" w:rsidR="5C31A34A" w:rsidRDefault="5C31A34A" w:rsidP="5C31A34A">
      <w:pPr>
        <w:ind w:left="720" w:hanging="720"/>
        <w:rPr>
          <w:rFonts w:ascii="Garamond" w:eastAsia="Garamond" w:hAnsi="Garamond" w:cs="Garamond"/>
        </w:rPr>
      </w:pPr>
      <w:r w:rsidRPr="5C31A34A">
        <w:rPr>
          <w:rFonts w:ascii="Garamond" w:eastAsia="Garamond" w:hAnsi="Garamond" w:cs="Garamond"/>
        </w:rPr>
        <w:t xml:space="preserve">Hatfield, J. L., &amp; </w:t>
      </w:r>
      <w:proofErr w:type="spellStart"/>
      <w:r w:rsidRPr="5C31A34A">
        <w:rPr>
          <w:rFonts w:ascii="Garamond" w:eastAsia="Garamond" w:hAnsi="Garamond" w:cs="Garamond"/>
        </w:rPr>
        <w:t>Dold</w:t>
      </w:r>
      <w:proofErr w:type="spellEnd"/>
      <w:r w:rsidRPr="5C31A34A">
        <w:rPr>
          <w:rFonts w:ascii="Garamond" w:eastAsia="Garamond" w:hAnsi="Garamond" w:cs="Garamond"/>
        </w:rPr>
        <w:t xml:space="preserve">, C. (2019). Water-use efficiency: advances and challenges in a changing climate. </w:t>
      </w:r>
      <w:r w:rsidRPr="5C31A34A">
        <w:rPr>
          <w:rFonts w:ascii="Garamond" w:eastAsia="Garamond" w:hAnsi="Garamond" w:cs="Garamond"/>
          <w:i/>
          <w:iCs/>
        </w:rPr>
        <w:t>Frontiers in plant science</w:t>
      </w:r>
      <w:r w:rsidRPr="5C31A34A">
        <w:rPr>
          <w:rFonts w:ascii="Garamond" w:eastAsia="Garamond" w:hAnsi="Garamond" w:cs="Garamond"/>
        </w:rPr>
        <w:t xml:space="preserve">, </w:t>
      </w:r>
      <w:r w:rsidRPr="5C31A34A">
        <w:rPr>
          <w:rFonts w:ascii="Garamond" w:eastAsia="Garamond" w:hAnsi="Garamond" w:cs="Garamond"/>
          <w:i/>
          <w:iCs/>
        </w:rPr>
        <w:t>10</w:t>
      </w:r>
      <w:r w:rsidRPr="5C31A34A">
        <w:rPr>
          <w:rFonts w:ascii="Garamond" w:eastAsia="Garamond" w:hAnsi="Garamond" w:cs="Garamond"/>
        </w:rPr>
        <w:t xml:space="preserve">, 103. </w:t>
      </w:r>
      <w:hyperlink r:id="rId26">
        <w:r w:rsidRPr="5C31A34A">
          <w:rPr>
            <w:rStyle w:val="Hyperlink"/>
            <w:rFonts w:ascii="Garamond" w:eastAsia="Garamond" w:hAnsi="Garamond" w:cs="Garamond"/>
            <w:color w:val="auto"/>
            <w:u w:val="none"/>
          </w:rPr>
          <w:t>https://doi.org/10.3389/fpls.2019.00103</w:t>
        </w:r>
      </w:hyperlink>
    </w:p>
    <w:p w14:paraId="3A611235" w14:textId="2BD4E54C" w:rsidR="1469DDCF" w:rsidRDefault="2E679B0D"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Hook, S., </w:t>
      </w:r>
      <w:proofErr w:type="spellStart"/>
      <w:r w:rsidRPr="5C31A34A">
        <w:rPr>
          <w:rFonts w:ascii="Garamond" w:eastAsia="Garamond" w:hAnsi="Garamond" w:cs="Garamond"/>
        </w:rPr>
        <w:t>Cawse</w:t>
      </w:r>
      <w:proofErr w:type="spellEnd"/>
      <w:r w:rsidRPr="5C31A34A">
        <w:rPr>
          <w:rFonts w:ascii="Garamond" w:eastAsia="Garamond" w:hAnsi="Garamond" w:cs="Garamond"/>
        </w:rPr>
        <w:t xml:space="preserve">-Nicholson, K. (2021). </w:t>
      </w:r>
      <w:r w:rsidRPr="5C31A34A">
        <w:rPr>
          <w:rFonts w:ascii="Garamond" w:eastAsia="Garamond" w:hAnsi="Garamond" w:cs="Garamond"/>
          <w:i/>
          <w:iCs/>
        </w:rPr>
        <w:t>ECOSTRESS Evapotranspiration dis-ALEXI Daily L3 CONUS 70 m V001</w:t>
      </w:r>
      <w:r w:rsidRPr="5C31A34A">
        <w:rPr>
          <w:rFonts w:ascii="Garamond" w:eastAsia="Garamond" w:hAnsi="Garamond" w:cs="Garamond"/>
        </w:rPr>
        <w:t xml:space="preserve"> [Data set]. NASA EOSDIS Land Processes DAAC. Accessed 2022-06-30 from </w:t>
      </w:r>
      <w:hyperlink r:id="rId27">
        <w:r w:rsidRPr="5C31A34A">
          <w:rPr>
            <w:rStyle w:val="Hyperlink"/>
            <w:rFonts w:ascii="Garamond" w:eastAsia="Garamond" w:hAnsi="Garamond" w:cs="Garamond"/>
            <w:color w:val="auto"/>
            <w:u w:val="none"/>
          </w:rPr>
          <w:t>https://doi.org/10.5067/ECOSTRESS/ECO3ETALEXI.001</w:t>
        </w:r>
      </w:hyperlink>
    </w:p>
    <w:p w14:paraId="4E1E1C73" w14:textId="504F0A02" w:rsidR="7A028EE4" w:rsidRDefault="7A028EE4" w:rsidP="5C31A34A">
      <w:pPr>
        <w:spacing w:after="0" w:line="240" w:lineRule="auto"/>
        <w:ind w:left="720" w:hanging="720"/>
        <w:rPr>
          <w:rFonts w:ascii="Garamond" w:eastAsia="Garamond" w:hAnsi="Garamond" w:cs="Garamond"/>
          <w:color w:val="000000" w:themeColor="text1"/>
        </w:rPr>
      </w:pPr>
    </w:p>
    <w:p w14:paraId="490E8DB2" w14:textId="2C985AF9" w:rsidR="7A028EE4" w:rsidRDefault="5C31A34A"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Hook, S., Fisher, J. (2019). ECOSTRESS Water Use Efficiency Daily L4 Global 70 m V001 [Data set]. NASA EOSDIS Land Processes DAAC. Accessed 2022-08-04 from </w:t>
      </w:r>
      <w:hyperlink r:id="rId28">
        <w:r w:rsidRPr="5C31A34A">
          <w:rPr>
            <w:rStyle w:val="Hyperlink"/>
            <w:rFonts w:ascii="Garamond" w:eastAsia="Garamond" w:hAnsi="Garamond" w:cs="Garamond"/>
            <w:color w:val="auto"/>
            <w:u w:val="none"/>
          </w:rPr>
          <w:t>https://doi.org/10.5067/ECOSTRESS/ECO4WUE.001</w:t>
        </w:r>
      </w:hyperlink>
    </w:p>
    <w:p w14:paraId="4A131237" w14:textId="7EC38620" w:rsidR="5C31A34A" w:rsidRDefault="5C31A34A" w:rsidP="5C31A34A">
      <w:pPr>
        <w:spacing w:after="0" w:line="240" w:lineRule="auto"/>
        <w:ind w:left="720" w:hanging="720"/>
        <w:rPr>
          <w:rFonts w:ascii="Garamond" w:eastAsia="Garamond" w:hAnsi="Garamond" w:cs="Garamond"/>
        </w:rPr>
      </w:pPr>
    </w:p>
    <w:p w14:paraId="259ED826" w14:textId="337B67AC" w:rsidR="5C31A34A" w:rsidRDefault="5C31A34A" w:rsidP="5C31A34A">
      <w:pPr>
        <w:ind w:left="720" w:hanging="720"/>
        <w:rPr>
          <w:rFonts w:ascii="Garamond" w:eastAsia="Garamond" w:hAnsi="Garamond" w:cs="Garamond"/>
        </w:rPr>
      </w:pPr>
      <w:r w:rsidRPr="5C31A34A">
        <w:rPr>
          <w:rFonts w:ascii="Garamond" w:eastAsia="Garamond" w:hAnsi="Garamond" w:cs="Garamond"/>
        </w:rPr>
        <w:t xml:space="preserve">Huang, Y., </w:t>
      </w:r>
      <w:proofErr w:type="spellStart"/>
      <w:r w:rsidRPr="5C31A34A">
        <w:rPr>
          <w:rFonts w:ascii="Garamond" w:eastAsia="Garamond" w:hAnsi="Garamond" w:cs="Garamond"/>
        </w:rPr>
        <w:t>Jin</w:t>
      </w:r>
      <w:proofErr w:type="spellEnd"/>
      <w:r w:rsidRPr="5C31A34A">
        <w:rPr>
          <w:rFonts w:ascii="Garamond" w:eastAsia="Garamond" w:hAnsi="Garamond" w:cs="Garamond"/>
        </w:rPr>
        <w:t xml:space="preserve">, Y., Schwartz, M. W., &amp; Thorne, J. H. (2020). Intensified burn severity in California’s northern coastal mountains by drier climatic condition. </w:t>
      </w:r>
      <w:r w:rsidRPr="5C31A34A">
        <w:rPr>
          <w:rFonts w:ascii="Garamond" w:eastAsia="Garamond" w:hAnsi="Garamond" w:cs="Garamond"/>
          <w:i/>
          <w:iCs/>
        </w:rPr>
        <w:t>Environmental Research Letters</w:t>
      </w:r>
      <w:r w:rsidRPr="5C31A34A">
        <w:rPr>
          <w:rFonts w:ascii="Garamond" w:eastAsia="Garamond" w:hAnsi="Garamond" w:cs="Garamond"/>
        </w:rPr>
        <w:t xml:space="preserve">, </w:t>
      </w:r>
      <w:r w:rsidRPr="5C31A34A">
        <w:rPr>
          <w:rFonts w:ascii="Garamond" w:eastAsia="Garamond" w:hAnsi="Garamond" w:cs="Garamond"/>
          <w:i/>
          <w:iCs/>
        </w:rPr>
        <w:t>15</w:t>
      </w:r>
      <w:r w:rsidRPr="5C31A34A">
        <w:rPr>
          <w:rFonts w:ascii="Garamond" w:eastAsia="Garamond" w:hAnsi="Garamond" w:cs="Garamond"/>
        </w:rPr>
        <w:t>(10), 104033. https://dx.doi.org/10.1088/1748-9326/aba6af</w:t>
      </w:r>
    </w:p>
    <w:p w14:paraId="1020A1EA" w14:textId="22A65831" w:rsidR="1469DDCF" w:rsidRDefault="6A4E2249" w:rsidP="7E9C04BA">
      <w:pPr>
        <w:ind w:left="720" w:hanging="720"/>
        <w:rPr>
          <w:rFonts w:ascii="Garamond" w:eastAsia="Garamond" w:hAnsi="Garamond" w:cs="Garamond"/>
          <w:color w:val="000000" w:themeColor="text1"/>
        </w:rPr>
      </w:pPr>
      <w:proofErr w:type="spellStart"/>
      <w:proofErr w:type="gramStart"/>
      <w:r w:rsidRPr="7E9C04BA">
        <w:rPr>
          <w:rFonts w:ascii="Garamond" w:eastAsia="Garamond" w:hAnsi="Garamond" w:cs="Garamond"/>
        </w:rPr>
        <w:t>Inciweb</w:t>
      </w:r>
      <w:proofErr w:type="spellEnd"/>
      <w:r w:rsidRPr="7E9C04BA">
        <w:rPr>
          <w:rFonts w:ascii="Garamond" w:eastAsia="Garamond" w:hAnsi="Garamond" w:cs="Garamond"/>
        </w:rPr>
        <w:t>.(</w:t>
      </w:r>
      <w:proofErr w:type="gramEnd"/>
      <w:r w:rsidRPr="7E9C04BA">
        <w:rPr>
          <w:rFonts w:ascii="Garamond" w:eastAsia="Garamond" w:hAnsi="Garamond" w:cs="Garamond"/>
        </w:rPr>
        <w:t xml:space="preserve">n.d.). </w:t>
      </w:r>
      <w:r w:rsidRPr="7E9C04BA">
        <w:rPr>
          <w:rFonts w:ascii="Garamond" w:eastAsia="Garamond" w:hAnsi="Garamond" w:cs="Garamond"/>
          <w:i/>
          <w:iCs/>
        </w:rPr>
        <w:t>Bootleg Fire</w:t>
      </w:r>
      <w:r w:rsidRPr="7E9C04BA">
        <w:rPr>
          <w:rFonts w:ascii="Garamond" w:eastAsia="Garamond" w:hAnsi="Garamond" w:cs="Garamond"/>
        </w:rPr>
        <w:t xml:space="preserve">. </w:t>
      </w:r>
      <w:hyperlink r:id="rId29">
        <w:r w:rsidRPr="7E9C04BA">
          <w:rPr>
            <w:rStyle w:val="Hyperlink"/>
            <w:rFonts w:ascii="Garamond" w:eastAsia="Garamond" w:hAnsi="Garamond" w:cs="Garamond"/>
            <w:color w:val="auto"/>
            <w:u w:val="none"/>
          </w:rPr>
          <w:t>https://inciweb.nwcg.gov/incident/7609/</w:t>
        </w:r>
      </w:hyperlink>
    </w:p>
    <w:p w14:paraId="0831A12B" w14:textId="702E4413" w:rsidR="7E9C04BA" w:rsidRDefault="7E9C04BA" w:rsidP="7E9C04BA">
      <w:pPr>
        <w:ind w:left="720" w:hanging="720"/>
        <w:rPr>
          <w:rFonts w:ascii="Garamond" w:eastAsia="Garamond" w:hAnsi="Garamond" w:cs="Garamond"/>
        </w:rPr>
      </w:pPr>
      <w:r w:rsidRPr="7E9C04BA">
        <w:rPr>
          <w:rFonts w:ascii="Garamond" w:eastAsia="Garamond" w:hAnsi="Garamond" w:cs="Garamond"/>
          <w:color w:val="222222"/>
        </w:rPr>
        <w:t xml:space="preserve">Jensen, D., </w:t>
      </w:r>
      <w:proofErr w:type="spellStart"/>
      <w:r w:rsidRPr="7E9C04BA">
        <w:rPr>
          <w:rFonts w:ascii="Garamond" w:eastAsia="Garamond" w:hAnsi="Garamond" w:cs="Garamond"/>
          <w:color w:val="222222"/>
        </w:rPr>
        <w:t>Reager</w:t>
      </w:r>
      <w:proofErr w:type="spellEnd"/>
      <w:r w:rsidRPr="7E9C04BA">
        <w:rPr>
          <w:rFonts w:ascii="Garamond" w:eastAsia="Garamond" w:hAnsi="Garamond" w:cs="Garamond"/>
          <w:color w:val="222222"/>
        </w:rPr>
        <w:t xml:space="preserve">, J. T., </w:t>
      </w:r>
      <w:proofErr w:type="spellStart"/>
      <w:r w:rsidRPr="7E9C04BA">
        <w:rPr>
          <w:rFonts w:ascii="Garamond" w:eastAsia="Garamond" w:hAnsi="Garamond" w:cs="Garamond"/>
          <w:color w:val="222222"/>
        </w:rPr>
        <w:t>Zajic</w:t>
      </w:r>
      <w:proofErr w:type="spellEnd"/>
      <w:r w:rsidRPr="7E9C04BA">
        <w:rPr>
          <w:rFonts w:ascii="Garamond" w:eastAsia="Garamond" w:hAnsi="Garamond" w:cs="Garamond"/>
          <w:color w:val="222222"/>
        </w:rPr>
        <w:t xml:space="preserve">, B., Rousseau, N., </w:t>
      </w:r>
      <w:proofErr w:type="spellStart"/>
      <w:r w:rsidRPr="7E9C04BA">
        <w:rPr>
          <w:rFonts w:ascii="Garamond" w:eastAsia="Garamond" w:hAnsi="Garamond" w:cs="Garamond"/>
          <w:color w:val="222222"/>
        </w:rPr>
        <w:t>Rodell</w:t>
      </w:r>
      <w:proofErr w:type="spellEnd"/>
      <w:r w:rsidRPr="7E9C04BA">
        <w:rPr>
          <w:rFonts w:ascii="Garamond" w:eastAsia="Garamond" w:hAnsi="Garamond" w:cs="Garamond"/>
          <w:color w:val="222222"/>
        </w:rPr>
        <w:t xml:space="preserve">, M., &amp; Hinkley, E. (2018). The sensitivity of US </w:t>
      </w:r>
      <w:r w:rsidRPr="7E9C04BA">
        <w:rPr>
          <w:rFonts w:ascii="Garamond" w:eastAsia="Garamond" w:hAnsi="Garamond" w:cs="Garamond"/>
        </w:rPr>
        <w:t xml:space="preserve">wildfire occurrence to pre-season soil moisture conditions across ecosystems. </w:t>
      </w:r>
      <w:r w:rsidRPr="7E9C04BA">
        <w:rPr>
          <w:rFonts w:ascii="Garamond" w:eastAsia="Garamond" w:hAnsi="Garamond" w:cs="Garamond"/>
          <w:i/>
          <w:iCs/>
        </w:rPr>
        <w:t>Environmental research letters</w:t>
      </w:r>
      <w:r w:rsidRPr="7E9C04BA">
        <w:rPr>
          <w:rFonts w:ascii="Garamond" w:eastAsia="Garamond" w:hAnsi="Garamond" w:cs="Garamond"/>
        </w:rPr>
        <w:t xml:space="preserve">, </w:t>
      </w:r>
      <w:r w:rsidRPr="7E9C04BA">
        <w:rPr>
          <w:rFonts w:ascii="Garamond" w:eastAsia="Garamond" w:hAnsi="Garamond" w:cs="Garamond"/>
          <w:i/>
          <w:iCs/>
        </w:rPr>
        <w:t>13</w:t>
      </w:r>
      <w:r w:rsidRPr="7E9C04BA">
        <w:rPr>
          <w:rFonts w:ascii="Garamond" w:eastAsia="Garamond" w:hAnsi="Garamond" w:cs="Garamond"/>
        </w:rPr>
        <w:t xml:space="preserve">(1), 014021. </w:t>
      </w:r>
      <w:hyperlink r:id="rId30">
        <w:r w:rsidRPr="7E9C04BA">
          <w:rPr>
            <w:rStyle w:val="Hyperlink"/>
            <w:rFonts w:ascii="Garamond" w:eastAsia="Garamond" w:hAnsi="Garamond" w:cs="Garamond"/>
          </w:rPr>
          <w:t>https://doi.org/10.1088/1748-9326/aa9853</w:t>
        </w:r>
      </w:hyperlink>
    </w:p>
    <w:p w14:paraId="4E3E7505" w14:textId="23AD6AD0" w:rsidR="5C31A34A" w:rsidRDefault="5C31A34A"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LANDFIRE, 2020, Existing Vegetation Type Layer, LANDFIRE 2.2.0, U.S. Department of the Interior, Geological Survey, and U.S. Department of Agriculture. Accessed 22 July 2022 at </w:t>
      </w:r>
      <w:hyperlink r:id="rId31">
        <w:r w:rsidRPr="5C31A34A">
          <w:rPr>
            <w:rStyle w:val="Hyperlink"/>
            <w:rFonts w:ascii="Garamond" w:eastAsia="Garamond" w:hAnsi="Garamond" w:cs="Garamond"/>
          </w:rPr>
          <w:t>http://www.landfire/viewer</w:t>
        </w:r>
      </w:hyperlink>
    </w:p>
    <w:p w14:paraId="4D0EAA2E" w14:textId="06E49AC1" w:rsidR="5C31A34A" w:rsidRDefault="5C31A34A" w:rsidP="5C31A34A">
      <w:pPr>
        <w:spacing w:after="0" w:line="240" w:lineRule="auto"/>
        <w:rPr>
          <w:rFonts w:ascii="Garamond" w:eastAsia="Garamond" w:hAnsi="Garamond" w:cs="Garamond"/>
        </w:rPr>
      </w:pPr>
    </w:p>
    <w:p w14:paraId="5EF4B38D" w14:textId="09E70B86" w:rsidR="5C31A34A" w:rsidRDefault="4A4F9EB1" w:rsidP="10D1FD28">
      <w:pPr>
        <w:spacing w:after="0" w:line="240" w:lineRule="auto"/>
        <w:ind w:left="567" w:hanging="567"/>
        <w:rPr>
          <w:rFonts w:ascii="Garamond" w:eastAsia="Garamond" w:hAnsi="Garamond" w:cs="Garamond"/>
        </w:rPr>
      </w:pPr>
      <w:proofErr w:type="spellStart"/>
      <w:r w:rsidRPr="10D1FD28">
        <w:rPr>
          <w:rFonts w:ascii="Garamond" w:eastAsia="Garamond" w:hAnsi="Garamond" w:cs="Garamond"/>
        </w:rPr>
        <w:t>Lindenmayer</w:t>
      </w:r>
      <w:proofErr w:type="spellEnd"/>
      <w:r w:rsidRPr="10D1FD28">
        <w:rPr>
          <w:rFonts w:ascii="Garamond" w:eastAsia="Garamond" w:hAnsi="Garamond" w:cs="Garamond"/>
        </w:rPr>
        <w:t xml:space="preserve">, D., Taylor, C., &amp; Blanchard, W. (2021). Empirical analyses of the factors influencing fire severity in southeastern Australia. </w:t>
      </w:r>
      <w:r w:rsidRPr="10D1FD28">
        <w:rPr>
          <w:rFonts w:ascii="Garamond" w:eastAsia="Garamond" w:hAnsi="Garamond" w:cs="Garamond"/>
          <w:i/>
          <w:iCs/>
        </w:rPr>
        <w:t>Ecosphere</w:t>
      </w:r>
      <w:r w:rsidRPr="10D1FD28">
        <w:rPr>
          <w:rFonts w:ascii="Garamond" w:eastAsia="Garamond" w:hAnsi="Garamond" w:cs="Garamond"/>
        </w:rPr>
        <w:t xml:space="preserve">, </w:t>
      </w:r>
      <w:r w:rsidRPr="10D1FD28">
        <w:rPr>
          <w:rFonts w:ascii="Garamond" w:eastAsia="Garamond" w:hAnsi="Garamond" w:cs="Garamond"/>
          <w:i/>
          <w:iCs/>
        </w:rPr>
        <w:t>12</w:t>
      </w:r>
      <w:r w:rsidRPr="10D1FD28">
        <w:rPr>
          <w:rFonts w:ascii="Garamond" w:eastAsia="Garamond" w:hAnsi="Garamond" w:cs="Garamond"/>
        </w:rPr>
        <w:t xml:space="preserve">(8). </w:t>
      </w:r>
      <w:hyperlink r:id="rId32">
        <w:r w:rsidRPr="10D1FD28">
          <w:rPr>
            <w:rStyle w:val="Hyperlink"/>
            <w:rFonts w:ascii="Garamond" w:eastAsia="Garamond" w:hAnsi="Garamond" w:cs="Garamond"/>
          </w:rPr>
          <w:t>https://doi.org/10.1002/ecs2.3721</w:t>
        </w:r>
      </w:hyperlink>
    </w:p>
    <w:p w14:paraId="323FF02A" w14:textId="289F2122" w:rsidR="5C31A34A" w:rsidRDefault="566BDD39" w:rsidP="5C31A34A">
      <w:pPr>
        <w:ind w:left="720" w:hanging="720"/>
        <w:rPr>
          <w:rFonts w:ascii="Garamond" w:eastAsia="Garamond" w:hAnsi="Garamond" w:cs="Garamond"/>
        </w:rPr>
      </w:pPr>
      <w:r w:rsidRPr="7E9C04BA">
        <w:rPr>
          <w:rFonts w:ascii="Garamond" w:eastAsia="Garamond" w:hAnsi="Garamond" w:cs="Garamond"/>
        </w:rPr>
        <w:t xml:space="preserve">McEvoy, D. J., Pierce, D. W., </w:t>
      </w:r>
      <w:proofErr w:type="spellStart"/>
      <w:r w:rsidRPr="7E9C04BA">
        <w:rPr>
          <w:rFonts w:ascii="Garamond" w:eastAsia="Garamond" w:hAnsi="Garamond" w:cs="Garamond"/>
        </w:rPr>
        <w:t>Kalansky</w:t>
      </w:r>
      <w:proofErr w:type="spellEnd"/>
      <w:r w:rsidRPr="7E9C04BA">
        <w:rPr>
          <w:rFonts w:ascii="Garamond" w:eastAsia="Garamond" w:hAnsi="Garamond" w:cs="Garamond"/>
        </w:rPr>
        <w:t xml:space="preserve">, J. F., Cayan, D. R., &amp; </w:t>
      </w:r>
      <w:proofErr w:type="spellStart"/>
      <w:r w:rsidRPr="7E9C04BA">
        <w:rPr>
          <w:rFonts w:ascii="Garamond" w:eastAsia="Garamond" w:hAnsi="Garamond" w:cs="Garamond"/>
        </w:rPr>
        <w:t>Abatzoglou</w:t>
      </w:r>
      <w:proofErr w:type="spellEnd"/>
      <w:r w:rsidRPr="7E9C04BA">
        <w:rPr>
          <w:rFonts w:ascii="Garamond" w:eastAsia="Garamond" w:hAnsi="Garamond" w:cs="Garamond"/>
        </w:rPr>
        <w:t xml:space="preserve">, J. T. (2020). Projected changes in reference evapotranspiration in California and Nevada: Implications for drought and wildland fire danger. </w:t>
      </w:r>
      <w:r w:rsidRPr="7E9C04BA">
        <w:rPr>
          <w:rFonts w:ascii="Garamond" w:eastAsia="Garamond" w:hAnsi="Garamond" w:cs="Garamond"/>
          <w:i/>
          <w:iCs/>
        </w:rPr>
        <w:t>Earth's Future</w:t>
      </w:r>
      <w:r w:rsidRPr="7E9C04BA">
        <w:rPr>
          <w:rFonts w:ascii="Garamond" w:eastAsia="Garamond" w:hAnsi="Garamond" w:cs="Garamond"/>
        </w:rPr>
        <w:t xml:space="preserve">, </w:t>
      </w:r>
      <w:r w:rsidRPr="7E9C04BA">
        <w:rPr>
          <w:rFonts w:ascii="Garamond" w:eastAsia="Garamond" w:hAnsi="Garamond" w:cs="Garamond"/>
          <w:i/>
          <w:iCs/>
        </w:rPr>
        <w:t>8</w:t>
      </w:r>
      <w:r w:rsidRPr="7E9C04BA">
        <w:rPr>
          <w:rFonts w:ascii="Garamond" w:eastAsia="Garamond" w:hAnsi="Garamond" w:cs="Garamond"/>
        </w:rPr>
        <w:t xml:space="preserve">(11), e2020EF001736. </w:t>
      </w:r>
      <w:hyperlink r:id="rId33">
        <w:r w:rsidRPr="7E9C04BA">
          <w:rPr>
            <w:rStyle w:val="Hyperlink"/>
            <w:rFonts w:ascii="Garamond" w:eastAsia="Garamond" w:hAnsi="Garamond" w:cs="Garamond"/>
            <w:color w:val="auto"/>
            <w:u w:val="none"/>
          </w:rPr>
          <w:t>https://doi.org/10.1029/2020EF001736</w:t>
        </w:r>
      </w:hyperlink>
    </w:p>
    <w:p w14:paraId="0E663B30" w14:textId="229FA8A9" w:rsidR="7E9C04BA" w:rsidRPr="00E27AC4" w:rsidRDefault="7F421004" w:rsidP="10D1FD28">
      <w:pPr>
        <w:ind w:left="567" w:hanging="567"/>
        <w:rPr>
          <w:rFonts w:ascii="Garamond" w:eastAsia="Garamond" w:hAnsi="Garamond" w:cs="Garamond"/>
        </w:rPr>
      </w:pPr>
      <w:r w:rsidRPr="00E27AC4">
        <w:rPr>
          <w:rFonts w:ascii="Garamond" w:eastAsia="Garamond" w:hAnsi="Garamond" w:cs="Garamond"/>
        </w:rPr>
        <w:t>Miller, J. D., Knapp, E. E., Key, C. H., Skinner, C. N., Isbell, C. J., Creasy, R. M., &amp; Sherlock, J. W. (2009). Calibration and validation of the relative differenced normalized burn ratio (</w:t>
      </w:r>
      <w:proofErr w:type="spellStart"/>
      <w:r w:rsidRPr="00E27AC4">
        <w:rPr>
          <w:rFonts w:ascii="Garamond" w:eastAsia="Garamond" w:hAnsi="Garamond" w:cs="Garamond"/>
        </w:rPr>
        <w:t>rdnbr</w:t>
      </w:r>
      <w:proofErr w:type="spellEnd"/>
      <w:r w:rsidRPr="00E27AC4">
        <w:rPr>
          <w:rFonts w:ascii="Garamond" w:eastAsia="Garamond" w:hAnsi="Garamond" w:cs="Garamond"/>
        </w:rPr>
        <w:t xml:space="preserve">) to three measures </w:t>
      </w:r>
      <w:r w:rsidRPr="00E27AC4">
        <w:rPr>
          <w:rFonts w:ascii="Garamond" w:eastAsia="Garamond" w:hAnsi="Garamond" w:cs="Garamond"/>
        </w:rPr>
        <w:lastRenderedPageBreak/>
        <w:t xml:space="preserve">of fire severity in the Sierra Nevada and Klamath Mountains, California, USA. </w:t>
      </w:r>
      <w:r w:rsidRPr="00E27AC4">
        <w:rPr>
          <w:rFonts w:ascii="Garamond" w:eastAsia="Garamond" w:hAnsi="Garamond" w:cs="Garamond"/>
          <w:i/>
          <w:iCs/>
        </w:rPr>
        <w:t>Remote Sensing of Environment</w:t>
      </w:r>
      <w:r w:rsidRPr="00E27AC4">
        <w:rPr>
          <w:rFonts w:ascii="Garamond" w:eastAsia="Garamond" w:hAnsi="Garamond" w:cs="Garamond"/>
        </w:rPr>
        <w:t xml:space="preserve">, </w:t>
      </w:r>
      <w:r w:rsidRPr="00E27AC4">
        <w:rPr>
          <w:rFonts w:ascii="Garamond" w:eastAsia="Garamond" w:hAnsi="Garamond" w:cs="Garamond"/>
          <w:i/>
          <w:iCs/>
        </w:rPr>
        <w:t>113</w:t>
      </w:r>
      <w:r w:rsidRPr="00E27AC4">
        <w:rPr>
          <w:rFonts w:ascii="Garamond" w:eastAsia="Garamond" w:hAnsi="Garamond" w:cs="Garamond"/>
        </w:rPr>
        <w:t xml:space="preserve">(3), 645–656. </w:t>
      </w:r>
      <w:hyperlink r:id="rId34">
        <w:r w:rsidRPr="00E27AC4">
          <w:rPr>
            <w:rStyle w:val="Hyperlink"/>
            <w:rFonts w:ascii="Garamond" w:eastAsia="Garamond" w:hAnsi="Garamond" w:cs="Garamond"/>
          </w:rPr>
          <w:t>https://doi.org/10.1016/j.rse.2008.11.009</w:t>
        </w:r>
      </w:hyperlink>
    </w:p>
    <w:p w14:paraId="152D5383" w14:textId="634ABEC3" w:rsidR="5C31A34A" w:rsidRDefault="5C31A34A" w:rsidP="5C31A34A">
      <w:pPr>
        <w:ind w:left="567" w:hanging="567"/>
        <w:rPr>
          <w:rFonts w:ascii="Garamond" w:eastAsia="Garamond" w:hAnsi="Garamond" w:cs="Garamond"/>
        </w:rPr>
      </w:pPr>
      <w:r w:rsidRPr="5C31A34A">
        <w:rPr>
          <w:rFonts w:ascii="Garamond" w:eastAsia="Garamond" w:hAnsi="Garamond" w:cs="Garamond"/>
        </w:rPr>
        <w:t xml:space="preserve">MRLC (2019). NLCD 2019 Land Cover (CONUS). </w:t>
      </w:r>
      <w:hyperlink r:id="rId35">
        <w:r w:rsidRPr="5C31A34A">
          <w:rPr>
            <w:rStyle w:val="Hyperlink"/>
            <w:rFonts w:ascii="Garamond" w:eastAsia="Garamond" w:hAnsi="Garamond" w:cs="Garamond"/>
            <w:color w:val="auto"/>
            <w:u w:val="none"/>
          </w:rPr>
          <w:t>https://www.mrlc.gov/data/nlcd-2019-land-cover-conus</w:t>
        </w:r>
      </w:hyperlink>
    </w:p>
    <w:p w14:paraId="40021682" w14:textId="23BF1B8B" w:rsidR="422C0B4F" w:rsidRDefault="3559422B" w:rsidP="5C31A34A">
      <w:pPr>
        <w:spacing w:after="0" w:line="240" w:lineRule="auto"/>
        <w:ind w:left="720" w:hanging="720"/>
        <w:rPr>
          <w:rFonts w:ascii="Garamond" w:eastAsia="Garamond" w:hAnsi="Garamond" w:cs="Garamond"/>
          <w:color w:val="000000" w:themeColor="text1"/>
        </w:rPr>
      </w:pPr>
      <w:r w:rsidRPr="5C31A34A">
        <w:rPr>
          <w:rFonts w:ascii="Garamond" w:eastAsia="Garamond" w:hAnsi="Garamond" w:cs="Garamond"/>
        </w:rPr>
        <w:t xml:space="preserve">NASA JPL (2013). </w:t>
      </w:r>
      <w:r w:rsidRPr="5C31A34A">
        <w:rPr>
          <w:rFonts w:ascii="Garamond" w:eastAsia="Garamond" w:hAnsi="Garamond" w:cs="Garamond"/>
          <w:i/>
          <w:iCs/>
        </w:rPr>
        <w:t xml:space="preserve">NASA Shuttle Radar Topography Mission Global 1 arc second </w:t>
      </w:r>
      <w:proofErr w:type="spellStart"/>
      <w:r w:rsidRPr="5C31A34A">
        <w:rPr>
          <w:rFonts w:ascii="Garamond" w:eastAsia="Garamond" w:hAnsi="Garamond" w:cs="Garamond"/>
          <w:i/>
          <w:iCs/>
        </w:rPr>
        <w:t>NetCDF</w:t>
      </w:r>
      <w:proofErr w:type="spellEnd"/>
      <w:r w:rsidRPr="5C31A34A">
        <w:rPr>
          <w:rFonts w:ascii="Garamond" w:eastAsia="Garamond" w:hAnsi="Garamond" w:cs="Garamond"/>
        </w:rPr>
        <w:t>. NASA EOSDIS Land Processes DAAC. Accessed 2022-06-23 from https://doi.org/10.5067/MEaSUREs/SRTM/SRTMGL1_NC.003</w:t>
      </w:r>
    </w:p>
    <w:p w14:paraId="1CAD7083" w14:textId="23BF1B8B" w:rsidR="5C31A34A" w:rsidRDefault="5C31A34A" w:rsidP="5C31A34A">
      <w:pPr>
        <w:spacing w:after="0" w:line="240" w:lineRule="auto"/>
        <w:ind w:left="720" w:hanging="720"/>
        <w:rPr>
          <w:rFonts w:ascii="Garamond" w:eastAsia="Garamond" w:hAnsi="Garamond" w:cs="Garamond"/>
        </w:rPr>
      </w:pPr>
    </w:p>
    <w:p w14:paraId="6DB4E49C" w14:textId="23107188" w:rsidR="37848BF8" w:rsidRDefault="4A4F9EB1" w:rsidP="5C31A34A">
      <w:pPr>
        <w:spacing w:after="0" w:line="240" w:lineRule="auto"/>
        <w:ind w:left="720" w:hanging="720"/>
        <w:rPr>
          <w:rFonts w:ascii="Garamond" w:eastAsia="Garamond" w:hAnsi="Garamond" w:cs="Garamond"/>
        </w:rPr>
      </w:pPr>
      <w:r w:rsidRPr="10D1FD28">
        <w:rPr>
          <w:rFonts w:ascii="Garamond" w:eastAsia="Garamond" w:hAnsi="Garamond" w:cs="Garamond"/>
        </w:rPr>
        <w:t xml:space="preserve">National Drought Mitigation Center, National Oceanic and Atmospheric Administration (NOAA), United Stated Department of Agriculture (USDA). (2022). US Drought Monitor (2000 – Present). [Data file]. Retrieved from https://droughtmonitor.unl.edu/DmData/GISData.aspx </w:t>
      </w:r>
    </w:p>
    <w:p w14:paraId="7BB85DF1" w14:textId="3BC5152D" w:rsidR="37848BF8" w:rsidRDefault="37848BF8" w:rsidP="5C31A34A">
      <w:pPr>
        <w:spacing w:after="0" w:line="240" w:lineRule="auto"/>
        <w:ind w:left="720" w:hanging="720"/>
        <w:rPr>
          <w:rFonts w:ascii="Garamond" w:eastAsia="Garamond" w:hAnsi="Garamond" w:cs="Garamond"/>
        </w:rPr>
      </w:pPr>
    </w:p>
    <w:p w14:paraId="7279C340" w14:textId="6705A28F" w:rsidR="37848BF8" w:rsidRDefault="4A4F9EB1" w:rsidP="5C31A34A">
      <w:pPr>
        <w:spacing w:after="0" w:line="240" w:lineRule="auto"/>
        <w:ind w:left="720" w:hanging="720"/>
        <w:rPr>
          <w:rFonts w:ascii="Garamond" w:eastAsia="Garamond" w:hAnsi="Garamond" w:cs="Garamond"/>
        </w:rPr>
      </w:pPr>
      <w:r w:rsidRPr="10D1FD28">
        <w:rPr>
          <w:rFonts w:ascii="Garamond" w:eastAsia="Garamond" w:hAnsi="Garamond" w:cs="Garamond"/>
        </w:rPr>
        <w:t xml:space="preserve">Pamela, </w:t>
      </w:r>
      <w:proofErr w:type="spellStart"/>
      <w:r w:rsidRPr="10D1FD28">
        <w:rPr>
          <w:rFonts w:ascii="Garamond" w:eastAsia="Garamond" w:hAnsi="Garamond" w:cs="Garamond"/>
        </w:rPr>
        <w:t>Yukni</w:t>
      </w:r>
      <w:proofErr w:type="spellEnd"/>
      <w:r w:rsidRPr="10D1FD28">
        <w:rPr>
          <w:rFonts w:ascii="Garamond" w:eastAsia="Garamond" w:hAnsi="Garamond" w:cs="Garamond"/>
        </w:rPr>
        <w:t xml:space="preserve">, A., Imam, S. A., &amp; </w:t>
      </w:r>
      <w:proofErr w:type="spellStart"/>
      <w:r w:rsidRPr="10D1FD28">
        <w:rPr>
          <w:rFonts w:ascii="Garamond" w:eastAsia="Garamond" w:hAnsi="Garamond" w:cs="Garamond"/>
        </w:rPr>
        <w:t>Kartiko</w:t>
      </w:r>
      <w:proofErr w:type="spellEnd"/>
      <w:r w:rsidRPr="10D1FD28">
        <w:rPr>
          <w:rFonts w:ascii="Garamond" w:eastAsia="Garamond" w:hAnsi="Garamond" w:cs="Garamond"/>
        </w:rPr>
        <w:t xml:space="preserve">, R. D. (2018, July). The selective causative factors on landslide susceptibility assessment: Case study </w:t>
      </w:r>
      <w:proofErr w:type="spellStart"/>
      <w:r w:rsidRPr="10D1FD28">
        <w:rPr>
          <w:rFonts w:ascii="Garamond" w:eastAsia="Garamond" w:hAnsi="Garamond" w:cs="Garamond"/>
        </w:rPr>
        <w:t>Takengon</w:t>
      </w:r>
      <w:proofErr w:type="spellEnd"/>
      <w:r w:rsidRPr="10D1FD28">
        <w:rPr>
          <w:rFonts w:ascii="Garamond" w:eastAsia="Garamond" w:hAnsi="Garamond" w:cs="Garamond"/>
        </w:rPr>
        <w:t xml:space="preserve">, Aceh, Indonesia. In </w:t>
      </w:r>
      <w:r w:rsidRPr="10D1FD28">
        <w:rPr>
          <w:rFonts w:ascii="Garamond" w:eastAsia="Garamond" w:hAnsi="Garamond" w:cs="Garamond"/>
          <w:i/>
          <w:iCs/>
        </w:rPr>
        <w:t>AIP Conference Proceedings</w:t>
      </w:r>
      <w:r w:rsidRPr="10D1FD28">
        <w:rPr>
          <w:rFonts w:ascii="Garamond" w:eastAsia="Garamond" w:hAnsi="Garamond" w:cs="Garamond"/>
        </w:rPr>
        <w:t xml:space="preserve"> (Vol. 1987, No. 1, p. 020089). AIP Publishing LLC. </w:t>
      </w:r>
      <w:hyperlink r:id="rId36">
        <w:r w:rsidRPr="10D1FD28">
          <w:rPr>
            <w:rStyle w:val="Hyperlink"/>
            <w:rFonts w:ascii="Garamond" w:eastAsia="Garamond" w:hAnsi="Garamond" w:cs="Garamond"/>
            <w:color w:val="auto"/>
            <w:u w:val="none"/>
          </w:rPr>
          <w:t>https://doi.org/10.1063/1.5047374</w:t>
        </w:r>
      </w:hyperlink>
    </w:p>
    <w:p w14:paraId="0F39AA7B" w14:textId="75A05F2A" w:rsidR="10D1FD28" w:rsidRDefault="10D1FD28" w:rsidP="10D1FD28">
      <w:pPr>
        <w:spacing w:after="0" w:line="240" w:lineRule="auto"/>
        <w:ind w:left="720" w:hanging="720"/>
        <w:rPr>
          <w:rFonts w:ascii="Garamond" w:eastAsia="Garamond" w:hAnsi="Garamond" w:cs="Garamond"/>
        </w:rPr>
      </w:pPr>
    </w:p>
    <w:p w14:paraId="4781FBB3" w14:textId="143E6A78" w:rsidR="37848BF8" w:rsidRDefault="4A4F9EB1" w:rsidP="5C31A34A">
      <w:pPr>
        <w:spacing w:after="0" w:line="240" w:lineRule="auto"/>
        <w:ind w:left="720" w:hanging="720"/>
        <w:rPr>
          <w:rFonts w:ascii="Garamond" w:eastAsia="Garamond" w:hAnsi="Garamond" w:cs="Garamond"/>
        </w:rPr>
      </w:pPr>
      <w:proofErr w:type="spellStart"/>
      <w:r w:rsidRPr="10D1FD28">
        <w:rPr>
          <w:rFonts w:ascii="Garamond" w:eastAsia="Garamond" w:hAnsi="Garamond" w:cs="Garamond"/>
        </w:rPr>
        <w:t>Pascolini</w:t>
      </w:r>
      <w:proofErr w:type="spellEnd"/>
      <w:r w:rsidRPr="10D1FD28">
        <w:rPr>
          <w:rFonts w:ascii="Garamond" w:eastAsia="Garamond" w:hAnsi="Garamond" w:cs="Garamond"/>
        </w:rPr>
        <w:t xml:space="preserve">‐Campbell, M., Lee, C., Stavros, N., &amp; Fisher, J. B. (2022). ECOSTRESS reveals pre‐fire vegetation controls on burn severity for Southern California wildfires of 2020. </w:t>
      </w:r>
      <w:r w:rsidRPr="10D1FD28">
        <w:rPr>
          <w:rFonts w:ascii="Garamond" w:eastAsia="Garamond" w:hAnsi="Garamond" w:cs="Garamond"/>
          <w:i/>
          <w:iCs/>
        </w:rPr>
        <w:t>Global Ecology and Biogeography</w:t>
      </w:r>
      <w:r w:rsidRPr="10D1FD28">
        <w:rPr>
          <w:rFonts w:ascii="Garamond" w:eastAsia="Garamond" w:hAnsi="Garamond" w:cs="Garamond"/>
        </w:rPr>
        <w:t xml:space="preserve">. </w:t>
      </w:r>
      <w:hyperlink r:id="rId37">
        <w:r w:rsidRPr="10D1FD28">
          <w:rPr>
            <w:rStyle w:val="Hyperlink"/>
            <w:rFonts w:ascii="Garamond" w:eastAsia="Garamond" w:hAnsi="Garamond" w:cs="Garamond"/>
            <w:color w:val="auto"/>
            <w:u w:val="none"/>
          </w:rPr>
          <w:t>https://doi.org/10.1111/geb.13526</w:t>
        </w:r>
      </w:hyperlink>
    </w:p>
    <w:p w14:paraId="62F58CD9" w14:textId="10B82A14" w:rsidR="10D1FD28" w:rsidRDefault="10D1FD28" w:rsidP="10D1FD28">
      <w:pPr>
        <w:spacing w:after="0" w:line="240" w:lineRule="auto"/>
        <w:ind w:left="720" w:hanging="720"/>
        <w:rPr>
          <w:rFonts w:ascii="Garamond" w:eastAsia="Garamond" w:hAnsi="Garamond" w:cs="Garamond"/>
        </w:rPr>
      </w:pPr>
    </w:p>
    <w:p w14:paraId="5E9C7099" w14:textId="5EF99CE0" w:rsidR="37848BF8" w:rsidRDefault="5C31A34A"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Williams, A. P., </w:t>
      </w:r>
      <w:proofErr w:type="spellStart"/>
      <w:r w:rsidRPr="5C31A34A">
        <w:rPr>
          <w:rFonts w:ascii="Garamond" w:eastAsia="Garamond" w:hAnsi="Garamond" w:cs="Garamond"/>
        </w:rPr>
        <w:t>Abatzoglou</w:t>
      </w:r>
      <w:proofErr w:type="spellEnd"/>
      <w:r w:rsidRPr="5C31A34A">
        <w:rPr>
          <w:rFonts w:ascii="Garamond" w:eastAsia="Garamond" w:hAnsi="Garamond" w:cs="Garamond"/>
        </w:rPr>
        <w:t xml:space="preserve">, J. T., </w:t>
      </w:r>
      <w:proofErr w:type="spellStart"/>
      <w:r w:rsidRPr="5C31A34A">
        <w:rPr>
          <w:rFonts w:ascii="Garamond" w:eastAsia="Garamond" w:hAnsi="Garamond" w:cs="Garamond"/>
        </w:rPr>
        <w:t>Gershunov</w:t>
      </w:r>
      <w:proofErr w:type="spellEnd"/>
      <w:r w:rsidRPr="5C31A34A">
        <w:rPr>
          <w:rFonts w:ascii="Garamond" w:eastAsia="Garamond" w:hAnsi="Garamond" w:cs="Garamond"/>
        </w:rPr>
        <w:t xml:space="preserve">, A., Guzman‐Morales, J., Bishop, D. A., Balch, J. K., &amp; </w:t>
      </w:r>
      <w:proofErr w:type="spellStart"/>
      <w:r w:rsidRPr="5C31A34A">
        <w:rPr>
          <w:rFonts w:ascii="Garamond" w:eastAsia="Garamond" w:hAnsi="Garamond" w:cs="Garamond"/>
        </w:rPr>
        <w:t>Lettenmaier</w:t>
      </w:r>
      <w:proofErr w:type="spellEnd"/>
      <w:r w:rsidRPr="5C31A34A">
        <w:rPr>
          <w:rFonts w:ascii="Garamond" w:eastAsia="Garamond" w:hAnsi="Garamond" w:cs="Garamond"/>
        </w:rPr>
        <w:t xml:space="preserve">, D. P. (2019). Observed impacts of anthropogenic climate change on wildfire in California. </w:t>
      </w:r>
      <w:r w:rsidRPr="5C31A34A">
        <w:rPr>
          <w:rFonts w:ascii="Garamond" w:eastAsia="Garamond" w:hAnsi="Garamond" w:cs="Garamond"/>
          <w:i/>
          <w:iCs/>
        </w:rPr>
        <w:t>Earth's Future</w:t>
      </w:r>
      <w:r w:rsidRPr="5C31A34A">
        <w:rPr>
          <w:rFonts w:ascii="Garamond" w:eastAsia="Garamond" w:hAnsi="Garamond" w:cs="Garamond"/>
        </w:rPr>
        <w:t xml:space="preserve">, </w:t>
      </w:r>
      <w:r w:rsidRPr="5C31A34A">
        <w:rPr>
          <w:rFonts w:ascii="Garamond" w:eastAsia="Garamond" w:hAnsi="Garamond" w:cs="Garamond"/>
          <w:i/>
          <w:iCs/>
        </w:rPr>
        <w:t>7</w:t>
      </w:r>
      <w:r w:rsidRPr="5C31A34A">
        <w:rPr>
          <w:rFonts w:ascii="Garamond" w:eastAsia="Garamond" w:hAnsi="Garamond" w:cs="Garamond"/>
        </w:rPr>
        <w:t xml:space="preserve">(8), 892-910. </w:t>
      </w:r>
      <w:hyperlink r:id="rId38">
        <w:r w:rsidRPr="5C31A34A">
          <w:rPr>
            <w:rStyle w:val="Hyperlink"/>
            <w:rFonts w:ascii="Garamond" w:eastAsia="Garamond" w:hAnsi="Garamond" w:cs="Garamond"/>
            <w:color w:val="auto"/>
            <w:u w:val="none"/>
          </w:rPr>
          <w:t>https://doi.org/10.1029/2019EF001210</w:t>
        </w:r>
      </w:hyperlink>
    </w:p>
    <w:p w14:paraId="69053659" w14:textId="63A674FB" w:rsidR="37848BF8" w:rsidRDefault="37848BF8" w:rsidP="5C31A34A">
      <w:pPr>
        <w:spacing w:after="0" w:line="240" w:lineRule="auto"/>
        <w:ind w:left="720" w:hanging="720"/>
        <w:rPr>
          <w:rFonts w:ascii="Garamond" w:eastAsia="Garamond" w:hAnsi="Garamond" w:cs="Garamond"/>
        </w:rPr>
      </w:pPr>
    </w:p>
    <w:p w14:paraId="4E5F3AF5" w14:textId="7A5FF066" w:rsidR="37848BF8" w:rsidRDefault="5C31A34A"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Williams, A. P., Cook, B. I., &amp; </w:t>
      </w:r>
      <w:proofErr w:type="spellStart"/>
      <w:r w:rsidRPr="5C31A34A">
        <w:rPr>
          <w:rFonts w:ascii="Garamond" w:eastAsia="Garamond" w:hAnsi="Garamond" w:cs="Garamond"/>
        </w:rPr>
        <w:t>Smerdon</w:t>
      </w:r>
      <w:proofErr w:type="spellEnd"/>
      <w:r w:rsidRPr="5C31A34A">
        <w:rPr>
          <w:rFonts w:ascii="Garamond" w:eastAsia="Garamond" w:hAnsi="Garamond" w:cs="Garamond"/>
        </w:rPr>
        <w:t xml:space="preserve">, J. E. (2022). Rapid intensification of the emerging southwestern North American megadrought in 2020–2021. </w:t>
      </w:r>
      <w:r w:rsidRPr="5C31A34A">
        <w:rPr>
          <w:rFonts w:ascii="Garamond" w:eastAsia="Garamond" w:hAnsi="Garamond" w:cs="Garamond"/>
          <w:i/>
          <w:iCs/>
        </w:rPr>
        <w:t>Nature Climate Change</w:t>
      </w:r>
      <w:r w:rsidRPr="5C31A34A">
        <w:rPr>
          <w:rFonts w:ascii="Garamond" w:eastAsia="Garamond" w:hAnsi="Garamond" w:cs="Garamond"/>
        </w:rPr>
        <w:t xml:space="preserve">, </w:t>
      </w:r>
      <w:r w:rsidRPr="5C31A34A">
        <w:rPr>
          <w:rFonts w:ascii="Garamond" w:eastAsia="Garamond" w:hAnsi="Garamond" w:cs="Garamond"/>
          <w:i/>
          <w:iCs/>
        </w:rPr>
        <w:t>12</w:t>
      </w:r>
      <w:r w:rsidRPr="5C31A34A">
        <w:rPr>
          <w:rFonts w:ascii="Garamond" w:eastAsia="Garamond" w:hAnsi="Garamond" w:cs="Garamond"/>
        </w:rPr>
        <w:t xml:space="preserve">(3), 232-234. </w:t>
      </w:r>
      <w:hyperlink r:id="rId39">
        <w:r w:rsidRPr="5C31A34A">
          <w:rPr>
            <w:rStyle w:val="Hyperlink"/>
            <w:rFonts w:ascii="Garamond" w:eastAsia="Garamond" w:hAnsi="Garamond" w:cs="Garamond"/>
            <w:color w:val="auto"/>
            <w:u w:val="none"/>
          </w:rPr>
          <w:t>https://doi.org/10.1038/s41558-022-01290-z</w:t>
        </w:r>
      </w:hyperlink>
    </w:p>
    <w:p w14:paraId="3B21971A" w14:textId="54871A40" w:rsidR="37848BF8" w:rsidRDefault="37848BF8" w:rsidP="5C31A34A">
      <w:pPr>
        <w:spacing w:after="0" w:line="240" w:lineRule="auto"/>
        <w:ind w:left="720" w:hanging="720"/>
        <w:rPr>
          <w:rFonts w:ascii="Garamond" w:eastAsia="Garamond" w:hAnsi="Garamond" w:cs="Garamond"/>
        </w:rPr>
      </w:pPr>
    </w:p>
    <w:p w14:paraId="0647FAD9" w14:textId="15BD8B35" w:rsidR="37848BF8" w:rsidRDefault="3559422B" w:rsidP="5C31A34A">
      <w:pPr>
        <w:spacing w:after="0" w:line="240" w:lineRule="auto"/>
        <w:ind w:left="720" w:hanging="720"/>
        <w:rPr>
          <w:rFonts w:ascii="Garamond" w:eastAsia="Garamond" w:hAnsi="Garamond" w:cs="Garamond"/>
        </w:rPr>
      </w:pPr>
      <w:r w:rsidRPr="5C31A34A">
        <w:rPr>
          <w:rFonts w:ascii="Garamond" w:eastAsia="Garamond" w:hAnsi="Garamond" w:cs="Garamond"/>
        </w:rPr>
        <w:t xml:space="preserve">USDA Forest Service, Geospatial Technology and Applications Center, BAER Imagery Support Program (2021).  </w:t>
      </w:r>
      <w:r w:rsidRPr="5C31A34A">
        <w:rPr>
          <w:rFonts w:ascii="Garamond" w:eastAsia="Garamond" w:hAnsi="Garamond" w:cs="Garamond"/>
          <w:i/>
          <w:iCs/>
        </w:rPr>
        <w:t>Soil Burn Severity Dataset for the BOOTLEG Fire occurring on the Fremont-</w:t>
      </w:r>
      <w:proofErr w:type="spellStart"/>
      <w:r w:rsidRPr="5C31A34A">
        <w:rPr>
          <w:rFonts w:ascii="Garamond" w:eastAsia="Garamond" w:hAnsi="Garamond" w:cs="Garamond"/>
          <w:i/>
          <w:iCs/>
        </w:rPr>
        <w:t>Winema</w:t>
      </w:r>
      <w:proofErr w:type="spellEnd"/>
      <w:r w:rsidRPr="5C31A34A">
        <w:rPr>
          <w:rFonts w:ascii="Garamond" w:eastAsia="Garamond" w:hAnsi="Garamond" w:cs="Garamond"/>
          <w:i/>
          <w:iCs/>
        </w:rPr>
        <w:t xml:space="preserve"> National Forest National Forest.  </w:t>
      </w:r>
      <w:r w:rsidR="2E679B0D" w:rsidRPr="5C31A34A">
        <w:rPr>
          <w:rFonts w:ascii="Garamond" w:eastAsia="Garamond" w:hAnsi="Garamond" w:cs="Garamond"/>
        </w:rPr>
        <w:t xml:space="preserve">Burn Severity Portal. Accessed 2022- 06-16.  </w:t>
      </w:r>
      <w:r w:rsidRPr="5C31A34A">
        <w:rPr>
          <w:rFonts w:ascii="Garamond" w:eastAsia="Garamond" w:hAnsi="Garamond" w:cs="Garamond"/>
        </w:rPr>
        <w:t>https://burnseverity.cr.usgs.gov/baer/baer-imagery-support-data-download</w:t>
      </w:r>
    </w:p>
    <w:p w14:paraId="4008AF06" w14:textId="787B4DD1" w:rsidR="37848BF8" w:rsidRDefault="37848BF8" w:rsidP="5C31A34A">
      <w:pPr>
        <w:spacing w:after="0" w:line="240" w:lineRule="auto"/>
        <w:ind w:left="720" w:hanging="720"/>
        <w:rPr>
          <w:rFonts w:ascii="Garamond" w:eastAsia="Garamond" w:hAnsi="Garamond" w:cs="Garamond"/>
        </w:rPr>
      </w:pPr>
    </w:p>
    <w:p w14:paraId="7A0F0CAC" w14:textId="6F2017A1" w:rsidR="37848BF8" w:rsidRDefault="566BDD39" w:rsidP="7E9C04BA">
      <w:pPr>
        <w:spacing w:after="0" w:line="240" w:lineRule="auto"/>
        <w:ind w:left="720" w:hanging="720"/>
        <w:rPr>
          <w:rFonts w:ascii="Garamond" w:eastAsia="Garamond" w:hAnsi="Garamond" w:cs="Garamond"/>
          <w:color w:val="000000" w:themeColor="text1"/>
        </w:rPr>
      </w:pPr>
      <w:proofErr w:type="spellStart"/>
      <w:r w:rsidRPr="7E9C04BA">
        <w:rPr>
          <w:rFonts w:ascii="Garamond" w:eastAsia="Garamond" w:hAnsi="Garamond" w:cs="Garamond"/>
        </w:rPr>
        <w:t>Zha</w:t>
      </w:r>
      <w:proofErr w:type="spellEnd"/>
      <w:r w:rsidRPr="7E9C04BA">
        <w:rPr>
          <w:rFonts w:ascii="Garamond" w:eastAsia="Garamond" w:hAnsi="Garamond" w:cs="Garamond"/>
        </w:rPr>
        <w:t>, T., Barr, A. G., van der Kamp, G., Black, T. A., McCaughey, J. H., &amp; Flanagan, L. B. (2010). Interannual variation of evapotranspiration from forest and grassland ecosystems in western Canada in relation to drought.</w:t>
      </w:r>
      <w:r w:rsidRPr="7E9C04BA">
        <w:rPr>
          <w:rFonts w:ascii="Garamond" w:eastAsia="Garamond" w:hAnsi="Garamond" w:cs="Garamond"/>
          <w:i/>
          <w:iCs/>
        </w:rPr>
        <w:t xml:space="preserve"> Agricultural and Forest Meteorology, 150</w:t>
      </w:r>
      <w:r w:rsidRPr="7E9C04BA">
        <w:rPr>
          <w:rFonts w:ascii="Garamond" w:eastAsia="Garamond" w:hAnsi="Garamond" w:cs="Garamond"/>
        </w:rPr>
        <w:t xml:space="preserve">(11), 1476-1484. </w:t>
      </w:r>
      <w:hyperlink r:id="rId40">
        <w:r w:rsidRPr="7E9C04BA">
          <w:rPr>
            <w:rStyle w:val="Hyperlink"/>
            <w:rFonts w:ascii="Garamond" w:eastAsia="Garamond" w:hAnsi="Garamond" w:cs="Garamond"/>
          </w:rPr>
          <w:t>https://doi.org/10.1016/j.agrformet.2010.08.003</w:t>
        </w:r>
      </w:hyperlink>
    </w:p>
    <w:p w14:paraId="2D211AC4" w14:textId="3EFB4C3F" w:rsidR="7E9C04BA" w:rsidRDefault="7E9C04BA" w:rsidP="7E9C04BA">
      <w:pPr>
        <w:spacing w:after="0" w:line="240" w:lineRule="auto"/>
        <w:rPr>
          <w:rFonts w:ascii="Garamond" w:eastAsia="Garamond" w:hAnsi="Garamond" w:cs="Garamond"/>
        </w:rPr>
      </w:pPr>
    </w:p>
    <w:p w14:paraId="240646CB" w14:textId="200C32D3" w:rsidR="5C31A34A" w:rsidRDefault="5C31A34A" w:rsidP="65CB079E">
      <w:pPr>
        <w:spacing w:after="0" w:line="240" w:lineRule="auto"/>
        <w:rPr>
          <w:rFonts w:ascii="Garamond" w:eastAsia="Garamond" w:hAnsi="Garamond" w:cs="Garamond"/>
        </w:rPr>
      </w:pPr>
    </w:p>
    <w:p w14:paraId="3E9E4758" w14:textId="237B6736" w:rsidR="5C31A34A" w:rsidRDefault="5C31A34A" w:rsidP="5C31A34A">
      <w:pPr>
        <w:spacing w:after="0" w:line="240" w:lineRule="auto"/>
        <w:rPr>
          <w:rFonts w:ascii="Garamond" w:eastAsia="Garamond" w:hAnsi="Garamond" w:cs="Garamond"/>
          <w:color w:val="000000" w:themeColor="text1"/>
        </w:rPr>
      </w:pPr>
    </w:p>
    <w:p w14:paraId="7CA9A253" w14:textId="27C9F09C" w:rsidR="00615E3A" w:rsidRPr="0066138C" w:rsidRDefault="719336AC" w:rsidP="0066138C">
      <w:pPr>
        <w:pStyle w:val="Heading1"/>
        <w:spacing w:before="0" w:line="240" w:lineRule="auto"/>
        <w:rPr>
          <w:rFonts w:ascii="Garamond" w:hAnsi="Garamond"/>
        </w:rPr>
      </w:pPr>
      <w:r w:rsidRPr="5C31A34A">
        <w:rPr>
          <w:rFonts w:ascii="Garamond" w:hAnsi="Garamond"/>
        </w:rPr>
        <w:t>9</w:t>
      </w:r>
      <w:r w:rsidR="6407BBC2" w:rsidRPr="5C31A34A">
        <w:rPr>
          <w:rFonts w:ascii="Garamond" w:hAnsi="Garamond"/>
        </w:rPr>
        <w:t>. Appendices</w:t>
      </w:r>
    </w:p>
    <w:p w14:paraId="128E50D9" w14:textId="75AD35AA" w:rsidR="5C31A34A" w:rsidRDefault="566BDD39" w:rsidP="5C31A34A">
      <w:pPr>
        <w:spacing w:after="0" w:line="240" w:lineRule="auto"/>
        <w:jc w:val="center"/>
        <w:rPr>
          <w:rFonts w:ascii="Garamond" w:hAnsi="Garamond"/>
        </w:rPr>
      </w:pPr>
      <w:r w:rsidRPr="7E9C04BA">
        <w:rPr>
          <w:rFonts w:ascii="Garamond" w:hAnsi="Garamond"/>
        </w:rPr>
        <w:t>Appendix A: Vegetation Moisture</w:t>
      </w:r>
    </w:p>
    <w:p w14:paraId="38053C6E" w14:textId="661B0070" w:rsidR="7E0D176A" w:rsidRDefault="7F421004" w:rsidP="7E9C04BA">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5FCCFF62" wp14:editId="671B322C">
            <wp:extent cx="5800222" cy="2199252"/>
            <wp:effectExtent l="0" t="0" r="0" b="0"/>
            <wp:docPr id="1524496953" name="Picture 152449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496953"/>
                    <pic:cNvPicPr/>
                  </pic:nvPicPr>
                  <pic:blipFill>
                    <a:blip r:embed="rId41">
                      <a:extLst>
                        <a:ext uri="{28A0092B-C50C-407E-A947-70E740481C1C}">
                          <a14:useLocalDpi xmlns:a14="http://schemas.microsoft.com/office/drawing/2010/main" val="0"/>
                        </a:ext>
                      </a:extLst>
                    </a:blip>
                    <a:stretch>
                      <a:fillRect/>
                    </a:stretch>
                  </pic:blipFill>
                  <pic:spPr>
                    <a:xfrm>
                      <a:off x="0" y="0"/>
                      <a:ext cx="5800222" cy="2199252"/>
                    </a:xfrm>
                    <a:prstGeom prst="rect">
                      <a:avLst/>
                    </a:prstGeom>
                  </pic:spPr>
                </pic:pic>
              </a:graphicData>
            </a:graphic>
          </wp:inline>
        </w:drawing>
      </w:r>
      <w:r w:rsidR="28076BE6" w:rsidRPr="10D1FD28">
        <w:rPr>
          <w:rFonts w:ascii="Garamond" w:eastAsia="Garamond" w:hAnsi="Garamond" w:cs="Garamond"/>
          <w:i/>
          <w:iCs/>
          <w:color w:val="000000" w:themeColor="text1"/>
        </w:rPr>
        <w:t xml:space="preserve">Figure A1. </w:t>
      </w:r>
      <w:r w:rsidR="28076BE6" w:rsidRPr="10D1FD28">
        <w:rPr>
          <w:rFonts w:ascii="Garamond" w:eastAsia="Garamond" w:hAnsi="Garamond" w:cs="Garamond"/>
          <w:color w:val="000000" w:themeColor="text1"/>
        </w:rPr>
        <w:t>Median ET summer seasonal composites for April 1st – July 5th in a median ET composite 2021 (a), and the</w:t>
      </w:r>
      <w:r w:rsidR="28076BE6" w:rsidRPr="10D1FD28">
        <w:rPr>
          <w:rFonts w:ascii="Garamond" w:eastAsia="Garamond" w:hAnsi="Garamond" w:cs="Garamond"/>
          <w:i/>
          <w:iCs/>
          <w:color w:val="000000" w:themeColor="text1"/>
        </w:rPr>
        <w:t xml:space="preserve"> </w:t>
      </w:r>
      <w:r w:rsidR="28076BE6" w:rsidRPr="10D1FD28">
        <w:rPr>
          <w:rFonts w:ascii="Garamond" w:eastAsia="Garamond" w:hAnsi="Garamond" w:cs="Garamond"/>
          <w:color w:val="000000" w:themeColor="text1"/>
        </w:rPr>
        <w:t xml:space="preserve">median ET composite for 2020 (b). High ET </w:t>
      </w:r>
      <w:r w:rsidR="4F9C27F3"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 xml:space="preserve">in dark green and low ET </w:t>
      </w:r>
      <w:r w:rsidR="2EE06F36"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in brown coloring. The Bootleg Fire heat perimeter boundary is shown in red.</w:t>
      </w:r>
    </w:p>
    <w:p w14:paraId="368F7053" w14:textId="2A346989" w:rsidR="7E0D176A" w:rsidRDefault="7E0D176A" w:rsidP="7E9C04BA">
      <w:pPr>
        <w:spacing w:after="0" w:line="240" w:lineRule="auto"/>
        <w:jc w:val="center"/>
        <w:rPr>
          <w:rFonts w:ascii="Garamond" w:eastAsia="Garamond" w:hAnsi="Garamond" w:cs="Garamond"/>
          <w:color w:val="000000" w:themeColor="text1"/>
        </w:rPr>
      </w:pPr>
    </w:p>
    <w:p w14:paraId="1AB45A2E" w14:textId="2A346989" w:rsidR="7E0D176A" w:rsidRDefault="7E9C04BA" w:rsidP="7E9C04BA">
      <w:pPr>
        <w:spacing w:after="0" w:line="240" w:lineRule="auto"/>
      </w:pPr>
      <w:r>
        <w:rPr>
          <w:noProof/>
        </w:rPr>
        <w:drawing>
          <wp:inline distT="0" distB="0" distL="0" distR="0" wp14:anchorId="4228ED42" wp14:editId="464667FA">
            <wp:extent cx="5855368" cy="2244558"/>
            <wp:effectExtent l="0" t="0" r="0" b="0"/>
            <wp:docPr id="1194461326" name="Picture 119446132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55368" cy="2244558"/>
                    </a:xfrm>
                    <a:prstGeom prst="rect">
                      <a:avLst/>
                    </a:prstGeom>
                  </pic:spPr>
                </pic:pic>
              </a:graphicData>
            </a:graphic>
          </wp:inline>
        </w:drawing>
      </w:r>
    </w:p>
    <w:p w14:paraId="7986FD20" w14:textId="3BE46517" w:rsidR="7E0D176A" w:rsidRDefault="28076BE6" w:rsidP="65CB079E">
      <w:pPr>
        <w:spacing w:after="0" w:line="240" w:lineRule="auto"/>
        <w:jc w:val="center"/>
        <w:rPr>
          <w:rFonts w:ascii="Garamond" w:eastAsia="Garamond" w:hAnsi="Garamond" w:cs="Garamond"/>
          <w:color w:val="000000" w:themeColor="text1"/>
        </w:rPr>
      </w:pPr>
      <w:r w:rsidRPr="10D1FD28">
        <w:rPr>
          <w:rFonts w:ascii="Garamond" w:eastAsia="Garamond" w:hAnsi="Garamond" w:cs="Garamond"/>
          <w:i/>
          <w:iCs/>
          <w:color w:val="000000" w:themeColor="text1"/>
        </w:rPr>
        <w:t xml:space="preserve">Figure A2. </w:t>
      </w:r>
      <w:r w:rsidRPr="10D1FD28">
        <w:rPr>
          <w:rFonts w:ascii="Garamond" w:eastAsia="Garamond" w:hAnsi="Garamond" w:cs="Garamond"/>
          <w:color w:val="000000" w:themeColor="text1"/>
        </w:rPr>
        <w:t>Comparison of the median ET summer seasonal composites for April 1st – July 5th</w:t>
      </w:r>
      <w:proofErr w:type="gramStart"/>
      <w:r w:rsidRPr="10D1FD28">
        <w:rPr>
          <w:rFonts w:ascii="Garamond" w:eastAsia="Garamond" w:hAnsi="Garamond" w:cs="Garamond"/>
          <w:color w:val="000000" w:themeColor="text1"/>
        </w:rPr>
        <w:t xml:space="preserve"> 2021</w:t>
      </w:r>
      <w:proofErr w:type="gramEnd"/>
      <w:r w:rsidRPr="10D1FD28">
        <w:rPr>
          <w:rFonts w:ascii="Garamond" w:eastAsia="Garamond" w:hAnsi="Garamond" w:cs="Garamond"/>
          <w:color w:val="000000" w:themeColor="text1"/>
        </w:rPr>
        <w:t xml:space="preserve"> and 2020. The difference in the median ET composite 2021</w:t>
      </w:r>
      <w:r w:rsidR="7F421004" w:rsidRPr="10D1FD28">
        <w:rPr>
          <w:rFonts w:ascii="Garamond" w:eastAsia="Garamond" w:hAnsi="Garamond" w:cs="Garamond"/>
          <w:color w:val="000000" w:themeColor="text1"/>
        </w:rPr>
        <w:t xml:space="preserve"> </w:t>
      </w:r>
      <w:r w:rsidRPr="10D1FD28">
        <w:rPr>
          <w:rFonts w:ascii="Garamond" w:eastAsia="Garamond" w:hAnsi="Garamond" w:cs="Garamond"/>
          <w:color w:val="000000" w:themeColor="text1"/>
        </w:rPr>
        <w:t>and 2020 (a), and the percent change between</w:t>
      </w:r>
      <w:r w:rsidRPr="10D1FD28">
        <w:rPr>
          <w:rFonts w:ascii="Garamond" w:eastAsia="Garamond" w:hAnsi="Garamond" w:cs="Garamond"/>
          <w:i/>
          <w:iCs/>
          <w:color w:val="000000" w:themeColor="text1"/>
        </w:rPr>
        <w:t xml:space="preserve"> </w:t>
      </w:r>
      <w:r w:rsidRPr="10D1FD28">
        <w:rPr>
          <w:rFonts w:ascii="Garamond" w:eastAsia="Garamond" w:hAnsi="Garamond" w:cs="Garamond"/>
          <w:color w:val="000000" w:themeColor="text1"/>
        </w:rPr>
        <w:t xml:space="preserve">median ET composite 2021 and 2020 (b). Increase in ET </w:t>
      </w:r>
      <w:r w:rsidR="040B7300"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in dark green and decrease in ET</w:t>
      </w:r>
      <w:r w:rsidR="46A920FA" w:rsidRPr="10D1FD28">
        <w:rPr>
          <w:rFonts w:ascii="Garamond" w:eastAsia="Garamond" w:hAnsi="Garamond" w:cs="Garamond"/>
          <w:color w:val="000000" w:themeColor="text1"/>
        </w:rPr>
        <w:t xml:space="preserve"> is shown</w:t>
      </w:r>
      <w:r w:rsidRPr="10D1FD28">
        <w:rPr>
          <w:rFonts w:ascii="Garamond" w:eastAsia="Garamond" w:hAnsi="Garamond" w:cs="Garamond"/>
          <w:color w:val="000000" w:themeColor="text1"/>
        </w:rPr>
        <w:t xml:space="preserve"> in brown. The Bootleg Fire heat perimeter boundary</w:t>
      </w:r>
      <w:r w:rsidR="1DF3ACA3" w:rsidRPr="10D1FD28">
        <w:rPr>
          <w:rFonts w:ascii="Garamond" w:eastAsia="Garamond" w:hAnsi="Garamond" w:cs="Garamond"/>
          <w:color w:val="000000" w:themeColor="text1"/>
        </w:rPr>
        <w:t xml:space="preserve"> is shown </w:t>
      </w:r>
      <w:r w:rsidRPr="10D1FD28">
        <w:rPr>
          <w:rFonts w:ascii="Garamond" w:eastAsia="Garamond" w:hAnsi="Garamond" w:cs="Garamond"/>
          <w:color w:val="000000" w:themeColor="text1"/>
        </w:rPr>
        <w:t>in red.</w:t>
      </w:r>
    </w:p>
    <w:p w14:paraId="02E36FB2" w14:textId="64348E0D" w:rsidR="7E0D176A" w:rsidRDefault="7E0D176A" w:rsidP="7E9C04BA">
      <w:pPr>
        <w:spacing w:after="0" w:line="240" w:lineRule="auto"/>
        <w:jc w:val="center"/>
        <w:rPr>
          <w:rFonts w:ascii="Garamond" w:hAnsi="Garamond"/>
        </w:rPr>
      </w:pPr>
    </w:p>
    <w:p w14:paraId="5099A4DF" w14:textId="7981A100" w:rsidR="7E0D176A" w:rsidRDefault="7F421004" w:rsidP="7E9C04BA">
      <w:pPr>
        <w:spacing w:after="0" w:line="240" w:lineRule="auto"/>
        <w:jc w:val="center"/>
        <w:rPr>
          <w:rFonts w:ascii="Garamond" w:eastAsia="Garamond" w:hAnsi="Garamond" w:cs="Garamond"/>
          <w:color w:val="000000" w:themeColor="text1"/>
        </w:rPr>
      </w:pPr>
      <w:r>
        <w:rPr>
          <w:noProof/>
        </w:rPr>
        <w:drawing>
          <wp:inline distT="0" distB="0" distL="0" distR="0" wp14:anchorId="3B608889" wp14:editId="051D4AF8">
            <wp:extent cx="5669609" cy="2185162"/>
            <wp:effectExtent l="0" t="0" r="0" b="0"/>
            <wp:docPr id="433412666" name="Picture 43341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12666"/>
                    <pic:cNvPicPr/>
                  </pic:nvPicPr>
                  <pic:blipFill>
                    <a:blip r:embed="rId43">
                      <a:extLst>
                        <a:ext uri="{28A0092B-C50C-407E-A947-70E740481C1C}">
                          <a14:useLocalDpi xmlns:a14="http://schemas.microsoft.com/office/drawing/2010/main" val="0"/>
                        </a:ext>
                      </a:extLst>
                    </a:blip>
                    <a:stretch>
                      <a:fillRect/>
                    </a:stretch>
                  </pic:blipFill>
                  <pic:spPr>
                    <a:xfrm>
                      <a:off x="0" y="0"/>
                      <a:ext cx="5669609" cy="2185162"/>
                    </a:xfrm>
                    <a:prstGeom prst="rect">
                      <a:avLst/>
                    </a:prstGeom>
                  </pic:spPr>
                </pic:pic>
              </a:graphicData>
            </a:graphic>
          </wp:inline>
        </w:drawing>
      </w:r>
      <w:r w:rsidR="28076BE6" w:rsidRPr="10D1FD28">
        <w:rPr>
          <w:rFonts w:ascii="Garamond" w:eastAsia="Garamond" w:hAnsi="Garamond" w:cs="Garamond"/>
          <w:i/>
          <w:iCs/>
          <w:color w:val="000000" w:themeColor="text1"/>
        </w:rPr>
        <w:t xml:space="preserve">Figure A3. </w:t>
      </w:r>
      <w:r w:rsidR="28076BE6" w:rsidRPr="10D1FD28">
        <w:rPr>
          <w:rFonts w:ascii="Garamond" w:eastAsia="Garamond" w:hAnsi="Garamond" w:cs="Garamond"/>
          <w:color w:val="000000" w:themeColor="text1"/>
        </w:rPr>
        <w:t xml:space="preserve">Median ET summer seasonal composites for April 1st – July 5th in a median ET composite 2020 </w:t>
      </w:r>
      <w:r w:rsidR="28076BE6" w:rsidRPr="10D1FD28">
        <w:rPr>
          <w:rFonts w:ascii="Garamond" w:eastAsia="Garamond" w:hAnsi="Garamond" w:cs="Garamond"/>
          <w:color w:val="000000" w:themeColor="text1"/>
        </w:rPr>
        <w:lastRenderedPageBreak/>
        <w:t>(a), and the</w:t>
      </w:r>
      <w:r w:rsidR="28076BE6" w:rsidRPr="10D1FD28">
        <w:rPr>
          <w:rFonts w:ascii="Garamond" w:eastAsia="Garamond" w:hAnsi="Garamond" w:cs="Garamond"/>
          <w:i/>
          <w:iCs/>
          <w:color w:val="000000" w:themeColor="text1"/>
        </w:rPr>
        <w:t xml:space="preserve"> </w:t>
      </w:r>
      <w:r w:rsidR="28076BE6" w:rsidRPr="10D1FD28">
        <w:rPr>
          <w:rFonts w:ascii="Garamond" w:eastAsia="Garamond" w:hAnsi="Garamond" w:cs="Garamond"/>
          <w:color w:val="000000" w:themeColor="text1"/>
        </w:rPr>
        <w:t xml:space="preserve">median ET composite for 2019 (b). High ET </w:t>
      </w:r>
      <w:r w:rsidR="5602BE57"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 xml:space="preserve">in dark green and low ET </w:t>
      </w:r>
      <w:r w:rsidR="59DC4C32" w:rsidRPr="10D1FD28">
        <w:rPr>
          <w:rFonts w:ascii="Garamond" w:eastAsia="Garamond" w:hAnsi="Garamond" w:cs="Garamond"/>
          <w:color w:val="000000" w:themeColor="text1"/>
        </w:rPr>
        <w:t xml:space="preserve">is shown </w:t>
      </w:r>
      <w:r w:rsidR="28076BE6" w:rsidRPr="10D1FD28">
        <w:rPr>
          <w:rFonts w:ascii="Garamond" w:eastAsia="Garamond" w:hAnsi="Garamond" w:cs="Garamond"/>
          <w:color w:val="000000" w:themeColor="text1"/>
        </w:rPr>
        <w:t>in brown coloring. The Bootleg Fire heat perimeter boundary is shown in red.</w:t>
      </w:r>
    </w:p>
    <w:p w14:paraId="7F72FB7A" w14:textId="607C2B11" w:rsidR="7E0D176A" w:rsidRDefault="7E0D176A" w:rsidP="7E9C04BA">
      <w:pPr>
        <w:spacing w:after="0" w:line="240" w:lineRule="auto"/>
        <w:jc w:val="center"/>
        <w:rPr>
          <w:rFonts w:ascii="Garamond" w:eastAsia="Garamond" w:hAnsi="Garamond" w:cs="Garamond"/>
          <w:color w:val="000000" w:themeColor="text1"/>
        </w:rPr>
      </w:pPr>
    </w:p>
    <w:p w14:paraId="7B655110" w14:textId="69D0662E" w:rsidR="7E0D176A" w:rsidRDefault="7E9C04BA" w:rsidP="7E9C04BA">
      <w:pPr>
        <w:spacing w:after="0" w:line="240" w:lineRule="auto"/>
      </w:pPr>
      <w:r>
        <w:rPr>
          <w:noProof/>
        </w:rPr>
        <w:drawing>
          <wp:inline distT="0" distB="0" distL="0" distR="0" wp14:anchorId="1F498FDF" wp14:editId="702F6BFA">
            <wp:extent cx="6006291" cy="2377490"/>
            <wp:effectExtent l="0" t="0" r="0" b="0"/>
            <wp:docPr id="216142137" name="Picture 21614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006291" cy="2377490"/>
                    </a:xfrm>
                    <a:prstGeom prst="rect">
                      <a:avLst/>
                    </a:prstGeom>
                  </pic:spPr>
                </pic:pic>
              </a:graphicData>
            </a:graphic>
          </wp:inline>
        </w:drawing>
      </w:r>
    </w:p>
    <w:p w14:paraId="51B81B72" w14:textId="50A1DE75" w:rsidR="7E0D176A" w:rsidRDefault="28076BE6" w:rsidP="65CB079E">
      <w:pPr>
        <w:spacing w:after="0" w:line="240" w:lineRule="auto"/>
        <w:jc w:val="center"/>
        <w:rPr>
          <w:rFonts w:ascii="Garamond" w:eastAsia="Garamond" w:hAnsi="Garamond" w:cs="Garamond"/>
          <w:color w:val="000000" w:themeColor="text1"/>
        </w:rPr>
      </w:pPr>
      <w:r w:rsidRPr="10D1FD28">
        <w:rPr>
          <w:rFonts w:ascii="Garamond" w:eastAsia="Garamond" w:hAnsi="Garamond" w:cs="Garamond"/>
          <w:i/>
          <w:iCs/>
          <w:color w:val="000000" w:themeColor="text1"/>
        </w:rPr>
        <w:t xml:space="preserve">Figure A4. </w:t>
      </w:r>
      <w:r w:rsidRPr="10D1FD28">
        <w:rPr>
          <w:rFonts w:ascii="Garamond" w:eastAsia="Garamond" w:hAnsi="Garamond" w:cs="Garamond"/>
          <w:color w:val="000000" w:themeColor="text1"/>
        </w:rPr>
        <w:t>Comparison of the median ET summer seasonal composites for April 1st – July 5th</w:t>
      </w:r>
      <w:proofErr w:type="gramStart"/>
      <w:r w:rsidRPr="10D1FD28">
        <w:rPr>
          <w:rFonts w:ascii="Garamond" w:eastAsia="Garamond" w:hAnsi="Garamond" w:cs="Garamond"/>
          <w:color w:val="000000" w:themeColor="text1"/>
        </w:rPr>
        <w:t xml:space="preserve"> 2020</w:t>
      </w:r>
      <w:proofErr w:type="gramEnd"/>
      <w:r w:rsidRPr="10D1FD28">
        <w:rPr>
          <w:rFonts w:ascii="Garamond" w:eastAsia="Garamond" w:hAnsi="Garamond" w:cs="Garamond"/>
          <w:color w:val="000000" w:themeColor="text1"/>
        </w:rPr>
        <w:t xml:space="preserve"> and 2019. The difference in the median ET composite 2020</w:t>
      </w:r>
      <w:r w:rsidR="7F421004" w:rsidRPr="10D1FD28">
        <w:rPr>
          <w:rFonts w:ascii="Garamond" w:eastAsia="Garamond" w:hAnsi="Garamond" w:cs="Garamond"/>
          <w:color w:val="000000" w:themeColor="text1"/>
        </w:rPr>
        <w:t xml:space="preserve"> </w:t>
      </w:r>
      <w:r w:rsidRPr="10D1FD28">
        <w:rPr>
          <w:rFonts w:ascii="Garamond" w:eastAsia="Garamond" w:hAnsi="Garamond" w:cs="Garamond"/>
          <w:color w:val="000000" w:themeColor="text1"/>
        </w:rPr>
        <w:t>and 2019 (a), and the percent change between</w:t>
      </w:r>
      <w:r w:rsidRPr="10D1FD28">
        <w:rPr>
          <w:rFonts w:ascii="Garamond" w:eastAsia="Garamond" w:hAnsi="Garamond" w:cs="Garamond"/>
          <w:i/>
          <w:iCs/>
          <w:color w:val="000000" w:themeColor="text1"/>
        </w:rPr>
        <w:t xml:space="preserve"> </w:t>
      </w:r>
      <w:r w:rsidRPr="10D1FD28">
        <w:rPr>
          <w:rFonts w:ascii="Garamond" w:eastAsia="Garamond" w:hAnsi="Garamond" w:cs="Garamond"/>
          <w:color w:val="000000" w:themeColor="text1"/>
        </w:rPr>
        <w:t xml:space="preserve">median ET composite 2020 and 2019 (b). Increase in ET </w:t>
      </w:r>
      <w:r w:rsidR="2AB7DBE6"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 xml:space="preserve">in dark green and decrease in ET </w:t>
      </w:r>
      <w:r w:rsidR="6101660E"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 xml:space="preserve">in brown. The Bootleg Fire heat perimeter boundary </w:t>
      </w:r>
      <w:r w:rsidR="14FAB751" w:rsidRPr="10D1FD28">
        <w:rPr>
          <w:rFonts w:ascii="Garamond" w:eastAsia="Garamond" w:hAnsi="Garamond" w:cs="Garamond"/>
          <w:color w:val="000000" w:themeColor="text1"/>
        </w:rPr>
        <w:t xml:space="preserve">is shown </w:t>
      </w:r>
      <w:r w:rsidRPr="10D1FD28">
        <w:rPr>
          <w:rFonts w:ascii="Garamond" w:eastAsia="Garamond" w:hAnsi="Garamond" w:cs="Garamond"/>
          <w:color w:val="000000" w:themeColor="text1"/>
        </w:rPr>
        <w:t>in red.</w:t>
      </w:r>
    </w:p>
    <w:p w14:paraId="0E97A27F" w14:textId="4788DD38" w:rsidR="7E0D176A" w:rsidRDefault="7E0D176A" w:rsidP="7E9C04BA">
      <w:pPr>
        <w:spacing w:after="0" w:line="240" w:lineRule="auto"/>
        <w:jc w:val="center"/>
        <w:rPr>
          <w:rFonts w:ascii="Garamond" w:hAnsi="Garamond"/>
        </w:rPr>
      </w:pPr>
    </w:p>
    <w:p w14:paraId="1E5352BA" w14:textId="2D941E74" w:rsidR="7E0D176A" w:rsidRDefault="7E0D176A" w:rsidP="7E9C04BA">
      <w:pPr>
        <w:spacing w:after="0" w:line="240" w:lineRule="auto"/>
        <w:jc w:val="center"/>
        <w:rPr>
          <w:rFonts w:ascii="Garamond" w:eastAsia="Gungsuh" w:hAnsi="Garamond" w:cs="Gungsuh"/>
          <w:i/>
          <w:iCs/>
        </w:rPr>
      </w:pPr>
    </w:p>
    <w:p w14:paraId="7209955C" w14:textId="5A6D3961" w:rsidR="7E0D176A" w:rsidRDefault="7E0D176A" w:rsidP="5C31A34A">
      <w:pPr>
        <w:spacing w:after="0" w:line="240" w:lineRule="auto"/>
        <w:jc w:val="center"/>
        <w:rPr>
          <w:rFonts w:ascii="Garamond" w:eastAsia="Gungsuh" w:hAnsi="Garamond" w:cs="Gungsuh"/>
        </w:rPr>
      </w:pPr>
    </w:p>
    <w:p w14:paraId="5FF31247" w14:textId="0AA109D3" w:rsidR="7E0D176A" w:rsidRDefault="28076BE6" w:rsidP="5C31A34A">
      <w:pPr>
        <w:spacing w:after="0" w:line="240" w:lineRule="auto"/>
      </w:pPr>
      <w:r>
        <w:rPr>
          <w:noProof/>
        </w:rPr>
        <w:lastRenderedPageBreak/>
        <w:drawing>
          <wp:inline distT="0" distB="0" distL="0" distR="0" wp14:anchorId="6DDC08B0" wp14:editId="7E2B28CB">
            <wp:extent cx="5993421" cy="4632414"/>
            <wp:effectExtent l="0" t="0" r="0" b="0"/>
            <wp:docPr id="33592506" name="Picture 335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2506"/>
                    <pic:cNvPicPr/>
                  </pic:nvPicPr>
                  <pic:blipFill>
                    <a:blip r:embed="rId45">
                      <a:extLst>
                        <a:ext uri="{28A0092B-C50C-407E-A947-70E740481C1C}">
                          <a14:useLocalDpi xmlns:a14="http://schemas.microsoft.com/office/drawing/2010/main" val="0"/>
                        </a:ext>
                      </a:extLst>
                    </a:blip>
                    <a:stretch>
                      <a:fillRect/>
                    </a:stretch>
                  </pic:blipFill>
                  <pic:spPr>
                    <a:xfrm>
                      <a:off x="0" y="0"/>
                      <a:ext cx="5993421" cy="4632414"/>
                    </a:xfrm>
                    <a:prstGeom prst="rect">
                      <a:avLst/>
                    </a:prstGeom>
                  </pic:spPr>
                </pic:pic>
              </a:graphicData>
            </a:graphic>
          </wp:inline>
        </w:drawing>
      </w:r>
      <w:r w:rsidRPr="10D1FD28">
        <w:rPr>
          <w:rFonts w:ascii="Garamond" w:hAnsi="Garamond"/>
          <w:i/>
          <w:iCs/>
        </w:rPr>
        <w:t>Figure A5</w:t>
      </w:r>
      <w:r w:rsidRPr="10D1FD28">
        <w:rPr>
          <w:rFonts w:ascii="Garamond" w:hAnsi="Garamond"/>
        </w:rPr>
        <w:t>. Results of spatial autocorrelation testing of the 2021 median ET summer seasonal composite</w:t>
      </w:r>
      <w:r w:rsidR="4A288C5B" w:rsidRPr="10D1FD28">
        <w:rPr>
          <w:rFonts w:ascii="Garamond" w:hAnsi="Garamond"/>
        </w:rPr>
        <w:t>.</w:t>
      </w:r>
    </w:p>
    <w:p w14:paraId="3E654485" w14:textId="552351E2" w:rsidR="5C31A34A" w:rsidRDefault="5C31A34A" w:rsidP="5C31A34A">
      <w:pPr>
        <w:spacing w:after="0" w:line="240" w:lineRule="auto"/>
        <w:rPr>
          <w:rFonts w:ascii="Garamond" w:hAnsi="Garamond"/>
        </w:rPr>
      </w:pPr>
    </w:p>
    <w:p w14:paraId="7FBA5C38" w14:textId="5C99BEF3" w:rsidR="2E679B0D" w:rsidRDefault="2E679B0D" w:rsidP="2C7D0C34">
      <w:pPr>
        <w:spacing w:after="0" w:line="240" w:lineRule="auto"/>
        <w:rPr>
          <w:rFonts w:ascii="Garamond" w:hAnsi="Garamond" w:cs="Arial"/>
        </w:rPr>
      </w:pPr>
    </w:p>
    <w:p w14:paraId="675BEF4B" w14:textId="1185B800" w:rsidR="2E679B0D"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Table A1.</w:t>
      </w:r>
    </w:p>
    <w:p w14:paraId="5B9420C3" w14:textId="37580887" w:rsidR="2E679B0D"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i/>
          <w:iCs/>
          <w:color w:val="000000" w:themeColor="text1"/>
        </w:rPr>
        <w:t xml:space="preserve">Median ET for each soil </w:t>
      </w:r>
      <w:proofErr w:type="gramStart"/>
      <w:r w:rsidRPr="7E9C04BA">
        <w:rPr>
          <w:rFonts w:ascii="Garamond" w:eastAsia="Garamond" w:hAnsi="Garamond" w:cs="Garamond"/>
          <w:i/>
          <w:iCs/>
          <w:color w:val="000000" w:themeColor="text1"/>
        </w:rPr>
        <w:t>burn</w:t>
      </w:r>
      <w:proofErr w:type="gramEnd"/>
      <w:r w:rsidRPr="7E9C04BA">
        <w:rPr>
          <w:rFonts w:ascii="Garamond" w:eastAsia="Garamond" w:hAnsi="Garamond" w:cs="Garamond"/>
          <w:i/>
          <w:iCs/>
          <w:color w:val="000000" w:themeColor="text1"/>
        </w:rPr>
        <w:t xml:space="preserve"> severity class.</w:t>
      </w:r>
    </w:p>
    <w:tbl>
      <w:tblPr>
        <w:tblStyle w:val="TableGrid"/>
        <w:tblW w:w="0" w:type="auto"/>
        <w:tblInd w:w="0" w:type="dxa"/>
        <w:tblLayout w:type="fixed"/>
        <w:tblLook w:val="06A0" w:firstRow="1" w:lastRow="0" w:firstColumn="1" w:lastColumn="0" w:noHBand="1" w:noVBand="1"/>
      </w:tblPr>
      <w:tblGrid>
        <w:gridCol w:w="2910"/>
        <w:gridCol w:w="1785"/>
        <w:gridCol w:w="1815"/>
        <w:gridCol w:w="1695"/>
      </w:tblGrid>
      <w:tr w:rsidR="7E9C04BA" w14:paraId="1EC0CAD2" w14:textId="77777777" w:rsidTr="7E9C04BA">
        <w:trPr>
          <w:trHeight w:val="690"/>
        </w:trPr>
        <w:tc>
          <w:tcPr>
            <w:tcW w:w="2910" w:type="dxa"/>
            <w:vAlign w:val="center"/>
          </w:tcPr>
          <w:p w14:paraId="0F239572" w14:textId="1A34E15E" w:rsidR="7E9C04BA" w:rsidRDefault="7E9C04BA" w:rsidP="7E9C04BA">
            <w:pPr>
              <w:jc w:val="center"/>
              <w:rPr>
                <w:rFonts w:ascii="Garamond" w:eastAsia="Garamond" w:hAnsi="Garamond" w:cs="Garamond"/>
                <w:sz w:val="20"/>
                <w:szCs w:val="20"/>
              </w:rPr>
            </w:pPr>
            <w:r w:rsidRPr="7E9C04BA">
              <w:rPr>
                <w:rFonts w:ascii="Garamond" w:eastAsia="Garamond" w:hAnsi="Garamond" w:cs="Garamond"/>
                <w:b/>
                <w:bCs/>
                <w:sz w:val="20"/>
                <w:szCs w:val="20"/>
              </w:rPr>
              <w:t>Soil Burn Severity</w:t>
            </w:r>
          </w:p>
        </w:tc>
        <w:tc>
          <w:tcPr>
            <w:tcW w:w="1785" w:type="dxa"/>
            <w:vAlign w:val="center"/>
          </w:tcPr>
          <w:p w14:paraId="301BE69A" w14:textId="0267CDB6" w:rsidR="7E9C04BA" w:rsidRDefault="7E9C04BA" w:rsidP="7E9C04BA">
            <w:pPr>
              <w:jc w:val="center"/>
              <w:rPr>
                <w:rFonts w:ascii="Garamond" w:eastAsia="Garamond" w:hAnsi="Garamond" w:cs="Garamond"/>
                <w:sz w:val="20"/>
                <w:szCs w:val="20"/>
              </w:rPr>
            </w:pPr>
            <w:r w:rsidRPr="7E9C04BA">
              <w:rPr>
                <w:rFonts w:ascii="Garamond" w:eastAsia="Garamond" w:hAnsi="Garamond" w:cs="Garamond"/>
                <w:b/>
                <w:bCs/>
                <w:sz w:val="20"/>
                <w:szCs w:val="20"/>
              </w:rPr>
              <w:t>2019 ET median (mm/day)</w:t>
            </w:r>
          </w:p>
        </w:tc>
        <w:tc>
          <w:tcPr>
            <w:tcW w:w="1815" w:type="dxa"/>
            <w:vAlign w:val="center"/>
          </w:tcPr>
          <w:p w14:paraId="4110EC72" w14:textId="3967D017" w:rsidR="7E9C04BA" w:rsidRDefault="7E9C04BA" w:rsidP="7E9C04BA">
            <w:pPr>
              <w:jc w:val="center"/>
              <w:rPr>
                <w:rFonts w:ascii="Garamond" w:eastAsia="Garamond" w:hAnsi="Garamond" w:cs="Garamond"/>
                <w:sz w:val="20"/>
                <w:szCs w:val="20"/>
              </w:rPr>
            </w:pPr>
            <w:r w:rsidRPr="7E9C04BA">
              <w:rPr>
                <w:rFonts w:ascii="Garamond" w:eastAsia="Garamond" w:hAnsi="Garamond" w:cs="Garamond"/>
                <w:b/>
                <w:bCs/>
                <w:sz w:val="20"/>
                <w:szCs w:val="20"/>
              </w:rPr>
              <w:t>2020 ET median (mm/day)</w:t>
            </w:r>
          </w:p>
        </w:tc>
        <w:tc>
          <w:tcPr>
            <w:tcW w:w="1695" w:type="dxa"/>
            <w:vAlign w:val="center"/>
          </w:tcPr>
          <w:p w14:paraId="017B2BCC" w14:textId="572720C2" w:rsidR="7E9C04BA" w:rsidRDefault="7E9C04BA" w:rsidP="7E9C04BA">
            <w:pPr>
              <w:jc w:val="center"/>
              <w:rPr>
                <w:rFonts w:ascii="Garamond" w:eastAsia="Garamond" w:hAnsi="Garamond" w:cs="Garamond"/>
                <w:sz w:val="20"/>
                <w:szCs w:val="20"/>
              </w:rPr>
            </w:pPr>
            <w:r w:rsidRPr="7E9C04BA">
              <w:rPr>
                <w:rFonts w:ascii="Garamond" w:eastAsia="Garamond" w:hAnsi="Garamond" w:cs="Garamond"/>
                <w:b/>
                <w:bCs/>
                <w:sz w:val="20"/>
                <w:szCs w:val="20"/>
              </w:rPr>
              <w:t>2021 ET median (mm/day)</w:t>
            </w:r>
          </w:p>
        </w:tc>
      </w:tr>
      <w:tr w:rsidR="7E9C04BA" w14:paraId="2CBD6787" w14:textId="77777777" w:rsidTr="7E9C04BA">
        <w:trPr>
          <w:trHeight w:val="480"/>
        </w:trPr>
        <w:tc>
          <w:tcPr>
            <w:tcW w:w="2910" w:type="dxa"/>
            <w:vAlign w:val="bottom"/>
          </w:tcPr>
          <w:p w14:paraId="7D17BFBD" w14:textId="2F01E2D4"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Unburned to very low severity</w:t>
            </w:r>
          </w:p>
        </w:tc>
        <w:tc>
          <w:tcPr>
            <w:tcW w:w="1785" w:type="dxa"/>
            <w:vAlign w:val="bottom"/>
          </w:tcPr>
          <w:p w14:paraId="3BC1993A" w14:textId="5541484D"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2.8</w:t>
            </w:r>
          </w:p>
        </w:tc>
        <w:tc>
          <w:tcPr>
            <w:tcW w:w="1815" w:type="dxa"/>
            <w:vAlign w:val="bottom"/>
          </w:tcPr>
          <w:p w14:paraId="23AB0E98" w14:textId="2FC8729F"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2.2</w:t>
            </w:r>
          </w:p>
        </w:tc>
        <w:tc>
          <w:tcPr>
            <w:tcW w:w="1695" w:type="dxa"/>
            <w:vAlign w:val="bottom"/>
          </w:tcPr>
          <w:p w14:paraId="49D864CF" w14:textId="1DBB2810"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0.9</w:t>
            </w:r>
          </w:p>
        </w:tc>
      </w:tr>
      <w:tr w:rsidR="7E9C04BA" w14:paraId="3593EEAA" w14:textId="77777777" w:rsidTr="7E9C04BA">
        <w:trPr>
          <w:trHeight w:val="450"/>
        </w:trPr>
        <w:tc>
          <w:tcPr>
            <w:tcW w:w="2910" w:type="dxa"/>
            <w:vAlign w:val="bottom"/>
          </w:tcPr>
          <w:p w14:paraId="22CA62C6" w14:textId="1A4986C3"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Low severity</w:t>
            </w:r>
          </w:p>
        </w:tc>
        <w:tc>
          <w:tcPr>
            <w:tcW w:w="1785" w:type="dxa"/>
            <w:vAlign w:val="bottom"/>
          </w:tcPr>
          <w:p w14:paraId="74584015" w14:textId="1A433210"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3.5</w:t>
            </w:r>
          </w:p>
        </w:tc>
        <w:tc>
          <w:tcPr>
            <w:tcW w:w="1815" w:type="dxa"/>
            <w:vAlign w:val="bottom"/>
          </w:tcPr>
          <w:p w14:paraId="14497341" w14:textId="20760B5B"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3.0</w:t>
            </w:r>
          </w:p>
        </w:tc>
        <w:tc>
          <w:tcPr>
            <w:tcW w:w="1695" w:type="dxa"/>
            <w:vAlign w:val="bottom"/>
          </w:tcPr>
          <w:p w14:paraId="46050C88" w14:textId="078081CC"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1.4</w:t>
            </w:r>
          </w:p>
        </w:tc>
      </w:tr>
      <w:tr w:rsidR="7E9C04BA" w14:paraId="3261D90B" w14:textId="77777777" w:rsidTr="7E9C04BA">
        <w:trPr>
          <w:trHeight w:val="450"/>
        </w:trPr>
        <w:tc>
          <w:tcPr>
            <w:tcW w:w="2910" w:type="dxa"/>
            <w:vAlign w:val="bottom"/>
          </w:tcPr>
          <w:p w14:paraId="6C33CBBA" w14:textId="37661903"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Moderate severity</w:t>
            </w:r>
          </w:p>
        </w:tc>
        <w:tc>
          <w:tcPr>
            <w:tcW w:w="1785" w:type="dxa"/>
            <w:vAlign w:val="bottom"/>
          </w:tcPr>
          <w:p w14:paraId="08D326DA" w14:textId="0D5B7139"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3.9</w:t>
            </w:r>
          </w:p>
        </w:tc>
        <w:tc>
          <w:tcPr>
            <w:tcW w:w="1815" w:type="dxa"/>
            <w:vAlign w:val="bottom"/>
          </w:tcPr>
          <w:p w14:paraId="7C76890E" w14:textId="037B9943"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3.6</w:t>
            </w:r>
          </w:p>
        </w:tc>
        <w:tc>
          <w:tcPr>
            <w:tcW w:w="1695" w:type="dxa"/>
            <w:vAlign w:val="bottom"/>
          </w:tcPr>
          <w:p w14:paraId="6AEAFC91" w14:textId="3158AA2D"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1.7</w:t>
            </w:r>
          </w:p>
        </w:tc>
      </w:tr>
      <w:tr w:rsidR="7E9C04BA" w14:paraId="77D9235A" w14:textId="77777777" w:rsidTr="7E9C04BA">
        <w:trPr>
          <w:trHeight w:val="480"/>
        </w:trPr>
        <w:tc>
          <w:tcPr>
            <w:tcW w:w="2910" w:type="dxa"/>
            <w:vAlign w:val="bottom"/>
          </w:tcPr>
          <w:p w14:paraId="029FA459" w14:textId="031DF804"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High severity</w:t>
            </w:r>
          </w:p>
        </w:tc>
        <w:tc>
          <w:tcPr>
            <w:tcW w:w="1785" w:type="dxa"/>
            <w:vAlign w:val="bottom"/>
          </w:tcPr>
          <w:p w14:paraId="52DF59B5" w14:textId="26F8398D"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4.5</w:t>
            </w:r>
          </w:p>
        </w:tc>
        <w:tc>
          <w:tcPr>
            <w:tcW w:w="1815" w:type="dxa"/>
            <w:vAlign w:val="bottom"/>
          </w:tcPr>
          <w:p w14:paraId="673813B3" w14:textId="16351E38"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4.3</w:t>
            </w:r>
          </w:p>
        </w:tc>
        <w:tc>
          <w:tcPr>
            <w:tcW w:w="1695" w:type="dxa"/>
            <w:vAlign w:val="bottom"/>
          </w:tcPr>
          <w:p w14:paraId="3FFDC4A4" w14:textId="0AF893FC" w:rsidR="7E9C04BA" w:rsidRDefault="7E9C04BA" w:rsidP="7E9C04BA">
            <w:pPr>
              <w:jc w:val="center"/>
              <w:rPr>
                <w:rFonts w:ascii="Garamond" w:eastAsia="Garamond" w:hAnsi="Garamond" w:cs="Garamond"/>
                <w:sz w:val="20"/>
                <w:szCs w:val="20"/>
              </w:rPr>
            </w:pPr>
            <w:r w:rsidRPr="7E9C04BA">
              <w:rPr>
                <w:rFonts w:ascii="Garamond" w:eastAsia="Garamond" w:hAnsi="Garamond" w:cs="Garamond"/>
                <w:sz w:val="20"/>
                <w:szCs w:val="20"/>
              </w:rPr>
              <w:t>0.9</w:t>
            </w:r>
          </w:p>
        </w:tc>
      </w:tr>
    </w:tbl>
    <w:p w14:paraId="0BB927A7" w14:textId="2721ECB2" w:rsidR="2E679B0D" w:rsidRDefault="2E679B0D" w:rsidP="2C7D0C34">
      <w:pPr>
        <w:spacing w:after="0" w:line="240" w:lineRule="auto"/>
        <w:rPr>
          <w:rFonts w:ascii="Garamond" w:hAnsi="Garamond" w:cs="Arial"/>
        </w:rPr>
      </w:pPr>
    </w:p>
    <w:p w14:paraId="602E4B99" w14:textId="617A3D2E" w:rsidR="2E679B0D" w:rsidRDefault="549B5CCE" w:rsidP="5C31A34A">
      <w:pPr>
        <w:spacing w:after="0" w:line="240" w:lineRule="auto"/>
        <w:rPr>
          <w:rFonts w:ascii="Garamond" w:hAnsi="Garamond" w:cs="Arial"/>
        </w:rPr>
      </w:pPr>
      <w:r w:rsidRPr="7E9C04BA">
        <w:rPr>
          <w:rFonts w:ascii="Garamond" w:hAnsi="Garamond" w:cs="Arial"/>
        </w:rPr>
        <w:t>Table A2.</w:t>
      </w:r>
    </w:p>
    <w:p w14:paraId="64D521BA" w14:textId="2939EF88" w:rsidR="5C31A34A" w:rsidRDefault="5C31A34A" w:rsidP="5C31A34A">
      <w:pPr>
        <w:spacing w:after="0" w:line="240" w:lineRule="auto"/>
        <w:rPr>
          <w:rFonts w:ascii="Garamond" w:hAnsi="Garamond" w:cs="Arial"/>
          <w:i/>
          <w:iCs/>
        </w:rPr>
      </w:pPr>
      <w:r w:rsidRPr="5C31A34A">
        <w:rPr>
          <w:rFonts w:ascii="Garamond" w:hAnsi="Garamond" w:cs="Arial"/>
          <w:i/>
          <w:iCs/>
        </w:rPr>
        <w:t>Median WUE for each soil burn severity class.</w:t>
      </w:r>
    </w:p>
    <w:tbl>
      <w:tblPr>
        <w:tblStyle w:val="TableGrid"/>
        <w:tblW w:w="0" w:type="auto"/>
        <w:tblInd w:w="0" w:type="dxa"/>
        <w:tblLayout w:type="fixed"/>
        <w:tblLook w:val="06A0" w:firstRow="1" w:lastRow="0" w:firstColumn="1" w:lastColumn="0" w:noHBand="1" w:noVBand="1"/>
      </w:tblPr>
      <w:tblGrid>
        <w:gridCol w:w="2921"/>
        <w:gridCol w:w="2050"/>
        <w:gridCol w:w="1850"/>
        <w:gridCol w:w="2040"/>
      </w:tblGrid>
      <w:tr w:rsidR="5C31A34A" w14:paraId="482AB213" w14:textId="77777777" w:rsidTr="7E9C04BA">
        <w:trPr>
          <w:trHeight w:val="692"/>
        </w:trPr>
        <w:tc>
          <w:tcPr>
            <w:tcW w:w="2921" w:type="dxa"/>
            <w:vAlign w:val="center"/>
          </w:tcPr>
          <w:p w14:paraId="427D096C" w14:textId="2FBA5237" w:rsidR="5C31A34A" w:rsidRDefault="5C31A34A" w:rsidP="5C31A34A">
            <w:pPr>
              <w:jc w:val="center"/>
              <w:rPr>
                <w:rFonts w:ascii="Garamond" w:eastAsia="Gungsuh" w:hAnsi="Garamond" w:cs="Gungsuh"/>
                <w:sz w:val="20"/>
                <w:szCs w:val="20"/>
              </w:rPr>
            </w:pPr>
            <w:r w:rsidRPr="5C31A34A">
              <w:rPr>
                <w:rFonts w:ascii="Garamond" w:eastAsia="Gungsuh" w:hAnsi="Garamond" w:cs="Gungsuh"/>
                <w:b/>
                <w:bCs/>
                <w:sz w:val="20"/>
                <w:szCs w:val="20"/>
              </w:rPr>
              <w:t>Soil Burn Severity</w:t>
            </w:r>
          </w:p>
        </w:tc>
        <w:tc>
          <w:tcPr>
            <w:tcW w:w="2050" w:type="dxa"/>
            <w:vAlign w:val="center"/>
          </w:tcPr>
          <w:p w14:paraId="238E5B2C" w14:textId="68421FD9" w:rsidR="5C31A34A" w:rsidRDefault="5C31A34A" w:rsidP="5C31A34A">
            <w:pPr>
              <w:jc w:val="center"/>
              <w:rPr>
                <w:rFonts w:ascii="Garamond" w:eastAsia="Gungsuh" w:hAnsi="Garamond" w:cs="Gungsuh"/>
                <w:b/>
                <w:bCs/>
                <w:sz w:val="20"/>
                <w:szCs w:val="20"/>
              </w:rPr>
            </w:pPr>
            <w:r w:rsidRPr="5C31A34A">
              <w:rPr>
                <w:rFonts w:ascii="Garamond" w:eastAsia="Gungsuh" w:hAnsi="Garamond" w:cs="Gungsuh"/>
                <w:b/>
                <w:bCs/>
                <w:sz w:val="20"/>
                <w:szCs w:val="20"/>
              </w:rPr>
              <w:t>2019 WUE median (GPP/ET)</w:t>
            </w:r>
          </w:p>
        </w:tc>
        <w:tc>
          <w:tcPr>
            <w:tcW w:w="1850" w:type="dxa"/>
            <w:vAlign w:val="center"/>
          </w:tcPr>
          <w:p w14:paraId="72A03D7A" w14:textId="2E8D1B49" w:rsidR="5C31A34A" w:rsidRDefault="5C31A34A" w:rsidP="5C31A34A">
            <w:pPr>
              <w:jc w:val="center"/>
              <w:rPr>
                <w:rFonts w:ascii="Garamond" w:eastAsia="Gungsuh" w:hAnsi="Garamond" w:cs="Gungsuh"/>
                <w:b/>
                <w:bCs/>
                <w:sz w:val="20"/>
                <w:szCs w:val="20"/>
              </w:rPr>
            </w:pPr>
            <w:r w:rsidRPr="5C31A34A">
              <w:rPr>
                <w:rFonts w:ascii="Garamond" w:eastAsia="Gungsuh" w:hAnsi="Garamond" w:cs="Gungsuh"/>
                <w:b/>
                <w:bCs/>
                <w:sz w:val="20"/>
                <w:szCs w:val="20"/>
              </w:rPr>
              <w:t>2020 WUE median (GPP/ET)</w:t>
            </w:r>
          </w:p>
        </w:tc>
        <w:tc>
          <w:tcPr>
            <w:tcW w:w="2040" w:type="dxa"/>
            <w:vAlign w:val="center"/>
          </w:tcPr>
          <w:p w14:paraId="36CF67B6" w14:textId="0DFA68CE" w:rsidR="5C31A34A" w:rsidRDefault="5C31A34A" w:rsidP="5C31A34A">
            <w:pPr>
              <w:jc w:val="center"/>
              <w:rPr>
                <w:rFonts w:ascii="Garamond" w:eastAsia="Gungsuh" w:hAnsi="Garamond" w:cs="Gungsuh"/>
                <w:b/>
                <w:bCs/>
                <w:sz w:val="20"/>
                <w:szCs w:val="20"/>
              </w:rPr>
            </w:pPr>
            <w:r w:rsidRPr="5C31A34A">
              <w:rPr>
                <w:rFonts w:ascii="Garamond" w:eastAsia="Gungsuh" w:hAnsi="Garamond" w:cs="Gungsuh"/>
                <w:b/>
                <w:bCs/>
                <w:sz w:val="20"/>
                <w:szCs w:val="20"/>
              </w:rPr>
              <w:t>2021 WUE median (GPP/ET)</w:t>
            </w:r>
          </w:p>
        </w:tc>
      </w:tr>
      <w:tr w:rsidR="5C31A34A" w14:paraId="545DCAE1" w14:textId="77777777" w:rsidTr="7E9C04BA">
        <w:trPr>
          <w:trHeight w:val="489"/>
        </w:trPr>
        <w:tc>
          <w:tcPr>
            <w:tcW w:w="2921" w:type="dxa"/>
            <w:vAlign w:val="bottom"/>
          </w:tcPr>
          <w:p w14:paraId="178D3172" w14:textId="446BC14B"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lastRenderedPageBreak/>
              <w:t>Unburned to very low severity</w:t>
            </w:r>
          </w:p>
        </w:tc>
        <w:tc>
          <w:tcPr>
            <w:tcW w:w="2050" w:type="dxa"/>
            <w:vAlign w:val="bottom"/>
          </w:tcPr>
          <w:p w14:paraId="51D4F95E" w14:textId="5E9658F4"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1.2</w:t>
            </w:r>
          </w:p>
        </w:tc>
        <w:tc>
          <w:tcPr>
            <w:tcW w:w="1850" w:type="dxa"/>
            <w:vAlign w:val="bottom"/>
          </w:tcPr>
          <w:p w14:paraId="774536FD" w14:textId="0D5FF019"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0.9</w:t>
            </w:r>
          </w:p>
        </w:tc>
        <w:tc>
          <w:tcPr>
            <w:tcW w:w="2040" w:type="dxa"/>
            <w:vAlign w:val="bottom"/>
          </w:tcPr>
          <w:p w14:paraId="4495D7D6" w14:textId="6D0F6B75"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1.5</w:t>
            </w:r>
          </w:p>
        </w:tc>
      </w:tr>
      <w:tr w:rsidR="5C31A34A" w14:paraId="6F2E1DBE" w14:textId="77777777" w:rsidTr="7E9C04BA">
        <w:trPr>
          <w:trHeight w:val="489"/>
        </w:trPr>
        <w:tc>
          <w:tcPr>
            <w:tcW w:w="2921" w:type="dxa"/>
            <w:vAlign w:val="bottom"/>
          </w:tcPr>
          <w:p w14:paraId="7C1F0DDA" w14:textId="004DDBD8"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Low severity</w:t>
            </w:r>
          </w:p>
        </w:tc>
        <w:tc>
          <w:tcPr>
            <w:tcW w:w="2050" w:type="dxa"/>
            <w:vAlign w:val="bottom"/>
          </w:tcPr>
          <w:p w14:paraId="41DC3982" w14:textId="55DB7711"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1.2</w:t>
            </w:r>
          </w:p>
        </w:tc>
        <w:tc>
          <w:tcPr>
            <w:tcW w:w="1850" w:type="dxa"/>
            <w:vAlign w:val="bottom"/>
          </w:tcPr>
          <w:p w14:paraId="0C7F562D" w14:textId="7CD87CEC"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0.9</w:t>
            </w:r>
          </w:p>
        </w:tc>
        <w:tc>
          <w:tcPr>
            <w:tcW w:w="2040" w:type="dxa"/>
            <w:vAlign w:val="bottom"/>
          </w:tcPr>
          <w:p w14:paraId="24059D07" w14:textId="6D66BAB0"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1.3</w:t>
            </w:r>
          </w:p>
        </w:tc>
      </w:tr>
      <w:tr w:rsidR="5C31A34A" w14:paraId="384B924C" w14:textId="77777777" w:rsidTr="7E9C04BA">
        <w:tc>
          <w:tcPr>
            <w:tcW w:w="2921" w:type="dxa"/>
            <w:vAlign w:val="bottom"/>
          </w:tcPr>
          <w:p w14:paraId="0117BC52" w14:textId="6A914574"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Moderate severity</w:t>
            </w:r>
          </w:p>
        </w:tc>
        <w:tc>
          <w:tcPr>
            <w:tcW w:w="2050" w:type="dxa"/>
            <w:vAlign w:val="bottom"/>
          </w:tcPr>
          <w:p w14:paraId="672577D1" w14:textId="1109739B"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1.3</w:t>
            </w:r>
          </w:p>
        </w:tc>
        <w:tc>
          <w:tcPr>
            <w:tcW w:w="1850" w:type="dxa"/>
            <w:vAlign w:val="bottom"/>
          </w:tcPr>
          <w:p w14:paraId="1D7F63DB" w14:textId="7261F7D6"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1.0</w:t>
            </w:r>
          </w:p>
        </w:tc>
        <w:tc>
          <w:tcPr>
            <w:tcW w:w="2040" w:type="dxa"/>
            <w:vAlign w:val="bottom"/>
          </w:tcPr>
          <w:p w14:paraId="0F4640ED" w14:textId="34EA607C"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1.3</w:t>
            </w:r>
          </w:p>
        </w:tc>
      </w:tr>
      <w:tr w:rsidR="5C31A34A" w14:paraId="3E97EFB2" w14:textId="77777777" w:rsidTr="7E9C04BA">
        <w:trPr>
          <w:trHeight w:val="489"/>
        </w:trPr>
        <w:tc>
          <w:tcPr>
            <w:tcW w:w="2921" w:type="dxa"/>
            <w:vAlign w:val="bottom"/>
          </w:tcPr>
          <w:p w14:paraId="53898538" w14:textId="4DC9C7D2"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High severity</w:t>
            </w:r>
          </w:p>
        </w:tc>
        <w:tc>
          <w:tcPr>
            <w:tcW w:w="2050" w:type="dxa"/>
            <w:vAlign w:val="bottom"/>
          </w:tcPr>
          <w:p w14:paraId="33440643" w14:textId="4324607C"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1.3</w:t>
            </w:r>
          </w:p>
        </w:tc>
        <w:tc>
          <w:tcPr>
            <w:tcW w:w="1850" w:type="dxa"/>
            <w:vAlign w:val="bottom"/>
          </w:tcPr>
          <w:p w14:paraId="2E982904" w14:textId="5D9988DC" w:rsidR="5C31A34A" w:rsidRDefault="7E9C04BA" w:rsidP="5C31A34A">
            <w:pPr>
              <w:jc w:val="center"/>
              <w:rPr>
                <w:rFonts w:ascii="Garamond" w:eastAsia="Gungsuh" w:hAnsi="Garamond" w:cs="Gungsuh"/>
                <w:sz w:val="20"/>
                <w:szCs w:val="20"/>
              </w:rPr>
            </w:pPr>
            <w:r w:rsidRPr="7E9C04BA">
              <w:rPr>
                <w:rFonts w:ascii="Garamond" w:eastAsia="Gungsuh" w:hAnsi="Garamond" w:cs="Gungsuh"/>
                <w:sz w:val="20"/>
                <w:szCs w:val="20"/>
              </w:rPr>
              <w:t>1.0</w:t>
            </w:r>
          </w:p>
        </w:tc>
        <w:tc>
          <w:tcPr>
            <w:tcW w:w="2040" w:type="dxa"/>
            <w:vAlign w:val="bottom"/>
          </w:tcPr>
          <w:p w14:paraId="0170B94F" w14:textId="02135774" w:rsidR="5C31A34A" w:rsidRDefault="5C31A34A" w:rsidP="5C31A34A">
            <w:pPr>
              <w:jc w:val="center"/>
              <w:rPr>
                <w:rFonts w:ascii="Garamond" w:eastAsia="Gungsuh" w:hAnsi="Garamond" w:cs="Gungsuh"/>
                <w:sz w:val="20"/>
                <w:szCs w:val="20"/>
              </w:rPr>
            </w:pPr>
            <w:r w:rsidRPr="5C31A34A">
              <w:rPr>
                <w:rFonts w:ascii="Garamond" w:eastAsia="Gungsuh" w:hAnsi="Garamond" w:cs="Gungsuh"/>
                <w:sz w:val="20"/>
                <w:szCs w:val="20"/>
              </w:rPr>
              <w:t>1.1</w:t>
            </w:r>
          </w:p>
        </w:tc>
      </w:tr>
    </w:tbl>
    <w:p w14:paraId="39ED602E" w14:textId="06A86277" w:rsidR="3DB6F5BD" w:rsidRDefault="3DB6F5BD" w:rsidP="7E9C04BA">
      <w:pPr>
        <w:spacing w:beforeAutospacing="1" w:after="0" w:afterAutospacing="1" w:line="240" w:lineRule="auto"/>
        <w:rPr>
          <w:rFonts w:ascii="Garamond" w:hAnsi="Garamond"/>
        </w:rPr>
      </w:pPr>
    </w:p>
    <w:p w14:paraId="113FD99C" w14:textId="7F93081A" w:rsidR="3DB6F5BD" w:rsidRDefault="3DB6F5BD" w:rsidP="2C7D0C34">
      <w:pPr>
        <w:spacing w:beforeAutospacing="1" w:afterAutospacing="1" w:line="240" w:lineRule="auto"/>
      </w:pPr>
    </w:p>
    <w:p w14:paraId="69D49AED" w14:textId="7A747DAE" w:rsidR="3DB6F5BD" w:rsidRDefault="566BDD39" w:rsidP="7E9C04BA">
      <w:pPr>
        <w:spacing w:beforeAutospacing="1" w:after="0" w:afterAutospacing="1" w:line="240" w:lineRule="auto"/>
        <w:jc w:val="center"/>
        <w:rPr>
          <w:rFonts w:ascii="Garamond" w:hAnsi="Garamond"/>
        </w:rPr>
      </w:pPr>
      <w:r w:rsidRPr="7E9C04BA">
        <w:rPr>
          <w:rFonts w:ascii="Garamond" w:hAnsi="Garamond"/>
        </w:rPr>
        <w:t>Appendix B: Vegetation Structure and Topography</w:t>
      </w:r>
    </w:p>
    <w:p w14:paraId="120A2133" w14:textId="4D5CAD59" w:rsidR="3DB6F5BD" w:rsidRDefault="3DB6F5BD" w:rsidP="7E9C04BA">
      <w:pPr>
        <w:spacing w:beforeAutospacing="1" w:afterAutospacing="1" w:line="240" w:lineRule="auto"/>
        <w:rPr>
          <w:rFonts w:ascii="Garamond" w:hAnsi="Garamond"/>
          <w:i/>
          <w:iCs/>
        </w:rPr>
      </w:pPr>
    </w:p>
    <w:p w14:paraId="4A9BCA3A" w14:textId="7DEA93F6" w:rsidR="3DB6F5BD" w:rsidRDefault="3DB6F5BD" w:rsidP="7E9C04BA">
      <w:pPr>
        <w:spacing w:beforeAutospacing="1" w:afterAutospacing="1" w:line="240" w:lineRule="auto"/>
        <w:rPr>
          <w:rFonts w:ascii="Garamond" w:hAnsi="Garamond"/>
          <w:i/>
          <w:iCs/>
        </w:rPr>
      </w:pPr>
    </w:p>
    <w:p w14:paraId="03E04532" w14:textId="638D89C1" w:rsidR="7E9C04BA"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Table B1.</w:t>
      </w:r>
    </w:p>
    <w:p w14:paraId="60E2517D" w14:textId="693E3B22" w:rsidR="7E9C04BA" w:rsidRDefault="7E9C04BA" w:rsidP="65CB079E">
      <w:pPr>
        <w:spacing w:after="0" w:line="240" w:lineRule="auto"/>
        <w:rPr>
          <w:rFonts w:ascii="Garamond" w:eastAsia="Garamond" w:hAnsi="Garamond" w:cs="Garamond"/>
          <w:color w:val="000000" w:themeColor="text1"/>
        </w:rPr>
      </w:pPr>
      <w:r w:rsidRPr="65CB079E">
        <w:rPr>
          <w:rFonts w:ascii="Garamond" w:eastAsia="Garamond" w:hAnsi="Garamond" w:cs="Garamond"/>
          <w:i/>
          <w:iCs/>
          <w:color w:val="000000" w:themeColor="text1"/>
        </w:rPr>
        <w:t>SBS and % area vegetation in the Bootleg Fire</w:t>
      </w:r>
    </w:p>
    <w:tbl>
      <w:tblPr>
        <w:tblStyle w:val="TableGrid"/>
        <w:tblW w:w="0" w:type="auto"/>
        <w:tblInd w:w="0" w:type="dxa"/>
        <w:tblLayout w:type="fixed"/>
        <w:tblLook w:val="04A0" w:firstRow="1" w:lastRow="0" w:firstColumn="1" w:lastColumn="0" w:noHBand="0" w:noVBand="1"/>
      </w:tblPr>
      <w:tblGrid>
        <w:gridCol w:w="1125"/>
        <w:gridCol w:w="1290"/>
        <w:gridCol w:w="2265"/>
        <w:gridCol w:w="2205"/>
        <w:gridCol w:w="1065"/>
        <w:gridCol w:w="1395"/>
      </w:tblGrid>
      <w:tr w:rsidR="7E9C04BA" w14:paraId="1E68A4A6" w14:textId="77777777" w:rsidTr="65CB079E">
        <w:trPr>
          <w:trHeight w:val="285"/>
        </w:trPr>
        <w:tc>
          <w:tcPr>
            <w:tcW w:w="9345" w:type="dxa"/>
            <w:gridSpan w:val="6"/>
            <w:tcBorders>
              <w:top w:val="single" w:sz="6" w:space="0" w:color="auto"/>
              <w:left w:val="single" w:sz="6" w:space="0" w:color="auto"/>
              <w:bottom w:val="single" w:sz="6" w:space="0" w:color="auto"/>
              <w:right w:val="single" w:sz="6" w:space="0" w:color="auto"/>
            </w:tcBorders>
          </w:tcPr>
          <w:p w14:paraId="5360A8FA" w14:textId="798142B0" w:rsidR="7E9C04BA" w:rsidRDefault="7E9C04BA"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Within the Bootleg Fire</w:t>
            </w:r>
          </w:p>
        </w:tc>
      </w:tr>
      <w:tr w:rsidR="7E9C04BA" w14:paraId="5A8BC887"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384E86E8" w14:textId="4431B080" w:rsidR="7E9C04BA" w:rsidRDefault="7E9C04BA" w:rsidP="7E9C04BA">
            <w:pPr>
              <w:rPr>
                <w:rFonts w:ascii="Arial" w:eastAsia="Arial" w:hAnsi="Arial" w:cs="Arial"/>
                <w:color w:val="000000" w:themeColor="text1"/>
              </w:rPr>
            </w:pPr>
          </w:p>
        </w:tc>
        <w:tc>
          <w:tcPr>
            <w:tcW w:w="5760" w:type="dxa"/>
            <w:gridSpan w:val="3"/>
            <w:tcBorders>
              <w:top w:val="nil"/>
              <w:left w:val="single" w:sz="6" w:space="0" w:color="auto"/>
              <w:bottom w:val="single" w:sz="6" w:space="0" w:color="auto"/>
              <w:right w:val="single" w:sz="6" w:space="0" w:color="auto"/>
            </w:tcBorders>
          </w:tcPr>
          <w:p w14:paraId="64BE26C1" w14:textId="1EC6BB20" w:rsidR="7E9C04BA" w:rsidRDefault="7E9C04BA"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 Area Evergreens</w:t>
            </w:r>
          </w:p>
        </w:tc>
        <w:tc>
          <w:tcPr>
            <w:tcW w:w="2460" w:type="dxa"/>
            <w:gridSpan w:val="2"/>
            <w:tcBorders>
              <w:top w:val="nil"/>
              <w:left w:val="nil"/>
              <w:bottom w:val="single" w:sz="6" w:space="0" w:color="auto"/>
              <w:right w:val="single" w:sz="6" w:space="0" w:color="auto"/>
            </w:tcBorders>
          </w:tcPr>
          <w:p w14:paraId="0DB8E5E8" w14:textId="323C2B8D" w:rsidR="7E9C04BA" w:rsidRDefault="7E9C04BA"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 Area Shrubs</w:t>
            </w:r>
          </w:p>
        </w:tc>
      </w:tr>
      <w:tr w:rsidR="7E9C04BA" w14:paraId="20FB99C8"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75797DD1" w14:textId="705B8E34"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SBS</w:t>
            </w:r>
          </w:p>
        </w:tc>
        <w:tc>
          <w:tcPr>
            <w:tcW w:w="1290" w:type="dxa"/>
            <w:tcBorders>
              <w:top w:val="single" w:sz="6" w:space="0" w:color="auto"/>
              <w:left w:val="single" w:sz="6" w:space="0" w:color="auto"/>
              <w:bottom w:val="single" w:sz="6" w:space="0" w:color="auto"/>
              <w:right w:val="single" w:sz="6" w:space="0" w:color="auto"/>
            </w:tcBorders>
          </w:tcPr>
          <w:p w14:paraId="5E9FBBE6" w14:textId="6A9C2EEE"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Evergreens</w:t>
            </w:r>
          </w:p>
        </w:tc>
        <w:tc>
          <w:tcPr>
            <w:tcW w:w="2265" w:type="dxa"/>
            <w:tcBorders>
              <w:top w:val="nil"/>
              <w:left w:val="single" w:sz="6" w:space="0" w:color="auto"/>
              <w:bottom w:val="single" w:sz="6" w:space="0" w:color="auto"/>
              <w:right w:val="single" w:sz="6" w:space="0" w:color="auto"/>
            </w:tcBorders>
          </w:tcPr>
          <w:p w14:paraId="7C104B9D" w14:textId="426F5470"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Sierran-Intermontane Desert/Western White Pine - White Fir Woodland</w:t>
            </w:r>
          </w:p>
        </w:tc>
        <w:tc>
          <w:tcPr>
            <w:tcW w:w="2205" w:type="dxa"/>
            <w:tcBorders>
              <w:top w:val="nil"/>
              <w:left w:val="single" w:sz="6" w:space="0" w:color="auto"/>
              <w:bottom w:val="single" w:sz="6" w:space="0" w:color="auto"/>
              <w:right w:val="single" w:sz="6" w:space="0" w:color="auto"/>
            </w:tcBorders>
          </w:tcPr>
          <w:p w14:paraId="5754609D" w14:textId="0F240F47"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Northern Rocky Mountain Ponderosa Pine Woodland and Savanna</w:t>
            </w:r>
          </w:p>
        </w:tc>
        <w:tc>
          <w:tcPr>
            <w:tcW w:w="1065" w:type="dxa"/>
            <w:tcBorders>
              <w:top w:val="single" w:sz="6" w:space="0" w:color="auto"/>
              <w:left w:val="single" w:sz="6" w:space="0" w:color="auto"/>
              <w:bottom w:val="single" w:sz="6" w:space="0" w:color="auto"/>
              <w:right w:val="single" w:sz="6" w:space="0" w:color="auto"/>
            </w:tcBorders>
          </w:tcPr>
          <w:p w14:paraId="1F9CDEC1" w14:textId="5F488F04"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Shrubs</w:t>
            </w:r>
          </w:p>
        </w:tc>
        <w:tc>
          <w:tcPr>
            <w:tcW w:w="1395" w:type="dxa"/>
            <w:tcBorders>
              <w:top w:val="nil"/>
              <w:left w:val="single" w:sz="6" w:space="0" w:color="auto"/>
              <w:bottom w:val="single" w:sz="6" w:space="0" w:color="auto"/>
              <w:right w:val="single" w:sz="6" w:space="0" w:color="auto"/>
            </w:tcBorders>
          </w:tcPr>
          <w:p w14:paraId="5DEF0A44" w14:textId="58B646E3"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Colombia Plateau Low Sagebrush Steppe</w:t>
            </w:r>
          </w:p>
        </w:tc>
      </w:tr>
      <w:tr w:rsidR="7E9C04BA" w14:paraId="385D9E84"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1A6BFADF" w14:textId="1EE4D4C6"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High</w:t>
            </w:r>
          </w:p>
        </w:tc>
        <w:tc>
          <w:tcPr>
            <w:tcW w:w="1290" w:type="dxa"/>
            <w:tcBorders>
              <w:top w:val="single" w:sz="6" w:space="0" w:color="auto"/>
              <w:left w:val="single" w:sz="6" w:space="0" w:color="auto"/>
              <w:bottom w:val="single" w:sz="6" w:space="0" w:color="auto"/>
              <w:right w:val="single" w:sz="6" w:space="0" w:color="auto"/>
            </w:tcBorders>
          </w:tcPr>
          <w:p w14:paraId="3D43489B" w14:textId="12737495"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94%</w:t>
            </w:r>
          </w:p>
        </w:tc>
        <w:tc>
          <w:tcPr>
            <w:tcW w:w="2265" w:type="dxa"/>
            <w:tcBorders>
              <w:top w:val="single" w:sz="6" w:space="0" w:color="auto"/>
              <w:left w:val="single" w:sz="6" w:space="0" w:color="auto"/>
              <w:bottom w:val="single" w:sz="6" w:space="0" w:color="auto"/>
              <w:right w:val="single" w:sz="6" w:space="0" w:color="auto"/>
            </w:tcBorders>
          </w:tcPr>
          <w:p w14:paraId="66B32CC3" w14:textId="72345108"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42%</w:t>
            </w:r>
          </w:p>
        </w:tc>
        <w:tc>
          <w:tcPr>
            <w:tcW w:w="2205" w:type="dxa"/>
            <w:tcBorders>
              <w:top w:val="single" w:sz="6" w:space="0" w:color="auto"/>
              <w:left w:val="single" w:sz="6" w:space="0" w:color="auto"/>
              <w:bottom w:val="single" w:sz="6" w:space="0" w:color="auto"/>
              <w:right w:val="single" w:sz="6" w:space="0" w:color="auto"/>
            </w:tcBorders>
          </w:tcPr>
          <w:p w14:paraId="60ABB30A" w14:textId="59EC1A4B"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15%</w:t>
            </w:r>
          </w:p>
        </w:tc>
        <w:tc>
          <w:tcPr>
            <w:tcW w:w="1065" w:type="dxa"/>
            <w:tcBorders>
              <w:top w:val="single" w:sz="6" w:space="0" w:color="auto"/>
              <w:left w:val="single" w:sz="6" w:space="0" w:color="auto"/>
              <w:bottom w:val="single" w:sz="6" w:space="0" w:color="auto"/>
              <w:right w:val="single" w:sz="6" w:space="0" w:color="auto"/>
            </w:tcBorders>
          </w:tcPr>
          <w:p w14:paraId="05707737" w14:textId="280F331E"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3%</w:t>
            </w:r>
          </w:p>
        </w:tc>
        <w:tc>
          <w:tcPr>
            <w:tcW w:w="1395" w:type="dxa"/>
            <w:tcBorders>
              <w:top w:val="single" w:sz="6" w:space="0" w:color="auto"/>
              <w:left w:val="single" w:sz="6" w:space="0" w:color="auto"/>
              <w:bottom w:val="single" w:sz="6" w:space="0" w:color="auto"/>
              <w:right w:val="single" w:sz="6" w:space="0" w:color="auto"/>
            </w:tcBorders>
          </w:tcPr>
          <w:p w14:paraId="1E726111" w14:textId="1F50B51A"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w:t>
            </w:r>
          </w:p>
        </w:tc>
      </w:tr>
      <w:tr w:rsidR="7E9C04BA" w14:paraId="6DF6B9EA"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6F0E71DD" w14:textId="7214C4E3"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Moderate</w:t>
            </w:r>
          </w:p>
        </w:tc>
        <w:tc>
          <w:tcPr>
            <w:tcW w:w="1290" w:type="dxa"/>
            <w:tcBorders>
              <w:top w:val="single" w:sz="6" w:space="0" w:color="auto"/>
              <w:left w:val="single" w:sz="6" w:space="0" w:color="auto"/>
              <w:bottom w:val="single" w:sz="6" w:space="0" w:color="auto"/>
              <w:right w:val="single" w:sz="6" w:space="0" w:color="auto"/>
            </w:tcBorders>
          </w:tcPr>
          <w:p w14:paraId="3F448B3E" w14:textId="4E53BA8A"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84%</w:t>
            </w:r>
          </w:p>
        </w:tc>
        <w:tc>
          <w:tcPr>
            <w:tcW w:w="2265" w:type="dxa"/>
            <w:tcBorders>
              <w:top w:val="single" w:sz="6" w:space="0" w:color="auto"/>
              <w:left w:val="single" w:sz="6" w:space="0" w:color="auto"/>
              <w:bottom w:val="single" w:sz="6" w:space="0" w:color="auto"/>
              <w:right w:val="single" w:sz="6" w:space="0" w:color="auto"/>
            </w:tcBorders>
          </w:tcPr>
          <w:p w14:paraId="158BAA2D" w14:textId="16C66810"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15%</w:t>
            </w:r>
          </w:p>
        </w:tc>
        <w:tc>
          <w:tcPr>
            <w:tcW w:w="2205" w:type="dxa"/>
            <w:tcBorders>
              <w:top w:val="single" w:sz="6" w:space="0" w:color="auto"/>
              <w:left w:val="single" w:sz="6" w:space="0" w:color="auto"/>
              <w:bottom w:val="single" w:sz="6" w:space="0" w:color="auto"/>
              <w:right w:val="single" w:sz="6" w:space="0" w:color="auto"/>
            </w:tcBorders>
          </w:tcPr>
          <w:p w14:paraId="1500D115" w14:textId="38631EBF"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36%</w:t>
            </w:r>
          </w:p>
        </w:tc>
        <w:tc>
          <w:tcPr>
            <w:tcW w:w="1065" w:type="dxa"/>
            <w:tcBorders>
              <w:top w:val="single" w:sz="6" w:space="0" w:color="auto"/>
              <w:left w:val="single" w:sz="6" w:space="0" w:color="auto"/>
              <w:bottom w:val="single" w:sz="6" w:space="0" w:color="auto"/>
              <w:right w:val="single" w:sz="6" w:space="0" w:color="auto"/>
            </w:tcBorders>
          </w:tcPr>
          <w:p w14:paraId="7455A621" w14:textId="4D40BB76"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12%</w:t>
            </w:r>
          </w:p>
        </w:tc>
        <w:tc>
          <w:tcPr>
            <w:tcW w:w="1395" w:type="dxa"/>
            <w:tcBorders>
              <w:top w:val="single" w:sz="6" w:space="0" w:color="auto"/>
              <w:left w:val="single" w:sz="6" w:space="0" w:color="auto"/>
              <w:bottom w:val="single" w:sz="6" w:space="0" w:color="auto"/>
              <w:right w:val="single" w:sz="6" w:space="0" w:color="auto"/>
            </w:tcBorders>
          </w:tcPr>
          <w:p w14:paraId="29058050" w14:textId="57792BCF"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0.1%</w:t>
            </w:r>
          </w:p>
        </w:tc>
      </w:tr>
      <w:tr w:rsidR="7E9C04BA" w14:paraId="1B2F129D"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0BCE468E" w14:textId="5A0ECF3D"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Low</w:t>
            </w:r>
          </w:p>
        </w:tc>
        <w:tc>
          <w:tcPr>
            <w:tcW w:w="1290" w:type="dxa"/>
            <w:tcBorders>
              <w:top w:val="single" w:sz="6" w:space="0" w:color="auto"/>
              <w:left w:val="single" w:sz="6" w:space="0" w:color="auto"/>
              <w:bottom w:val="single" w:sz="6" w:space="0" w:color="auto"/>
              <w:right w:val="single" w:sz="6" w:space="0" w:color="auto"/>
            </w:tcBorders>
          </w:tcPr>
          <w:p w14:paraId="2FE8DE2E" w14:textId="455717CA"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61%</w:t>
            </w:r>
          </w:p>
        </w:tc>
        <w:tc>
          <w:tcPr>
            <w:tcW w:w="2265" w:type="dxa"/>
            <w:tcBorders>
              <w:top w:val="single" w:sz="6" w:space="0" w:color="auto"/>
              <w:left w:val="single" w:sz="6" w:space="0" w:color="auto"/>
              <w:bottom w:val="single" w:sz="6" w:space="0" w:color="auto"/>
              <w:right w:val="single" w:sz="6" w:space="0" w:color="auto"/>
            </w:tcBorders>
          </w:tcPr>
          <w:p w14:paraId="1964A615" w14:textId="3B7DDEDB"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12%</w:t>
            </w:r>
          </w:p>
        </w:tc>
        <w:tc>
          <w:tcPr>
            <w:tcW w:w="2205" w:type="dxa"/>
            <w:tcBorders>
              <w:top w:val="single" w:sz="6" w:space="0" w:color="auto"/>
              <w:left w:val="single" w:sz="6" w:space="0" w:color="auto"/>
              <w:bottom w:val="single" w:sz="6" w:space="0" w:color="auto"/>
              <w:right w:val="single" w:sz="6" w:space="0" w:color="auto"/>
            </w:tcBorders>
          </w:tcPr>
          <w:p w14:paraId="3426E61C" w14:textId="328660F8"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28%</w:t>
            </w:r>
          </w:p>
        </w:tc>
        <w:tc>
          <w:tcPr>
            <w:tcW w:w="1065" w:type="dxa"/>
            <w:tcBorders>
              <w:top w:val="single" w:sz="6" w:space="0" w:color="auto"/>
              <w:left w:val="single" w:sz="6" w:space="0" w:color="auto"/>
              <w:bottom w:val="single" w:sz="6" w:space="0" w:color="auto"/>
              <w:right w:val="single" w:sz="6" w:space="0" w:color="auto"/>
            </w:tcBorders>
          </w:tcPr>
          <w:p w14:paraId="59AC5881" w14:textId="5B5EEC81"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30%</w:t>
            </w:r>
          </w:p>
        </w:tc>
        <w:tc>
          <w:tcPr>
            <w:tcW w:w="1395" w:type="dxa"/>
            <w:tcBorders>
              <w:top w:val="single" w:sz="6" w:space="0" w:color="auto"/>
              <w:left w:val="single" w:sz="6" w:space="0" w:color="auto"/>
              <w:bottom w:val="single" w:sz="6" w:space="0" w:color="auto"/>
              <w:right w:val="single" w:sz="6" w:space="0" w:color="auto"/>
            </w:tcBorders>
          </w:tcPr>
          <w:p w14:paraId="58C1D0DB" w14:textId="0D1D44A6"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4%</w:t>
            </w:r>
          </w:p>
        </w:tc>
      </w:tr>
      <w:tr w:rsidR="7E9C04BA" w14:paraId="07E678E3" w14:textId="77777777" w:rsidTr="65CB079E">
        <w:trPr>
          <w:trHeight w:val="285"/>
        </w:trPr>
        <w:tc>
          <w:tcPr>
            <w:tcW w:w="1125" w:type="dxa"/>
            <w:tcBorders>
              <w:top w:val="single" w:sz="6" w:space="0" w:color="auto"/>
              <w:left w:val="single" w:sz="6" w:space="0" w:color="auto"/>
              <w:bottom w:val="single" w:sz="6" w:space="0" w:color="auto"/>
              <w:right w:val="single" w:sz="6" w:space="0" w:color="auto"/>
            </w:tcBorders>
          </w:tcPr>
          <w:p w14:paraId="3A3D510D" w14:textId="47CE654A" w:rsidR="7E9C04BA" w:rsidRDefault="7E9C04BA" w:rsidP="65CB079E">
            <w:pPr>
              <w:rPr>
                <w:rFonts w:ascii="Garamond" w:eastAsia="Garamond" w:hAnsi="Garamond" w:cs="Garamond"/>
                <w:color w:val="000000" w:themeColor="text1"/>
              </w:rPr>
            </w:pPr>
            <w:r w:rsidRPr="65CB079E">
              <w:rPr>
                <w:rFonts w:ascii="Garamond" w:eastAsia="Garamond" w:hAnsi="Garamond" w:cs="Garamond"/>
                <w:color w:val="000000" w:themeColor="text1"/>
              </w:rPr>
              <w:t>Unburned</w:t>
            </w:r>
          </w:p>
        </w:tc>
        <w:tc>
          <w:tcPr>
            <w:tcW w:w="1290" w:type="dxa"/>
            <w:tcBorders>
              <w:top w:val="single" w:sz="6" w:space="0" w:color="auto"/>
              <w:left w:val="single" w:sz="6" w:space="0" w:color="auto"/>
              <w:bottom w:val="single" w:sz="6" w:space="0" w:color="auto"/>
              <w:right w:val="single" w:sz="6" w:space="0" w:color="auto"/>
            </w:tcBorders>
          </w:tcPr>
          <w:p w14:paraId="026C6D36" w14:textId="794E22D7"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33%</w:t>
            </w:r>
          </w:p>
        </w:tc>
        <w:tc>
          <w:tcPr>
            <w:tcW w:w="2265" w:type="dxa"/>
            <w:tcBorders>
              <w:top w:val="single" w:sz="6" w:space="0" w:color="auto"/>
              <w:left w:val="single" w:sz="6" w:space="0" w:color="auto"/>
              <w:bottom w:val="single" w:sz="6" w:space="0" w:color="auto"/>
              <w:right w:val="single" w:sz="6" w:space="0" w:color="auto"/>
            </w:tcBorders>
          </w:tcPr>
          <w:p w14:paraId="188C7761" w14:textId="322594B0"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11%</w:t>
            </w:r>
          </w:p>
        </w:tc>
        <w:tc>
          <w:tcPr>
            <w:tcW w:w="2205" w:type="dxa"/>
            <w:tcBorders>
              <w:top w:val="single" w:sz="6" w:space="0" w:color="auto"/>
              <w:left w:val="single" w:sz="6" w:space="0" w:color="auto"/>
              <w:bottom w:val="single" w:sz="6" w:space="0" w:color="auto"/>
              <w:right w:val="single" w:sz="6" w:space="0" w:color="auto"/>
            </w:tcBorders>
          </w:tcPr>
          <w:p w14:paraId="63461A03" w14:textId="7E9F4A08"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15%</w:t>
            </w:r>
          </w:p>
        </w:tc>
        <w:tc>
          <w:tcPr>
            <w:tcW w:w="1065" w:type="dxa"/>
            <w:tcBorders>
              <w:top w:val="single" w:sz="6" w:space="0" w:color="auto"/>
              <w:left w:val="single" w:sz="6" w:space="0" w:color="auto"/>
              <w:bottom w:val="single" w:sz="6" w:space="0" w:color="auto"/>
              <w:right w:val="single" w:sz="6" w:space="0" w:color="auto"/>
            </w:tcBorders>
          </w:tcPr>
          <w:p w14:paraId="7C68B73C" w14:textId="78953D03"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55%</w:t>
            </w:r>
          </w:p>
        </w:tc>
        <w:tc>
          <w:tcPr>
            <w:tcW w:w="1395" w:type="dxa"/>
            <w:tcBorders>
              <w:top w:val="single" w:sz="6" w:space="0" w:color="auto"/>
              <w:left w:val="single" w:sz="6" w:space="0" w:color="auto"/>
              <w:bottom w:val="single" w:sz="6" w:space="0" w:color="auto"/>
              <w:right w:val="single" w:sz="6" w:space="0" w:color="auto"/>
            </w:tcBorders>
          </w:tcPr>
          <w:p w14:paraId="36C60B6A" w14:textId="091B2772" w:rsidR="7E9C04BA" w:rsidRDefault="7E9C04BA" w:rsidP="7E9C04BA">
            <w:pPr>
              <w:rPr>
                <w:rFonts w:ascii="Garamond" w:eastAsia="Garamond" w:hAnsi="Garamond" w:cs="Garamond"/>
                <w:color w:val="000000" w:themeColor="text1"/>
              </w:rPr>
            </w:pPr>
            <w:r w:rsidRPr="7E9C04BA">
              <w:rPr>
                <w:rFonts w:ascii="Garamond" w:eastAsia="Garamond" w:hAnsi="Garamond" w:cs="Garamond"/>
                <w:color w:val="000000" w:themeColor="text1"/>
              </w:rPr>
              <w:t>21%</w:t>
            </w:r>
          </w:p>
        </w:tc>
      </w:tr>
    </w:tbl>
    <w:p w14:paraId="299BC9D5" w14:textId="52B0CBC4" w:rsidR="7E9C04BA" w:rsidRDefault="7E9C04BA" w:rsidP="65CB079E">
      <w:pPr>
        <w:spacing w:after="0" w:line="360" w:lineRule="auto"/>
        <w:rPr>
          <w:rFonts w:ascii="Garamond" w:eastAsia="Garamond" w:hAnsi="Garamond" w:cs="Garamond"/>
          <w:color w:val="000000" w:themeColor="text1"/>
        </w:rPr>
      </w:pPr>
      <w:r w:rsidRPr="65CB079E">
        <w:rPr>
          <w:rFonts w:ascii="Garamond" w:eastAsia="Garamond" w:hAnsi="Garamond" w:cs="Garamond"/>
          <w:color w:val="000000" w:themeColor="text1"/>
        </w:rPr>
        <w:t>* = negligible (3.68311E-05)</w:t>
      </w:r>
    </w:p>
    <w:p w14:paraId="42F7B62C" w14:textId="31F7B452" w:rsidR="7E9C04BA" w:rsidRDefault="7E9C04BA" w:rsidP="7E9C04BA">
      <w:pPr>
        <w:spacing w:beforeAutospacing="1" w:afterAutospacing="1" w:line="240" w:lineRule="auto"/>
        <w:rPr>
          <w:rFonts w:ascii="Garamond" w:hAnsi="Garamond"/>
          <w:i/>
          <w:iCs/>
        </w:rPr>
      </w:pPr>
    </w:p>
    <w:p w14:paraId="08AD0DD5" w14:textId="57D6768B" w:rsidR="7E9C04BA"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Table B2.</w:t>
      </w:r>
    </w:p>
    <w:p w14:paraId="1A94B0C9" w14:textId="1020FEBC" w:rsidR="7E9C04BA" w:rsidRDefault="7E9C04BA" w:rsidP="65CB079E">
      <w:pPr>
        <w:spacing w:after="0" w:line="240" w:lineRule="auto"/>
        <w:rPr>
          <w:rFonts w:ascii="Garamond" w:eastAsia="Garamond" w:hAnsi="Garamond" w:cs="Garamond"/>
          <w:color w:val="000000" w:themeColor="text1"/>
        </w:rPr>
      </w:pPr>
      <w:r w:rsidRPr="65CB079E">
        <w:rPr>
          <w:rFonts w:ascii="Garamond" w:eastAsia="Garamond" w:hAnsi="Garamond" w:cs="Garamond"/>
          <w:i/>
          <w:iCs/>
          <w:color w:val="000000" w:themeColor="text1"/>
        </w:rPr>
        <w:t>ET and WUE regions and % area vegetation in the Bootleg Fire</w:t>
      </w:r>
    </w:p>
    <w:tbl>
      <w:tblPr>
        <w:tblStyle w:val="TableGrid"/>
        <w:tblW w:w="0" w:type="auto"/>
        <w:tblInd w:w="0" w:type="dxa"/>
        <w:tblLayout w:type="fixed"/>
        <w:tblLook w:val="04A0" w:firstRow="1" w:lastRow="0" w:firstColumn="1" w:lastColumn="0" w:noHBand="0" w:noVBand="1"/>
      </w:tblPr>
      <w:tblGrid>
        <w:gridCol w:w="1240"/>
        <w:gridCol w:w="1226"/>
        <w:gridCol w:w="1490"/>
        <w:gridCol w:w="4165"/>
        <w:gridCol w:w="1240"/>
      </w:tblGrid>
      <w:tr w:rsidR="7E9C04BA" w14:paraId="582B279F" w14:textId="77777777" w:rsidTr="65CB079E">
        <w:trPr>
          <w:trHeight w:val="285"/>
        </w:trPr>
        <w:tc>
          <w:tcPr>
            <w:tcW w:w="9361" w:type="dxa"/>
            <w:gridSpan w:val="5"/>
            <w:tcBorders>
              <w:top w:val="single" w:sz="6" w:space="0" w:color="auto"/>
              <w:left w:val="single" w:sz="6" w:space="0" w:color="auto"/>
              <w:bottom w:val="single" w:sz="6" w:space="0" w:color="auto"/>
              <w:right w:val="single" w:sz="6" w:space="0" w:color="auto"/>
            </w:tcBorders>
          </w:tcPr>
          <w:p w14:paraId="627E342D" w14:textId="6950ED05" w:rsidR="7E9C04BA" w:rsidRDefault="7E9C04BA" w:rsidP="7E9C04BA">
            <w:pPr>
              <w:jc w:val="center"/>
              <w:rPr>
                <w:rFonts w:ascii="Garamond" w:eastAsia="Garamond" w:hAnsi="Garamond" w:cs="Garamond"/>
              </w:rPr>
            </w:pPr>
            <w:r w:rsidRPr="7E9C04BA">
              <w:rPr>
                <w:rFonts w:ascii="Garamond" w:eastAsia="Garamond" w:hAnsi="Garamond" w:cs="Garamond"/>
              </w:rPr>
              <w:t>Within the Bootleg Fire</w:t>
            </w:r>
          </w:p>
        </w:tc>
      </w:tr>
      <w:tr w:rsidR="7E9C04BA" w14:paraId="7557CCED"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5970E174" w14:textId="56F55F3A" w:rsidR="7E9C04BA" w:rsidRDefault="7E9C04BA" w:rsidP="7E9C04BA">
            <w:pPr>
              <w:rPr>
                <w:rFonts w:ascii="Arial" w:eastAsia="Arial" w:hAnsi="Arial" w:cs="Arial"/>
              </w:rPr>
            </w:pPr>
          </w:p>
        </w:tc>
        <w:tc>
          <w:tcPr>
            <w:tcW w:w="8121" w:type="dxa"/>
            <w:gridSpan w:val="4"/>
            <w:tcBorders>
              <w:top w:val="nil"/>
              <w:left w:val="single" w:sz="6" w:space="0" w:color="auto"/>
              <w:bottom w:val="single" w:sz="6" w:space="0" w:color="auto"/>
              <w:right w:val="single" w:sz="6" w:space="0" w:color="auto"/>
            </w:tcBorders>
          </w:tcPr>
          <w:p w14:paraId="2CB8FABA" w14:textId="10A586D4" w:rsidR="7E9C04BA" w:rsidRDefault="7E9C04BA" w:rsidP="65CB079E">
            <w:pPr>
              <w:jc w:val="center"/>
              <w:rPr>
                <w:rFonts w:ascii="Garamond" w:eastAsia="Garamond" w:hAnsi="Garamond" w:cs="Garamond"/>
              </w:rPr>
            </w:pPr>
            <w:r w:rsidRPr="65CB079E">
              <w:rPr>
                <w:rFonts w:ascii="Garamond" w:eastAsia="Garamond" w:hAnsi="Garamond" w:cs="Garamond"/>
              </w:rPr>
              <w:t>% Area of Majority Vegetation* in ET regions</w:t>
            </w:r>
          </w:p>
        </w:tc>
      </w:tr>
      <w:tr w:rsidR="7E9C04BA" w14:paraId="15114F71"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118EDAEA" w14:textId="330BFD74" w:rsidR="7E9C04BA" w:rsidRDefault="7E9C04BA" w:rsidP="7E9C04BA">
            <w:pPr>
              <w:rPr>
                <w:rFonts w:ascii="Garamond" w:eastAsia="Garamond" w:hAnsi="Garamond" w:cs="Garamond"/>
              </w:rPr>
            </w:pPr>
            <w:r w:rsidRPr="7E9C04BA">
              <w:rPr>
                <w:rFonts w:ascii="Garamond" w:eastAsia="Garamond" w:hAnsi="Garamond" w:cs="Garamond"/>
              </w:rPr>
              <w:t>ET</w:t>
            </w:r>
          </w:p>
        </w:tc>
        <w:tc>
          <w:tcPr>
            <w:tcW w:w="1226" w:type="dxa"/>
            <w:tcBorders>
              <w:top w:val="single" w:sz="6" w:space="0" w:color="auto"/>
              <w:left w:val="single" w:sz="6" w:space="0" w:color="auto"/>
              <w:bottom w:val="single" w:sz="6" w:space="0" w:color="auto"/>
              <w:right w:val="single" w:sz="6" w:space="0" w:color="auto"/>
            </w:tcBorders>
          </w:tcPr>
          <w:p w14:paraId="03127070" w14:textId="675AA00D" w:rsidR="7E9C04BA" w:rsidRDefault="7E9C04BA" w:rsidP="7E9C04BA">
            <w:pPr>
              <w:rPr>
                <w:rFonts w:ascii="Garamond" w:eastAsia="Garamond" w:hAnsi="Garamond" w:cs="Garamond"/>
              </w:rPr>
            </w:pPr>
            <w:r w:rsidRPr="7E9C04BA">
              <w:rPr>
                <w:rFonts w:ascii="Garamond" w:eastAsia="Garamond" w:hAnsi="Garamond" w:cs="Garamond"/>
              </w:rPr>
              <w:t>Land Cover Class</w:t>
            </w:r>
          </w:p>
        </w:tc>
        <w:tc>
          <w:tcPr>
            <w:tcW w:w="1490" w:type="dxa"/>
            <w:tcBorders>
              <w:top w:val="nil"/>
              <w:left w:val="single" w:sz="6" w:space="0" w:color="auto"/>
              <w:bottom w:val="single" w:sz="6" w:space="0" w:color="auto"/>
              <w:right w:val="single" w:sz="6" w:space="0" w:color="auto"/>
            </w:tcBorders>
          </w:tcPr>
          <w:p w14:paraId="1DDB29C2" w14:textId="113361AE" w:rsidR="7E9C04BA" w:rsidRDefault="7E9C04BA" w:rsidP="7E9C04BA">
            <w:pPr>
              <w:rPr>
                <w:rFonts w:ascii="Garamond" w:eastAsia="Garamond" w:hAnsi="Garamond" w:cs="Garamond"/>
              </w:rPr>
            </w:pPr>
            <w:r w:rsidRPr="7E9C04BA">
              <w:rPr>
                <w:rFonts w:ascii="Garamond" w:eastAsia="Garamond" w:hAnsi="Garamond" w:cs="Garamond"/>
              </w:rPr>
              <w:t>% Land Cover in ET region</w:t>
            </w:r>
          </w:p>
        </w:tc>
        <w:tc>
          <w:tcPr>
            <w:tcW w:w="4165" w:type="dxa"/>
            <w:tcBorders>
              <w:top w:val="nil"/>
              <w:left w:val="single" w:sz="6" w:space="0" w:color="auto"/>
              <w:bottom w:val="single" w:sz="6" w:space="0" w:color="auto"/>
              <w:right w:val="single" w:sz="6" w:space="0" w:color="auto"/>
            </w:tcBorders>
          </w:tcPr>
          <w:p w14:paraId="3BCA8E44" w14:textId="3E4D8FE0" w:rsidR="7E9C04BA" w:rsidRDefault="7E9C04BA" w:rsidP="7E9C04BA">
            <w:pPr>
              <w:rPr>
                <w:rFonts w:ascii="Garamond" w:eastAsia="Garamond" w:hAnsi="Garamond" w:cs="Garamond"/>
              </w:rPr>
            </w:pPr>
            <w:r w:rsidRPr="7E9C04BA">
              <w:rPr>
                <w:rFonts w:ascii="Garamond" w:eastAsia="Garamond" w:hAnsi="Garamond" w:cs="Garamond"/>
              </w:rPr>
              <w:t>EVT</w:t>
            </w:r>
          </w:p>
        </w:tc>
        <w:tc>
          <w:tcPr>
            <w:tcW w:w="1240" w:type="dxa"/>
            <w:tcBorders>
              <w:top w:val="nil"/>
              <w:left w:val="single" w:sz="6" w:space="0" w:color="auto"/>
              <w:bottom w:val="single" w:sz="6" w:space="0" w:color="auto"/>
              <w:right w:val="single" w:sz="6" w:space="0" w:color="auto"/>
            </w:tcBorders>
          </w:tcPr>
          <w:p w14:paraId="6222230C" w14:textId="398C3A55" w:rsidR="7E9C04BA" w:rsidRDefault="7E9C04BA" w:rsidP="7E9C04BA">
            <w:pPr>
              <w:rPr>
                <w:rFonts w:ascii="Garamond" w:eastAsia="Garamond" w:hAnsi="Garamond" w:cs="Garamond"/>
              </w:rPr>
            </w:pPr>
            <w:r w:rsidRPr="7E9C04BA">
              <w:rPr>
                <w:rFonts w:ascii="Garamond" w:eastAsia="Garamond" w:hAnsi="Garamond" w:cs="Garamond"/>
              </w:rPr>
              <w:t>% EVT in ET region</w:t>
            </w:r>
          </w:p>
        </w:tc>
      </w:tr>
      <w:tr w:rsidR="7E9C04BA" w14:paraId="364520AC"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2D0CE25E" w14:textId="3B5B9DA8" w:rsidR="7E9C04BA" w:rsidRDefault="7E9C04BA" w:rsidP="7E9C04BA">
            <w:pPr>
              <w:rPr>
                <w:rFonts w:ascii="Garamond" w:eastAsia="Garamond" w:hAnsi="Garamond" w:cs="Garamond"/>
              </w:rPr>
            </w:pPr>
            <w:r w:rsidRPr="7E9C04BA">
              <w:rPr>
                <w:rFonts w:ascii="Garamond" w:eastAsia="Garamond" w:hAnsi="Garamond" w:cs="Garamond"/>
              </w:rPr>
              <w:t>Low</w:t>
            </w:r>
          </w:p>
        </w:tc>
        <w:tc>
          <w:tcPr>
            <w:tcW w:w="1226" w:type="dxa"/>
            <w:tcBorders>
              <w:top w:val="single" w:sz="6" w:space="0" w:color="auto"/>
              <w:left w:val="single" w:sz="6" w:space="0" w:color="auto"/>
              <w:bottom w:val="single" w:sz="6" w:space="0" w:color="auto"/>
              <w:right w:val="single" w:sz="6" w:space="0" w:color="auto"/>
            </w:tcBorders>
          </w:tcPr>
          <w:p w14:paraId="00A436C3" w14:textId="0D4496AC" w:rsidR="7E9C04BA" w:rsidRDefault="7E9C04BA" w:rsidP="7E9C04BA">
            <w:pPr>
              <w:rPr>
                <w:rFonts w:ascii="Garamond" w:eastAsia="Garamond" w:hAnsi="Garamond" w:cs="Garamond"/>
              </w:rPr>
            </w:pPr>
            <w:r w:rsidRPr="7E9C04BA">
              <w:rPr>
                <w:rFonts w:ascii="Garamond" w:eastAsia="Garamond" w:hAnsi="Garamond" w:cs="Garamond"/>
              </w:rPr>
              <w:t>Evergreen</w:t>
            </w:r>
          </w:p>
        </w:tc>
        <w:tc>
          <w:tcPr>
            <w:tcW w:w="1490" w:type="dxa"/>
            <w:tcBorders>
              <w:top w:val="single" w:sz="6" w:space="0" w:color="auto"/>
              <w:left w:val="single" w:sz="6" w:space="0" w:color="auto"/>
              <w:bottom w:val="single" w:sz="6" w:space="0" w:color="auto"/>
              <w:right w:val="single" w:sz="6" w:space="0" w:color="auto"/>
            </w:tcBorders>
          </w:tcPr>
          <w:p w14:paraId="04487AEA" w14:textId="325C02BD" w:rsidR="7E9C04BA" w:rsidRDefault="7E9C04BA" w:rsidP="7E9C04BA">
            <w:pPr>
              <w:rPr>
                <w:rFonts w:ascii="Garamond" w:eastAsia="Garamond" w:hAnsi="Garamond" w:cs="Garamond"/>
              </w:rPr>
            </w:pPr>
            <w:r w:rsidRPr="7E9C04BA">
              <w:rPr>
                <w:rFonts w:ascii="Garamond" w:eastAsia="Garamond" w:hAnsi="Garamond" w:cs="Garamond"/>
              </w:rPr>
              <w:t>62%</w:t>
            </w:r>
          </w:p>
        </w:tc>
        <w:tc>
          <w:tcPr>
            <w:tcW w:w="4165" w:type="dxa"/>
            <w:tcBorders>
              <w:top w:val="single" w:sz="6" w:space="0" w:color="auto"/>
              <w:left w:val="single" w:sz="6" w:space="0" w:color="auto"/>
              <w:bottom w:val="single" w:sz="6" w:space="0" w:color="auto"/>
              <w:right w:val="single" w:sz="6" w:space="0" w:color="auto"/>
            </w:tcBorders>
          </w:tcPr>
          <w:p w14:paraId="0BA22D11" w14:textId="0C5171DD" w:rsidR="7E9C04BA" w:rsidRDefault="7E9C04BA" w:rsidP="7E9C04BA">
            <w:pPr>
              <w:rPr>
                <w:rFonts w:ascii="Garamond" w:eastAsia="Garamond" w:hAnsi="Garamond" w:cs="Garamond"/>
              </w:rPr>
            </w:pPr>
            <w:r w:rsidRPr="7E9C04BA">
              <w:rPr>
                <w:rFonts w:ascii="Garamond" w:eastAsia="Garamond" w:hAnsi="Garamond" w:cs="Garamond"/>
              </w:rPr>
              <w:t>Northern Rocky Mountain Ponderosa Pine Woodland and Savanna</w:t>
            </w:r>
          </w:p>
        </w:tc>
        <w:tc>
          <w:tcPr>
            <w:tcW w:w="1240" w:type="dxa"/>
            <w:tcBorders>
              <w:top w:val="single" w:sz="6" w:space="0" w:color="auto"/>
              <w:left w:val="single" w:sz="6" w:space="0" w:color="auto"/>
              <w:bottom w:val="single" w:sz="6" w:space="0" w:color="auto"/>
              <w:right w:val="single" w:sz="6" w:space="0" w:color="auto"/>
            </w:tcBorders>
          </w:tcPr>
          <w:p w14:paraId="0DBE220F" w14:textId="458D29EB" w:rsidR="7E9C04BA" w:rsidRDefault="7E9C04BA" w:rsidP="7E9C04BA">
            <w:pPr>
              <w:rPr>
                <w:rFonts w:ascii="Garamond" w:eastAsia="Garamond" w:hAnsi="Garamond" w:cs="Garamond"/>
              </w:rPr>
            </w:pPr>
            <w:r w:rsidRPr="7E9C04BA">
              <w:rPr>
                <w:rFonts w:ascii="Garamond" w:eastAsia="Garamond" w:hAnsi="Garamond" w:cs="Garamond"/>
              </w:rPr>
              <w:t>27%</w:t>
            </w:r>
          </w:p>
        </w:tc>
      </w:tr>
      <w:tr w:rsidR="7E9C04BA" w14:paraId="21AE4506"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4FBC8BFF" w14:textId="7F0931F2" w:rsidR="7E9C04BA" w:rsidRDefault="7E9C04BA" w:rsidP="7E9C04BA">
            <w:pPr>
              <w:rPr>
                <w:rFonts w:ascii="Garamond" w:eastAsia="Garamond" w:hAnsi="Garamond" w:cs="Garamond"/>
              </w:rPr>
            </w:pPr>
            <w:r w:rsidRPr="7E9C04BA">
              <w:rPr>
                <w:rFonts w:ascii="Garamond" w:eastAsia="Garamond" w:hAnsi="Garamond" w:cs="Garamond"/>
              </w:rPr>
              <w:t>Moderate</w:t>
            </w:r>
          </w:p>
        </w:tc>
        <w:tc>
          <w:tcPr>
            <w:tcW w:w="1226" w:type="dxa"/>
            <w:tcBorders>
              <w:top w:val="single" w:sz="6" w:space="0" w:color="auto"/>
              <w:left w:val="single" w:sz="6" w:space="0" w:color="auto"/>
              <w:bottom w:val="single" w:sz="6" w:space="0" w:color="auto"/>
              <w:right w:val="single" w:sz="6" w:space="0" w:color="auto"/>
            </w:tcBorders>
          </w:tcPr>
          <w:p w14:paraId="596EABBF" w14:textId="6CDA7B87" w:rsidR="7E9C04BA" w:rsidRDefault="7E9C04BA" w:rsidP="7E9C04BA">
            <w:pPr>
              <w:rPr>
                <w:rFonts w:ascii="Garamond" w:eastAsia="Garamond" w:hAnsi="Garamond" w:cs="Garamond"/>
              </w:rPr>
            </w:pPr>
            <w:r w:rsidRPr="7E9C04BA">
              <w:rPr>
                <w:rFonts w:ascii="Garamond" w:eastAsia="Garamond" w:hAnsi="Garamond" w:cs="Garamond"/>
              </w:rPr>
              <w:t>Evergreen</w:t>
            </w:r>
          </w:p>
        </w:tc>
        <w:tc>
          <w:tcPr>
            <w:tcW w:w="1490" w:type="dxa"/>
            <w:tcBorders>
              <w:top w:val="single" w:sz="6" w:space="0" w:color="auto"/>
              <w:left w:val="single" w:sz="6" w:space="0" w:color="auto"/>
              <w:bottom w:val="single" w:sz="6" w:space="0" w:color="auto"/>
              <w:right w:val="single" w:sz="6" w:space="0" w:color="auto"/>
            </w:tcBorders>
          </w:tcPr>
          <w:p w14:paraId="74084E3A" w14:textId="3FFFDF28" w:rsidR="7E9C04BA" w:rsidRDefault="7E9C04BA" w:rsidP="7E9C04BA">
            <w:pPr>
              <w:rPr>
                <w:rFonts w:ascii="Garamond" w:eastAsia="Garamond" w:hAnsi="Garamond" w:cs="Garamond"/>
              </w:rPr>
            </w:pPr>
            <w:r w:rsidRPr="7E9C04BA">
              <w:rPr>
                <w:rFonts w:ascii="Garamond" w:eastAsia="Garamond" w:hAnsi="Garamond" w:cs="Garamond"/>
              </w:rPr>
              <w:t>80%</w:t>
            </w:r>
          </w:p>
        </w:tc>
        <w:tc>
          <w:tcPr>
            <w:tcW w:w="4165" w:type="dxa"/>
            <w:tcBorders>
              <w:top w:val="single" w:sz="6" w:space="0" w:color="auto"/>
              <w:left w:val="single" w:sz="6" w:space="0" w:color="auto"/>
              <w:bottom w:val="single" w:sz="6" w:space="0" w:color="auto"/>
              <w:right w:val="single" w:sz="6" w:space="0" w:color="auto"/>
            </w:tcBorders>
          </w:tcPr>
          <w:p w14:paraId="57DAFCA5" w14:textId="0F0343F0" w:rsidR="7E9C04BA" w:rsidRDefault="7E9C04BA" w:rsidP="7E9C04BA">
            <w:pPr>
              <w:rPr>
                <w:rFonts w:ascii="Garamond" w:eastAsia="Garamond" w:hAnsi="Garamond" w:cs="Garamond"/>
              </w:rPr>
            </w:pPr>
            <w:r w:rsidRPr="7E9C04BA">
              <w:rPr>
                <w:rFonts w:ascii="Garamond" w:eastAsia="Garamond" w:hAnsi="Garamond" w:cs="Garamond"/>
              </w:rPr>
              <w:t>Northern Rocky Mountain Ponderosa Pine Woodland and Savanna</w:t>
            </w:r>
          </w:p>
        </w:tc>
        <w:tc>
          <w:tcPr>
            <w:tcW w:w="1240" w:type="dxa"/>
            <w:tcBorders>
              <w:top w:val="single" w:sz="6" w:space="0" w:color="auto"/>
              <w:left w:val="single" w:sz="6" w:space="0" w:color="auto"/>
              <w:bottom w:val="single" w:sz="6" w:space="0" w:color="auto"/>
              <w:right w:val="single" w:sz="6" w:space="0" w:color="auto"/>
            </w:tcBorders>
          </w:tcPr>
          <w:p w14:paraId="436070BF" w14:textId="7587DB1B" w:rsidR="7E9C04BA" w:rsidRDefault="7E9C04BA" w:rsidP="7E9C04BA">
            <w:pPr>
              <w:rPr>
                <w:rFonts w:ascii="Garamond" w:eastAsia="Garamond" w:hAnsi="Garamond" w:cs="Garamond"/>
              </w:rPr>
            </w:pPr>
            <w:r w:rsidRPr="7E9C04BA">
              <w:rPr>
                <w:rFonts w:ascii="Garamond" w:eastAsia="Garamond" w:hAnsi="Garamond" w:cs="Garamond"/>
              </w:rPr>
              <w:t>36%</w:t>
            </w:r>
          </w:p>
        </w:tc>
      </w:tr>
      <w:tr w:rsidR="7E9C04BA" w14:paraId="5CD6BB96"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31246333" w14:textId="71638854" w:rsidR="7E9C04BA" w:rsidRDefault="7E9C04BA" w:rsidP="7E9C04BA">
            <w:pPr>
              <w:rPr>
                <w:rFonts w:ascii="Garamond" w:eastAsia="Garamond" w:hAnsi="Garamond" w:cs="Garamond"/>
              </w:rPr>
            </w:pPr>
            <w:r w:rsidRPr="7E9C04BA">
              <w:rPr>
                <w:rFonts w:ascii="Garamond" w:eastAsia="Garamond" w:hAnsi="Garamond" w:cs="Garamond"/>
              </w:rPr>
              <w:t>High</w:t>
            </w:r>
          </w:p>
        </w:tc>
        <w:tc>
          <w:tcPr>
            <w:tcW w:w="1226" w:type="dxa"/>
            <w:tcBorders>
              <w:top w:val="single" w:sz="6" w:space="0" w:color="auto"/>
              <w:left w:val="single" w:sz="6" w:space="0" w:color="auto"/>
              <w:bottom w:val="single" w:sz="6" w:space="0" w:color="auto"/>
              <w:right w:val="single" w:sz="6" w:space="0" w:color="auto"/>
            </w:tcBorders>
          </w:tcPr>
          <w:p w14:paraId="1A8F65B7" w14:textId="631C7426" w:rsidR="7E9C04BA" w:rsidRDefault="7E9C04BA" w:rsidP="7E9C04BA">
            <w:pPr>
              <w:rPr>
                <w:rFonts w:ascii="Garamond" w:eastAsia="Garamond" w:hAnsi="Garamond" w:cs="Garamond"/>
              </w:rPr>
            </w:pPr>
            <w:r w:rsidRPr="7E9C04BA">
              <w:rPr>
                <w:rFonts w:ascii="Garamond" w:eastAsia="Garamond" w:hAnsi="Garamond" w:cs="Garamond"/>
              </w:rPr>
              <w:t>Evergreen</w:t>
            </w:r>
          </w:p>
        </w:tc>
        <w:tc>
          <w:tcPr>
            <w:tcW w:w="1490" w:type="dxa"/>
            <w:tcBorders>
              <w:top w:val="single" w:sz="6" w:space="0" w:color="auto"/>
              <w:left w:val="single" w:sz="6" w:space="0" w:color="auto"/>
              <w:bottom w:val="single" w:sz="6" w:space="0" w:color="auto"/>
              <w:right w:val="single" w:sz="6" w:space="0" w:color="auto"/>
            </w:tcBorders>
          </w:tcPr>
          <w:p w14:paraId="03CB9133" w14:textId="637A6D28" w:rsidR="7E9C04BA" w:rsidRDefault="7E9C04BA" w:rsidP="7E9C04BA">
            <w:pPr>
              <w:rPr>
                <w:rFonts w:ascii="Garamond" w:eastAsia="Garamond" w:hAnsi="Garamond" w:cs="Garamond"/>
              </w:rPr>
            </w:pPr>
            <w:r w:rsidRPr="7E9C04BA">
              <w:rPr>
                <w:rFonts w:ascii="Garamond" w:eastAsia="Garamond" w:hAnsi="Garamond" w:cs="Garamond"/>
              </w:rPr>
              <w:t>92%</w:t>
            </w:r>
          </w:p>
        </w:tc>
        <w:tc>
          <w:tcPr>
            <w:tcW w:w="4165" w:type="dxa"/>
            <w:tcBorders>
              <w:top w:val="single" w:sz="6" w:space="0" w:color="auto"/>
              <w:left w:val="single" w:sz="6" w:space="0" w:color="auto"/>
              <w:bottom w:val="single" w:sz="6" w:space="0" w:color="auto"/>
              <w:right w:val="single" w:sz="6" w:space="0" w:color="auto"/>
            </w:tcBorders>
          </w:tcPr>
          <w:p w14:paraId="354460A9" w14:textId="72D2F040" w:rsidR="7E9C04BA" w:rsidRDefault="7E9C04BA" w:rsidP="7E9C04BA">
            <w:pPr>
              <w:rPr>
                <w:rFonts w:ascii="Garamond" w:eastAsia="Garamond" w:hAnsi="Garamond" w:cs="Garamond"/>
              </w:rPr>
            </w:pPr>
            <w:r w:rsidRPr="7E9C04BA">
              <w:rPr>
                <w:rFonts w:ascii="Garamond" w:eastAsia="Garamond" w:hAnsi="Garamond" w:cs="Garamond"/>
              </w:rPr>
              <w:t>Sierran-Intermontane Desert Western White Pine - White Fir Woodland</w:t>
            </w:r>
          </w:p>
        </w:tc>
        <w:tc>
          <w:tcPr>
            <w:tcW w:w="1240" w:type="dxa"/>
            <w:tcBorders>
              <w:top w:val="single" w:sz="6" w:space="0" w:color="auto"/>
              <w:left w:val="single" w:sz="6" w:space="0" w:color="auto"/>
              <w:bottom w:val="single" w:sz="6" w:space="0" w:color="auto"/>
              <w:right w:val="single" w:sz="6" w:space="0" w:color="auto"/>
            </w:tcBorders>
          </w:tcPr>
          <w:p w14:paraId="6CD4E76C" w14:textId="59C7BDFC" w:rsidR="7E9C04BA" w:rsidRDefault="7E9C04BA" w:rsidP="7E9C04BA">
            <w:pPr>
              <w:rPr>
                <w:rFonts w:ascii="Garamond" w:eastAsia="Garamond" w:hAnsi="Garamond" w:cs="Garamond"/>
              </w:rPr>
            </w:pPr>
            <w:r w:rsidRPr="7E9C04BA">
              <w:rPr>
                <w:rFonts w:ascii="Garamond" w:eastAsia="Garamond" w:hAnsi="Garamond" w:cs="Garamond"/>
              </w:rPr>
              <w:t>47%</w:t>
            </w:r>
          </w:p>
        </w:tc>
      </w:tr>
      <w:tr w:rsidR="7E9C04BA" w14:paraId="1D56B7C1"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21D52477" w14:textId="6E184458" w:rsidR="7E9C04BA" w:rsidRDefault="7E9C04BA" w:rsidP="7E9C04BA">
            <w:pPr>
              <w:rPr>
                <w:rFonts w:ascii="Arial" w:eastAsia="Arial" w:hAnsi="Arial" w:cs="Arial"/>
              </w:rPr>
            </w:pPr>
          </w:p>
        </w:tc>
        <w:tc>
          <w:tcPr>
            <w:tcW w:w="8121" w:type="dxa"/>
            <w:gridSpan w:val="4"/>
            <w:tcBorders>
              <w:top w:val="single" w:sz="6" w:space="0" w:color="auto"/>
              <w:left w:val="single" w:sz="6" w:space="0" w:color="auto"/>
              <w:bottom w:val="single" w:sz="6" w:space="0" w:color="auto"/>
              <w:right w:val="single" w:sz="6" w:space="0" w:color="auto"/>
            </w:tcBorders>
          </w:tcPr>
          <w:p w14:paraId="1A16BBA2" w14:textId="7BD4D057" w:rsidR="7E9C04BA" w:rsidRDefault="7E9C04BA" w:rsidP="7E9C04BA">
            <w:pPr>
              <w:jc w:val="center"/>
              <w:rPr>
                <w:rFonts w:ascii="Garamond" w:eastAsia="Garamond" w:hAnsi="Garamond" w:cs="Garamond"/>
              </w:rPr>
            </w:pPr>
            <w:r w:rsidRPr="7E9C04BA">
              <w:rPr>
                <w:rFonts w:ascii="Garamond" w:eastAsia="Garamond" w:hAnsi="Garamond" w:cs="Garamond"/>
              </w:rPr>
              <w:t>% Area of Majority Vegetation in WUE regions</w:t>
            </w:r>
          </w:p>
        </w:tc>
      </w:tr>
      <w:tr w:rsidR="7E9C04BA" w14:paraId="44CAFC0B"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7F09861F" w14:textId="38538462" w:rsidR="7E9C04BA" w:rsidRDefault="7E9C04BA" w:rsidP="7E9C04BA">
            <w:pPr>
              <w:rPr>
                <w:rFonts w:ascii="Garamond" w:eastAsia="Garamond" w:hAnsi="Garamond" w:cs="Garamond"/>
              </w:rPr>
            </w:pPr>
            <w:r w:rsidRPr="7E9C04BA">
              <w:rPr>
                <w:rFonts w:ascii="Garamond" w:eastAsia="Garamond" w:hAnsi="Garamond" w:cs="Garamond"/>
              </w:rPr>
              <w:lastRenderedPageBreak/>
              <w:t>WUE</w:t>
            </w:r>
          </w:p>
        </w:tc>
        <w:tc>
          <w:tcPr>
            <w:tcW w:w="1226" w:type="dxa"/>
            <w:tcBorders>
              <w:top w:val="single" w:sz="6" w:space="0" w:color="auto"/>
              <w:left w:val="single" w:sz="6" w:space="0" w:color="auto"/>
              <w:bottom w:val="single" w:sz="6" w:space="0" w:color="auto"/>
              <w:right w:val="single" w:sz="6" w:space="0" w:color="auto"/>
            </w:tcBorders>
          </w:tcPr>
          <w:p w14:paraId="56B31080" w14:textId="74D1EC2A" w:rsidR="7E9C04BA" w:rsidRDefault="7E9C04BA" w:rsidP="7E9C04BA">
            <w:pPr>
              <w:rPr>
                <w:rFonts w:ascii="Garamond" w:eastAsia="Garamond" w:hAnsi="Garamond" w:cs="Garamond"/>
              </w:rPr>
            </w:pPr>
            <w:r w:rsidRPr="7E9C04BA">
              <w:rPr>
                <w:rFonts w:ascii="Garamond" w:eastAsia="Garamond" w:hAnsi="Garamond" w:cs="Garamond"/>
              </w:rPr>
              <w:t>Land Cover Class</w:t>
            </w:r>
          </w:p>
        </w:tc>
        <w:tc>
          <w:tcPr>
            <w:tcW w:w="1490" w:type="dxa"/>
            <w:tcBorders>
              <w:top w:val="nil"/>
              <w:left w:val="single" w:sz="6" w:space="0" w:color="auto"/>
              <w:bottom w:val="single" w:sz="6" w:space="0" w:color="auto"/>
              <w:right w:val="single" w:sz="6" w:space="0" w:color="auto"/>
            </w:tcBorders>
          </w:tcPr>
          <w:p w14:paraId="46C712C5" w14:textId="42AC7336" w:rsidR="7E9C04BA" w:rsidRDefault="7E9C04BA" w:rsidP="7E9C04BA">
            <w:pPr>
              <w:rPr>
                <w:rFonts w:ascii="Garamond" w:eastAsia="Garamond" w:hAnsi="Garamond" w:cs="Garamond"/>
              </w:rPr>
            </w:pPr>
            <w:r w:rsidRPr="7E9C04BA">
              <w:rPr>
                <w:rFonts w:ascii="Garamond" w:eastAsia="Garamond" w:hAnsi="Garamond" w:cs="Garamond"/>
              </w:rPr>
              <w:t>% Land Cover in WUE region</w:t>
            </w:r>
          </w:p>
        </w:tc>
        <w:tc>
          <w:tcPr>
            <w:tcW w:w="4165" w:type="dxa"/>
            <w:tcBorders>
              <w:top w:val="nil"/>
              <w:left w:val="single" w:sz="6" w:space="0" w:color="auto"/>
              <w:bottom w:val="single" w:sz="6" w:space="0" w:color="auto"/>
              <w:right w:val="single" w:sz="6" w:space="0" w:color="auto"/>
            </w:tcBorders>
          </w:tcPr>
          <w:p w14:paraId="7F7F6521" w14:textId="58D4B04F" w:rsidR="7E9C04BA" w:rsidRDefault="7E9C04BA" w:rsidP="7E9C04BA">
            <w:pPr>
              <w:rPr>
                <w:rFonts w:ascii="Garamond" w:eastAsia="Garamond" w:hAnsi="Garamond" w:cs="Garamond"/>
              </w:rPr>
            </w:pPr>
            <w:r w:rsidRPr="7E9C04BA">
              <w:rPr>
                <w:rFonts w:ascii="Garamond" w:eastAsia="Garamond" w:hAnsi="Garamond" w:cs="Garamond"/>
              </w:rPr>
              <w:t>EVT</w:t>
            </w:r>
          </w:p>
        </w:tc>
        <w:tc>
          <w:tcPr>
            <w:tcW w:w="1240" w:type="dxa"/>
            <w:tcBorders>
              <w:top w:val="nil"/>
              <w:left w:val="single" w:sz="6" w:space="0" w:color="auto"/>
              <w:bottom w:val="single" w:sz="6" w:space="0" w:color="auto"/>
              <w:right w:val="single" w:sz="6" w:space="0" w:color="auto"/>
            </w:tcBorders>
          </w:tcPr>
          <w:p w14:paraId="25EC0D5D" w14:textId="25DCD2DF" w:rsidR="7E9C04BA" w:rsidRDefault="7E9C04BA" w:rsidP="7E9C04BA">
            <w:pPr>
              <w:rPr>
                <w:rFonts w:ascii="Garamond" w:eastAsia="Garamond" w:hAnsi="Garamond" w:cs="Garamond"/>
              </w:rPr>
            </w:pPr>
            <w:r w:rsidRPr="7E9C04BA">
              <w:rPr>
                <w:rFonts w:ascii="Garamond" w:eastAsia="Garamond" w:hAnsi="Garamond" w:cs="Garamond"/>
              </w:rPr>
              <w:t>% EVT in WUE region</w:t>
            </w:r>
          </w:p>
        </w:tc>
      </w:tr>
      <w:tr w:rsidR="7E9C04BA" w14:paraId="1B65BA86"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1D2AA3E1" w14:textId="4A5243A9" w:rsidR="7E9C04BA" w:rsidRDefault="7E9C04BA" w:rsidP="7E9C04BA">
            <w:pPr>
              <w:rPr>
                <w:rFonts w:ascii="Garamond" w:eastAsia="Garamond" w:hAnsi="Garamond" w:cs="Garamond"/>
              </w:rPr>
            </w:pPr>
            <w:r w:rsidRPr="7E9C04BA">
              <w:rPr>
                <w:rFonts w:ascii="Garamond" w:eastAsia="Garamond" w:hAnsi="Garamond" w:cs="Garamond"/>
              </w:rPr>
              <w:t>Low</w:t>
            </w:r>
          </w:p>
        </w:tc>
        <w:tc>
          <w:tcPr>
            <w:tcW w:w="1226" w:type="dxa"/>
            <w:tcBorders>
              <w:top w:val="single" w:sz="6" w:space="0" w:color="auto"/>
              <w:left w:val="single" w:sz="6" w:space="0" w:color="auto"/>
              <w:bottom w:val="single" w:sz="6" w:space="0" w:color="auto"/>
              <w:right w:val="single" w:sz="6" w:space="0" w:color="auto"/>
            </w:tcBorders>
          </w:tcPr>
          <w:p w14:paraId="12F6E519" w14:textId="25EEA82B" w:rsidR="7E9C04BA" w:rsidRDefault="7E9C04BA" w:rsidP="7E9C04BA">
            <w:pPr>
              <w:rPr>
                <w:rFonts w:ascii="Garamond" w:eastAsia="Garamond" w:hAnsi="Garamond" w:cs="Garamond"/>
              </w:rPr>
            </w:pPr>
            <w:r w:rsidRPr="7E9C04BA">
              <w:rPr>
                <w:rFonts w:ascii="Garamond" w:eastAsia="Garamond" w:hAnsi="Garamond" w:cs="Garamond"/>
              </w:rPr>
              <w:t>Evergreen</w:t>
            </w:r>
          </w:p>
        </w:tc>
        <w:tc>
          <w:tcPr>
            <w:tcW w:w="1490" w:type="dxa"/>
            <w:tcBorders>
              <w:top w:val="single" w:sz="6" w:space="0" w:color="auto"/>
              <w:left w:val="single" w:sz="6" w:space="0" w:color="auto"/>
              <w:bottom w:val="single" w:sz="6" w:space="0" w:color="auto"/>
              <w:right w:val="single" w:sz="6" w:space="0" w:color="auto"/>
            </w:tcBorders>
          </w:tcPr>
          <w:p w14:paraId="41DB2971" w14:textId="1D5C2921" w:rsidR="7E9C04BA" w:rsidRDefault="7E9C04BA" w:rsidP="7E9C04BA">
            <w:pPr>
              <w:rPr>
                <w:rFonts w:ascii="Garamond" w:eastAsia="Garamond" w:hAnsi="Garamond" w:cs="Garamond"/>
              </w:rPr>
            </w:pPr>
            <w:r w:rsidRPr="7E9C04BA">
              <w:rPr>
                <w:rFonts w:ascii="Garamond" w:eastAsia="Garamond" w:hAnsi="Garamond" w:cs="Garamond"/>
              </w:rPr>
              <w:t>77%</w:t>
            </w:r>
          </w:p>
        </w:tc>
        <w:tc>
          <w:tcPr>
            <w:tcW w:w="4165" w:type="dxa"/>
            <w:tcBorders>
              <w:top w:val="single" w:sz="6" w:space="0" w:color="auto"/>
              <w:left w:val="single" w:sz="6" w:space="0" w:color="auto"/>
              <w:bottom w:val="single" w:sz="6" w:space="0" w:color="auto"/>
              <w:right w:val="single" w:sz="6" w:space="0" w:color="auto"/>
            </w:tcBorders>
          </w:tcPr>
          <w:p w14:paraId="29183AD8" w14:textId="62B5313D" w:rsidR="7E9C04BA" w:rsidRDefault="7E9C04BA" w:rsidP="7E9C04BA">
            <w:pPr>
              <w:rPr>
                <w:rFonts w:ascii="Garamond" w:eastAsia="Garamond" w:hAnsi="Garamond" w:cs="Garamond"/>
              </w:rPr>
            </w:pPr>
            <w:r w:rsidRPr="7E9C04BA">
              <w:rPr>
                <w:rFonts w:ascii="Garamond" w:eastAsia="Garamond" w:hAnsi="Garamond" w:cs="Garamond"/>
              </w:rPr>
              <w:t>Northern Rocky Mountain Ponderosa Pine Woodland and Savanna</w:t>
            </w:r>
          </w:p>
        </w:tc>
        <w:tc>
          <w:tcPr>
            <w:tcW w:w="1240" w:type="dxa"/>
            <w:tcBorders>
              <w:top w:val="single" w:sz="6" w:space="0" w:color="auto"/>
              <w:left w:val="single" w:sz="6" w:space="0" w:color="auto"/>
              <w:bottom w:val="single" w:sz="6" w:space="0" w:color="auto"/>
              <w:right w:val="single" w:sz="6" w:space="0" w:color="auto"/>
            </w:tcBorders>
          </w:tcPr>
          <w:p w14:paraId="083CA60A" w14:textId="194A370A" w:rsidR="7E9C04BA" w:rsidRDefault="7E9C04BA" w:rsidP="7E9C04BA">
            <w:pPr>
              <w:rPr>
                <w:rFonts w:ascii="Garamond" w:eastAsia="Garamond" w:hAnsi="Garamond" w:cs="Garamond"/>
              </w:rPr>
            </w:pPr>
            <w:r w:rsidRPr="7E9C04BA">
              <w:rPr>
                <w:rFonts w:ascii="Garamond" w:eastAsia="Garamond" w:hAnsi="Garamond" w:cs="Garamond"/>
              </w:rPr>
              <w:t>29%</w:t>
            </w:r>
          </w:p>
        </w:tc>
      </w:tr>
      <w:tr w:rsidR="7E9C04BA" w14:paraId="1C6BA488"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283B1125" w14:textId="6E15619F" w:rsidR="7E9C04BA" w:rsidRDefault="7E9C04BA" w:rsidP="7E9C04BA">
            <w:pPr>
              <w:rPr>
                <w:rFonts w:ascii="Garamond" w:eastAsia="Garamond" w:hAnsi="Garamond" w:cs="Garamond"/>
              </w:rPr>
            </w:pPr>
            <w:r w:rsidRPr="7E9C04BA">
              <w:rPr>
                <w:rFonts w:ascii="Garamond" w:eastAsia="Garamond" w:hAnsi="Garamond" w:cs="Garamond"/>
              </w:rPr>
              <w:t>Moderate</w:t>
            </w:r>
          </w:p>
        </w:tc>
        <w:tc>
          <w:tcPr>
            <w:tcW w:w="1226" w:type="dxa"/>
            <w:tcBorders>
              <w:top w:val="single" w:sz="6" w:space="0" w:color="auto"/>
              <w:left w:val="single" w:sz="6" w:space="0" w:color="auto"/>
              <w:bottom w:val="single" w:sz="6" w:space="0" w:color="auto"/>
              <w:right w:val="single" w:sz="6" w:space="0" w:color="auto"/>
            </w:tcBorders>
          </w:tcPr>
          <w:p w14:paraId="2BE6ABF6" w14:textId="34010670" w:rsidR="7E9C04BA" w:rsidRDefault="7E9C04BA" w:rsidP="7E9C04BA">
            <w:pPr>
              <w:rPr>
                <w:rFonts w:ascii="Garamond" w:eastAsia="Garamond" w:hAnsi="Garamond" w:cs="Garamond"/>
              </w:rPr>
            </w:pPr>
            <w:r w:rsidRPr="7E9C04BA">
              <w:rPr>
                <w:rFonts w:ascii="Garamond" w:eastAsia="Garamond" w:hAnsi="Garamond" w:cs="Garamond"/>
              </w:rPr>
              <w:t>Evergreen</w:t>
            </w:r>
          </w:p>
        </w:tc>
        <w:tc>
          <w:tcPr>
            <w:tcW w:w="1490" w:type="dxa"/>
            <w:tcBorders>
              <w:top w:val="single" w:sz="6" w:space="0" w:color="auto"/>
              <w:left w:val="single" w:sz="6" w:space="0" w:color="auto"/>
              <w:bottom w:val="single" w:sz="6" w:space="0" w:color="auto"/>
              <w:right w:val="single" w:sz="6" w:space="0" w:color="auto"/>
            </w:tcBorders>
          </w:tcPr>
          <w:p w14:paraId="1378D95B" w14:textId="412CCAEB" w:rsidR="7E9C04BA" w:rsidRDefault="7E9C04BA" w:rsidP="7E9C04BA">
            <w:pPr>
              <w:rPr>
                <w:rFonts w:ascii="Garamond" w:eastAsia="Garamond" w:hAnsi="Garamond" w:cs="Garamond"/>
              </w:rPr>
            </w:pPr>
            <w:r w:rsidRPr="7E9C04BA">
              <w:rPr>
                <w:rFonts w:ascii="Garamond" w:eastAsia="Garamond" w:hAnsi="Garamond" w:cs="Garamond"/>
              </w:rPr>
              <w:t>53%</w:t>
            </w:r>
          </w:p>
        </w:tc>
        <w:tc>
          <w:tcPr>
            <w:tcW w:w="4165" w:type="dxa"/>
            <w:tcBorders>
              <w:top w:val="single" w:sz="6" w:space="0" w:color="auto"/>
              <w:left w:val="single" w:sz="6" w:space="0" w:color="auto"/>
              <w:bottom w:val="single" w:sz="6" w:space="0" w:color="auto"/>
              <w:right w:val="single" w:sz="6" w:space="0" w:color="auto"/>
            </w:tcBorders>
          </w:tcPr>
          <w:p w14:paraId="6BEEB673" w14:textId="2F2DAFBB" w:rsidR="7E9C04BA" w:rsidRDefault="7E9C04BA" w:rsidP="7E9C04BA">
            <w:pPr>
              <w:rPr>
                <w:rFonts w:ascii="Garamond" w:eastAsia="Garamond" w:hAnsi="Garamond" w:cs="Garamond"/>
              </w:rPr>
            </w:pPr>
            <w:r w:rsidRPr="7E9C04BA">
              <w:rPr>
                <w:rFonts w:ascii="Garamond" w:eastAsia="Garamond" w:hAnsi="Garamond" w:cs="Garamond"/>
              </w:rPr>
              <w:t>Northern Rocky Mountain Ponderosa Pine Woodland and Savanna</w:t>
            </w:r>
          </w:p>
        </w:tc>
        <w:tc>
          <w:tcPr>
            <w:tcW w:w="1240" w:type="dxa"/>
            <w:tcBorders>
              <w:top w:val="single" w:sz="6" w:space="0" w:color="auto"/>
              <w:left w:val="single" w:sz="6" w:space="0" w:color="auto"/>
              <w:bottom w:val="single" w:sz="6" w:space="0" w:color="auto"/>
              <w:right w:val="single" w:sz="6" w:space="0" w:color="auto"/>
            </w:tcBorders>
          </w:tcPr>
          <w:p w14:paraId="263B3384" w14:textId="01ADA86A" w:rsidR="7E9C04BA" w:rsidRDefault="7E9C04BA" w:rsidP="7E9C04BA">
            <w:pPr>
              <w:rPr>
                <w:rFonts w:ascii="Garamond" w:eastAsia="Garamond" w:hAnsi="Garamond" w:cs="Garamond"/>
              </w:rPr>
            </w:pPr>
            <w:r w:rsidRPr="7E9C04BA">
              <w:rPr>
                <w:rFonts w:ascii="Garamond" w:eastAsia="Garamond" w:hAnsi="Garamond" w:cs="Garamond"/>
              </w:rPr>
              <w:t>30%</w:t>
            </w:r>
          </w:p>
        </w:tc>
      </w:tr>
      <w:tr w:rsidR="7E9C04BA" w14:paraId="675C59C0" w14:textId="77777777" w:rsidTr="65CB079E">
        <w:trPr>
          <w:trHeight w:val="285"/>
        </w:trPr>
        <w:tc>
          <w:tcPr>
            <w:tcW w:w="1240" w:type="dxa"/>
            <w:tcBorders>
              <w:top w:val="single" w:sz="6" w:space="0" w:color="auto"/>
              <w:left w:val="single" w:sz="6" w:space="0" w:color="auto"/>
              <w:bottom w:val="single" w:sz="6" w:space="0" w:color="auto"/>
              <w:right w:val="single" w:sz="6" w:space="0" w:color="auto"/>
            </w:tcBorders>
          </w:tcPr>
          <w:p w14:paraId="1BD3CD51" w14:textId="78E61E9B" w:rsidR="7E9C04BA" w:rsidRDefault="7E9C04BA" w:rsidP="7E9C04BA">
            <w:pPr>
              <w:rPr>
                <w:rFonts w:ascii="Garamond" w:eastAsia="Garamond" w:hAnsi="Garamond" w:cs="Garamond"/>
              </w:rPr>
            </w:pPr>
            <w:r w:rsidRPr="7E9C04BA">
              <w:rPr>
                <w:rFonts w:ascii="Garamond" w:eastAsia="Garamond" w:hAnsi="Garamond" w:cs="Garamond"/>
              </w:rPr>
              <w:t>High</w:t>
            </w:r>
          </w:p>
        </w:tc>
        <w:tc>
          <w:tcPr>
            <w:tcW w:w="1226" w:type="dxa"/>
            <w:tcBorders>
              <w:top w:val="single" w:sz="6" w:space="0" w:color="auto"/>
              <w:left w:val="single" w:sz="6" w:space="0" w:color="auto"/>
              <w:bottom w:val="single" w:sz="6" w:space="0" w:color="auto"/>
              <w:right w:val="single" w:sz="6" w:space="0" w:color="auto"/>
            </w:tcBorders>
          </w:tcPr>
          <w:p w14:paraId="5FF43E01" w14:textId="34CDCAA3" w:rsidR="7E9C04BA" w:rsidRDefault="7E9C04BA" w:rsidP="7E9C04BA">
            <w:pPr>
              <w:rPr>
                <w:rFonts w:ascii="Garamond" w:eastAsia="Garamond" w:hAnsi="Garamond" w:cs="Garamond"/>
              </w:rPr>
            </w:pPr>
            <w:r w:rsidRPr="7E9C04BA">
              <w:rPr>
                <w:rFonts w:ascii="Garamond" w:eastAsia="Garamond" w:hAnsi="Garamond" w:cs="Garamond"/>
              </w:rPr>
              <w:t>Shrubs</w:t>
            </w:r>
          </w:p>
        </w:tc>
        <w:tc>
          <w:tcPr>
            <w:tcW w:w="1490" w:type="dxa"/>
            <w:tcBorders>
              <w:top w:val="single" w:sz="6" w:space="0" w:color="auto"/>
              <w:left w:val="single" w:sz="6" w:space="0" w:color="auto"/>
              <w:bottom w:val="single" w:sz="6" w:space="0" w:color="auto"/>
              <w:right w:val="single" w:sz="6" w:space="0" w:color="auto"/>
            </w:tcBorders>
          </w:tcPr>
          <w:p w14:paraId="1EB7E91B" w14:textId="44422CDB" w:rsidR="7E9C04BA" w:rsidRDefault="7E9C04BA" w:rsidP="7E9C04BA">
            <w:pPr>
              <w:rPr>
                <w:rFonts w:ascii="Garamond" w:eastAsia="Garamond" w:hAnsi="Garamond" w:cs="Garamond"/>
              </w:rPr>
            </w:pPr>
            <w:r w:rsidRPr="7E9C04BA">
              <w:rPr>
                <w:rFonts w:ascii="Garamond" w:eastAsia="Garamond" w:hAnsi="Garamond" w:cs="Garamond"/>
              </w:rPr>
              <w:t>87%</w:t>
            </w:r>
          </w:p>
        </w:tc>
        <w:tc>
          <w:tcPr>
            <w:tcW w:w="4165" w:type="dxa"/>
            <w:tcBorders>
              <w:top w:val="single" w:sz="6" w:space="0" w:color="auto"/>
              <w:left w:val="single" w:sz="6" w:space="0" w:color="auto"/>
              <w:bottom w:val="single" w:sz="6" w:space="0" w:color="auto"/>
              <w:right w:val="single" w:sz="6" w:space="0" w:color="auto"/>
            </w:tcBorders>
          </w:tcPr>
          <w:p w14:paraId="2D40FF63" w14:textId="40C7D0F5" w:rsidR="7E9C04BA" w:rsidRDefault="7E9C04BA" w:rsidP="7E9C04BA">
            <w:pPr>
              <w:rPr>
                <w:rFonts w:ascii="Garamond" w:eastAsia="Garamond" w:hAnsi="Garamond" w:cs="Garamond"/>
              </w:rPr>
            </w:pPr>
            <w:r w:rsidRPr="7E9C04BA">
              <w:rPr>
                <w:rFonts w:ascii="Garamond" w:eastAsia="Garamond" w:hAnsi="Garamond" w:cs="Garamond"/>
              </w:rPr>
              <w:t>Colombia Plateau Low Sagebrush Steppe</w:t>
            </w:r>
          </w:p>
        </w:tc>
        <w:tc>
          <w:tcPr>
            <w:tcW w:w="1240" w:type="dxa"/>
            <w:tcBorders>
              <w:top w:val="single" w:sz="6" w:space="0" w:color="auto"/>
              <w:left w:val="single" w:sz="6" w:space="0" w:color="auto"/>
              <w:bottom w:val="single" w:sz="6" w:space="0" w:color="auto"/>
              <w:right w:val="single" w:sz="6" w:space="0" w:color="auto"/>
            </w:tcBorders>
          </w:tcPr>
          <w:p w14:paraId="3A1F32BA" w14:textId="29DFF18D" w:rsidR="7E9C04BA" w:rsidRDefault="7E9C04BA" w:rsidP="7E9C04BA">
            <w:pPr>
              <w:rPr>
                <w:rFonts w:ascii="Garamond" w:eastAsia="Garamond" w:hAnsi="Garamond" w:cs="Garamond"/>
              </w:rPr>
            </w:pPr>
            <w:r w:rsidRPr="7E9C04BA">
              <w:rPr>
                <w:rFonts w:ascii="Garamond" w:eastAsia="Garamond" w:hAnsi="Garamond" w:cs="Garamond"/>
              </w:rPr>
              <w:t>54%</w:t>
            </w:r>
          </w:p>
        </w:tc>
      </w:tr>
    </w:tbl>
    <w:p w14:paraId="13A2CD47" w14:textId="2D3E853D" w:rsidR="7E9C04BA" w:rsidRDefault="7E9C04BA" w:rsidP="65CB079E">
      <w:pPr>
        <w:spacing w:beforeAutospacing="1" w:afterAutospacing="1" w:line="240" w:lineRule="auto"/>
        <w:rPr>
          <w:rFonts w:ascii="Garamond" w:eastAsia="Garamond" w:hAnsi="Garamond" w:cs="Garamond"/>
        </w:rPr>
      </w:pPr>
      <w:r w:rsidRPr="65CB079E">
        <w:rPr>
          <w:rFonts w:ascii="Garamond" w:eastAsia="Garamond" w:hAnsi="Garamond" w:cs="Garamond"/>
        </w:rPr>
        <w:t>* “Vegetation” = Land Cover Class and Existing Vegetation Type</w:t>
      </w:r>
    </w:p>
    <w:p w14:paraId="30E9A996" w14:textId="7CD8716E" w:rsidR="7E9C04BA" w:rsidRDefault="7E9C04BA" w:rsidP="65CB079E">
      <w:pPr>
        <w:spacing w:beforeAutospacing="1" w:afterAutospacing="1" w:line="240" w:lineRule="auto"/>
        <w:rPr>
          <w:rFonts w:ascii="Garamond" w:hAnsi="Garamond"/>
          <w:i/>
          <w:iCs/>
        </w:rPr>
      </w:pPr>
    </w:p>
    <w:p w14:paraId="587D11B3" w14:textId="4011080C" w:rsidR="7E9C04BA" w:rsidRDefault="7E9C04BA" w:rsidP="7E9C04BA">
      <w:pPr>
        <w:spacing w:beforeAutospacing="1" w:afterAutospacing="1" w:line="240" w:lineRule="auto"/>
        <w:rPr>
          <w:rFonts w:ascii="Garamond" w:hAnsi="Garamond"/>
          <w:i/>
          <w:iCs/>
        </w:rPr>
      </w:pPr>
    </w:p>
    <w:p w14:paraId="09820F48" w14:textId="6D4B3A3F" w:rsidR="7E9C04BA" w:rsidRDefault="7E9C04BA" w:rsidP="7E9C04BA">
      <w:pPr>
        <w:spacing w:beforeAutospacing="1" w:afterAutospacing="1" w:line="240" w:lineRule="auto"/>
        <w:rPr>
          <w:rFonts w:ascii="Garamond" w:hAnsi="Garamond"/>
          <w:i/>
          <w:iCs/>
        </w:rPr>
      </w:pPr>
    </w:p>
    <w:p w14:paraId="3C1FA6BA" w14:textId="136939A7" w:rsidR="7E9C04BA"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Table B3.</w:t>
      </w:r>
    </w:p>
    <w:p w14:paraId="06B19174" w14:textId="5DCFCB67" w:rsidR="7E9C04BA" w:rsidRDefault="7E9C04BA" w:rsidP="7E9C04BA">
      <w:pPr>
        <w:spacing w:after="0" w:line="240" w:lineRule="auto"/>
      </w:pPr>
      <w:r w:rsidRPr="7E9C04BA">
        <w:rPr>
          <w:rFonts w:ascii="Garamond" w:eastAsia="Garamond" w:hAnsi="Garamond" w:cs="Garamond"/>
          <w:i/>
          <w:iCs/>
          <w:color w:val="000000" w:themeColor="text1"/>
        </w:rPr>
        <w:t>% Area of all vegetation in all ET/WUE and High SBS areas in the Bootleg Fire</w:t>
      </w:r>
    </w:p>
    <w:tbl>
      <w:tblPr>
        <w:tblStyle w:val="TableGrid"/>
        <w:tblW w:w="0" w:type="auto"/>
        <w:tblInd w:w="0" w:type="dxa"/>
        <w:tblLayout w:type="fixed"/>
        <w:tblLook w:val="04A0" w:firstRow="1" w:lastRow="0" w:firstColumn="1" w:lastColumn="0" w:noHBand="0" w:noVBand="1"/>
      </w:tblPr>
      <w:tblGrid>
        <w:gridCol w:w="1800"/>
        <w:gridCol w:w="5040"/>
      </w:tblGrid>
      <w:tr w:rsidR="7E9C04BA" w14:paraId="00EC76A8" w14:textId="77777777" w:rsidTr="7E9C04BA">
        <w:trPr>
          <w:trHeight w:val="285"/>
        </w:trPr>
        <w:tc>
          <w:tcPr>
            <w:tcW w:w="6840" w:type="dxa"/>
            <w:gridSpan w:val="2"/>
            <w:tcBorders>
              <w:top w:val="single" w:sz="8" w:space="0" w:color="auto"/>
              <w:left w:val="single" w:sz="8" w:space="0" w:color="auto"/>
              <w:bottom w:val="single" w:sz="8" w:space="0" w:color="auto"/>
              <w:right w:val="single" w:sz="8" w:space="0" w:color="auto"/>
            </w:tcBorders>
          </w:tcPr>
          <w:p w14:paraId="23460217" w14:textId="37888754" w:rsidR="7E9C04BA" w:rsidRDefault="7E9C04BA" w:rsidP="7E9C04BA">
            <w:pPr>
              <w:jc w:val="center"/>
            </w:pPr>
            <w:r w:rsidRPr="7E9C04BA">
              <w:rPr>
                <w:rFonts w:ascii="Garamond" w:eastAsia="Garamond" w:hAnsi="Garamond" w:cs="Garamond"/>
              </w:rPr>
              <w:t>Within the Bootleg Fire</w:t>
            </w:r>
          </w:p>
        </w:tc>
      </w:tr>
      <w:tr w:rsidR="7E9C04BA" w14:paraId="6F9A28F0"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18E302AD" w14:textId="28D64701" w:rsidR="7E9C04BA" w:rsidRDefault="7E9C04BA">
            <w:r w:rsidRPr="7E9C04BA">
              <w:rPr>
                <w:rFonts w:ascii="Garamond" w:eastAsia="Garamond" w:hAnsi="Garamond" w:cs="Garamond"/>
              </w:rPr>
              <w:t>Total Vegetation</w:t>
            </w:r>
          </w:p>
        </w:tc>
        <w:tc>
          <w:tcPr>
            <w:tcW w:w="5040" w:type="dxa"/>
            <w:tcBorders>
              <w:top w:val="nil"/>
              <w:left w:val="single" w:sz="8" w:space="0" w:color="auto"/>
              <w:bottom w:val="single" w:sz="8" w:space="0" w:color="auto"/>
              <w:right w:val="single" w:sz="8" w:space="0" w:color="auto"/>
            </w:tcBorders>
          </w:tcPr>
          <w:p w14:paraId="63231278" w14:textId="20EF63DC" w:rsidR="7E9C04BA" w:rsidRDefault="7E9C04BA">
            <w:r w:rsidRPr="7E9C04BA">
              <w:rPr>
                <w:rFonts w:ascii="Garamond" w:eastAsia="Garamond" w:hAnsi="Garamond" w:cs="Garamond"/>
              </w:rPr>
              <w:t>% Area of all vegetation in all ET/High SBS areas</w:t>
            </w:r>
          </w:p>
        </w:tc>
      </w:tr>
      <w:tr w:rsidR="7E9C04BA" w14:paraId="3C93DEA8"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70E91FD2" w14:textId="60398A91" w:rsidR="7E9C04BA" w:rsidRDefault="7E9C04BA" w:rsidP="7E9C04BA">
            <w:pPr>
              <w:spacing w:after="200" w:line="276" w:lineRule="auto"/>
            </w:pPr>
            <w:r w:rsidRPr="7E9C04BA">
              <w:rPr>
                <w:rFonts w:ascii="Garamond" w:eastAsia="Garamond" w:hAnsi="Garamond" w:cs="Garamond"/>
              </w:rPr>
              <w:t>Low ET</w:t>
            </w:r>
          </w:p>
        </w:tc>
        <w:tc>
          <w:tcPr>
            <w:tcW w:w="5040" w:type="dxa"/>
            <w:tcBorders>
              <w:top w:val="single" w:sz="8" w:space="0" w:color="auto"/>
              <w:left w:val="single" w:sz="8" w:space="0" w:color="auto"/>
              <w:bottom w:val="single" w:sz="8" w:space="0" w:color="auto"/>
              <w:right w:val="single" w:sz="8" w:space="0" w:color="auto"/>
            </w:tcBorders>
          </w:tcPr>
          <w:p w14:paraId="193D0F99" w14:textId="5E4E76B2" w:rsidR="7E9C04BA" w:rsidRDefault="7E9C04BA">
            <w:r w:rsidRPr="7E9C04BA">
              <w:rPr>
                <w:rFonts w:ascii="Garamond" w:eastAsia="Garamond" w:hAnsi="Garamond" w:cs="Garamond"/>
              </w:rPr>
              <w:t>65%</w:t>
            </w:r>
          </w:p>
        </w:tc>
      </w:tr>
      <w:tr w:rsidR="7E9C04BA" w14:paraId="41E59937"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3D3AD6B0" w14:textId="469A8004" w:rsidR="7E9C04BA" w:rsidRDefault="7E9C04BA" w:rsidP="7E9C04BA">
            <w:pPr>
              <w:spacing w:line="276" w:lineRule="auto"/>
              <w:rPr>
                <w:rFonts w:ascii="Garamond" w:eastAsia="Garamond" w:hAnsi="Garamond" w:cs="Garamond"/>
              </w:rPr>
            </w:pPr>
            <w:r w:rsidRPr="7E9C04BA">
              <w:rPr>
                <w:rFonts w:ascii="Garamond" w:eastAsia="Garamond" w:hAnsi="Garamond" w:cs="Garamond"/>
              </w:rPr>
              <w:t>Moderate ET</w:t>
            </w:r>
          </w:p>
        </w:tc>
        <w:tc>
          <w:tcPr>
            <w:tcW w:w="5040" w:type="dxa"/>
            <w:tcBorders>
              <w:top w:val="single" w:sz="8" w:space="0" w:color="auto"/>
              <w:left w:val="single" w:sz="8" w:space="0" w:color="auto"/>
              <w:bottom w:val="single" w:sz="8" w:space="0" w:color="auto"/>
              <w:right w:val="single" w:sz="8" w:space="0" w:color="auto"/>
            </w:tcBorders>
          </w:tcPr>
          <w:p w14:paraId="4650D432" w14:textId="3769F45C" w:rsidR="7E9C04BA" w:rsidRDefault="7E9C04BA" w:rsidP="7E9C04BA">
            <w:pPr>
              <w:rPr>
                <w:rFonts w:ascii="Garamond" w:eastAsia="Garamond" w:hAnsi="Garamond" w:cs="Garamond"/>
              </w:rPr>
            </w:pPr>
            <w:r w:rsidRPr="7E9C04BA">
              <w:rPr>
                <w:rFonts w:ascii="Garamond" w:eastAsia="Garamond" w:hAnsi="Garamond" w:cs="Garamond"/>
              </w:rPr>
              <w:t>25%</w:t>
            </w:r>
          </w:p>
        </w:tc>
      </w:tr>
      <w:tr w:rsidR="7E9C04BA" w14:paraId="797D4E8B"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110C3DB7" w14:textId="28085D1F" w:rsidR="7E9C04BA" w:rsidRDefault="7E9C04BA" w:rsidP="7E9C04BA">
            <w:pPr>
              <w:spacing w:line="276" w:lineRule="auto"/>
              <w:rPr>
                <w:rFonts w:ascii="Garamond" w:eastAsia="Garamond" w:hAnsi="Garamond" w:cs="Garamond"/>
              </w:rPr>
            </w:pPr>
            <w:r w:rsidRPr="7E9C04BA">
              <w:rPr>
                <w:rFonts w:ascii="Garamond" w:eastAsia="Garamond" w:hAnsi="Garamond" w:cs="Garamond"/>
              </w:rPr>
              <w:t>High ET</w:t>
            </w:r>
          </w:p>
        </w:tc>
        <w:tc>
          <w:tcPr>
            <w:tcW w:w="5040" w:type="dxa"/>
            <w:tcBorders>
              <w:top w:val="single" w:sz="8" w:space="0" w:color="auto"/>
              <w:left w:val="single" w:sz="8" w:space="0" w:color="auto"/>
              <w:bottom w:val="single" w:sz="8" w:space="0" w:color="auto"/>
              <w:right w:val="single" w:sz="8" w:space="0" w:color="auto"/>
            </w:tcBorders>
          </w:tcPr>
          <w:p w14:paraId="147DA318" w14:textId="46D55616" w:rsidR="7E9C04BA" w:rsidRDefault="7E9C04BA" w:rsidP="7E9C04BA">
            <w:pPr>
              <w:rPr>
                <w:rFonts w:ascii="Garamond" w:eastAsia="Garamond" w:hAnsi="Garamond" w:cs="Garamond"/>
              </w:rPr>
            </w:pPr>
            <w:r w:rsidRPr="7E9C04BA">
              <w:rPr>
                <w:rFonts w:ascii="Garamond" w:eastAsia="Garamond" w:hAnsi="Garamond" w:cs="Garamond"/>
              </w:rPr>
              <w:t>8%</w:t>
            </w:r>
          </w:p>
        </w:tc>
      </w:tr>
      <w:tr w:rsidR="7E9C04BA" w14:paraId="58787917"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3B1E4941" w14:textId="1D041411" w:rsidR="7E9C04BA" w:rsidRDefault="7E9C04BA">
            <w:r w:rsidRPr="7E9C04BA">
              <w:rPr>
                <w:rFonts w:ascii="Garamond" w:eastAsia="Garamond" w:hAnsi="Garamond" w:cs="Garamond"/>
              </w:rPr>
              <w:t>Total Vegetation</w:t>
            </w:r>
          </w:p>
        </w:tc>
        <w:tc>
          <w:tcPr>
            <w:tcW w:w="5040" w:type="dxa"/>
            <w:tcBorders>
              <w:top w:val="single" w:sz="8" w:space="0" w:color="auto"/>
              <w:left w:val="single" w:sz="8" w:space="0" w:color="auto"/>
              <w:bottom w:val="single" w:sz="8" w:space="0" w:color="auto"/>
              <w:right w:val="single" w:sz="8" w:space="0" w:color="auto"/>
            </w:tcBorders>
          </w:tcPr>
          <w:p w14:paraId="2488CCBB" w14:textId="13BC5561" w:rsidR="7E9C04BA" w:rsidRDefault="7E9C04BA">
            <w:r w:rsidRPr="7E9C04BA">
              <w:rPr>
                <w:rFonts w:ascii="Garamond" w:eastAsia="Garamond" w:hAnsi="Garamond" w:cs="Garamond"/>
              </w:rPr>
              <w:t>% Area of all vegetation in all WUE/High SBS areas</w:t>
            </w:r>
          </w:p>
        </w:tc>
      </w:tr>
      <w:tr w:rsidR="7E9C04BA" w14:paraId="0E11DFD6"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2324A1F6" w14:textId="13A2630F" w:rsidR="7E9C04BA" w:rsidRDefault="7E9C04BA" w:rsidP="7E9C04BA">
            <w:pPr>
              <w:spacing w:after="200" w:line="276" w:lineRule="auto"/>
            </w:pPr>
            <w:r w:rsidRPr="7E9C04BA">
              <w:rPr>
                <w:rFonts w:ascii="Garamond" w:eastAsia="Garamond" w:hAnsi="Garamond" w:cs="Garamond"/>
              </w:rPr>
              <w:t>Low WUE</w:t>
            </w:r>
          </w:p>
        </w:tc>
        <w:tc>
          <w:tcPr>
            <w:tcW w:w="5040" w:type="dxa"/>
            <w:tcBorders>
              <w:top w:val="single" w:sz="8" w:space="0" w:color="auto"/>
              <w:left w:val="single" w:sz="8" w:space="0" w:color="auto"/>
              <w:bottom w:val="single" w:sz="8" w:space="0" w:color="auto"/>
              <w:right w:val="single" w:sz="8" w:space="0" w:color="auto"/>
            </w:tcBorders>
          </w:tcPr>
          <w:p w14:paraId="4178DCA9" w14:textId="6F58E2FC" w:rsidR="7E9C04BA" w:rsidRDefault="7E9C04BA">
            <w:r w:rsidRPr="7E9C04BA">
              <w:rPr>
                <w:rFonts w:ascii="Garamond" w:eastAsia="Garamond" w:hAnsi="Garamond" w:cs="Garamond"/>
              </w:rPr>
              <w:t>80%</w:t>
            </w:r>
          </w:p>
        </w:tc>
      </w:tr>
      <w:tr w:rsidR="7E9C04BA" w14:paraId="43D3C6AB"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0B3DE190" w14:textId="6AC7CFE2" w:rsidR="7E9C04BA" w:rsidRDefault="7E9C04BA" w:rsidP="7E9C04BA">
            <w:pPr>
              <w:spacing w:line="276" w:lineRule="auto"/>
              <w:rPr>
                <w:rFonts w:ascii="Garamond" w:eastAsia="Garamond" w:hAnsi="Garamond" w:cs="Garamond"/>
              </w:rPr>
            </w:pPr>
            <w:r w:rsidRPr="7E9C04BA">
              <w:rPr>
                <w:rFonts w:ascii="Garamond" w:eastAsia="Garamond" w:hAnsi="Garamond" w:cs="Garamond"/>
              </w:rPr>
              <w:t>Moderate WUE</w:t>
            </w:r>
          </w:p>
        </w:tc>
        <w:tc>
          <w:tcPr>
            <w:tcW w:w="5040" w:type="dxa"/>
            <w:tcBorders>
              <w:top w:val="single" w:sz="8" w:space="0" w:color="auto"/>
              <w:left w:val="single" w:sz="8" w:space="0" w:color="auto"/>
              <w:bottom w:val="single" w:sz="8" w:space="0" w:color="auto"/>
              <w:right w:val="single" w:sz="8" w:space="0" w:color="auto"/>
            </w:tcBorders>
          </w:tcPr>
          <w:p w14:paraId="0DBEA913" w14:textId="35F5BFF3" w:rsidR="7E9C04BA" w:rsidRDefault="7E9C04BA" w:rsidP="7E9C04BA">
            <w:pPr>
              <w:rPr>
                <w:rFonts w:ascii="Garamond" w:eastAsia="Garamond" w:hAnsi="Garamond" w:cs="Garamond"/>
              </w:rPr>
            </w:pPr>
            <w:r w:rsidRPr="7E9C04BA">
              <w:rPr>
                <w:rFonts w:ascii="Garamond" w:eastAsia="Garamond" w:hAnsi="Garamond" w:cs="Garamond"/>
              </w:rPr>
              <w:t>20%</w:t>
            </w:r>
          </w:p>
        </w:tc>
      </w:tr>
      <w:tr w:rsidR="7E9C04BA" w14:paraId="22D4E557" w14:textId="77777777" w:rsidTr="7E9C04BA">
        <w:trPr>
          <w:trHeight w:val="285"/>
        </w:trPr>
        <w:tc>
          <w:tcPr>
            <w:tcW w:w="1800" w:type="dxa"/>
            <w:tcBorders>
              <w:top w:val="single" w:sz="8" w:space="0" w:color="auto"/>
              <w:left w:val="single" w:sz="8" w:space="0" w:color="auto"/>
              <w:bottom w:val="single" w:sz="8" w:space="0" w:color="auto"/>
              <w:right w:val="single" w:sz="8" w:space="0" w:color="auto"/>
            </w:tcBorders>
          </w:tcPr>
          <w:p w14:paraId="40B82DAF" w14:textId="04A57A09" w:rsidR="7E9C04BA" w:rsidRDefault="7E9C04BA" w:rsidP="7E9C04BA">
            <w:pPr>
              <w:spacing w:line="276" w:lineRule="auto"/>
              <w:rPr>
                <w:rFonts w:ascii="Garamond" w:eastAsia="Garamond" w:hAnsi="Garamond" w:cs="Garamond"/>
              </w:rPr>
            </w:pPr>
            <w:r w:rsidRPr="7E9C04BA">
              <w:rPr>
                <w:rFonts w:ascii="Garamond" w:eastAsia="Garamond" w:hAnsi="Garamond" w:cs="Garamond"/>
              </w:rPr>
              <w:t>High WUE</w:t>
            </w:r>
          </w:p>
        </w:tc>
        <w:tc>
          <w:tcPr>
            <w:tcW w:w="5040" w:type="dxa"/>
            <w:tcBorders>
              <w:top w:val="single" w:sz="8" w:space="0" w:color="auto"/>
              <w:left w:val="single" w:sz="8" w:space="0" w:color="auto"/>
              <w:bottom w:val="single" w:sz="8" w:space="0" w:color="auto"/>
              <w:right w:val="single" w:sz="8" w:space="0" w:color="auto"/>
            </w:tcBorders>
          </w:tcPr>
          <w:p w14:paraId="75FD7216" w14:textId="2E624883" w:rsidR="7E9C04BA" w:rsidRDefault="7E9C04BA" w:rsidP="7E9C04BA">
            <w:pPr>
              <w:rPr>
                <w:rFonts w:ascii="Garamond" w:eastAsia="Garamond" w:hAnsi="Garamond" w:cs="Garamond"/>
              </w:rPr>
            </w:pPr>
            <w:r w:rsidRPr="7E9C04BA">
              <w:rPr>
                <w:rFonts w:ascii="Garamond" w:eastAsia="Garamond" w:hAnsi="Garamond" w:cs="Garamond"/>
              </w:rPr>
              <w:t>*</w:t>
            </w:r>
          </w:p>
        </w:tc>
      </w:tr>
    </w:tbl>
    <w:p w14:paraId="30CAA0E4" w14:textId="100196C2" w:rsidR="7E9C04BA" w:rsidRDefault="7E9C04BA" w:rsidP="65CB079E">
      <w:pPr>
        <w:spacing w:after="0" w:line="240" w:lineRule="auto"/>
        <w:rPr>
          <w:rFonts w:ascii="Garamond" w:eastAsia="Garamond" w:hAnsi="Garamond" w:cs="Garamond"/>
          <w:i/>
          <w:iCs/>
          <w:color w:val="000000" w:themeColor="text1"/>
        </w:rPr>
      </w:pPr>
      <w:r w:rsidRPr="65CB079E">
        <w:rPr>
          <w:rFonts w:ascii="Garamond" w:eastAsia="Garamond" w:hAnsi="Garamond" w:cs="Garamond"/>
          <w:i/>
          <w:iCs/>
          <w:color w:val="000000" w:themeColor="text1"/>
        </w:rPr>
        <w:t xml:space="preserve">* = </w:t>
      </w:r>
      <w:r w:rsidRPr="65CB079E">
        <w:rPr>
          <w:rFonts w:ascii="Garamond" w:eastAsia="Garamond" w:hAnsi="Garamond" w:cs="Garamond"/>
          <w:color w:val="000000" w:themeColor="text1"/>
        </w:rPr>
        <w:t>negligible amount (3.68E-5)</w:t>
      </w:r>
    </w:p>
    <w:p w14:paraId="3A2EF4CF" w14:textId="6D6ABA09" w:rsidR="7E9C04BA" w:rsidRDefault="7E9C04BA" w:rsidP="7E9C04BA">
      <w:pPr>
        <w:spacing w:after="0" w:line="240" w:lineRule="auto"/>
        <w:rPr>
          <w:rFonts w:ascii="Garamond" w:eastAsia="Garamond" w:hAnsi="Garamond" w:cs="Garamond"/>
          <w:color w:val="000000" w:themeColor="text1"/>
        </w:rPr>
      </w:pPr>
    </w:p>
    <w:p w14:paraId="6A3C3487" w14:textId="77B78FA2" w:rsidR="7E9C04BA" w:rsidRDefault="7E9C04BA" w:rsidP="7E9C04BA">
      <w:pPr>
        <w:spacing w:after="0" w:line="240" w:lineRule="auto"/>
        <w:rPr>
          <w:rFonts w:ascii="Garamond" w:eastAsia="Garamond" w:hAnsi="Garamond" w:cs="Garamond"/>
          <w:color w:val="000000" w:themeColor="text1"/>
        </w:rPr>
      </w:pPr>
    </w:p>
    <w:p w14:paraId="0C1D9AC4" w14:textId="5B30D662" w:rsidR="7E9C04BA" w:rsidRDefault="7E9C04BA" w:rsidP="7E9C04BA">
      <w:pPr>
        <w:spacing w:after="0" w:line="240" w:lineRule="auto"/>
        <w:rPr>
          <w:rFonts w:ascii="Garamond" w:eastAsia="Garamond" w:hAnsi="Garamond" w:cs="Garamond"/>
          <w:color w:val="000000" w:themeColor="text1"/>
        </w:rPr>
      </w:pPr>
      <w:r w:rsidRPr="7E9C04BA">
        <w:rPr>
          <w:rFonts w:ascii="Garamond" w:eastAsia="Garamond" w:hAnsi="Garamond" w:cs="Garamond"/>
          <w:color w:val="000000" w:themeColor="text1"/>
        </w:rPr>
        <w:t>Table B4.</w:t>
      </w:r>
    </w:p>
    <w:p w14:paraId="1350F6E1" w14:textId="3EA77652" w:rsidR="7E9C04BA" w:rsidRDefault="7F421004" w:rsidP="10D1FD28">
      <w:pPr>
        <w:spacing w:after="0" w:line="240" w:lineRule="auto"/>
        <w:rPr>
          <w:rFonts w:ascii="Garamond" w:eastAsia="Garamond" w:hAnsi="Garamond" w:cs="Garamond"/>
          <w:i/>
          <w:iCs/>
          <w:color w:val="000000" w:themeColor="text1"/>
        </w:rPr>
      </w:pPr>
      <w:r w:rsidRPr="10D1FD28">
        <w:rPr>
          <w:rFonts w:ascii="Garamond" w:eastAsia="Garamond" w:hAnsi="Garamond" w:cs="Garamond"/>
          <w:i/>
          <w:iCs/>
          <w:color w:val="000000" w:themeColor="text1"/>
        </w:rPr>
        <w:t xml:space="preserve">Propensity for wildfire intensity is calculated as the difference between </w:t>
      </w:r>
      <w:r w:rsidR="50D19BF1" w:rsidRPr="10D1FD28">
        <w:rPr>
          <w:rFonts w:ascii="Garamond" w:eastAsia="Garamond" w:hAnsi="Garamond" w:cs="Garamond"/>
          <w:i/>
          <w:iCs/>
          <w:color w:val="000000" w:themeColor="text1"/>
        </w:rPr>
        <w:t>p</w:t>
      </w:r>
      <w:r w:rsidRPr="10D1FD28">
        <w:rPr>
          <w:rFonts w:ascii="Garamond" w:eastAsia="Garamond" w:hAnsi="Garamond" w:cs="Garamond"/>
          <w:i/>
          <w:iCs/>
          <w:color w:val="000000" w:themeColor="text1"/>
        </w:rPr>
        <w:t xml:space="preserve">ercent vegetation in </w:t>
      </w:r>
      <w:r w:rsidR="16D0401C" w:rsidRPr="10D1FD28">
        <w:rPr>
          <w:rFonts w:ascii="Garamond" w:eastAsia="Garamond" w:hAnsi="Garamond" w:cs="Garamond"/>
          <w:i/>
          <w:iCs/>
          <w:color w:val="000000" w:themeColor="text1"/>
        </w:rPr>
        <w:t>h</w:t>
      </w:r>
      <w:r w:rsidRPr="10D1FD28">
        <w:rPr>
          <w:rFonts w:ascii="Garamond" w:eastAsia="Garamond" w:hAnsi="Garamond" w:cs="Garamond"/>
          <w:i/>
          <w:iCs/>
          <w:color w:val="000000" w:themeColor="text1"/>
        </w:rPr>
        <w:t xml:space="preserve">igh SBS areas and </w:t>
      </w:r>
      <w:r w:rsidR="088BC063" w:rsidRPr="10D1FD28">
        <w:rPr>
          <w:rFonts w:ascii="Garamond" w:eastAsia="Garamond" w:hAnsi="Garamond" w:cs="Garamond"/>
          <w:i/>
          <w:iCs/>
          <w:color w:val="000000" w:themeColor="text1"/>
        </w:rPr>
        <w:t>p</w:t>
      </w:r>
      <w:r w:rsidRPr="10D1FD28">
        <w:rPr>
          <w:rFonts w:ascii="Garamond" w:eastAsia="Garamond" w:hAnsi="Garamond" w:cs="Garamond"/>
          <w:i/>
          <w:iCs/>
          <w:color w:val="000000" w:themeColor="text1"/>
        </w:rPr>
        <w:t>ercent vegetation in the heat perimeter. Positive values reflect a greater propensity for vegetation to contribute to wildfire intensity, while negative values are less likely to contribute to wildfire intensity.</w:t>
      </w:r>
    </w:p>
    <w:tbl>
      <w:tblPr>
        <w:tblStyle w:val="TableGrid"/>
        <w:tblW w:w="0" w:type="auto"/>
        <w:tblInd w:w="0" w:type="dxa"/>
        <w:tblLayout w:type="fixed"/>
        <w:tblLook w:val="04A0" w:firstRow="1" w:lastRow="0" w:firstColumn="1" w:lastColumn="0" w:noHBand="0" w:noVBand="1"/>
      </w:tblPr>
      <w:tblGrid>
        <w:gridCol w:w="6140"/>
        <w:gridCol w:w="3220"/>
      </w:tblGrid>
      <w:tr w:rsidR="7E9C04BA" w14:paraId="73281513" w14:textId="77777777" w:rsidTr="7E9C04BA">
        <w:trPr>
          <w:trHeight w:val="285"/>
        </w:trPr>
        <w:tc>
          <w:tcPr>
            <w:tcW w:w="9360" w:type="dxa"/>
            <w:gridSpan w:val="2"/>
            <w:tcBorders>
              <w:top w:val="single" w:sz="8" w:space="0" w:color="auto"/>
              <w:left w:val="single" w:sz="8" w:space="0" w:color="auto"/>
              <w:bottom w:val="single" w:sz="8" w:space="0" w:color="auto"/>
              <w:right w:val="single" w:sz="8" w:space="0" w:color="auto"/>
            </w:tcBorders>
          </w:tcPr>
          <w:p w14:paraId="27405E5C" w14:textId="22BBFF55" w:rsidR="7E9C04BA" w:rsidRDefault="7E9C04BA" w:rsidP="7E9C04BA">
            <w:pPr>
              <w:jc w:val="center"/>
            </w:pPr>
            <w:r w:rsidRPr="7E9C04BA">
              <w:rPr>
                <w:rFonts w:ascii="Garamond" w:eastAsia="Garamond" w:hAnsi="Garamond" w:cs="Garamond"/>
              </w:rPr>
              <w:t>Within the Bootleg Fire</w:t>
            </w:r>
          </w:p>
        </w:tc>
      </w:tr>
      <w:tr w:rsidR="7E9C04BA" w14:paraId="1FE8A20B"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6C549F1F" w14:textId="292A67AF" w:rsidR="7E9C04BA" w:rsidRDefault="7E9C04BA">
            <w:r w:rsidRPr="7E9C04BA">
              <w:rPr>
                <w:rFonts w:ascii="Garamond" w:eastAsia="Garamond" w:hAnsi="Garamond" w:cs="Garamond"/>
                <w:b/>
                <w:bCs/>
                <w:sz w:val="24"/>
                <w:szCs w:val="24"/>
              </w:rPr>
              <w:t>EVT</w:t>
            </w:r>
          </w:p>
        </w:tc>
        <w:tc>
          <w:tcPr>
            <w:tcW w:w="3220" w:type="dxa"/>
            <w:tcBorders>
              <w:top w:val="nil"/>
              <w:left w:val="single" w:sz="8" w:space="0" w:color="auto"/>
              <w:bottom w:val="single" w:sz="8" w:space="0" w:color="auto"/>
              <w:right w:val="single" w:sz="8" w:space="0" w:color="auto"/>
            </w:tcBorders>
          </w:tcPr>
          <w:p w14:paraId="2466819B" w14:textId="76A89451" w:rsidR="7E9C04BA" w:rsidRDefault="7E9C04BA">
            <w:r w:rsidRPr="7E9C04BA">
              <w:rPr>
                <w:rFonts w:ascii="Garamond" w:eastAsia="Garamond" w:hAnsi="Garamond" w:cs="Garamond"/>
                <w:color w:val="000000" w:themeColor="text1"/>
              </w:rPr>
              <w:t>Percent EVT Cover</w:t>
            </w:r>
          </w:p>
        </w:tc>
      </w:tr>
      <w:tr w:rsidR="7E9C04BA" w14:paraId="142622F2"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61F6C9B4" w14:textId="67045695" w:rsidR="7E9C04BA" w:rsidRDefault="7E9C04BA">
            <w:r w:rsidRPr="7E9C04BA">
              <w:rPr>
                <w:rFonts w:ascii="Garamond" w:eastAsia="Garamond" w:hAnsi="Garamond" w:cs="Garamond"/>
                <w:color w:val="000000" w:themeColor="text1"/>
              </w:rPr>
              <w:t>Sierran-Intermontane Desert Western White Pine - White Fir Woodland</w:t>
            </w:r>
          </w:p>
        </w:tc>
        <w:tc>
          <w:tcPr>
            <w:tcW w:w="3220" w:type="dxa"/>
            <w:tcBorders>
              <w:top w:val="single" w:sz="8" w:space="0" w:color="auto"/>
              <w:left w:val="single" w:sz="8" w:space="0" w:color="auto"/>
              <w:bottom w:val="single" w:sz="8" w:space="0" w:color="auto"/>
              <w:right w:val="single" w:sz="8" w:space="0" w:color="auto"/>
            </w:tcBorders>
          </w:tcPr>
          <w:p w14:paraId="4B7983F9" w14:textId="3012CD12" w:rsidR="7E9C04BA" w:rsidRDefault="7E9C04BA" w:rsidP="7E9C04BA">
            <w:pPr>
              <w:jc w:val="right"/>
            </w:pPr>
            <w:r w:rsidRPr="7E9C04BA">
              <w:rPr>
                <w:rFonts w:ascii="Garamond" w:eastAsia="Garamond" w:hAnsi="Garamond" w:cs="Garamond"/>
                <w:color w:val="000000" w:themeColor="text1"/>
              </w:rPr>
              <w:t>15%</w:t>
            </w:r>
          </w:p>
        </w:tc>
      </w:tr>
      <w:tr w:rsidR="7E9C04BA" w14:paraId="7D190EED"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80FDAF7" w14:textId="5E084E8C" w:rsidR="7E9C04BA" w:rsidRDefault="7E9C04BA">
            <w:r w:rsidRPr="7E9C04BA">
              <w:rPr>
                <w:rFonts w:ascii="Garamond" w:eastAsia="Garamond" w:hAnsi="Garamond" w:cs="Garamond"/>
                <w:color w:val="000000" w:themeColor="text1"/>
              </w:rPr>
              <w:t>Northern Rocky Mountain Ponderosa Pine Woodland and Savanna</w:t>
            </w:r>
          </w:p>
        </w:tc>
        <w:tc>
          <w:tcPr>
            <w:tcW w:w="3220" w:type="dxa"/>
            <w:tcBorders>
              <w:top w:val="single" w:sz="8" w:space="0" w:color="auto"/>
              <w:left w:val="single" w:sz="8" w:space="0" w:color="auto"/>
              <w:bottom w:val="single" w:sz="8" w:space="0" w:color="auto"/>
              <w:right w:val="single" w:sz="8" w:space="0" w:color="auto"/>
            </w:tcBorders>
          </w:tcPr>
          <w:p w14:paraId="7B8D84D1" w14:textId="402A2D4F" w:rsidR="7E9C04BA" w:rsidRDefault="7E9C04BA" w:rsidP="7E9C04BA">
            <w:pPr>
              <w:jc w:val="right"/>
            </w:pPr>
            <w:r w:rsidRPr="7E9C04BA">
              <w:rPr>
                <w:rFonts w:ascii="Garamond" w:eastAsia="Garamond" w:hAnsi="Garamond" w:cs="Garamond"/>
                <w:color w:val="000000" w:themeColor="text1"/>
              </w:rPr>
              <w:t>29%</w:t>
            </w:r>
          </w:p>
        </w:tc>
      </w:tr>
      <w:tr w:rsidR="7E9C04BA" w14:paraId="61323610"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749718B9" w14:textId="39F41D29" w:rsidR="7E9C04BA" w:rsidRDefault="7E9C04BA">
            <w:r w:rsidRPr="7E9C04BA">
              <w:rPr>
                <w:rFonts w:ascii="Garamond" w:eastAsia="Garamond" w:hAnsi="Garamond" w:cs="Garamond"/>
                <w:color w:val="000000" w:themeColor="text1"/>
              </w:rPr>
              <w:t>Colombia Plateau Low Sagebrush Steppe</w:t>
            </w:r>
          </w:p>
        </w:tc>
        <w:tc>
          <w:tcPr>
            <w:tcW w:w="3220" w:type="dxa"/>
            <w:tcBorders>
              <w:top w:val="single" w:sz="8" w:space="0" w:color="auto"/>
              <w:left w:val="single" w:sz="8" w:space="0" w:color="auto"/>
              <w:bottom w:val="single" w:sz="8" w:space="0" w:color="auto"/>
              <w:right w:val="single" w:sz="8" w:space="0" w:color="auto"/>
            </w:tcBorders>
          </w:tcPr>
          <w:p w14:paraId="0F55D4A9" w14:textId="4D15936B" w:rsidR="7E9C04BA" w:rsidRDefault="7E9C04BA" w:rsidP="7E9C04BA">
            <w:pPr>
              <w:jc w:val="right"/>
            </w:pPr>
            <w:r w:rsidRPr="7E9C04BA">
              <w:rPr>
                <w:rFonts w:ascii="Garamond" w:eastAsia="Garamond" w:hAnsi="Garamond" w:cs="Garamond"/>
                <w:color w:val="000000" w:themeColor="text1"/>
              </w:rPr>
              <w:t>4%</w:t>
            </w:r>
          </w:p>
        </w:tc>
      </w:tr>
      <w:tr w:rsidR="7E9C04BA" w14:paraId="358C0953"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51FEF034" w14:textId="528C4242" w:rsidR="7E9C04BA" w:rsidRDefault="7E9C04BA">
            <w:r w:rsidRPr="7E9C04BA">
              <w:rPr>
                <w:rFonts w:ascii="Garamond" w:eastAsia="Garamond" w:hAnsi="Garamond" w:cs="Garamond"/>
                <w:b/>
                <w:bCs/>
                <w:sz w:val="24"/>
                <w:szCs w:val="24"/>
              </w:rPr>
              <w:t>EVT</w:t>
            </w:r>
          </w:p>
        </w:tc>
        <w:tc>
          <w:tcPr>
            <w:tcW w:w="3220" w:type="dxa"/>
            <w:tcBorders>
              <w:top w:val="single" w:sz="8" w:space="0" w:color="auto"/>
              <w:left w:val="single" w:sz="8" w:space="0" w:color="auto"/>
              <w:bottom w:val="single" w:sz="8" w:space="0" w:color="auto"/>
              <w:right w:val="single" w:sz="8" w:space="0" w:color="auto"/>
            </w:tcBorders>
          </w:tcPr>
          <w:p w14:paraId="6D803728" w14:textId="2CDFB1D7" w:rsidR="7E9C04BA" w:rsidRDefault="7E9C04BA">
            <w:r w:rsidRPr="7E9C04BA">
              <w:rPr>
                <w:rFonts w:ascii="Garamond" w:eastAsia="Garamond" w:hAnsi="Garamond" w:cs="Garamond"/>
                <w:color w:val="000000" w:themeColor="text1"/>
              </w:rPr>
              <w:t>Percent EVT in High SBS areas</w:t>
            </w:r>
          </w:p>
        </w:tc>
      </w:tr>
      <w:tr w:rsidR="7E9C04BA" w14:paraId="796E415B"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5A129D63" w14:textId="3EB93E8C" w:rsidR="7E9C04BA" w:rsidRDefault="7E9C04BA">
            <w:r w:rsidRPr="7E9C04BA">
              <w:rPr>
                <w:rFonts w:ascii="Garamond" w:eastAsia="Garamond" w:hAnsi="Garamond" w:cs="Garamond"/>
                <w:color w:val="000000" w:themeColor="text1"/>
              </w:rPr>
              <w:t>Sierran-Intermontane Desert Western White Pine - White Fir Woodland</w:t>
            </w:r>
          </w:p>
        </w:tc>
        <w:tc>
          <w:tcPr>
            <w:tcW w:w="3220" w:type="dxa"/>
            <w:tcBorders>
              <w:top w:val="single" w:sz="8" w:space="0" w:color="auto"/>
              <w:left w:val="single" w:sz="8" w:space="0" w:color="auto"/>
              <w:bottom w:val="single" w:sz="8" w:space="0" w:color="auto"/>
              <w:right w:val="single" w:sz="8" w:space="0" w:color="auto"/>
            </w:tcBorders>
          </w:tcPr>
          <w:p w14:paraId="602998AD" w14:textId="7DE3EAAE" w:rsidR="7E9C04BA" w:rsidRDefault="7E9C04BA" w:rsidP="7E9C04BA">
            <w:pPr>
              <w:jc w:val="right"/>
            </w:pPr>
            <w:r w:rsidRPr="7E9C04BA">
              <w:rPr>
                <w:rFonts w:ascii="Garamond" w:eastAsia="Garamond" w:hAnsi="Garamond" w:cs="Garamond"/>
                <w:color w:val="000000" w:themeColor="text1"/>
              </w:rPr>
              <w:t>42%</w:t>
            </w:r>
          </w:p>
        </w:tc>
      </w:tr>
      <w:tr w:rsidR="7E9C04BA" w14:paraId="6E0F3445"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24EAB7CA" w14:textId="46AF7B22" w:rsidR="7E9C04BA" w:rsidRDefault="7E9C04BA">
            <w:r w:rsidRPr="7E9C04BA">
              <w:rPr>
                <w:rFonts w:ascii="Garamond" w:eastAsia="Garamond" w:hAnsi="Garamond" w:cs="Garamond"/>
                <w:color w:val="000000" w:themeColor="text1"/>
              </w:rPr>
              <w:t>Northern Rocky Mountain Ponderosa Pine Woodland and Savanna</w:t>
            </w:r>
          </w:p>
        </w:tc>
        <w:tc>
          <w:tcPr>
            <w:tcW w:w="3220" w:type="dxa"/>
            <w:tcBorders>
              <w:top w:val="single" w:sz="8" w:space="0" w:color="auto"/>
              <w:left w:val="single" w:sz="8" w:space="0" w:color="auto"/>
              <w:bottom w:val="single" w:sz="8" w:space="0" w:color="auto"/>
              <w:right w:val="single" w:sz="8" w:space="0" w:color="auto"/>
            </w:tcBorders>
          </w:tcPr>
          <w:p w14:paraId="0244D02A" w14:textId="3506A60C" w:rsidR="7E9C04BA" w:rsidRDefault="7E9C04BA" w:rsidP="7E9C04BA">
            <w:pPr>
              <w:jc w:val="right"/>
            </w:pPr>
            <w:r w:rsidRPr="7E9C04BA">
              <w:rPr>
                <w:rFonts w:ascii="Garamond" w:eastAsia="Garamond" w:hAnsi="Garamond" w:cs="Garamond"/>
                <w:color w:val="000000" w:themeColor="text1"/>
              </w:rPr>
              <w:t>25%</w:t>
            </w:r>
          </w:p>
        </w:tc>
      </w:tr>
      <w:tr w:rsidR="7E9C04BA" w14:paraId="152C1B05"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0E48FA55" w14:textId="195D4B4E" w:rsidR="7E9C04BA" w:rsidRDefault="7E9C04BA">
            <w:r w:rsidRPr="7E9C04BA">
              <w:rPr>
                <w:rFonts w:ascii="Garamond" w:eastAsia="Garamond" w:hAnsi="Garamond" w:cs="Garamond"/>
                <w:color w:val="000000" w:themeColor="text1"/>
              </w:rPr>
              <w:lastRenderedPageBreak/>
              <w:t>Colombia Plateau Low Sagebrush Steppe</w:t>
            </w:r>
          </w:p>
        </w:tc>
        <w:tc>
          <w:tcPr>
            <w:tcW w:w="3220" w:type="dxa"/>
            <w:tcBorders>
              <w:top w:val="single" w:sz="8" w:space="0" w:color="auto"/>
              <w:left w:val="single" w:sz="8" w:space="0" w:color="auto"/>
              <w:bottom w:val="single" w:sz="8" w:space="0" w:color="auto"/>
              <w:right w:val="single" w:sz="8" w:space="0" w:color="auto"/>
            </w:tcBorders>
          </w:tcPr>
          <w:p w14:paraId="12CE75B4" w14:textId="4F855D24" w:rsidR="7E9C04BA" w:rsidRDefault="7E9C04BA" w:rsidP="7E9C04BA">
            <w:pPr>
              <w:jc w:val="right"/>
            </w:pPr>
            <w:r w:rsidRPr="7E9C04BA">
              <w:rPr>
                <w:rFonts w:ascii="Garamond" w:eastAsia="Garamond" w:hAnsi="Garamond" w:cs="Garamond"/>
                <w:color w:val="000000" w:themeColor="text1"/>
              </w:rPr>
              <w:t>0%</w:t>
            </w:r>
          </w:p>
        </w:tc>
      </w:tr>
      <w:tr w:rsidR="7E9C04BA" w14:paraId="582B9B46"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36549B9" w14:textId="7D6D16FF" w:rsidR="7E9C04BA" w:rsidRDefault="7E9C04BA">
            <w:r w:rsidRPr="7E9C04BA">
              <w:rPr>
                <w:rFonts w:ascii="Garamond" w:eastAsia="Garamond" w:hAnsi="Garamond" w:cs="Garamond"/>
                <w:b/>
                <w:bCs/>
                <w:sz w:val="24"/>
                <w:szCs w:val="24"/>
              </w:rPr>
              <w:t>EVT</w:t>
            </w:r>
          </w:p>
        </w:tc>
        <w:tc>
          <w:tcPr>
            <w:tcW w:w="3220" w:type="dxa"/>
            <w:tcBorders>
              <w:top w:val="single" w:sz="8" w:space="0" w:color="auto"/>
              <w:left w:val="single" w:sz="8" w:space="0" w:color="auto"/>
              <w:bottom w:val="single" w:sz="8" w:space="0" w:color="auto"/>
              <w:right w:val="single" w:sz="8" w:space="0" w:color="auto"/>
            </w:tcBorders>
          </w:tcPr>
          <w:p w14:paraId="5B8512CC" w14:textId="5043FA78" w:rsidR="7E9C04BA" w:rsidRDefault="7E9C04BA">
            <w:r w:rsidRPr="7E9C04BA">
              <w:rPr>
                <w:rFonts w:ascii="Garamond" w:eastAsia="Garamond" w:hAnsi="Garamond" w:cs="Garamond"/>
                <w:color w:val="000000" w:themeColor="text1"/>
              </w:rPr>
              <w:t>Propensity for Intense Wildfire</w:t>
            </w:r>
          </w:p>
        </w:tc>
      </w:tr>
      <w:tr w:rsidR="7E9C04BA" w14:paraId="69A28C49"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700A87C6" w14:textId="3B0E2ECF" w:rsidR="7E9C04BA" w:rsidRDefault="7E9C04BA">
            <w:r w:rsidRPr="7E9C04BA">
              <w:rPr>
                <w:rFonts w:ascii="Garamond" w:eastAsia="Garamond" w:hAnsi="Garamond" w:cs="Garamond"/>
                <w:color w:val="000000" w:themeColor="text1"/>
              </w:rPr>
              <w:t>Sierran-Intermontane Desert Western White Pine - White Fir Woodland</w:t>
            </w:r>
          </w:p>
        </w:tc>
        <w:tc>
          <w:tcPr>
            <w:tcW w:w="3220" w:type="dxa"/>
            <w:tcBorders>
              <w:top w:val="single" w:sz="8" w:space="0" w:color="auto"/>
              <w:left w:val="single" w:sz="8" w:space="0" w:color="auto"/>
              <w:bottom w:val="single" w:sz="8" w:space="0" w:color="auto"/>
              <w:right w:val="single" w:sz="8" w:space="0" w:color="auto"/>
            </w:tcBorders>
          </w:tcPr>
          <w:p w14:paraId="0FA93EDD" w14:textId="6BCDE8B2" w:rsidR="7E9C04BA" w:rsidRDefault="7E9C04BA" w:rsidP="7E9C04BA">
            <w:pPr>
              <w:jc w:val="right"/>
            </w:pPr>
            <w:r w:rsidRPr="7E9C04BA">
              <w:rPr>
                <w:rFonts w:ascii="Garamond" w:eastAsia="Garamond" w:hAnsi="Garamond" w:cs="Garamond"/>
                <w:color w:val="000000" w:themeColor="text1"/>
              </w:rPr>
              <w:t>27%</w:t>
            </w:r>
          </w:p>
        </w:tc>
      </w:tr>
      <w:tr w:rsidR="7E9C04BA" w14:paraId="2D838938"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1622A5AD" w14:textId="64D14064" w:rsidR="7E9C04BA" w:rsidRDefault="7E9C04BA">
            <w:r w:rsidRPr="7E9C04BA">
              <w:rPr>
                <w:rFonts w:ascii="Garamond" w:eastAsia="Garamond" w:hAnsi="Garamond" w:cs="Garamond"/>
                <w:color w:val="000000" w:themeColor="text1"/>
              </w:rPr>
              <w:t>Northern Rocky Mountain Ponderosa Pine Woodland and Savanna</w:t>
            </w:r>
          </w:p>
        </w:tc>
        <w:tc>
          <w:tcPr>
            <w:tcW w:w="3220" w:type="dxa"/>
            <w:tcBorders>
              <w:top w:val="single" w:sz="8" w:space="0" w:color="auto"/>
              <w:left w:val="single" w:sz="8" w:space="0" w:color="auto"/>
              <w:bottom w:val="single" w:sz="8" w:space="0" w:color="auto"/>
              <w:right w:val="single" w:sz="8" w:space="0" w:color="auto"/>
            </w:tcBorders>
          </w:tcPr>
          <w:p w14:paraId="0B89E54B" w14:textId="5FCDE06D" w:rsidR="7E9C04BA" w:rsidRDefault="7E9C04BA" w:rsidP="7E9C04BA">
            <w:pPr>
              <w:jc w:val="right"/>
            </w:pPr>
            <w:r w:rsidRPr="7E9C04BA">
              <w:rPr>
                <w:rFonts w:ascii="Garamond" w:eastAsia="Garamond" w:hAnsi="Garamond" w:cs="Garamond"/>
                <w:color w:val="000000" w:themeColor="text1"/>
              </w:rPr>
              <w:t>-14%</w:t>
            </w:r>
          </w:p>
        </w:tc>
      </w:tr>
      <w:tr w:rsidR="7E9C04BA" w14:paraId="0CAB0091"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6C1CB9C6" w14:textId="4C3111AA" w:rsidR="7E9C04BA" w:rsidRDefault="7E9C04BA">
            <w:r w:rsidRPr="7E9C04BA">
              <w:rPr>
                <w:rFonts w:ascii="Garamond" w:eastAsia="Garamond" w:hAnsi="Garamond" w:cs="Garamond"/>
                <w:color w:val="000000" w:themeColor="text1"/>
              </w:rPr>
              <w:t>Colombia Plateau Low Sagebrush Steppe</w:t>
            </w:r>
          </w:p>
        </w:tc>
        <w:tc>
          <w:tcPr>
            <w:tcW w:w="3220" w:type="dxa"/>
            <w:tcBorders>
              <w:top w:val="single" w:sz="8" w:space="0" w:color="auto"/>
              <w:left w:val="single" w:sz="8" w:space="0" w:color="auto"/>
              <w:bottom w:val="single" w:sz="8" w:space="0" w:color="auto"/>
              <w:right w:val="single" w:sz="8" w:space="0" w:color="auto"/>
            </w:tcBorders>
          </w:tcPr>
          <w:p w14:paraId="542D496D" w14:textId="06A48C44" w:rsidR="7E9C04BA" w:rsidRDefault="7E9C04BA" w:rsidP="7E9C04BA">
            <w:pPr>
              <w:jc w:val="right"/>
            </w:pPr>
            <w:r w:rsidRPr="7E9C04BA">
              <w:rPr>
                <w:rFonts w:ascii="Garamond" w:eastAsia="Garamond" w:hAnsi="Garamond" w:cs="Garamond"/>
                <w:color w:val="000000" w:themeColor="text1"/>
              </w:rPr>
              <w:t>-4%</w:t>
            </w:r>
          </w:p>
        </w:tc>
      </w:tr>
      <w:tr w:rsidR="7E9C04BA" w14:paraId="72E557A7"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3952234A" w14:textId="5468FCE3" w:rsidR="7E9C04BA" w:rsidRDefault="7E9C04BA">
            <w:r w:rsidRPr="7E9C04BA">
              <w:rPr>
                <w:rFonts w:ascii="Garamond" w:eastAsia="Garamond" w:hAnsi="Garamond" w:cs="Garamond"/>
                <w:sz w:val="24"/>
                <w:szCs w:val="24"/>
              </w:rPr>
              <w:t xml:space="preserve"> </w:t>
            </w:r>
          </w:p>
        </w:tc>
        <w:tc>
          <w:tcPr>
            <w:tcW w:w="3220" w:type="dxa"/>
            <w:tcBorders>
              <w:top w:val="single" w:sz="8" w:space="0" w:color="auto"/>
              <w:left w:val="single" w:sz="8" w:space="0" w:color="auto"/>
              <w:bottom w:val="single" w:sz="8" w:space="0" w:color="auto"/>
              <w:right w:val="single" w:sz="8" w:space="0" w:color="auto"/>
            </w:tcBorders>
          </w:tcPr>
          <w:p w14:paraId="48911D28" w14:textId="0BF31F7E" w:rsidR="7E9C04BA" w:rsidRDefault="7E9C04BA">
            <w:r w:rsidRPr="7E9C04BA">
              <w:rPr>
                <w:rFonts w:ascii="Garamond" w:eastAsia="Garamond" w:hAnsi="Garamond" w:cs="Garamond"/>
                <w:color w:val="000000" w:themeColor="text1"/>
              </w:rPr>
              <w:t xml:space="preserve"> </w:t>
            </w:r>
          </w:p>
        </w:tc>
      </w:tr>
      <w:tr w:rsidR="7E9C04BA" w14:paraId="13C4C8DB"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6C00815" w14:textId="186946C6" w:rsidR="7E9C04BA" w:rsidRDefault="7E9C04BA">
            <w:r w:rsidRPr="7E9C04BA">
              <w:rPr>
                <w:rFonts w:ascii="Garamond" w:eastAsia="Garamond" w:hAnsi="Garamond" w:cs="Garamond"/>
                <w:b/>
                <w:bCs/>
                <w:sz w:val="24"/>
                <w:szCs w:val="24"/>
              </w:rPr>
              <w:t>Land Cover</w:t>
            </w:r>
          </w:p>
        </w:tc>
        <w:tc>
          <w:tcPr>
            <w:tcW w:w="3220" w:type="dxa"/>
            <w:tcBorders>
              <w:top w:val="single" w:sz="8" w:space="0" w:color="auto"/>
              <w:left w:val="single" w:sz="8" w:space="0" w:color="auto"/>
              <w:bottom w:val="single" w:sz="8" w:space="0" w:color="auto"/>
              <w:right w:val="single" w:sz="8" w:space="0" w:color="auto"/>
            </w:tcBorders>
          </w:tcPr>
          <w:p w14:paraId="70C06217" w14:textId="451BFB3D" w:rsidR="7E9C04BA" w:rsidRDefault="7E9C04BA">
            <w:r w:rsidRPr="7E9C04BA">
              <w:rPr>
                <w:rFonts w:ascii="Garamond" w:eastAsia="Garamond" w:hAnsi="Garamond" w:cs="Garamond"/>
                <w:color w:val="000000" w:themeColor="text1"/>
              </w:rPr>
              <w:t>Percent Land Cover</w:t>
            </w:r>
          </w:p>
        </w:tc>
      </w:tr>
      <w:tr w:rsidR="7E9C04BA" w14:paraId="2A320296"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2B2BD2B9" w14:textId="574CDED5" w:rsidR="7E9C04BA" w:rsidRDefault="7E9C04BA">
            <w:r w:rsidRPr="7E9C04BA">
              <w:rPr>
                <w:rFonts w:ascii="Garamond" w:eastAsia="Garamond" w:hAnsi="Garamond" w:cs="Garamond"/>
                <w:color w:val="000000" w:themeColor="text1"/>
              </w:rPr>
              <w:t>Evergreen</w:t>
            </w:r>
          </w:p>
        </w:tc>
        <w:tc>
          <w:tcPr>
            <w:tcW w:w="3220" w:type="dxa"/>
            <w:tcBorders>
              <w:top w:val="single" w:sz="8" w:space="0" w:color="auto"/>
              <w:left w:val="single" w:sz="8" w:space="0" w:color="auto"/>
              <w:bottom w:val="single" w:sz="8" w:space="0" w:color="auto"/>
              <w:right w:val="single" w:sz="8" w:space="0" w:color="auto"/>
            </w:tcBorders>
          </w:tcPr>
          <w:p w14:paraId="2C85E29F" w14:textId="072B9805" w:rsidR="7E9C04BA" w:rsidRDefault="7E9C04BA" w:rsidP="7E9C04BA">
            <w:pPr>
              <w:jc w:val="right"/>
            </w:pPr>
            <w:r w:rsidRPr="7E9C04BA">
              <w:rPr>
                <w:rFonts w:ascii="Garamond" w:eastAsia="Garamond" w:hAnsi="Garamond" w:cs="Garamond"/>
                <w:color w:val="000000" w:themeColor="text1"/>
              </w:rPr>
              <w:t>70%</w:t>
            </w:r>
          </w:p>
        </w:tc>
      </w:tr>
      <w:tr w:rsidR="7E9C04BA" w14:paraId="000AB474"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02968546" w14:textId="66AA3E29" w:rsidR="7E9C04BA" w:rsidRDefault="7E9C04BA">
            <w:r w:rsidRPr="7E9C04BA">
              <w:rPr>
                <w:rFonts w:ascii="Garamond" w:eastAsia="Garamond" w:hAnsi="Garamond" w:cs="Garamond"/>
                <w:color w:val="000000" w:themeColor="text1"/>
              </w:rPr>
              <w:t>Shrub</w:t>
            </w:r>
          </w:p>
        </w:tc>
        <w:tc>
          <w:tcPr>
            <w:tcW w:w="3220" w:type="dxa"/>
            <w:tcBorders>
              <w:top w:val="single" w:sz="8" w:space="0" w:color="auto"/>
              <w:left w:val="single" w:sz="8" w:space="0" w:color="auto"/>
              <w:bottom w:val="single" w:sz="8" w:space="0" w:color="auto"/>
              <w:right w:val="single" w:sz="8" w:space="0" w:color="auto"/>
            </w:tcBorders>
          </w:tcPr>
          <w:p w14:paraId="70A8025E" w14:textId="089239B5" w:rsidR="7E9C04BA" w:rsidRDefault="7E9C04BA" w:rsidP="7E9C04BA">
            <w:pPr>
              <w:jc w:val="right"/>
            </w:pPr>
            <w:r w:rsidRPr="7E9C04BA">
              <w:rPr>
                <w:rFonts w:ascii="Garamond" w:eastAsia="Garamond" w:hAnsi="Garamond" w:cs="Garamond"/>
                <w:color w:val="000000" w:themeColor="text1"/>
              </w:rPr>
              <w:t>24%</w:t>
            </w:r>
          </w:p>
        </w:tc>
      </w:tr>
      <w:tr w:rsidR="7E9C04BA" w14:paraId="7889A4A5"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63549DE7" w14:textId="0CFE0650" w:rsidR="7E9C04BA" w:rsidRDefault="7E9C04BA">
            <w:r w:rsidRPr="7E9C04BA">
              <w:rPr>
                <w:rFonts w:ascii="Garamond" w:eastAsia="Garamond" w:hAnsi="Garamond" w:cs="Garamond"/>
                <w:color w:val="000000" w:themeColor="text1"/>
              </w:rPr>
              <w:t>Emergent Herbaceous Wetlands</w:t>
            </w:r>
          </w:p>
        </w:tc>
        <w:tc>
          <w:tcPr>
            <w:tcW w:w="3220" w:type="dxa"/>
            <w:tcBorders>
              <w:top w:val="single" w:sz="8" w:space="0" w:color="auto"/>
              <w:left w:val="single" w:sz="8" w:space="0" w:color="auto"/>
              <w:bottom w:val="single" w:sz="8" w:space="0" w:color="auto"/>
              <w:right w:val="single" w:sz="8" w:space="0" w:color="auto"/>
            </w:tcBorders>
          </w:tcPr>
          <w:p w14:paraId="0BACA113" w14:textId="10255D1C" w:rsidR="7E9C04BA" w:rsidRDefault="7E9C04BA" w:rsidP="7E9C04BA">
            <w:pPr>
              <w:jc w:val="right"/>
            </w:pPr>
            <w:r w:rsidRPr="7E9C04BA">
              <w:rPr>
                <w:rFonts w:ascii="Garamond" w:eastAsia="Garamond" w:hAnsi="Garamond" w:cs="Garamond"/>
                <w:color w:val="000000" w:themeColor="text1"/>
              </w:rPr>
              <w:t>3%</w:t>
            </w:r>
          </w:p>
        </w:tc>
      </w:tr>
      <w:tr w:rsidR="7E9C04BA" w14:paraId="1A7F5FC6"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71A64E9E" w14:textId="1ADCA5DC" w:rsidR="7E9C04BA" w:rsidRDefault="7E9C04BA">
            <w:r w:rsidRPr="7E9C04BA">
              <w:rPr>
                <w:rFonts w:ascii="Garamond" w:eastAsia="Garamond" w:hAnsi="Garamond" w:cs="Garamond"/>
                <w:color w:val="000000" w:themeColor="text1"/>
              </w:rPr>
              <w:t>Grassland/Herbaceous</w:t>
            </w:r>
          </w:p>
        </w:tc>
        <w:tc>
          <w:tcPr>
            <w:tcW w:w="3220" w:type="dxa"/>
            <w:tcBorders>
              <w:top w:val="single" w:sz="8" w:space="0" w:color="auto"/>
              <w:left w:val="single" w:sz="8" w:space="0" w:color="auto"/>
              <w:bottom w:val="single" w:sz="8" w:space="0" w:color="auto"/>
              <w:right w:val="single" w:sz="8" w:space="0" w:color="auto"/>
            </w:tcBorders>
          </w:tcPr>
          <w:p w14:paraId="2A73E135" w14:textId="42D97130" w:rsidR="7E9C04BA" w:rsidRDefault="7E9C04BA" w:rsidP="7E9C04BA">
            <w:pPr>
              <w:jc w:val="right"/>
            </w:pPr>
            <w:r w:rsidRPr="7E9C04BA">
              <w:rPr>
                <w:rFonts w:ascii="Garamond" w:eastAsia="Garamond" w:hAnsi="Garamond" w:cs="Garamond"/>
                <w:color w:val="000000" w:themeColor="text1"/>
              </w:rPr>
              <w:t>2%</w:t>
            </w:r>
          </w:p>
        </w:tc>
      </w:tr>
      <w:tr w:rsidR="7E9C04BA" w14:paraId="340312AE"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3FCA5BFF" w14:textId="05071068" w:rsidR="7E9C04BA" w:rsidRDefault="7E9C04BA">
            <w:r w:rsidRPr="7E9C04BA">
              <w:rPr>
                <w:rFonts w:ascii="Garamond" w:eastAsia="Garamond" w:hAnsi="Garamond" w:cs="Garamond"/>
                <w:color w:val="000000" w:themeColor="text1"/>
              </w:rPr>
              <w:t>Woody Wetlands</w:t>
            </w:r>
          </w:p>
        </w:tc>
        <w:tc>
          <w:tcPr>
            <w:tcW w:w="3220" w:type="dxa"/>
            <w:tcBorders>
              <w:top w:val="single" w:sz="8" w:space="0" w:color="auto"/>
              <w:left w:val="single" w:sz="8" w:space="0" w:color="auto"/>
              <w:bottom w:val="single" w:sz="8" w:space="0" w:color="auto"/>
              <w:right w:val="single" w:sz="8" w:space="0" w:color="auto"/>
            </w:tcBorders>
          </w:tcPr>
          <w:p w14:paraId="1FBC29BE" w14:textId="31042E14" w:rsidR="7E9C04BA" w:rsidRDefault="7E9C04BA" w:rsidP="7E9C04BA">
            <w:pPr>
              <w:jc w:val="right"/>
            </w:pPr>
            <w:r w:rsidRPr="7E9C04BA">
              <w:rPr>
                <w:rFonts w:ascii="Garamond" w:eastAsia="Garamond" w:hAnsi="Garamond" w:cs="Garamond"/>
                <w:color w:val="000000" w:themeColor="text1"/>
              </w:rPr>
              <w:t>1%</w:t>
            </w:r>
          </w:p>
        </w:tc>
      </w:tr>
      <w:tr w:rsidR="7E9C04BA" w14:paraId="30C4A53E"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7FE27D1C" w14:textId="5AB4267A" w:rsidR="7E9C04BA" w:rsidRDefault="7E9C04BA">
            <w:r w:rsidRPr="7E9C04BA">
              <w:rPr>
                <w:rFonts w:ascii="Garamond" w:eastAsia="Garamond" w:hAnsi="Garamond" w:cs="Garamond"/>
                <w:b/>
                <w:bCs/>
                <w:sz w:val="24"/>
                <w:szCs w:val="24"/>
              </w:rPr>
              <w:t>Land Cover</w:t>
            </w:r>
          </w:p>
        </w:tc>
        <w:tc>
          <w:tcPr>
            <w:tcW w:w="3220" w:type="dxa"/>
            <w:tcBorders>
              <w:top w:val="single" w:sz="8" w:space="0" w:color="auto"/>
              <w:left w:val="single" w:sz="8" w:space="0" w:color="auto"/>
              <w:bottom w:val="single" w:sz="8" w:space="0" w:color="auto"/>
              <w:right w:val="single" w:sz="8" w:space="0" w:color="auto"/>
            </w:tcBorders>
          </w:tcPr>
          <w:p w14:paraId="2DACE4FB" w14:textId="4F5851F0" w:rsidR="7E9C04BA" w:rsidRDefault="7E9C04BA">
            <w:r w:rsidRPr="7E9C04BA">
              <w:rPr>
                <w:rFonts w:ascii="Garamond" w:eastAsia="Garamond" w:hAnsi="Garamond" w:cs="Garamond"/>
                <w:color w:val="000000" w:themeColor="text1"/>
              </w:rPr>
              <w:t>Percent Land Cover in High SBS</w:t>
            </w:r>
          </w:p>
        </w:tc>
      </w:tr>
      <w:tr w:rsidR="7E9C04BA" w14:paraId="2DF93953"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6B78E4B1" w14:textId="2B5B5530" w:rsidR="7E9C04BA" w:rsidRDefault="7E9C04BA">
            <w:r w:rsidRPr="7E9C04BA">
              <w:rPr>
                <w:rFonts w:ascii="Garamond" w:eastAsia="Garamond" w:hAnsi="Garamond" w:cs="Garamond"/>
                <w:color w:val="000000" w:themeColor="text1"/>
              </w:rPr>
              <w:t>Evergreen</w:t>
            </w:r>
          </w:p>
        </w:tc>
        <w:tc>
          <w:tcPr>
            <w:tcW w:w="3220" w:type="dxa"/>
            <w:tcBorders>
              <w:top w:val="single" w:sz="8" w:space="0" w:color="auto"/>
              <w:left w:val="single" w:sz="8" w:space="0" w:color="auto"/>
              <w:bottom w:val="single" w:sz="8" w:space="0" w:color="auto"/>
              <w:right w:val="single" w:sz="8" w:space="0" w:color="auto"/>
            </w:tcBorders>
          </w:tcPr>
          <w:p w14:paraId="327D02A9" w14:textId="428C5892" w:rsidR="7E9C04BA" w:rsidRDefault="7E9C04BA" w:rsidP="7E9C04BA">
            <w:pPr>
              <w:jc w:val="right"/>
            </w:pPr>
            <w:r w:rsidRPr="7E9C04BA">
              <w:rPr>
                <w:rFonts w:ascii="Garamond" w:eastAsia="Garamond" w:hAnsi="Garamond" w:cs="Garamond"/>
                <w:color w:val="000000" w:themeColor="text1"/>
              </w:rPr>
              <w:t>94%</w:t>
            </w:r>
          </w:p>
        </w:tc>
      </w:tr>
      <w:tr w:rsidR="7E9C04BA" w14:paraId="479CD8B5"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56513826" w14:textId="0BBFBD5D" w:rsidR="7E9C04BA" w:rsidRDefault="7E9C04BA">
            <w:r w:rsidRPr="7E9C04BA">
              <w:rPr>
                <w:rFonts w:ascii="Garamond" w:eastAsia="Garamond" w:hAnsi="Garamond" w:cs="Garamond"/>
                <w:color w:val="000000" w:themeColor="text1"/>
              </w:rPr>
              <w:t>Shrub</w:t>
            </w:r>
          </w:p>
        </w:tc>
        <w:tc>
          <w:tcPr>
            <w:tcW w:w="3220" w:type="dxa"/>
            <w:tcBorders>
              <w:top w:val="single" w:sz="8" w:space="0" w:color="auto"/>
              <w:left w:val="single" w:sz="8" w:space="0" w:color="auto"/>
              <w:bottom w:val="single" w:sz="8" w:space="0" w:color="auto"/>
              <w:right w:val="single" w:sz="8" w:space="0" w:color="auto"/>
            </w:tcBorders>
          </w:tcPr>
          <w:p w14:paraId="0FFEFA19" w14:textId="3C08A7E6" w:rsidR="7E9C04BA" w:rsidRDefault="7E9C04BA" w:rsidP="7E9C04BA">
            <w:pPr>
              <w:jc w:val="right"/>
            </w:pPr>
            <w:r w:rsidRPr="7E9C04BA">
              <w:rPr>
                <w:rFonts w:ascii="Garamond" w:eastAsia="Garamond" w:hAnsi="Garamond" w:cs="Garamond"/>
                <w:color w:val="000000" w:themeColor="text1"/>
              </w:rPr>
              <w:t>3%</w:t>
            </w:r>
          </w:p>
        </w:tc>
      </w:tr>
      <w:tr w:rsidR="7E9C04BA" w14:paraId="7409583C"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569D4DC" w14:textId="0318D5F7" w:rsidR="7E9C04BA" w:rsidRDefault="7E9C04BA">
            <w:r w:rsidRPr="7E9C04BA">
              <w:rPr>
                <w:rFonts w:ascii="Garamond" w:eastAsia="Garamond" w:hAnsi="Garamond" w:cs="Garamond"/>
                <w:color w:val="000000" w:themeColor="text1"/>
              </w:rPr>
              <w:t>Emergent Herbaceous Wetlands</w:t>
            </w:r>
          </w:p>
        </w:tc>
        <w:tc>
          <w:tcPr>
            <w:tcW w:w="3220" w:type="dxa"/>
            <w:tcBorders>
              <w:top w:val="single" w:sz="8" w:space="0" w:color="auto"/>
              <w:left w:val="single" w:sz="8" w:space="0" w:color="auto"/>
              <w:bottom w:val="single" w:sz="8" w:space="0" w:color="auto"/>
              <w:right w:val="single" w:sz="8" w:space="0" w:color="auto"/>
            </w:tcBorders>
          </w:tcPr>
          <w:p w14:paraId="41E3E426" w14:textId="2C9444E5" w:rsidR="7E9C04BA" w:rsidRDefault="7E9C04BA" w:rsidP="7E9C04BA">
            <w:pPr>
              <w:jc w:val="right"/>
            </w:pPr>
            <w:r w:rsidRPr="7E9C04BA">
              <w:rPr>
                <w:rFonts w:ascii="Garamond" w:eastAsia="Garamond" w:hAnsi="Garamond" w:cs="Garamond"/>
                <w:color w:val="000000" w:themeColor="text1"/>
              </w:rPr>
              <w:t>0%</w:t>
            </w:r>
          </w:p>
        </w:tc>
      </w:tr>
      <w:tr w:rsidR="7E9C04BA" w14:paraId="0E55637C"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1C3BCBF3" w14:textId="1340C668" w:rsidR="7E9C04BA" w:rsidRDefault="7E9C04BA">
            <w:r w:rsidRPr="7E9C04BA">
              <w:rPr>
                <w:rFonts w:ascii="Garamond" w:eastAsia="Garamond" w:hAnsi="Garamond" w:cs="Garamond"/>
                <w:color w:val="000000" w:themeColor="text1"/>
              </w:rPr>
              <w:t>Grassland/Herbaceous</w:t>
            </w:r>
          </w:p>
        </w:tc>
        <w:tc>
          <w:tcPr>
            <w:tcW w:w="3220" w:type="dxa"/>
            <w:tcBorders>
              <w:top w:val="single" w:sz="8" w:space="0" w:color="auto"/>
              <w:left w:val="single" w:sz="8" w:space="0" w:color="auto"/>
              <w:bottom w:val="single" w:sz="8" w:space="0" w:color="auto"/>
              <w:right w:val="single" w:sz="8" w:space="0" w:color="auto"/>
            </w:tcBorders>
          </w:tcPr>
          <w:p w14:paraId="41AF949B" w14:textId="6E34E834" w:rsidR="7E9C04BA" w:rsidRDefault="7E9C04BA" w:rsidP="7E9C04BA">
            <w:pPr>
              <w:jc w:val="right"/>
            </w:pPr>
            <w:r w:rsidRPr="7E9C04BA">
              <w:rPr>
                <w:rFonts w:ascii="Garamond" w:eastAsia="Garamond" w:hAnsi="Garamond" w:cs="Garamond"/>
                <w:color w:val="000000" w:themeColor="text1"/>
              </w:rPr>
              <w:t>0%</w:t>
            </w:r>
          </w:p>
        </w:tc>
      </w:tr>
      <w:tr w:rsidR="7E9C04BA" w14:paraId="4FCCE66B"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0BC4D88B" w14:textId="0878CB35" w:rsidR="7E9C04BA" w:rsidRDefault="7E9C04BA">
            <w:r w:rsidRPr="7E9C04BA">
              <w:rPr>
                <w:rFonts w:ascii="Garamond" w:eastAsia="Garamond" w:hAnsi="Garamond" w:cs="Garamond"/>
                <w:color w:val="000000" w:themeColor="text1"/>
              </w:rPr>
              <w:t>Woody Wetlands</w:t>
            </w:r>
          </w:p>
        </w:tc>
        <w:tc>
          <w:tcPr>
            <w:tcW w:w="3220" w:type="dxa"/>
            <w:tcBorders>
              <w:top w:val="single" w:sz="8" w:space="0" w:color="auto"/>
              <w:left w:val="single" w:sz="8" w:space="0" w:color="auto"/>
              <w:bottom w:val="single" w:sz="8" w:space="0" w:color="auto"/>
              <w:right w:val="single" w:sz="8" w:space="0" w:color="auto"/>
            </w:tcBorders>
          </w:tcPr>
          <w:p w14:paraId="482DD29F" w14:textId="713B0314" w:rsidR="7E9C04BA" w:rsidRDefault="7E9C04BA" w:rsidP="7E9C04BA">
            <w:pPr>
              <w:jc w:val="right"/>
            </w:pPr>
            <w:r w:rsidRPr="7E9C04BA">
              <w:rPr>
                <w:rFonts w:ascii="Garamond" w:eastAsia="Garamond" w:hAnsi="Garamond" w:cs="Garamond"/>
                <w:color w:val="000000" w:themeColor="text1"/>
              </w:rPr>
              <w:t>2%</w:t>
            </w:r>
          </w:p>
        </w:tc>
      </w:tr>
      <w:tr w:rsidR="7E9C04BA" w14:paraId="22CBF0C7"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16539180" w14:textId="2875CB46" w:rsidR="7E9C04BA" w:rsidRDefault="7E9C04BA">
            <w:r w:rsidRPr="7E9C04BA">
              <w:rPr>
                <w:rFonts w:ascii="Garamond" w:eastAsia="Garamond" w:hAnsi="Garamond" w:cs="Garamond"/>
                <w:b/>
                <w:bCs/>
                <w:sz w:val="24"/>
                <w:szCs w:val="24"/>
              </w:rPr>
              <w:t>Land Cover</w:t>
            </w:r>
          </w:p>
        </w:tc>
        <w:tc>
          <w:tcPr>
            <w:tcW w:w="3220" w:type="dxa"/>
            <w:tcBorders>
              <w:top w:val="single" w:sz="8" w:space="0" w:color="auto"/>
              <w:left w:val="single" w:sz="8" w:space="0" w:color="auto"/>
              <w:bottom w:val="single" w:sz="8" w:space="0" w:color="auto"/>
              <w:right w:val="single" w:sz="8" w:space="0" w:color="auto"/>
            </w:tcBorders>
          </w:tcPr>
          <w:p w14:paraId="5F90CABE" w14:textId="39F19CC3" w:rsidR="7E9C04BA" w:rsidRDefault="7E9C04BA">
            <w:r w:rsidRPr="7E9C04BA">
              <w:rPr>
                <w:rFonts w:ascii="Garamond" w:eastAsia="Garamond" w:hAnsi="Garamond" w:cs="Garamond"/>
                <w:color w:val="000000" w:themeColor="text1"/>
              </w:rPr>
              <w:t>Propensity for Intense Wildfire</w:t>
            </w:r>
          </w:p>
        </w:tc>
      </w:tr>
      <w:tr w:rsidR="7E9C04BA" w14:paraId="22AB02A0"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34FA77C" w14:textId="1BF3323D" w:rsidR="7E9C04BA" w:rsidRDefault="7E9C04BA">
            <w:r w:rsidRPr="7E9C04BA">
              <w:rPr>
                <w:rFonts w:ascii="Garamond" w:eastAsia="Garamond" w:hAnsi="Garamond" w:cs="Garamond"/>
                <w:color w:val="000000" w:themeColor="text1"/>
              </w:rPr>
              <w:t>Evergreen</w:t>
            </w:r>
          </w:p>
        </w:tc>
        <w:tc>
          <w:tcPr>
            <w:tcW w:w="3220" w:type="dxa"/>
            <w:tcBorders>
              <w:top w:val="single" w:sz="8" w:space="0" w:color="auto"/>
              <w:left w:val="single" w:sz="8" w:space="0" w:color="auto"/>
              <w:bottom w:val="single" w:sz="8" w:space="0" w:color="auto"/>
              <w:right w:val="single" w:sz="8" w:space="0" w:color="auto"/>
            </w:tcBorders>
          </w:tcPr>
          <w:p w14:paraId="03F041CA" w14:textId="1F3C28CE" w:rsidR="7E9C04BA" w:rsidRDefault="7E9C04BA" w:rsidP="7E9C04BA">
            <w:pPr>
              <w:jc w:val="right"/>
            </w:pPr>
            <w:r w:rsidRPr="7E9C04BA">
              <w:rPr>
                <w:rFonts w:ascii="Garamond" w:eastAsia="Garamond" w:hAnsi="Garamond" w:cs="Garamond"/>
                <w:color w:val="000000" w:themeColor="text1"/>
              </w:rPr>
              <w:t>24%</w:t>
            </w:r>
          </w:p>
        </w:tc>
      </w:tr>
      <w:tr w:rsidR="7E9C04BA" w14:paraId="648C5DCA"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3E2375C9" w14:textId="5BBE5682" w:rsidR="7E9C04BA" w:rsidRDefault="7E9C04BA">
            <w:r w:rsidRPr="7E9C04BA">
              <w:rPr>
                <w:rFonts w:ascii="Garamond" w:eastAsia="Garamond" w:hAnsi="Garamond" w:cs="Garamond"/>
                <w:color w:val="000000" w:themeColor="text1"/>
              </w:rPr>
              <w:t>Shrub</w:t>
            </w:r>
          </w:p>
        </w:tc>
        <w:tc>
          <w:tcPr>
            <w:tcW w:w="3220" w:type="dxa"/>
            <w:tcBorders>
              <w:top w:val="single" w:sz="8" w:space="0" w:color="auto"/>
              <w:left w:val="single" w:sz="8" w:space="0" w:color="auto"/>
              <w:bottom w:val="single" w:sz="8" w:space="0" w:color="auto"/>
              <w:right w:val="single" w:sz="8" w:space="0" w:color="auto"/>
            </w:tcBorders>
          </w:tcPr>
          <w:p w14:paraId="642F9226" w14:textId="45BD4802" w:rsidR="7E9C04BA" w:rsidRDefault="7E9C04BA" w:rsidP="7E9C04BA">
            <w:pPr>
              <w:jc w:val="right"/>
            </w:pPr>
            <w:r w:rsidRPr="7E9C04BA">
              <w:rPr>
                <w:rFonts w:ascii="Garamond" w:eastAsia="Garamond" w:hAnsi="Garamond" w:cs="Garamond"/>
                <w:color w:val="000000" w:themeColor="text1"/>
              </w:rPr>
              <w:t>-21%</w:t>
            </w:r>
          </w:p>
        </w:tc>
      </w:tr>
      <w:tr w:rsidR="7E9C04BA" w14:paraId="3FB44DF3"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20E1DDAA" w14:textId="1341F5BC" w:rsidR="7E9C04BA" w:rsidRDefault="7E9C04BA">
            <w:r w:rsidRPr="7E9C04BA">
              <w:rPr>
                <w:rFonts w:ascii="Garamond" w:eastAsia="Garamond" w:hAnsi="Garamond" w:cs="Garamond"/>
                <w:color w:val="000000" w:themeColor="text1"/>
              </w:rPr>
              <w:t>Emergent Herbaceous Wetlands</w:t>
            </w:r>
          </w:p>
        </w:tc>
        <w:tc>
          <w:tcPr>
            <w:tcW w:w="3220" w:type="dxa"/>
            <w:tcBorders>
              <w:top w:val="single" w:sz="8" w:space="0" w:color="auto"/>
              <w:left w:val="single" w:sz="8" w:space="0" w:color="auto"/>
              <w:bottom w:val="single" w:sz="8" w:space="0" w:color="auto"/>
              <w:right w:val="single" w:sz="8" w:space="0" w:color="auto"/>
            </w:tcBorders>
          </w:tcPr>
          <w:p w14:paraId="0B0484CA" w14:textId="597FA244" w:rsidR="7E9C04BA" w:rsidRDefault="7E9C04BA" w:rsidP="7E9C04BA">
            <w:pPr>
              <w:jc w:val="right"/>
            </w:pPr>
            <w:r w:rsidRPr="7E9C04BA">
              <w:rPr>
                <w:rFonts w:ascii="Garamond" w:eastAsia="Garamond" w:hAnsi="Garamond" w:cs="Garamond"/>
                <w:color w:val="000000" w:themeColor="text1"/>
              </w:rPr>
              <w:t>-3%</w:t>
            </w:r>
          </w:p>
        </w:tc>
      </w:tr>
      <w:tr w:rsidR="7E9C04BA" w14:paraId="72F54053"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4B241A68" w14:textId="6B87A526" w:rsidR="7E9C04BA" w:rsidRDefault="7E9C04BA">
            <w:r w:rsidRPr="7E9C04BA">
              <w:rPr>
                <w:rFonts w:ascii="Garamond" w:eastAsia="Garamond" w:hAnsi="Garamond" w:cs="Garamond"/>
                <w:color w:val="000000" w:themeColor="text1"/>
              </w:rPr>
              <w:t>Grassland/Herbaceous</w:t>
            </w:r>
          </w:p>
        </w:tc>
        <w:tc>
          <w:tcPr>
            <w:tcW w:w="3220" w:type="dxa"/>
            <w:tcBorders>
              <w:top w:val="single" w:sz="8" w:space="0" w:color="auto"/>
              <w:left w:val="single" w:sz="8" w:space="0" w:color="auto"/>
              <w:bottom w:val="single" w:sz="8" w:space="0" w:color="auto"/>
              <w:right w:val="single" w:sz="8" w:space="0" w:color="auto"/>
            </w:tcBorders>
          </w:tcPr>
          <w:p w14:paraId="7034CDA9" w14:textId="4D24DD9D" w:rsidR="7E9C04BA" w:rsidRDefault="7E9C04BA" w:rsidP="7E9C04BA">
            <w:pPr>
              <w:jc w:val="right"/>
            </w:pPr>
            <w:r w:rsidRPr="7E9C04BA">
              <w:rPr>
                <w:rFonts w:ascii="Garamond" w:eastAsia="Garamond" w:hAnsi="Garamond" w:cs="Garamond"/>
                <w:color w:val="000000" w:themeColor="text1"/>
              </w:rPr>
              <w:t>-2%</w:t>
            </w:r>
          </w:p>
        </w:tc>
      </w:tr>
      <w:tr w:rsidR="7E9C04BA" w14:paraId="7E6C4866" w14:textId="77777777" w:rsidTr="7E9C04BA">
        <w:trPr>
          <w:trHeight w:val="285"/>
        </w:trPr>
        <w:tc>
          <w:tcPr>
            <w:tcW w:w="6140" w:type="dxa"/>
            <w:tcBorders>
              <w:top w:val="single" w:sz="8" w:space="0" w:color="auto"/>
              <w:left w:val="single" w:sz="8" w:space="0" w:color="auto"/>
              <w:bottom w:val="single" w:sz="8" w:space="0" w:color="auto"/>
              <w:right w:val="single" w:sz="8" w:space="0" w:color="auto"/>
            </w:tcBorders>
          </w:tcPr>
          <w:p w14:paraId="3E0A7076" w14:textId="4AC2FDEF" w:rsidR="7E9C04BA" w:rsidRDefault="7E9C04BA">
            <w:r w:rsidRPr="7E9C04BA">
              <w:rPr>
                <w:rFonts w:ascii="Garamond" w:eastAsia="Garamond" w:hAnsi="Garamond" w:cs="Garamond"/>
                <w:color w:val="000000" w:themeColor="text1"/>
              </w:rPr>
              <w:t>Woody Wetlands</w:t>
            </w:r>
          </w:p>
        </w:tc>
        <w:tc>
          <w:tcPr>
            <w:tcW w:w="3220" w:type="dxa"/>
            <w:tcBorders>
              <w:top w:val="single" w:sz="8" w:space="0" w:color="auto"/>
              <w:left w:val="single" w:sz="8" w:space="0" w:color="auto"/>
              <w:bottom w:val="single" w:sz="8" w:space="0" w:color="auto"/>
              <w:right w:val="single" w:sz="8" w:space="0" w:color="auto"/>
            </w:tcBorders>
          </w:tcPr>
          <w:p w14:paraId="6E4DE6D8" w14:textId="2BED0150" w:rsidR="7E9C04BA" w:rsidRDefault="7E9C04BA" w:rsidP="7E9C04BA">
            <w:pPr>
              <w:jc w:val="right"/>
            </w:pPr>
            <w:r w:rsidRPr="7E9C04BA">
              <w:rPr>
                <w:rFonts w:ascii="Garamond" w:eastAsia="Garamond" w:hAnsi="Garamond" w:cs="Garamond"/>
                <w:color w:val="000000" w:themeColor="text1"/>
              </w:rPr>
              <w:t>1%</w:t>
            </w:r>
          </w:p>
        </w:tc>
      </w:tr>
    </w:tbl>
    <w:p w14:paraId="1E9DC2BB" w14:textId="60B4FB09" w:rsidR="7E9C04BA" w:rsidRDefault="7E9C04BA" w:rsidP="7E9C04BA">
      <w:pPr>
        <w:spacing w:beforeAutospacing="1" w:afterAutospacing="1" w:line="240" w:lineRule="auto"/>
        <w:rPr>
          <w:rFonts w:ascii="Garamond" w:hAnsi="Garamond"/>
          <w:i/>
          <w:iCs/>
        </w:rPr>
      </w:pPr>
    </w:p>
    <w:p w14:paraId="6FDD3321" w14:textId="1006D8A7" w:rsidR="7E9C04BA" w:rsidRDefault="7E9C04BA" w:rsidP="7E9C04BA">
      <w:pPr>
        <w:spacing w:beforeAutospacing="1" w:afterAutospacing="1" w:line="240" w:lineRule="auto"/>
        <w:rPr>
          <w:rFonts w:ascii="Garamond" w:hAnsi="Garamond"/>
          <w:i/>
          <w:iCs/>
        </w:rPr>
      </w:pPr>
    </w:p>
    <w:p w14:paraId="34C8BD7F" w14:textId="5DAB6CA5" w:rsidR="3DB6F5BD" w:rsidRDefault="4CEFE9E4" w:rsidP="2C7D0C34">
      <w:pPr>
        <w:spacing w:beforeAutospacing="1" w:afterAutospacing="1" w:line="240" w:lineRule="auto"/>
        <w:rPr>
          <w:rFonts w:ascii="Garamond" w:hAnsi="Garamond"/>
        </w:rPr>
      </w:pPr>
      <w:r w:rsidRPr="2C7D0C34">
        <w:rPr>
          <w:rFonts w:ascii="Garamond" w:hAnsi="Garamond"/>
          <w:i/>
          <w:iCs/>
        </w:rPr>
        <w:t xml:space="preserve">                                </w:t>
      </w:r>
    </w:p>
    <w:p w14:paraId="0031E214" w14:textId="06AC1188" w:rsidR="3DB6F5BD" w:rsidRDefault="2C7D0C34" w:rsidP="2C7D0C34">
      <w:pPr>
        <w:spacing w:beforeAutospacing="1" w:afterAutospacing="1" w:line="240" w:lineRule="auto"/>
        <w:jc w:val="center"/>
        <w:rPr>
          <w:rFonts w:ascii="Garamond" w:hAnsi="Garamond"/>
        </w:rPr>
      </w:pPr>
      <w:r>
        <w:rPr>
          <w:noProof/>
        </w:rPr>
        <w:lastRenderedPageBreak/>
        <w:drawing>
          <wp:inline distT="0" distB="0" distL="0" distR="0" wp14:anchorId="75858667" wp14:editId="47E72EA1">
            <wp:extent cx="4189419" cy="3377718"/>
            <wp:effectExtent l="0" t="0" r="0" b="0"/>
            <wp:docPr id="481355071" name="Picture 48135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189419" cy="3377718"/>
                    </a:xfrm>
                    <a:prstGeom prst="rect">
                      <a:avLst/>
                    </a:prstGeom>
                  </pic:spPr>
                </pic:pic>
              </a:graphicData>
            </a:graphic>
          </wp:inline>
        </w:drawing>
      </w:r>
    </w:p>
    <w:p w14:paraId="5D29F583" w14:textId="677E5E80" w:rsidR="3DB6F5BD" w:rsidRDefault="3DB6F5BD" w:rsidP="2C7D0C34">
      <w:pPr>
        <w:spacing w:beforeAutospacing="1" w:afterAutospacing="1" w:line="240" w:lineRule="auto"/>
        <w:rPr>
          <w:rFonts w:ascii="Garamond" w:hAnsi="Garamond"/>
          <w:i/>
          <w:iCs/>
        </w:rPr>
      </w:pPr>
    </w:p>
    <w:p w14:paraId="07EC6B91" w14:textId="51C7500D" w:rsidR="3DB6F5BD" w:rsidRDefault="3C8177F9" w:rsidP="2C7D0C34">
      <w:pPr>
        <w:spacing w:beforeAutospacing="1" w:afterAutospacing="1" w:line="240" w:lineRule="auto"/>
      </w:pPr>
      <w:r w:rsidRPr="7E9C04BA">
        <w:rPr>
          <w:rFonts w:ascii="Garamond" w:hAnsi="Garamond"/>
          <w:i/>
          <w:iCs/>
        </w:rPr>
        <w:t xml:space="preserve">                                   Figure B1</w:t>
      </w:r>
      <w:r w:rsidRPr="7E9C04BA">
        <w:rPr>
          <w:rFonts w:ascii="Garamond" w:hAnsi="Garamond"/>
        </w:rPr>
        <w:t>. SBS coverage within the Bootleg fire heat perimeter.</w:t>
      </w:r>
    </w:p>
    <w:p w14:paraId="3DC08D0E" w14:textId="056EE810" w:rsidR="3DB6F5BD" w:rsidRDefault="3DB6F5BD" w:rsidP="7E9C04BA">
      <w:pPr>
        <w:spacing w:beforeAutospacing="1" w:afterAutospacing="1" w:line="240" w:lineRule="auto"/>
        <w:rPr>
          <w:rFonts w:ascii="Garamond" w:hAnsi="Garamond"/>
          <w:i/>
          <w:iCs/>
        </w:rPr>
      </w:pPr>
    </w:p>
    <w:p w14:paraId="032EDAC6" w14:textId="08773379" w:rsidR="7E9C04BA" w:rsidRDefault="7E9C04BA" w:rsidP="7E9C04BA">
      <w:pPr>
        <w:spacing w:beforeAutospacing="1" w:afterAutospacing="1" w:line="240" w:lineRule="auto"/>
        <w:rPr>
          <w:rFonts w:ascii="Garamond" w:hAnsi="Garamond"/>
          <w:i/>
          <w:iCs/>
        </w:rPr>
      </w:pPr>
    </w:p>
    <w:p w14:paraId="474FEB5C" w14:textId="7D7741D4" w:rsidR="3DB6F5BD" w:rsidRDefault="2C7D0C34" w:rsidP="2C7D0C34">
      <w:pPr>
        <w:spacing w:beforeAutospacing="1" w:afterAutospacing="1" w:line="240" w:lineRule="auto"/>
        <w:jc w:val="center"/>
      </w:pPr>
      <w:r>
        <w:rPr>
          <w:noProof/>
        </w:rPr>
        <w:lastRenderedPageBreak/>
        <w:drawing>
          <wp:inline distT="0" distB="0" distL="0" distR="0" wp14:anchorId="61A2D5D1" wp14:editId="3BC3452A">
            <wp:extent cx="5790546" cy="3498455"/>
            <wp:effectExtent l="0" t="0" r="0" b="0"/>
            <wp:docPr id="1337793279" name="Picture 13377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90546" cy="3498455"/>
                    </a:xfrm>
                    <a:prstGeom prst="rect">
                      <a:avLst/>
                    </a:prstGeom>
                  </pic:spPr>
                </pic:pic>
              </a:graphicData>
            </a:graphic>
          </wp:inline>
        </w:drawing>
      </w:r>
    </w:p>
    <w:p w14:paraId="6D106A9F" w14:textId="4F748C0A" w:rsidR="3DB6F5BD" w:rsidRDefault="3C8177F9" w:rsidP="2C7D0C34">
      <w:pPr>
        <w:spacing w:beforeAutospacing="1" w:afterAutospacing="1" w:line="240" w:lineRule="auto"/>
        <w:jc w:val="center"/>
      </w:pPr>
      <w:r w:rsidRPr="65CB079E">
        <w:rPr>
          <w:rFonts w:ascii="Garamond" w:hAnsi="Garamond"/>
          <w:i/>
          <w:iCs/>
        </w:rPr>
        <w:t xml:space="preserve">                                            </w:t>
      </w:r>
    </w:p>
    <w:p w14:paraId="1396FED1" w14:textId="3020F18C" w:rsidR="3DB6F5BD" w:rsidRDefault="3C8177F9" w:rsidP="2C7D0C34">
      <w:pPr>
        <w:spacing w:beforeAutospacing="1" w:afterAutospacing="1" w:line="240" w:lineRule="auto"/>
        <w:jc w:val="center"/>
      </w:pPr>
      <w:r w:rsidRPr="65CB079E">
        <w:rPr>
          <w:rFonts w:ascii="Garamond" w:hAnsi="Garamond"/>
          <w:i/>
          <w:iCs/>
        </w:rPr>
        <w:t>Figure B2</w:t>
      </w:r>
      <w:r w:rsidRPr="65CB079E">
        <w:rPr>
          <w:rFonts w:ascii="Garamond" w:hAnsi="Garamond"/>
        </w:rPr>
        <w:t xml:space="preserve">. Majority aspect types within unburn, low, moderate, and high burn severity classes. </w:t>
      </w:r>
    </w:p>
    <w:p w14:paraId="33DB83DB" w14:textId="6B81BB0B" w:rsidR="4CEFE9E4" w:rsidRDefault="4CEFE9E4" w:rsidP="7E9C04BA">
      <w:pPr>
        <w:spacing w:beforeAutospacing="1" w:afterAutospacing="1" w:line="240" w:lineRule="auto"/>
        <w:jc w:val="center"/>
        <w:rPr>
          <w:rFonts w:ascii="Garamond" w:hAnsi="Garamond"/>
        </w:rPr>
      </w:pPr>
    </w:p>
    <w:p w14:paraId="6A356F10" w14:textId="18B33186" w:rsidR="4CEFE9E4" w:rsidRDefault="4CEFE9E4" w:rsidP="7E9C04BA">
      <w:pPr>
        <w:spacing w:beforeAutospacing="1" w:after="0" w:afterAutospacing="1" w:line="240" w:lineRule="auto"/>
        <w:rPr>
          <w:rFonts w:ascii="Garamond" w:eastAsia="Garamond" w:hAnsi="Garamond" w:cs="Garamond"/>
          <w:color w:val="000000" w:themeColor="text1"/>
        </w:rPr>
      </w:pPr>
    </w:p>
    <w:p w14:paraId="23B8F540" w14:textId="18B33186" w:rsidR="4CEFE9E4" w:rsidRDefault="4CEFE9E4" w:rsidP="7E9C04BA">
      <w:pPr>
        <w:spacing w:beforeAutospacing="1" w:after="0" w:afterAutospacing="1" w:line="240" w:lineRule="auto"/>
        <w:rPr>
          <w:rFonts w:ascii="Garamond" w:eastAsia="Garamond" w:hAnsi="Garamond" w:cs="Garamond"/>
          <w:color w:val="000000" w:themeColor="text1"/>
        </w:rPr>
      </w:pPr>
    </w:p>
    <w:p w14:paraId="49836660" w14:textId="07A3E287" w:rsidR="4CEFE9E4" w:rsidRDefault="038505BC" w:rsidP="7E9C04BA">
      <w:pPr>
        <w:spacing w:beforeAutospacing="1" w:after="0" w:afterAutospacing="1" w:line="240" w:lineRule="auto"/>
        <w:rPr>
          <w:rFonts w:ascii="Garamond" w:eastAsia="Garamond" w:hAnsi="Garamond" w:cs="Garamond"/>
          <w:i/>
          <w:iCs/>
          <w:color w:val="000000" w:themeColor="text1"/>
        </w:rPr>
      </w:pPr>
      <w:r w:rsidRPr="7E9C04BA">
        <w:rPr>
          <w:rFonts w:ascii="Garamond" w:eastAsia="Garamond" w:hAnsi="Garamond" w:cs="Garamond"/>
          <w:color w:val="000000" w:themeColor="text1"/>
        </w:rPr>
        <w:t xml:space="preserve">Table B5. </w:t>
      </w:r>
    </w:p>
    <w:p w14:paraId="2B09062B" w14:textId="39730680" w:rsidR="4CEFE9E4" w:rsidRDefault="16E0D762" w:rsidP="10D1FD28">
      <w:pPr>
        <w:spacing w:beforeAutospacing="1" w:after="0" w:afterAutospacing="1" w:line="240" w:lineRule="auto"/>
        <w:rPr>
          <w:rFonts w:ascii="Garamond" w:eastAsia="Garamond" w:hAnsi="Garamond" w:cs="Garamond"/>
          <w:i/>
          <w:iCs/>
          <w:color w:val="000000" w:themeColor="text1"/>
        </w:rPr>
      </w:pPr>
      <w:r w:rsidRPr="00E27AC4">
        <w:rPr>
          <w:rFonts w:ascii="Garamond" w:eastAsia="Garamond" w:hAnsi="Garamond" w:cs="Garamond"/>
          <w:i/>
          <w:iCs/>
          <w:color w:val="000000" w:themeColor="text1"/>
        </w:rPr>
        <w:t>Percent</w:t>
      </w:r>
      <w:r w:rsidR="7889461E" w:rsidRPr="10D1FD28">
        <w:rPr>
          <w:rFonts w:ascii="Garamond" w:eastAsia="Garamond" w:hAnsi="Garamond" w:cs="Garamond"/>
          <w:color w:val="000000" w:themeColor="text1"/>
        </w:rPr>
        <w:t xml:space="preserve"> </w:t>
      </w:r>
      <w:r w:rsidR="7D5FC8E0" w:rsidRPr="10D1FD28">
        <w:rPr>
          <w:rFonts w:ascii="Garamond" w:eastAsia="Garamond" w:hAnsi="Garamond" w:cs="Garamond"/>
          <w:i/>
          <w:iCs/>
          <w:color w:val="000000" w:themeColor="text1"/>
        </w:rPr>
        <w:t xml:space="preserve">of SBS type across aspect. </w:t>
      </w:r>
    </w:p>
    <w:tbl>
      <w:tblPr>
        <w:tblStyle w:val="TableGrid"/>
        <w:tblW w:w="0" w:type="auto"/>
        <w:tblInd w:w="0" w:type="dxa"/>
        <w:tblLook w:val="04A0" w:firstRow="1" w:lastRow="0" w:firstColumn="1" w:lastColumn="0" w:noHBand="0" w:noVBand="1"/>
      </w:tblPr>
      <w:tblGrid>
        <w:gridCol w:w="1179"/>
        <w:gridCol w:w="1891"/>
        <w:gridCol w:w="1748"/>
        <w:gridCol w:w="2412"/>
        <w:gridCol w:w="2110"/>
      </w:tblGrid>
      <w:tr w:rsidR="7E9C04BA" w14:paraId="7FAB8703" w14:textId="77777777" w:rsidTr="7E9C04BA">
        <w:trPr>
          <w:trHeight w:val="938"/>
        </w:trPr>
        <w:tc>
          <w:tcPr>
            <w:tcW w:w="1180" w:type="dxa"/>
            <w:tcBorders>
              <w:top w:val="single" w:sz="8" w:space="0" w:color="auto"/>
              <w:left w:val="single" w:sz="8" w:space="0" w:color="auto"/>
              <w:bottom w:val="single" w:sz="8" w:space="0" w:color="auto"/>
              <w:right w:val="single" w:sz="8" w:space="0" w:color="auto"/>
            </w:tcBorders>
            <w:vAlign w:val="center"/>
          </w:tcPr>
          <w:p w14:paraId="6314949E" w14:textId="2CADE3C3" w:rsidR="3C8177F9" w:rsidRDefault="3C8177F9" w:rsidP="7E9C04BA">
            <w:pPr>
              <w:jc w:val="center"/>
              <w:rPr>
                <w:rFonts w:ascii="Garamond" w:eastAsia="Garamond" w:hAnsi="Garamond" w:cs="Garamond"/>
                <w:b/>
                <w:bCs/>
                <w:color w:val="000000" w:themeColor="text1"/>
              </w:rPr>
            </w:pPr>
            <w:r w:rsidRPr="7E9C04BA">
              <w:rPr>
                <w:rFonts w:ascii="Garamond" w:eastAsia="Garamond" w:hAnsi="Garamond" w:cs="Garamond"/>
                <w:b/>
                <w:bCs/>
                <w:color w:val="000000" w:themeColor="text1"/>
              </w:rPr>
              <w:t>Aspect</w:t>
            </w:r>
          </w:p>
        </w:tc>
        <w:tc>
          <w:tcPr>
            <w:tcW w:w="1893" w:type="dxa"/>
            <w:tcBorders>
              <w:top w:val="single" w:sz="8" w:space="0" w:color="auto"/>
              <w:left w:val="single" w:sz="8" w:space="0" w:color="auto"/>
              <w:bottom w:val="single" w:sz="8" w:space="0" w:color="auto"/>
              <w:right w:val="single" w:sz="8" w:space="0" w:color="auto"/>
            </w:tcBorders>
            <w:vAlign w:val="center"/>
          </w:tcPr>
          <w:p w14:paraId="21578076" w14:textId="2B157820" w:rsidR="566BDD39" w:rsidRDefault="566BDD39" w:rsidP="7E9C04BA">
            <w:pPr>
              <w:jc w:val="center"/>
            </w:pPr>
            <w:r w:rsidRPr="7E9C04BA">
              <w:rPr>
                <w:rFonts w:ascii="Garamond" w:eastAsia="Garamond" w:hAnsi="Garamond" w:cs="Garamond"/>
                <w:b/>
                <w:bCs/>
                <w:color w:val="000000" w:themeColor="text1"/>
              </w:rPr>
              <w:t>Area of Unburn</w:t>
            </w:r>
          </w:p>
          <w:p w14:paraId="792245A9" w14:textId="1B187AB5" w:rsidR="566BDD39" w:rsidRDefault="566BDD39" w:rsidP="7E9C04BA">
            <w:pPr>
              <w:jc w:val="center"/>
            </w:pPr>
            <w:r w:rsidRPr="7E9C04BA">
              <w:rPr>
                <w:rFonts w:ascii="Garamond" w:eastAsia="Garamond" w:hAnsi="Garamond" w:cs="Garamond"/>
                <w:b/>
                <w:bCs/>
                <w:color w:val="000000" w:themeColor="text1"/>
              </w:rPr>
              <w:t>(%)</w:t>
            </w:r>
          </w:p>
        </w:tc>
        <w:tc>
          <w:tcPr>
            <w:tcW w:w="1750" w:type="dxa"/>
            <w:tcBorders>
              <w:top w:val="single" w:sz="8" w:space="0" w:color="auto"/>
              <w:left w:val="single" w:sz="8" w:space="0" w:color="auto"/>
              <w:bottom w:val="single" w:sz="8" w:space="0" w:color="auto"/>
              <w:right w:val="single" w:sz="8" w:space="0" w:color="auto"/>
            </w:tcBorders>
            <w:vAlign w:val="center"/>
          </w:tcPr>
          <w:p w14:paraId="335B71C2" w14:textId="26580E3E" w:rsidR="566BDD39" w:rsidRDefault="566BDD39" w:rsidP="7E9C04BA">
            <w:pPr>
              <w:jc w:val="center"/>
            </w:pPr>
            <w:r w:rsidRPr="7E9C04BA">
              <w:rPr>
                <w:rFonts w:ascii="Garamond" w:eastAsia="Garamond" w:hAnsi="Garamond" w:cs="Garamond"/>
                <w:b/>
                <w:bCs/>
                <w:color w:val="000000" w:themeColor="text1"/>
              </w:rPr>
              <w:t>Area Low Burn</w:t>
            </w:r>
          </w:p>
          <w:p w14:paraId="2D929969" w14:textId="0AB557DF" w:rsidR="566BDD39" w:rsidRDefault="566BDD39" w:rsidP="7E9C04BA">
            <w:pPr>
              <w:jc w:val="center"/>
            </w:pPr>
            <w:r w:rsidRPr="7E9C04BA">
              <w:rPr>
                <w:rFonts w:ascii="Garamond" w:eastAsia="Garamond" w:hAnsi="Garamond" w:cs="Garamond"/>
                <w:b/>
                <w:bCs/>
                <w:color w:val="000000" w:themeColor="text1"/>
              </w:rPr>
              <w:t>(%)</w:t>
            </w:r>
          </w:p>
        </w:tc>
        <w:tc>
          <w:tcPr>
            <w:tcW w:w="2415" w:type="dxa"/>
            <w:tcBorders>
              <w:top w:val="single" w:sz="8" w:space="0" w:color="auto"/>
              <w:left w:val="single" w:sz="8" w:space="0" w:color="auto"/>
              <w:bottom w:val="single" w:sz="8" w:space="0" w:color="auto"/>
              <w:right w:val="single" w:sz="8" w:space="0" w:color="auto"/>
            </w:tcBorders>
            <w:vAlign w:val="center"/>
          </w:tcPr>
          <w:p w14:paraId="6DF08B58" w14:textId="6EB1291D" w:rsidR="566BDD39" w:rsidRDefault="566BDD39" w:rsidP="7E9C04BA">
            <w:pPr>
              <w:jc w:val="center"/>
            </w:pPr>
            <w:r w:rsidRPr="7E9C04BA">
              <w:rPr>
                <w:rFonts w:ascii="Garamond" w:eastAsia="Garamond" w:hAnsi="Garamond" w:cs="Garamond"/>
                <w:b/>
                <w:bCs/>
                <w:color w:val="000000" w:themeColor="text1"/>
              </w:rPr>
              <w:t>A</w:t>
            </w:r>
            <w:r w:rsidRPr="7E9C04BA">
              <w:rPr>
                <w:rFonts w:ascii="Garamond" w:eastAsia="Garamond" w:hAnsi="Garamond" w:cs="Garamond"/>
                <w:b/>
                <w:bCs/>
              </w:rPr>
              <w:t>rea of Moderate Burn</w:t>
            </w:r>
          </w:p>
          <w:p w14:paraId="02CB33CB" w14:textId="71CAF6A3" w:rsidR="566BDD39" w:rsidRDefault="566BDD39" w:rsidP="7E9C04BA">
            <w:pPr>
              <w:jc w:val="center"/>
            </w:pPr>
            <w:r w:rsidRPr="7E9C04BA">
              <w:rPr>
                <w:rFonts w:ascii="Garamond" w:eastAsia="Garamond" w:hAnsi="Garamond" w:cs="Garamond"/>
                <w:b/>
                <w:bCs/>
              </w:rPr>
              <w:t>(%)</w:t>
            </w:r>
          </w:p>
        </w:tc>
        <w:tc>
          <w:tcPr>
            <w:tcW w:w="2113" w:type="dxa"/>
            <w:tcBorders>
              <w:top w:val="single" w:sz="8" w:space="0" w:color="auto"/>
              <w:left w:val="single" w:sz="8" w:space="0" w:color="auto"/>
              <w:bottom w:val="single" w:sz="8" w:space="0" w:color="auto"/>
              <w:right w:val="single" w:sz="8" w:space="0" w:color="auto"/>
            </w:tcBorders>
            <w:vAlign w:val="center"/>
          </w:tcPr>
          <w:p w14:paraId="467DE8CC" w14:textId="35855EBD" w:rsidR="566BDD39" w:rsidRDefault="566BDD39" w:rsidP="7E9C04BA">
            <w:pPr>
              <w:jc w:val="center"/>
            </w:pPr>
            <w:r w:rsidRPr="7E9C04BA">
              <w:rPr>
                <w:rFonts w:ascii="Garamond" w:eastAsia="Garamond" w:hAnsi="Garamond" w:cs="Garamond"/>
                <w:b/>
                <w:bCs/>
                <w:color w:val="000000" w:themeColor="text1"/>
              </w:rPr>
              <w:t>Area of High Burn</w:t>
            </w:r>
          </w:p>
          <w:p w14:paraId="30132855" w14:textId="2AE2AC0C" w:rsidR="566BDD39" w:rsidRDefault="566BDD39" w:rsidP="7E9C04BA">
            <w:pPr>
              <w:jc w:val="center"/>
            </w:pPr>
            <w:r w:rsidRPr="7E9C04BA">
              <w:rPr>
                <w:rFonts w:ascii="Garamond" w:eastAsia="Garamond" w:hAnsi="Garamond" w:cs="Garamond"/>
                <w:b/>
                <w:bCs/>
                <w:color w:val="000000" w:themeColor="text1"/>
              </w:rPr>
              <w:t>(%)</w:t>
            </w:r>
          </w:p>
        </w:tc>
      </w:tr>
      <w:tr w:rsidR="7E9C04BA" w14:paraId="1CD209E1" w14:textId="77777777" w:rsidTr="7E9C04BA">
        <w:trPr>
          <w:trHeight w:val="525"/>
        </w:trPr>
        <w:tc>
          <w:tcPr>
            <w:tcW w:w="1180" w:type="dxa"/>
            <w:tcBorders>
              <w:top w:val="single" w:sz="8" w:space="0" w:color="auto"/>
              <w:left w:val="single" w:sz="8" w:space="0" w:color="auto"/>
              <w:bottom w:val="single" w:sz="8" w:space="0" w:color="auto"/>
              <w:right w:val="single" w:sz="8" w:space="0" w:color="auto"/>
            </w:tcBorders>
            <w:vAlign w:val="center"/>
          </w:tcPr>
          <w:p w14:paraId="4E8A4C5C" w14:textId="0C3C023D"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Flat</w:t>
            </w:r>
          </w:p>
        </w:tc>
        <w:tc>
          <w:tcPr>
            <w:tcW w:w="1893" w:type="dxa"/>
            <w:tcBorders>
              <w:top w:val="single" w:sz="8" w:space="0" w:color="auto"/>
              <w:left w:val="single" w:sz="8" w:space="0" w:color="auto"/>
              <w:bottom w:val="single" w:sz="8" w:space="0" w:color="auto"/>
              <w:right w:val="single" w:sz="8" w:space="0" w:color="auto"/>
            </w:tcBorders>
            <w:vAlign w:val="center"/>
          </w:tcPr>
          <w:p w14:paraId="5A4CC1DB" w14:textId="58D07931"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22</w:t>
            </w:r>
          </w:p>
        </w:tc>
        <w:tc>
          <w:tcPr>
            <w:tcW w:w="1750" w:type="dxa"/>
            <w:tcBorders>
              <w:top w:val="single" w:sz="8" w:space="0" w:color="auto"/>
              <w:left w:val="single" w:sz="8" w:space="0" w:color="auto"/>
              <w:bottom w:val="single" w:sz="8" w:space="0" w:color="auto"/>
              <w:right w:val="single" w:sz="8" w:space="0" w:color="auto"/>
            </w:tcBorders>
            <w:vAlign w:val="center"/>
          </w:tcPr>
          <w:p w14:paraId="41605219" w14:textId="695A7211" w:rsidR="3C8177F9" w:rsidRDefault="3C8177F9" w:rsidP="7E9C04BA">
            <w:pPr>
              <w:jc w:val="center"/>
              <w:rPr>
                <w:rFonts w:ascii="Garamond" w:eastAsia="Garamond" w:hAnsi="Garamond" w:cs="Garamond"/>
              </w:rPr>
            </w:pPr>
            <w:r w:rsidRPr="7E9C04BA">
              <w:rPr>
                <w:rFonts w:ascii="Garamond" w:eastAsia="Garamond" w:hAnsi="Garamond" w:cs="Garamond"/>
              </w:rPr>
              <w:t>36</w:t>
            </w:r>
          </w:p>
        </w:tc>
        <w:tc>
          <w:tcPr>
            <w:tcW w:w="2415" w:type="dxa"/>
            <w:tcBorders>
              <w:top w:val="single" w:sz="8" w:space="0" w:color="auto"/>
              <w:left w:val="single" w:sz="8" w:space="0" w:color="auto"/>
              <w:bottom w:val="single" w:sz="8" w:space="0" w:color="auto"/>
              <w:right w:val="single" w:sz="8" w:space="0" w:color="auto"/>
            </w:tcBorders>
            <w:vAlign w:val="center"/>
          </w:tcPr>
          <w:p w14:paraId="4540FFBA" w14:textId="183EB2FD"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39</w:t>
            </w:r>
          </w:p>
        </w:tc>
        <w:tc>
          <w:tcPr>
            <w:tcW w:w="2113" w:type="dxa"/>
            <w:tcBorders>
              <w:top w:val="single" w:sz="8" w:space="0" w:color="auto"/>
              <w:left w:val="single" w:sz="8" w:space="0" w:color="auto"/>
              <w:bottom w:val="single" w:sz="8" w:space="0" w:color="auto"/>
              <w:right w:val="single" w:sz="8" w:space="0" w:color="auto"/>
            </w:tcBorders>
            <w:vAlign w:val="center"/>
          </w:tcPr>
          <w:p w14:paraId="35A2594A" w14:textId="01DE37F1"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3</w:t>
            </w:r>
          </w:p>
        </w:tc>
      </w:tr>
      <w:tr w:rsidR="7E9C04BA" w14:paraId="3F6FBAB5" w14:textId="77777777" w:rsidTr="7E9C04BA">
        <w:trPr>
          <w:trHeight w:val="495"/>
        </w:trPr>
        <w:tc>
          <w:tcPr>
            <w:tcW w:w="1180" w:type="dxa"/>
            <w:tcBorders>
              <w:top w:val="single" w:sz="8" w:space="0" w:color="auto"/>
              <w:left w:val="single" w:sz="8" w:space="0" w:color="auto"/>
              <w:bottom w:val="single" w:sz="8" w:space="0" w:color="auto"/>
              <w:right w:val="single" w:sz="8" w:space="0" w:color="auto"/>
            </w:tcBorders>
            <w:vAlign w:val="center"/>
          </w:tcPr>
          <w:p w14:paraId="7228005D" w14:textId="68AC223B"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North</w:t>
            </w:r>
          </w:p>
        </w:tc>
        <w:tc>
          <w:tcPr>
            <w:tcW w:w="1893" w:type="dxa"/>
            <w:tcBorders>
              <w:top w:val="single" w:sz="8" w:space="0" w:color="auto"/>
              <w:left w:val="single" w:sz="8" w:space="0" w:color="auto"/>
              <w:bottom w:val="single" w:sz="8" w:space="0" w:color="auto"/>
              <w:right w:val="single" w:sz="8" w:space="0" w:color="auto"/>
            </w:tcBorders>
            <w:vAlign w:val="center"/>
          </w:tcPr>
          <w:p w14:paraId="1353A537" w14:textId="0E273C88"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11</w:t>
            </w:r>
          </w:p>
        </w:tc>
        <w:tc>
          <w:tcPr>
            <w:tcW w:w="1750" w:type="dxa"/>
            <w:tcBorders>
              <w:top w:val="single" w:sz="8" w:space="0" w:color="auto"/>
              <w:left w:val="single" w:sz="8" w:space="0" w:color="auto"/>
              <w:bottom w:val="single" w:sz="8" w:space="0" w:color="auto"/>
              <w:right w:val="single" w:sz="8" w:space="0" w:color="auto"/>
            </w:tcBorders>
            <w:vAlign w:val="center"/>
          </w:tcPr>
          <w:p w14:paraId="72F67115" w14:textId="32BF67AA" w:rsidR="3C8177F9" w:rsidRDefault="3C8177F9" w:rsidP="7E9C04BA">
            <w:pPr>
              <w:jc w:val="center"/>
              <w:rPr>
                <w:rFonts w:ascii="Garamond" w:eastAsia="Garamond" w:hAnsi="Garamond" w:cs="Garamond"/>
              </w:rPr>
            </w:pPr>
            <w:r w:rsidRPr="7E9C04BA">
              <w:rPr>
                <w:rFonts w:ascii="Garamond" w:eastAsia="Garamond" w:hAnsi="Garamond" w:cs="Garamond"/>
              </w:rPr>
              <w:t>32</w:t>
            </w:r>
          </w:p>
        </w:tc>
        <w:tc>
          <w:tcPr>
            <w:tcW w:w="2415" w:type="dxa"/>
            <w:tcBorders>
              <w:top w:val="single" w:sz="8" w:space="0" w:color="auto"/>
              <w:left w:val="single" w:sz="8" w:space="0" w:color="auto"/>
              <w:bottom w:val="single" w:sz="8" w:space="0" w:color="auto"/>
              <w:right w:val="single" w:sz="8" w:space="0" w:color="auto"/>
            </w:tcBorders>
            <w:vAlign w:val="center"/>
          </w:tcPr>
          <w:p w14:paraId="7E172AE1" w14:textId="4A46AE9B"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48</w:t>
            </w:r>
          </w:p>
        </w:tc>
        <w:tc>
          <w:tcPr>
            <w:tcW w:w="2113" w:type="dxa"/>
            <w:tcBorders>
              <w:top w:val="single" w:sz="8" w:space="0" w:color="auto"/>
              <w:left w:val="single" w:sz="8" w:space="0" w:color="auto"/>
              <w:bottom w:val="single" w:sz="8" w:space="0" w:color="auto"/>
              <w:right w:val="single" w:sz="8" w:space="0" w:color="auto"/>
            </w:tcBorders>
            <w:vAlign w:val="center"/>
          </w:tcPr>
          <w:p w14:paraId="471558B5" w14:textId="197FA971"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9</w:t>
            </w:r>
          </w:p>
        </w:tc>
      </w:tr>
      <w:tr w:rsidR="7E9C04BA" w14:paraId="03A3DD62" w14:textId="77777777" w:rsidTr="7E9C04BA">
        <w:trPr>
          <w:trHeight w:val="615"/>
        </w:trPr>
        <w:tc>
          <w:tcPr>
            <w:tcW w:w="1180" w:type="dxa"/>
            <w:tcBorders>
              <w:top w:val="single" w:sz="8" w:space="0" w:color="auto"/>
              <w:left w:val="single" w:sz="8" w:space="0" w:color="auto"/>
              <w:bottom w:val="single" w:sz="8" w:space="0" w:color="auto"/>
              <w:right w:val="single" w:sz="8" w:space="0" w:color="auto"/>
            </w:tcBorders>
            <w:vAlign w:val="center"/>
          </w:tcPr>
          <w:p w14:paraId="5FE5758F" w14:textId="0AD63CB7"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Northeast</w:t>
            </w:r>
          </w:p>
        </w:tc>
        <w:tc>
          <w:tcPr>
            <w:tcW w:w="1893" w:type="dxa"/>
            <w:tcBorders>
              <w:top w:val="single" w:sz="8" w:space="0" w:color="auto"/>
              <w:left w:val="single" w:sz="8" w:space="0" w:color="auto"/>
              <w:bottom w:val="single" w:sz="8" w:space="0" w:color="auto"/>
              <w:right w:val="single" w:sz="8" w:space="0" w:color="auto"/>
            </w:tcBorders>
            <w:vAlign w:val="center"/>
          </w:tcPr>
          <w:p w14:paraId="3E8BD466" w14:textId="421F733A"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9</w:t>
            </w:r>
          </w:p>
        </w:tc>
        <w:tc>
          <w:tcPr>
            <w:tcW w:w="1750" w:type="dxa"/>
            <w:tcBorders>
              <w:top w:val="single" w:sz="8" w:space="0" w:color="auto"/>
              <w:left w:val="single" w:sz="8" w:space="0" w:color="auto"/>
              <w:bottom w:val="single" w:sz="8" w:space="0" w:color="auto"/>
              <w:right w:val="single" w:sz="8" w:space="0" w:color="auto"/>
            </w:tcBorders>
            <w:vAlign w:val="center"/>
          </w:tcPr>
          <w:p w14:paraId="513D5AE3" w14:textId="20E514BB" w:rsidR="3C8177F9" w:rsidRDefault="3C8177F9" w:rsidP="7E9C04BA">
            <w:pPr>
              <w:jc w:val="center"/>
              <w:rPr>
                <w:rFonts w:ascii="Garamond" w:eastAsia="Garamond" w:hAnsi="Garamond" w:cs="Garamond"/>
              </w:rPr>
            </w:pPr>
            <w:r w:rsidRPr="7E9C04BA">
              <w:rPr>
                <w:rFonts w:ascii="Garamond" w:eastAsia="Garamond" w:hAnsi="Garamond" w:cs="Garamond"/>
              </w:rPr>
              <w:t>30</w:t>
            </w:r>
          </w:p>
        </w:tc>
        <w:tc>
          <w:tcPr>
            <w:tcW w:w="2415" w:type="dxa"/>
            <w:tcBorders>
              <w:top w:val="single" w:sz="8" w:space="0" w:color="auto"/>
              <w:left w:val="single" w:sz="8" w:space="0" w:color="auto"/>
              <w:bottom w:val="single" w:sz="8" w:space="0" w:color="auto"/>
              <w:right w:val="single" w:sz="8" w:space="0" w:color="auto"/>
            </w:tcBorders>
            <w:vAlign w:val="center"/>
          </w:tcPr>
          <w:p w14:paraId="3D2B6C1D" w14:textId="14C58B40"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53</w:t>
            </w:r>
          </w:p>
        </w:tc>
        <w:tc>
          <w:tcPr>
            <w:tcW w:w="2113" w:type="dxa"/>
            <w:tcBorders>
              <w:top w:val="single" w:sz="8" w:space="0" w:color="auto"/>
              <w:left w:val="single" w:sz="8" w:space="0" w:color="auto"/>
              <w:bottom w:val="single" w:sz="8" w:space="0" w:color="auto"/>
              <w:right w:val="single" w:sz="8" w:space="0" w:color="auto"/>
            </w:tcBorders>
            <w:vAlign w:val="center"/>
          </w:tcPr>
          <w:p w14:paraId="4CDAA988" w14:textId="7AD1E60D"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8</w:t>
            </w:r>
          </w:p>
        </w:tc>
      </w:tr>
      <w:tr w:rsidR="7E9C04BA" w14:paraId="28909349" w14:textId="77777777" w:rsidTr="7E9C04BA">
        <w:trPr>
          <w:trHeight w:val="525"/>
        </w:trPr>
        <w:tc>
          <w:tcPr>
            <w:tcW w:w="1180" w:type="dxa"/>
            <w:tcBorders>
              <w:top w:val="single" w:sz="8" w:space="0" w:color="auto"/>
              <w:left w:val="single" w:sz="8" w:space="0" w:color="auto"/>
              <w:bottom w:val="single" w:sz="8" w:space="0" w:color="auto"/>
              <w:right w:val="single" w:sz="8" w:space="0" w:color="auto"/>
            </w:tcBorders>
            <w:vAlign w:val="center"/>
          </w:tcPr>
          <w:p w14:paraId="0C983936" w14:textId="32306D5F"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East</w:t>
            </w:r>
          </w:p>
        </w:tc>
        <w:tc>
          <w:tcPr>
            <w:tcW w:w="1893" w:type="dxa"/>
            <w:tcBorders>
              <w:top w:val="single" w:sz="8" w:space="0" w:color="auto"/>
              <w:left w:val="single" w:sz="8" w:space="0" w:color="auto"/>
              <w:bottom w:val="single" w:sz="8" w:space="0" w:color="auto"/>
              <w:right w:val="single" w:sz="8" w:space="0" w:color="auto"/>
            </w:tcBorders>
            <w:vAlign w:val="center"/>
          </w:tcPr>
          <w:p w14:paraId="19193CFF" w14:textId="17A50F2F"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9</w:t>
            </w:r>
          </w:p>
        </w:tc>
        <w:tc>
          <w:tcPr>
            <w:tcW w:w="1750" w:type="dxa"/>
            <w:tcBorders>
              <w:top w:val="single" w:sz="8" w:space="0" w:color="auto"/>
              <w:left w:val="single" w:sz="8" w:space="0" w:color="auto"/>
              <w:bottom w:val="single" w:sz="8" w:space="0" w:color="auto"/>
              <w:right w:val="single" w:sz="8" w:space="0" w:color="auto"/>
            </w:tcBorders>
            <w:vAlign w:val="center"/>
          </w:tcPr>
          <w:p w14:paraId="2ED81023" w14:textId="2986B4DC"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29</w:t>
            </w:r>
          </w:p>
        </w:tc>
        <w:tc>
          <w:tcPr>
            <w:tcW w:w="2415" w:type="dxa"/>
            <w:tcBorders>
              <w:top w:val="single" w:sz="8" w:space="0" w:color="auto"/>
              <w:left w:val="single" w:sz="8" w:space="0" w:color="auto"/>
              <w:bottom w:val="single" w:sz="8" w:space="0" w:color="auto"/>
              <w:right w:val="single" w:sz="8" w:space="0" w:color="auto"/>
            </w:tcBorders>
            <w:vAlign w:val="center"/>
          </w:tcPr>
          <w:p w14:paraId="36134A94" w14:textId="633BE9F8"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54</w:t>
            </w:r>
          </w:p>
        </w:tc>
        <w:tc>
          <w:tcPr>
            <w:tcW w:w="2113" w:type="dxa"/>
            <w:tcBorders>
              <w:top w:val="single" w:sz="8" w:space="0" w:color="auto"/>
              <w:left w:val="single" w:sz="8" w:space="0" w:color="auto"/>
              <w:bottom w:val="single" w:sz="8" w:space="0" w:color="auto"/>
              <w:right w:val="single" w:sz="8" w:space="0" w:color="auto"/>
            </w:tcBorders>
            <w:vAlign w:val="center"/>
          </w:tcPr>
          <w:p w14:paraId="05974EED" w14:textId="6462ABEF"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8</w:t>
            </w:r>
          </w:p>
        </w:tc>
      </w:tr>
      <w:tr w:rsidR="7E9C04BA" w14:paraId="64C52A53" w14:textId="77777777" w:rsidTr="7E9C04BA">
        <w:trPr>
          <w:trHeight w:val="540"/>
        </w:trPr>
        <w:tc>
          <w:tcPr>
            <w:tcW w:w="1180" w:type="dxa"/>
            <w:tcBorders>
              <w:top w:val="single" w:sz="8" w:space="0" w:color="auto"/>
              <w:left w:val="single" w:sz="8" w:space="0" w:color="auto"/>
              <w:bottom w:val="single" w:sz="8" w:space="0" w:color="auto"/>
              <w:right w:val="single" w:sz="8" w:space="0" w:color="auto"/>
            </w:tcBorders>
            <w:vAlign w:val="center"/>
          </w:tcPr>
          <w:p w14:paraId="4E44EB5A" w14:textId="638693DE"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lastRenderedPageBreak/>
              <w:t>Southeast</w:t>
            </w:r>
          </w:p>
        </w:tc>
        <w:tc>
          <w:tcPr>
            <w:tcW w:w="1893" w:type="dxa"/>
            <w:tcBorders>
              <w:top w:val="single" w:sz="8" w:space="0" w:color="auto"/>
              <w:left w:val="single" w:sz="8" w:space="0" w:color="auto"/>
              <w:bottom w:val="single" w:sz="8" w:space="0" w:color="auto"/>
              <w:right w:val="single" w:sz="8" w:space="0" w:color="auto"/>
            </w:tcBorders>
            <w:vAlign w:val="center"/>
          </w:tcPr>
          <w:p w14:paraId="01DBB865" w14:textId="49814C85"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12</w:t>
            </w:r>
          </w:p>
        </w:tc>
        <w:tc>
          <w:tcPr>
            <w:tcW w:w="1750" w:type="dxa"/>
            <w:tcBorders>
              <w:top w:val="single" w:sz="8" w:space="0" w:color="auto"/>
              <w:left w:val="single" w:sz="8" w:space="0" w:color="auto"/>
              <w:bottom w:val="single" w:sz="8" w:space="0" w:color="auto"/>
              <w:right w:val="single" w:sz="8" w:space="0" w:color="auto"/>
            </w:tcBorders>
            <w:vAlign w:val="center"/>
          </w:tcPr>
          <w:p w14:paraId="577C958A" w14:textId="496FE2D6" w:rsidR="3C8177F9" w:rsidRDefault="3C8177F9" w:rsidP="7E9C04BA">
            <w:pPr>
              <w:jc w:val="center"/>
              <w:rPr>
                <w:rFonts w:ascii="Garamond" w:eastAsia="Garamond" w:hAnsi="Garamond" w:cs="Garamond"/>
              </w:rPr>
            </w:pPr>
            <w:r w:rsidRPr="7E9C04BA">
              <w:rPr>
                <w:rFonts w:ascii="Garamond" w:eastAsia="Garamond" w:hAnsi="Garamond" w:cs="Garamond"/>
              </w:rPr>
              <w:t>31</w:t>
            </w:r>
          </w:p>
        </w:tc>
        <w:tc>
          <w:tcPr>
            <w:tcW w:w="2415" w:type="dxa"/>
            <w:tcBorders>
              <w:top w:val="single" w:sz="8" w:space="0" w:color="auto"/>
              <w:left w:val="single" w:sz="8" w:space="0" w:color="auto"/>
              <w:bottom w:val="single" w:sz="8" w:space="0" w:color="auto"/>
              <w:right w:val="single" w:sz="8" w:space="0" w:color="auto"/>
            </w:tcBorders>
            <w:vAlign w:val="center"/>
          </w:tcPr>
          <w:p w14:paraId="175E9FCE" w14:textId="0EBDE229"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51</w:t>
            </w:r>
          </w:p>
        </w:tc>
        <w:tc>
          <w:tcPr>
            <w:tcW w:w="2113" w:type="dxa"/>
            <w:tcBorders>
              <w:top w:val="single" w:sz="8" w:space="0" w:color="auto"/>
              <w:left w:val="single" w:sz="8" w:space="0" w:color="auto"/>
              <w:bottom w:val="single" w:sz="8" w:space="0" w:color="auto"/>
              <w:right w:val="single" w:sz="8" w:space="0" w:color="auto"/>
            </w:tcBorders>
            <w:vAlign w:val="center"/>
          </w:tcPr>
          <w:p w14:paraId="5F940D4D" w14:textId="46CC56F9"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6</w:t>
            </w:r>
          </w:p>
        </w:tc>
      </w:tr>
      <w:tr w:rsidR="7E9C04BA" w14:paraId="0854BDFF" w14:textId="77777777" w:rsidTr="7E9C04BA">
        <w:trPr>
          <w:trHeight w:val="510"/>
        </w:trPr>
        <w:tc>
          <w:tcPr>
            <w:tcW w:w="1180" w:type="dxa"/>
            <w:tcBorders>
              <w:top w:val="single" w:sz="8" w:space="0" w:color="auto"/>
              <w:left w:val="single" w:sz="8" w:space="0" w:color="auto"/>
              <w:bottom w:val="single" w:sz="8" w:space="0" w:color="auto"/>
              <w:right w:val="single" w:sz="8" w:space="0" w:color="auto"/>
            </w:tcBorders>
            <w:vAlign w:val="center"/>
          </w:tcPr>
          <w:p w14:paraId="0C942930" w14:textId="00FB6C98"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South</w:t>
            </w:r>
          </w:p>
        </w:tc>
        <w:tc>
          <w:tcPr>
            <w:tcW w:w="1893" w:type="dxa"/>
            <w:tcBorders>
              <w:top w:val="single" w:sz="8" w:space="0" w:color="auto"/>
              <w:left w:val="single" w:sz="8" w:space="0" w:color="auto"/>
              <w:bottom w:val="single" w:sz="8" w:space="0" w:color="auto"/>
              <w:right w:val="single" w:sz="8" w:space="0" w:color="auto"/>
            </w:tcBorders>
            <w:vAlign w:val="center"/>
          </w:tcPr>
          <w:p w14:paraId="0015724C" w14:textId="34605102"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12</w:t>
            </w:r>
          </w:p>
        </w:tc>
        <w:tc>
          <w:tcPr>
            <w:tcW w:w="1750" w:type="dxa"/>
            <w:tcBorders>
              <w:top w:val="single" w:sz="8" w:space="0" w:color="auto"/>
              <w:left w:val="single" w:sz="8" w:space="0" w:color="auto"/>
              <w:bottom w:val="single" w:sz="8" w:space="0" w:color="auto"/>
              <w:right w:val="single" w:sz="8" w:space="0" w:color="auto"/>
            </w:tcBorders>
            <w:vAlign w:val="center"/>
          </w:tcPr>
          <w:p w14:paraId="29DEDA77" w14:textId="3BF223F4" w:rsidR="3C8177F9" w:rsidRDefault="3C8177F9" w:rsidP="7E9C04BA">
            <w:pPr>
              <w:jc w:val="center"/>
              <w:rPr>
                <w:rFonts w:ascii="Garamond" w:eastAsia="Garamond" w:hAnsi="Garamond" w:cs="Garamond"/>
              </w:rPr>
            </w:pPr>
            <w:r w:rsidRPr="7E9C04BA">
              <w:rPr>
                <w:rFonts w:ascii="Garamond" w:eastAsia="Garamond" w:hAnsi="Garamond" w:cs="Garamond"/>
              </w:rPr>
              <w:t>34</w:t>
            </w:r>
          </w:p>
        </w:tc>
        <w:tc>
          <w:tcPr>
            <w:tcW w:w="2415" w:type="dxa"/>
            <w:tcBorders>
              <w:top w:val="single" w:sz="8" w:space="0" w:color="auto"/>
              <w:left w:val="single" w:sz="8" w:space="0" w:color="auto"/>
              <w:bottom w:val="single" w:sz="8" w:space="0" w:color="auto"/>
              <w:right w:val="single" w:sz="8" w:space="0" w:color="auto"/>
            </w:tcBorders>
            <w:vAlign w:val="center"/>
          </w:tcPr>
          <w:p w14:paraId="795F75EB" w14:textId="58D8707A"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49</w:t>
            </w:r>
          </w:p>
        </w:tc>
        <w:tc>
          <w:tcPr>
            <w:tcW w:w="2113" w:type="dxa"/>
            <w:tcBorders>
              <w:top w:val="single" w:sz="8" w:space="0" w:color="auto"/>
              <w:left w:val="single" w:sz="8" w:space="0" w:color="auto"/>
              <w:bottom w:val="single" w:sz="8" w:space="0" w:color="auto"/>
              <w:right w:val="single" w:sz="8" w:space="0" w:color="auto"/>
            </w:tcBorders>
            <w:vAlign w:val="center"/>
          </w:tcPr>
          <w:p w14:paraId="26896D66" w14:textId="4DE534AC"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5</w:t>
            </w:r>
          </w:p>
        </w:tc>
      </w:tr>
      <w:tr w:rsidR="7E9C04BA" w14:paraId="14315B78" w14:textId="77777777" w:rsidTr="7E9C04BA">
        <w:trPr>
          <w:trHeight w:val="555"/>
        </w:trPr>
        <w:tc>
          <w:tcPr>
            <w:tcW w:w="1180" w:type="dxa"/>
            <w:tcBorders>
              <w:top w:val="single" w:sz="8" w:space="0" w:color="auto"/>
              <w:left w:val="single" w:sz="8" w:space="0" w:color="auto"/>
              <w:bottom w:val="single" w:sz="8" w:space="0" w:color="auto"/>
              <w:right w:val="single" w:sz="8" w:space="0" w:color="auto"/>
            </w:tcBorders>
            <w:vAlign w:val="center"/>
          </w:tcPr>
          <w:p w14:paraId="41327DBD" w14:textId="37EB6A6C"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Southwest</w:t>
            </w:r>
          </w:p>
        </w:tc>
        <w:tc>
          <w:tcPr>
            <w:tcW w:w="1893" w:type="dxa"/>
            <w:tcBorders>
              <w:top w:val="single" w:sz="8" w:space="0" w:color="auto"/>
              <w:left w:val="single" w:sz="8" w:space="0" w:color="auto"/>
              <w:bottom w:val="single" w:sz="8" w:space="0" w:color="auto"/>
              <w:right w:val="single" w:sz="8" w:space="0" w:color="auto"/>
            </w:tcBorders>
            <w:vAlign w:val="center"/>
          </w:tcPr>
          <w:p w14:paraId="176BD4B2" w14:textId="06047B5C"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14</w:t>
            </w:r>
          </w:p>
        </w:tc>
        <w:tc>
          <w:tcPr>
            <w:tcW w:w="1750" w:type="dxa"/>
            <w:tcBorders>
              <w:top w:val="single" w:sz="8" w:space="0" w:color="auto"/>
              <w:left w:val="single" w:sz="8" w:space="0" w:color="auto"/>
              <w:bottom w:val="single" w:sz="8" w:space="0" w:color="auto"/>
              <w:right w:val="single" w:sz="8" w:space="0" w:color="auto"/>
            </w:tcBorders>
            <w:vAlign w:val="center"/>
          </w:tcPr>
          <w:p w14:paraId="44FE41DB" w14:textId="455AE572" w:rsidR="3C8177F9" w:rsidRDefault="3C8177F9" w:rsidP="7E9C04BA">
            <w:pPr>
              <w:jc w:val="center"/>
              <w:rPr>
                <w:rFonts w:ascii="Garamond" w:eastAsia="Garamond" w:hAnsi="Garamond" w:cs="Garamond"/>
              </w:rPr>
            </w:pPr>
            <w:r w:rsidRPr="7E9C04BA">
              <w:rPr>
                <w:rFonts w:ascii="Garamond" w:eastAsia="Garamond" w:hAnsi="Garamond" w:cs="Garamond"/>
              </w:rPr>
              <w:t>38</w:t>
            </w:r>
          </w:p>
        </w:tc>
        <w:tc>
          <w:tcPr>
            <w:tcW w:w="2415" w:type="dxa"/>
            <w:tcBorders>
              <w:top w:val="single" w:sz="8" w:space="0" w:color="auto"/>
              <w:left w:val="single" w:sz="8" w:space="0" w:color="auto"/>
              <w:bottom w:val="single" w:sz="8" w:space="0" w:color="auto"/>
              <w:right w:val="single" w:sz="8" w:space="0" w:color="auto"/>
            </w:tcBorders>
            <w:vAlign w:val="center"/>
          </w:tcPr>
          <w:p w14:paraId="197FF009" w14:textId="4E9D9285"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44</w:t>
            </w:r>
          </w:p>
        </w:tc>
        <w:tc>
          <w:tcPr>
            <w:tcW w:w="2113" w:type="dxa"/>
            <w:tcBorders>
              <w:top w:val="single" w:sz="8" w:space="0" w:color="auto"/>
              <w:left w:val="single" w:sz="8" w:space="0" w:color="auto"/>
              <w:bottom w:val="single" w:sz="8" w:space="0" w:color="auto"/>
              <w:right w:val="single" w:sz="8" w:space="0" w:color="auto"/>
            </w:tcBorders>
            <w:vAlign w:val="center"/>
          </w:tcPr>
          <w:p w14:paraId="24ED6F56" w14:textId="0915E6BB"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w:t>
            </w:r>
          </w:p>
        </w:tc>
      </w:tr>
      <w:tr w:rsidR="7E9C04BA" w14:paraId="4A0C915B" w14:textId="77777777" w:rsidTr="7E9C04BA">
        <w:trPr>
          <w:trHeight w:val="510"/>
        </w:trPr>
        <w:tc>
          <w:tcPr>
            <w:tcW w:w="1180" w:type="dxa"/>
            <w:tcBorders>
              <w:top w:val="single" w:sz="8" w:space="0" w:color="auto"/>
              <w:left w:val="single" w:sz="8" w:space="0" w:color="auto"/>
              <w:bottom w:val="single" w:sz="8" w:space="0" w:color="auto"/>
              <w:right w:val="single" w:sz="8" w:space="0" w:color="auto"/>
            </w:tcBorders>
            <w:vAlign w:val="center"/>
          </w:tcPr>
          <w:p w14:paraId="3F85A5A2" w14:textId="46E256D8"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West</w:t>
            </w:r>
          </w:p>
        </w:tc>
        <w:tc>
          <w:tcPr>
            <w:tcW w:w="1893" w:type="dxa"/>
            <w:tcBorders>
              <w:top w:val="single" w:sz="8" w:space="0" w:color="auto"/>
              <w:left w:val="single" w:sz="8" w:space="0" w:color="auto"/>
              <w:bottom w:val="single" w:sz="8" w:space="0" w:color="auto"/>
              <w:right w:val="single" w:sz="8" w:space="0" w:color="auto"/>
            </w:tcBorders>
            <w:vAlign w:val="center"/>
          </w:tcPr>
          <w:p w14:paraId="7D0E1FE4" w14:textId="7B9C2804"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14</w:t>
            </w:r>
          </w:p>
        </w:tc>
        <w:tc>
          <w:tcPr>
            <w:tcW w:w="1750" w:type="dxa"/>
            <w:tcBorders>
              <w:top w:val="single" w:sz="8" w:space="0" w:color="auto"/>
              <w:left w:val="single" w:sz="8" w:space="0" w:color="auto"/>
              <w:bottom w:val="single" w:sz="8" w:space="0" w:color="auto"/>
              <w:right w:val="single" w:sz="8" w:space="0" w:color="auto"/>
            </w:tcBorders>
            <w:vAlign w:val="center"/>
          </w:tcPr>
          <w:p w14:paraId="498A54CB" w14:textId="1B5D87D4"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38</w:t>
            </w:r>
          </w:p>
        </w:tc>
        <w:tc>
          <w:tcPr>
            <w:tcW w:w="2415" w:type="dxa"/>
            <w:tcBorders>
              <w:top w:val="single" w:sz="8" w:space="0" w:color="auto"/>
              <w:left w:val="single" w:sz="8" w:space="0" w:color="auto"/>
              <w:bottom w:val="single" w:sz="8" w:space="0" w:color="auto"/>
              <w:right w:val="single" w:sz="8" w:space="0" w:color="auto"/>
            </w:tcBorders>
            <w:vAlign w:val="center"/>
          </w:tcPr>
          <w:p w14:paraId="1593DD4D" w14:textId="333EE483"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42</w:t>
            </w:r>
          </w:p>
        </w:tc>
        <w:tc>
          <w:tcPr>
            <w:tcW w:w="2113" w:type="dxa"/>
            <w:tcBorders>
              <w:top w:val="single" w:sz="8" w:space="0" w:color="auto"/>
              <w:left w:val="single" w:sz="8" w:space="0" w:color="auto"/>
              <w:bottom w:val="single" w:sz="8" w:space="0" w:color="auto"/>
              <w:right w:val="single" w:sz="8" w:space="0" w:color="auto"/>
            </w:tcBorders>
            <w:vAlign w:val="center"/>
          </w:tcPr>
          <w:p w14:paraId="3F54A887" w14:textId="11D2537C"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6</w:t>
            </w:r>
          </w:p>
        </w:tc>
      </w:tr>
      <w:tr w:rsidR="7E9C04BA" w14:paraId="2F528DDC" w14:textId="77777777" w:rsidTr="7E9C04BA">
        <w:trPr>
          <w:trHeight w:val="780"/>
        </w:trPr>
        <w:tc>
          <w:tcPr>
            <w:tcW w:w="1180" w:type="dxa"/>
            <w:tcBorders>
              <w:top w:val="single" w:sz="8" w:space="0" w:color="auto"/>
              <w:left w:val="single" w:sz="8" w:space="0" w:color="auto"/>
              <w:bottom w:val="single" w:sz="8" w:space="0" w:color="auto"/>
              <w:right w:val="single" w:sz="8" w:space="0" w:color="auto"/>
            </w:tcBorders>
            <w:vAlign w:val="center"/>
          </w:tcPr>
          <w:p w14:paraId="6CA46FB2" w14:textId="72388A43" w:rsidR="7E9C04BA" w:rsidRDefault="7E9C04BA" w:rsidP="7E9C04BA">
            <w:pPr>
              <w:jc w:val="center"/>
              <w:rPr>
                <w:rFonts w:ascii="Garamond" w:eastAsia="Garamond" w:hAnsi="Garamond" w:cs="Garamond"/>
                <w:color w:val="000000" w:themeColor="text1"/>
              </w:rPr>
            </w:pPr>
          </w:p>
          <w:p w14:paraId="69C3EAE9" w14:textId="6A0BDB46"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Northwest</w:t>
            </w:r>
          </w:p>
        </w:tc>
        <w:tc>
          <w:tcPr>
            <w:tcW w:w="1893" w:type="dxa"/>
            <w:tcBorders>
              <w:top w:val="single" w:sz="8" w:space="0" w:color="auto"/>
              <w:left w:val="single" w:sz="8" w:space="0" w:color="auto"/>
              <w:bottom w:val="single" w:sz="8" w:space="0" w:color="auto"/>
              <w:right w:val="single" w:sz="8" w:space="0" w:color="auto"/>
            </w:tcBorders>
            <w:vAlign w:val="center"/>
          </w:tcPr>
          <w:p w14:paraId="1CC3BF5B" w14:textId="5C23E9DD"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15</w:t>
            </w:r>
          </w:p>
        </w:tc>
        <w:tc>
          <w:tcPr>
            <w:tcW w:w="1750" w:type="dxa"/>
            <w:tcBorders>
              <w:top w:val="single" w:sz="8" w:space="0" w:color="auto"/>
              <w:left w:val="single" w:sz="8" w:space="0" w:color="auto"/>
              <w:bottom w:val="single" w:sz="8" w:space="0" w:color="auto"/>
              <w:right w:val="single" w:sz="8" w:space="0" w:color="auto"/>
            </w:tcBorders>
            <w:vAlign w:val="center"/>
          </w:tcPr>
          <w:p w14:paraId="6DCB1540" w14:textId="09F26201" w:rsidR="3C8177F9" w:rsidRDefault="3C8177F9" w:rsidP="7E9C04BA">
            <w:pPr>
              <w:jc w:val="center"/>
              <w:rPr>
                <w:rFonts w:ascii="Garamond" w:eastAsia="Garamond" w:hAnsi="Garamond" w:cs="Garamond"/>
              </w:rPr>
            </w:pPr>
            <w:r w:rsidRPr="7E9C04BA">
              <w:rPr>
                <w:rFonts w:ascii="Garamond" w:eastAsia="Garamond" w:hAnsi="Garamond" w:cs="Garamond"/>
              </w:rPr>
              <w:t>35</w:t>
            </w:r>
          </w:p>
        </w:tc>
        <w:tc>
          <w:tcPr>
            <w:tcW w:w="2415" w:type="dxa"/>
            <w:tcBorders>
              <w:top w:val="single" w:sz="8" w:space="0" w:color="auto"/>
              <w:left w:val="single" w:sz="8" w:space="0" w:color="auto"/>
              <w:bottom w:val="single" w:sz="8" w:space="0" w:color="auto"/>
              <w:right w:val="single" w:sz="8" w:space="0" w:color="auto"/>
            </w:tcBorders>
            <w:vAlign w:val="center"/>
          </w:tcPr>
          <w:p w14:paraId="5B4CFC0A" w14:textId="4436F1A4"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43</w:t>
            </w:r>
          </w:p>
        </w:tc>
        <w:tc>
          <w:tcPr>
            <w:tcW w:w="2113" w:type="dxa"/>
            <w:tcBorders>
              <w:top w:val="single" w:sz="8" w:space="0" w:color="auto"/>
              <w:left w:val="single" w:sz="8" w:space="0" w:color="auto"/>
              <w:bottom w:val="single" w:sz="8" w:space="0" w:color="auto"/>
              <w:right w:val="single" w:sz="8" w:space="0" w:color="auto"/>
            </w:tcBorders>
            <w:vAlign w:val="center"/>
          </w:tcPr>
          <w:p w14:paraId="58E912DE" w14:textId="3A652EE8" w:rsidR="3C8177F9" w:rsidRDefault="3C8177F9"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7</w:t>
            </w:r>
          </w:p>
        </w:tc>
      </w:tr>
    </w:tbl>
    <w:p w14:paraId="0D545515" w14:textId="0EA901FD" w:rsidR="4CEFE9E4" w:rsidRDefault="4CEFE9E4" w:rsidP="7E9C04BA">
      <w:pPr>
        <w:spacing w:beforeAutospacing="1" w:afterAutospacing="1" w:line="240" w:lineRule="auto"/>
        <w:rPr>
          <w:rFonts w:ascii="Garamond" w:eastAsia="Garamond" w:hAnsi="Garamond" w:cs="Garamond"/>
        </w:rPr>
      </w:pPr>
    </w:p>
    <w:p w14:paraId="780B60C9" w14:textId="6F8D74FF" w:rsidR="4CEFE9E4" w:rsidRDefault="4CEFE9E4" w:rsidP="65CB079E">
      <w:pPr>
        <w:spacing w:beforeAutospacing="1" w:afterAutospacing="1" w:line="240" w:lineRule="auto"/>
        <w:rPr>
          <w:rFonts w:ascii="Garamond" w:hAnsi="Garamond"/>
          <w:i/>
          <w:iCs/>
        </w:rPr>
      </w:pPr>
    </w:p>
    <w:p w14:paraId="33FFFCD6" w14:textId="2BAD222C" w:rsidR="4CEFE9E4" w:rsidRDefault="4CEFE9E4" w:rsidP="7E9C04BA">
      <w:pPr>
        <w:spacing w:beforeAutospacing="1" w:afterAutospacing="1" w:line="240" w:lineRule="auto"/>
        <w:rPr>
          <w:rFonts w:ascii="Garamond" w:hAnsi="Garamond"/>
          <w:i/>
          <w:iCs/>
        </w:rPr>
      </w:pPr>
    </w:p>
    <w:p w14:paraId="58C191F9" w14:textId="74A90D56" w:rsidR="4CEFE9E4" w:rsidRDefault="7D5FC8E0" w:rsidP="10D1FD28">
      <w:pPr>
        <w:spacing w:beforeAutospacing="1" w:afterAutospacing="1" w:line="240" w:lineRule="auto"/>
        <w:rPr>
          <w:rFonts w:ascii="Garamond" w:hAnsi="Garamond"/>
          <w:i/>
          <w:iCs/>
        </w:rPr>
      </w:pPr>
      <w:r w:rsidRPr="00E27AC4">
        <w:rPr>
          <w:rFonts w:ascii="Garamond" w:hAnsi="Garamond"/>
        </w:rPr>
        <w:t>Table B6</w:t>
      </w:r>
      <w:r w:rsidRPr="10D1FD28">
        <w:rPr>
          <w:rFonts w:ascii="Garamond" w:hAnsi="Garamond"/>
        </w:rPr>
        <w:t xml:space="preserve">. </w:t>
      </w:r>
    </w:p>
    <w:p w14:paraId="2CB56BBD" w14:textId="31B85124" w:rsidR="4CEFE9E4" w:rsidRPr="00E27AC4" w:rsidRDefault="7D5FC8E0" w:rsidP="10D1FD28">
      <w:pPr>
        <w:spacing w:beforeAutospacing="1" w:afterAutospacing="1" w:line="240" w:lineRule="auto"/>
        <w:rPr>
          <w:rFonts w:ascii="Garamond" w:hAnsi="Garamond"/>
          <w:i/>
          <w:iCs/>
        </w:rPr>
      </w:pPr>
      <w:r w:rsidRPr="00E27AC4">
        <w:rPr>
          <w:rFonts w:ascii="Garamond" w:hAnsi="Garamond"/>
          <w:i/>
          <w:iCs/>
        </w:rPr>
        <w:t>The elevation range of the Bootleg fire.</w:t>
      </w:r>
    </w:p>
    <w:tbl>
      <w:tblPr>
        <w:tblStyle w:val="TableGrid"/>
        <w:tblW w:w="9190" w:type="dxa"/>
        <w:tblInd w:w="0" w:type="dxa"/>
        <w:tblLayout w:type="fixed"/>
        <w:tblLook w:val="06A0" w:firstRow="1" w:lastRow="0" w:firstColumn="1" w:lastColumn="0" w:noHBand="1" w:noVBand="1"/>
      </w:tblPr>
      <w:tblGrid>
        <w:gridCol w:w="2160"/>
        <w:gridCol w:w="2310"/>
        <w:gridCol w:w="2452"/>
        <w:gridCol w:w="2268"/>
      </w:tblGrid>
      <w:tr w:rsidR="2C7D0C34" w14:paraId="1CFC0FFD" w14:textId="77777777" w:rsidTr="7E9C04BA">
        <w:trPr>
          <w:trHeight w:val="477"/>
        </w:trPr>
        <w:tc>
          <w:tcPr>
            <w:tcW w:w="91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C8CA02" w14:textId="62A979CC" w:rsidR="2C7D0C34" w:rsidRDefault="2C7D0C34" w:rsidP="2C7D0C34">
            <w:pPr>
              <w:jc w:val="center"/>
              <w:rPr>
                <w:rFonts w:ascii="Garamond" w:eastAsia="Garamond" w:hAnsi="Garamond" w:cs="Garamond"/>
                <w:b/>
                <w:bCs/>
                <w:color w:val="000000" w:themeColor="text1"/>
              </w:rPr>
            </w:pPr>
            <w:r w:rsidRPr="2C7D0C34">
              <w:rPr>
                <w:rFonts w:ascii="Garamond" w:eastAsia="Garamond" w:hAnsi="Garamond" w:cs="Garamond"/>
                <w:b/>
                <w:bCs/>
                <w:color w:val="000000" w:themeColor="text1"/>
              </w:rPr>
              <w:t xml:space="preserve">Elevation </w:t>
            </w:r>
          </w:p>
        </w:tc>
      </w:tr>
      <w:tr w:rsidR="2C7D0C34" w14:paraId="7529E039" w14:textId="77777777" w:rsidTr="7E9C04BA">
        <w:trPr>
          <w:trHeight w:val="780"/>
        </w:trPr>
        <w:tc>
          <w:tcPr>
            <w:tcW w:w="2160" w:type="dxa"/>
            <w:tcBorders>
              <w:top w:val="single" w:sz="6" w:space="0" w:color="000000" w:themeColor="text1"/>
              <w:left w:val="single" w:sz="4" w:space="0" w:color="auto"/>
              <w:bottom w:val="single" w:sz="4" w:space="0" w:color="auto"/>
              <w:right w:val="single" w:sz="4" w:space="0" w:color="auto"/>
            </w:tcBorders>
            <w:vAlign w:val="bottom"/>
          </w:tcPr>
          <w:p w14:paraId="03117CB6" w14:textId="56551F10"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Soil Burn Severity</w:t>
            </w:r>
          </w:p>
        </w:tc>
        <w:tc>
          <w:tcPr>
            <w:tcW w:w="2310" w:type="dxa"/>
            <w:tcBorders>
              <w:top w:val="nil"/>
              <w:left w:val="single" w:sz="4" w:space="0" w:color="auto"/>
              <w:bottom w:val="single" w:sz="4" w:space="0" w:color="auto"/>
              <w:right w:val="single" w:sz="4" w:space="0" w:color="auto"/>
            </w:tcBorders>
            <w:vAlign w:val="bottom"/>
          </w:tcPr>
          <w:p w14:paraId="75373520" w14:textId="568A13A7"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Minimum (m)</w:t>
            </w:r>
          </w:p>
        </w:tc>
        <w:tc>
          <w:tcPr>
            <w:tcW w:w="2452" w:type="dxa"/>
            <w:tcBorders>
              <w:top w:val="nil"/>
              <w:left w:val="single" w:sz="4" w:space="0" w:color="auto"/>
              <w:bottom w:val="single" w:sz="4" w:space="0" w:color="auto"/>
              <w:right w:val="single" w:sz="4" w:space="0" w:color="auto"/>
            </w:tcBorders>
            <w:vAlign w:val="bottom"/>
          </w:tcPr>
          <w:p w14:paraId="3ECF2270" w14:textId="0EF75CE5"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 xml:space="preserve">Mean (m) </w:t>
            </w:r>
          </w:p>
        </w:tc>
        <w:tc>
          <w:tcPr>
            <w:tcW w:w="2268" w:type="dxa"/>
            <w:tcBorders>
              <w:top w:val="nil"/>
              <w:left w:val="single" w:sz="4" w:space="0" w:color="auto"/>
              <w:bottom w:val="single" w:sz="4" w:space="0" w:color="auto"/>
              <w:right w:val="single" w:sz="4" w:space="0" w:color="auto"/>
            </w:tcBorders>
            <w:vAlign w:val="bottom"/>
          </w:tcPr>
          <w:p w14:paraId="0D8225AA" w14:textId="002B0F83" w:rsidR="2C7D0C34" w:rsidRDefault="038505BC" w:rsidP="7E9C04BA">
            <w:pPr>
              <w:jc w:val="center"/>
              <w:rPr>
                <w:rFonts w:ascii="Garamond" w:eastAsia="Garamond" w:hAnsi="Garamond" w:cs="Garamond"/>
                <w:color w:val="000000" w:themeColor="text1"/>
              </w:rPr>
            </w:pPr>
            <w:r w:rsidRPr="7E9C04BA">
              <w:rPr>
                <w:rFonts w:ascii="Garamond" w:eastAsia="Garamond" w:hAnsi="Garamond" w:cs="Garamond"/>
                <w:color w:val="000000" w:themeColor="text1"/>
              </w:rPr>
              <w:t xml:space="preserve">Maximum (m) </w:t>
            </w:r>
          </w:p>
        </w:tc>
      </w:tr>
      <w:tr w:rsidR="2C7D0C34" w14:paraId="450E305A" w14:textId="77777777" w:rsidTr="7E9C04BA">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A32ED" w14:textId="2270B84D"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Unburned</w:t>
            </w:r>
          </w:p>
        </w:tc>
        <w:tc>
          <w:tcPr>
            <w:tcW w:w="2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443FB" w14:textId="008D4298"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1316</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293BA" w14:textId="6F079F9A"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1645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27369" w14:textId="7182D246"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2523</w:t>
            </w:r>
          </w:p>
        </w:tc>
      </w:tr>
      <w:tr w:rsidR="2C7D0C34" w14:paraId="18EE8C52" w14:textId="77777777" w:rsidTr="7E9C04BA">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DF0E6" w14:textId="14DDB5ED"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Low</w:t>
            </w:r>
          </w:p>
        </w:tc>
        <w:tc>
          <w:tcPr>
            <w:tcW w:w="2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08EB3" w14:textId="691A9889"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1316</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6E12D" w14:textId="68F0DC0D"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1708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55AC6" w14:textId="5245FBA5"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2523</w:t>
            </w:r>
          </w:p>
        </w:tc>
      </w:tr>
      <w:tr w:rsidR="2C7D0C34" w14:paraId="0130B3BA" w14:textId="77777777" w:rsidTr="7E9C04BA">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C7CF0" w14:textId="1EDEE46F"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Moderate</w:t>
            </w:r>
          </w:p>
        </w:tc>
        <w:tc>
          <w:tcPr>
            <w:tcW w:w="23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05DCB" w14:textId="1DC671F7"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1316</w:t>
            </w:r>
          </w:p>
        </w:tc>
        <w:tc>
          <w:tcPr>
            <w:tcW w:w="24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95C6E" w14:textId="0F374987"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1718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35604" w14:textId="76751BFE"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2520</w:t>
            </w:r>
          </w:p>
        </w:tc>
      </w:tr>
      <w:tr w:rsidR="2C7D0C34" w14:paraId="773A21DD" w14:textId="77777777" w:rsidTr="7E9C04BA">
        <w:trPr>
          <w:trHeight w:val="300"/>
        </w:trPr>
        <w:tc>
          <w:tcPr>
            <w:tcW w:w="2160" w:type="dxa"/>
            <w:tcBorders>
              <w:top w:val="single" w:sz="4" w:space="0" w:color="auto"/>
              <w:left w:val="single" w:sz="4" w:space="0" w:color="auto"/>
              <w:bottom w:val="single" w:sz="4" w:space="0" w:color="auto"/>
              <w:right w:val="single" w:sz="4" w:space="0" w:color="auto"/>
            </w:tcBorders>
            <w:vAlign w:val="center"/>
          </w:tcPr>
          <w:p w14:paraId="61C622A4" w14:textId="59590445"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High</w:t>
            </w:r>
          </w:p>
        </w:tc>
        <w:tc>
          <w:tcPr>
            <w:tcW w:w="2310" w:type="dxa"/>
            <w:tcBorders>
              <w:top w:val="single" w:sz="4" w:space="0" w:color="auto"/>
              <w:left w:val="single" w:sz="4" w:space="0" w:color="auto"/>
              <w:bottom w:val="single" w:sz="4" w:space="0" w:color="auto"/>
              <w:right w:val="single" w:sz="4" w:space="0" w:color="auto"/>
            </w:tcBorders>
            <w:vAlign w:val="center"/>
          </w:tcPr>
          <w:p w14:paraId="5620E4E5" w14:textId="123D49A1"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1318</w:t>
            </w:r>
          </w:p>
        </w:tc>
        <w:tc>
          <w:tcPr>
            <w:tcW w:w="2452" w:type="dxa"/>
            <w:tcBorders>
              <w:top w:val="single" w:sz="4" w:space="0" w:color="auto"/>
              <w:left w:val="single" w:sz="4" w:space="0" w:color="auto"/>
              <w:bottom w:val="single" w:sz="4" w:space="0" w:color="auto"/>
              <w:right w:val="single" w:sz="4" w:space="0" w:color="auto"/>
            </w:tcBorders>
            <w:vAlign w:val="center"/>
          </w:tcPr>
          <w:p w14:paraId="1E9B6A3B" w14:textId="59A1E45B"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1800</w:t>
            </w:r>
          </w:p>
        </w:tc>
        <w:tc>
          <w:tcPr>
            <w:tcW w:w="2268" w:type="dxa"/>
            <w:tcBorders>
              <w:top w:val="single" w:sz="4" w:space="0" w:color="auto"/>
              <w:left w:val="single" w:sz="4" w:space="0" w:color="auto"/>
              <w:bottom w:val="single" w:sz="4" w:space="0" w:color="auto"/>
              <w:right w:val="single" w:sz="4" w:space="0" w:color="auto"/>
            </w:tcBorders>
            <w:vAlign w:val="center"/>
          </w:tcPr>
          <w:p w14:paraId="7CD1F8CE" w14:textId="5892FDA0" w:rsidR="2C7D0C34" w:rsidRDefault="2C7D0C34" w:rsidP="2C7D0C34">
            <w:pPr>
              <w:jc w:val="center"/>
              <w:rPr>
                <w:rFonts w:ascii="Garamond" w:eastAsia="Garamond" w:hAnsi="Garamond" w:cs="Garamond"/>
                <w:color w:val="000000" w:themeColor="text1"/>
              </w:rPr>
            </w:pPr>
            <w:r w:rsidRPr="2C7D0C34">
              <w:rPr>
                <w:rFonts w:ascii="Garamond" w:eastAsia="Garamond" w:hAnsi="Garamond" w:cs="Garamond"/>
                <w:color w:val="000000" w:themeColor="text1"/>
              </w:rPr>
              <w:t>2359</w:t>
            </w:r>
          </w:p>
        </w:tc>
      </w:tr>
    </w:tbl>
    <w:p w14:paraId="39067DF7" w14:textId="3C40854F" w:rsidR="2C7D0C34" w:rsidRDefault="2C7D0C34" w:rsidP="7E9C04BA">
      <w:pPr>
        <w:spacing w:beforeAutospacing="1" w:afterAutospacing="1" w:line="240" w:lineRule="auto"/>
        <w:jc w:val="center"/>
        <w:rPr>
          <w:rFonts w:ascii="Garamond" w:hAnsi="Garamond"/>
        </w:rPr>
      </w:pPr>
    </w:p>
    <w:p w14:paraId="69ED1F66" w14:textId="5D7F902D" w:rsidR="2C7D0C34" w:rsidRDefault="2C7D0C34" w:rsidP="2C7D0C34">
      <w:pPr>
        <w:spacing w:beforeAutospacing="1" w:afterAutospacing="1" w:line="240" w:lineRule="auto"/>
        <w:jc w:val="center"/>
        <w:rPr>
          <w:rFonts w:ascii="Garamond" w:hAnsi="Garamond"/>
        </w:rPr>
      </w:pPr>
    </w:p>
    <w:p w14:paraId="19937AE3" w14:textId="0A3D24D3" w:rsidR="65CB079E" w:rsidRDefault="65CB079E" w:rsidP="65CB079E">
      <w:pPr>
        <w:spacing w:beforeAutospacing="1" w:afterAutospacing="1" w:line="240" w:lineRule="auto"/>
        <w:jc w:val="center"/>
      </w:pPr>
    </w:p>
    <w:p w14:paraId="2D2963D6" w14:textId="3095E79C" w:rsidR="2C7D0C34" w:rsidRDefault="7E9C04BA" w:rsidP="7E9C04BA">
      <w:pPr>
        <w:spacing w:beforeAutospacing="1" w:afterAutospacing="1" w:line="240" w:lineRule="auto"/>
        <w:jc w:val="center"/>
      </w:pPr>
      <w:r>
        <w:rPr>
          <w:noProof/>
        </w:rPr>
        <w:lastRenderedPageBreak/>
        <w:drawing>
          <wp:inline distT="0" distB="0" distL="0" distR="0" wp14:anchorId="2E58137D" wp14:editId="1CB86BDD">
            <wp:extent cx="4652120" cy="3017308"/>
            <wp:effectExtent l="0" t="0" r="0" b="0"/>
            <wp:docPr id="238571459" name="Picture 23857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rcRect l="3958"/>
                    <a:stretch>
                      <a:fillRect/>
                    </a:stretch>
                  </pic:blipFill>
                  <pic:spPr>
                    <a:xfrm>
                      <a:off x="0" y="0"/>
                      <a:ext cx="4652120" cy="3017308"/>
                    </a:xfrm>
                    <a:prstGeom prst="rect">
                      <a:avLst/>
                    </a:prstGeom>
                  </pic:spPr>
                </pic:pic>
              </a:graphicData>
            </a:graphic>
          </wp:inline>
        </w:drawing>
      </w:r>
    </w:p>
    <w:p w14:paraId="217A4F8D" w14:textId="6C07D03B" w:rsidR="65CB079E" w:rsidRDefault="65CB079E" w:rsidP="65CB079E">
      <w:pPr>
        <w:spacing w:beforeAutospacing="1" w:afterAutospacing="1" w:line="240" w:lineRule="auto"/>
        <w:jc w:val="center"/>
      </w:pPr>
    </w:p>
    <w:p w14:paraId="4264C94C" w14:textId="2E198CFA" w:rsidR="2C7D0C34" w:rsidRDefault="3C8177F9" w:rsidP="65CB079E">
      <w:pPr>
        <w:spacing w:beforeAutospacing="1" w:afterAutospacing="1" w:line="240" w:lineRule="auto"/>
        <w:jc w:val="center"/>
        <w:rPr>
          <w:rFonts w:ascii="Garamond" w:hAnsi="Garamond"/>
        </w:rPr>
      </w:pPr>
      <w:r w:rsidRPr="65CB079E">
        <w:rPr>
          <w:rFonts w:ascii="Garamond" w:hAnsi="Garamond"/>
          <w:i/>
          <w:iCs/>
        </w:rPr>
        <w:t xml:space="preserve">                 Figure B3</w:t>
      </w:r>
      <w:r w:rsidRPr="65CB079E">
        <w:rPr>
          <w:rFonts w:ascii="Garamond" w:hAnsi="Garamond"/>
        </w:rPr>
        <w:t xml:space="preserve">. ET of vegetation types across elevation. </w:t>
      </w:r>
    </w:p>
    <w:p w14:paraId="7F28E83D" w14:textId="442D533D" w:rsidR="2C7D0C34" w:rsidRDefault="2C7D0C34" w:rsidP="7E9C04BA">
      <w:pPr>
        <w:spacing w:beforeAutospacing="1" w:afterAutospacing="1" w:line="240" w:lineRule="auto"/>
        <w:jc w:val="center"/>
        <w:rPr>
          <w:rFonts w:ascii="Garamond" w:hAnsi="Garamond"/>
        </w:rPr>
      </w:pPr>
    </w:p>
    <w:p w14:paraId="7A82350B" w14:textId="07376FF4" w:rsidR="2C7D0C34" w:rsidRDefault="2C7D0C34" w:rsidP="7E9C04BA">
      <w:pPr>
        <w:spacing w:beforeAutospacing="1" w:afterAutospacing="1" w:line="240" w:lineRule="auto"/>
        <w:jc w:val="center"/>
        <w:rPr>
          <w:rFonts w:ascii="Garamond" w:hAnsi="Garamond"/>
        </w:rPr>
      </w:pPr>
    </w:p>
    <w:p w14:paraId="604CC563" w14:textId="7AD2A235" w:rsidR="2C7D0C34" w:rsidRDefault="2C7D0C34" w:rsidP="7E9C04BA">
      <w:pPr>
        <w:spacing w:beforeAutospacing="1" w:afterAutospacing="1" w:line="240" w:lineRule="auto"/>
        <w:rPr>
          <w:rFonts w:ascii="Century Gothic" w:eastAsia="Century Gothic" w:hAnsi="Century Gothic" w:cs="Century Gothic"/>
          <w:b/>
          <w:bCs/>
          <w:color w:val="000000" w:themeColor="text1"/>
          <w:sz w:val="40"/>
          <w:szCs w:val="40"/>
        </w:rPr>
      </w:pPr>
    </w:p>
    <w:p w14:paraId="2A35F98B" w14:textId="59A1FCC8" w:rsidR="2C7D0C34" w:rsidRDefault="7E9C04BA" w:rsidP="7E9C04BA">
      <w:pPr>
        <w:spacing w:beforeAutospacing="1" w:afterAutospacing="1" w:line="240" w:lineRule="auto"/>
        <w:jc w:val="center"/>
      </w:pPr>
      <w:r>
        <w:rPr>
          <w:noProof/>
        </w:rPr>
        <w:drawing>
          <wp:inline distT="0" distB="0" distL="0" distR="0" wp14:anchorId="39422E5A" wp14:editId="25FDA26C">
            <wp:extent cx="4572000" cy="2657475"/>
            <wp:effectExtent l="0" t="0" r="0" b="0"/>
            <wp:docPr id="2079773454" name="Picture 207977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754493A2" w14:textId="40544F05" w:rsidR="2C7D0C34"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(a)</w:t>
      </w:r>
    </w:p>
    <w:p w14:paraId="1B65F426" w14:textId="429B2D9F" w:rsidR="2C7D0C34" w:rsidRDefault="7E9C04BA" w:rsidP="7E9C04BA">
      <w:pPr>
        <w:spacing w:beforeAutospacing="1" w:afterAutospacing="1" w:line="240" w:lineRule="auto"/>
        <w:jc w:val="center"/>
      </w:pPr>
      <w:r>
        <w:rPr>
          <w:noProof/>
        </w:rPr>
        <w:lastRenderedPageBreak/>
        <w:drawing>
          <wp:inline distT="0" distB="0" distL="0" distR="0" wp14:anchorId="4A0DA3BE" wp14:editId="5D2D6DD6">
            <wp:extent cx="4572000" cy="2647950"/>
            <wp:effectExtent l="0" t="0" r="0" b="0"/>
            <wp:docPr id="1046309814" name="Picture 104630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14:paraId="16F5FC0C" w14:textId="700AFEA0" w:rsidR="2C7D0C34"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(b)</w:t>
      </w:r>
    </w:p>
    <w:p w14:paraId="72880A37" w14:textId="0DD18E10" w:rsidR="2C7D0C34" w:rsidRDefault="7E9C04BA" w:rsidP="7E9C04BA">
      <w:pPr>
        <w:spacing w:beforeAutospacing="1" w:afterAutospacing="1" w:line="240" w:lineRule="auto"/>
        <w:jc w:val="center"/>
      </w:pPr>
      <w:r>
        <w:rPr>
          <w:noProof/>
        </w:rPr>
        <w:drawing>
          <wp:inline distT="0" distB="0" distL="0" distR="0" wp14:anchorId="252BF1A0" wp14:editId="15348445">
            <wp:extent cx="4572000" cy="2638425"/>
            <wp:effectExtent l="0" t="0" r="0" b="0"/>
            <wp:docPr id="1600287371" name="Picture 160028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5711BDC9" w14:textId="51C60F74" w:rsidR="2C7D0C34"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(c)</w:t>
      </w:r>
    </w:p>
    <w:p w14:paraId="2FBDC2A5" w14:textId="4EE99D1D" w:rsidR="2C7D0C34" w:rsidRDefault="2C7D0C34" w:rsidP="7E9C04BA">
      <w:pPr>
        <w:spacing w:beforeAutospacing="1" w:afterAutospacing="1" w:line="240" w:lineRule="auto"/>
        <w:jc w:val="center"/>
      </w:pPr>
    </w:p>
    <w:p w14:paraId="5C07B8F4" w14:textId="5EA5823A" w:rsidR="3C8177F9" w:rsidRDefault="3C8177F9" w:rsidP="65CB079E">
      <w:pPr>
        <w:spacing w:beforeAutospacing="1" w:afterAutospacing="1" w:line="240" w:lineRule="auto"/>
        <w:jc w:val="center"/>
        <w:rPr>
          <w:rFonts w:ascii="Garamond" w:hAnsi="Garamond"/>
        </w:rPr>
      </w:pPr>
      <w:r w:rsidRPr="65CB079E">
        <w:rPr>
          <w:rFonts w:ascii="Garamond" w:hAnsi="Garamond"/>
          <w:i/>
          <w:iCs/>
        </w:rPr>
        <w:t>Figure B4</w:t>
      </w:r>
      <w:r w:rsidRPr="65CB079E">
        <w:rPr>
          <w:rFonts w:ascii="Garamond" w:hAnsi="Garamond"/>
        </w:rPr>
        <w:t>. Comparison of wildfire intensity of three existing vegetation types (EVTs) in High SBS areas of the Bootleg Fire on August 5, 2021. The percent areas for two evergreen (Sierran-Intermontane Desert, Northern Rocky Mountain Ponderosa Pine), and one shrub-scrub (Colombia Plateau) type in the heat perimeter are shown in (a), and percent areas of these EVTs in high SBS areas are shown in (b). Determination of wildfire intensity is shown in (c</w:t>
      </w:r>
      <w:proofErr w:type="gramStart"/>
      <w:r w:rsidRPr="65CB079E">
        <w:rPr>
          <w:rFonts w:ascii="Garamond" w:hAnsi="Garamond"/>
        </w:rPr>
        <w:t>), and</w:t>
      </w:r>
      <w:proofErr w:type="gramEnd"/>
      <w:r w:rsidRPr="65CB079E">
        <w:rPr>
          <w:rFonts w:ascii="Garamond" w:hAnsi="Garamond"/>
        </w:rPr>
        <w:t xml:space="preserve"> is calculated as the difference between (b) and (a). Positive values indicate a higher propensity for igniting intense wildfires, negative values indicate a lower propensity. </w:t>
      </w:r>
      <w:r w:rsidR="65CB079E" w:rsidRPr="65CB079E">
        <w:rPr>
          <w:rFonts w:ascii="Garamond" w:hAnsi="Garamond"/>
        </w:rPr>
        <w:t>All values are summarized in Table B4.</w:t>
      </w:r>
    </w:p>
    <w:p w14:paraId="4F82B3CD" w14:textId="3C1C77AC" w:rsidR="2C7D0C34" w:rsidRDefault="2C7D0C34" w:rsidP="7E9C04BA">
      <w:pPr>
        <w:spacing w:beforeAutospacing="1" w:afterAutospacing="1" w:line="240" w:lineRule="auto"/>
        <w:jc w:val="center"/>
        <w:rPr>
          <w:rFonts w:ascii="Garamond" w:hAnsi="Garamond"/>
        </w:rPr>
      </w:pPr>
    </w:p>
    <w:p w14:paraId="06BFC786" w14:textId="1253663C" w:rsidR="2C7D0C34" w:rsidRDefault="2C7D0C34" w:rsidP="7E9C04BA">
      <w:pPr>
        <w:spacing w:beforeAutospacing="1" w:afterAutospacing="1" w:line="240" w:lineRule="auto"/>
        <w:jc w:val="center"/>
      </w:pPr>
    </w:p>
    <w:p w14:paraId="15075187" w14:textId="108D0573" w:rsidR="2C7D0C34" w:rsidRDefault="2C7D0C34" w:rsidP="7E9C04BA">
      <w:pPr>
        <w:spacing w:beforeAutospacing="1" w:afterAutospacing="1" w:line="240" w:lineRule="auto"/>
      </w:pPr>
    </w:p>
    <w:p w14:paraId="15A826FD" w14:textId="6BD5AA8A" w:rsidR="2C7D0C34" w:rsidRDefault="7E9C04BA" w:rsidP="7E9C04BA">
      <w:pPr>
        <w:spacing w:beforeAutospacing="1" w:afterAutospacing="1" w:line="240" w:lineRule="auto"/>
        <w:jc w:val="center"/>
      </w:pPr>
      <w:r>
        <w:rPr>
          <w:noProof/>
        </w:rPr>
        <w:drawing>
          <wp:inline distT="0" distB="0" distL="0" distR="0" wp14:anchorId="62BA21A3" wp14:editId="571FC75E">
            <wp:extent cx="4572000" cy="2628900"/>
            <wp:effectExtent l="0" t="0" r="0" b="0"/>
            <wp:docPr id="1349067228" name="Picture 134906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0FF6BD42" w14:textId="4FE9C2AD" w:rsidR="2C7D0C34"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(a)</w:t>
      </w:r>
    </w:p>
    <w:p w14:paraId="5BC029AA" w14:textId="3E923708" w:rsidR="2C7D0C34" w:rsidRDefault="7E9C04BA" w:rsidP="7E9C04BA">
      <w:pPr>
        <w:spacing w:beforeAutospacing="1" w:afterAutospacing="1" w:line="240" w:lineRule="auto"/>
        <w:jc w:val="center"/>
      </w:pPr>
      <w:r>
        <w:rPr>
          <w:noProof/>
        </w:rPr>
        <w:drawing>
          <wp:inline distT="0" distB="0" distL="0" distR="0" wp14:anchorId="6CBB8421" wp14:editId="4D44B5DB">
            <wp:extent cx="4572000" cy="2628900"/>
            <wp:effectExtent l="0" t="0" r="0" b="0"/>
            <wp:docPr id="708696512" name="Picture 70869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7373CF61" w14:textId="3176DDF7" w:rsidR="7E9C04BA"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(b)</w:t>
      </w:r>
    </w:p>
    <w:p w14:paraId="2FCD2DCA" w14:textId="40DE7299" w:rsidR="7E9C04BA" w:rsidRDefault="7E9C04BA" w:rsidP="7E9C04BA">
      <w:pPr>
        <w:spacing w:beforeAutospacing="1" w:afterAutospacing="1" w:line="240" w:lineRule="auto"/>
        <w:jc w:val="center"/>
      </w:pPr>
      <w:r>
        <w:rPr>
          <w:noProof/>
        </w:rPr>
        <w:lastRenderedPageBreak/>
        <w:drawing>
          <wp:inline distT="0" distB="0" distL="0" distR="0" wp14:anchorId="14E2741A" wp14:editId="1F25FB70">
            <wp:extent cx="4572000" cy="2628900"/>
            <wp:effectExtent l="0" t="0" r="0" b="0"/>
            <wp:docPr id="1782473978" name="Picture 178247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628900"/>
                    </a:xfrm>
                    <a:prstGeom prst="rect">
                      <a:avLst/>
                    </a:prstGeom>
                  </pic:spPr>
                </pic:pic>
              </a:graphicData>
            </a:graphic>
          </wp:inline>
        </w:drawing>
      </w:r>
    </w:p>
    <w:p w14:paraId="286FD16E" w14:textId="31B9E78D" w:rsidR="7E9C04BA" w:rsidRDefault="65CB079E" w:rsidP="7E9C04BA">
      <w:pPr>
        <w:spacing w:beforeAutospacing="1" w:afterAutospacing="1" w:line="240" w:lineRule="auto"/>
        <w:jc w:val="center"/>
        <w:rPr>
          <w:rFonts w:ascii="Garamond" w:eastAsia="Garamond" w:hAnsi="Garamond" w:cs="Garamond"/>
        </w:rPr>
      </w:pPr>
      <w:r w:rsidRPr="65CB079E">
        <w:rPr>
          <w:rFonts w:ascii="Garamond" w:eastAsia="Garamond" w:hAnsi="Garamond" w:cs="Garamond"/>
        </w:rPr>
        <w:t>(c)</w:t>
      </w:r>
    </w:p>
    <w:p w14:paraId="552F13B4" w14:textId="68E1A2D0" w:rsidR="2C7D0C34" w:rsidRDefault="2C7D0C34" w:rsidP="65CB079E">
      <w:pPr>
        <w:spacing w:beforeAutospacing="1" w:afterAutospacing="1" w:line="240" w:lineRule="auto"/>
        <w:jc w:val="center"/>
        <w:rPr>
          <w:rFonts w:ascii="Garamond" w:eastAsia="Garamond" w:hAnsi="Garamond" w:cs="Garamond"/>
        </w:rPr>
      </w:pPr>
    </w:p>
    <w:p w14:paraId="7902EC18" w14:textId="08D40CC9" w:rsidR="3C8177F9" w:rsidRDefault="3C8177F9" w:rsidP="65CB079E">
      <w:pPr>
        <w:spacing w:beforeAutospacing="1" w:afterAutospacing="1" w:line="240" w:lineRule="auto"/>
        <w:jc w:val="center"/>
        <w:rPr>
          <w:rFonts w:ascii="Garamond" w:hAnsi="Garamond"/>
        </w:rPr>
      </w:pPr>
      <w:r w:rsidRPr="65CB079E">
        <w:rPr>
          <w:rFonts w:ascii="Garamond" w:hAnsi="Garamond"/>
          <w:i/>
          <w:iCs/>
        </w:rPr>
        <w:t>Figure B5</w:t>
      </w:r>
      <w:r w:rsidRPr="65CB079E">
        <w:rPr>
          <w:rFonts w:ascii="Garamond" w:hAnsi="Garamond"/>
        </w:rPr>
        <w:t>. Comparison of wildfire intensity of five land cover classes in High SBS areas of the Bootleg Fire on August 5, 2021. The percent areas for evergreen, shrub, grassland/herbaceous, and two wetland (emergent herbaceous wetlands, woody wetlands) classes are shown in (a), and percent areas of these classes in high SBS areas are shown in (b). Determination of wildfire intensity is shown in (c</w:t>
      </w:r>
      <w:proofErr w:type="gramStart"/>
      <w:r w:rsidRPr="65CB079E">
        <w:rPr>
          <w:rFonts w:ascii="Garamond" w:hAnsi="Garamond"/>
        </w:rPr>
        <w:t>), and</w:t>
      </w:r>
      <w:proofErr w:type="gramEnd"/>
      <w:r w:rsidRPr="65CB079E">
        <w:rPr>
          <w:rFonts w:ascii="Garamond" w:hAnsi="Garamond"/>
        </w:rPr>
        <w:t xml:space="preserve"> is calculated as the difference between (b) and (a). Positive values indicate a higher propensity for igniting intense wildfires, negative values indicate a lower propensity. </w:t>
      </w:r>
      <w:r w:rsidR="65CB079E" w:rsidRPr="65CB079E">
        <w:rPr>
          <w:rFonts w:ascii="Garamond" w:hAnsi="Garamond"/>
        </w:rPr>
        <w:t>All values are summarized in Table B4.</w:t>
      </w:r>
    </w:p>
    <w:p w14:paraId="5227267E" w14:textId="1239159F" w:rsidR="65CB079E" w:rsidRDefault="65CB079E" w:rsidP="65CB079E">
      <w:pPr>
        <w:spacing w:beforeAutospacing="1" w:afterAutospacing="1" w:line="240" w:lineRule="auto"/>
        <w:jc w:val="center"/>
      </w:pPr>
    </w:p>
    <w:sectPr w:rsidR="65CB079E" w:rsidSect="0064280B">
      <w:headerReference w:type="default" r:id="rId55"/>
      <w:footerReference w:type="default" r:id="rId56"/>
      <w:headerReference w:type="first" r:id="rId57"/>
      <w:footerReference w:type="first" r:id="rId5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9319D" w14:textId="77777777" w:rsidR="00D7383F" w:rsidRDefault="00D7383F" w:rsidP="00242822">
      <w:pPr>
        <w:spacing w:after="0" w:line="240" w:lineRule="auto"/>
      </w:pPr>
      <w:r>
        <w:separator/>
      </w:r>
    </w:p>
  </w:endnote>
  <w:endnote w:type="continuationSeparator" w:id="0">
    <w:p w14:paraId="7E093983" w14:textId="77777777" w:rsidR="00D7383F" w:rsidRDefault="00D7383F" w:rsidP="00242822">
      <w:pPr>
        <w:spacing w:after="0" w:line="240" w:lineRule="auto"/>
      </w:pPr>
      <w:r>
        <w:continuationSeparator/>
      </w:r>
    </w:p>
  </w:endnote>
  <w:endnote w:type="continuationNotice" w:id="1">
    <w:p w14:paraId="1B01C71E" w14:textId="77777777" w:rsidR="00D7383F" w:rsidRDefault="00D738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Roboto">
    <w:charset w:val="00"/>
    <w:family w:val="auto"/>
    <w:pitch w:val="variable"/>
    <w:sig w:usb0="E00002FF" w:usb1="5000205B" w:usb2="00000020" w:usb3="00000000" w:csb0="0000019F" w:csb1="00000000"/>
  </w:font>
  <w:font w:name="Century Gothic">
    <w:altName w:val="Cambria"/>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22A4" w14:textId="77777777" w:rsidR="00D7383F" w:rsidRDefault="00D7383F" w:rsidP="00242822">
      <w:pPr>
        <w:spacing w:after="0" w:line="240" w:lineRule="auto"/>
      </w:pPr>
      <w:r>
        <w:separator/>
      </w:r>
    </w:p>
  </w:footnote>
  <w:footnote w:type="continuationSeparator" w:id="0">
    <w:p w14:paraId="253224B3" w14:textId="77777777" w:rsidR="00D7383F" w:rsidRDefault="00D7383F" w:rsidP="00242822">
      <w:pPr>
        <w:spacing w:after="0" w:line="240" w:lineRule="auto"/>
      </w:pPr>
      <w:r>
        <w:continuationSeparator/>
      </w:r>
    </w:p>
  </w:footnote>
  <w:footnote w:type="continuationNotice" w:id="1">
    <w:p w14:paraId="6CB9685E" w14:textId="77777777" w:rsidR="00D7383F" w:rsidRDefault="00D738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1576D1B8" w14:textId="211151D4" w:rsidR="000B6E68" w:rsidRPr="000B6E68" w:rsidRDefault="0077554A" w:rsidP="422C0B4F">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81AD210" w:rsidRPr="00E27AC4">
      <w:rPr>
        <w:rFonts w:ascii="Garamond" w:hAnsi="Garamond"/>
        <w:b/>
        <w:bCs/>
        <w:sz w:val="32"/>
        <w:szCs w:val="32"/>
      </w:rPr>
      <w:t>California – JPL</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int2:observations>
    <int2:textHash int2:hashCode="8p/6TxaN4w4cdq" int2:id="gSsJtU3P">
      <int2:state int2:type="LegacyProofing" int2:value="Rejected"/>
    </int2:textHash>
    <int2:textHash int2:hashCode="+02ZqjF+8k+kUl" int2:id="sxzx2Dbw">
      <int2:state int2:type="LegacyProofing" int2:value="Rejected"/>
    </int2:textHash>
    <int2:textHash int2:hashCode="M4SboG9jz1fX9Y" int2:id="u57ITlzI">
      <int2:state int2:type="LegacyProofing" int2:value="Rejected"/>
    </int2:textHash>
    <int2:textHash int2:hashCode="ICdLnYhVRj+/ju" int2:id="Z8h6FqsY">
      <int2:state int2:type="LegacyProofing" int2:value="Rejected"/>
    </int2:textHash>
    <int2:textHash int2:hashCode="361N5soJdjMQt0" int2:id="71VOWsVk">
      <int2:state int2:type="LegacyProofing" int2:value="Rejected"/>
    </int2:textHash>
    <int2:textHash int2:hashCode="Kli337DdxORBkq" int2:id="oTHvkpA6">
      <int2:state int2:type="LegacyProofing" int2:value="Rejected"/>
    </int2:textHash>
    <int2:textHash int2:hashCode="UK8JE1SDIIb2Vc" int2:id="ZjpjP9Rk">
      <int2:state int2:type="LegacyProofing" int2:value="Rejected"/>
    </int2:textHash>
    <int2:textHash int2:hashCode="0hWTBErK0JY1mK" int2:id="euFtw9zX">
      <int2:state int2:type="LegacyProofing" int2:value="Rejected"/>
    </int2:textHash>
    <int2:textHash int2:hashCode="1Kr+8nJhqui6sr" int2:id="u8f5bMtU">
      <int2:state int2:type="LegacyProofing" int2:value="Rejected"/>
    </int2:textHash>
    <int2:textHash int2:hashCode="oH2V5tQDzHTXHY" int2:id="KdagkoTg">
      <int2:state int2:type="LegacyProofing" int2:value="Rejected"/>
    </int2:textHash>
    <int2:textHash int2:hashCode="3DnKHRmnKTirzk" int2:id="tEwFsZDQ">
      <int2:state int2:type="LegacyProofing" int2:value="Rejected"/>
    </int2:textHash>
    <int2:textHash int2:hashCode="oK/DfNQzTcpdsR" int2:id="yxjCvfSP">
      <int2:state int2:type="LegacyProofing" int2:value="Rejected"/>
    </int2:textHash>
    <int2:textHash int2:hashCode="qa+j0guFrluarS" int2:id="ZYGddtO6">
      <int2:state int2:type="LegacyProofing" int2:value="Rejected"/>
    </int2:textHash>
    <int2:textHash int2:hashCode="dvFeTp9Whf3x8b" int2:id="RS6cmxaf">
      <int2:state int2:type="LegacyProofing" int2:value="Rejected"/>
    </int2:textHash>
    <int2:textHash int2:hashCode="APiD75pnRCcbQr" int2:id="Flmv7oOT">
      <int2:state int2:type="LegacyProofing" int2:value="Rejected"/>
    </int2:textHash>
    <int2:textHash int2:hashCode="x3ThKm8SGKnkFg" int2:id="pl2cgw8G">
      <int2:state int2:type="LegacyProofing" int2:value="Rejected"/>
    </int2:textHash>
    <int2:textHash int2:hashCode="ES3fNqh51pQhSX" int2:id="0HF5tWLH">
      <int2:state int2:type="LegacyProofing" int2:value="Rejected"/>
    </int2:textHash>
    <int2:textHash int2:hashCode="0IuvAbhq6sgMMe" int2:id="tKRhwmIG">
      <int2:state int2:type="LegacyProofing" int2:value="Rejected"/>
    </int2:textHash>
    <int2:textHash int2:hashCode="SOVj8UjcBNizHJ" int2:id="nsPiRpu2">
      <int2:state int2:type="LegacyProofing" int2:value="Rejected"/>
    </int2:textHash>
    <int2:textHash int2:hashCode="pn7QiZ1gz+wT8x" int2:id="Tz3h8z5b">
      <int2:state int2:type="LegacyProofing" int2:value="Rejected"/>
    </int2:textHash>
    <int2:textHash int2:hashCode="bRs7OFUNs94gjZ" int2:id="nP4yk9TI">
      <int2:state int2:type="LegacyProofing" int2:value="Rejected"/>
    </int2:textHash>
    <int2:textHash int2:hashCode="leaF9mSR+NJKhR" int2:id="Yn6LlPcU">
      <int2:state int2:type="LegacyProofing" int2:value="Rejected"/>
    </int2:textHash>
    <int2:textHash int2:hashCode="MWMbLrbkJuQ4wb" int2:id="HRiKBYYJ">
      <int2:state int2:type="LegacyProofing" int2:value="Rejected"/>
    </int2:textHash>
    <int2:textHash int2:hashCode="9iURye4EfC/eLU" int2:id="rZ0qoLGn">
      <int2:state int2:type="LegacyProofing" int2:value="Rejected"/>
    </int2:textHash>
    <int2:textHash int2:hashCode="6z2SsN7dpHbU8I" int2:id="zkdJYvsP">
      <int2:state int2:type="LegacyProofing" int2:value="Rejected"/>
    </int2:textHash>
    <int2:bookmark int2:bookmarkName="_Int_OkUMCtWE" int2:invalidationBookmarkName="" int2:hashCode="oxXe4L0i9FJl9n" int2:id="BoMbTXF6">
      <int2:state int2:type="LegacyProofing" int2:value="Rejected"/>
    </int2:bookmark>
    <int2:bookmark int2:bookmarkName="_Int_ZzBmmtI0" int2:invalidationBookmarkName="" int2:hashCode="/fZ4C0iDSvtPvt" int2:id="gBervmX6">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C73"/>
    <w:multiLevelType w:val="hybridMultilevel"/>
    <w:tmpl w:val="11A41D6E"/>
    <w:lvl w:ilvl="0" w:tplc="66CC3B42">
      <w:start w:val="1"/>
      <w:numFmt w:val="bullet"/>
      <w:lvlText w:val="●"/>
      <w:lvlJc w:val="left"/>
      <w:pPr>
        <w:ind w:left="720" w:hanging="360"/>
      </w:pPr>
      <w:rPr>
        <w:rFonts w:ascii="Symbol" w:hAnsi="Symbol" w:hint="default"/>
      </w:rPr>
    </w:lvl>
    <w:lvl w:ilvl="1" w:tplc="D354D6E4">
      <w:start w:val="1"/>
      <w:numFmt w:val="bullet"/>
      <w:lvlText w:val="o"/>
      <w:lvlJc w:val="left"/>
      <w:pPr>
        <w:ind w:left="1440" w:hanging="360"/>
      </w:pPr>
      <w:rPr>
        <w:rFonts w:ascii="Courier New" w:hAnsi="Courier New" w:hint="default"/>
      </w:rPr>
    </w:lvl>
    <w:lvl w:ilvl="2" w:tplc="6D303A74">
      <w:start w:val="1"/>
      <w:numFmt w:val="bullet"/>
      <w:lvlText w:val=""/>
      <w:lvlJc w:val="left"/>
      <w:pPr>
        <w:ind w:left="2160" w:hanging="360"/>
      </w:pPr>
      <w:rPr>
        <w:rFonts w:ascii="Wingdings" w:hAnsi="Wingdings" w:hint="default"/>
      </w:rPr>
    </w:lvl>
    <w:lvl w:ilvl="3" w:tplc="BE960B20">
      <w:start w:val="1"/>
      <w:numFmt w:val="bullet"/>
      <w:lvlText w:val=""/>
      <w:lvlJc w:val="left"/>
      <w:pPr>
        <w:ind w:left="2880" w:hanging="360"/>
      </w:pPr>
      <w:rPr>
        <w:rFonts w:ascii="Symbol" w:hAnsi="Symbol" w:hint="default"/>
      </w:rPr>
    </w:lvl>
    <w:lvl w:ilvl="4" w:tplc="2E54C156">
      <w:start w:val="1"/>
      <w:numFmt w:val="bullet"/>
      <w:lvlText w:val="o"/>
      <w:lvlJc w:val="left"/>
      <w:pPr>
        <w:ind w:left="3600" w:hanging="360"/>
      </w:pPr>
      <w:rPr>
        <w:rFonts w:ascii="Courier New" w:hAnsi="Courier New" w:hint="default"/>
      </w:rPr>
    </w:lvl>
    <w:lvl w:ilvl="5" w:tplc="B8288B60">
      <w:start w:val="1"/>
      <w:numFmt w:val="bullet"/>
      <w:lvlText w:val=""/>
      <w:lvlJc w:val="left"/>
      <w:pPr>
        <w:ind w:left="4320" w:hanging="360"/>
      </w:pPr>
      <w:rPr>
        <w:rFonts w:ascii="Wingdings" w:hAnsi="Wingdings" w:hint="default"/>
      </w:rPr>
    </w:lvl>
    <w:lvl w:ilvl="6" w:tplc="8AEE5EFE">
      <w:start w:val="1"/>
      <w:numFmt w:val="bullet"/>
      <w:lvlText w:val=""/>
      <w:lvlJc w:val="left"/>
      <w:pPr>
        <w:ind w:left="5040" w:hanging="360"/>
      </w:pPr>
      <w:rPr>
        <w:rFonts w:ascii="Symbol" w:hAnsi="Symbol" w:hint="default"/>
      </w:rPr>
    </w:lvl>
    <w:lvl w:ilvl="7" w:tplc="AE9C4938">
      <w:start w:val="1"/>
      <w:numFmt w:val="bullet"/>
      <w:lvlText w:val="o"/>
      <w:lvlJc w:val="left"/>
      <w:pPr>
        <w:ind w:left="5760" w:hanging="360"/>
      </w:pPr>
      <w:rPr>
        <w:rFonts w:ascii="Courier New" w:hAnsi="Courier New" w:hint="default"/>
      </w:rPr>
    </w:lvl>
    <w:lvl w:ilvl="8" w:tplc="7B829324">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10F0CEED"/>
    <w:multiLevelType w:val="hybridMultilevel"/>
    <w:tmpl w:val="588EA1E0"/>
    <w:lvl w:ilvl="0" w:tplc="7B4A410C">
      <w:start w:val="1"/>
      <w:numFmt w:val="bullet"/>
      <w:lvlText w:val=""/>
      <w:lvlJc w:val="left"/>
      <w:pPr>
        <w:ind w:left="720" w:hanging="360"/>
      </w:pPr>
      <w:rPr>
        <w:rFonts w:ascii="Symbol" w:hAnsi="Symbol" w:hint="default"/>
      </w:rPr>
    </w:lvl>
    <w:lvl w:ilvl="1" w:tplc="E0BE9CB6">
      <w:start w:val="1"/>
      <w:numFmt w:val="bullet"/>
      <w:lvlText w:val="o"/>
      <w:lvlJc w:val="left"/>
      <w:pPr>
        <w:ind w:left="1440" w:hanging="360"/>
      </w:pPr>
      <w:rPr>
        <w:rFonts w:ascii="Courier New" w:hAnsi="Courier New" w:hint="default"/>
      </w:rPr>
    </w:lvl>
    <w:lvl w:ilvl="2" w:tplc="7F5C5770">
      <w:start w:val="1"/>
      <w:numFmt w:val="bullet"/>
      <w:lvlText w:val=""/>
      <w:lvlJc w:val="left"/>
      <w:pPr>
        <w:ind w:left="2160" w:hanging="360"/>
      </w:pPr>
      <w:rPr>
        <w:rFonts w:ascii="Wingdings" w:hAnsi="Wingdings" w:hint="default"/>
      </w:rPr>
    </w:lvl>
    <w:lvl w:ilvl="3" w:tplc="BA1081F4">
      <w:start w:val="1"/>
      <w:numFmt w:val="bullet"/>
      <w:lvlText w:val=""/>
      <w:lvlJc w:val="left"/>
      <w:pPr>
        <w:ind w:left="2880" w:hanging="360"/>
      </w:pPr>
      <w:rPr>
        <w:rFonts w:ascii="Symbol" w:hAnsi="Symbol" w:hint="default"/>
      </w:rPr>
    </w:lvl>
    <w:lvl w:ilvl="4" w:tplc="FADC5FA4">
      <w:start w:val="1"/>
      <w:numFmt w:val="bullet"/>
      <w:lvlText w:val="o"/>
      <w:lvlJc w:val="left"/>
      <w:pPr>
        <w:ind w:left="3600" w:hanging="360"/>
      </w:pPr>
      <w:rPr>
        <w:rFonts w:ascii="Courier New" w:hAnsi="Courier New" w:hint="default"/>
      </w:rPr>
    </w:lvl>
    <w:lvl w:ilvl="5" w:tplc="A3FC8284">
      <w:start w:val="1"/>
      <w:numFmt w:val="bullet"/>
      <w:lvlText w:val=""/>
      <w:lvlJc w:val="left"/>
      <w:pPr>
        <w:ind w:left="4320" w:hanging="360"/>
      </w:pPr>
      <w:rPr>
        <w:rFonts w:ascii="Wingdings" w:hAnsi="Wingdings" w:hint="default"/>
      </w:rPr>
    </w:lvl>
    <w:lvl w:ilvl="6" w:tplc="73645558">
      <w:start w:val="1"/>
      <w:numFmt w:val="bullet"/>
      <w:lvlText w:val=""/>
      <w:lvlJc w:val="left"/>
      <w:pPr>
        <w:ind w:left="5040" w:hanging="360"/>
      </w:pPr>
      <w:rPr>
        <w:rFonts w:ascii="Symbol" w:hAnsi="Symbol" w:hint="default"/>
      </w:rPr>
    </w:lvl>
    <w:lvl w:ilvl="7" w:tplc="62BE982C">
      <w:start w:val="1"/>
      <w:numFmt w:val="bullet"/>
      <w:lvlText w:val="o"/>
      <w:lvlJc w:val="left"/>
      <w:pPr>
        <w:ind w:left="5760" w:hanging="360"/>
      </w:pPr>
      <w:rPr>
        <w:rFonts w:ascii="Courier New" w:hAnsi="Courier New" w:hint="default"/>
      </w:rPr>
    </w:lvl>
    <w:lvl w:ilvl="8" w:tplc="48008EC4">
      <w:start w:val="1"/>
      <w:numFmt w:val="bullet"/>
      <w:lvlText w:val=""/>
      <w:lvlJc w:val="left"/>
      <w:pPr>
        <w:ind w:left="6480" w:hanging="360"/>
      </w:pPr>
      <w:rPr>
        <w:rFonts w:ascii="Wingdings" w:hAnsi="Wingdings" w:hint="default"/>
      </w:rPr>
    </w:lvl>
  </w:abstractNum>
  <w:abstractNum w:abstractNumId="5" w15:restartNumberingAfterBreak="0">
    <w:nsid w:val="11A126E5"/>
    <w:multiLevelType w:val="hybridMultilevel"/>
    <w:tmpl w:val="5F84AF14"/>
    <w:lvl w:ilvl="0" w:tplc="3BF23986">
      <w:start w:val="1"/>
      <w:numFmt w:val="bullet"/>
      <w:lvlText w:val=""/>
      <w:lvlJc w:val="left"/>
      <w:pPr>
        <w:ind w:left="720" w:hanging="360"/>
      </w:pPr>
      <w:rPr>
        <w:rFonts w:ascii="Symbol" w:hAnsi="Symbol" w:hint="default"/>
      </w:rPr>
    </w:lvl>
    <w:lvl w:ilvl="1" w:tplc="208ADA16">
      <w:start w:val="1"/>
      <w:numFmt w:val="bullet"/>
      <w:lvlText w:val="o"/>
      <w:lvlJc w:val="left"/>
      <w:pPr>
        <w:ind w:left="1440" w:hanging="360"/>
      </w:pPr>
      <w:rPr>
        <w:rFonts w:ascii="Courier New" w:hAnsi="Courier New" w:hint="default"/>
      </w:rPr>
    </w:lvl>
    <w:lvl w:ilvl="2" w:tplc="1A5EF5D4">
      <w:start w:val="1"/>
      <w:numFmt w:val="bullet"/>
      <w:lvlText w:val=""/>
      <w:lvlJc w:val="left"/>
      <w:pPr>
        <w:ind w:left="2160" w:hanging="360"/>
      </w:pPr>
      <w:rPr>
        <w:rFonts w:ascii="Wingdings" w:hAnsi="Wingdings" w:hint="default"/>
      </w:rPr>
    </w:lvl>
    <w:lvl w:ilvl="3" w:tplc="8AAA05AE">
      <w:start w:val="1"/>
      <w:numFmt w:val="bullet"/>
      <w:lvlText w:val=""/>
      <w:lvlJc w:val="left"/>
      <w:pPr>
        <w:ind w:left="2880" w:hanging="360"/>
      </w:pPr>
      <w:rPr>
        <w:rFonts w:ascii="Symbol" w:hAnsi="Symbol" w:hint="default"/>
      </w:rPr>
    </w:lvl>
    <w:lvl w:ilvl="4" w:tplc="45703F06">
      <w:start w:val="1"/>
      <w:numFmt w:val="bullet"/>
      <w:lvlText w:val="o"/>
      <w:lvlJc w:val="left"/>
      <w:pPr>
        <w:ind w:left="3600" w:hanging="360"/>
      </w:pPr>
      <w:rPr>
        <w:rFonts w:ascii="Courier New" w:hAnsi="Courier New" w:hint="default"/>
      </w:rPr>
    </w:lvl>
    <w:lvl w:ilvl="5" w:tplc="59E4DFDE">
      <w:start w:val="1"/>
      <w:numFmt w:val="bullet"/>
      <w:lvlText w:val=""/>
      <w:lvlJc w:val="left"/>
      <w:pPr>
        <w:ind w:left="4320" w:hanging="360"/>
      </w:pPr>
      <w:rPr>
        <w:rFonts w:ascii="Wingdings" w:hAnsi="Wingdings" w:hint="default"/>
      </w:rPr>
    </w:lvl>
    <w:lvl w:ilvl="6" w:tplc="D0447C30">
      <w:start w:val="1"/>
      <w:numFmt w:val="bullet"/>
      <w:lvlText w:val=""/>
      <w:lvlJc w:val="left"/>
      <w:pPr>
        <w:ind w:left="5040" w:hanging="360"/>
      </w:pPr>
      <w:rPr>
        <w:rFonts w:ascii="Symbol" w:hAnsi="Symbol" w:hint="default"/>
      </w:rPr>
    </w:lvl>
    <w:lvl w:ilvl="7" w:tplc="B896CCFC">
      <w:start w:val="1"/>
      <w:numFmt w:val="bullet"/>
      <w:lvlText w:val="o"/>
      <w:lvlJc w:val="left"/>
      <w:pPr>
        <w:ind w:left="5760" w:hanging="360"/>
      </w:pPr>
      <w:rPr>
        <w:rFonts w:ascii="Courier New" w:hAnsi="Courier New" w:hint="default"/>
      </w:rPr>
    </w:lvl>
    <w:lvl w:ilvl="8" w:tplc="6A3E4396">
      <w:start w:val="1"/>
      <w:numFmt w:val="bullet"/>
      <w:lvlText w:val=""/>
      <w:lvlJc w:val="left"/>
      <w:pPr>
        <w:ind w:left="6480" w:hanging="360"/>
      </w:pPr>
      <w:rPr>
        <w:rFonts w:ascii="Wingdings" w:hAnsi="Wingdings" w:hint="default"/>
      </w:rPr>
    </w:lvl>
  </w:abstractNum>
  <w:abstractNum w:abstractNumId="6" w15:restartNumberingAfterBreak="0">
    <w:nsid w:val="1DC1662D"/>
    <w:multiLevelType w:val="hybridMultilevel"/>
    <w:tmpl w:val="6396FF38"/>
    <w:lvl w:ilvl="0" w:tplc="D0DE805A">
      <w:start w:val="1"/>
      <w:numFmt w:val="bullet"/>
      <w:lvlText w:val=""/>
      <w:lvlJc w:val="left"/>
      <w:pPr>
        <w:ind w:left="720" w:hanging="360"/>
      </w:pPr>
      <w:rPr>
        <w:rFonts w:ascii="Symbol" w:hAnsi="Symbol" w:hint="default"/>
      </w:rPr>
    </w:lvl>
    <w:lvl w:ilvl="1" w:tplc="843684C2">
      <w:start w:val="1"/>
      <w:numFmt w:val="bullet"/>
      <w:lvlText w:val="o"/>
      <w:lvlJc w:val="left"/>
      <w:pPr>
        <w:ind w:left="1440" w:hanging="360"/>
      </w:pPr>
      <w:rPr>
        <w:rFonts w:ascii="Courier New" w:hAnsi="Courier New" w:hint="default"/>
      </w:rPr>
    </w:lvl>
    <w:lvl w:ilvl="2" w:tplc="6D1A01AE">
      <w:start w:val="1"/>
      <w:numFmt w:val="bullet"/>
      <w:lvlText w:val=""/>
      <w:lvlJc w:val="left"/>
      <w:pPr>
        <w:ind w:left="2160" w:hanging="360"/>
      </w:pPr>
      <w:rPr>
        <w:rFonts w:ascii="Wingdings" w:hAnsi="Wingdings" w:hint="default"/>
      </w:rPr>
    </w:lvl>
    <w:lvl w:ilvl="3" w:tplc="D4041374">
      <w:start w:val="1"/>
      <w:numFmt w:val="bullet"/>
      <w:lvlText w:val=""/>
      <w:lvlJc w:val="left"/>
      <w:pPr>
        <w:ind w:left="2880" w:hanging="360"/>
      </w:pPr>
      <w:rPr>
        <w:rFonts w:ascii="Symbol" w:hAnsi="Symbol" w:hint="default"/>
      </w:rPr>
    </w:lvl>
    <w:lvl w:ilvl="4" w:tplc="B712C276">
      <w:start w:val="1"/>
      <w:numFmt w:val="bullet"/>
      <w:lvlText w:val="o"/>
      <w:lvlJc w:val="left"/>
      <w:pPr>
        <w:ind w:left="3600" w:hanging="360"/>
      </w:pPr>
      <w:rPr>
        <w:rFonts w:ascii="Courier New" w:hAnsi="Courier New" w:hint="default"/>
      </w:rPr>
    </w:lvl>
    <w:lvl w:ilvl="5" w:tplc="99D4CA4E">
      <w:start w:val="1"/>
      <w:numFmt w:val="bullet"/>
      <w:lvlText w:val=""/>
      <w:lvlJc w:val="left"/>
      <w:pPr>
        <w:ind w:left="4320" w:hanging="360"/>
      </w:pPr>
      <w:rPr>
        <w:rFonts w:ascii="Wingdings" w:hAnsi="Wingdings" w:hint="default"/>
      </w:rPr>
    </w:lvl>
    <w:lvl w:ilvl="6" w:tplc="C7687086">
      <w:start w:val="1"/>
      <w:numFmt w:val="bullet"/>
      <w:lvlText w:val=""/>
      <w:lvlJc w:val="left"/>
      <w:pPr>
        <w:ind w:left="5040" w:hanging="360"/>
      </w:pPr>
      <w:rPr>
        <w:rFonts w:ascii="Symbol" w:hAnsi="Symbol" w:hint="default"/>
      </w:rPr>
    </w:lvl>
    <w:lvl w:ilvl="7" w:tplc="1EDEB594">
      <w:start w:val="1"/>
      <w:numFmt w:val="bullet"/>
      <w:lvlText w:val="o"/>
      <w:lvlJc w:val="left"/>
      <w:pPr>
        <w:ind w:left="5760" w:hanging="360"/>
      </w:pPr>
      <w:rPr>
        <w:rFonts w:ascii="Courier New" w:hAnsi="Courier New" w:hint="default"/>
      </w:rPr>
    </w:lvl>
    <w:lvl w:ilvl="8" w:tplc="64B6F250">
      <w:start w:val="1"/>
      <w:numFmt w:val="bullet"/>
      <w:lvlText w:val=""/>
      <w:lvlJc w:val="left"/>
      <w:pPr>
        <w:ind w:left="6480" w:hanging="360"/>
      </w:pPr>
      <w:rPr>
        <w:rFonts w:ascii="Wingdings" w:hAnsi="Wingdings" w:hint="default"/>
      </w:rPr>
    </w:lvl>
  </w:abstractNum>
  <w:abstractNum w:abstractNumId="7"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8" w15:restartNumberingAfterBreak="0">
    <w:nsid w:val="2694CD88"/>
    <w:multiLevelType w:val="hybridMultilevel"/>
    <w:tmpl w:val="263C3144"/>
    <w:lvl w:ilvl="0" w:tplc="5484A212">
      <w:start w:val="1"/>
      <w:numFmt w:val="bullet"/>
      <w:lvlText w:val=""/>
      <w:lvlJc w:val="left"/>
      <w:pPr>
        <w:ind w:left="720" w:hanging="360"/>
      </w:pPr>
      <w:rPr>
        <w:rFonts w:ascii="Symbol" w:hAnsi="Symbol" w:hint="default"/>
      </w:rPr>
    </w:lvl>
    <w:lvl w:ilvl="1" w:tplc="114AB0D0">
      <w:start w:val="1"/>
      <w:numFmt w:val="bullet"/>
      <w:lvlText w:val="o"/>
      <w:lvlJc w:val="left"/>
      <w:pPr>
        <w:ind w:left="1440" w:hanging="360"/>
      </w:pPr>
      <w:rPr>
        <w:rFonts w:ascii="Courier New" w:hAnsi="Courier New" w:hint="default"/>
      </w:rPr>
    </w:lvl>
    <w:lvl w:ilvl="2" w:tplc="BDCCB5E2">
      <w:start w:val="1"/>
      <w:numFmt w:val="bullet"/>
      <w:lvlText w:val=""/>
      <w:lvlJc w:val="left"/>
      <w:pPr>
        <w:ind w:left="2160" w:hanging="360"/>
      </w:pPr>
      <w:rPr>
        <w:rFonts w:ascii="Wingdings" w:hAnsi="Wingdings" w:hint="default"/>
      </w:rPr>
    </w:lvl>
    <w:lvl w:ilvl="3" w:tplc="1D746D16">
      <w:start w:val="1"/>
      <w:numFmt w:val="bullet"/>
      <w:lvlText w:val=""/>
      <w:lvlJc w:val="left"/>
      <w:pPr>
        <w:ind w:left="2880" w:hanging="360"/>
      </w:pPr>
      <w:rPr>
        <w:rFonts w:ascii="Symbol" w:hAnsi="Symbol" w:hint="default"/>
      </w:rPr>
    </w:lvl>
    <w:lvl w:ilvl="4" w:tplc="69E04304">
      <w:start w:val="1"/>
      <w:numFmt w:val="bullet"/>
      <w:lvlText w:val="o"/>
      <w:lvlJc w:val="left"/>
      <w:pPr>
        <w:ind w:left="3600" w:hanging="360"/>
      </w:pPr>
      <w:rPr>
        <w:rFonts w:ascii="Courier New" w:hAnsi="Courier New" w:hint="default"/>
      </w:rPr>
    </w:lvl>
    <w:lvl w:ilvl="5" w:tplc="54EA0254">
      <w:start w:val="1"/>
      <w:numFmt w:val="bullet"/>
      <w:lvlText w:val=""/>
      <w:lvlJc w:val="left"/>
      <w:pPr>
        <w:ind w:left="4320" w:hanging="360"/>
      </w:pPr>
      <w:rPr>
        <w:rFonts w:ascii="Wingdings" w:hAnsi="Wingdings" w:hint="default"/>
      </w:rPr>
    </w:lvl>
    <w:lvl w:ilvl="6" w:tplc="CEAE8B3C">
      <w:start w:val="1"/>
      <w:numFmt w:val="bullet"/>
      <w:lvlText w:val=""/>
      <w:lvlJc w:val="left"/>
      <w:pPr>
        <w:ind w:left="5040" w:hanging="360"/>
      </w:pPr>
      <w:rPr>
        <w:rFonts w:ascii="Symbol" w:hAnsi="Symbol" w:hint="default"/>
      </w:rPr>
    </w:lvl>
    <w:lvl w:ilvl="7" w:tplc="FE048DE0">
      <w:start w:val="1"/>
      <w:numFmt w:val="bullet"/>
      <w:lvlText w:val="o"/>
      <w:lvlJc w:val="left"/>
      <w:pPr>
        <w:ind w:left="5760" w:hanging="360"/>
      </w:pPr>
      <w:rPr>
        <w:rFonts w:ascii="Courier New" w:hAnsi="Courier New" w:hint="default"/>
      </w:rPr>
    </w:lvl>
    <w:lvl w:ilvl="8" w:tplc="7092F9FE">
      <w:start w:val="1"/>
      <w:numFmt w:val="bullet"/>
      <w:lvlText w:val=""/>
      <w:lvlJc w:val="left"/>
      <w:pPr>
        <w:ind w:left="6480" w:hanging="360"/>
      </w:pPr>
      <w:rPr>
        <w:rFonts w:ascii="Wingdings" w:hAnsi="Wingdings" w:hint="default"/>
      </w:rPr>
    </w:lvl>
  </w:abstractNum>
  <w:abstractNum w:abstractNumId="9" w15:restartNumberingAfterBreak="0">
    <w:nsid w:val="290D1EF7"/>
    <w:multiLevelType w:val="hybridMultilevel"/>
    <w:tmpl w:val="72A456EC"/>
    <w:lvl w:ilvl="0" w:tplc="1DF830F2">
      <w:start w:val="1"/>
      <w:numFmt w:val="bullet"/>
      <w:lvlText w:val="●"/>
      <w:lvlJc w:val="left"/>
      <w:pPr>
        <w:ind w:left="720" w:hanging="360"/>
      </w:pPr>
      <w:rPr>
        <w:rFonts w:ascii="Symbol" w:hAnsi="Symbol" w:hint="default"/>
      </w:rPr>
    </w:lvl>
    <w:lvl w:ilvl="1" w:tplc="2758B2FE">
      <w:start w:val="1"/>
      <w:numFmt w:val="bullet"/>
      <w:lvlText w:val="o"/>
      <w:lvlJc w:val="left"/>
      <w:pPr>
        <w:ind w:left="1440" w:hanging="360"/>
      </w:pPr>
      <w:rPr>
        <w:rFonts w:ascii="Courier New" w:hAnsi="Courier New" w:hint="default"/>
      </w:rPr>
    </w:lvl>
    <w:lvl w:ilvl="2" w:tplc="497A439E">
      <w:start w:val="1"/>
      <w:numFmt w:val="bullet"/>
      <w:lvlText w:val=""/>
      <w:lvlJc w:val="left"/>
      <w:pPr>
        <w:ind w:left="2160" w:hanging="360"/>
      </w:pPr>
      <w:rPr>
        <w:rFonts w:ascii="Wingdings" w:hAnsi="Wingdings" w:hint="default"/>
      </w:rPr>
    </w:lvl>
    <w:lvl w:ilvl="3" w:tplc="52D4036A">
      <w:start w:val="1"/>
      <w:numFmt w:val="bullet"/>
      <w:lvlText w:val=""/>
      <w:lvlJc w:val="left"/>
      <w:pPr>
        <w:ind w:left="2880" w:hanging="360"/>
      </w:pPr>
      <w:rPr>
        <w:rFonts w:ascii="Symbol" w:hAnsi="Symbol" w:hint="default"/>
      </w:rPr>
    </w:lvl>
    <w:lvl w:ilvl="4" w:tplc="4976B26E">
      <w:start w:val="1"/>
      <w:numFmt w:val="bullet"/>
      <w:lvlText w:val="o"/>
      <w:lvlJc w:val="left"/>
      <w:pPr>
        <w:ind w:left="3600" w:hanging="360"/>
      </w:pPr>
      <w:rPr>
        <w:rFonts w:ascii="Courier New" w:hAnsi="Courier New" w:hint="default"/>
      </w:rPr>
    </w:lvl>
    <w:lvl w:ilvl="5" w:tplc="BEF695D8">
      <w:start w:val="1"/>
      <w:numFmt w:val="bullet"/>
      <w:lvlText w:val=""/>
      <w:lvlJc w:val="left"/>
      <w:pPr>
        <w:ind w:left="4320" w:hanging="360"/>
      </w:pPr>
      <w:rPr>
        <w:rFonts w:ascii="Wingdings" w:hAnsi="Wingdings" w:hint="default"/>
      </w:rPr>
    </w:lvl>
    <w:lvl w:ilvl="6" w:tplc="240EA8C4">
      <w:start w:val="1"/>
      <w:numFmt w:val="bullet"/>
      <w:lvlText w:val=""/>
      <w:lvlJc w:val="left"/>
      <w:pPr>
        <w:ind w:left="5040" w:hanging="360"/>
      </w:pPr>
      <w:rPr>
        <w:rFonts w:ascii="Symbol" w:hAnsi="Symbol" w:hint="default"/>
      </w:rPr>
    </w:lvl>
    <w:lvl w:ilvl="7" w:tplc="D884BE48">
      <w:start w:val="1"/>
      <w:numFmt w:val="bullet"/>
      <w:lvlText w:val="o"/>
      <w:lvlJc w:val="left"/>
      <w:pPr>
        <w:ind w:left="5760" w:hanging="360"/>
      </w:pPr>
      <w:rPr>
        <w:rFonts w:ascii="Courier New" w:hAnsi="Courier New" w:hint="default"/>
      </w:rPr>
    </w:lvl>
    <w:lvl w:ilvl="8" w:tplc="5FFA7476">
      <w:start w:val="1"/>
      <w:numFmt w:val="bullet"/>
      <w:lvlText w:val=""/>
      <w:lvlJc w:val="left"/>
      <w:pPr>
        <w:ind w:left="6480" w:hanging="360"/>
      </w:pPr>
      <w:rPr>
        <w:rFonts w:ascii="Wingdings" w:hAnsi="Wingdings" w:hint="default"/>
      </w:rPr>
    </w:lvl>
  </w:abstractNum>
  <w:abstractNum w:abstractNumId="10"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1" w15:restartNumberingAfterBreak="0">
    <w:nsid w:val="38043E97"/>
    <w:multiLevelType w:val="hybridMultilevel"/>
    <w:tmpl w:val="45E85010"/>
    <w:lvl w:ilvl="0" w:tplc="0D7CB950">
      <w:start w:val="1"/>
      <w:numFmt w:val="upperLetter"/>
      <w:lvlText w:val="%1."/>
      <w:lvlJc w:val="left"/>
      <w:pPr>
        <w:ind w:left="720" w:hanging="360"/>
      </w:pPr>
    </w:lvl>
    <w:lvl w:ilvl="1" w:tplc="E1DA22CE">
      <w:start w:val="1"/>
      <w:numFmt w:val="lowerLetter"/>
      <w:lvlText w:val="%2."/>
      <w:lvlJc w:val="left"/>
      <w:pPr>
        <w:ind w:left="1440" w:hanging="360"/>
      </w:pPr>
    </w:lvl>
    <w:lvl w:ilvl="2" w:tplc="8DEC314C">
      <w:start w:val="1"/>
      <w:numFmt w:val="lowerRoman"/>
      <w:lvlText w:val="%3."/>
      <w:lvlJc w:val="right"/>
      <w:pPr>
        <w:ind w:left="2160" w:hanging="180"/>
      </w:pPr>
    </w:lvl>
    <w:lvl w:ilvl="3" w:tplc="9152895E">
      <w:start w:val="1"/>
      <w:numFmt w:val="decimal"/>
      <w:lvlText w:val="%4."/>
      <w:lvlJc w:val="left"/>
      <w:pPr>
        <w:ind w:left="2880" w:hanging="360"/>
      </w:pPr>
    </w:lvl>
    <w:lvl w:ilvl="4" w:tplc="6D9EBA22">
      <w:start w:val="1"/>
      <w:numFmt w:val="lowerLetter"/>
      <w:lvlText w:val="%5."/>
      <w:lvlJc w:val="left"/>
      <w:pPr>
        <w:ind w:left="3600" w:hanging="360"/>
      </w:pPr>
    </w:lvl>
    <w:lvl w:ilvl="5" w:tplc="1C94B6DA">
      <w:start w:val="1"/>
      <w:numFmt w:val="lowerRoman"/>
      <w:lvlText w:val="%6."/>
      <w:lvlJc w:val="right"/>
      <w:pPr>
        <w:ind w:left="4320" w:hanging="180"/>
      </w:pPr>
    </w:lvl>
    <w:lvl w:ilvl="6" w:tplc="5D563B02">
      <w:start w:val="1"/>
      <w:numFmt w:val="decimal"/>
      <w:lvlText w:val="%7."/>
      <w:lvlJc w:val="left"/>
      <w:pPr>
        <w:ind w:left="5040" w:hanging="360"/>
      </w:pPr>
    </w:lvl>
    <w:lvl w:ilvl="7" w:tplc="09D0E9F8">
      <w:start w:val="1"/>
      <w:numFmt w:val="lowerLetter"/>
      <w:lvlText w:val="%8."/>
      <w:lvlJc w:val="left"/>
      <w:pPr>
        <w:ind w:left="5760" w:hanging="360"/>
      </w:pPr>
    </w:lvl>
    <w:lvl w:ilvl="8" w:tplc="7B922FA4">
      <w:start w:val="1"/>
      <w:numFmt w:val="lowerRoman"/>
      <w:lvlText w:val="%9."/>
      <w:lvlJc w:val="right"/>
      <w:pPr>
        <w:ind w:left="6480" w:hanging="180"/>
      </w:pPr>
    </w:lvl>
  </w:abstractNum>
  <w:abstractNum w:abstractNumId="12"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3"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4" w15:restartNumberingAfterBreak="0">
    <w:nsid w:val="3EE21361"/>
    <w:multiLevelType w:val="multilevel"/>
    <w:tmpl w:val="2F64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6ACD20"/>
    <w:multiLevelType w:val="hybridMultilevel"/>
    <w:tmpl w:val="A8D0BAE8"/>
    <w:lvl w:ilvl="0" w:tplc="EBCEEDFC">
      <w:start w:val="1"/>
      <w:numFmt w:val="bullet"/>
      <w:lvlText w:val=""/>
      <w:lvlJc w:val="left"/>
      <w:pPr>
        <w:ind w:left="720" w:hanging="360"/>
      </w:pPr>
      <w:rPr>
        <w:rFonts w:ascii="Symbol" w:hAnsi="Symbol" w:hint="default"/>
      </w:rPr>
    </w:lvl>
    <w:lvl w:ilvl="1" w:tplc="5A6A1750">
      <w:start w:val="1"/>
      <w:numFmt w:val="bullet"/>
      <w:lvlText w:val="o"/>
      <w:lvlJc w:val="left"/>
      <w:pPr>
        <w:ind w:left="1440" w:hanging="360"/>
      </w:pPr>
      <w:rPr>
        <w:rFonts w:ascii="Courier New" w:hAnsi="Courier New" w:hint="default"/>
      </w:rPr>
    </w:lvl>
    <w:lvl w:ilvl="2" w:tplc="D2CA4B82">
      <w:start w:val="1"/>
      <w:numFmt w:val="bullet"/>
      <w:lvlText w:val=""/>
      <w:lvlJc w:val="left"/>
      <w:pPr>
        <w:ind w:left="2160" w:hanging="360"/>
      </w:pPr>
      <w:rPr>
        <w:rFonts w:ascii="Wingdings" w:hAnsi="Wingdings" w:hint="default"/>
      </w:rPr>
    </w:lvl>
    <w:lvl w:ilvl="3" w:tplc="1CD446BC">
      <w:start w:val="1"/>
      <w:numFmt w:val="bullet"/>
      <w:lvlText w:val=""/>
      <w:lvlJc w:val="left"/>
      <w:pPr>
        <w:ind w:left="2880" w:hanging="360"/>
      </w:pPr>
      <w:rPr>
        <w:rFonts w:ascii="Symbol" w:hAnsi="Symbol" w:hint="default"/>
      </w:rPr>
    </w:lvl>
    <w:lvl w:ilvl="4" w:tplc="F74E1ED4">
      <w:start w:val="1"/>
      <w:numFmt w:val="bullet"/>
      <w:lvlText w:val="o"/>
      <w:lvlJc w:val="left"/>
      <w:pPr>
        <w:ind w:left="3600" w:hanging="360"/>
      </w:pPr>
      <w:rPr>
        <w:rFonts w:ascii="Courier New" w:hAnsi="Courier New" w:hint="default"/>
      </w:rPr>
    </w:lvl>
    <w:lvl w:ilvl="5" w:tplc="2ACC2F18">
      <w:start w:val="1"/>
      <w:numFmt w:val="bullet"/>
      <w:lvlText w:val=""/>
      <w:lvlJc w:val="left"/>
      <w:pPr>
        <w:ind w:left="4320" w:hanging="360"/>
      </w:pPr>
      <w:rPr>
        <w:rFonts w:ascii="Wingdings" w:hAnsi="Wingdings" w:hint="default"/>
      </w:rPr>
    </w:lvl>
    <w:lvl w:ilvl="6" w:tplc="3BACBB92">
      <w:start w:val="1"/>
      <w:numFmt w:val="bullet"/>
      <w:lvlText w:val=""/>
      <w:lvlJc w:val="left"/>
      <w:pPr>
        <w:ind w:left="5040" w:hanging="360"/>
      </w:pPr>
      <w:rPr>
        <w:rFonts w:ascii="Symbol" w:hAnsi="Symbol" w:hint="default"/>
      </w:rPr>
    </w:lvl>
    <w:lvl w:ilvl="7" w:tplc="5DB42100">
      <w:start w:val="1"/>
      <w:numFmt w:val="bullet"/>
      <w:lvlText w:val="o"/>
      <w:lvlJc w:val="left"/>
      <w:pPr>
        <w:ind w:left="5760" w:hanging="360"/>
      </w:pPr>
      <w:rPr>
        <w:rFonts w:ascii="Courier New" w:hAnsi="Courier New" w:hint="default"/>
      </w:rPr>
    </w:lvl>
    <w:lvl w:ilvl="8" w:tplc="5928CA88">
      <w:start w:val="1"/>
      <w:numFmt w:val="bullet"/>
      <w:lvlText w:val=""/>
      <w:lvlJc w:val="left"/>
      <w:pPr>
        <w:ind w:left="6480" w:hanging="360"/>
      </w:pPr>
      <w:rPr>
        <w:rFonts w:ascii="Wingdings" w:hAnsi="Wingdings" w:hint="default"/>
      </w:rPr>
    </w:lvl>
  </w:abstractNum>
  <w:abstractNum w:abstractNumId="16"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7"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8" w15:restartNumberingAfterBreak="0">
    <w:nsid w:val="4FE3F100"/>
    <w:multiLevelType w:val="hybridMultilevel"/>
    <w:tmpl w:val="A980FFF4"/>
    <w:lvl w:ilvl="0" w:tplc="C0FAE1FC">
      <w:start w:val="1"/>
      <w:numFmt w:val="bullet"/>
      <w:lvlText w:val=""/>
      <w:lvlJc w:val="left"/>
      <w:pPr>
        <w:ind w:left="720" w:hanging="360"/>
      </w:pPr>
      <w:rPr>
        <w:rFonts w:ascii="Symbol" w:hAnsi="Symbol" w:hint="default"/>
      </w:rPr>
    </w:lvl>
    <w:lvl w:ilvl="1" w:tplc="17C658F6">
      <w:start w:val="1"/>
      <w:numFmt w:val="bullet"/>
      <w:lvlText w:val="o"/>
      <w:lvlJc w:val="left"/>
      <w:pPr>
        <w:ind w:left="1440" w:hanging="360"/>
      </w:pPr>
      <w:rPr>
        <w:rFonts w:ascii="Courier New" w:hAnsi="Courier New" w:hint="default"/>
      </w:rPr>
    </w:lvl>
    <w:lvl w:ilvl="2" w:tplc="6E1A5B40">
      <w:start w:val="1"/>
      <w:numFmt w:val="bullet"/>
      <w:lvlText w:val=""/>
      <w:lvlJc w:val="left"/>
      <w:pPr>
        <w:ind w:left="2160" w:hanging="360"/>
      </w:pPr>
      <w:rPr>
        <w:rFonts w:ascii="Wingdings" w:hAnsi="Wingdings" w:hint="default"/>
      </w:rPr>
    </w:lvl>
    <w:lvl w:ilvl="3" w:tplc="208C0D7C">
      <w:start w:val="1"/>
      <w:numFmt w:val="bullet"/>
      <w:lvlText w:val=""/>
      <w:lvlJc w:val="left"/>
      <w:pPr>
        <w:ind w:left="2880" w:hanging="360"/>
      </w:pPr>
      <w:rPr>
        <w:rFonts w:ascii="Symbol" w:hAnsi="Symbol" w:hint="default"/>
      </w:rPr>
    </w:lvl>
    <w:lvl w:ilvl="4" w:tplc="A3D8210A">
      <w:start w:val="1"/>
      <w:numFmt w:val="bullet"/>
      <w:lvlText w:val="o"/>
      <w:lvlJc w:val="left"/>
      <w:pPr>
        <w:ind w:left="3600" w:hanging="360"/>
      </w:pPr>
      <w:rPr>
        <w:rFonts w:ascii="Courier New" w:hAnsi="Courier New" w:hint="default"/>
      </w:rPr>
    </w:lvl>
    <w:lvl w:ilvl="5" w:tplc="D56AFB8C">
      <w:start w:val="1"/>
      <w:numFmt w:val="bullet"/>
      <w:lvlText w:val=""/>
      <w:lvlJc w:val="left"/>
      <w:pPr>
        <w:ind w:left="4320" w:hanging="360"/>
      </w:pPr>
      <w:rPr>
        <w:rFonts w:ascii="Wingdings" w:hAnsi="Wingdings" w:hint="default"/>
      </w:rPr>
    </w:lvl>
    <w:lvl w:ilvl="6" w:tplc="EF88E778">
      <w:start w:val="1"/>
      <w:numFmt w:val="bullet"/>
      <w:lvlText w:val=""/>
      <w:lvlJc w:val="left"/>
      <w:pPr>
        <w:ind w:left="5040" w:hanging="360"/>
      </w:pPr>
      <w:rPr>
        <w:rFonts w:ascii="Symbol" w:hAnsi="Symbol" w:hint="default"/>
      </w:rPr>
    </w:lvl>
    <w:lvl w:ilvl="7" w:tplc="A7A84338">
      <w:start w:val="1"/>
      <w:numFmt w:val="bullet"/>
      <w:lvlText w:val="o"/>
      <w:lvlJc w:val="left"/>
      <w:pPr>
        <w:ind w:left="5760" w:hanging="360"/>
      </w:pPr>
      <w:rPr>
        <w:rFonts w:ascii="Courier New" w:hAnsi="Courier New" w:hint="default"/>
      </w:rPr>
    </w:lvl>
    <w:lvl w:ilvl="8" w:tplc="48EABC5C">
      <w:start w:val="1"/>
      <w:numFmt w:val="bullet"/>
      <w:lvlText w:val=""/>
      <w:lvlJc w:val="left"/>
      <w:pPr>
        <w:ind w:left="6480" w:hanging="360"/>
      </w:pPr>
      <w:rPr>
        <w:rFonts w:ascii="Wingdings" w:hAnsi="Wingdings" w:hint="default"/>
      </w:rPr>
    </w:lvl>
  </w:abstractNum>
  <w:abstractNum w:abstractNumId="1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1" w15:restartNumberingAfterBreak="0">
    <w:nsid w:val="57474484"/>
    <w:multiLevelType w:val="hybridMultilevel"/>
    <w:tmpl w:val="A1DE722C"/>
    <w:lvl w:ilvl="0" w:tplc="909C2BCE">
      <w:start w:val="1"/>
      <w:numFmt w:val="bullet"/>
      <w:lvlText w:val=""/>
      <w:lvlJc w:val="left"/>
      <w:pPr>
        <w:ind w:left="1440" w:hanging="360"/>
      </w:pPr>
      <w:rPr>
        <w:rFonts w:ascii="Symbol" w:hAnsi="Symbol" w:hint="default"/>
      </w:rPr>
    </w:lvl>
    <w:lvl w:ilvl="1" w:tplc="DEAAACB4">
      <w:start w:val="1"/>
      <w:numFmt w:val="bullet"/>
      <w:lvlText w:val="o"/>
      <w:lvlJc w:val="left"/>
      <w:pPr>
        <w:ind w:left="2160" w:hanging="360"/>
      </w:pPr>
      <w:rPr>
        <w:rFonts w:ascii="Courier New" w:hAnsi="Courier New" w:hint="default"/>
      </w:rPr>
    </w:lvl>
    <w:lvl w:ilvl="2" w:tplc="E07C9532">
      <w:start w:val="1"/>
      <w:numFmt w:val="bullet"/>
      <w:lvlText w:val=""/>
      <w:lvlJc w:val="left"/>
      <w:pPr>
        <w:ind w:left="2880" w:hanging="360"/>
      </w:pPr>
      <w:rPr>
        <w:rFonts w:ascii="Wingdings" w:hAnsi="Wingdings" w:hint="default"/>
      </w:rPr>
    </w:lvl>
    <w:lvl w:ilvl="3" w:tplc="12B861F2">
      <w:start w:val="1"/>
      <w:numFmt w:val="bullet"/>
      <w:lvlText w:val=""/>
      <w:lvlJc w:val="left"/>
      <w:pPr>
        <w:ind w:left="3600" w:hanging="360"/>
      </w:pPr>
      <w:rPr>
        <w:rFonts w:ascii="Symbol" w:hAnsi="Symbol" w:hint="default"/>
      </w:rPr>
    </w:lvl>
    <w:lvl w:ilvl="4" w:tplc="0B1CAF00">
      <w:start w:val="1"/>
      <w:numFmt w:val="bullet"/>
      <w:lvlText w:val="o"/>
      <w:lvlJc w:val="left"/>
      <w:pPr>
        <w:ind w:left="4320" w:hanging="360"/>
      </w:pPr>
      <w:rPr>
        <w:rFonts w:ascii="Courier New" w:hAnsi="Courier New" w:hint="default"/>
      </w:rPr>
    </w:lvl>
    <w:lvl w:ilvl="5" w:tplc="469635C2">
      <w:start w:val="1"/>
      <w:numFmt w:val="bullet"/>
      <w:lvlText w:val=""/>
      <w:lvlJc w:val="left"/>
      <w:pPr>
        <w:ind w:left="5040" w:hanging="360"/>
      </w:pPr>
      <w:rPr>
        <w:rFonts w:ascii="Wingdings" w:hAnsi="Wingdings" w:hint="default"/>
      </w:rPr>
    </w:lvl>
    <w:lvl w:ilvl="6" w:tplc="E22C681A">
      <w:start w:val="1"/>
      <w:numFmt w:val="bullet"/>
      <w:lvlText w:val=""/>
      <w:lvlJc w:val="left"/>
      <w:pPr>
        <w:ind w:left="5760" w:hanging="360"/>
      </w:pPr>
      <w:rPr>
        <w:rFonts w:ascii="Symbol" w:hAnsi="Symbol" w:hint="default"/>
      </w:rPr>
    </w:lvl>
    <w:lvl w:ilvl="7" w:tplc="18F4AEDA">
      <w:start w:val="1"/>
      <w:numFmt w:val="bullet"/>
      <w:lvlText w:val="o"/>
      <w:lvlJc w:val="left"/>
      <w:pPr>
        <w:ind w:left="6480" w:hanging="360"/>
      </w:pPr>
      <w:rPr>
        <w:rFonts w:ascii="Courier New" w:hAnsi="Courier New" w:hint="default"/>
      </w:rPr>
    </w:lvl>
    <w:lvl w:ilvl="8" w:tplc="6DB8B772">
      <w:start w:val="1"/>
      <w:numFmt w:val="bullet"/>
      <w:lvlText w:val=""/>
      <w:lvlJc w:val="left"/>
      <w:pPr>
        <w:ind w:left="7200" w:hanging="360"/>
      </w:pPr>
      <w:rPr>
        <w:rFonts w:ascii="Wingdings" w:hAnsi="Wingdings" w:hint="default"/>
      </w:rPr>
    </w:lvl>
  </w:abstractNum>
  <w:abstractNum w:abstractNumId="2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3" w15:restartNumberingAfterBreak="0">
    <w:nsid w:val="670C90D0"/>
    <w:multiLevelType w:val="hybridMultilevel"/>
    <w:tmpl w:val="41CCA2C6"/>
    <w:lvl w:ilvl="0" w:tplc="0F80EC16">
      <w:start w:val="1"/>
      <w:numFmt w:val="bullet"/>
      <w:lvlText w:val=""/>
      <w:lvlJc w:val="left"/>
      <w:pPr>
        <w:ind w:left="720" w:hanging="360"/>
      </w:pPr>
      <w:rPr>
        <w:rFonts w:ascii="Symbol" w:hAnsi="Symbol" w:hint="default"/>
      </w:rPr>
    </w:lvl>
    <w:lvl w:ilvl="1" w:tplc="93DCF4D0">
      <w:start w:val="1"/>
      <w:numFmt w:val="bullet"/>
      <w:lvlText w:val="o"/>
      <w:lvlJc w:val="left"/>
      <w:pPr>
        <w:ind w:left="1440" w:hanging="360"/>
      </w:pPr>
      <w:rPr>
        <w:rFonts w:ascii="Courier New" w:hAnsi="Courier New" w:hint="default"/>
      </w:rPr>
    </w:lvl>
    <w:lvl w:ilvl="2" w:tplc="8A821BE4">
      <w:start w:val="1"/>
      <w:numFmt w:val="bullet"/>
      <w:lvlText w:val=""/>
      <w:lvlJc w:val="left"/>
      <w:pPr>
        <w:ind w:left="2160" w:hanging="360"/>
      </w:pPr>
      <w:rPr>
        <w:rFonts w:ascii="Wingdings" w:hAnsi="Wingdings" w:hint="default"/>
      </w:rPr>
    </w:lvl>
    <w:lvl w:ilvl="3" w:tplc="58AC4CF2">
      <w:start w:val="1"/>
      <w:numFmt w:val="bullet"/>
      <w:lvlText w:val=""/>
      <w:lvlJc w:val="left"/>
      <w:pPr>
        <w:ind w:left="2880" w:hanging="360"/>
      </w:pPr>
      <w:rPr>
        <w:rFonts w:ascii="Symbol" w:hAnsi="Symbol" w:hint="default"/>
      </w:rPr>
    </w:lvl>
    <w:lvl w:ilvl="4" w:tplc="4A88AD3E">
      <w:start w:val="1"/>
      <w:numFmt w:val="bullet"/>
      <w:lvlText w:val="o"/>
      <w:lvlJc w:val="left"/>
      <w:pPr>
        <w:ind w:left="3600" w:hanging="360"/>
      </w:pPr>
      <w:rPr>
        <w:rFonts w:ascii="Courier New" w:hAnsi="Courier New" w:hint="default"/>
      </w:rPr>
    </w:lvl>
    <w:lvl w:ilvl="5" w:tplc="B46ACB94">
      <w:start w:val="1"/>
      <w:numFmt w:val="bullet"/>
      <w:lvlText w:val=""/>
      <w:lvlJc w:val="left"/>
      <w:pPr>
        <w:ind w:left="4320" w:hanging="360"/>
      </w:pPr>
      <w:rPr>
        <w:rFonts w:ascii="Wingdings" w:hAnsi="Wingdings" w:hint="default"/>
      </w:rPr>
    </w:lvl>
    <w:lvl w:ilvl="6" w:tplc="A2F64370">
      <w:start w:val="1"/>
      <w:numFmt w:val="bullet"/>
      <w:lvlText w:val=""/>
      <w:lvlJc w:val="left"/>
      <w:pPr>
        <w:ind w:left="5040" w:hanging="360"/>
      </w:pPr>
      <w:rPr>
        <w:rFonts w:ascii="Symbol" w:hAnsi="Symbol" w:hint="default"/>
      </w:rPr>
    </w:lvl>
    <w:lvl w:ilvl="7" w:tplc="867A85CC">
      <w:start w:val="1"/>
      <w:numFmt w:val="bullet"/>
      <w:lvlText w:val="o"/>
      <w:lvlJc w:val="left"/>
      <w:pPr>
        <w:ind w:left="5760" w:hanging="360"/>
      </w:pPr>
      <w:rPr>
        <w:rFonts w:ascii="Courier New" w:hAnsi="Courier New" w:hint="default"/>
      </w:rPr>
    </w:lvl>
    <w:lvl w:ilvl="8" w:tplc="7ED08304">
      <w:start w:val="1"/>
      <w:numFmt w:val="bullet"/>
      <w:lvlText w:val=""/>
      <w:lvlJc w:val="left"/>
      <w:pPr>
        <w:ind w:left="6480" w:hanging="360"/>
      </w:pPr>
      <w:rPr>
        <w:rFonts w:ascii="Wingdings" w:hAnsi="Wingdings" w:hint="default"/>
      </w:rPr>
    </w:lvl>
  </w:abstractNum>
  <w:abstractNum w:abstractNumId="24" w15:restartNumberingAfterBreak="0">
    <w:nsid w:val="6A8886B6"/>
    <w:multiLevelType w:val="hybridMultilevel"/>
    <w:tmpl w:val="25DCDF60"/>
    <w:lvl w:ilvl="0" w:tplc="F04E8516">
      <w:start w:val="1"/>
      <w:numFmt w:val="bullet"/>
      <w:lvlText w:val=""/>
      <w:lvlJc w:val="left"/>
      <w:pPr>
        <w:ind w:left="720" w:hanging="360"/>
      </w:pPr>
      <w:rPr>
        <w:rFonts w:ascii="Symbol" w:hAnsi="Symbol" w:hint="default"/>
      </w:rPr>
    </w:lvl>
    <w:lvl w:ilvl="1" w:tplc="27E286DC">
      <w:start w:val="1"/>
      <w:numFmt w:val="bullet"/>
      <w:lvlText w:val="o"/>
      <w:lvlJc w:val="left"/>
      <w:pPr>
        <w:ind w:left="1440" w:hanging="360"/>
      </w:pPr>
      <w:rPr>
        <w:rFonts w:ascii="Courier New" w:hAnsi="Courier New" w:hint="default"/>
      </w:rPr>
    </w:lvl>
    <w:lvl w:ilvl="2" w:tplc="17604656">
      <w:start w:val="1"/>
      <w:numFmt w:val="bullet"/>
      <w:lvlText w:val=""/>
      <w:lvlJc w:val="left"/>
      <w:pPr>
        <w:ind w:left="2160" w:hanging="360"/>
      </w:pPr>
      <w:rPr>
        <w:rFonts w:ascii="Wingdings" w:hAnsi="Wingdings" w:hint="default"/>
      </w:rPr>
    </w:lvl>
    <w:lvl w:ilvl="3" w:tplc="DD8AA872">
      <w:start w:val="1"/>
      <w:numFmt w:val="bullet"/>
      <w:lvlText w:val=""/>
      <w:lvlJc w:val="left"/>
      <w:pPr>
        <w:ind w:left="2880" w:hanging="360"/>
      </w:pPr>
      <w:rPr>
        <w:rFonts w:ascii="Symbol" w:hAnsi="Symbol" w:hint="default"/>
      </w:rPr>
    </w:lvl>
    <w:lvl w:ilvl="4" w:tplc="C194FADE">
      <w:start w:val="1"/>
      <w:numFmt w:val="bullet"/>
      <w:lvlText w:val="o"/>
      <w:lvlJc w:val="left"/>
      <w:pPr>
        <w:ind w:left="3600" w:hanging="360"/>
      </w:pPr>
      <w:rPr>
        <w:rFonts w:ascii="Courier New" w:hAnsi="Courier New" w:hint="default"/>
      </w:rPr>
    </w:lvl>
    <w:lvl w:ilvl="5" w:tplc="9D043B78">
      <w:start w:val="1"/>
      <w:numFmt w:val="bullet"/>
      <w:lvlText w:val=""/>
      <w:lvlJc w:val="left"/>
      <w:pPr>
        <w:ind w:left="4320" w:hanging="360"/>
      </w:pPr>
      <w:rPr>
        <w:rFonts w:ascii="Wingdings" w:hAnsi="Wingdings" w:hint="default"/>
      </w:rPr>
    </w:lvl>
    <w:lvl w:ilvl="6" w:tplc="B4CCA5B8">
      <w:start w:val="1"/>
      <w:numFmt w:val="bullet"/>
      <w:lvlText w:val=""/>
      <w:lvlJc w:val="left"/>
      <w:pPr>
        <w:ind w:left="5040" w:hanging="360"/>
      </w:pPr>
      <w:rPr>
        <w:rFonts w:ascii="Symbol" w:hAnsi="Symbol" w:hint="default"/>
      </w:rPr>
    </w:lvl>
    <w:lvl w:ilvl="7" w:tplc="F4E49546">
      <w:start w:val="1"/>
      <w:numFmt w:val="bullet"/>
      <w:lvlText w:val="o"/>
      <w:lvlJc w:val="left"/>
      <w:pPr>
        <w:ind w:left="5760" w:hanging="360"/>
      </w:pPr>
      <w:rPr>
        <w:rFonts w:ascii="Courier New" w:hAnsi="Courier New" w:hint="default"/>
      </w:rPr>
    </w:lvl>
    <w:lvl w:ilvl="8" w:tplc="3C90BF54">
      <w:start w:val="1"/>
      <w:numFmt w:val="bullet"/>
      <w:lvlText w:val=""/>
      <w:lvlJc w:val="left"/>
      <w:pPr>
        <w:ind w:left="6480" w:hanging="360"/>
      </w:pPr>
      <w:rPr>
        <w:rFonts w:ascii="Wingdings" w:hAnsi="Wingdings" w:hint="default"/>
      </w:rPr>
    </w:lvl>
  </w:abstractNum>
  <w:abstractNum w:abstractNumId="2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6"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7" w15:restartNumberingAfterBreak="0">
    <w:nsid w:val="7F8E8B42"/>
    <w:multiLevelType w:val="hybridMultilevel"/>
    <w:tmpl w:val="858E14F0"/>
    <w:lvl w:ilvl="0" w:tplc="81BA4688">
      <w:start w:val="1"/>
      <w:numFmt w:val="bullet"/>
      <w:lvlText w:val=""/>
      <w:lvlJc w:val="left"/>
      <w:pPr>
        <w:ind w:left="1080" w:hanging="360"/>
      </w:pPr>
      <w:rPr>
        <w:rFonts w:ascii="Symbol" w:hAnsi="Symbol" w:hint="default"/>
      </w:rPr>
    </w:lvl>
    <w:lvl w:ilvl="1" w:tplc="47448256">
      <w:start w:val="1"/>
      <w:numFmt w:val="bullet"/>
      <w:lvlText w:val="o"/>
      <w:lvlJc w:val="left"/>
      <w:pPr>
        <w:ind w:left="1800" w:hanging="360"/>
      </w:pPr>
      <w:rPr>
        <w:rFonts w:ascii="Courier New" w:hAnsi="Courier New" w:hint="default"/>
      </w:rPr>
    </w:lvl>
    <w:lvl w:ilvl="2" w:tplc="C464B3EA">
      <w:start w:val="1"/>
      <w:numFmt w:val="bullet"/>
      <w:lvlText w:val=""/>
      <w:lvlJc w:val="left"/>
      <w:pPr>
        <w:ind w:left="2520" w:hanging="360"/>
      </w:pPr>
      <w:rPr>
        <w:rFonts w:ascii="Wingdings" w:hAnsi="Wingdings" w:hint="default"/>
      </w:rPr>
    </w:lvl>
    <w:lvl w:ilvl="3" w:tplc="8EBE90DE">
      <w:start w:val="1"/>
      <w:numFmt w:val="bullet"/>
      <w:lvlText w:val=""/>
      <w:lvlJc w:val="left"/>
      <w:pPr>
        <w:ind w:left="3240" w:hanging="360"/>
      </w:pPr>
      <w:rPr>
        <w:rFonts w:ascii="Symbol" w:hAnsi="Symbol" w:hint="default"/>
      </w:rPr>
    </w:lvl>
    <w:lvl w:ilvl="4" w:tplc="FAAC1C16">
      <w:start w:val="1"/>
      <w:numFmt w:val="bullet"/>
      <w:lvlText w:val="o"/>
      <w:lvlJc w:val="left"/>
      <w:pPr>
        <w:ind w:left="3960" w:hanging="360"/>
      </w:pPr>
      <w:rPr>
        <w:rFonts w:ascii="Courier New" w:hAnsi="Courier New" w:hint="default"/>
      </w:rPr>
    </w:lvl>
    <w:lvl w:ilvl="5" w:tplc="C0701168">
      <w:start w:val="1"/>
      <w:numFmt w:val="bullet"/>
      <w:lvlText w:val=""/>
      <w:lvlJc w:val="left"/>
      <w:pPr>
        <w:ind w:left="4680" w:hanging="360"/>
      </w:pPr>
      <w:rPr>
        <w:rFonts w:ascii="Wingdings" w:hAnsi="Wingdings" w:hint="default"/>
      </w:rPr>
    </w:lvl>
    <w:lvl w:ilvl="6" w:tplc="15105FB2">
      <w:start w:val="1"/>
      <w:numFmt w:val="bullet"/>
      <w:lvlText w:val=""/>
      <w:lvlJc w:val="left"/>
      <w:pPr>
        <w:ind w:left="5400" w:hanging="360"/>
      </w:pPr>
      <w:rPr>
        <w:rFonts w:ascii="Symbol" w:hAnsi="Symbol" w:hint="default"/>
      </w:rPr>
    </w:lvl>
    <w:lvl w:ilvl="7" w:tplc="BF28EBB0">
      <w:start w:val="1"/>
      <w:numFmt w:val="bullet"/>
      <w:lvlText w:val="o"/>
      <w:lvlJc w:val="left"/>
      <w:pPr>
        <w:ind w:left="6120" w:hanging="360"/>
      </w:pPr>
      <w:rPr>
        <w:rFonts w:ascii="Courier New" w:hAnsi="Courier New" w:hint="default"/>
      </w:rPr>
    </w:lvl>
    <w:lvl w:ilvl="8" w:tplc="725A77B8">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24"/>
  </w:num>
  <w:num w:numId="4">
    <w:abstractNumId w:val="18"/>
  </w:num>
  <w:num w:numId="5">
    <w:abstractNumId w:val="27"/>
  </w:num>
  <w:num w:numId="6">
    <w:abstractNumId w:val="4"/>
  </w:num>
  <w:num w:numId="7">
    <w:abstractNumId w:val="21"/>
  </w:num>
  <w:num w:numId="8">
    <w:abstractNumId w:val="0"/>
  </w:num>
  <w:num w:numId="9">
    <w:abstractNumId w:val="9"/>
  </w:num>
  <w:num w:numId="10">
    <w:abstractNumId w:val="23"/>
  </w:num>
  <w:num w:numId="11">
    <w:abstractNumId w:val="15"/>
  </w:num>
  <w:num w:numId="12">
    <w:abstractNumId w:val="5"/>
  </w:num>
  <w:num w:numId="13">
    <w:abstractNumId w:val="6"/>
  </w:num>
  <w:num w:numId="14">
    <w:abstractNumId w:val="20"/>
  </w:num>
  <w:num w:numId="15">
    <w:abstractNumId w:val="13"/>
  </w:num>
  <w:num w:numId="16">
    <w:abstractNumId w:val="22"/>
  </w:num>
  <w:num w:numId="17">
    <w:abstractNumId w:val="12"/>
  </w:num>
  <w:num w:numId="18">
    <w:abstractNumId w:val="1"/>
  </w:num>
  <w:num w:numId="19">
    <w:abstractNumId w:val="26"/>
  </w:num>
  <w:num w:numId="20">
    <w:abstractNumId w:val="10"/>
  </w:num>
  <w:num w:numId="21">
    <w:abstractNumId w:val="16"/>
  </w:num>
  <w:num w:numId="22">
    <w:abstractNumId w:val="19"/>
  </w:num>
  <w:num w:numId="23">
    <w:abstractNumId w:val="2"/>
  </w:num>
  <w:num w:numId="24">
    <w:abstractNumId w:val="3"/>
  </w:num>
  <w:num w:numId="25">
    <w:abstractNumId w:val="17"/>
  </w:num>
  <w:num w:numId="26">
    <w:abstractNumId w:val="25"/>
  </w:num>
  <w:num w:numId="27">
    <w:abstractNumId w:val="7"/>
  </w:num>
  <w:num w:numId="2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801F4"/>
    <w:rsid w:val="00081003"/>
    <w:rsid w:val="00086B7E"/>
    <w:rsid w:val="00096016"/>
    <w:rsid w:val="000B3F87"/>
    <w:rsid w:val="000B6E68"/>
    <w:rsid w:val="000C58B8"/>
    <w:rsid w:val="000D5104"/>
    <w:rsid w:val="000D6939"/>
    <w:rsid w:val="000D79AC"/>
    <w:rsid w:val="000F1545"/>
    <w:rsid w:val="000F1EE7"/>
    <w:rsid w:val="000F2ADA"/>
    <w:rsid w:val="00101280"/>
    <w:rsid w:val="00106FD6"/>
    <w:rsid w:val="00123156"/>
    <w:rsid w:val="001277EC"/>
    <w:rsid w:val="001296DC"/>
    <w:rsid w:val="0014039E"/>
    <w:rsid w:val="0014286F"/>
    <w:rsid w:val="00145FA8"/>
    <w:rsid w:val="0015019B"/>
    <w:rsid w:val="001556CC"/>
    <w:rsid w:val="0015E15A"/>
    <w:rsid w:val="00163111"/>
    <w:rsid w:val="00163EFB"/>
    <w:rsid w:val="00171796"/>
    <w:rsid w:val="00173976"/>
    <w:rsid w:val="001821EB"/>
    <w:rsid w:val="00194FE1"/>
    <w:rsid w:val="00195D23"/>
    <w:rsid w:val="001A67C2"/>
    <w:rsid w:val="001D578C"/>
    <w:rsid w:val="001E158F"/>
    <w:rsid w:val="001F1328"/>
    <w:rsid w:val="001F2623"/>
    <w:rsid w:val="00205E47"/>
    <w:rsid w:val="00206AB6"/>
    <w:rsid w:val="00220831"/>
    <w:rsid w:val="0022176E"/>
    <w:rsid w:val="00221CE5"/>
    <w:rsid w:val="00234F37"/>
    <w:rsid w:val="0023574D"/>
    <w:rsid w:val="00242822"/>
    <w:rsid w:val="002539A7"/>
    <w:rsid w:val="0025C835"/>
    <w:rsid w:val="00265D20"/>
    <w:rsid w:val="002672C0"/>
    <w:rsid w:val="0028069E"/>
    <w:rsid w:val="0029214C"/>
    <w:rsid w:val="00293F47"/>
    <w:rsid w:val="00294368"/>
    <w:rsid w:val="002A2D97"/>
    <w:rsid w:val="002A37F8"/>
    <w:rsid w:val="002B1159"/>
    <w:rsid w:val="002B2BE4"/>
    <w:rsid w:val="002C28E6"/>
    <w:rsid w:val="002C4C2E"/>
    <w:rsid w:val="002D5DCD"/>
    <w:rsid w:val="002D5F9B"/>
    <w:rsid w:val="002D6167"/>
    <w:rsid w:val="002E2A19"/>
    <w:rsid w:val="002F204B"/>
    <w:rsid w:val="002F3BDF"/>
    <w:rsid w:val="00307D86"/>
    <w:rsid w:val="00313805"/>
    <w:rsid w:val="0032E7B8"/>
    <w:rsid w:val="0035532B"/>
    <w:rsid w:val="00366BA2"/>
    <w:rsid w:val="0039CB42"/>
    <w:rsid w:val="003A6D33"/>
    <w:rsid w:val="003C1630"/>
    <w:rsid w:val="003C3508"/>
    <w:rsid w:val="003D3A5B"/>
    <w:rsid w:val="003F318B"/>
    <w:rsid w:val="003F39BF"/>
    <w:rsid w:val="0041150E"/>
    <w:rsid w:val="0041500B"/>
    <w:rsid w:val="00416DB4"/>
    <w:rsid w:val="004178B6"/>
    <w:rsid w:val="00417A61"/>
    <w:rsid w:val="0043112E"/>
    <w:rsid w:val="00436161"/>
    <w:rsid w:val="00436E69"/>
    <w:rsid w:val="0044423A"/>
    <w:rsid w:val="00447BFF"/>
    <w:rsid w:val="00451695"/>
    <w:rsid w:val="00482519"/>
    <w:rsid w:val="00482CE3"/>
    <w:rsid w:val="00487636"/>
    <w:rsid w:val="00494746"/>
    <w:rsid w:val="004951A9"/>
    <w:rsid w:val="004A2010"/>
    <w:rsid w:val="004A7E41"/>
    <w:rsid w:val="004B2331"/>
    <w:rsid w:val="004B2A35"/>
    <w:rsid w:val="004C4352"/>
    <w:rsid w:val="004D19D3"/>
    <w:rsid w:val="004D7212"/>
    <w:rsid w:val="004D75BF"/>
    <w:rsid w:val="004D75CF"/>
    <w:rsid w:val="004D919E"/>
    <w:rsid w:val="004E726C"/>
    <w:rsid w:val="004E730A"/>
    <w:rsid w:val="004F3873"/>
    <w:rsid w:val="005145F9"/>
    <w:rsid w:val="0051891B"/>
    <w:rsid w:val="00524715"/>
    <w:rsid w:val="005418C9"/>
    <w:rsid w:val="005447A6"/>
    <w:rsid w:val="00545399"/>
    <w:rsid w:val="0055005F"/>
    <w:rsid w:val="00552C75"/>
    <w:rsid w:val="0056152E"/>
    <w:rsid w:val="00561C9E"/>
    <w:rsid w:val="00571F90"/>
    <w:rsid w:val="00583B86"/>
    <w:rsid w:val="005974B9"/>
    <w:rsid w:val="005A457F"/>
    <w:rsid w:val="005A5711"/>
    <w:rsid w:val="005A78B0"/>
    <w:rsid w:val="005B6AE3"/>
    <w:rsid w:val="005C723F"/>
    <w:rsid w:val="005D5E63"/>
    <w:rsid w:val="005E75E3"/>
    <w:rsid w:val="005F6188"/>
    <w:rsid w:val="005F6AD4"/>
    <w:rsid w:val="006043FF"/>
    <w:rsid w:val="00611ACB"/>
    <w:rsid w:val="00615E3A"/>
    <w:rsid w:val="00621AB9"/>
    <w:rsid w:val="00624E1E"/>
    <w:rsid w:val="0062D455"/>
    <w:rsid w:val="0063420A"/>
    <w:rsid w:val="006368EC"/>
    <w:rsid w:val="0064280B"/>
    <w:rsid w:val="006528A0"/>
    <w:rsid w:val="0066075C"/>
    <w:rsid w:val="0066138C"/>
    <w:rsid w:val="0066727D"/>
    <w:rsid w:val="00679244"/>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52DE"/>
    <w:rsid w:val="00716586"/>
    <w:rsid w:val="007205EF"/>
    <w:rsid w:val="0072613C"/>
    <w:rsid w:val="00732B10"/>
    <w:rsid w:val="0073A64F"/>
    <w:rsid w:val="00753B16"/>
    <w:rsid w:val="007566D3"/>
    <w:rsid w:val="00756C0F"/>
    <w:rsid w:val="00770650"/>
    <w:rsid w:val="0077125C"/>
    <w:rsid w:val="00771691"/>
    <w:rsid w:val="0077554A"/>
    <w:rsid w:val="007775D4"/>
    <w:rsid w:val="00781908"/>
    <w:rsid w:val="00793FBF"/>
    <w:rsid w:val="007A20DC"/>
    <w:rsid w:val="007C0A06"/>
    <w:rsid w:val="007C1AEA"/>
    <w:rsid w:val="007D0214"/>
    <w:rsid w:val="007E04CA"/>
    <w:rsid w:val="007E508C"/>
    <w:rsid w:val="007E68B5"/>
    <w:rsid w:val="007E7313"/>
    <w:rsid w:val="007E7C44"/>
    <w:rsid w:val="007F5769"/>
    <w:rsid w:val="007F6093"/>
    <w:rsid w:val="007F7748"/>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4CC7"/>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3063"/>
    <w:rsid w:val="009F5966"/>
    <w:rsid w:val="009F5B6F"/>
    <w:rsid w:val="009F60A9"/>
    <w:rsid w:val="00A0128A"/>
    <w:rsid w:val="00A02088"/>
    <w:rsid w:val="00A11DB7"/>
    <w:rsid w:val="00A12C21"/>
    <w:rsid w:val="00A212CE"/>
    <w:rsid w:val="00A234F9"/>
    <w:rsid w:val="00A252F8"/>
    <w:rsid w:val="00A2773A"/>
    <w:rsid w:val="00A402E2"/>
    <w:rsid w:val="00A43059"/>
    <w:rsid w:val="00A44FFF"/>
    <w:rsid w:val="00A45D20"/>
    <w:rsid w:val="00A462A1"/>
    <w:rsid w:val="00A542DA"/>
    <w:rsid w:val="00A571A1"/>
    <w:rsid w:val="00A60645"/>
    <w:rsid w:val="00A6759C"/>
    <w:rsid w:val="00A715D8"/>
    <w:rsid w:val="00A774D7"/>
    <w:rsid w:val="00A84352"/>
    <w:rsid w:val="00A95E7B"/>
    <w:rsid w:val="00A96390"/>
    <w:rsid w:val="00AA4C5F"/>
    <w:rsid w:val="00AB12D0"/>
    <w:rsid w:val="00AD5D0D"/>
    <w:rsid w:val="00AD6E52"/>
    <w:rsid w:val="00AF73E3"/>
    <w:rsid w:val="00B00BCB"/>
    <w:rsid w:val="00B068FE"/>
    <w:rsid w:val="00B07E78"/>
    <w:rsid w:val="00B0E490"/>
    <w:rsid w:val="00B173A5"/>
    <w:rsid w:val="00B1778F"/>
    <w:rsid w:val="00B17AB7"/>
    <w:rsid w:val="00B2307C"/>
    <w:rsid w:val="00B24E61"/>
    <w:rsid w:val="00B265D9"/>
    <w:rsid w:val="00B2CAD9"/>
    <w:rsid w:val="00B3322E"/>
    <w:rsid w:val="00B35B60"/>
    <w:rsid w:val="00B365F0"/>
    <w:rsid w:val="00B36A21"/>
    <w:rsid w:val="00B443E5"/>
    <w:rsid w:val="00B468A3"/>
    <w:rsid w:val="00B564AC"/>
    <w:rsid w:val="00B64CCF"/>
    <w:rsid w:val="00B80DEF"/>
    <w:rsid w:val="00B8577D"/>
    <w:rsid w:val="00B8E059"/>
    <w:rsid w:val="00BA41F7"/>
    <w:rsid w:val="00BA7E76"/>
    <w:rsid w:val="00BB1B7B"/>
    <w:rsid w:val="00BB78A4"/>
    <w:rsid w:val="00BC113C"/>
    <w:rsid w:val="00BC47BB"/>
    <w:rsid w:val="00BC5578"/>
    <w:rsid w:val="00BD1908"/>
    <w:rsid w:val="00BD1A87"/>
    <w:rsid w:val="00BD38D8"/>
    <w:rsid w:val="00BF2838"/>
    <w:rsid w:val="00BF7393"/>
    <w:rsid w:val="00C0943D"/>
    <w:rsid w:val="00C15E9C"/>
    <w:rsid w:val="00C3045C"/>
    <w:rsid w:val="00C46DF0"/>
    <w:rsid w:val="00C50F66"/>
    <w:rsid w:val="00C53F96"/>
    <w:rsid w:val="00C60F7D"/>
    <w:rsid w:val="00C81764"/>
    <w:rsid w:val="00C82473"/>
    <w:rsid w:val="00C86E0B"/>
    <w:rsid w:val="00CB0C33"/>
    <w:rsid w:val="00CB1C0F"/>
    <w:rsid w:val="00CB61CE"/>
    <w:rsid w:val="00CB7AFE"/>
    <w:rsid w:val="00CC6A0E"/>
    <w:rsid w:val="00CD092A"/>
    <w:rsid w:val="00CD51C8"/>
    <w:rsid w:val="00CE7909"/>
    <w:rsid w:val="00CE7FDD"/>
    <w:rsid w:val="00CF17F8"/>
    <w:rsid w:val="00CF6083"/>
    <w:rsid w:val="00D06E1B"/>
    <w:rsid w:val="00D1374C"/>
    <w:rsid w:val="00D15940"/>
    <w:rsid w:val="00D209E3"/>
    <w:rsid w:val="00D3013B"/>
    <w:rsid w:val="00D34229"/>
    <w:rsid w:val="00D37248"/>
    <w:rsid w:val="00D3B341"/>
    <w:rsid w:val="00D41203"/>
    <w:rsid w:val="00D41395"/>
    <w:rsid w:val="00D41B46"/>
    <w:rsid w:val="00D523CD"/>
    <w:rsid w:val="00D61206"/>
    <w:rsid w:val="00D7383F"/>
    <w:rsid w:val="00D7644D"/>
    <w:rsid w:val="00D81249"/>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27AC4"/>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F4E37"/>
    <w:rsid w:val="00F116A4"/>
    <w:rsid w:val="00F121FB"/>
    <w:rsid w:val="00F24FCE"/>
    <w:rsid w:val="00F309D0"/>
    <w:rsid w:val="00F37B0F"/>
    <w:rsid w:val="00F425A7"/>
    <w:rsid w:val="00F54C5E"/>
    <w:rsid w:val="00F608C9"/>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7D1E"/>
    <w:rsid w:val="01032A27"/>
    <w:rsid w:val="0108FB0D"/>
    <w:rsid w:val="010E02A5"/>
    <w:rsid w:val="011B42EC"/>
    <w:rsid w:val="011F75E6"/>
    <w:rsid w:val="012234EA"/>
    <w:rsid w:val="01293522"/>
    <w:rsid w:val="012AFA8F"/>
    <w:rsid w:val="012CB798"/>
    <w:rsid w:val="0132AC3E"/>
    <w:rsid w:val="0138ACB8"/>
    <w:rsid w:val="014AD520"/>
    <w:rsid w:val="014C9BCE"/>
    <w:rsid w:val="01500412"/>
    <w:rsid w:val="0151ACF2"/>
    <w:rsid w:val="01593992"/>
    <w:rsid w:val="01597C27"/>
    <w:rsid w:val="015F7778"/>
    <w:rsid w:val="015F83E5"/>
    <w:rsid w:val="01603E51"/>
    <w:rsid w:val="0162747E"/>
    <w:rsid w:val="016801C6"/>
    <w:rsid w:val="016ED5A5"/>
    <w:rsid w:val="01708B11"/>
    <w:rsid w:val="01716FF3"/>
    <w:rsid w:val="01802908"/>
    <w:rsid w:val="01813898"/>
    <w:rsid w:val="018AB807"/>
    <w:rsid w:val="019278DE"/>
    <w:rsid w:val="019559CA"/>
    <w:rsid w:val="019B8F86"/>
    <w:rsid w:val="019F5206"/>
    <w:rsid w:val="01A028A6"/>
    <w:rsid w:val="01A4605F"/>
    <w:rsid w:val="01A52FA2"/>
    <w:rsid w:val="01A5ED1F"/>
    <w:rsid w:val="01A660C6"/>
    <w:rsid w:val="01A6A5E0"/>
    <w:rsid w:val="01A6A694"/>
    <w:rsid w:val="01ABC9C5"/>
    <w:rsid w:val="01ADA801"/>
    <w:rsid w:val="01AE6402"/>
    <w:rsid w:val="01AF23C4"/>
    <w:rsid w:val="01B5EB07"/>
    <w:rsid w:val="01B81A33"/>
    <w:rsid w:val="01B8D72A"/>
    <w:rsid w:val="01C75A3E"/>
    <w:rsid w:val="01C78205"/>
    <w:rsid w:val="01CAA8AD"/>
    <w:rsid w:val="01CB0018"/>
    <w:rsid w:val="01CC12C1"/>
    <w:rsid w:val="01CCA437"/>
    <w:rsid w:val="01D3C725"/>
    <w:rsid w:val="01DA9A1F"/>
    <w:rsid w:val="01DB91C8"/>
    <w:rsid w:val="01DC470B"/>
    <w:rsid w:val="01DF3047"/>
    <w:rsid w:val="01EB923A"/>
    <w:rsid w:val="01F24011"/>
    <w:rsid w:val="01F64725"/>
    <w:rsid w:val="01F9AA00"/>
    <w:rsid w:val="0201586F"/>
    <w:rsid w:val="02064B99"/>
    <w:rsid w:val="02071859"/>
    <w:rsid w:val="020803BE"/>
    <w:rsid w:val="0208D9D8"/>
    <w:rsid w:val="020BA020"/>
    <w:rsid w:val="020C0CAA"/>
    <w:rsid w:val="020CB6A3"/>
    <w:rsid w:val="020EC817"/>
    <w:rsid w:val="02123778"/>
    <w:rsid w:val="02173B66"/>
    <w:rsid w:val="02197851"/>
    <w:rsid w:val="021CDC78"/>
    <w:rsid w:val="02227C28"/>
    <w:rsid w:val="02264FA4"/>
    <w:rsid w:val="02271D28"/>
    <w:rsid w:val="0227204F"/>
    <w:rsid w:val="0229A6D0"/>
    <w:rsid w:val="02381488"/>
    <w:rsid w:val="023857FF"/>
    <w:rsid w:val="0239FE11"/>
    <w:rsid w:val="024992D6"/>
    <w:rsid w:val="02500C63"/>
    <w:rsid w:val="0254988D"/>
    <w:rsid w:val="026C3E7C"/>
    <w:rsid w:val="026D9BC4"/>
    <w:rsid w:val="026F83A2"/>
    <w:rsid w:val="02705DDC"/>
    <w:rsid w:val="0271938A"/>
    <w:rsid w:val="0275C19E"/>
    <w:rsid w:val="02770C39"/>
    <w:rsid w:val="02859697"/>
    <w:rsid w:val="02895256"/>
    <w:rsid w:val="028BDC5D"/>
    <w:rsid w:val="028FE9F1"/>
    <w:rsid w:val="0295F97C"/>
    <w:rsid w:val="0297AA6C"/>
    <w:rsid w:val="0298514E"/>
    <w:rsid w:val="02B2CD09"/>
    <w:rsid w:val="02B9A7A6"/>
    <w:rsid w:val="02CC0C35"/>
    <w:rsid w:val="02CD4E38"/>
    <w:rsid w:val="02D28D98"/>
    <w:rsid w:val="02D50104"/>
    <w:rsid w:val="02D62B0E"/>
    <w:rsid w:val="02E21C25"/>
    <w:rsid w:val="02E366C5"/>
    <w:rsid w:val="02E86C2F"/>
    <w:rsid w:val="02EBE8F3"/>
    <w:rsid w:val="02F07CE7"/>
    <w:rsid w:val="02F27390"/>
    <w:rsid w:val="02F2BF01"/>
    <w:rsid w:val="02F4212C"/>
    <w:rsid w:val="02F55E7D"/>
    <w:rsid w:val="02F93B9E"/>
    <w:rsid w:val="03018FE1"/>
    <w:rsid w:val="0304EBE2"/>
    <w:rsid w:val="030EF027"/>
    <w:rsid w:val="0313E287"/>
    <w:rsid w:val="032DD3EF"/>
    <w:rsid w:val="032E493F"/>
    <w:rsid w:val="032F0EE2"/>
    <w:rsid w:val="0331BAA2"/>
    <w:rsid w:val="03338F65"/>
    <w:rsid w:val="033D923C"/>
    <w:rsid w:val="034030C0"/>
    <w:rsid w:val="03451A50"/>
    <w:rsid w:val="03459496"/>
    <w:rsid w:val="0348BC7A"/>
    <w:rsid w:val="034CD8DC"/>
    <w:rsid w:val="03521994"/>
    <w:rsid w:val="035A2860"/>
    <w:rsid w:val="035C1365"/>
    <w:rsid w:val="036C2977"/>
    <w:rsid w:val="037B7AB1"/>
    <w:rsid w:val="037D9B55"/>
    <w:rsid w:val="038505BC"/>
    <w:rsid w:val="0393E1E1"/>
    <w:rsid w:val="03958AC1"/>
    <w:rsid w:val="039B9470"/>
    <w:rsid w:val="03A1B474"/>
    <w:rsid w:val="03B1CFB2"/>
    <w:rsid w:val="03B30BC7"/>
    <w:rsid w:val="03BC29E0"/>
    <w:rsid w:val="03C3DD7B"/>
    <w:rsid w:val="03CBA744"/>
    <w:rsid w:val="03D394C5"/>
    <w:rsid w:val="03DD21C9"/>
    <w:rsid w:val="03E07ED6"/>
    <w:rsid w:val="03E0C66D"/>
    <w:rsid w:val="03E132F4"/>
    <w:rsid w:val="03E206C9"/>
    <w:rsid w:val="03E6F608"/>
    <w:rsid w:val="03E718A3"/>
    <w:rsid w:val="03ECBFA7"/>
    <w:rsid w:val="03F0811B"/>
    <w:rsid w:val="03F4B9CA"/>
    <w:rsid w:val="03F869A2"/>
    <w:rsid w:val="03FBAA68"/>
    <w:rsid w:val="03FFB826"/>
    <w:rsid w:val="04074FE7"/>
    <w:rsid w:val="04096C25"/>
    <w:rsid w:val="040B7300"/>
    <w:rsid w:val="0412D7F4"/>
    <w:rsid w:val="04220C32"/>
    <w:rsid w:val="04224F90"/>
    <w:rsid w:val="042321CD"/>
    <w:rsid w:val="04239B39"/>
    <w:rsid w:val="04341192"/>
    <w:rsid w:val="043BA629"/>
    <w:rsid w:val="045517AC"/>
    <w:rsid w:val="045A2AEB"/>
    <w:rsid w:val="045C4D78"/>
    <w:rsid w:val="045E6A6C"/>
    <w:rsid w:val="046ACB39"/>
    <w:rsid w:val="046E90F7"/>
    <w:rsid w:val="0476FA1B"/>
    <w:rsid w:val="047D9220"/>
    <w:rsid w:val="047EC4EA"/>
    <w:rsid w:val="04804458"/>
    <w:rsid w:val="048D43CE"/>
    <w:rsid w:val="04900708"/>
    <w:rsid w:val="04A2B27F"/>
    <w:rsid w:val="04A466DC"/>
    <w:rsid w:val="04A54819"/>
    <w:rsid w:val="04AD25D3"/>
    <w:rsid w:val="04B7D3D9"/>
    <w:rsid w:val="04D4143A"/>
    <w:rsid w:val="04DADB93"/>
    <w:rsid w:val="04E548C3"/>
    <w:rsid w:val="04E6C486"/>
    <w:rsid w:val="04E82C66"/>
    <w:rsid w:val="04E91018"/>
    <w:rsid w:val="04E9EE12"/>
    <w:rsid w:val="04EE8491"/>
    <w:rsid w:val="04F1BAEC"/>
    <w:rsid w:val="04F2B43D"/>
    <w:rsid w:val="04FD255D"/>
    <w:rsid w:val="04FD7151"/>
    <w:rsid w:val="0505E0D7"/>
    <w:rsid w:val="0506103B"/>
    <w:rsid w:val="05066036"/>
    <w:rsid w:val="05085D30"/>
    <w:rsid w:val="050D6240"/>
    <w:rsid w:val="0513686C"/>
    <w:rsid w:val="05157662"/>
    <w:rsid w:val="051E9980"/>
    <w:rsid w:val="05209B20"/>
    <w:rsid w:val="052102C1"/>
    <w:rsid w:val="05241FDB"/>
    <w:rsid w:val="05244F12"/>
    <w:rsid w:val="052EB1AA"/>
    <w:rsid w:val="0535BCE4"/>
    <w:rsid w:val="0537F0B6"/>
    <w:rsid w:val="0538A054"/>
    <w:rsid w:val="053A9290"/>
    <w:rsid w:val="053D083C"/>
    <w:rsid w:val="053F60C9"/>
    <w:rsid w:val="0540FA55"/>
    <w:rsid w:val="0541729C"/>
    <w:rsid w:val="05449838"/>
    <w:rsid w:val="054D2F12"/>
    <w:rsid w:val="05500CBB"/>
    <w:rsid w:val="05504B33"/>
    <w:rsid w:val="0555FAE9"/>
    <w:rsid w:val="0557FA41"/>
    <w:rsid w:val="05597FA4"/>
    <w:rsid w:val="055E016C"/>
    <w:rsid w:val="056A9A57"/>
    <w:rsid w:val="0572219F"/>
    <w:rsid w:val="057D9899"/>
    <w:rsid w:val="057FE0D7"/>
    <w:rsid w:val="058450B7"/>
    <w:rsid w:val="05900BEF"/>
    <w:rsid w:val="05938F04"/>
    <w:rsid w:val="05940140"/>
    <w:rsid w:val="05977AC9"/>
    <w:rsid w:val="059877B1"/>
    <w:rsid w:val="05A32048"/>
    <w:rsid w:val="05A481AD"/>
    <w:rsid w:val="05A57EBF"/>
    <w:rsid w:val="05A7CD1C"/>
    <w:rsid w:val="05B7EBF0"/>
    <w:rsid w:val="05C31657"/>
    <w:rsid w:val="05C43977"/>
    <w:rsid w:val="05CB62A9"/>
    <w:rsid w:val="05D0014E"/>
    <w:rsid w:val="05D1F856"/>
    <w:rsid w:val="05E43ADF"/>
    <w:rsid w:val="05E7F9EF"/>
    <w:rsid w:val="05E9A503"/>
    <w:rsid w:val="05F3AFD1"/>
    <w:rsid w:val="05FD699B"/>
    <w:rsid w:val="06029008"/>
    <w:rsid w:val="06068EFB"/>
    <w:rsid w:val="061E0110"/>
    <w:rsid w:val="061F629F"/>
    <w:rsid w:val="061FDC22"/>
    <w:rsid w:val="0620C8ED"/>
    <w:rsid w:val="0624672C"/>
    <w:rsid w:val="0625E498"/>
    <w:rsid w:val="06281DA9"/>
    <w:rsid w:val="062C62C8"/>
    <w:rsid w:val="063020BB"/>
    <w:rsid w:val="063BE350"/>
    <w:rsid w:val="063C9229"/>
    <w:rsid w:val="0644FD52"/>
    <w:rsid w:val="064CC808"/>
    <w:rsid w:val="064D8747"/>
    <w:rsid w:val="0653D0FD"/>
    <w:rsid w:val="06565AD7"/>
    <w:rsid w:val="065C464B"/>
    <w:rsid w:val="0660304F"/>
    <w:rsid w:val="0666AFA4"/>
    <w:rsid w:val="067AB1A5"/>
    <w:rsid w:val="067B1FEE"/>
    <w:rsid w:val="0684F33A"/>
    <w:rsid w:val="06863013"/>
    <w:rsid w:val="0686838E"/>
    <w:rsid w:val="06A303F9"/>
    <w:rsid w:val="06AD71F2"/>
    <w:rsid w:val="06BA4E07"/>
    <w:rsid w:val="06BBE35A"/>
    <w:rsid w:val="06BE6098"/>
    <w:rsid w:val="06D41F19"/>
    <w:rsid w:val="06D4C992"/>
    <w:rsid w:val="06D66AA5"/>
    <w:rsid w:val="06D88D4E"/>
    <w:rsid w:val="06DBC8CF"/>
    <w:rsid w:val="06E6B937"/>
    <w:rsid w:val="06EC0E85"/>
    <w:rsid w:val="06F143C2"/>
    <w:rsid w:val="06F3CAA2"/>
    <w:rsid w:val="06F5498A"/>
    <w:rsid w:val="06FFE0CE"/>
    <w:rsid w:val="070277C8"/>
    <w:rsid w:val="070A6009"/>
    <w:rsid w:val="070BC922"/>
    <w:rsid w:val="0717EEBB"/>
    <w:rsid w:val="0724E877"/>
    <w:rsid w:val="072C2169"/>
    <w:rsid w:val="072D78A9"/>
    <w:rsid w:val="072F6395"/>
    <w:rsid w:val="073958B0"/>
    <w:rsid w:val="07439D7D"/>
    <w:rsid w:val="074A6003"/>
    <w:rsid w:val="074B4438"/>
    <w:rsid w:val="074B4961"/>
    <w:rsid w:val="075254BA"/>
    <w:rsid w:val="0755C644"/>
    <w:rsid w:val="075767B6"/>
    <w:rsid w:val="0761FE0F"/>
    <w:rsid w:val="0767330A"/>
    <w:rsid w:val="07758F0D"/>
    <w:rsid w:val="0778F321"/>
    <w:rsid w:val="077BE0A9"/>
    <w:rsid w:val="0781738D"/>
    <w:rsid w:val="078A8470"/>
    <w:rsid w:val="078CB86E"/>
    <w:rsid w:val="0793C894"/>
    <w:rsid w:val="079984B7"/>
    <w:rsid w:val="07A54AF9"/>
    <w:rsid w:val="07B3090C"/>
    <w:rsid w:val="07B665AC"/>
    <w:rsid w:val="07B75810"/>
    <w:rsid w:val="07BF5A16"/>
    <w:rsid w:val="07C7DC9D"/>
    <w:rsid w:val="07CD9513"/>
    <w:rsid w:val="07CE6538"/>
    <w:rsid w:val="07D0CF2C"/>
    <w:rsid w:val="07D614FC"/>
    <w:rsid w:val="07D76301"/>
    <w:rsid w:val="07D9BF33"/>
    <w:rsid w:val="07DCE8DB"/>
    <w:rsid w:val="07ECB1A7"/>
    <w:rsid w:val="07F2E790"/>
    <w:rsid w:val="07FCE403"/>
    <w:rsid w:val="0800DC0E"/>
    <w:rsid w:val="080D330E"/>
    <w:rsid w:val="08129092"/>
    <w:rsid w:val="081FE9D1"/>
    <w:rsid w:val="082297E9"/>
    <w:rsid w:val="082E56E7"/>
    <w:rsid w:val="083120FB"/>
    <w:rsid w:val="0834C61F"/>
    <w:rsid w:val="08433D23"/>
    <w:rsid w:val="08445A31"/>
    <w:rsid w:val="0847C4D4"/>
    <w:rsid w:val="084F8DE4"/>
    <w:rsid w:val="0853E42F"/>
    <w:rsid w:val="0861FD73"/>
    <w:rsid w:val="0863109D"/>
    <w:rsid w:val="08631E75"/>
    <w:rsid w:val="08633DE9"/>
    <w:rsid w:val="0864B896"/>
    <w:rsid w:val="086588A9"/>
    <w:rsid w:val="08675304"/>
    <w:rsid w:val="0873FE8A"/>
    <w:rsid w:val="0874970E"/>
    <w:rsid w:val="08758E2E"/>
    <w:rsid w:val="08761421"/>
    <w:rsid w:val="087635DF"/>
    <w:rsid w:val="087672A6"/>
    <w:rsid w:val="08777169"/>
    <w:rsid w:val="08777EFE"/>
    <w:rsid w:val="0879517A"/>
    <w:rsid w:val="087A36BB"/>
    <w:rsid w:val="0889EA9A"/>
    <w:rsid w:val="088BC063"/>
    <w:rsid w:val="08921435"/>
    <w:rsid w:val="08974E9E"/>
    <w:rsid w:val="089D7762"/>
    <w:rsid w:val="08A3472B"/>
    <w:rsid w:val="08AA48C3"/>
    <w:rsid w:val="08ABC391"/>
    <w:rsid w:val="08AC324C"/>
    <w:rsid w:val="08B0C5BD"/>
    <w:rsid w:val="08C1AA9F"/>
    <w:rsid w:val="08C5A294"/>
    <w:rsid w:val="08C8B089"/>
    <w:rsid w:val="08CA0F31"/>
    <w:rsid w:val="08CBDAC5"/>
    <w:rsid w:val="08CDEB90"/>
    <w:rsid w:val="08D01873"/>
    <w:rsid w:val="08D0336B"/>
    <w:rsid w:val="08E0FDB1"/>
    <w:rsid w:val="08E354FD"/>
    <w:rsid w:val="08E44CA3"/>
    <w:rsid w:val="08E45C53"/>
    <w:rsid w:val="08E50D07"/>
    <w:rsid w:val="08F33817"/>
    <w:rsid w:val="08F513AF"/>
    <w:rsid w:val="08FAE495"/>
    <w:rsid w:val="08FAF3A6"/>
    <w:rsid w:val="08FB8E88"/>
    <w:rsid w:val="09022015"/>
    <w:rsid w:val="0903830F"/>
    <w:rsid w:val="091A6D43"/>
    <w:rsid w:val="091BD0C3"/>
    <w:rsid w:val="09202F48"/>
    <w:rsid w:val="092CCBBD"/>
    <w:rsid w:val="093DF1D1"/>
    <w:rsid w:val="0941ED9A"/>
    <w:rsid w:val="09446F0B"/>
    <w:rsid w:val="094DC2AD"/>
    <w:rsid w:val="09514F37"/>
    <w:rsid w:val="09524561"/>
    <w:rsid w:val="09582E1B"/>
    <w:rsid w:val="095E3542"/>
    <w:rsid w:val="0963ACFE"/>
    <w:rsid w:val="0964FFCB"/>
    <w:rsid w:val="0965094E"/>
    <w:rsid w:val="096C3CE8"/>
    <w:rsid w:val="0978E6C8"/>
    <w:rsid w:val="097ABEB0"/>
    <w:rsid w:val="099F87A6"/>
    <w:rsid w:val="09A3B0CF"/>
    <w:rsid w:val="09AE4CB6"/>
    <w:rsid w:val="09B7BA17"/>
    <w:rsid w:val="09C969E4"/>
    <w:rsid w:val="09DDFEBA"/>
    <w:rsid w:val="09DF96DB"/>
    <w:rsid w:val="09E03DED"/>
    <w:rsid w:val="09E1D184"/>
    <w:rsid w:val="09E8EC6E"/>
    <w:rsid w:val="09F4E2A0"/>
    <w:rsid w:val="09F8FDF3"/>
    <w:rsid w:val="09F9D476"/>
    <w:rsid w:val="0A00CA6E"/>
    <w:rsid w:val="0A07CBF5"/>
    <w:rsid w:val="0A08D223"/>
    <w:rsid w:val="0A0B3D12"/>
    <w:rsid w:val="0A0D1C63"/>
    <w:rsid w:val="0A0D2F1B"/>
    <w:rsid w:val="0A11DE07"/>
    <w:rsid w:val="0A21145A"/>
    <w:rsid w:val="0A233C58"/>
    <w:rsid w:val="0A2436BB"/>
    <w:rsid w:val="0A26541C"/>
    <w:rsid w:val="0A2B23D6"/>
    <w:rsid w:val="0A2B3179"/>
    <w:rsid w:val="0A3A5901"/>
    <w:rsid w:val="0A3C4AE0"/>
    <w:rsid w:val="0A424687"/>
    <w:rsid w:val="0A4592C2"/>
    <w:rsid w:val="0A4D8048"/>
    <w:rsid w:val="0A4FD950"/>
    <w:rsid w:val="0A5C8939"/>
    <w:rsid w:val="0A65196B"/>
    <w:rsid w:val="0A6E1F44"/>
    <w:rsid w:val="0A70C5EE"/>
    <w:rsid w:val="0A7234B6"/>
    <w:rsid w:val="0A737C5C"/>
    <w:rsid w:val="0A75BCCA"/>
    <w:rsid w:val="0A7ADE3B"/>
    <w:rsid w:val="0A801D04"/>
    <w:rsid w:val="0A82E4FA"/>
    <w:rsid w:val="0A8F0878"/>
    <w:rsid w:val="0A8FDE06"/>
    <w:rsid w:val="0A92183F"/>
    <w:rsid w:val="0A94C0A8"/>
    <w:rsid w:val="0AA0CEAB"/>
    <w:rsid w:val="0AA56979"/>
    <w:rsid w:val="0AB2D7A2"/>
    <w:rsid w:val="0AB84F1B"/>
    <w:rsid w:val="0AC2ADDC"/>
    <w:rsid w:val="0ACDABF0"/>
    <w:rsid w:val="0AD9A8E0"/>
    <w:rsid w:val="0ADDBDFB"/>
    <w:rsid w:val="0ADED71C"/>
    <w:rsid w:val="0AE1C825"/>
    <w:rsid w:val="0AF1EE54"/>
    <w:rsid w:val="0AF6A75D"/>
    <w:rsid w:val="0AFF24CC"/>
    <w:rsid w:val="0B0031A7"/>
    <w:rsid w:val="0B018366"/>
    <w:rsid w:val="0B02DC6E"/>
    <w:rsid w:val="0B0C48AE"/>
    <w:rsid w:val="0B0E7FD8"/>
    <w:rsid w:val="0B236436"/>
    <w:rsid w:val="0B282A72"/>
    <w:rsid w:val="0B2A73E6"/>
    <w:rsid w:val="0B469344"/>
    <w:rsid w:val="0B4755ED"/>
    <w:rsid w:val="0B5FB970"/>
    <w:rsid w:val="0B63A185"/>
    <w:rsid w:val="0B66E9FF"/>
    <w:rsid w:val="0B6852D2"/>
    <w:rsid w:val="0B6D6439"/>
    <w:rsid w:val="0B74BB80"/>
    <w:rsid w:val="0B76B447"/>
    <w:rsid w:val="0B7DDB1B"/>
    <w:rsid w:val="0B86FE8F"/>
    <w:rsid w:val="0B8EFB37"/>
    <w:rsid w:val="0B927480"/>
    <w:rsid w:val="0B9EF3C6"/>
    <w:rsid w:val="0BA4F54F"/>
    <w:rsid w:val="0BABFE71"/>
    <w:rsid w:val="0BB67F9A"/>
    <w:rsid w:val="0BBC7096"/>
    <w:rsid w:val="0BBF51EF"/>
    <w:rsid w:val="0BC080DF"/>
    <w:rsid w:val="0BC125BA"/>
    <w:rsid w:val="0BC99368"/>
    <w:rsid w:val="0BCE5815"/>
    <w:rsid w:val="0BD0B4CD"/>
    <w:rsid w:val="0BD51824"/>
    <w:rsid w:val="0BDE16E8"/>
    <w:rsid w:val="0BDF165B"/>
    <w:rsid w:val="0BED93F0"/>
    <w:rsid w:val="0BF115C9"/>
    <w:rsid w:val="0BF39737"/>
    <w:rsid w:val="0BF7D18C"/>
    <w:rsid w:val="0BF7F860"/>
    <w:rsid w:val="0BFD4356"/>
    <w:rsid w:val="0BFDA816"/>
    <w:rsid w:val="0C13F1B6"/>
    <w:rsid w:val="0C1EBA84"/>
    <w:rsid w:val="0C207CB9"/>
    <w:rsid w:val="0C25C5DD"/>
    <w:rsid w:val="0C27132C"/>
    <w:rsid w:val="0C2716DC"/>
    <w:rsid w:val="0C34F41D"/>
    <w:rsid w:val="0C37E2E1"/>
    <w:rsid w:val="0C3F8E53"/>
    <w:rsid w:val="0C415789"/>
    <w:rsid w:val="0C44232F"/>
    <w:rsid w:val="0C4B975F"/>
    <w:rsid w:val="0C5B0821"/>
    <w:rsid w:val="0C5F34E6"/>
    <w:rsid w:val="0C661F87"/>
    <w:rsid w:val="0C6788A2"/>
    <w:rsid w:val="0C774E4A"/>
    <w:rsid w:val="0C86E084"/>
    <w:rsid w:val="0C91E479"/>
    <w:rsid w:val="0C9284FA"/>
    <w:rsid w:val="0C9BEC39"/>
    <w:rsid w:val="0C9C69C3"/>
    <w:rsid w:val="0CA2257C"/>
    <w:rsid w:val="0CAD9384"/>
    <w:rsid w:val="0CB0878A"/>
    <w:rsid w:val="0CC3EB3F"/>
    <w:rsid w:val="0CC85660"/>
    <w:rsid w:val="0CCC6AF8"/>
    <w:rsid w:val="0CEEF7E0"/>
    <w:rsid w:val="0CEF8623"/>
    <w:rsid w:val="0CF08D33"/>
    <w:rsid w:val="0CFFDDEA"/>
    <w:rsid w:val="0D01C80A"/>
    <w:rsid w:val="0D02BA60"/>
    <w:rsid w:val="0D06087A"/>
    <w:rsid w:val="0D09349A"/>
    <w:rsid w:val="0D0E72E0"/>
    <w:rsid w:val="0D26484A"/>
    <w:rsid w:val="0D27DE42"/>
    <w:rsid w:val="0D2AF8E4"/>
    <w:rsid w:val="0D389029"/>
    <w:rsid w:val="0D39DB92"/>
    <w:rsid w:val="0D3AC427"/>
    <w:rsid w:val="0D4496FB"/>
    <w:rsid w:val="0D4C611A"/>
    <w:rsid w:val="0D55DCDF"/>
    <w:rsid w:val="0D5A250C"/>
    <w:rsid w:val="0D5ADB5B"/>
    <w:rsid w:val="0D6CB27A"/>
    <w:rsid w:val="0D6E49C1"/>
    <w:rsid w:val="0D6F2252"/>
    <w:rsid w:val="0D7B0AA6"/>
    <w:rsid w:val="0D8079CC"/>
    <w:rsid w:val="0D898193"/>
    <w:rsid w:val="0D8D720F"/>
    <w:rsid w:val="0D9A9BBB"/>
    <w:rsid w:val="0D9FB224"/>
    <w:rsid w:val="0DA60400"/>
    <w:rsid w:val="0DBA1BA6"/>
    <w:rsid w:val="0DBC4CAA"/>
    <w:rsid w:val="0DBCCCEB"/>
    <w:rsid w:val="0DC6A93A"/>
    <w:rsid w:val="0DC71172"/>
    <w:rsid w:val="0DCA6A65"/>
    <w:rsid w:val="0DCBA7B3"/>
    <w:rsid w:val="0DCE1058"/>
    <w:rsid w:val="0DD6F432"/>
    <w:rsid w:val="0DDF9872"/>
    <w:rsid w:val="0DE039CF"/>
    <w:rsid w:val="0DF1FBE8"/>
    <w:rsid w:val="0E0529C0"/>
    <w:rsid w:val="0E0F8D4E"/>
    <w:rsid w:val="0E15E7AA"/>
    <w:rsid w:val="0E162041"/>
    <w:rsid w:val="0E1C11C0"/>
    <w:rsid w:val="0E2D7917"/>
    <w:rsid w:val="0E306C11"/>
    <w:rsid w:val="0E3314C3"/>
    <w:rsid w:val="0E371E21"/>
    <w:rsid w:val="0E3859EE"/>
    <w:rsid w:val="0E3FCF2D"/>
    <w:rsid w:val="0E404774"/>
    <w:rsid w:val="0E446A65"/>
    <w:rsid w:val="0E4701A5"/>
    <w:rsid w:val="0E4A44F0"/>
    <w:rsid w:val="0E4A4910"/>
    <w:rsid w:val="0E5A9B0C"/>
    <w:rsid w:val="0E5B7BAA"/>
    <w:rsid w:val="0E6128C2"/>
    <w:rsid w:val="0E69B52E"/>
    <w:rsid w:val="0E7779BC"/>
    <w:rsid w:val="0E90F11B"/>
    <w:rsid w:val="0EA64342"/>
    <w:rsid w:val="0EAB4E01"/>
    <w:rsid w:val="0EAC19DD"/>
    <w:rsid w:val="0EACF281"/>
    <w:rsid w:val="0EB79ABC"/>
    <w:rsid w:val="0EBC6B93"/>
    <w:rsid w:val="0EC693CD"/>
    <w:rsid w:val="0ED16ECB"/>
    <w:rsid w:val="0ED33D2D"/>
    <w:rsid w:val="0ED4CA2D"/>
    <w:rsid w:val="0EE39F33"/>
    <w:rsid w:val="0EE4E405"/>
    <w:rsid w:val="0EF2ACF6"/>
    <w:rsid w:val="0EF61B8E"/>
    <w:rsid w:val="0EF98FB9"/>
    <w:rsid w:val="0EFF71B8"/>
    <w:rsid w:val="0F03E7CD"/>
    <w:rsid w:val="0F1F0517"/>
    <w:rsid w:val="0F26319A"/>
    <w:rsid w:val="0F3333C2"/>
    <w:rsid w:val="0F352C16"/>
    <w:rsid w:val="0F3B2BB3"/>
    <w:rsid w:val="0F3B8285"/>
    <w:rsid w:val="0F3F8BA0"/>
    <w:rsid w:val="0F4AB828"/>
    <w:rsid w:val="0F4E06AA"/>
    <w:rsid w:val="0F53AB9C"/>
    <w:rsid w:val="0F56561D"/>
    <w:rsid w:val="0F5CA4A6"/>
    <w:rsid w:val="0F634F29"/>
    <w:rsid w:val="0F6DED50"/>
    <w:rsid w:val="0F7D41FC"/>
    <w:rsid w:val="0F7EF58A"/>
    <w:rsid w:val="0F833821"/>
    <w:rsid w:val="0F8D2E99"/>
    <w:rsid w:val="0FA7E19E"/>
    <w:rsid w:val="0FAA2F45"/>
    <w:rsid w:val="0FAB5DAF"/>
    <w:rsid w:val="0FB1F0A2"/>
    <w:rsid w:val="0FB20799"/>
    <w:rsid w:val="0FB4AE16"/>
    <w:rsid w:val="0FBB8963"/>
    <w:rsid w:val="0FC2E861"/>
    <w:rsid w:val="0FCC02E3"/>
    <w:rsid w:val="0FD05904"/>
    <w:rsid w:val="0FD42A4F"/>
    <w:rsid w:val="0FD82A0E"/>
    <w:rsid w:val="0FDAFB20"/>
    <w:rsid w:val="0FEDEA38"/>
    <w:rsid w:val="0FF2968B"/>
    <w:rsid w:val="0FF7DE72"/>
    <w:rsid w:val="0FFB8C01"/>
    <w:rsid w:val="10001186"/>
    <w:rsid w:val="10007F03"/>
    <w:rsid w:val="100DE07F"/>
    <w:rsid w:val="100E3CE9"/>
    <w:rsid w:val="1012E427"/>
    <w:rsid w:val="10134A1D"/>
    <w:rsid w:val="1014FD2B"/>
    <w:rsid w:val="1015453F"/>
    <w:rsid w:val="101D6BA2"/>
    <w:rsid w:val="101D8E3A"/>
    <w:rsid w:val="102120E3"/>
    <w:rsid w:val="1022900A"/>
    <w:rsid w:val="1023EDD8"/>
    <w:rsid w:val="10247778"/>
    <w:rsid w:val="102C0524"/>
    <w:rsid w:val="102FE8F0"/>
    <w:rsid w:val="103F67E3"/>
    <w:rsid w:val="104EFB13"/>
    <w:rsid w:val="10582DF2"/>
    <w:rsid w:val="105EF614"/>
    <w:rsid w:val="105F7F04"/>
    <w:rsid w:val="10650EAA"/>
    <w:rsid w:val="106FBD8C"/>
    <w:rsid w:val="1074D558"/>
    <w:rsid w:val="1078BA30"/>
    <w:rsid w:val="1079726B"/>
    <w:rsid w:val="107F6F94"/>
    <w:rsid w:val="10897211"/>
    <w:rsid w:val="108D3626"/>
    <w:rsid w:val="108DD645"/>
    <w:rsid w:val="10914F08"/>
    <w:rsid w:val="10926407"/>
    <w:rsid w:val="109530B3"/>
    <w:rsid w:val="109C8463"/>
    <w:rsid w:val="10A3D59F"/>
    <w:rsid w:val="10A52CD9"/>
    <w:rsid w:val="10A99A85"/>
    <w:rsid w:val="10AB86F5"/>
    <w:rsid w:val="10ABE7BF"/>
    <w:rsid w:val="10B2C4A4"/>
    <w:rsid w:val="10B7F0DC"/>
    <w:rsid w:val="10BB835B"/>
    <w:rsid w:val="10C089D1"/>
    <w:rsid w:val="10CD2147"/>
    <w:rsid w:val="10D1FD28"/>
    <w:rsid w:val="10DFC619"/>
    <w:rsid w:val="10E9128A"/>
    <w:rsid w:val="10F96C3D"/>
    <w:rsid w:val="11065C5F"/>
    <w:rsid w:val="11119121"/>
    <w:rsid w:val="11127351"/>
    <w:rsid w:val="11143137"/>
    <w:rsid w:val="1118486D"/>
    <w:rsid w:val="1120444F"/>
    <w:rsid w:val="1132E4BE"/>
    <w:rsid w:val="113B5094"/>
    <w:rsid w:val="113E6696"/>
    <w:rsid w:val="11450F31"/>
    <w:rsid w:val="11468771"/>
    <w:rsid w:val="114A4B2C"/>
    <w:rsid w:val="114A8F13"/>
    <w:rsid w:val="114F12D1"/>
    <w:rsid w:val="114F80F0"/>
    <w:rsid w:val="11517028"/>
    <w:rsid w:val="115239FF"/>
    <w:rsid w:val="1152D54E"/>
    <w:rsid w:val="11550185"/>
    <w:rsid w:val="1159D695"/>
    <w:rsid w:val="11628EC9"/>
    <w:rsid w:val="1175969F"/>
    <w:rsid w:val="117DCF31"/>
    <w:rsid w:val="118C787A"/>
    <w:rsid w:val="11975C62"/>
    <w:rsid w:val="11A1A2F0"/>
    <w:rsid w:val="11A51EEB"/>
    <w:rsid w:val="11A68797"/>
    <w:rsid w:val="11AF209D"/>
    <w:rsid w:val="11B08A2E"/>
    <w:rsid w:val="11B10599"/>
    <w:rsid w:val="11BA26B0"/>
    <w:rsid w:val="11BD2CEE"/>
    <w:rsid w:val="11C3FE56"/>
    <w:rsid w:val="11CB3C78"/>
    <w:rsid w:val="11D48A3E"/>
    <w:rsid w:val="11E3AED5"/>
    <w:rsid w:val="11E72432"/>
    <w:rsid w:val="120790D5"/>
    <w:rsid w:val="121094D0"/>
    <w:rsid w:val="1216E454"/>
    <w:rsid w:val="1220E365"/>
    <w:rsid w:val="122749C1"/>
    <w:rsid w:val="122FF7A3"/>
    <w:rsid w:val="1234300F"/>
    <w:rsid w:val="1234DD13"/>
    <w:rsid w:val="124AF064"/>
    <w:rsid w:val="124DCA8F"/>
    <w:rsid w:val="12547D0C"/>
    <w:rsid w:val="125DE236"/>
    <w:rsid w:val="1264C866"/>
    <w:rsid w:val="126AD484"/>
    <w:rsid w:val="126D0035"/>
    <w:rsid w:val="126D1601"/>
    <w:rsid w:val="12760DD5"/>
    <w:rsid w:val="12784DE7"/>
    <w:rsid w:val="1280A041"/>
    <w:rsid w:val="128DF6DF"/>
    <w:rsid w:val="12953C9E"/>
    <w:rsid w:val="12A138C5"/>
    <w:rsid w:val="12A9D173"/>
    <w:rsid w:val="12B418CE"/>
    <w:rsid w:val="12B841B4"/>
    <w:rsid w:val="12BE0CC1"/>
    <w:rsid w:val="12CD3717"/>
    <w:rsid w:val="12D5610B"/>
    <w:rsid w:val="12D720F5"/>
    <w:rsid w:val="12E160F5"/>
    <w:rsid w:val="12EBE493"/>
    <w:rsid w:val="12F6A273"/>
    <w:rsid w:val="12F70776"/>
    <w:rsid w:val="12FDE5A7"/>
    <w:rsid w:val="12FEEE25"/>
    <w:rsid w:val="1306D6A9"/>
    <w:rsid w:val="13110EF0"/>
    <w:rsid w:val="131187C0"/>
    <w:rsid w:val="13183477"/>
    <w:rsid w:val="1318C7A3"/>
    <w:rsid w:val="131E10AB"/>
    <w:rsid w:val="13251AAC"/>
    <w:rsid w:val="1327EBC5"/>
    <w:rsid w:val="132F0FEE"/>
    <w:rsid w:val="1334A77A"/>
    <w:rsid w:val="1336ADBD"/>
    <w:rsid w:val="1340EF4C"/>
    <w:rsid w:val="134B3C15"/>
    <w:rsid w:val="134B67B3"/>
    <w:rsid w:val="1351A529"/>
    <w:rsid w:val="13552EFC"/>
    <w:rsid w:val="135A6EFE"/>
    <w:rsid w:val="1360E954"/>
    <w:rsid w:val="13626ADD"/>
    <w:rsid w:val="136FCE4A"/>
    <w:rsid w:val="137B7A47"/>
    <w:rsid w:val="1384E1C9"/>
    <w:rsid w:val="139139FE"/>
    <w:rsid w:val="13958E8D"/>
    <w:rsid w:val="139D8665"/>
    <w:rsid w:val="139E845C"/>
    <w:rsid w:val="13ABDC1A"/>
    <w:rsid w:val="13C28379"/>
    <w:rsid w:val="13C3B58D"/>
    <w:rsid w:val="13C6BC92"/>
    <w:rsid w:val="13D1BECB"/>
    <w:rsid w:val="13D534B5"/>
    <w:rsid w:val="13DE63D6"/>
    <w:rsid w:val="13EE7638"/>
    <w:rsid w:val="13F9B297"/>
    <w:rsid w:val="13FD19D2"/>
    <w:rsid w:val="140574FF"/>
    <w:rsid w:val="14078AEF"/>
    <w:rsid w:val="1407DC25"/>
    <w:rsid w:val="140B1E40"/>
    <w:rsid w:val="140E35BB"/>
    <w:rsid w:val="140FF12F"/>
    <w:rsid w:val="14124CDE"/>
    <w:rsid w:val="141F0230"/>
    <w:rsid w:val="142D7DC3"/>
    <w:rsid w:val="142F9978"/>
    <w:rsid w:val="1430E674"/>
    <w:rsid w:val="14349715"/>
    <w:rsid w:val="144565EB"/>
    <w:rsid w:val="144AE6C0"/>
    <w:rsid w:val="1455555B"/>
    <w:rsid w:val="1459233F"/>
    <w:rsid w:val="14592BE8"/>
    <w:rsid w:val="145FF695"/>
    <w:rsid w:val="14629BED"/>
    <w:rsid w:val="1468D5CC"/>
    <w:rsid w:val="1469DDCF"/>
    <w:rsid w:val="146AD2DC"/>
    <w:rsid w:val="14738957"/>
    <w:rsid w:val="147A5EC8"/>
    <w:rsid w:val="147B6770"/>
    <w:rsid w:val="147FB88F"/>
    <w:rsid w:val="148409DB"/>
    <w:rsid w:val="148561C5"/>
    <w:rsid w:val="1485D367"/>
    <w:rsid w:val="148EF220"/>
    <w:rsid w:val="1491D5ED"/>
    <w:rsid w:val="14937855"/>
    <w:rsid w:val="149A4B3B"/>
    <w:rsid w:val="149A9AC6"/>
    <w:rsid w:val="149D4E3C"/>
    <w:rsid w:val="149D6BC4"/>
    <w:rsid w:val="149F717E"/>
    <w:rsid w:val="14A713ED"/>
    <w:rsid w:val="14AEE53A"/>
    <w:rsid w:val="14B70B14"/>
    <w:rsid w:val="14BFD7FA"/>
    <w:rsid w:val="14CD1FFA"/>
    <w:rsid w:val="14D6B7BD"/>
    <w:rsid w:val="14ED65B0"/>
    <w:rsid w:val="14ED6F0F"/>
    <w:rsid w:val="14EF407F"/>
    <w:rsid w:val="14F1CE2F"/>
    <w:rsid w:val="14FAB751"/>
    <w:rsid w:val="14FBCCED"/>
    <w:rsid w:val="14FC1263"/>
    <w:rsid w:val="151C3405"/>
    <w:rsid w:val="152B8949"/>
    <w:rsid w:val="152CAAE7"/>
    <w:rsid w:val="15392D27"/>
    <w:rsid w:val="153B90E3"/>
    <w:rsid w:val="15437D15"/>
    <w:rsid w:val="1547568C"/>
    <w:rsid w:val="154B6A9B"/>
    <w:rsid w:val="15528192"/>
    <w:rsid w:val="1561BC48"/>
    <w:rsid w:val="1576C2E3"/>
    <w:rsid w:val="1578DA59"/>
    <w:rsid w:val="157AD297"/>
    <w:rsid w:val="157D1EC5"/>
    <w:rsid w:val="157EFD87"/>
    <w:rsid w:val="158B03BA"/>
    <w:rsid w:val="158B61FF"/>
    <w:rsid w:val="158D7676"/>
    <w:rsid w:val="1590D14F"/>
    <w:rsid w:val="1598CB45"/>
    <w:rsid w:val="1598E6DF"/>
    <w:rsid w:val="159A7924"/>
    <w:rsid w:val="15AF5BE1"/>
    <w:rsid w:val="15B16249"/>
    <w:rsid w:val="15D8A537"/>
    <w:rsid w:val="15DDA63E"/>
    <w:rsid w:val="15E15523"/>
    <w:rsid w:val="15EB639E"/>
    <w:rsid w:val="15EF2691"/>
    <w:rsid w:val="15F125BC"/>
    <w:rsid w:val="15F4E8EF"/>
    <w:rsid w:val="15F6BFF7"/>
    <w:rsid w:val="15FBC6F6"/>
    <w:rsid w:val="15FE6C4E"/>
    <w:rsid w:val="16045DA3"/>
    <w:rsid w:val="1605EFEB"/>
    <w:rsid w:val="1608FBC2"/>
    <w:rsid w:val="160F59B8"/>
    <w:rsid w:val="16221982"/>
    <w:rsid w:val="16296E6E"/>
    <w:rsid w:val="162E44C7"/>
    <w:rsid w:val="163630BB"/>
    <w:rsid w:val="163886F8"/>
    <w:rsid w:val="163C4B7A"/>
    <w:rsid w:val="163C4CA2"/>
    <w:rsid w:val="1644300E"/>
    <w:rsid w:val="16535644"/>
    <w:rsid w:val="165F0E6E"/>
    <w:rsid w:val="1661D80F"/>
    <w:rsid w:val="166B5AD5"/>
    <w:rsid w:val="166E25EC"/>
    <w:rsid w:val="166FC47A"/>
    <w:rsid w:val="16799BB1"/>
    <w:rsid w:val="167EAB6F"/>
    <w:rsid w:val="1683D301"/>
    <w:rsid w:val="1684BFA0"/>
    <w:rsid w:val="16893611"/>
    <w:rsid w:val="168F84DD"/>
    <w:rsid w:val="169D3789"/>
    <w:rsid w:val="169DC955"/>
    <w:rsid w:val="16A1C0BB"/>
    <w:rsid w:val="16B4106A"/>
    <w:rsid w:val="16C21B80"/>
    <w:rsid w:val="16C93F3D"/>
    <w:rsid w:val="16CB4107"/>
    <w:rsid w:val="16CE3798"/>
    <w:rsid w:val="16D0401C"/>
    <w:rsid w:val="16D21476"/>
    <w:rsid w:val="16D86CE4"/>
    <w:rsid w:val="16E0D762"/>
    <w:rsid w:val="16F0C60F"/>
    <w:rsid w:val="16F92376"/>
    <w:rsid w:val="16FC77AA"/>
    <w:rsid w:val="17004373"/>
    <w:rsid w:val="1712DAF3"/>
    <w:rsid w:val="17174848"/>
    <w:rsid w:val="171C95C9"/>
    <w:rsid w:val="171E6187"/>
    <w:rsid w:val="172AE963"/>
    <w:rsid w:val="1734BFA0"/>
    <w:rsid w:val="1735DF40"/>
    <w:rsid w:val="173789E4"/>
    <w:rsid w:val="1738FC5C"/>
    <w:rsid w:val="17407158"/>
    <w:rsid w:val="1742F9C7"/>
    <w:rsid w:val="17436F2A"/>
    <w:rsid w:val="1745BEC0"/>
    <w:rsid w:val="1745F56B"/>
    <w:rsid w:val="1746974B"/>
    <w:rsid w:val="17596FE4"/>
    <w:rsid w:val="175ACAB5"/>
    <w:rsid w:val="1760E2AC"/>
    <w:rsid w:val="17651E85"/>
    <w:rsid w:val="1768ADC1"/>
    <w:rsid w:val="176E5392"/>
    <w:rsid w:val="176FF948"/>
    <w:rsid w:val="178D901D"/>
    <w:rsid w:val="17929EFC"/>
    <w:rsid w:val="1796E474"/>
    <w:rsid w:val="179F84DD"/>
    <w:rsid w:val="17A2DC7B"/>
    <w:rsid w:val="17A774FF"/>
    <w:rsid w:val="17B085B6"/>
    <w:rsid w:val="17B0DDD3"/>
    <w:rsid w:val="17B3F418"/>
    <w:rsid w:val="17BF55B6"/>
    <w:rsid w:val="17C4D80A"/>
    <w:rsid w:val="17C72905"/>
    <w:rsid w:val="17CD0FD9"/>
    <w:rsid w:val="17D0F8BD"/>
    <w:rsid w:val="17D449F1"/>
    <w:rsid w:val="17E10BFB"/>
    <w:rsid w:val="17E1AFF4"/>
    <w:rsid w:val="17E729BA"/>
    <w:rsid w:val="17EB4CAB"/>
    <w:rsid w:val="17F33A31"/>
    <w:rsid w:val="180484CC"/>
    <w:rsid w:val="1808C74A"/>
    <w:rsid w:val="180CB098"/>
    <w:rsid w:val="18160387"/>
    <w:rsid w:val="1816F052"/>
    <w:rsid w:val="1828617D"/>
    <w:rsid w:val="184AF266"/>
    <w:rsid w:val="18526197"/>
    <w:rsid w:val="18592A42"/>
    <w:rsid w:val="185C1248"/>
    <w:rsid w:val="185DA9FC"/>
    <w:rsid w:val="1860F716"/>
    <w:rsid w:val="1863139D"/>
    <w:rsid w:val="18690A02"/>
    <w:rsid w:val="18691A7E"/>
    <w:rsid w:val="18714379"/>
    <w:rsid w:val="18758948"/>
    <w:rsid w:val="1883E213"/>
    <w:rsid w:val="18860569"/>
    <w:rsid w:val="18889D4B"/>
    <w:rsid w:val="188CA121"/>
    <w:rsid w:val="189483F6"/>
    <w:rsid w:val="189D8B4B"/>
    <w:rsid w:val="18A071FF"/>
    <w:rsid w:val="18A09A22"/>
    <w:rsid w:val="18A182B4"/>
    <w:rsid w:val="18A48777"/>
    <w:rsid w:val="18AAD504"/>
    <w:rsid w:val="18BC99F0"/>
    <w:rsid w:val="18C1E75B"/>
    <w:rsid w:val="18C302C1"/>
    <w:rsid w:val="18C87211"/>
    <w:rsid w:val="18C8E1DB"/>
    <w:rsid w:val="18CD13E0"/>
    <w:rsid w:val="18D35A45"/>
    <w:rsid w:val="18D6E7D6"/>
    <w:rsid w:val="18E264CB"/>
    <w:rsid w:val="18E4EE49"/>
    <w:rsid w:val="18E9030B"/>
    <w:rsid w:val="18EAB7EB"/>
    <w:rsid w:val="18FCB30D"/>
    <w:rsid w:val="1903934B"/>
    <w:rsid w:val="191360D0"/>
    <w:rsid w:val="1915B8F9"/>
    <w:rsid w:val="191B135F"/>
    <w:rsid w:val="192114BB"/>
    <w:rsid w:val="192483A4"/>
    <w:rsid w:val="19314274"/>
    <w:rsid w:val="1939A91B"/>
    <w:rsid w:val="193B553E"/>
    <w:rsid w:val="193BE2B8"/>
    <w:rsid w:val="193F1252"/>
    <w:rsid w:val="1940562C"/>
    <w:rsid w:val="19419727"/>
    <w:rsid w:val="194CAE34"/>
    <w:rsid w:val="19517DA8"/>
    <w:rsid w:val="19519956"/>
    <w:rsid w:val="19523FF5"/>
    <w:rsid w:val="196D17F0"/>
    <w:rsid w:val="19708FCE"/>
    <w:rsid w:val="19767AFF"/>
    <w:rsid w:val="1979552A"/>
    <w:rsid w:val="199AB88E"/>
    <w:rsid w:val="19A02FF1"/>
    <w:rsid w:val="19A67A8C"/>
    <w:rsid w:val="19AB8D26"/>
    <w:rsid w:val="19B45070"/>
    <w:rsid w:val="19B6C5B4"/>
    <w:rsid w:val="19C0D6D3"/>
    <w:rsid w:val="19C44DE8"/>
    <w:rsid w:val="19C4D5AD"/>
    <w:rsid w:val="19CAE944"/>
    <w:rsid w:val="19CF3E10"/>
    <w:rsid w:val="19D05DC0"/>
    <w:rsid w:val="19D363FB"/>
    <w:rsid w:val="19D7D2F9"/>
    <w:rsid w:val="19DE6A51"/>
    <w:rsid w:val="19EAE4E1"/>
    <w:rsid w:val="19EE00A8"/>
    <w:rsid w:val="19F94DB0"/>
    <w:rsid w:val="1A001C0A"/>
    <w:rsid w:val="1A0C4228"/>
    <w:rsid w:val="1A16EE38"/>
    <w:rsid w:val="1A19472F"/>
    <w:rsid w:val="1A1ED46D"/>
    <w:rsid w:val="1A22DB08"/>
    <w:rsid w:val="1A27D488"/>
    <w:rsid w:val="1A39464D"/>
    <w:rsid w:val="1A4057D8"/>
    <w:rsid w:val="1A4942C9"/>
    <w:rsid w:val="1A517F7E"/>
    <w:rsid w:val="1A5F3F7F"/>
    <w:rsid w:val="1A6214D8"/>
    <w:rsid w:val="1A6942AD"/>
    <w:rsid w:val="1A6B6932"/>
    <w:rsid w:val="1A6E4803"/>
    <w:rsid w:val="1A70D1C7"/>
    <w:rsid w:val="1A7CA409"/>
    <w:rsid w:val="1A7D962D"/>
    <w:rsid w:val="1A81CC1D"/>
    <w:rsid w:val="1A820C9E"/>
    <w:rsid w:val="1A836944"/>
    <w:rsid w:val="1A853A2B"/>
    <w:rsid w:val="1A8601A9"/>
    <w:rsid w:val="1A877E76"/>
    <w:rsid w:val="1A98836E"/>
    <w:rsid w:val="1A9B2112"/>
    <w:rsid w:val="1A9E602A"/>
    <w:rsid w:val="1A9F4B0A"/>
    <w:rsid w:val="1AB4F3E9"/>
    <w:rsid w:val="1AB754D7"/>
    <w:rsid w:val="1AC98E5A"/>
    <w:rsid w:val="1AD848FC"/>
    <w:rsid w:val="1AE53693"/>
    <w:rsid w:val="1AEA56DC"/>
    <w:rsid w:val="1AFCDF91"/>
    <w:rsid w:val="1AFF32EA"/>
    <w:rsid w:val="1B013959"/>
    <w:rsid w:val="1B019B9F"/>
    <w:rsid w:val="1B09A1DE"/>
    <w:rsid w:val="1B0F89E5"/>
    <w:rsid w:val="1B110A78"/>
    <w:rsid w:val="1B1D4461"/>
    <w:rsid w:val="1B23D988"/>
    <w:rsid w:val="1B2EC9DA"/>
    <w:rsid w:val="1B34A061"/>
    <w:rsid w:val="1B371C34"/>
    <w:rsid w:val="1B4BE48B"/>
    <w:rsid w:val="1B56B1BF"/>
    <w:rsid w:val="1B5830C3"/>
    <w:rsid w:val="1B5BFF9F"/>
    <w:rsid w:val="1B726208"/>
    <w:rsid w:val="1B72D7D8"/>
    <w:rsid w:val="1B7D0DC9"/>
    <w:rsid w:val="1B810126"/>
    <w:rsid w:val="1B81A270"/>
    <w:rsid w:val="1B84D3C6"/>
    <w:rsid w:val="1B8B7589"/>
    <w:rsid w:val="1B9897D8"/>
    <w:rsid w:val="1BA1A8BB"/>
    <w:rsid w:val="1BB8EFFB"/>
    <w:rsid w:val="1BBD5604"/>
    <w:rsid w:val="1BCD955E"/>
    <w:rsid w:val="1BD516AE"/>
    <w:rsid w:val="1BD812C1"/>
    <w:rsid w:val="1BE5E270"/>
    <w:rsid w:val="1BE7A4B8"/>
    <w:rsid w:val="1BF0924B"/>
    <w:rsid w:val="1BF43AB2"/>
    <w:rsid w:val="1BF4CA74"/>
    <w:rsid w:val="1BFA3EC3"/>
    <w:rsid w:val="1BFB6F72"/>
    <w:rsid w:val="1C0012D3"/>
    <w:rsid w:val="1C0275F5"/>
    <w:rsid w:val="1C02EA76"/>
    <w:rsid w:val="1C04E64B"/>
    <w:rsid w:val="1C080CC9"/>
    <w:rsid w:val="1C082BB7"/>
    <w:rsid w:val="1C10001B"/>
    <w:rsid w:val="1C17D3BD"/>
    <w:rsid w:val="1C1B46B2"/>
    <w:rsid w:val="1C215414"/>
    <w:rsid w:val="1C234ED7"/>
    <w:rsid w:val="1C27E3DA"/>
    <w:rsid w:val="1C300729"/>
    <w:rsid w:val="1C30DD16"/>
    <w:rsid w:val="1C3AEFB4"/>
    <w:rsid w:val="1C3C1EE4"/>
    <w:rsid w:val="1C42AF92"/>
    <w:rsid w:val="1C5C088C"/>
    <w:rsid w:val="1C6B2ED8"/>
    <w:rsid w:val="1C7E9964"/>
    <w:rsid w:val="1C8083E0"/>
    <w:rsid w:val="1C910C04"/>
    <w:rsid w:val="1C97263D"/>
    <w:rsid w:val="1C97B42C"/>
    <w:rsid w:val="1C9B034B"/>
    <w:rsid w:val="1CA8C88E"/>
    <w:rsid w:val="1CB06750"/>
    <w:rsid w:val="1CBA9ADD"/>
    <w:rsid w:val="1CC85827"/>
    <w:rsid w:val="1CCFF8A5"/>
    <w:rsid w:val="1CD45AC6"/>
    <w:rsid w:val="1CD99519"/>
    <w:rsid w:val="1CD9D27F"/>
    <w:rsid w:val="1CDC6811"/>
    <w:rsid w:val="1CDC82B5"/>
    <w:rsid w:val="1CDE36CC"/>
    <w:rsid w:val="1CDE6F92"/>
    <w:rsid w:val="1CEAB6E7"/>
    <w:rsid w:val="1CEE3F1C"/>
    <w:rsid w:val="1CEFA3EE"/>
    <w:rsid w:val="1CF30F00"/>
    <w:rsid w:val="1CF33CD5"/>
    <w:rsid w:val="1CFD54AF"/>
    <w:rsid w:val="1CFFA3EB"/>
    <w:rsid w:val="1D057EA3"/>
    <w:rsid w:val="1D07B02D"/>
    <w:rsid w:val="1D1F5864"/>
    <w:rsid w:val="1D2C518F"/>
    <w:rsid w:val="1D2E7214"/>
    <w:rsid w:val="1D3567F1"/>
    <w:rsid w:val="1D36BEFC"/>
    <w:rsid w:val="1D378396"/>
    <w:rsid w:val="1D592665"/>
    <w:rsid w:val="1D5D7784"/>
    <w:rsid w:val="1D6C1DBF"/>
    <w:rsid w:val="1D75AC12"/>
    <w:rsid w:val="1D7C17E0"/>
    <w:rsid w:val="1D7F7D40"/>
    <w:rsid w:val="1D81B2D1"/>
    <w:rsid w:val="1D833053"/>
    <w:rsid w:val="1D881D8D"/>
    <w:rsid w:val="1D8CED2E"/>
    <w:rsid w:val="1D8D47ED"/>
    <w:rsid w:val="1D8DD202"/>
    <w:rsid w:val="1D9060EC"/>
    <w:rsid w:val="1DA3DD2A"/>
    <w:rsid w:val="1DABE334"/>
    <w:rsid w:val="1DB112D3"/>
    <w:rsid w:val="1DB9E3C5"/>
    <w:rsid w:val="1DBCC51E"/>
    <w:rsid w:val="1DBD2475"/>
    <w:rsid w:val="1DC0A970"/>
    <w:rsid w:val="1DC4F38B"/>
    <w:rsid w:val="1DC4FA4C"/>
    <w:rsid w:val="1DCE0CC4"/>
    <w:rsid w:val="1DE1BEDE"/>
    <w:rsid w:val="1DF3ACA3"/>
    <w:rsid w:val="1DF8411A"/>
    <w:rsid w:val="1DFD9057"/>
    <w:rsid w:val="1E07382C"/>
    <w:rsid w:val="1E1A4DEB"/>
    <w:rsid w:val="1E23457C"/>
    <w:rsid w:val="1E276D6C"/>
    <w:rsid w:val="1E2B8287"/>
    <w:rsid w:val="1E3518ED"/>
    <w:rsid w:val="1E3CFA17"/>
    <w:rsid w:val="1E45E079"/>
    <w:rsid w:val="1E49AE73"/>
    <w:rsid w:val="1E4A4BA0"/>
    <w:rsid w:val="1E4D0FA0"/>
    <w:rsid w:val="1E599537"/>
    <w:rsid w:val="1E64093E"/>
    <w:rsid w:val="1E6DDB35"/>
    <w:rsid w:val="1E6EEAC8"/>
    <w:rsid w:val="1E7C6D74"/>
    <w:rsid w:val="1E7CB455"/>
    <w:rsid w:val="1E7D03DD"/>
    <w:rsid w:val="1E7D9A03"/>
    <w:rsid w:val="1E8B744F"/>
    <w:rsid w:val="1E8E67FC"/>
    <w:rsid w:val="1E95EF14"/>
    <w:rsid w:val="1E96C260"/>
    <w:rsid w:val="1EA998E1"/>
    <w:rsid w:val="1EA9B17E"/>
    <w:rsid w:val="1EAA336A"/>
    <w:rsid w:val="1EAB441C"/>
    <w:rsid w:val="1EBA7761"/>
    <w:rsid w:val="1EC0F524"/>
    <w:rsid w:val="1EC1FF2F"/>
    <w:rsid w:val="1EC9678A"/>
    <w:rsid w:val="1ECCEB80"/>
    <w:rsid w:val="1ED38D2D"/>
    <w:rsid w:val="1ED9497D"/>
    <w:rsid w:val="1EE11E0A"/>
    <w:rsid w:val="1EE82901"/>
    <w:rsid w:val="1EEE6132"/>
    <w:rsid w:val="1EF260F1"/>
    <w:rsid w:val="1EF271DA"/>
    <w:rsid w:val="1EF2DB7D"/>
    <w:rsid w:val="1EFAB07A"/>
    <w:rsid w:val="1F0CE2E4"/>
    <w:rsid w:val="1F15E8A3"/>
    <w:rsid w:val="1F20EE5A"/>
    <w:rsid w:val="1F22929A"/>
    <w:rsid w:val="1F27A7AE"/>
    <w:rsid w:val="1F2938D1"/>
    <w:rsid w:val="1F2CAF03"/>
    <w:rsid w:val="1F322931"/>
    <w:rsid w:val="1F3E6F60"/>
    <w:rsid w:val="1F40E9E6"/>
    <w:rsid w:val="1F41FD7A"/>
    <w:rsid w:val="1F46272E"/>
    <w:rsid w:val="1F47538E"/>
    <w:rsid w:val="1F4CB62E"/>
    <w:rsid w:val="1F58957F"/>
    <w:rsid w:val="1F727C39"/>
    <w:rsid w:val="1F7321CC"/>
    <w:rsid w:val="1F749487"/>
    <w:rsid w:val="1F80DE4A"/>
    <w:rsid w:val="1F852E01"/>
    <w:rsid w:val="1F93A9D4"/>
    <w:rsid w:val="1FA44B77"/>
    <w:rsid w:val="1FC1EADC"/>
    <w:rsid w:val="1FC752E8"/>
    <w:rsid w:val="1FD0E94E"/>
    <w:rsid w:val="1FD15E9E"/>
    <w:rsid w:val="1FD655D3"/>
    <w:rsid w:val="1FE08881"/>
    <w:rsid w:val="1FE2EBB4"/>
    <w:rsid w:val="1FE4CFB8"/>
    <w:rsid w:val="1FE771EC"/>
    <w:rsid w:val="1FE9EA7E"/>
    <w:rsid w:val="1FEA7557"/>
    <w:rsid w:val="2001F93A"/>
    <w:rsid w:val="2007F224"/>
    <w:rsid w:val="200B1AE7"/>
    <w:rsid w:val="20118765"/>
    <w:rsid w:val="2015B149"/>
    <w:rsid w:val="2017B0E1"/>
    <w:rsid w:val="201A670F"/>
    <w:rsid w:val="2025A278"/>
    <w:rsid w:val="202B7688"/>
    <w:rsid w:val="20301857"/>
    <w:rsid w:val="2033292D"/>
    <w:rsid w:val="2037ABDF"/>
    <w:rsid w:val="203C9FC6"/>
    <w:rsid w:val="204419CF"/>
    <w:rsid w:val="20441DEC"/>
    <w:rsid w:val="20449EE5"/>
    <w:rsid w:val="20456942"/>
    <w:rsid w:val="20458EEB"/>
    <w:rsid w:val="2048C278"/>
    <w:rsid w:val="204B218E"/>
    <w:rsid w:val="204BD983"/>
    <w:rsid w:val="20597F26"/>
    <w:rsid w:val="205B8367"/>
    <w:rsid w:val="205DCF90"/>
    <w:rsid w:val="20662FD5"/>
    <w:rsid w:val="2068BBE1"/>
    <w:rsid w:val="206BB53A"/>
    <w:rsid w:val="207045F9"/>
    <w:rsid w:val="2071DE17"/>
    <w:rsid w:val="20938EF3"/>
    <w:rsid w:val="20953439"/>
    <w:rsid w:val="2098B4AD"/>
    <w:rsid w:val="209A490D"/>
    <w:rsid w:val="209B5E3B"/>
    <w:rsid w:val="209F9555"/>
    <w:rsid w:val="20A2DF75"/>
    <w:rsid w:val="20A46EEF"/>
    <w:rsid w:val="20A56C76"/>
    <w:rsid w:val="20A5F7A8"/>
    <w:rsid w:val="20A8E32C"/>
    <w:rsid w:val="20ABAC07"/>
    <w:rsid w:val="20AD723A"/>
    <w:rsid w:val="20B5446C"/>
    <w:rsid w:val="20BD853E"/>
    <w:rsid w:val="20C45CCA"/>
    <w:rsid w:val="20C572C4"/>
    <w:rsid w:val="20C991AE"/>
    <w:rsid w:val="20D53582"/>
    <w:rsid w:val="20DAAAB6"/>
    <w:rsid w:val="20DD17FE"/>
    <w:rsid w:val="20E9DC0D"/>
    <w:rsid w:val="20EA2F15"/>
    <w:rsid w:val="20ECD7B1"/>
    <w:rsid w:val="20EF5C46"/>
    <w:rsid w:val="20F4572B"/>
    <w:rsid w:val="20F56436"/>
    <w:rsid w:val="20F84A32"/>
    <w:rsid w:val="2105BB8B"/>
    <w:rsid w:val="21083FDD"/>
    <w:rsid w:val="210B73D4"/>
    <w:rsid w:val="210E4C9A"/>
    <w:rsid w:val="2114D5FE"/>
    <w:rsid w:val="211BBB4C"/>
    <w:rsid w:val="2120BA0E"/>
    <w:rsid w:val="213CC516"/>
    <w:rsid w:val="21466723"/>
    <w:rsid w:val="215AFEC4"/>
    <w:rsid w:val="215DBB3D"/>
    <w:rsid w:val="21632081"/>
    <w:rsid w:val="216E0B4B"/>
    <w:rsid w:val="2180A019"/>
    <w:rsid w:val="21927AA5"/>
    <w:rsid w:val="219664FF"/>
    <w:rsid w:val="21983264"/>
    <w:rsid w:val="219FBEEF"/>
    <w:rsid w:val="219FDE63"/>
    <w:rsid w:val="21A2F36F"/>
    <w:rsid w:val="21B64D55"/>
    <w:rsid w:val="21B906C0"/>
    <w:rsid w:val="21BD9E1E"/>
    <w:rsid w:val="21C0E6DB"/>
    <w:rsid w:val="21C13BEB"/>
    <w:rsid w:val="21C456AC"/>
    <w:rsid w:val="21CE6322"/>
    <w:rsid w:val="21E4AC3C"/>
    <w:rsid w:val="21E9D189"/>
    <w:rsid w:val="21EA82ED"/>
    <w:rsid w:val="21EEC809"/>
    <w:rsid w:val="21F4C08C"/>
    <w:rsid w:val="21F55470"/>
    <w:rsid w:val="21F5A5A6"/>
    <w:rsid w:val="2205695D"/>
    <w:rsid w:val="2210EA3F"/>
    <w:rsid w:val="2221F651"/>
    <w:rsid w:val="2225866F"/>
    <w:rsid w:val="222F3C9D"/>
    <w:rsid w:val="2231049A"/>
    <w:rsid w:val="2245BFE5"/>
    <w:rsid w:val="224C45B8"/>
    <w:rsid w:val="225142E2"/>
    <w:rsid w:val="22560D81"/>
    <w:rsid w:val="22588F1C"/>
    <w:rsid w:val="225C3D62"/>
    <w:rsid w:val="22670A50"/>
    <w:rsid w:val="226EB5F7"/>
    <w:rsid w:val="226EF185"/>
    <w:rsid w:val="2278D181"/>
    <w:rsid w:val="2278E85F"/>
    <w:rsid w:val="2278FC85"/>
    <w:rsid w:val="227A3B3C"/>
    <w:rsid w:val="2289B0FA"/>
    <w:rsid w:val="228AE2F8"/>
    <w:rsid w:val="228F02C7"/>
    <w:rsid w:val="228FD9ED"/>
    <w:rsid w:val="22996800"/>
    <w:rsid w:val="22A86792"/>
    <w:rsid w:val="22AB6068"/>
    <w:rsid w:val="22B50ED1"/>
    <w:rsid w:val="22B83996"/>
    <w:rsid w:val="22BA1D7E"/>
    <w:rsid w:val="22BA8148"/>
    <w:rsid w:val="22BAC0B3"/>
    <w:rsid w:val="22BEA221"/>
    <w:rsid w:val="22C6E9E3"/>
    <w:rsid w:val="22C852B6"/>
    <w:rsid w:val="22CA00D8"/>
    <w:rsid w:val="22CDA307"/>
    <w:rsid w:val="22CF1B31"/>
    <w:rsid w:val="22D551A3"/>
    <w:rsid w:val="22D65304"/>
    <w:rsid w:val="22E900AF"/>
    <w:rsid w:val="22F5B00F"/>
    <w:rsid w:val="22F6B781"/>
    <w:rsid w:val="23009C8A"/>
    <w:rsid w:val="230D1151"/>
    <w:rsid w:val="230F39D6"/>
    <w:rsid w:val="2317FCED"/>
    <w:rsid w:val="231B568D"/>
    <w:rsid w:val="2324A8B3"/>
    <w:rsid w:val="232979A3"/>
    <w:rsid w:val="23303403"/>
    <w:rsid w:val="2330E782"/>
    <w:rsid w:val="2334F496"/>
    <w:rsid w:val="2334FFCA"/>
    <w:rsid w:val="233815B6"/>
    <w:rsid w:val="233BAEC4"/>
    <w:rsid w:val="233E6CA5"/>
    <w:rsid w:val="23447F9D"/>
    <w:rsid w:val="2345D05C"/>
    <w:rsid w:val="23486663"/>
    <w:rsid w:val="23492827"/>
    <w:rsid w:val="234F00F3"/>
    <w:rsid w:val="23521DB6"/>
    <w:rsid w:val="235A5975"/>
    <w:rsid w:val="235B76DE"/>
    <w:rsid w:val="2363E1A7"/>
    <w:rsid w:val="236A0313"/>
    <w:rsid w:val="2375F281"/>
    <w:rsid w:val="237BBA91"/>
    <w:rsid w:val="2380633A"/>
    <w:rsid w:val="238B84C8"/>
    <w:rsid w:val="238CB455"/>
    <w:rsid w:val="23AB9743"/>
    <w:rsid w:val="23AD2443"/>
    <w:rsid w:val="23BB7C45"/>
    <w:rsid w:val="23C867E9"/>
    <w:rsid w:val="23D0556F"/>
    <w:rsid w:val="23D625FC"/>
    <w:rsid w:val="23DA8037"/>
    <w:rsid w:val="23DB5F43"/>
    <w:rsid w:val="23E02893"/>
    <w:rsid w:val="23E18201"/>
    <w:rsid w:val="23E479DE"/>
    <w:rsid w:val="23E6F56B"/>
    <w:rsid w:val="240B75AB"/>
    <w:rsid w:val="240C518F"/>
    <w:rsid w:val="2420AA92"/>
    <w:rsid w:val="242CE3EF"/>
    <w:rsid w:val="242D2AA1"/>
    <w:rsid w:val="24386FF2"/>
    <w:rsid w:val="2444CE19"/>
    <w:rsid w:val="2445ED5C"/>
    <w:rsid w:val="24510062"/>
    <w:rsid w:val="24546446"/>
    <w:rsid w:val="2458FB08"/>
    <w:rsid w:val="245C7762"/>
    <w:rsid w:val="245DC606"/>
    <w:rsid w:val="24646EF2"/>
    <w:rsid w:val="246E55F1"/>
    <w:rsid w:val="24722365"/>
    <w:rsid w:val="24724561"/>
    <w:rsid w:val="24904120"/>
    <w:rsid w:val="24938378"/>
    <w:rsid w:val="24A16AFA"/>
    <w:rsid w:val="24A4CFC1"/>
    <w:rsid w:val="24A54C6B"/>
    <w:rsid w:val="24A63C1A"/>
    <w:rsid w:val="24A666A6"/>
    <w:rsid w:val="24A80815"/>
    <w:rsid w:val="24A836EA"/>
    <w:rsid w:val="24A9E3AD"/>
    <w:rsid w:val="24AAC180"/>
    <w:rsid w:val="24AF6ABD"/>
    <w:rsid w:val="24B08424"/>
    <w:rsid w:val="24B8AA68"/>
    <w:rsid w:val="24C0A5F0"/>
    <w:rsid w:val="24C9022F"/>
    <w:rsid w:val="24CABFA5"/>
    <w:rsid w:val="24CAF0A1"/>
    <w:rsid w:val="24D1BD39"/>
    <w:rsid w:val="24D77F25"/>
    <w:rsid w:val="24DB6347"/>
    <w:rsid w:val="24DB81AF"/>
    <w:rsid w:val="24ECDB87"/>
    <w:rsid w:val="24F5FE7B"/>
    <w:rsid w:val="24FC1765"/>
    <w:rsid w:val="24FDA980"/>
    <w:rsid w:val="250DE366"/>
    <w:rsid w:val="2517BDAA"/>
    <w:rsid w:val="251B63E3"/>
    <w:rsid w:val="251F1590"/>
    <w:rsid w:val="25218EF1"/>
    <w:rsid w:val="25224055"/>
    <w:rsid w:val="2526A91E"/>
    <w:rsid w:val="252A6A49"/>
    <w:rsid w:val="253AF96E"/>
    <w:rsid w:val="253D9BE2"/>
    <w:rsid w:val="254392A6"/>
    <w:rsid w:val="254B2055"/>
    <w:rsid w:val="2553F763"/>
    <w:rsid w:val="2557C9AA"/>
    <w:rsid w:val="25599713"/>
    <w:rsid w:val="2567E7B2"/>
    <w:rsid w:val="256BD807"/>
    <w:rsid w:val="257EF507"/>
    <w:rsid w:val="257F1D2A"/>
    <w:rsid w:val="25824A74"/>
    <w:rsid w:val="25864F32"/>
    <w:rsid w:val="25899EAA"/>
    <w:rsid w:val="259301E6"/>
    <w:rsid w:val="25934BAB"/>
    <w:rsid w:val="2595B27C"/>
    <w:rsid w:val="25981012"/>
    <w:rsid w:val="259EFF2C"/>
    <w:rsid w:val="25A7C974"/>
    <w:rsid w:val="25A9BB90"/>
    <w:rsid w:val="25BCA598"/>
    <w:rsid w:val="25C0DEED"/>
    <w:rsid w:val="25C94E93"/>
    <w:rsid w:val="25CC8B66"/>
    <w:rsid w:val="25D1FA30"/>
    <w:rsid w:val="25D7DE3E"/>
    <w:rsid w:val="25D92CAE"/>
    <w:rsid w:val="25D9FEEB"/>
    <w:rsid w:val="25E306DC"/>
    <w:rsid w:val="25E56248"/>
    <w:rsid w:val="25EE0BF9"/>
    <w:rsid w:val="25F43C01"/>
    <w:rsid w:val="2608FE69"/>
    <w:rsid w:val="26095620"/>
    <w:rsid w:val="260AF432"/>
    <w:rsid w:val="260C534D"/>
    <w:rsid w:val="2611ED5E"/>
    <w:rsid w:val="2616D853"/>
    <w:rsid w:val="2619D846"/>
    <w:rsid w:val="261D98CB"/>
    <w:rsid w:val="262B131D"/>
    <w:rsid w:val="26312EA8"/>
    <w:rsid w:val="26316EAF"/>
    <w:rsid w:val="2632051B"/>
    <w:rsid w:val="26368277"/>
    <w:rsid w:val="26383D4C"/>
    <w:rsid w:val="26433FF2"/>
    <w:rsid w:val="2645B40E"/>
    <w:rsid w:val="26463481"/>
    <w:rsid w:val="2650F25E"/>
    <w:rsid w:val="2652F74F"/>
    <w:rsid w:val="265CDD13"/>
    <w:rsid w:val="267024DA"/>
    <w:rsid w:val="2675B78E"/>
    <w:rsid w:val="267E375B"/>
    <w:rsid w:val="2689A893"/>
    <w:rsid w:val="2689D91C"/>
    <w:rsid w:val="268C6849"/>
    <w:rsid w:val="26952DA8"/>
    <w:rsid w:val="2697AD57"/>
    <w:rsid w:val="2698EED6"/>
    <w:rsid w:val="26A3D20E"/>
    <w:rsid w:val="26AC5C03"/>
    <w:rsid w:val="26AD962D"/>
    <w:rsid w:val="26AE068E"/>
    <w:rsid w:val="26B11023"/>
    <w:rsid w:val="26B30C54"/>
    <w:rsid w:val="26B571CC"/>
    <w:rsid w:val="26C34F0D"/>
    <w:rsid w:val="26C576B5"/>
    <w:rsid w:val="26C58946"/>
    <w:rsid w:val="26D26CB6"/>
    <w:rsid w:val="26D6C41D"/>
    <w:rsid w:val="26D96C43"/>
    <w:rsid w:val="26E0C806"/>
    <w:rsid w:val="26E26A7E"/>
    <w:rsid w:val="26EB1D09"/>
    <w:rsid w:val="26EC8F0E"/>
    <w:rsid w:val="26F5BAA9"/>
    <w:rsid w:val="2711758A"/>
    <w:rsid w:val="272A0CE7"/>
    <w:rsid w:val="2733829E"/>
    <w:rsid w:val="273A6B2C"/>
    <w:rsid w:val="273B8527"/>
    <w:rsid w:val="273F6D26"/>
    <w:rsid w:val="274414A4"/>
    <w:rsid w:val="2744284A"/>
    <w:rsid w:val="27499D1E"/>
    <w:rsid w:val="274DBED7"/>
    <w:rsid w:val="27511CB0"/>
    <w:rsid w:val="276A5A67"/>
    <w:rsid w:val="2774FD0F"/>
    <w:rsid w:val="277CF772"/>
    <w:rsid w:val="27829C77"/>
    <w:rsid w:val="2783BD33"/>
    <w:rsid w:val="2785C7DB"/>
    <w:rsid w:val="278C2FF6"/>
    <w:rsid w:val="279ED70D"/>
    <w:rsid w:val="27A1FDD1"/>
    <w:rsid w:val="27A73D8D"/>
    <w:rsid w:val="27B35BAD"/>
    <w:rsid w:val="27B446B9"/>
    <w:rsid w:val="27B63B07"/>
    <w:rsid w:val="27B69A58"/>
    <w:rsid w:val="27B9FD9D"/>
    <w:rsid w:val="27DD72D7"/>
    <w:rsid w:val="27E05CF5"/>
    <w:rsid w:val="27EB7944"/>
    <w:rsid w:val="27EB9A66"/>
    <w:rsid w:val="27F7145B"/>
    <w:rsid w:val="2802C35A"/>
    <w:rsid w:val="28076BE6"/>
    <w:rsid w:val="2807A598"/>
    <w:rsid w:val="28147848"/>
    <w:rsid w:val="2815A7A6"/>
    <w:rsid w:val="2816759C"/>
    <w:rsid w:val="28276078"/>
    <w:rsid w:val="2827D691"/>
    <w:rsid w:val="2830AE92"/>
    <w:rsid w:val="2834B839"/>
    <w:rsid w:val="2834D102"/>
    <w:rsid w:val="283C00AF"/>
    <w:rsid w:val="283DB791"/>
    <w:rsid w:val="28400756"/>
    <w:rsid w:val="2847F791"/>
    <w:rsid w:val="2849668E"/>
    <w:rsid w:val="2851EFB7"/>
    <w:rsid w:val="28547E34"/>
    <w:rsid w:val="28556C7B"/>
    <w:rsid w:val="28592FB3"/>
    <w:rsid w:val="285F842E"/>
    <w:rsid w:val="286356A1"/>
    <w:rsid w:val="286D93BD"/>
    <w:rsid w:val="28738943"/>
    <w:rsid w:val="287C9867"/>
    <w:rsid w:val="2885CB43"/>
    <w:rsid w:val="28881949"/>
    <w:rsid w:val="288BBCDB"/>
    <w:rsid w:val="2892E4A2"/>
    <w:rsid w:val="28ADF15A"/>
    <w:rsid w:val="28AE3289"/>
    <w:rsid w:val="28B27B3C"/>
    <w:rsid w:val="28B6F97A"/>
    <w:rsid w:val="28B97A92"/>
    <w:rsid w:val="28C811FC"/>
    <w:rsid w:val="28CAD034"/>
    <w:rsid w:val="28D084A9"/>
    <w:rsid w:val="28D76FD3"/>
    <w:rsid w:val="28D91E91"/>
    <w:rsid w:val="28DDCF15"/>
    <w:rsid w:val="28DFE505"/>
    <w:rsid w:val="28E72CB5"/>
    <w:rsid w:val="28E76B86"/>
    <w:rsid w:val="28EE95DB"/>
    <w:rsid w:val="28F17112"/>
    <w:rsid w:val="28F20103"/>
    <w:rsid w:val="28F233D4"/>
    <w:rsid w:val="2900B477"/>
    <w:rsid w:val="29034212"/>
    <w:rsid w:val="291D030A"/>
    <w:rsid w:val="291E68BE"/>
    <w:rsid w:val="29228F72"/>
    <w:rsid w:val="2926C213"/>
    <w:rsid w:val="294745BE"/>
    <w:rsid w:val="294995BF"/>
    <w:rsid w:val="294CD0A8"/>
    <w:rsid w:val="294CE57E"/>
    <w:rsid w:val="294DA017"/>
    <w:rsid w:val="2962FBE0"/>
    <w:rsid w:val="2963EFAC"/>
    <w:rsid w:val="2965F905"/>
    <w:rsid w:val="29684828"/>
    <w:rsid w:val="296C843C"/>
    <w:rsid w:val="297F0F5F"/>
    <w:rsid w:val="297F424F"/>
    <w:rsid w:val="29865B48"/>
    <w:rsid w:val="298A9811"/>
    <w:rsid w:val="298DBC34"/>
    <w:rsid w:val="298F045A"/>
    <w:rsid w:val="2990B04B"/>
    <w:rsid w:val="2992E4BC"/>
    <w:rsid w:val="29942FF3"/>
    <w:rsid w:val="29953EA6"/>
    <w:rsid w:val="29A52E5C"/>
    <w:rsid w:val="29A9C4AE"/>
    <w:rsid w:val="29AA2E14"/>
    <w:rsid w:val="29AAF048"/>
    <w:rsid w:val="29B7D5AB"/>
    <w:rsid w:val="29BB7C2F"/>
    <w:rsid w:val="29BE2CEB"/>
    <w:rsid w:val="29C262FC"/>
    <w:rsid w:val="29C418A5"/>
    <w:rsid w:val="29C51831"/>
    <w:rsid w:val="29ED128E"/>
    <w:rsid w:val="29EDF6C3"/>
    <w:rsid w:val="29EFBDB1"/>
    <w:rsid w:val="29F13CDC"/>
    <w:rsid w:val="29FAEFCF"/>
    <w:rsid w:val="29FDDB6C"/>
    <w:rsid w:val="2A20E29D"/>
    <w:rsid w:val="2A2200D4"/>
    <w:rsid w:val="2A248569"/>
    <w:rsid w:val="2A2D36FB"/>
    <w:rsid w:val="2A2DE769"/>
    <w:rsid w:val="2A3BEC87"/>
    <w:rsid w:val="2A405E3F"/>
    <w:rsid w:val="2A44632A"/>
    <w:rsid w:val="2A5370ED"/>
    <w:rsid w:val="2A66A095"/>
    <w:rsid w:val="2A685D71"/>
    <w:rsid w:val="2A7C7FB2"/>
    <w:rsid w:val="2A8187E4"/>
    <w:rsid w:val="2A86F591"/>
    <w:rsid w:val="2A8BBF08"/>
    <w:rsid w:val="2A9253C2"/>
    <w:rsid w:val="2A93F7B9"/>
    <w:rsid w:val="2A9D82FC"/>
    <w:rsid w:val="2A9FB915"/>
    <w:rsid w:val="2AA4E765"/>
    <w:rsid w:val="2AA9C376"/>
    <w:rsid w:val="2AB3BC22"/>
    <w:rsid w:val="2AB7DBE6"/>
    <w:rsid w:val="2ABBD358"/>
    <w:rsid w:val="2AC91D2D"/>
    <w:rsid w:val="2AD2672D"/>
    <w:rsid w:val="2AD6251D"/>
    <w:rsid w:val="2ADC14F1"/>
    <w:rsid w:val="2AE69BB9"/>
    <w:rsid w:val="2AEA6A7C"/>
    <w:rsid w:val="2B0A058F"/>
    <w:rsid w:val="2B103398"/>
    <w:rsid w:val="2B1ACDE7"/>
    <w:rsid w:val="2B222D54"/>
    <w:rsid w:val="2B246381"/>
    <w:rsid w:val="2B3F465A"/>
    <w:rsid w:val="2B432104"/>
    <w:rsid w:val="2B4395FD"/>
    <w:rsid w:val="2B486406"/>
    <w:rsid w:val="2B4F9182"/>
    <w:rsid w:val="2B543A0C"/>
    <w:rsid w:val="2B57147D"/>
    <w:rsid w:val="2B5B663B"/>
    <w:rsid w:val="2B5EA8A7"/>
    <w:rsid w:val="2B5F1DE0"/>
    <w:rsid w:val="2B5F7753"/>
    <w:rsid w:val="2B6DC65D"/>
    <w:rsid w:val="2B713A32"/>
    <w:rsid w:val="2B7D3B2B"/>
    <w:rsid w:val="2B810DAF"/>
    <w:rsid w:val="2B848146"/>
    <w:rsid w:val="2B848D30"/>
    <w:rsid w:val="2B943C3A"/>
    <w:rsid w:val="2B94DBD8"/>
    <w:rsid w:val="2B95C536"/>
    <w:rsid w:val="2B97C63A"/>
    <w:rsid w:val="2B9A1F87"/>
    <w:rsid w:val="2B9A4497"/>
    <w:rsid w:val="2B9BFD67"/>
    <w:rsid w:val="2BA6A604"/>
    <w:rsid w:val="2BA8CBE7"/>
    <w:rsid w:val="2BAA92FF"/>
    <w:rsid w:val="2BAC150A"/>
    <w:rsid w:val="2BB5553F"/>
    <w:rsid w:val="2BB6A928"/>
    <w:rsid w:val="2BBD0DEF"/>
    <w:rsid w:val="2BCE30DC"/>
    <w:rsid w:val="2BD3B15B"/>
    <w:rsid w:val="2BE1EBD2"/>
    <w:rsid w:val="2BE7ED45"/>
    <w:rsid w:val="2BF2E2F2"/>
    <w:rsid w:val="2BF327FE"/>
    <w:rsid w:val="2C007C25"/>
    <w:rsid w:val="2C0270F6"/>
    <w:rsid w:val="2C06FE02"/>
    <w:rsid w:val="2C0743C1"/>
    <w:rsid w:val="2C0A5E7C"/>
    <w:rsid w:val="2C0BAE9C"/>
    <w:rsid w:val="2C1785C7"/>
    <w:rsid w:val="2C18568E"/>
    <w:rsid w:val="2C265829"/>
    <w:rsid w:val="2C2E2423"/>
    <w:rsid w:val="2C35902A"/>
    <w:rsid w:val="2C3709D2"/>
    <w:rsid w:val="2C37F5D4"/>
    <w:rsid w:val="2C387C77"/>
    <w:rsid w:val="2C3980E9"/>
    <w:rsid w:val="2C3DCB8A"/>
    <w:rsid w:val="2C3F12ED"/>
    <w:rsid w:val="2C4107D7"/>
    <w:rsid w:val="2C464DCE"/>
    <w:rsid w:val="2C630B8C"/>
    <w:rsid w:val="2C71F57E"/>
    <w:rsid w:val="2C783FED"/>
    <w:rsid w:val="2C7926C0"/>
    <w:rsid w:val="2C7D0C34"/>
    <w:rsid w:val="2C86091E"/>
    <w:rsid w:val="2C91D4B8"/>
    <w:rsid w:val="2C94976C"/>
    <w:rsid w:val="2C95FE56"/>
    <w:rsid w:val="2C9A9CA2"/>
    <w:rsid w:val="2C9C8870"/>
    <w:rsid w:val="2C9D98E5"/>
    <w:rsid w:val="2CA27E95"/>
    <w:rsid w:val="2CA3FCB6"/>
    <w:rsid w:val="2CA907B9"/>
    <w:rsid w:val="2CAB0D89"/>
    <w:rsid w:val="2CB319FA"/>
    <w:rsid w:val="2CB3C4FF"/>
    <w:rsid w:val="2CB4F592"/>
    <w:rsid w:val="2CCCDF68"/>
    <w:rsid w:val="2CD60286"/>
    <w:rsid w:val="2CDA9369"/>
    <w:rsid w:val="2CDAE489"/>
    <w:rsid w:val="2CEB61E3"/>
    <w:rsid w:val="2CEE5D9D"/>
    <w:rsid w:val="2CEEA399"/>
    <w:rsid w:val="2CF0FDE5"/>
    <w:rsid w:val="2CFB07A4"/>
    <w:rsid w:val="2CFFDAF2"/>
    <w:rsid w:val="2D0996BE"/>
    <w:rsid w:val="2D12F756"/>
    <w:rsid w:val="2D21F072"/>
    <w:rsid w:val="2D28C04B"/>
    <w:rsid w:val="2D2BFF79"/>
    <w:rsid w:val="2D2CA0D6"/>
    <w:rsid w:val="2D340041"/>
    <w:rsid w:val="2D3D1E30"/>
    <w:rsid w:val="2D3D582C"/>
    <w:rsid w:val="2D413861"/>
    <w:rsid w:val="2D51BFA0"/>
    <w:rsid w:val="2D538BFD"/>
    <w:rsid w:val="2D63B460"/>
    <w:rsid w:val="2D64DCA6"/>
    <w:rsid w:val="2D677174"/>
    <w:rsid w:val="2D72A973"/>
    <w:rsid w:val="2D78337B"/>
    <w:rsid w:val="2D7990E1"/>
    <w:rsid w:val="2D7D0842"/>
    <w:rsid w:val="2D7F0135"/>
    <w:rsid w:val="2D8ADF7D"/>
    <w:rsid w:val="2D8DD7B1"/>
    <w:rsid w:val="2D8EB353"/>
    <w:rsid w:val="2D96309F"/>
    <w:rsid w:val="2D964188"/>
    <w:rsid w:val="2D9642D7"/>
    <w:rsid w:val="2D97BD75"/>
    <w:rsid w:val="2D98EEF0"/>
    <w:rsid w:val="2DA36BB7"/>
    <w:rsid w:val="2DAE647B"/>
    <w:rsid w:val="2DB14038"/>
    <w:rsid w:val="2DB2701E"/>
    <w:rsid w:val="2DB3A75E"/>
    <w:rsid w:val="2DB861FC"/>
    <w:rsid w:val="2DBA6396"/>
    <w:rsid w:val="2DBB25FC"/>
    <w:rsid w:val="2DC7424F"/>
    <w:rsid w:val="2DC9F484"/>
    <w:rsid w:val="2DCAD2D8"/>
    <w:rsid w:val="2DCF52EE"/>
    <w:rsid w:val="2DD04565"/>
    <w:rsid w:val="2DD94BC7"/>
    <w:rsid w:val="2DDC8827"/>
    <w:rsid w:val="2DDEAB53"/>
    <w:rsid w:val="2DDEBAC0"/>
    <w:rsid w:val="2DE21C73"/>
    <w:rsid w:val="2DE3FB35"/>
    <w:rsid w:val="2DEA83D0"/>
    <w:rsid w:val="2DED97B7"/>
    <w:rsid w:val="2DF36D75"/>
    <w:rsid w:val="2DF44832"/>
    <w:rsid w:val="2DFE2A89"/>
    <w:rsid w:val="2E013DAA"/>
    <w:rsid w:val="2E113F55"/>
    <w:rsid w:val="2E16F150"/>
    <w:rsid w:val="2E2F48E6"/>
    <w:rsid w:val="2E3143F5"/>
    <w:rsid w:val="2E335E42"/>
    <w:rsid w:val="2E3572FC"/>
    <w:rsid w:val="2E3C408D"/>
    <w:rsid w:val="2E3D574D"/>
    <w:rsid w:val="2E41B38D"/>
    <w:rsid w:val="2E563F5D"/>
    <w:rsid w:val="2E5A18B8"/>
    <w:rsid w:val="2E5F69A9"/>
    <w:rsid w:val="2E608833"/>
    <w:rsid w:val="2E64C9A5"/>
    <w:rsid w:val="2E679B0D"/>
    <w:rsid w:val="2E773B60"/>
    <w:rsid w:val="2EA21978"/>
    <w:rsid w:val="2EA2BEE6"/>
    <w:rsid w:val="2EA48BC6"/>
    <w:rsid w:val="2EA660B6"/>
    <w:rsid w:val="2EAA9D69"/>
    <w:rsid w:val="2EAB7F5C"/>
    <w:rsid w:val="2EAC5004"/>
    <w:rsid w:val="2EAE9EA1"/>
    <w:rsid w:val="2EAFFA3E"/>
    <w:rsid w:val="2EB4DBED"/>
    <w:rsid w:val="2EC51E69"/>
    <w:rsid w:val="2ED8D3C3"/>
    <w:rsid w:val="2EDC7447"/>
    <w:rsid w:val="2EDCFBB3"/>
    <w:rsid w:val="2EE0107F"/>
    <w:rsid w:val="2EE06F36"/>
    <w:rsid w:val="2EE372F8"/>
    <w:rsid w:val="2EE7D44D"/>
    <w:rsid w:val="2EE8276F"/>
    <w:rsid w:val="2EE86B26"/>
    <w:rsid w:val="2EEC9590"/>
    <w:rsid w:val="2EECB5B1"/>
    <w:rsid w:val="2EFA1703"/>
    <w:rsid w:val="2EFAEEDC"/>
    <w:rsid w:val="2EFF426F"/>
    <w:rsid w:val="2EFF84C1"/>
    <w:rsid w:val="2F00A81E"/>
    <w:rsid w:val="2F02DC1C"/>
    <w:rsid w:val="2F0341D5"/>
    <w:rsid w:val="2F132E5E"/>
    <w:rsid w:val="2F1628F6"/>
    <w:rsid w:val="2F199ECF"/>
    <w:rsid w:val="2F29554D"/>
    <w:rsid w:val="2F2D093F"/>
    <w:rsid w:val="2F2FB0B5"/>
    <w:rsid w:val="2F3E9EC4"/>
    <w:rsid w:val="2F3F1418"/>
    <w:rsid w:val="2F410BDF"/>
    <w:rsid w:val="2F479B11"/>
    <w:rsid w:val="2F4EABBA"/>
    <w:rsid w:val="2F533A15"/>
    <w:rsid w:val="2F54932A"/>
    <w:rsid w:val="2F55C4E5"/>
    <w:rsid w:val="2F5F7B56"/>
    <w:rsid w:val="2F63A7C2"/>
    <w:rsid w:val="2F6A98A0"/>
    <w:rsid w:val="2F6FB79F"/>
    <w:rsid w:val="2F7F9587"/>
    <w:rsid w:val="2F8426B0"/>
    <w:rsid w:val="2F847813"/>
    <w:rsid w:val="2F8532D6"/>
    <w:rsid w:val="2F8C32AC"/>
    <w:rsid w:val="2F906DE3"/>
    <w:rsid w:val="2FA299D4"/>
    <w:rsid w:val="2FA2DF37"/>
    <w:rsid w:val="2FBCC5D7"/>
    <w:rsid w:val="2FBE7CE6"/>
    <w:rsid w:val="2FC29442"/>
    <w:rsid w:val="2FD8F68B"/>
    <w:rsid w:val="2FDEF732"/>
    <w:rsid w:val="2FE91817"/>
    <w:rsid w:val="2FEB6EDA"/>
    <w:rsid w:val="2FEE5224"/>
    <w:rsid w:val="300D2B2B"/>
    <w:rsid w:val="30346F81"/>
    <w:rsid w:val="3035C5C5"/>
    <w:rsid w:val="3041A344"/>
    <w:rsid w:val="30533E49"/>
    <w:rsid w:val="305531E1"/>
    <w:rsid w:val="30586863"/>
    <w:rsid w:val="305C952B"/>
    <w:rsid w:val="306A8289"/>
    <w:rsid w:val="307BE0E0"/>
    <w:rsid w:val="307D6332"/>
    <w:rsid w:val="3083AAE6"/>
    <w:rsid w:val="30847341"/>
    <w:rsid w:val="308511A1"/>
    <w:rsid w:val="3087AA4C"/>
    <w:rsid w:val="309350DA"/>
    <w:rsid w:val="3096A726"/>
    <w:rsid w:val="3096CEC0"/>
    <w:rsid w:val="309C787F"/>
    <w:rsid w:val="30A64534"/>
    <w:rsid w:val="30AF7E6A"/>
    <w:rsid w:val="30BD6D40"/>
    <w:rsid w:val="30C1CFD1"/>
    <w:rsid w:val="30CDAAAC"/>
    <w:rsid w:val="30D3F839"/>
    <w:rsid w:val="30D60FEE"/>
    <w:rsid w:val="30EB0A90"/>
    <w:rsid w:val="30F1FA33"/>
    <w:rsid w:val="30F39118"/>
    <w:rsid w:val="30FA930C"/>
    <w:rsid w:val="310AE901"/>
    <w:rsid w:val="311E733B"/>
    <w:rsid w:val="312E52BB"/>
    <w:rsid w:val="3134ECDE"/>
    <w:rsid w:val="3135CB4B"/>
    <w:rsid w:val="31377E10"/>
    <w:rsid w:val="3137D2DD"/>
    <w:rsid w:val="314006E8"/>
    <w:rsid w:val="3159DF87"/>
    <w:rsid w:val="315E058B"/>
    <w:rsid w:val="315FD569"/>
    <w:rsid w:val="3160DFE3"/>
    <w:rsid w:val="3165C2AF"/>
    <w:rsid w:val="3165D83E"/>
    <w:rsid w:val="3168AE65"/>
    <w:rsid w:val="3172A29E"/>
    <w:rsid w:val="317B5E6E"/>
    <w:rsid w:val="3180152A"/>
    <w:rsid w:val="31873F3B"/>
    <w:rsid w:val="31993DCA"/>
    <w:rsid w:val="319E5D4C"/>
    <w:rsid w:val="31A0FC13"/>
    <w:rsid w:val="31A7D872"/>
    <w:rsid w:val="31A90DDA"/>
    <w:rsid w:val="31AAE28D"/>
    <w:rsid w:val="31B08FCC"/>
    <w:rsid w:val="31B11C0A"/>
    <w:rsid w:val="31BDEFB3"/>
    <w:rsid w:val="31C46F08"/>
    <w:rsid w:val="31D0E185"/>
    <w:rsid w:val="31EDDC3C"/>
    <w:rsid w:val="31FCBF2B"/>
    <w:rsid w:val="3214C62A"/>
    <w:rsid w:val="3217B141"/>
    <w:rsid w:val="32197C76"/>
    <w:rsid w:val="3225EAAC"/>
    <w:rsid w:val="3240AB43"/>
    <w:rsid w:val="32494125"/>
    <w:rsid w:val="324E0B7E"/>
    <w:rsid w:val="3256954C"/>
    <w:rsid w:val="325AC6CD"/>
    <w:rsid w:val="325B1D2C"/>
    <w:rsid w:val="325B9438"/>
    <w:rsid w:val="325BEBFF"/>
    <w:rsid w:val="325E50A0"/>
    <w:rsid w:val="326026F3"/>
    <w:rsid w:val="3278002D"/>
    <w:rsid w:val="328B2A62"/>
    <w:rsid w:val="328D9105"/>
    <w:rsid w:val="328E1480"/>
    <w:rsid w:val="328ECE93"/>
    <w:rsid w:val="32925C00"/>
    <w:rsid w:val="3296636D"/>
    <w:rsid w:val="32A63BA6"/>
    <w:rsid w:val="32A68CDC"/>
    <w:rsid w:val="32C3E550"/>
    <w:rsid w:val="32CCA245"/>
    <w:rsid w:val="32CEB7AF"/>
    <w:rsid w:val="32CFF94A"/>
    <w:rsid w:val="32DE1854"/>
    <w:rsid w:val="32E2D683"/>
    <w:rsid w:val="32E3ADAC"/>
    <w:rsid w:val="32E4C4DC"/>
    <w:rsid w:val="32F1BEA0"/>
    <w:rsid w:val="32F5F9ED"/>
    <w:rsid w:val="32F9D5EC"/>
    <w:rsid w:val="33054C31"/>
    <w:rsid w:val="331EADDA"/>
    <w:rsid w:val="33202445"/>
    <w:rsid w:val="33230683"/>
    <w:rsid w:val="33235A41"/>
    <w:rsid w:val="332DB15C"/>
    <w:rsid w:val="33314D51"/>
    <w:rsid w:val="333EC753"/>
    <w:rsid w:val="334A13FF"/>
    <w:rsid w:val="334E579F"/>
    <w:rsid w:val="3351AB23"/>
    <w:rsid w:val="33598801"/>
    <w:rsid w:val="33603F69"/>
    <w:rsid w:val="33680CAD"/>
    <w:rsid w:val="3369A1EF"/>
    <w:rsid w:val="3369BAE5"/>
    <w:rsid w:val="336D748F"/>
    <w:rsid w:val="33701921"/>
    <w:rsid w:val="337F0C9F"/>
    <w:rsid w:val="3386A5A9"/>
    <w:rsid w:val="338D5DF1"/>
    <w:rsid w:val="338E390A"/>
    <w:rsid w:val="33921113"/>
    <w:rsid w:val="339B2252"/>
    <w:rsid w:val="33A4BDB2"/>
    <w:rsid w:val="33A98209"/>
    <w:rsid w:val="33AC1DEE"/>
    <w:rsid w:val="33ACAB38"/>
    <w:rsid w:val="33ACB88E"/>
    <w:rsid w:val="33B0B618"/>
    <w:rsid w:val="33B2B405"/>
    <w:rsid w:val="33C1273C"/>
    <w:rsid w:val="33D09724"/>
    <w:rsid w:val="33D21D13"/>
    <w:rsid w:val="33D2F5E4"/>
    <w:rsid w:val="33E6648A"/>
    <w:rsid w:val="33E67939"/>
    <w:rsid w:val="33E69F81"/>
    <w:rsid w:val="33E774FF"/>
    <w:rsid w:val="33E78AB7"/>
    <w:rsid w:val="33EC8947"/>
    <w:rsid w:val="33EF804B"/>
    <w:rsid w:val="33F2C6BD"/>
    <w:rsid w:val="33F7B410"/>
    <w:rsid w:val="33FAB443"/>
    <w:rsid w:val="33FC5D90"/>
    <w:rsid w:val="34017264"/>
    <w:rsid w:val="34049800"/>
    <w:rsid w:val="34057B12"/>
    <w:rsid w:val="3407D9CF"/>
    <w:rsid w:val="34122156"/>
    <w:rsid w:val="3416FFEC"/>
    <w:rsid w:val="341BAFEF"/>
    <w:rsid w:val="34252C20"/>
    <w:rsid w:val="342838C1"/>
    <w:rsid w:val="34286F42"/>
    <w:rsid w:val="3429DF5C"/>
    <w:rsid w:val="34377D5F"/>
    <w:rsid w:val="34393608"/>
    <w:rsid w:val="343C7E39"/>
    <w:rsid w:val="3452C769"/>
    <w:rsid w:val="345AF1E3"/>
    <w:rsid w:val="345FB5B1"/>
    <w:rsid w:val="3466D8EB"/>
    <w:rsid w:val="3466DEB6"/>
    <w:rsid w:val="3467FFAE"/>
    <w:rsid w:val="346C8DA0"/>
    <w:rsid w:val="34803F65"/>
    <w:rsid w:val="3495A64D"/>
    <w:rsid w:val="34965F7E"/>
    <w:rsid w:val="34969B12"/>
    <w:rsid w:val="349CF475"/>
    <w:rsid w:val="34A811BA"/>
    <w:rsid w:val="34A84B8C"/>
    <w:rsid w:val="34A8AACA"/>
    <w:rsid w:val="34AD9C0D"/>
    <w:rsid w:val="34BEDFFD"/>
    <w:rsid w:val="34BF7478"/>
    <w:rsid w:val="34C27888"/>
    <w:rsid w:val="34C6A7EE"/>
    <w:rsid w:val="34CBB912"/>
    <w:rsid w:val="34CDEB22"/>
    <w:rsid w:val="34CE56CA"/>
    <w:rsid w:val="34CFA4C1"/>
    <w:rsid w:val="34D008C6"/>
    <w:rsid w:val="34D0F2C6"/>
    <w:rsid w:val="34D6B7AF"/>
    <w:rsid w:val="34DBD08C"/>
    <w:rsid w:val="34E0E36F"/>
    <w:rsid w:val="34E1146B"/>
    <w:rsid w:val="34E61F14"/>
    <w:rsid w:val="34F218C1"/>
    <w:rsid w:val="3504FD1A"/>
    <w:rsid w:val="350636E2"/>
    <w:rsid w:val="3506E57E"/>
    <w:rsid w:val="35240743"/>
    <w:rsid w:val="3524DF36"/>
    <w:rsid w:val="352EA1D8"/>
    <w:rsid w:val="35345FED"/>
    <w:rsid w:val="3535CD92"/>
    <w:rsid w:val="35370452"/>
    <w:rsid w:val="354A7D63"/>
    <w:rsid w:val="354BA58D"/>
    <w:rsid w:val="3553A26C"/>
    <w:rsid w:val="35550013"/>
    <w:rsid w:val="3559422B"/>
    <w:rsid w:val="3569213D"/>
    <w:rsid w:val="356A1297"/>
    <w:rsid w:val="356E0111"/>
    <w:rsid w:val="356E7985"/>
    <w:rsid w:val="3575C314"/>
    <w:rsid w:val="35835DE6"/>
    <w:rsid w:val="3587DD01"/>
    <w:rsid w:val="35925DD4"/>
    <w:rsid w:val="3594C95A"/>
    <w:rsid w:val="359CF9FB"/>
    <w:rsid w:val="35AA523F"/>
    <w:rsid w:val="35AB8D5C"/>
    <w:rsid w:val="35AD59D2"/>
    <w:rsid w:val="35B1D1A6"/>
    <w:rsid w:val="35BFDDF2"/>
    <w:rsid w:val="35C373E1"/>
    <w:rsid w:val="35C43A8B"/>
    <w:rsid w:val="35C50669"/>
    <w:rsid w:val="35C512D9"/>
    <w:rsid w:val="35C5AFBD"/>
    <w:rsid w:val="35C6A6C9"/>
    <w:rsid w:val="35CB5291"/>
    <w:rsid w:val="35D98CDE"/>
    <w:rsid w:val="35D9DA24"/>
    <w:rsid w:val="35DF630C"/>
    <w:rsid w:val="35E165E2"/>
    <w:rsid w:val="35EB1974"/>
    <w:rsid w:val="35EC4B32"/>
    <w:rsid w:val="35F6C244"/>
    <w:rsid w:val="35F6CCCB"/>
    <w:rsid w:val="360321AC"/>
    <w:rsid w:val="36042B07"/>
    <w:rsid w:val="360AE213"/>
    <w:rsid w:val="3611DB58"/>
    <w:rsid w:val="3613BC19"/>
    <w:rsid w:val="3617677E"/>
    <w:rsid w:val="361AEC3B"/>
    <w:rsid w:val="361B1CD8"/>
    <w:rsid w:val="361FB2EA"/>
    <w:rsid w:val="362117FC"/>
    <w:rsid w:val="3629194D"/>
    <w:rsid w:val="362C2712"/>
    <w:rsid w:val="36315268"/>
    <w:rsid w:val="3631B69F"/>
    <w:rsid w:val="36384B6A"/>
    <w:rsid w:val="3638A23E"/>
    <w:rsid w:val="363E9CAA"/>
    <w:rsid w:val="3644E02B"/>
    <w:rsid w:val="36496C6E"/>
    <w:rsid w:val="36524CC5"/>
    <w:rsid w:val="3655744C"/>
    <w:rsid w:val="3665E093"/>
    <w:rsid w:val="3669307B"/>
    <w:rsid w:val="3672B2FB"/>
    <w:rsid w:val="367E206C"/>
    <w:rsid w:val="3683B164"/>
    <w:rsid w:val="36897350"/>
    <w:rsid w:val="368BB06D"/>
    <w:rsid w:val="368DA732"/>
    <w:rsid w:val="3694EC3B"/>
    <w:rsid w:val="369C5548"/>
    <w:rsid w:val="36B6AD61"/>
    <w:rsid w:val="36B886AE"/>
    <w:rsid w:val="36C07A9C"/>
    <w:rsid w:val="36C27FCD"/>
    <w:rsid w:val="36C70050"/>
    <w:rsid w:val="36C88936"/>
    <w:rsid w:val="36C90276"/>
    <w:rsid w:val="36CB79B9"/>
    <w:rsid w:val="36DC5E74"/>
    <w:rsid w:val="36F22B56"/>
    <w:rsid w:val="36F262E1"/>
    <w:rsid w:val="371530F8"/>
    <w:rsid w:val="3726D2A4"/>
    <w:rsid w:val="3733FE52"/>
    <w:rsid w:val="373496D6"/>
    <w:rsid w:val="373531FE"/>
    <w:rsid w:val="37405C0F"/>
    <w:rsid w:val="3748B259"/>
    <w:rsid w:val="374EE90B"/>
    <w:rsid w:val="374FA552"/>
    <w:rsid w:val="374FC3FD"/>
    <w:rsid w:val="3750A723"/>
    <w:rsid w:val="3751BD74"/>
    <w:rsid w:val="3760E33A"/>
    <w:rsid w:val="37673A99"/>
    <w:rsid w:val="376BC68F"/>
    <w:rsid w:val="376BFB6C"/>
    <w:rsid w:val="37754C1A"/>
    <w:rsid w:val="3778FD6A"/>
    <w:rsid w:val="377BF63D"/>
    <w:rsid w:val="377C061D"/>
    <w:rsid w:val="377E57DE"/>
    <w:rsid w:val="37848BF8"/>
    <w:rsid w:val="37896DCB"/>
    <w:rsid w:val="379A4FBB"/>
    <w:rsid w:val="37B78349"/>
    <w:rsid w:val="37BE352C"/>
    <w:rsid w:val="37C00613"/>
    <w:rsid w:val="37C57361"/>
    <w:rsid w:val="37C8369E"/>
    <w:rsid w:val="37D70348"/>
    <w:rsid w:val="37DD0748"/>
    <w:rsid w:val="37E215E1"/>
    <w:rsid w:val="37E53CCF"/>
    <w:rsid w:val="37E88897"/>
    <w:rsid w:val="37EF7585"/>
    <w:rsid w:val="37F8B491"/>
    <w:rsid w:val="3801B0F4"/>
    <w:rsid w:val="3801C627"/>
    <w:rsid w:val="3809B893"/>
    <w:rsid w:val="380B00E6"/>
    <w:rsid w:val="380C8E8B"/>
    <w:rsid w:val="380E5C7A"/>
    <w:rsid w:val="380E835C"/>
    <w:rsid w:val="381005E0"/>
    <w:rsid w:val="38132C2F"/>
    <w:rsid w:val="3817E006"/>
    <w:rsid w:val="381E2A72"/>
    <w:rsid w:val="38269361"/>
    <w:rsid w:val="3832D732"/>
    <w:rsid w:val="383580A5"/>
    <w:rsid w:val="383C49AB"/>
    <w:rsid w:val="383DB95B"/>
    <w:rsid w:val="3840132F"/>
    <w:rsid w:val="38441209"/>
    <w:rsid w:val="384729F9"/>
    <w:rsid w:val="3847A6B7"/>
    <w:rsid w:val="385BA805"/>
    <w:rsid w:val="3866429A"/>
    <w:rsid w:val="386EB220"/>
    <w:rsid w:val="38795F84"/>
    <w:rsid w:val="3886EC56"/>
    <w:rsid w:val="3892B289"/>
    <w:rsid w:val="3899CF91"/>
    <w:rsid w:val="389DCB47"/>
    <w:rsid w:val="38A58E36"/>
    <w:rsid w:val="38A90C5F"/>
    <w:rsid w:val="38AD39E4"/>
    <w:rsid w:val="38CF7960"/>
    <w:rsid w:val="38D08C8C"/>
    <w:rsid w:val="38D34F27"/>
    <w:rsid w:val="38E43683"/>
    <w:rsid w:val="38EA6584"/>
    <w:rsid w:val="38EE2C67"/>
    <w:rsid w:val="38F8AE6D"/>
    <w:rsid w:val="38FC4539"/>
    <w:rsid w:val="38FCB39B"/>
    <w:rsid w:val="390E4B22"/>
    <w:rsid w:val="39144308"/>
    <w:rsid w:val="391AF906"/>
    <w:rsid w:val="391D9E02"/>
    <w:rsid w:val="393A2204"/>
    <w:rsid w:val="393A954F"/>
    <w:rsid w:val="394457EB"/>
    <w:rsid w:val="3945B54E"/>
    <w:rsid w:val="3949EE13"/>
    <w:rsid w:val="394B69A7"/>
    <w:rsid w:val="39521807"/>
    <w:rsid w:val="3954496A"/>
    <w:rsid w:val="395732A3"/>
    <w:rsid w:val="395A058D"/>
    <w:rsid w:val="395FC3A2"/>
    <w:rsid w:val="39654395"/>
    <w:rsid w:val="3970EA23"/>
    <w:rsid w:val="3974815E"/>
    <w:rsid w:val="39763D6C"/>
    <w:rsid w:val="397825A3"/>
    <w:rsid w:val="397C53A1"/>
    <w:rsid w:val="3981F635"/>
    <w:rsid w:val="398EA475"/>
    <w:rsid w:val="399F8EC6"/>
    <w:rsid w:val="39AB274C"/>
    <w:rsid w:val="39B1FB87"/>
    <w:rsid w:val="39B42B7F"/>
    <w:rsid w:val="39BD4B73"/>
    <w:rsid w:val="39BD7B04"/>
    <w:rsid w:val="39BF740B"/>
    <w:rsid w:val="39C06F34"/>
    <w:rsid w:val="39C49F77"/>
    <w:rsid w:val="39CB56B0"/>
    <w:rsid w:val="39D0B70B"/>
    <w:rsid w:val="39D6C90D"/>
    <w:rsid w:val="39DFFCB5"/>
    <w:rsid w:val="39E37718"/>
    <w:rsid w:val="39E59005"/>
    <w:rsid w:val="39E69E19"/>
    <w:rsid w:val="39F21434"/>
    <w:rsid w:val="39F526E5"/>
    <w:rsid w:val="39F7425D"/>
    <w:rsid w:val="39F967E4"/>
    <w:rsid w:val="3A0B23DE"/>
    <w:rsid w:val="3A187EF0"/>
    <w:rsid w:val="3A19011F"/>
    <w:rsid w:val="3A263860"/>
    <w:rsid w:val="3A2BB7A3"/>
    <w:rsid w:val="3A31BCD9"/>
    <w:rsid w:val="3A3D3F0D"/>
    <w:rsid w:val="3A3DE88E"/>
    <w:rsid w:val="3A45DA1B"/>
    <w:rsid w:val="3A478A6E"/>
    <w:rsid w:val="3A4DDACC"/>
    <w:rsid w:val="3A5137AF"/>
    <w:rsid w:val="3A644F43"/>
    <w:rsid w:val="3A66F594"/>
    <w:rsid w:val="3A696285"/>
    <w:rsid w:val="3A79331E"/>
    <w:rsid w:val="3A895E36"/>
    <w:rsid w:val="3A9883FC"/>
    <w:rsid w:val="3AABD81A"/>
    <w:rsid w:val="3AAD53DA"/>
    <w:rsid w:val="3ABD4999"/>
    <w:rsid w:val="3ABFBC55"/>
    <w:rsid w:val="3AC7B956"/>
    <w:rsid w:val="3ACCC99B"/>
    <w:rsid w:val="3ACFB65D"/>
    <w:rsid w:val="3AD3208A"/>
    <w:rsid w:val="3AD53501"/>
    <w:rsid w:val="3AE0FC52"/>
    <w:rsid w:val="3AE20755"/>
    <w:rsid w:val="3AE36BC6"/>
    <w:rsid w:val="3AE5C5A5"/>
    <w:rsid w:val="3AEA220E"/>
    <w:rsid w:val="3AEDE868"/>
    <w:rsid w:val="3AF5D5EE"/>
    <w:rsid w:val="3AF8A7F6"/>
    <w:rsid w:val="3B06C4FE"/>
    <w:rsid w:val="3B0DDFE8"/>
    <w:rsid w:val="3B1DD15D"/>
    <w:rsid w:val="3B2830F8"/>
    <w:rsid w:val="3B31D791"/>
    <w:rsid w:val="3B44A146"/>
    <w:rsid w:val="3B4B7E84"/>
    <w:rsid w:val="3B68B61B"/>
    <w:rsid w:val="3B70F032"/>
    <w:rsid w:val="3B824458"/>
    <w:rsid w:val="3B86AAAA"/>
    <w:rsid w:val="3B8AFD31"/>
    <w:rsid w:val="3B8BB569"/>
    <w:rsid w:val="3B95780F"/>
    <w:rsid w:val="3B9ED524"/>
    <w:rsid w:val="3BA09240"/>
    <w:rsid w:val="3BA1CEF2"/>
    <w:rsid w:val="3BA7DD9D"/>
    <w:rsid w:val="3BAF1E33"/>
    <w:rsid w:val="3BAFCF97"/>
    <w:rsid w:val="3BB0BCC1"/>
    <w:rsid w:val="3BB6E9FB"/>
    <w:rsid w:val="3BBCDB3A"/>
    <w:rsid w:val="3BD86CE9"/>
    <w:rsid w:val="3BDA32CB"/>
    <w:rsid w:val="3BDCB3E0"/>
    <w:rsid w:val="3BDE671A"/>
    <w:rsid w:val="3BE1AA7C"/>
    <w:rsid w:val="3BF18B1E"/>
    <w:rsid w:val="3BF29F6A"/>
    <w:rsid w:val="3BF6349E"/>
    <w:rsid w:val="3BF90F6B"/>
    <w:rsid w:val="3BFD7792"/>
    <w:rsid w:val="3C0532E6"/>
    <w:rsid w:val="3C05B8D6"/>
    <w:rsid w:val="3C079B18"/>
    <w:rsid w:val="3C0D0BBA"/>
    <w:rsid w:val="3C0F5CFB"/>
    <w:rsid w:val="3C0FA9E5"/>
    <w:rsid w:val="3C19E165"/>
    <w:rsid w:val="3C1E95AF"/>
    <w:rsid w:val="3C24BB22"/>
    <w:rsid w:val="3C2EBE3C"/>
    <w:rsid w:val="3C33B55B"/>
    <w:rsid w:val="3C357C33"/>
    <w:rsid w:val="3C50A766"/>
    <w:rsid w:val="3C5147E2"/>
    <w:rsid w:val="3C72B51C"/>
    <w:rsid w:val="3C732A9A"/>
    <w:rsid w:val="3C73BB4A"/>
    <w:rsid w:val="3C787DF2"/>
    <w:rsid w:val="3C810DB2"/>
    <w:rsid w:val="3C8177F9"/>
    <w:rsid w:val="3C8928D8"/>
    <w:rsid w:val="3C93ADE1"/>
    <w:rsid w:val="3C96F3FA"/>
    <w:rsid w:val="3C99608F"/>
    <w:rsid w:val="3C9F5BB3"/>
    <w:rsid w:val="3CA47322"/>
    <w:rsid w:val="3CA88AE5"/>
    <w:rsid w:val="3CAE974E"/>
    <w:rsid w:val="3CB7C98E"/>
    <w:rsid w:val="3CBFC7E1"/>
    <w:rsid w:val="3CC094B2"/>
    <w:rsid w:val="3CC18E49"/>
    <w:rsid w:val="3CC3F47C"/>
    <w:rsid w:val="3CC40159"/>
    <w:rsid w:val="3CC68584"/>
    <w:rsid w:val="3CCC18A8"/>
    <w:rsid w:val="3CD41820"/>
    <w:rsid w:val="3CD8DD7D"/>
    <w:rsid w:val="3CDDD4F8"/>
    <w:rsid w:val="3CE1C994"/>
    <w:rsid w:val="3CE5A6F8"/>
    <w:rsid w:val="3CE766A2"/>
    <w:rsid w:val="3CE99C49"/>
    <w:rsid w:val="3CEF164A"/>
    <w:rsid w:val="3CFD8799"/>
    <w:rsid w:val="3CFD97CF"/>
    <w:rsid w:val="3CFE5268"/>
    <w:rsid w:val="3D04867C"/>
    <w:rsid w:val="3D08F739"/>
    <w:rsid w:val="3D0B8A2F"/>
    <w:rsid w:val="3D0F0DE1"/>
    <w:rsid w:val="3D109D2B"/>
    <w:rsid w:val="3D1D30C7"/>
    <w:rsid w:val="3D27C832"/>
    <w:rsid w:val="3D299C43"/>
    <w:rsid w:val="3D2A8078"/>
    <w:rsid w:val="3D345BD1"/>
    <w:rsid w:val="3D4252A7"/>
    <w:rsid w:val="3D43ADFE"/>
    <w:rsid w:val="3D48E5B0"/>
    <w:rsid w:val="3D4EA6CB"/>
    <w:rsid w:val="3D51A7EB"/>
    <w:rsid w:val="3D8D3779"/>
    <w:rsid w:val="3D8D5B7F"/>
    <w:rsid w:val="3D8E5745"/>
    <w:rsid w:val="3D9204FF"/>
    <w:rsid w:val="3D94BB16"/>
    <w:rsid w:val="3D9E9656"/>
    <w:rsid w:val="3DA10347"/>
    <w:rsid w:val="3DB1AAF0"/>
    <w:rsid w:val="3DB55D69"/>
    <w:rsid w:val="3DB6F5BD"/>
    <w:rsid w:val="3DBA13B2"/>
    <w:rsid w:val="3DC687F6"/>
    <w:rsid w:val="3DC93E61"/>
    <w:rsid w:val="3DCBC3AC"/>
    <w:rsid w:val="3DCEDD9E"/>
    <w:rsid w:val="3DCFB65C"/>
    <w:rsid w:val="3DD2E001"/>
    <w:rsid w:val="3DD752EC"/>
    <w:rsid w:val="3DD935CB"/>
    <w:rsid w:val="3DE5FE34"/>
    <w:rsid w:val="3DE6A199"/>
    <w:rsid w:val="3DEDCE91"/>
    <w:rsid w:val="3DF16DF0"/>
    <w:rsid w:val="3DF771D7"/>
    <w:rsid w:val="3DF8403D"/>
    <w:rsid w:val="3DFA6DBE"/>
    <w:rsid w:val="3E01D998"/>
    <w:rsid w:val="3E0C2A11"/>
    <w:rsid w:val="3E0E1C9D"/>
    <w:rsid w:val="3E25892A"/>
    <w:rsid w:val="3E3048B8"/>
    <w:rsid w:val="3E37FD49"/>
    <w:rsid w:val="3E396D39"/>
    <w:rsid w:val="3E46717C"/>
    <w:rsid w:val="3E57CA1B"/>
    <w:rsid w:val="3E5948AC"/>
    <w:rsid w:val="3E5B9FB8"/>
    <w:rsid w:val="3E5DED46"/>
    <w:rsid w:val="3E5FC4DD"/>
    <w:rsid w:val="3E616081"/>
    <w:rsid w:val="3E61C512"/>
    <w:rsid w:val="3E6475A1"/>
    <w:rsid w:val="3E700630"/>
    <w:rsid w:val="3E7899B7"/>
    <w:rsid w:val="3E923B38"/>
    <w:rsid w:val="3EA9AC81"/>
    <w:rsid w:val="3EAC6D8C"/>
    <w:rsid w:val="3EB2CBC8"/>
    <w:rsid w:val="3EB9DECC"/>
    <w:rsid w:val="3EC273CE"/>
    <w:rsid w:val="3EC4BBC9"/>
    <w:rsid w:val="3ECB0378"/>
    <w:rsid w:val="3EDA20D5"/>
    <w:rsid w:val="3EDB184E"/>
    <w:rsid w:val="3EE691A9"/>
    <w:rsid w:val="3EEC04EC"/>
    <w:rsid w:val="3EF4CABB"/>
    <w:rsid w:val="3EFF67AB"/>
    <w:rsid w:val="3F00DC17"/>
    <w:rsid w:val="3F020672"/>
    <w:rsid w:val="3F030670"/>
    <w:rsid w:val="3F05DE54"/>
    <w:rsid w:val="3F08C2AA"/>
    <w:rsid w:val="3F10B030"/>
    <w:rsid w:val="3F1AD8EE"/>
    <w:rsid w:val="3F1C71B6"/>
    <w:rsid w:val="3F1F11A2"/>
    <w:rsid w:val="3F21EB07"/>
    <w:rsid w:val="3F35721D"/>
    <w:rsid w:val="3F3A5237"/>
    <w:rsid w:val="3F3B13BB"/>
    <w:rsid w:val="3F3FA8BB"/>
    <w:rsid w:val="3F41739C"/>
    <w:rsid w:val="3F4F67FE"/>
    <w:rsid w:val="3F512DCA"/>
    <w:rsid w:val="3F53F1CA"/>
    <w:rsid w:val="3F54FE1F"/>
    <w:rsid w:val="3F597A42"/>
    <w:rsid w:val="3F5AF70F"/>
    <w:rsid w:val="3F5ED09F"/>
    <w:rsid w:val="3F60F4ED"/>
    <w:rsid w:val="3F6870D1"/>
    <w:rsid w:val="3F75F123"/>
    <w:rsid w:val="3F77E8F0"/>
    <w:rsid w:val="3F8C69B3"/>
    <w:rsid w:val="3F8D9F21"/>
    <w:rsid w:val="3F94C4FF"/>
    <w:rsid w:val="3F95E9F1"/>
    <w:rsid w:val="3FA0073A"/>
    <w:rsid w:val="3FA4441F"/>
    <w:rsid w:val="3FA8A624"/>
    <w:rsid w:val="3FAA2B1A"/>
    <w:rsid w:val="3FAA43FC"/>
    <w:rsid w:val="3FAE6921"/>
    <w:rsid w:val="3FB9BEFF"/>
    <w:rsid w:val="3FB9C455"/>
    <w:rsid w:val="3FC1CE81"/>
    <w:rsid w:val="3FC69530"/>
    <w:rsid w:val="3FC7D74E"/>
    <w:rsid w:val="3FC94632"/>
    <w:rsid w:val="3FDC9C0E"/>
    <w:rsid w:val="3FE072C8"/>
    <w:rsid w:val="3FF04EB4"/>
    <w:rsid w:val="3FF137B9"/>
    <w:rsid w:val="3FF7E12D"/>
    <w:rsid w:val="3FF83577"/>
    <w:rsid w:val="3FF95404"/>
    <w:rsid w:val="40004602"/>
    <w:rsid w:val="40025577"/>
    <w:rsid w:val="4008B043"/>
    <w:rsid w:val="400F1BCB"/>
    <w:rsid w:val="401E8333"/>
    <w:rsid w:val="4026585A"/>
    <w:rsid w:val="402F72F3"/>
    <w:rsid w:val="4043F875"/>
    <w:rsid w:val="40483DED"/>
    <w:rsid w:val="404F3E39"/>
    <w:rsid w:val="405F5AF2"/>
    <w:rsid w:val="4063E898"/>
    <w:rsid w:val="40640D52"/>
    <w:rsid w:val="40642C0C"/>
    <w:rsid w:val="4068938C"/>
    <w:rsid w:val="4069BF49"/>
    <w:rsid w:val="4075F136"/>
    <w:rsid w:val="408268CB"/>
    <w:rsid w:val="4087D54D"/>
    <w:rsid w:val="4093DE24"/>
    <w:rsid w:val="4096DD64"/>
    <w:rsid w:val="40999766"/>
    <w:rsid w:val="40A93E0F"/>
    <w:rsid w:val="40AE3571"/>
    <w:rsid w:val="40B85498"/>
    <w:rsid w:val="40B8FE72"/>
    <w:rsid w:val="40BEA31B"/>
    <w:rsid w:val="40C3084D"/>
    <w:rsid w:val="40C8CF4E"/>
    <w:rsid w:val="40CFC8EC"/>
    <w:rsid w:val="40D58C32"/>
    <w:rsid w:val="40D7148F"/>
    <w:rsid w:val="40D76A92"/>
    <w:rsid w:val="40DDD527"/>
    <w:rsid w:val="40E7DC77"/>
    <w:rsid w:val="40E7E2F2"/>
    <w:rsid w:val="40EC05E3"/>
    <w:rsid w:val="40ED1F31"/>
    <w:rsid w:val="40EFDFDD"/>
    <w:rsid w:val="40F0F65D"/>
    <w:rsid w:val="40FF756B"/>
    <w:rsid w:val="4102F747"/>
    <w:rsid w:val="41052E40"/>
    <w:rsid w:val="4106519D"/>
    <w:rsid w:val="4110A475"/>
    <w:rsid w:val="4110D68D"/>
    <w:rsid w:val="4113D462"/>
    <w:rsid w:val="41169B09"/>
    <w:rsid w:val="41207725"/>
    <w:rsid w:val="41315B17"/>
    <w:rsid w:val="414229A7"/>
    <w:rsid w:val="414349C9"/>
    <w:rsid w:val="41459013"/>
    <w:rsid w:val="4145B9C8"/>
    <w:rsid w:val="414D1272"/>
    <w:rsid w:val="414D216F"/>
    <w:rsid w:val="415AC630"/>
    <w:rsid w:val="41624F20"/>
    <w:rsid w:val="4165C8D6"/>
    <w:rsid w:val="41667BE8"/>
    <w:rsid w:val="4174B943"/>
    <w:rsid w:val="417BFC08"/>
    <w:rsid w:val="418D081A"/>
    <w:rsid w:val="4191F29F"/>
    <w:rsid w:val="4194FF6C"/>
    <w:rsid w:val="4198D8E3"/>
    <w:rsid w:val="419965D4"/>
    <w:rsid w:val="4199D016"/>
    <w:rsid w:val="419C1663"/>
    <w:rsid w:val="41A12B37"/>
    <w:rsid w:val="41B0D1AE"/>
    <w:rsid w:val="41B28A28"/>
    <w:rsid w:val="41B28E31"/>
    <w:rsid w:val="41C114B2"/>
    <w:rsid w:val="41C252E0"/>
    <w:rsid w:val="41C86483"/>
    <w:rsid w:val="41CA5CB0"/>
    <w:rsid w:val="41CCE007"/>
    <w:rsid w:val="41CFB15C"/>
    <w:rsid w:val="41D2D377"/>
    <w:rsid w:val="41DBAD6C"/>
    <w:rsid w:val="41E253A6"/>
    <w:rsid w:val="41F062A9"/>
    <w:rsid w:val="41F321F3"/>
    <w:rsid w:val="41FC4660"/>
    <w:rsid w:val="41FD0D66"/>
    <w:rsid w:val="41FD2619"/>
    <w:rsid w:val="42017100"/>
    <w:rsid w:val="420669B4"/>
    <w:rsid w:val="42124C75"/>
    <w:rsid w:val="421F111B"/>
    <w:rsid w:val="42241304"/>
    <w:rsid w:val="422AE9F4"/>
    <w:rsid w:val="422C0B4F"/>
    <w:rsid w:val="422DE082"/>
    <w:rsid w:val="422F1F36"/>
    <w:rsid w:val="422FAE85"/>
    <w:rsid w:val="423567C7"/>
    <w:rsid w:val="423FB208"/>
    <w:rsid w:val="4240636C"/>
    <w:rsid w:val="424DA89E"/>
    <w:rsid w:val="4250DA4E"/>
    <w:rsid w:val="4250F2D4"/>
    <w:rsid w:val="4258DF1C"/>
    <w:rsid w:val="4259EB47"/>
    <w:rsid w:val="425D862D"/>
    <w:rsid w:val="426059C7"/>
    <w:rsid w:val="4261C868"/>
    <w:rsid w:val="4265B66F"/>
    <w:rsid w:val="426A840E"/>
    <w:rsid w:val="4271F2F9"/>
    <w:rsid w:val="427B404A"/>
    <w:rsid w:val="427CDAFB"/>
    <w:rsid w:val="4283B353"/>
    <w:rsid w:val="4286DE02"/>
    <w:rsid w:val="4287D644"/>
    <w:rsid w:val="428C12A0"/>
    <w:rsid w:val="429A3209"/>
    <w:rsid w:val="429FA4DC"/>
    <w:rsid w:val="42A3B4CF"/>
    <w:rsid w:val="42ACA6EE"/>
    <w:rsid w:val="42B26B6A"/>
    <w:rsid w:val="42B467C5"/>
    <w:rsid w:val="42B72F48"/>
    <w:rsid w:val="42BAF35F"/>
    <w:rsid w:val="42C674AC"/>
    <w:rsid w:val="42C7D670"/>
    <w:rsid w:val="42DC9CAC"/>
    <w:rsid w:val="42DD0262"/>
    <w:rsid w:val="42DD32D2"/>
    <w:rsid w:val="42DF0363"/>
    <w:rsid w:val="42E074FB"/>
    <w:rsid w:val="42E10734"/>
    <w:rsid w:val="42E464C4"/>
    <w:rsid w:val="42EBF33F"/>
    <w:rsid w:val="42EC5E61"/>
    <w:rsid w:val="42F02EFC"/>
    <w:rsid w:val="42F5EA86"/>
    <w:rsid w:val="42F724D4"/>
    <w:rsid w:val="42FDD80C"/>
    <w:rsid w:val="43142EF8"/>
    <w:rsid w:val="431A0067"/>
    <w:rsid w:val="432DB4FD"/>
    <w:rsid w:val="4334D1A4"/>
    <w:rsid w:val="433D42D0"/>
    <w:rsid w:val="4345FFF2"/>
    <w:rsid w:val="434D167C"/>
    <w:rsid w:val="434E366F"/>
    <w:rsid w:val="4351C5CA"/>
    <w:rsid w:val="43531BDC"/>
    <w:rsid w:val="435A9FA3"/>
    <w:rsid w:val="435BECF8"/>
    <w:rsid w:val="435C686C"/>
    <w:rsid w:val="435E70F4"/>
    <w:rsid w:val="4366958F"/>
    <w:rsid w:val="436A981C"/>
    <w:rsid w:val="436F2E01"/>
    <w:rsid w:val="4373887F"/>
    <w:rsid w:val="43747B3C"/>
    <w:rsid w:val="437CE5DC"/>
    <w:rsid w:val="437D5D41"/>
    <w:rsid w:val="43863CEB"/>
    <w:rsid w:val="438CD40E"/>
    <w:rsid w:val="4390AE08"/>
    <w:rsid w:val="43A1600B"/>
    <w:rsid w:val="43A444EA"/>
    <w:rsid w:val="43A6EC5D"/>
    <w:rsid w:val="43AD91F8"/>
    <w:rsid w:val="43AE37FB"/>
    <w:rsid w:val="43BC122B"/>
    <w:rsid w:val="43C038FB"/>
    <w:rsid w:val="43C0666D"/>
    <w:rsid w:val="43C1C941"/>
    <w:rsid w:val="43C51D19"/>
    <w:rsid w:val="43CE6732"/>
    <w:rsid w:val="43D2D62D"/>
    <w:rsid w:val="43DA359A"/>
    <w:rsid w:val="43DC33CD"/>
    <w:rsid w:val="43DF1274"/>
    <w:rsid w:val="43EC840D"/>
    <w:rsid w:val="43EDA8FF"/>
    <w:rsid w:val="43FA5485"/>
    <w:rsid w:val="43FBA435"/>
    <w:rsid w:val="43FE9514"/>
    <w:rsid w:val="44027CD0"/>
    <w:rsid w:val="4405864F"/>
    <w:rsid w:val="4407AC43"/>
    <w:rsid w:val="4410D80D"/>
    <w:rsid w:val="441159C7"/>
    <w:rsid w:val="441F0B6D"/>
    <w:rsid w:val="4424BFF3"/>
    <w:rsid w:val="442A8562"/>
    <w:rsid w:val="442E7C5B"/>
    <w:rsid w:val="442F2A2B"/>
    <w:rsid w:val="443E1F22"/>
    <w:rsid w:val="443F58AA"/>
    <w:rsid w:val="444BAC15"/>
    <w:rsid w:val="444CA0C0"/>
    <w:rsid w:val="445B7EB0"/>
    <w:rsid w:val="445F45BC"/>
    <w:rsid w:val="446797EC"/>
    <w:rsid w:val="446A9039"/>
    <w:rsid w:val="446B99D4"/>
    <w:rsid w:val="44703895"/>
    <w:rsid w:val="44707E38"/>
    <w:rsid w:val="4474A70D"/>
    <w:rsid w:val="44790333"/>
    <w:rsid w:val="447B6898"/>
    <w:rsid w:val="447FFCB2"/>
    <w:rsid w:val="4486F37B"/>
    <w:rsid w:val="4490F110"/>
    <w:rsid w:val="4492D7F5"/>
    <w:rsid w:val="44947EE7"/>
    <w:rsid w:val="449FDDCD"/>
    <w:rsid w:val="44AAD781"/>
    <w:rsid w:val="44ADF30B"/>
    <w:rsid w:val="44AF2C53"/>
    <w:rsid w:val="44B230CA"/>
    <w:rsid w:val="44B25365"/>
    <w:rsid w:val="44BBCDD7"/>
    <w:rsid w:val="44BBF439"/>
    <w:rsid w:val="44C3B444"/>
    <w:rsid w:val="44C60B07"/>
    <w:rsid w:val="44C780CA"/>
    <w:rsid w:val="44CF0661"/>
    <w:rsid w:val="44D0A205"/>
    <w:rsid w:val="44D0F821"/>
    <w:rsid w:val="44D25B2F"/>
    <w:rsid w:val="44D4786C"/>
    <w:rsid w:val="44D73799"/>
    <w:rsid w:val="44E87270"/>
    <w:rsid w:val="44F1B624"/>
    <w:rsid w:val="44F1F456"/>
    <w:rsid w:val="44F976C0"/>
    <w:rsid w:val="45027844"/>
    <w:rsid w:val="4507BA8B"/>
    <w:rsid w:val="450C7C7E"/>
    <w:rsid w:val="4515D88C"/>
    <w:rsid w:val="45192DA2"/>
    <w:rsid w:val="451A1FC6"/>
    <w:rsid w:val="451EFB1E"/>
    <w:rsid w:val="4521D7D7"/>
    <w:rsid w:val="4521EE5E"/>
    <w:rsid w:val="452629BF"/>
    <w:rsid w:val="452B5A9D"/>
    <w:rsid w:val="453403EF"/>
    <w:rsid w:val="4535925D"/>
    <w:rsid w:val="453653E1"/>
    <w:rsid w:val="453D306C"/>
    <w:rsid w:val="453E0A76"/>
    <w:rsid w:val="454482FA"/>
    <w:rsid w:val="454A59D2"/>
    <w:rsid w:val="455C42AB"/>
    <w:rsid w:val="457F5F0C"/>
    <w:rsid w:val="45838821"/>
    <w:rsid w:val="458BB87F"/>
    <w:rsid w:val="45923B0F"/>
    <w:rsid w:val="4593EA56"/>
    <w:rsid w:val="459AC5A3"/>
    <w:rsid w:val="459E3DF1"/>
    <w:rsid w:val="459FD601"/>
    <w:rsid w:val="45AB3C9B"/>
    <w:rsid w:val="45B04572"/>
    <w:rsid w:val="45B1464A"/>
    <w:rsid w:val="45B29187"/>
    <w:rsid w:val="45B3668F"/>
    <w:rsid w:val="45B954C0"/>
    <w:rsid w:val="45BB5415"/>
    <w:rsid w:val="45C93C74"/>
    <w:rsid w:val="45CE284B"/>
    <w:rsid w:val="45DF812E"/>
    <w:rsid w:val="45E31691"/>
    <w:rsid w:val="45E617BD"/>
    <w:rsid w:val="45E64ED5"/>
    <w:rsid w:val="45E80305"/>
    <w:rsid w:val="45E963E1"/>
    <w:rsid w:val="46039401"/>
    <w:rsid w:val="4617145F"/>
    <w:rsid w:val="462105DD"/>
    <w:rsid w:val="4621FE8F"/>
    <w:rsid w:val="4623BF9C"/>
    <w:rsid w:val="4629227F"/>
    <w:rsid w:val="462C7C7E"/>
    <w:rsid w:val="4635D6B4"/>
    <w:rsid w:val="46362BDA"/>
    <w:rsid w:val="464BD9CF"/>
    <w:rsid w:val="46586B23"/>
    <w:rsid w:val="465D25E5"/>
    <w:rsid w:val="465EABD4"/>
    <w:rsid w:val="465F9038"/>
    <w:rsid w:val="466102C6"/>
    <w:rsid w:val="46652A5A"/>
    <w:rsid w:val="4669341B"/>
    <w:rsid w:val="4669C8EE"/>
    <w:rsid w:val="466F8786"/>
    <w:rsid w:val="4675208B"/>
    <w:rsid w:val="46759568"/>
    <w:rsid w:val="4685D731"/>
    <w:rsid w:val="4688D6C5"/>
    <w:rsid w:val="4689668C"/>
    <w:rsid w:val="468ABC9E"/>
    <w:rsid w:val="468FB099"/>
    <w:rsid w:val="4698DFF7"/>
    <w:rsid w:val="46A6CEC3"/>
    <w:rsid w:val="46A920FA"/>
    <w:rsid w:val="46A92BC1"/>
    <w:rsid w:val="46AC8954"/>
    <w:rsid w:val="46B32794"/>
    <w:rsid w:val="46BB7707"/>
    <w:rsid w:val="46BDDDAD"/>
    <w:rsid w:val="46C84ECA"/>
    <w:rsid w:val="46CC6256"/>
    <w:rsid w:val="46CCB1E1"/>
    <w:rsid w:val="46CE9C76"/>
    <w:rsid w:val="46D5E278"/>
    <w:rsid w:val="46D6BC82"/>
    <w:rsid w:val="46D6EEA1"/>
    <w:rsid w:val="46DFF0CF"/>
    <w:rsid w:val="46F3E73D"/>
    <w:rsid w:val="46F55AF0"/>
    <w:rsid w:val="4700AE89"/>
    <w:rsid w:val="470299B8"/>
    <w:rsid w:val="471216EF"/>
    <w:rsid w:val="4716FD1C"/>
    <w:rsid w:val="471F5882"/>
    <w:rsid w:val="47203E0C"/>
    <w:rsid w:val="47283FF6"/>
    <w:rsid w:val="47342F80"/>
    <w:rsid w:val="47343DC5"/>
    <w:rsid w:val="474B65A5"/>
    <w:rsid w:val="474DA290"/>
    <w:rsid w:val="474F5BE9"/>
    <w:rsid w:val="475D8DCA"/>
    <w:rsid w:val="475EA692"/>
    <w:rsid w:val="476071C7"/>
    <w:rsid w:val="4762F632"/>
    <w:rsid w:val="476BD14D"/>
    <w:rsid w:val="476DA32C"/>
    <w:rsid w:val="47713D5F"/>
    <w:rsid w:val="477698A2"/>
    <w:rsid w:val="4779AA87"/>
    <w:rsid w:val="477D80A7"/>
    <w:rsid w:val="477E8B97"/>
    <w:rsid w:val="477EE6F2"/>
    <w:rsid w:val="47821F36"/>
    <w:rsid w:val="478C65AE"/>
    <w:rsid w:val="478DA7E5"/>
    <w:rsid w:val="478EB39B"/>
    <w:rsid w:val="4795C215"/>
    <w:rsid w:val="4795D3B1"/>
    <w:rsid w:val="4799665A"/>
    <w:rsid w:val="479FEC2A"/>
    <w:rsid w:val="47AB191F"/>
    <w:rsid w:val="47B07385"/>
    <w:rsid w:val="47B4FB4C"/>
    <w:rsid w:val="47B58E4B"/>
    <w:rsid w:val="47CC1FA9"/>
    <w:rsid w:val="47DA690D"/>
    <w:rsid w:val="47E0464C"/>
    <w:rsid w:val="47E300AD"/>
    <w:rsid w:val="47E6CD15"/>
    <w:rsid w:val="47F12E85"/>
    <w:rsid w:val="47FD03C7"/>
    <w:rsid w:val="4809548B"/>
    <w:rsid w:val="480E0A7B"/>
    <w:rsid w:val="4815268A"/>
    <w:rsid w:val="4815B989"/>
    <w:rsid w:val="481943CF"/>
    <w:rsid w:val="48197115"/>
    <w:rsid w:val="48201332"/>
    <w:rsid w:val="4823A2CA"/>
    <w:rsid w:val="4824A726"/>
    <w:rsid w:val="482536ED"/>
    <w:rsid w:val="4825BAD8"/>
    <w:rsid w:val="48268CFF"/>
    <w:rsid w:val="4828FC7E"/>
    <w:rsid w:val="482AF271"/>
    <w:rsid w:val="4850CE64"/>
    <w:rsid w:val="48534EB0"/>
    <w:rsid w:val="485636F9"/>
    <w:rsid w:val="4858CFC8"/>
    <w:rsid w:val="48600AEF"/>
    <w:rsid w:val="48739B13"/>
    <w:rsid w:val="487DB469"/>
    <w:rsid w:val="488236DD"/>
    <w:rsid w:val="488C2816"/>
    <w:rsid w:val="488DA13B"/>
    <w:rsid w:val="488FB79E"/>
    <w:rsid w:val="489512F7"/>
    <w:rsid w:val="4899EF1B"/>
    <w:rsid w:val="48B637F9"/>
    <w:rsid w:val="48C3D63B"/>
    <w:rsid w:val="48D109EC"/>
    <w:rsid w:val="48D4B7A6"/>
    <w:rsid w:val="48E2DD5D"/>
    <w:rsid w:val="48E5F27D"/>
    <w:rsid w:val="48E68B01"/>
    <w:rsid w:val="48EABE17"/>
    <w:rsid w:val="48F3B43D"/>
    <w:rsid w:val="48F62ABA"/>
    <w:rsid w:val="48FB48ED"/>
    <w:rsid w:val="49086BDB"/>
    <w:rsid w:val="4908CABC"/>
    <w:rsid w:val="4912F653"/>
    <w:rsid w:val="4919EC9D"/>
    <w:rsid w:val="491DEF97"/>
    <w:rsid w:val="4923D5F8"/>
    <w:rsid w:val="4931A412"/>
    <w:rsid w:val="4935906E"/>
    <w:rsid w:val="493BB32C"/>
    <w:rsid w:val="493BE3CC"/>
    <w:rsid w:val="49448B49"/>
    <w:rsid w:val="49460171"/>
    <w:rsid w:val="494ED706"/>
    <w:rsid w:val="49512642"/>
    <w:rsid w:val="4957F0A5"/>
    <w:rsid w:val="49582457"/>
    <w:rsid w:val="4958F468"/>
    <w:rsid w:val="49599F51"/>
    <w:rsid w:val="496230D3"/>
    <w:rsid w:val="496300E4"/>
    <w:rsid w:val="49633D41"/>
    <w:rsid w:val="49639A48"/>
    <w:rsid w:val="4965A7BE"/>
    <w:rsid w:val="496686E4"/>
    <w:rsid w:val="496D81C8"/>
    <w:rsid w:val="496F474E"/>
    <w:rsid w:val="4970DABB"/>
    <w:rsid w:val="4973E543"/>
    <w:rsid w:val="4974AFB9"/>
    <w:rsid w:val="49870DED"/>
    <w:rsid w:val="499691FB"/>
    <w:rsid w:val="49A2ACF1"/>
    <w:rsid w:val="49ABFE21"/>
    <w:rsid w:val="49B41243"/>
    <w:rsid w:val="49B89D1E"/>
    <w:rsid w:val="49CDB278"/>
    <w:rsid w:val="49D37668"/>
    <w:rsid w:val="49E46AD6"/>
    <w:rsid w:val="49E55D90"/>
    <w:rsid w:val="49E71865"/>
    <w:rsid w:val="49EB37F1"/>
    <w:rsid w:val="49EEE866"/>
    <w:rsid w:val="49F2FF40"/>
    <w:rsid w:val="49FED4AF"/>
    <w:rsid w:val="4A0FAB65"/>
    <w:rsid w:val="4A18264D"/>
    <w:rsid w:val="4A1F63E7"/>
    <w:rsid w:val="4A261F24"/>
    <w:rsid w:val="4A27B939"/>
    <w:rsid w:val="4A288C5B"/>
    <w:rsid w:val="4A2E1084"/>
    <w:rsid w:val="4A329B5F"/>
    <w:rsid w:val="4A336BDD"/>
    <w:rsid w:val="4A337585"/>
    <w:rsid w:val="4A3DA0D3"/>
    <w:rsid w:val="4A3DCA88"/>
    <w:rsid w:val="4A455646"/>
    <w:rsid w:val="4A460E81"/>
    <w:rsid w:val="4A4F9EB1"/>
    <w:rsid w:val="4A54667D"/>
    <w:rsid w:val="4A5E98BB"/>
    <w:rsid w:val="4A686E73"/>
    <w:rsid w:val="4A699609"/>
    <w:rsid w:val="4A71AF14"/>
    <w:rsid w:val="4A752494"/>
    <w:rsid w:val="4A7EA7F6"/>
    <w:rsid w:val="4A7EB046"/>
    <w:rsid w:val="4A854352"/>
    <w:rsid w:val="4A8661F8"/>
    <w:rsid w:val="4A86D7B2"/>
    <w:rsid w:val="4A8933A1"/>
    <w:rsid w:val="4A89B064"/>
    <w:rsid w:val="4A8C1B91"/>
    <w:rsid w:val="4A8EC538"/>
    <w:rsid w:val="4AA04747"/>
    <w:rsid w:val="4AA29E69"/>
    <w:rsid w:val="4AA543EE"/>
    <w:rsid w:val="4AA8DB56"/>
    <w:rsid w:val="4AB45006"/>
    <w:rsid w:val="4AC7F705"/>
    <w:rsid w:val="4ACE3408"/>
    <w:rsid w:val="4ADBC71A"/>
    <w:rsid w:val="4ADD5E8B"/>
    <w:rsid w:val="4ADEFAE4"/>
    <w:rsid w:val="4AE07596"/>
    <w:rsid w:val="4AE39E16"/>
    <w:rsid w:val="4AE568B7"/>
    <w:rsid w:val="4AE836C6"/>
    <w:rsid w:val="4AEFDCBE"/>
    <w:rsid w:val="4B0AC589"/>
    <w:rsid w:val="4B154709"/>
    <w:rsid w:val="4B2051D8"/>
    <w:rsid w:val="4B22372B"/>
    <w:rsid w:val="4B23EEC0"/>
    <w:rsid w:val="4B2C1FCE"/>
    <w:rsid w:val="4B364D23"/>
    <w:rsid w:val="4B3C06AB"/>
    <w:rsid w:val="4B41EE2C"/>
    <w:rsid w:val="4B4E429D"/>
    <w:rsid w:val="4B51BAEB"/>
    <w:rsid w:val="4B58CE7B"/>
    <w:rsid w:val="4B594854"/>
    <w:rsid w:val="4B629F79"/>
    <w:rsid w:val="4B654B52"/>
    <w:rsid w:val="4B6653DE"/>
    <w:rsid w:val="4B6B98DF"/>
    <w:rsid w:val="4B791F3E"/>
    <w:rsid w:val="4B886F26"/>
    <w:rsid w:val="4B8ECFA1"/>
    <w:rsid w:val="4B9A1AA4"/>
    <w:rsid w:val="4BA15415"/>
    <w:rsid w:val="4BA72BB3"/>
    <w:rsid w:val="4BB19FBA"/>
    <w:rsid w:val="4BB8A3DD"/>
    <w:rsid w:val="4BB9D79F"/>
    <w:rsid w:val="4BBAD649"/>
    <w:rsid w:val="4BBB3448"/>
    <w:rsid w:val="4BC541FD"/>
    <w:rsid w:val="4BCC8D84"/>
    <w:rsid w:val="4BD3ADF6"/>
    <w:rsid w:val="4BDB9701"/>
    <w:rsid w:val="4BDF1BBE"/>
    <w:rsid w:val="4BE126A7"/>
    <w:rsid w:val="4BE745B2"/>
    <w:rsid w:val="4BF518B1"/>
    <w:rsid w:val="4BF62648"/>
    <w:rsid w:val="4BF92E59"/>
    <w:rsid w:val="4BFB4048"/>
    <w:rsid w:val="4BFC5587"/>
    <w:rsid w:val="4C01101F"/>
    <w:rsid w:val="4C05AE6B"/>
    <w:rsid w:val="4C17B82B"/>
    <w:rsid w:val="4C21F3F8"/>
    <w:rsid w:val="4C25D3BD"/>
    <w:rsid w:val="4C29F1DB"/>
    <w:rsid w:val="4C307C94"/>
    <w:rsid w:val="4C3217B5"/>
    <w:rsid w:val="4C32C2F7"/>
    <w:rsid w:val="4C36A610"/>
    <w:rsid w:val="4C36C310"/>
    <w:rsid w:val="4C37772E"/>
    <w:rsid w:val="4C3DA372"/>
    <w:rsid w:val="4C3F25DD"/>
    <w:rsid w:val="4C47E0E7"/>
    <w:rsid w:val="4C518D5F"/>
    <w:rsid w:val="4C52F9CC"/>
    <w:rsid w:val="4C54092F"/>
    <w:rsid w:val="4C59747B"/>
    <w:rsid w:val="4C59DAB7"/>
    <w:rsid w:val="4C5BC483"/>
    <w:rsid w:val="4C6A4D20"/>
    <w:rsid w:val="4C771F04"/>
    <w:rsid w:val="4C77977B"/>
    <w:rsid w:val="4C7D3A09"/>
    <w:rsid w:val="4C84B2DF"/>
    <w:rsid w:val="4C8677C8"/>
    <w:rsid w:val="4C87E690"/>
    <w:rsid w:val="4C8BAD1F"/>
    <w:rsid w:val="4CA6ABB6"/>
    <w:rsid w:val="4CA9EF47"/>
    <w:rsid w:val="4CAC507B"/>
    <w:rsid w:val="4CADFCC8"/>
    <w:rsid w:val="4CB60C1A"/>
    <w:rsid w:val="4CC8E688"/>
    <w:rsid w:val="4CD10EA7"/>
    <w:rsid w:val="4CD21D84"/>
    <w:rsid w:val="4CD7D70C"/>
    <w:rsid w:val="4CDCB009"/>
    <w:rsid w:val="4CE3DDDE"/>
    <w:rsid w:val="4CEFE9E4"/>
    <w:rsid w:val="4CF37610"/>
    <w:rsid w:val="4CF779FF"/>
    <w:rsid w:val="4CF8CD49"/>
    <w:rsid w:val="4CFD063B"/>
    <w:rsid w:val="4D0B172A"/>
    <w:rsid w:val="4D152F39"/>
    <w:rsid w:val="4D1A5189"/>
    <w:rsid w:val="4D1E7B97"/>
    <w:rsid w:val="4D239EDA"/>
    <w:rsid w:val="4D24C8B7"/>
    <w:rsid w:val="4D2531AB"/>
    <w:rsid w:val="4D28AC71"/>
    <w:rsid w:val="4D340920"/>
    <w:rsid w:val="4D37E250"/>
    <w:rsid w:val="4D41941B"/>
    <w:rsid w:val="4D4B1958"/>
    <w:rsid w:val="4D51D481"/>
    <w:rsid w:val="4D51E442"/>
    <w:rsid w:val="4D5FE32E"/>
    <w:rsid w:val="4D601AA9"/>
    <w:rsid w:val="4D68E30C"/>
    <w:rsid w:val="4D7818B2"/>
    <w:rsid w:val="4D8B7592"/>
    <w:rsid w:val="4D8C6621"/>
    <w:rsid w:val="4D99A409"/>
    <w:rsid w:val="4D9AAB03"/>
    <w:rsid w:val="4D9CE080"/>
    <w:rsid w:val="4DA701FF"/>
    <w:rsid w:val="4DB75943"/>
    <w:rsid w:val="4DB85D9C"/>
    <w:rsid w:val="4DBD72C9"/>
    <w:rsid w:val="4DC15126"/>
    <w:rsid w:val="4DC1E9AA"/>
    <w:rsid w:val="4DC3AC79"/>
    <w:rsid w:val="4DC665FA"/>
    <w:rsid w:val="4DD7E809"/>
    <w:rsid w:val="4DE4CFE8"/>
    <w:rsid w:val="4DE66776"/>
    <w:rsid w:val="4DE7A776"/>
    <w:rsid w:val="4DF00B2B"/>
    <w:rsid w:val="4DF7BC4F"/>
    <w:rsid w:val="4DFCB450"/>
    <w:rsid w:val="4E015B8B"/>
    <w:rsid w:val="4E07DC5F"/>
    <w:rsid w:val="4E0B6F08"/>
    <w:rsid w:val="4E0EFD3B"/>
    <w:rsid w:val="4E16998B"/>
    <w:rsid w:val="4E1FE579"/>
    <w:rsid w:val="4E213718"/>
    <w:rsid w:val="4E29025A"/>
    <w:rsid w:val="4E2B2381"/>
    <w:rsid w:val="4E444BDE"/>
    <w:rsid w:val="4E4820DC"/>
    <w:rsid w:val="4E524231"/>
    <w:rsid w:val="4E54F303"/>
    <w:rsid w:val="4E5D0FBE"/>
    <w:rsid w:val="4E63C090"/>
    <w:rsid w:val="4E66C18C"/>
    <w:rsid w:val="4E728A6F"/>
    <w:rsid w:val="4E73404F"/>
    <w:rsid w:val="4E77844B"/>
    <w:rsid w:val="4E78A32F"/>
    <w:rsid w:val="4E7E19DF"/>
    <w:rsid w:val="4E87E218"/>
    <w:rsid w:val="4E8B6EF1"/>
    <w:rsid w:val="4E8BD7F2"/>
    <w:rsid w:val="4E8CAE65"/>
    <w:rsid w:val="4E8F18FB"/>
    <w:rsid w:val="4E96CD03"/>
    <w:rsid w:val="4E96CF61"/>
    <w:rsid w:val="4E9BAB45"/>
    <w:rsid w:val="4EA07F03"/>
    <w:rsid w:val="4EA1239B"/>
    <w:rsid w:val="4EA35012"/>
    <w:rsid w:val="4EA4CF80"/>
    <w:rsid w:val="4EA5004F"/>
    <w:rsid w:val="4EA53FD0"/>
    <w:rsid w:val="4EC96D88"/>
    <w:rsid w:val="4EC9F42B"/>
    <w:rsid w:val="4ECABC2F"/>
    <w:rsid w:val="4EDB0A3B"/>
    <w:rsid w:val="4EDF5AB8"/>
    <w:rsid w:val="4EE523AD"/>
    <w:rsid w:val="4EE96033"/>
    <w:rsid w:val="4EF3BF61"/>
    <w:rsid w:val="4EF54C10"/>
    <w:rsid w:val="4EF8134E"/>
    <w:rsid w:val="4EFD9423"/>
    <w:rsid w:val="4EFEF922"/>
    <w:rsid w:val="4F0581A9"/>
    <w:rsid w:val="4F069662"/>
    <w:rsid w:val="4F06E6A8"/>
    <w:rsid w:val="4F209D88"/>
    <w:rsid w:val="4F2723F5"/>
    <w:rsid w:val="4F283682"/>
    <w:rsid w:val="4F3265F2"/>
    <w:rsid w:val="4F33F649"/>
    <w:rsid w:val="4F36F24D"/>
    <w:rsid w:val="4F3D4F2D"/>
    <w:rsid w:val="4F3F188F"/>
    <w:rsid w:val="4F4420DD"/>
    <w:rsid w:val="4F521EE1"/>
    <w:rsid w:val="4F5A48D5"/>
    <w:rsid w:val="4F5F0439"/>
    <w:rsid w:val="4F718957"/>
    <w:rsid w:val="4F72C8B8"/>
    <w:rsid w:val="4F855817"/>
    <w:rsid w:val="4F887CCE"/>
    <w:rsid w:val="4F887F2C"/>
    <w:rsid w:val="4F8A9A8E"/>
    <w:rsid w:val="4F938CB0"/>
    <w:rsid w:val="4F97CDF5"/>
    <w:rsid w:val="4F9C27F3"/>
    <w:rsid w:val="4FA23FE6"/>
    <w:rsid w:val="4FAC4C78"/>
    <w:rsid w:val="4FB4057A"/>
    <w:rsid w:val="4FBB6405"/>
    <w:rsid w:val="4FBCF8EE"/>
    <w:rsid w:val="4FBEC9EE"/>
    <w:rsid w:val="4FC332B7"/>
    <w:rsid w:val="4FC573F1"/>
    <w:rsid w:val="4FCEA4F8"/>
    <w:rsid w:val="4FD03796"/>
    <w:rsid w:val="4FD9A4F7"/>
    <w:rsid w:val="4FDCC34C"/>
    <w:rsid w:val="4FE1E155"/>
    <w:rsid w:val="4FED1BC6"/>
    <w:rsid w:val="4FED4A21"/>
    <w:rsid w:val="4FF1DEFA"/>
    <w:rsid w:val="4FF29669"/>
    <w:rsid w:val="4FF8CFA6"/>
    <w:rsid w:val="5004C568"/>
    <w:rsid w:val="500DA53C"/>
    <w:rsid w:val="5013B93D"/>
    <w:rsid w:val="501469AB"/>
    <w:rsid w:val="501ADFCE"/>
    <w:rsid w:val="5031AAEA"/>
    <w:rsid w:val="503219CF"/>
    <w:rsid w:val="503488AC"/>
    <w:rsid w:val="50377BA6"/>
    <w:rsid w:val="503CF3FC"/>
    <w:rsid w:val="50520B87"/>
    <w:rsid w:val="505546AF"/>
    <w:rsid w:val="505DDB55"/>
    <w:rsid w:val="50617A87"/>
    <w:rsid w:val="50654DF0"/>
    <w:rsid w:val="50680259"/>
    <w:rsid w:val="5068E83F"/>
    <w:rsid w:val="5070C9EC"/>
    <w:rsid w:val="50757D0E"/>
    <w:rsid w:val="50784504"/>
    <w:rsid w:val="507DD883"/>
    <w:rsid w:val="5082BA1A"/>
    <w:rsid w:val="50897087"/>
    <w:rsid w:val="508D7152"/>
    <w:rsid w:val="508FB0E1"/>
    <w:rsid w:val="50940286"/>
    <w:rsid w:val="509783F0"/>
    <w:rsid w:val="509B143E"/>
    <w:rsid w:val="509F4844"/>
    <w:rsid w:val="50ABF532"/>
    <w:rsid w:val="50AF810A"/>
    <w:rsid w:val="50C6398F"/>
    <w:rsid w:val="50C69EBF"/>
    <w:rsid w:val="50CE7803"/>
    <w:rsid w:val="50D19BF1"/>
    <w:rsid w:val="50D90310"/>
    <w:rsid w:val="50D9E7FF"/>
    <w:rsid w:val="50E1F619"/>
    <w:rsid w:val="50E46618"/>
    <w:rsid w:val="50F0F8A8"/>
    <w:rsid w:val="50F247EB"/>
    <w:rsid w:val="50F9510D"/>
    <w:rsid w:val="50FDFB9E"/>
    <w:rsid w:val="51136484"/>
    <w:rsid w:val="51184941"/>
    <w:rsid w:val="511C61DD"/>
    <w:rsid w:val="511D7AE8"/>
    <w:rsid w:val="512142ED"/>
    <w:rsid w:val="51248FB0"/>
    <w:rsid w:val="512F5D11"/>
    <w:rsid w:val="5132C204"/>
    <w:rsid w:val="514B6A61"/>
    <w:rsid w:val="514FE4EC"/>
    <w:rsid w:val="516C0D20"/>
    <w:rsid w:val="51710601"/>
    <w:rsid w:val="517E7605"/>
    <w:rsid w:val="5180F94E"/>
    <w:rsid w:val="5186BA17"/>
    <w:rsid w:val="51877552"/>
    <w:rsid w:val="518B0645"/>
    <w:rsid w:val="5193E633"/>
    <w:rsid w:val="51990050"/>
    <w:rsid w:val="51A78A52"/>
    <w:rsid w:val="51B2AD4B"/>
    <w:rsid w:val="51B37223"/>
    <w:rsid w:val="51B452EE"/>
    <w:rsid w:val="51B4AE49"/>
    <w:rsid w:val="51BE734A"/>
    <w:rsid w:val="51CFFC76"/>
    <w:rsid w:val="51D0A5CA"/>
    <w:rsid w:val="51DDE048"/>
    <w:rsid w:val="51E4843D"/>
    <w:rsid w:val="51E8A05C"/>
    <w:rsid w:val="51EE58D2"/>
    <w:rsid w:val="51F83303"/>
    <w:rsid w:val="51FBAF6E"/>
    <w:rsid w:val="5200F5C1"/>
    <w:rsid w:val="520C1D47"/>
    <w:rsid w:val="520C9A4D"/>
    <w:rsid w:val="52101956"/>
    <w:rsid w:val="5227E561"/>
    <w:rsid w:val="522AC702"/>
    <w:rsid w:val="52300C33"/>
    <w:rsid w:val="523CAD75"/>
    <w:rsid w:val="523D226B"/>
    <w:rsid w:val="523E876A"/>
    <w:rsid w:val="52454C5F"/>
    <w:rsid w:val="5247B372"/>
    <w:rsid w:val="52488A25"/>
    <w:rsid w:val="525A2262"/>
    <w:rsid w:val="525B1958"/>
    <w:rsid w:val="525CE705"/>
    <w:rsid w:val="525DA6DC"/>
    <w:rsid w:val="525DD5A4"/>
    <w:rsid w:val="52656CAF"/>
    <w:rsid w:val="526E1C26"/>
    <w:rsid w:val="526EFD50"/>
    <w:rsid w:val="527ED328"/>
    <w:rsid w:val="52831D49"/>
    <w:rsid w:val="52864C68"/>
    <w:rsid w:val="5287119C"/>
    <w:rsid w:val="529AFA7A"/>
    <w:rsid w:val="52A3246E"/>
    <w:rsid w:val="52BB9C5D"/>
    <w:rsid w:val="52C08389"/>
    <w:rsid w:val="52D1DE70"/>
    <w:rsid w:val="52D765B0"/>
    <w:rsid w:val="52EC9E84"/>
    <w:rsid w:val="52F3569C"/>
    <w:rsid w:val="52F5B94C"/>
    <w:rsid w:val="52F5ECD0"/>
    <w:rsid w:val="52F5F0D4"/>
    <w:rsid w:val="52F8D761"/>
    <w:rsid w:val="52FD012A"/>
    <w:rsid w:val="5301FCA8"/>
    <w:rsid w:val="530B1E71"/>
    <w:rsid w:val="530E6086"/>
    <w:rsid w:val="5314298C"/>
    <w:rsid w:val="53153624"/>
    <w:rsid w:val="531A4666"/>
    <w:rsid w:val="531D0DEC"/>
    <w:rsid w:val="53265997"/>
    <w:rsid w:val="532E9AEF"/>
    <w:rsid w:val="5336475C"/>
    <w:rsid w:val="5340AD05"/>
    <w:rsid w:val="534C0A6D"/>
    <w:rsid w:val="534DF870"/>
    <w:rsid w:val="53527A7C"/>
    <w:rsid w:val="535A43AB"/>
    <w:rsid w:val="5365C60C"/>
    <w:rsid w:val="53701884"/>
    <w:rsid w:val="538D00A7"/>
    <w:rsid w:val="53965353"/>
    <w:rsid w:val="539DDBD9"/>
    <w:rsid w:val="53A08901"/>
    <w:rsid w:val="53A3E7CA"/>
    <w:rsid w:val="53ABE9B7"/>
    <w:rsid w:val="53B2CBDB"/>
    <w:rsid w:val="53B7D875"/>
    <w:rsid w:val="53BF3CDF"/>
    <w:rsid w:val="53C3B5C2"/>
    <w:rsid w:val="53C4A2B5"/>
    <w:rsid w:val="53C4CC58"/>
    <w:rsid w:val="53C596CE"/>
    <w:rsid w:val="53C67C66"/>
    <w:rsid w:val="53D5F9B3"/>
    <w:rsid w:val="53D8F2CC"/>
    <w:rsid w:val="53D92528"/>
    <w:rsid w:val="53DC0DE1"/>
    <w:rsid w:val="53E11CC0"/>
    <w:rsid w:val="53E4ACCE"/>
    <w:rsid w:val="53E7B687"/>
    <w:rsid w:val="53EF4978"/>
    <w:rsid w:val="53F22133"/>
    <w:rsid w:val="53F4408B"/>
    <w:rsid w:val="53F5F2C3"/>
    <w:rsid w:val="5405D715"/>
    <w:rsid w:val="54095ECD"/>
    <w:rsid w:val="540D2EB3"/>
    <w:rsid w:val="540EB084"/>
    <w:rsid w:val="540EC342"/>
    <w:rsid w:val="54127156"/>
    <w:rsid w:val="5418ADD6"/>
    <w:rsid w:val="541BF99E"/>
    <w:rsid w:val="54209499"/>
    <w:rsid w:val="5428A35B"/>
    <w:rsid w:val="542C188C"/>
    <w:rsid w:val="542C4BE0"/>
    <w:rsid w:val="54332FF8"/>
    <w:rsid w:val="543F1CF2"/>
    <w:rsid w:val="54436889"/>
    <w:rsid w:val="544639DB"/>
    <w:rsid w:val="5448C9A9"/>
    <w:rsid w:val="54552119"/>
    <w:rsid w:val="545DF589"/>
    <w:rsid w:val="5465399C"/>
    <w:rsid w:val="54697317"/>
    <w:rsid w:val="5470537C"/>
    <w:rsid w:val="5488B418"/>
    <w:rsid w:val="5488FACA"/>
    <w:rsid w:val="54899C27"/>
    <w:rsid w:val="5494401B"/>
    <w:rsid w:val="549B5CCE"/>
    <w:rsid w:val="54A6EED2"/>
    <w:rsid w:val="54AC20D2"/>
    <w:rsid w:val="54B7CD55"/>
    <w:rsid w:val="54CA6B50"/>
    <w:rsid w:val="54CD4098"/>
    <w:rsid w:val="54CF36D4"/>
    <w:rsid w:val="54D8BD71"/>
    <w:rsid w:val="54DFB866"/>
    <w:rsid w:val="54E7DACE"/>
    <w:rsid w:val="54E8F931"/>
    <w:rsid w:val="5500E939"/>
    <w:rsid w:val="5505A31F"/>
    <w:rsid w:val="550718C1"/>
    <w:rsid w:val="5509AE82"/>
    <w:rsid w:val="550D4C4F"/>
    <w:rsid w:val="5516290F"/>
    <w:rsid w:val="55177858"/>
    <w:rsid w:val="55265F2A"/>
    <w:rsid w:val="5528D108"/>
    <w:rsid w:val="552BEDCB"/>
    <w:rsid w:val="55308152"/>
    <w:rsid w:val="553C5962"/>
    <w:rsid w:val="5542F369"/>
    <w:rsid w:val="5547D91C"/>
    <w:rsid w:val="5548EFDF"/>
    <w:rsid w:val="554CCCAA"/>
    <w:rsid w:val="554EDFB3"/>
    <w:rsid w:val="55525E0C"/>
    <w:rsid w:val="55562C73"/>
    <w:rsid w:val="55584021"/>
    <w:rsid w:val="555D1AF6"/>
    <w:rsid w:val="555E66E3"/>
    <w:rsid w:val="5567ACF5"/>
    <w:rsid w:val="556A023A"/>
    <w:rsid w:val="55740243"/>
    <w:rsid w:val="557FD56A"/>
    <w:rsid w:val="5582ED87"/>
    <w:rsid w:val="5582F1C5"/>
    <w:rsid w:val="55887121"/>
    <w:rsid w:val="558AC4B3"/>
    <w:rsid w:val="558EDB0A"/>
    <w:rsid w:val="55922182"/>
    <w:rsid w:val="55955A8C"/>
    <w:rsid w:val="5595713A"/>
    <w:rsid w:val="559738DB"/>
    <w:rsid w:val="559FFB6C"/>
    <w:rsid w:val="55A413C5"/>
    <w:rsid w:val="55AE82E9"/>
    <w:rsid w:val="55B47E37"/>
    <w:rsid w:val="55B66A05"/>
    <w:rsid w:val="55B673EA"/>
    <w:rsid w:val="55B77A7A"/>
    <w:rsid w:val="55B7D73B"/>
    <w:rsid w:val="55B9CA7F"/>
    <w:rsid w:val="55BC64FA"/>
    <w:rsid w:val="55C16065"/>
    <w:rsid w:val="55C47585"/>
    <w:rsid w:val="55C8FE74"/>
    <w:rsid w:val="55C98A59"/>
    <w:rsid w:val="55D4CD4C"/>
    <w:rsid w:val="55D58427"/>
    <w:rsid w:val="55DA1577"/>
    <w:rsid w:val="55DDD7E1"/>
    <w:rsid w:val="55DFB6A3"/>
    <w:rsid w:val="55E60823"/>
    <w:rsid w:val="55F33D1F"/>
    <w:rsid w:val="55F76250"/>
    <w:rsid w:val="55FB3299"/>
    <w:rsid w:val="5602BE57"/>
    <w:rsid w:val="5602CE34"/>
    <w:rsid w:val="5611ABE0"/>
    <w:rsid w:val="5619E4FE"/>
    <w:rsid w:val="561D1EED"/>
    <w:rsid w:val="5626E286"/>
    <w:rsid w:val="562AE96D"/>
    <w:rsid w:val="562EA423"/>
    <w:rsid w:val="5638C167"/>
    <w:rsid w:val="563B51C4"/>
    <w:rsid w:val="5641C049"/>
    <w:rsid w:val="56492C63"/>
    <w:rsid w:val="5656A071"/>
    <w:rsid w:val="565A00EB"/>
    <w:rsid w:val="565D4D52"/>
    <w:rsid w:val="5662906E"/>
    <w:rsid w:val="566335A2"/>
    <w:rsid w:val="5665736F"/>
    <w:rsid w:val="566BDD39"/>
    <w:rsid w:val="5671220D"/>
    <w:rsid w:val="56784DC7"/>
    <w:rsid w:val="567BDB77"/>
    <w:rsid w:val="56833575"/>
    <w:rsid w:val="5684A8B6"/>
    <w:rsid w:val="5687FF4B"/>
    <w:rsid w:val="5691E46D"/>
    <w:rsid w:val="5696E9D7"/>
    <w:rsid w:val="56A07841"/>
    <w:rsid w:val="56A34007"/>
    <w:rsid w:val="56AD026A"/>
    <w:rsid w:val="56BFF01F"/>
    <w:rsid w:val="56CBF503"/>
    <w:rsid w:val="56CC13F1"/>
    <w:rsid w:val="56CC51B3"/>
    <w:rsid w:val="56DFFC03"/>
    <w:rsid w:val="56EB83A3"/>
    <w:rsid w:val="56F4CF5D"/>
    <w:rsid w:val="56FB2A04"/>
    <w:rsid w:val="57107AEF"/>
    <w:rsid w:val="5711EEE5"/>
    <w:rsid w:val="5718A948"/>
    <w:rsid w:val="571F6B16"/>
    <w:rsid w:val="572DA0BA"/>
    <w:rsid w:val="57360A65"/>
    <w:rsid w:val="5737263B"/>
    <w:rsid w:val="573B1901"/>
    <w:rsid w:val="574B4D75"/>
    <w:rsid w:val="574DB0AE"/>
    <w:rsid w:val="57504305"/>
    <w:rsid w:val="5753A2CF"/>
    <w:rsid w:val="57581FA2"/>
    <w:rsid w:val="575B3EC0"/>
    <w:rsid w:val="576D6D39"/>
    <w:rsid w:val="576DC058"/>
    <w:rsid w:val="57725B23"/>
    <w:rsid w:val="5775E5D8"/>
    <w:rsid w:val="577A24EC"/>
    <w:rsid w:val="577D14FF"/>
    <w:rsid w:val="57822FAF"/>
    <w:rsid w:val="5788DB2B"/>
    <w:rsid w:val="5789BB9F"/>
    <w:rsid w:val="57933BEE"/>
    <w:rsid w:val="57AF3E1D"/>
    <w:rsid w:val="57B2A8BC"/>
    <w:rsid w:val="57B7E9CD"/>
    <w:rsid w:val="57B82720"/>
    <w:rsid w:val="57B9D1AB"/>
    <w:rsid w:val="57BF2670"/>
    <w:rsid w:val="57C09B8C"/>
    <w:rsid w:val="57C2B2E7"/>
    <w:rsid w:val="57C3A5C0"/>
    <w:rsid w:val="57C6304A"/>
    <w:rsid w:val="57C6DAAA"/>
    <w:rsid w:val="57C92A6F"/>
    <w:rsid w:val="57CF7EEA"/>
    <w:rsid w:val="57CF8647"/>
    <w:rsid w:val="57D286BD"/>
    <w:rsid w:val="57D62A66"/>
    <w:rsid w:val="57E1517C"/>
    <w:rsid w:val="57E19804"/>
    <w:rsid w:val="57EE2634"/>
    <w:rsid w:val="57F2BD8F"/>
    <w:rsid w:val="57F2E2B5"/>
    <w:rsid w:val="57FBBD49"/>
    <w:rsid w:val="57FBD549"/>
    <w:rsid w:val="58029588"/>
    <w:rsid w:val="581516E4"/>
    <w:rsid w:val="58210462"/>
    <w:rsid w:val="5821B5B0"/>
    <w:rsid w:val="58239472"/>
    <w:rsid w:val="583636FC"/>
    <w:rsid w:val="584389A7"/>
    <w:rsid w:val="58477C20"/>
    <w:rsid w:val="5853C5C1"/>
    <w:rsid w:val="58545C2D"/>
    <w:rsid w:val="58616D20"/>
    <w:rsid w:val="58665181"/>
    <w:rsid w:val="58675702"/>
    <w:rsid w:val="586E3F07"/>
    <w:rsid w:val="5870D671"/>
    <w:rsid w:val="5873D446"/>
    <w:rsid w:val="587758ED"/>
    <w:rsid w:val="5877B8F4"/>
    <w:rsid w:val="587C2DFD"/>
    <w:rsid w:val="5880D429"/>
    <w:rsid w:val="58904FF5"/>
    <w:rsid w:val="58917B10"/>
    <w:rsid w:val="589EF594"/>
    <w:rsid w:val="58A1CDD3"/>
    <w:rsid w:val="58A2298B"/>
    <w:rsid w:val="58A62623"/>
    <w:rsid w:val="58A9FA28"/>
    <w:rsid w:val="58B3DC7F"/>
    <w:rsid w:val="58B48DE3"/>
    <w:rsid w:val="58B8F358"/>
    <w:rsid w:val="58BF4E80"/>
    <w:rsid w:val="58C21DA1"/>
    <w:rsid w:val="58C67BCC"/>
    <w:rsid w:val="58D1DAC6"/>
    <w:rsid w:val="58D5F3C1"/>
    <w:rsid w:val="58E38B9F"/>
    <w:rsid w:val="58E43173"/>
    <w:rsid w:val="58E83E68"/>
    <w:rsid w:val="58EA0208"/>
    <w:rsid w:val="58ED9187"/>
    <w:rsid w:val="58F30943"/>
    <w:rsid w:val="58F4E805"/>
    <w:rsid w:val="58F88DDC"/>
    <w:rsid w:val="58FD59D0"/>
    <w:rsid w:val="59089A92"/>
    <w:rsid w:val="5915F54D"/>
    <w:rsid w:val="59190312"/>
    <w:rsid w:val="591DA8E5"/>
    <w:rsid w:val="591E527F"/>
    <w:rsid w:val="592F74D2"/>
    <w:rsid w:val="5930AF69"/>
    <w:rsid w:val="593637F2"/>
    <w:rsid w:val="593AB54E"/>
    <w:rsid w:val="593DC829"/>
    <w:rsid w:val="5942B7AB"/>
    <w:rsid w:val="5947074B"/>
    <w:rsid w:val="594A6C6E"/>
    <w:rsid w:val="595321D7"/>
    <w:rsid w:val="5954DD8B"/>
    <w:rsid w:val="59578329"/>
    <w:rsid w:val="596038AE"/>
    <w:rsid w:val="59611976"/>
    <w:rsid w:val="5964B977"/>
    <w:rsid w:val="59666998"/>
    <w:rsid w:val="596B4F4B"/>
    <w:rsid w:val="596ECA69"/>
    <w:rsid w:val="597A42A2"/>
    <w:rsid w:val="597F3115"/>
    <w:rsid w:val="5983FFE7"/>
    <w:rsid w:val="5986FE85"/>
    <w:rsid w:val="598E4133"/>
    <w:rsid w:val="598F1F1A"/>
    <w:rsid w:val="5996C96C"/>
    <w:rsid w:val="59987CBD"/>
    <w:rsid w:val="59999109"/>
    <w:rsid w:val="59A0D549"/>
    <w:rsid w:val="59A44626"/>
    <w:rsid w:val="59B820A6"/>
    <w:rsid w:val="59D1B3E2"/>
    <w:rsid w:val="59DB8943"/>
    <w:rsid w:val="59DC4C32"/>
    <w:rsid w:val="59DF5A08"/>
    <w:rsid w:val="59E99A32"/>
    <w:rsid w:val="59EC6334"/>
    <w:rsid w:val="59F02C8E"/>
    <w:rsid w:val="59F3E863"/>
    <w:rsid w:val="59F6033C"/>
    <w:rsid w:val="5A032763"/>
    <w:rsid w:val="5A0A0F68"/>
    <w:rsid w:val="5A0BA71C"/>
    <w:rsid w:val="5A0C202F"/>
    <w:rsid w:val="5A1F76C1"/>
    <w:rsid w:val="5A240A59"/>
    <w:rsid w:val="5A2859AA"/>
    <w:rsid w:val="5A2C966F"/>
    <w:rsid w:val="5A30674A"/>
    <w:rsid w:val="5A3D0246"/>
    <w:rsid w:val="5A483450"/>
    <w:rsid w:val="5A4A9E01"/>
    <w:rsid w:val="5A50ACAF"/>
    <w:rsid w:val="5A51B472"/>
    <w:rsid w:val="5A54DBA0"/>
    <w:rsid w:val="5A57410A"/>
    <w:rsid w:val="5A5E8AFC"/>
    <w:rsid w:val="5A62FAF0"/>
    <w:rsid w:val="5A67DE77"/>
    <w:rsid w:val="5A68CBAF"/>
    <w:rsid w:val="5A6E5C34"/>
    <w:rsid w:val="5A71C422"/>
    <w:rsid w:val="5A7583BB"/>
    <w:rsid w:val="5A8E30A4"/>
    <w:rsid w:val="5A915E4D"/>
    <w:rsid w:val="5A9335E4"/>
    <w:rsid w:val="5A94D188"/>
    <w:rsid w:val="5AA2579E"/>
    <w:rsid w:val="5AA69F61"/>
    <w:rsid w:val="5AA8AA17"/>
    <w:rsid w:val="5AB1C5AE"/>
    <w:rsid w:val="5AB33399"/>
    <w:rsid w:val="5AB8DDB1"/>
    <w:rsid w:val="5AB9236D"/>
    <w:rsid w:val="5AC1AEFA"/>
    <w:rsid w:val="5AC2A6B6"/>
    <w:rsid w:val="5ACBEA0E"/>
    <w:rsid w:val="5ACD76D1"/>
    <w:rsid w:val="5AD646B4"/>
    <w:rsid w:val="5ADB0C97"/>
    <w:rsid w:val="5AEE23EB"/>
    <w:rsid w:val="5AF6C732"/>
    <w:rsid w:val="5AF83C4E"/>
    <w:rsid w:val="5AFB4682"/>
    <w:rsid w:val="5B0270EA"/>
    <w:rsid w:val="5B071FAC"/>
    <w:rsid w:val="5B0B365F"/>
    <w:rsid w:val="5B12EA3D"/>
    <w:rsid w:val="5B215E9A"/>
    <w:rsid w:val="5B2377C9"/>
    <w:rsid w:val="5B28D7B3"/>
    <w:rsid w:val="5B2A5E51"/>
    <w:rsid w:val="5B35616A"/>
    <w:rsid w:val="5B3B5197"/>
    <w:rsid w:val="5B47FF51"/>
    <w:rsid w:val="5B4C83F1"/>
    <w:rsid w:val="5B51B03F"/>
    <w:rsid w:val="5B58A50B"/>
    <w:rsid w:val="5B5E3147"/>
    <w:rsid w:val="5B6143F8"/>
    <w:rsid w:val="5B67F23C"/>
    <w:rsid w:val="5B6A9A7B"/>
    <w:rsid w:val="5B7076E1"/>
    <w:rsid w:val="5B839841"/>
    <w:rsid w:val="5B856A93"/>
    <w:rsid w:val="5B879429"/>
    <w:rsid w:val="5B8B6683"/>
    <w:rsid w:val="5B982672"/>
    <w:rsid w:val="5B9DF243"/>
    <w:rsid w:val="5BA74614"/>
    <w:rsid w:val="5BA82E66"/>
    <w:rsid w:val="5BA900C2"/>
    <w:rsid w:val="5BAD7354"/>
    <w:rsid w:val="5BAE09BD"/>
    <w:rsid w:val="5BB40591"/>
    <w:rsid w:val="5BB6D30C"/>
    <w:rsid w:val="5BB82021"/>
    <w:rsid w:val="5BBD702A"/>
    <w:rsid w:val="5BC01D3B"/>
    <w:rsid w:val="5BDFFB69"/>
    <w:rsid w:val="5BE404B1"/>
    <w:rsid w:val="5BED5202"/>
    <w:rsid w:val="5BFE1C8E"/>
    <w:rsid w:val="5C016306"/>
    <w:rsid w:val="5C0A4F5D"/>
    <w:rsid w:val="5C10AAEF"/>
    <w:rsid w:val="5C187366"/>
    <w:rsid w:val="5C1AF7D1"/>
    <w:rsid w:val="5C20D2E5"/>
    <w:rsid w:val="5C31A34A"/>
    <w:rsid w:val="5C31C387"/>
    <w:rsid w:val="5C33487A"/>
    <w:rsid w:val="5C334D7C"/>
    <w:rsid w:val="5C375DC5"/>
    <w:rsid w:val="5C376EC7"/>
    <w:rsid w:val="5C38CBDD"/>
    <w:rsid w:val="5C39500E"/>
    <w:rsid w:val="5C3E18AB"/>
    <w:rsid w:val="5C447416"/>
    <w:rsid w:val="5C4904A0"/>
    <w:rsid w:val="5C4A2ED7"/>
    <w:rsid w:val="5C4DE328"/>
    <w:rsid w:val="5C4F5382"/>
    <w:rsid w:val="5C55A0D2"/>
    <w:rsid w:val="5C66CE00"/>
    <w:rsid w:val="5C68E4D3"/>
    <w:rsid w:val="5C6A741D"/>
    <w:rsid w:val="5C6DBA95"/>
    <w:rsid w:val="5C7ADC71"/>
    <w:rsid w:val="5C7E7013"/>
    <w:rsid w:val="5C844330"/>
    <w:rsid w:val="5C92D9FB"/>
    <w:rsid w:val="5C9EBA88"/>
    <w:rsid w:val="5CA80C6B"/>
    <w:rsid w:val="5CB48CD6"/>
    <w:rsid w:val="5CB8A883"/>
    <w:rsid w:val="5CD65F92"/>
    <w:rsid w:val="5CE38805"/>
    <w:rsid w:val="5CF2ECB3"/>
    <w:rsid w:val="5CF4C79B"/>
    <w:rsid w:val="5CFAE41E"/>
    <w:rsid w:val="5CFB7E64"/>
    <w:rsid w:val="5D000A8E"/>
    <w:rsid w:val="5D016F1A"/>
    <w:rsid w:val="5D023369"/>
    <w:rsid w:val="5D0416D0"/>
    <w:rsid w:val="5D0720BC"/>
    <w:rsid w:val="5D09C455"/>
    <w:rsid w:val="5D0D9DC9"/>
    <w:rsid w:val="5D12C91F"/>
    <w:rsid w:val="5D1B53F9"/>
    <w:rsid w:val="5D1FC0F8"/>
    <w:rsid w:val="5D213AF4"/>
    <w:rsid w:val="5D23648A"/>
    <w:rsid w:val="5D257EF3"/>
    <w:rsid w:val="5D2B7EE4"/>
    <w:rsid w:val="5D389F47"/>
    <w:rsid w:val="5D3B5575"/>
    <w:rsid w:val="5D41B02A"/>
    <w:rsid w:val="5D6501BA"/>
    <w:rsid w:val="5D76BAD0"/>
    <w:rsid w:val="5D8105C1"/>
    <w:rsid w:val="5D87CFA2"/>
    <w:rsid w:val="5D8AB19D"/>
    <w:rsid w:val="5D95D698"/>
    <w:rsid w:val="5D962398"/>
    <w:rsid w:val="5D9939DD"/>
    <w:rsid w:val="5D9F7F39"/>
    <w:rsid w:val="5DA667BF"/>
    <w:rsid w:val="5DB0A075"/>
    <w:rsid w:val="5DC563A6"/>
    <w:rsid w:val="5DC94028"/>
    <w:rsid w:val="5DD3FEEA"/>
    <w:rsid w:val="5DD5CED3"/>
    <w:rsid w:val="5DDBD5A9"/>
    <w:rsid w:val="5DE04477"/>
    <w:rsid w:val="5DE0A0CB"/>
    <w:rsid w:val="5DE936DF"/>
    <w:rsid w:val="5DEAE09E"/>
    <w:rsid w:val="5DF1E78C"/>
    <w:rsid w:val="5DFBB39C"/>
    <w:rsid w:val="5DFF2795"/>
    <w:rsid w:val="5E04992A"/>
    <w:rsid w:val="5E05AD79"/>
    <w:rsid w:val="5E0F933D"/>
    <w:rsid w:val="5E1438E0"/>
    <w:rsid w:val="5E15C4AD"/>
    <w:rsid w:val="5E1633BF"/>
    <w:rsid w:val="5E1B3780"/>
    <w:rsid w:val="5E227505"/>
    <w:rsid w:val="5E2768A4"/>
    <w:rsid w:val="5E284EAE"/>
    <w:rsid w:val="5E29132F"/>
    <w:rsid w:val="5E2B2317"/>
    <w:rsid w:val="5E2FCDBC"/>
    <w:rsid w:val="5E33109D"/>
    <w:rsid w:val="5E338ED9"/>
    <w:rsid w:val="5E3D26B8"/>
    <w:rsid w:val="5E4AD1CA"/>
    <w:rsid w:val="5E505D37"/>
    <w:rsid w:val="5E5106B2"/>
    <w:rsid w:val="5E51EE70"/>
    <w:rsid w:val="5E5BCAFF"/>
    <w:rsid w:val="5E6629AA"/>
    <w:rsid w:val="5E746695"/>
    <w:rsid w:val="5E83B95D"/>
    <w:rsid w:val="5E89F7FA"/>
    <w:rsid w:val="5E8E1AD7"/>
    <w:rsid w:val="5E8E9091"/>
    <w:rsid w:val="5E8EF01D"/>
    <w:rsid w:val="5E9045CD"/>
    <w:rsid w:val="5E943DA9"/>
    <w:rsid w:val="5E98A6B2"/>
    <w:rsid w:val="5EA114FC"/>
    <w:rsid w:val="5EA1FBBC"/>
    <w:rsid w:val="5EA96E2A"/>
    <w:rsid w:val="5EAD6606"/>
    <w:rsid w:val="5EB3DFD3"/>
    <w:rsid w:val="5EB483A2"/>
    <w:rsid w:val="5EBACE80"/>
    <w:rsid w:val="5EBDE26A"/>
    <w:rsid w:val="5ECB37E3"/>
    <w:rsid w:val="5ECF59C8"/>
    <w:rsid w:val="5ED725D6"/>
    <w:rsid w:val="5ED75E99"/>
    <w:rsid w:val="5ED9C22B"/>
    <w:rsid w:val="5EDF135C"/>
    <w:rsid w:val="5EED9805"/>
    <w:rsid w:val="5EEFC652"/>
    <w:rsid w:val="5EF8C973"/>
    <w:rsid w:val="5EF94713"/>
    <w:rsid w:val="5EF9A6A7"/>
    <w:rsid w:val="5EFD836C"/>
    <w:rsid w:val="5F03ADC5"/>
    <w:rsid w:val="5F03D86D"/>
    <w:rsid w:val="5F07A13E"/>
    <w:rsid w:val="5F0E55EF"/>
    <w:rsid w:val="5F10A770"/>
    <w:rsid w:val="5F10AC16"/>
    <w:rsid w:val="5F13B7ED"/>
    <w:rsid w:val="5F14783B"/>
    <w:rsid w:val="5F1555C5"/>
    <w:rsid w:val="5F158CB3"/>
    <w:rsid w:val="5F169E77"/>
    <w:rsid w:val="5F1AEDD5"/>
    <w:rsid w:val="5F436358"/>
    <w:rsid w:val="5F49B7C4"/>
    <w:rsid w:val="5F520799"/>
    <w:rsid w:val="5F5E5CC0"/>
    <w:rsid w:val="5F5EC1C0"/>
    <w:rsid w:val="5F5F31C8"/>
    <w:rsid w:val="5F6CF874"/>
    <w:rsid w:val="5F8848B3"/>
    <w:rsid w:val="5F8C5119"/>
    <w:rsid w:val="5F902AD3"/>
    <w:rsid w:val="5F965F2D"/>
    <w:rsid w:val="5F9AB4AC"/>
    <w:rsid w:val="5F9D216D"/>
    <w:rsid w:val="5F9F9371"/>
    <w:rsid w:val="5FA18927"/>
    <w:rsid w:val="5FA214DF"/>
    <w:rsid w:val="5FC30432"/>
    <w:rsid w:val="5FCA7ABD"/>
    <w:rsid w:val="5FCCFC58"/>
    <w:rsid w:val="5FCD3303"/>
    <w:rsid w:val="5FD3EDD6"/>
    <w:rsid w:val="5FF2FB85"/>
    <w:rsid w:val="5FF64009"/>
    <w:rsid w:val="5FFBDEEA"/>
    <w:rsid w:val="6002E83B"/>
    <w:rsid w:val="60084CB0"/>
    <w:rsid w:val="600CFE9F"/>
    <w:rsid w:val="60107D1F"/>
    <w:rsid w:val="60239F6A"/>
    <w:rsid w:val="602B8AFC"/>
    <w:rsid w:val="60372E79"/>
    <w:rsid w:val="603DCC1D"/>
    <w:rsid w:val="6043F069"/>
    <w:rsid w:val="604A7B50"/>
    <w:rsid w:val="604C1C63"/>
    <w:rsid w:val="604D7330"/>
    <w:rsid w:val="604E2034"/>
    <w:rsid w:val="605C112C"/>
    <w:rsid w:val="605F7407"/>
    <w:rsid w:val="6061E98B"/>
    <w:rsid w:val="60681953"/>
    <w:rsid w:val="6068E961"/>
    <w:rsid w:val="60736601"/>
    <w:rsid w:val="6075CE1A"/>
    <w:rsid w:val="607CAF75"/>
    <w:rsid w:val="60846ED0"/>
    <w:rsid w:val="608B96B3"/>
    <w:rsid w:val="6090E14D"/>
    <w:rsid w:val="609B545E"/>
    <w:rsid w:val="60A6C5D6"/>
    <w:rsid w:val="60B12626"/>
    <w:rsid w:val="60B6FBF8"/>
    <w:rsid w:val="60B85B9E"/>
    <w:rsid w:val="60BAB66B"/>
    <w:rsid w:val="60C46217"/>
    <w:rsid w:val="60D4AF9D"/>
    <w:rsid w:val="60E17F2C"/>
    <w:rsid w:val="60E9E6C3"/>
    <w:rsid w:val="60ECB8E4"/>
    <w:rsid w:val="60F96DC9"/>
    <w:rsid w:val="60FA2D21"/>
    <w:rsid w:val="60FC0CEC"/>
    <w:rsid w:val="6101660E"/>
    <w:rsid w:val="6106B0C4"/>
    <w:rsid w:val="61093843"/>
    <w:rsid w:val="610D90A9"/>
    <w:rsid w:val="610F74D7"/>
    <w:rsid w:val="6115ADBD"/>
    <w:rsid w:val="61208A88"/>
    <w:rsid w:val="6122751D"/>
    <w:rsid w:val="612864F1"/>
    <w:rsid w:val="61360BE6"/>
    <w:rsid w:val="614F05CF"/>
    <w:rsid w:val="615F0966"/>
    <w:rsid w:val="6166495F"/>
    <w:rsid w:val="6166FBD2"/>
    <w:rsid w:val="61779483"/>
    <w:rsid w:val="617A255B"/>
    <w:rsid w:val="617F05CC"/>
    <w:rsid w:val="61804E7E"/>
    <w:rsid w:val="6181857B"/>
    <w:rsid w:val="6181F0B6"/>
    <w:rsid w:val="618BA026"/>
    <w:rsid w:val="618C19A6"/>
    <w:rsid w:val="6196A4FD"/>
    <w:rsid w:val="619C4A2F"/>
    <w:rsid w:val="619F920A"/>
    <w:rsid w:val="61A41D11"/>
    <w:rsid w:val="61A59D08"/>
    <w:rsid w:val="61A7203F"/>
    <w:rsid w:val="61A76010"/>
    <w:rsid w:val="61A92F01"/>
    <w:rsid w:val="61B972A2"/>
    <w:rsid w:val="61B9D5B4"/>
    <w:rsid w:val="61D1A192"/>
    <w:rsid w:val="61D4E03D"/>
    <w:rsid w:val="61D72E97"/>
    <w:rsid w:val="61D8B5BE"/>
    <w:rsid w:val="61D95F58"/>
    <w:rsid w:val="61DFB865"/>
    <w:rsid w:val="61E59BC9"/>
    <w:rsid w:val="61E69B28"/>
    <w:rsid w:val="61E9D12B"/>
    <w:rsid w:val="61EE7C52"/>
    <w:rsid w:val="61F9CD1B"/>
    <w:rsid w:val="6203E9B4"/>
    <w:rsid w:val="620F045A"/>
    <w:rsid w:val="6227EEF5"/>
    <w:rsid w:val="622CB1AE"/>
    <w:rsid w:val="6231A833"/>
    <w:rsid w:val="6238C1CE"/>
    <w:rsid w:val="623A3DEE"/>
    <w:rsid w:val="623EDD59"/>
    <w:rsid w:val="6244CD49"/>
    <w:rsid w:val="62460CC6"/>
    <w:rsid w:val="6249E356"/>
    <w:rsid w:val="624B58AF"/>
    <w:rsid w:val="624CFAA4"/>
    <w:rsid w:val="6250ABCE"/>
    <w:rsid w:val="62511BAC"/>
    <w:rsid w:val="625450B2"/>
    <w:rsid w:val="62575B24"/>
    <w:rsid w:val="625D5820"/>
    <w:rsid w:val="6273802E"/>
    <w:rsid w:val="62750EE2"/>
    <w:rsid w:val="627E6DBB"/>
    <w:rsid w:val="627FEC73"/>
    <w:rsid w:val="62851230"/>
    <w:rsid w:val="6289A85B"/>
    <w:rsid w:val="6289BEB0"/>
    <w:rsid w:val="628B13B9"/>
    <w:rsid w:val="6293013F"/>
    <w:rsid w:val="62930A58"/>
    <w:rsid w:val="62A2F88D"/>
    <w:rsid w:val="62A37768"/>
    <w:rsid w:val="62A80D61"/>
    <w:rsid w:val="62ADD898"/>
    <w:rsid w:val="62B6ACF4"/>
    <w:rsid w:val="62BA706A"/>
    <w:rsid w:val="62C508E1"/>
    <w:rsid w:val="62C5840F"/>
    <w:rsid w:val="62C7FCFB"/>
    <w:rsid w:val="62CCB29A"/>
    <w:rsid w:val="62D56F04"/>
    <w:rsid w:val="62DA3FCA"/>
    <w:rsid w:val="62E62AC5"/>
    <w:rsid w:val="62E71545"/>
    <w:rsid w:val="62E7A348"/>
    <w:rsid w:val="62EDD79F"/>
    <w:rsid w:val="630681C0"/>
    <w:rsid w:val="630A2D89"/>
    <w:rsid w:val="6314070A"/>
    <w:rsid w:val="632DE0CB"/>
    <w:rsid w:val="633061E0"/>
    <w:rsid w:val="63328BA0"/>
    <w:rsid w:val="6333ADDA"/>
    <w:rsid w:val="633AB11D"/>
    <w:rsid w:val="6344386D"/>
    <w:rsid w:val="634EA7A4"/>
    <w:rsid w:val="634F331C"/>
    <w:rsid w:val="6354638A"/>
    <w:rsid w:val="635B20DF"/>
    <w:rsid w:val="637DDB7B"/>
    <w:rsid w:val="63822072"/>
    <w:rsid w:val="6383BD25"/>
    <w:rsid w:val="6386192D"/>
    <w:rsid w:val="638B3D55"/>
    <w:rsid w:val="638BB8DA"/>
    <w:rsid w:val="638F59E4"/>
    <w:rsid w:val="639CD5AB"/>
    <w:rsid w:val="63A06B62"/>
    <w:rsid w:val="63AA96F9"/>
    <w:rsid w:val="63B0B214"/>
    <w:rsid w:val="63B0F1AE"/>
    <w:rsid w:val="63B15BDA"/>
    <w:rsid w:val="63BD3566"/>
    <w:rsid w:val="63CB2F20"/>
    <w:rsid w:val="63CB9AF5"/>
    <w:rsid w:val="63D14BE4"/>
    <w:rsid w:val="63DA82CC"/>
    <w:rsid w:val="63DBC708"/>
    <w:rsid w:val="63E9E371"/>
    <w:rsid w:val="63EDBAF9"/>
    <w:rsid w:val="63F0914B"/>
    <w:rsid w:val="6407BBC2"/>
    <w:rsid w:val="641F0723"/>
    <w:rsid w:val="64210420"/>
    <w:rsid w:val="6421A3BE"/>
    <w:rsid w:val="64262378"/>
    <w:rsid w:val="64269C19"/>
    <w:rsid w:val="642E269B"/>
    <w:rsid w:val="642FBAA5"/>
    <w:rsid w:val="6432C7E4"/>
    <w:rsid w:val="6440DD92"/>
    <w:rsid w:val="644B020B"/>
    <w:rsid w:val="645779E3"/>
    <w:rsid w:val="645A049D"/>
    <w:rsid w:val="645C1B99"/>
    <w:rsid w:val="645FDAC8"/>
    <w:rsid w:val="6460D942"/>
    <w:rsid w:val="64691696"/>
    <w:rsid w:val="646E2A1B"/>
    <w:rsid w:val="646F0779"/>
    <w:rsid w:val="64732CFA"/>
    <w:rsid w:val="647A516D"/>
    <w:rsid w:val="6490AA1B"/>
    <w:rsid w:val="6491FEB7"/>
    <w:rsid w:val="6495E081"/>
    <w:rsid w:val="64A0A376"/>
    <w:rsid w:val="64C117F4"/>
    <w:rsid w:val="64C6B813"/>
    <w:rsid w:val="64D26344"/>
    <w:rsid w:val="64D4027F"/>
    <w:rsid w:val="64D735A7"/>
    <w:rsid w:val="64E67DFB"/>
    <w:rsid w:val="64F3401C"/>
    <w:rsid w:val="64F7E95E"/>
    <w:rsid w:val="64F9A3ED"/>
    <w:rsid w:val="64FCBEF1"/>
    <w:rsid w:val="64FFD980"/>
    <w:rsid w:val="65092435"/>
    <w:rsid w:val="650E2D76"/>
    <w:rsid w:val="650EECF5"/>
    <w:rsid w:val="651EB402"/>
    <w:rsid w:val="6523C526"/>
    <w:rsid w:val="652B93D5"/>
    <w:rsid w:val="652DD2CA"/>
    <w:rsid w:val="6535FF49"/>
    <w:rsid w:val="6538B51A"/>
    <w:rsid w:val="653E0820"/>
    <w:rsid w:val="6549D4E0"/>
    <w:rsid w:val="65503504"/>
    <w:rsid w:val="6551861D"/>
    <w:rsid w:val="656B6EEC"/>
    <w:rsid w:val="65700C9E"/>
    <w:rsid w:val="657319F1"/>
    <w:rsid w:val="6574AE9A"/>
    <w:rsid w:val="65811235"/>
    <w:rsid w:val="65858566"/>
    <w:rsid w:val="658FB0C4"/>
    <w:rsid w:val="659310EB"/>
    <w:rsid w:val="65A2662F"/>
    <w:rsid w:val="65A3B2F8"/>
    <w:rsid w:val="65AEBDEA"/>
    <w:rsid w:val="65B6C5EC"/>
    <w:rsid w:val="65C08B5D"/>
    <w:rsid w:val="65CB079E"/>
    <w:rsid w:val="65D013F5"/>
    <w:rsid w:val="65DF10CF"/>
    <w:rsid w:val="65E2A42E"/>
    <w:rsid w:val="65F5E640"/>
    <w:rsid w:val="65F83DE6"/>
    <w:rsid w:val="65FCA9A3"/>
    <w:rsid w:val="66001B8C"/>
    <w:rsid w:val="66050033"/>
    <w:rsid w:val="660D2D24"/>
    <w:rsid w:val="660FA82B"/>
    <w:rsid w:val="661E064C"/>
    <w:rsid w:val="66252A7F"/>
    <w:rsid w:val="6625AA0A"/>
    <w:rsid w:val="6628D088"/>
    <w:rsid w:val="662ABC13"/>
    <w:rsid w:val="6635AA4D"/>
    <w:rsid w:val="66382070"/>
    <w:rsid w:val="6639AC91"/>
    <w:rsid w:val="6647505C"/>
    <w:rsid w:val="6650883A"/>
    <w:rsid w:val="66530E27"/>
    <w:rsid w:val="665CE855"/>
    <w:rsid w:val="6662289A"/>
    <w:rsid w:val="66623D09"/>
    <w:rsid w:val="66690DE8"/>
    <w:rsid w:val="666A1620"/>
    <w:rsid w:val="66809D6C"/>
    <w:rsid w:val="6681A423"/>
    <w:rsid w:val="669A623B"/>
    <w:rsid w:val="669F4F8E"/>
    <w:rsid w:val="66A65073"/>
    <w:rsid w:val="66A8D8C6"/>
    <w:rsid w:val="66A9FDD7"/>
    <w:rsid w:val="66B62F6D"/>
    <w:rsid w:val="66BBBADD"/>
    <w:rsid w:val="66BC5CEA"/>
    <w:rsid w:val="66C23841"/>
    <w:rsid w:val="66C2745B"/>
    <w:rsid w:val="66CE5DF0"/>
    <w:rsid w:val="66D1D572"/>
    <w:rsid w:val="66D7F32E"/>
    <w:rsid w:val="66DF818D"/>
    <w:rsid w:val="66E50F9E"/>
    <w:rsid w:val="66E5A541"/>
    <w:rsid w:val="66EA2541"/>
    <w:rsid w:val="66F26276"/>
    <w:rsid w:val="66FF500B"/>
    <w:rsid w:val="670022D1"/>
    <w:rsid w:val="6703175D"/>
    <w:rsid w:val="6706E4B8"/>
    <w:rsid w:val="670BADA7"/>
    <w:rsid w:val="670E4C78"/>
    <w:rsid w:val="67135B5A"/>
    <w:rsid w:val="6716D7D8"/>
    <w:rsid w:val="6738B681"/>
    <w:rsid w:val="6739ABB5"/>
    <w:rsid w:val="67442703"/>
    <w:rsid w:val="674EED33"/>
    <w:rsid w:val="675D197E"/>
    <w:rsid w:val="675F53C5"/>
    <w:rsid w:val="6761ECB3"/>
    <w:rsid w:val="6763858C"/>
    <w:rsid w:val="67648717"/>
    <w:rsid w:val="67667B7B"/>
    <w:rsid w:val="676854CE"/>
    <w:rsid w:val="67696EA5"/>
    <w:rsid w:val="676E436C"/>
    <w:rsid w:val="67713931"/>
    <w:rsid w:val="6777403F"/>
    <w:rsid w:val="67776538"/>
    <w:rsid w:val="677C58A7"/>
    <w:rsid w:val="67857EBA"/>
    <w:rsid w:val="678E252E"/>
    <w:rsid w:val="679225E0"/>
    <w:rsid w:val="6794FA26"/>
    <w:rsid w:val="679928F9"/>
    <w:rsid w:val="67A0B758"/>
    <w:rsid w:val="67A0E07C"/>
    <w:rsid w:val="67A2E036"/>
    <w:rsid w:val="67A8E14C"/>
    <w:rsid w:val="67B1A261"/>
    <w:rsid w:val="67B74E3E"/>
    <w:rsid w:val="67BC0893"/>
    <w:rsid w:val="67BCF7E6"/>
    <w:rsid w:val="67C4BFD7"/>
    <w:rsid w:val="67C6241D"/>
    <w:rsid w:val="67CC2252"/>
    <w:rsid w:val="67ED48A6"/>
    <w:rsid w:val="67EE4750"/>
    <w:rsid w:val="67F61FE4"/>
    <w:rsid w:val="67F8B8B6"/>
    <w:rsid w:val="680C4EF9"/>
    <w:rsid w:val="680D0BF0"/>
    <w:rsid w:val="68143C7F"/>
    <w:rsid w:val="6815C251"/>
    <w:rsid w:val="6817565B"/>
    <w:rsid w:val="681AD210"/>
    <w:rsid w:val="682654C8"/>
    <w:rsid w:val="6829E518"/>
    <w:rsid w:val="6829EF40"/>
    <w:rsid w:val="682D4C7A"/>
    <w:rsid w:val="6842011D"/>
    <w:rsid w:val="68427DF1"/>
    <w:rsid w:val="684B9C53"/>
    <w:rsid w:val="684F2828"/>
    <w:rsid w:val="6851C21F"/>
    <w:rsid w:val="6854F550"/>
    <w:rsid w:val="68558D35"/>
    <w:rsid w:val="68612C3C"/>
    <w:rsid w:val="68639335"/>
    <w:rsid w:val="6863ED9B"/>
    <w:rsid w:val="686CA0BF"/>
    <w:rsid w:val="686EDFB4"/>
    <w:rsid w:val="68794C79"/>
    <w:rsid w:val="68887D6F"/>
    <w:rsid w:val="68891E1F"/>
    <w:rsid w:val="688B3D55"/>
    <w:rsid w:val="68A8189B"/>
    <w:rsid w:val="68ADF3EF"/>
    <w:rsid w:val="68B0D7EC"/>
    <w:rsid w:val="68B4C94D"/>
    <w:rsid w:val="68BBC6B9"/>
    <w:rsid w:val="68C19324"/>
    <w:rsid w:val="68D13031"/>
    <w:rsid w:val="68D68AC9"/>
    <w:rsid w:val="68DB288F"/>
    <w:rsid w:val="68DF03C2"/>
    <w:rsid w:val="68E1B8E3"/>
    <w:rsid w:val="68E2469D"/>
    <w:rsid w:val="68E47C1A"/>
    <w:rsid w:val="68E7AACF"/>
    <w:rsid w:val="68ED2A18"/>
    <w:rsid w:val="68F1791C"/>
    <w:rsid w:val="68F21643"/>
    <w:rsid w:val="68F453B4"/>
    <w:rsid w:val="68F9B6C4"/>
    <w:rsid w:val="6901AD90"/>
    <w:rsid w:val="690782EF"/>
    <w:rsid w:val="6911803F"/>
    <w:rsid w:val="6911C2A9"/>
    <w:rsid w:val="691880A0"/>
    <w:rsid w:val="6919FD9F"/>
    <w:rsid w:val="69324E6D"/>
    <w:rsid w:val="693BF41E"/>
    <w:rsid w:val="693EB097"/>
    <w:rsid w:val="694675B7"/>
    <w:rsid w:val="69513701"/>
    <w:rsid w:val="69521BD5"/>
    <w:rsid w:val="6958E074"/>
    <w:rsid w:val="69678950"/>
    <w:rsid w:val="69809B7F"/>
    <w:rsid w:val="6982145F"/>
    <w:rsid w:val="69925D12"/>
    <w:rsid w:val="69935623"/>
    <w:rsid w:val="69948917"/>
    <w:rsid w:val="69978276"/>
    <w:rsid w:val="6999CBBD"/>
    <w:rsid w:val="699E6228"/>
    <w:rsid w:val="69A209C1"/>
    <w:rsid w:val="69AC8918"/>
    <w:rsid w:val="69ACC466"/>
    <w:rsid w:val="69B5D249"/>
    <w:rsid w:val="69C03EC9"/>
    <w:rsid w:val="69C26A5E"/>
    <w:rsid w:val="69C6B13F"/>
    <w:rsid w:val="69CA81B0"/>
    <w:rsid w:val="69CCCCF6"/>
    <w:rsid w:val="69CFA0D6"/>
    <w:rsid w:val="69D05187"/>
    <w:rsid w:val="69D0CF3D"/>
    <w:rsid w:val="69D884B0"/>
    <w:rsid w:val="69EADE17"/>
    <w:rsid w:val="69F842A1"/>
    <w:rsid w:val="69F84758"/>
    <w:rsid w:val="69FFBDFC"/>
    <w:rsid w:val="6A156060"/>
    <w:rsid w:val="6A176E03"/>
    <w:rsid w:val="6A1E4222"/>
    <w:rsid w:val="6A25F35C"/>
    <w:rsid w:val="6A26680F"/>
    <w:rsid w:val="6A26F40D"/>
    <w:rsid w:val="6A294D18"/>
    <w:rsid w:val="6A2B0C66"/>
    <w:rsid w:val="6A31D3BF"/>
    <w:rsid w:val="6A3F5221"/>
    <w:rsid w:val="6A49742C"/>
    <w:rsid w:val="6A4C9E68"/>
    <w:rsid w:val="6A4E2249"/>
    <w:rsid w:val="6A50F70E"/>
    <w:rsid w:val="6A5577D7"/>
    <w:rsid w:val="6A55ECB4"/>
    <w:rsid w:val="6A5AD35D"/>
    <w:rsid w:val="6A5CFBC8"/>
    <w:rsid w:val="6A6EE8BE"/>
    <w:rsid w:val="6A70CED2"/>
    <w:rsid w:val="6A70D6A7"/>
    <w:rsid w:val="6A88FA79"/>
    <w:rsid w:val="6A89C6D5"/>
    <w:rsid w:val="6A8B6411"/>
    <w:rsid w:val="6A97C723"/>
    <w:rsid w:val="6A981B2A"/>
    <w:rsid w:val="6A9CCF9B"/>
    <w:rsid w:val="6AA0F2EB"/>
    <w:rsid w:val="6AA13054"/>
    <w:rsid w:val="6AA9FCC7"/>
    <w:rsid w:val="6AC2C5BD"/>
    <w:rsid w:val="6AD9480C"/>
    <w:rsid w:val="6AE09E47"/>
    <w:rsid w:val="6AEC0710"/>
    <w:rsid w:val="6AF97CDF"/>
    <w:rsid w:val="6AFCDE8F"/>
    <w:rsid w:val="6AFDDBBD"/>
    <w:rsid w:val="6B0088E5"/>
    <w:rsid w:val="6B0310F8"/>
    <w:rsid w:val="6B0447B5"/>
    <w:rsid w:val="6B04F02F"/>
    <w:rsid w:val="6B0945AB"/>
    <w:rsid w:val="6B1164DA"/>
    <w:rsid w:val="6B13650F"/>
    <w:rsid w:val="6B199A8E"/>
    <w:rsid w:val="6B21112D"/>
    <w:rsid w:val="6B2115E9"/>
    <w:rsid w:val="6B27187E"/>
    <w:rsid w:val="6B2C9AA5"/>
    <w:rsid w:val="6B32B4E4"/>
    <w:rsid w:val="6B395661"/>
    <w:rsid w:val="6B4171F7"/>
    <w:rsid w:val="6B44A868"/>
    <w:rsid w:val="6B467450"/>
    <w:rsid w:val="6B4BDAB3"/>
    <w:rsid w:val="6B50EA02"/>
    <w:rsid w:val="6B539E55"/>
    <w:rsid w:val="6B589CD7"/>
    <w:rsid w:val="6B5B9B2F"/>
    <w:rsid w:val="6B6281A0"/>
    <w:rsid w:val="6B75011F"/>
    <w:rsid w:val="6B807EC4"/>
    <w:rsid w:val="6B83D205"/>
    <w:rsid w:val="6B87C671"/>
    <w:rsid w:val="6B9113B4"/>
    <w:rsid w:val="6B98FCCF"/>
    <w:rsid w:val="6B9B8E5D"/>
    <w:rsid w:val="6B9DB7F3"/>
    <w:rsid w:val="6B9E44FA"/>
    <w:rsid w:val="6BA1B7D9"/>
    <w:rsid w:val="6BA1CF13"/>
    <w:rsid w:val="6BA3DD7C"/>
    <w:rsid w:val="6BAA8ED1"/>
    <w:rsid w:val="6BB5A8DE"/>
    <w:rsid w:val="6BBD23E2"/>
    <w:rsid w:val="6BC53980"/>
    <w:rsid w:val="6BC63535"/>
    <w:rsid w:val="6BCDA420"/>
    <w:rsid w:val="6BCE495A"/>
    <w:rsid w:val="6BD2A474"/>
    <w:rsid w:val="6BD7E946"/>
    <w:rsid w:val="6BDBD00C"/>
    <w:rsid w:val="6BDE1481"/>
    <w:rsid w:val="6BDE61DD"/>
    <w:rsid w:val="6BE310FE"/>
    <w:rsid w:val="6C01358D"/>
    <w:rsid w:val="6C0CA708"/>
    <w:rsid w:val="6C1B7ACC"/>
    <w:rsid w:val="6C207327"/>
    <w:rsid w:val="6C23A78B"/>
    <w:rsid w:val="6C26DCD7"/>
    <w:rsid w:val="6C2C445D"/>
    <w:rsid w:val="6C2DE652"/>
    <w:rsid w:val="6C3B948B"/>
    <w:rsid w:val="6C3E18AE"/>
    <w:rsid w:val="6C41B48F"/>
    <w:rsid w:val="6C4C35A2"/>
    <w:rsid w:val="6C4E6CC5"/>
    <w:rsid w:val="6C4EEFA7"/>
    <w:rsid w:val="6C5548CD"/>
    <w:rsid w:val="6C56DD2D"/>
    <w:rsid w:val="6C572465"/>
    <w:rsid w:val="6C5F7395"/>
    <w:rsid w:val="6C65A303"/>
    <w:rsid w:val="6C6922C7"/>
    <w:rsid w:val="6C6BEB27"/>
    <w:rsid w:val="6C74287B"/>
    <w:rsid w:val="6C79C75C"/>
    <w:rsid w:val="6C7E3EDF"/>
    <w:rsid w:val="6C8009BB"/>
    <w:rsid w:val="6C8D7FCD"/>
    <w:rsid w:val="6C9869BD"/>
    <w:rsid w:val="6CA01816"/>
    <w:rsid w:val="6CA96285"/>
    <w:rsid w:val="6CAE7E01"/>
    <w:rsid w:val="6CAF6C8E"/>
    <w:rsid w:val="6CB2BF5C"/>
    <w:rsid w:val="6CB2D80F"/>
    <w:rsid w:val="6CB8A19B"/>
    <w:rsid w:val="6CBA993F"/>
    <w:rsid w:val="6CBE294C"/>
    <w:rsid w:val="6CCAE0BA"/>
    <w:rsid w:val="6CD24160"/>
    <w:rsid w:val="6CD40227"/>
    <w:rsid w:val="6CD71128"/>
    <w:rsid w:val="6CDDEE66"/>
    <w:rsid w:val="6CEE9D85"/>
    <w:rsid w:val="6CF55A70"/>
    <w:rsid w:val="6CF9F838"/>
    <w:rsid w:val="6CFAD7B1"/>
    <w:rsid w:val="6D0519F6"/>
    <w:rsid w:val="6D05A09B"/>
    <w:rsid w:val="6D08843F"/>
    <w:rsid w:val="6D109AC2"/>
    <w:rsid w:val="6D274436"/>
    <w:rsid w:val="6D2A834B"/>
    <w:rsid w:val="6D2FE363"/>
    <w:rsid w:val="6D41C496"/>
    <w:rsid w:val="6D456C72"/>
    <w:rsid w:val="6D45ACBF"/>
    <w:rsid w:val="6D465F32"/>
    <w:rsid w:val="6D4E5AD3"/>
    <w:rsid w:val="6D554C78"/>
    <w:rsid w:val="6D5C7283"/>
    <w:rsid w:val="6D60639E"/>
    <w:rsid w:val="6D681D60"/>
    <w:rsid w:val="6D6A144C"/>
    <w:rsid w:val="6D6F547B"/>
    <w:rsid w:val="6D759AE0"/>
    <w:rsid w:val="6D8BD4FF"/>
    <w:rsid w:val="6D8E681F"/>
    <w:rsid w:val="6D92741F"/>
    <w:rsid w:val="6D94B559"/>
    <w:rsid w:val="6D99AAE3"/>
    <w:rsid w:val="6D9D2578"/>
    <w:rsid w:val="6D9D716C"/>
    <w:rsid w:val="6DACE4CF"/>
    <w:rsid w:val="6DB3CF5F"/>
    <w:rsid w:val="6DB6A055"/>
    <w:rsid w:val="6DB74B2D"/>
    <w:rsid w:val="6DBAE659"/>
    <w:rsid w:val="6DBB9182"/>
    <w:rsid w:val="6DBFECCC"/>
    <w:rsid w:val="6DC01FC1"/>
    <w:rsid w:val="6DC12062"/>
    <w:rsid w:val="6DC32C14"/>
    <w:rsid w:val="6DC4C196"/>
    <w:rsid w:val="6DCA8CA0"/>
    <w:rsid w:val="6DCDE802"/>
    <w:rsid w:val="6DD0FA57"/>
    <w:rsid w:val="6DD4705D"/>
    <w:rsid w:val="6DDCB0DB"/>
    <w:rsid w:val="6DE05EBF"/>
    <w:rsid w:val="6DE49853"/>
    <w:rsid w:val="6DE661DD"/>
    <w:rsid w:val="6DEAE82B"/>
    <w:rsid w:val="6DEF54D2"/>
    <w:rsid w:val="6DF17215"/>
    <w:rsid w:val="6DFB43F6"/>
    <w:rsid w:val="6DFBFADF"/>
    <w:rsid w:val="6DFFADF7"/>
    <w:rsid w:val="6E00B3BB"/>
    <w:rsid w:val="6E03877F"/>
    <w:rsid w:val="6E04F328"/>
    <w:rsid w:val="6E06BD0E"/>
    <w:rsid w:val="6E07BB88"/>
    <w:rsid w:val="6E1409C4"/>
    <w:rsid w:val="6E16F0D2"/>
    <w:rsid w:val="6E17F544"/>
    <w:rsid w:val="6E1E3703"/>
    <w:rsid w:val="6E1EC12C"/>
    <w:rsid w:val="6E22910F"/>
    <w:rsid w:val="6E22DC69"/>
    <w:rsid w:val="6E347F51"/>
    <w:rsid w:val="6E34D421"/>
    <w:rsid w:val="6E3B8870"/>
    <w:rsid w:val="6E3BC78A"/>
    <w:rsid w:val="6E3BE877"/>
    <w:rsid w:val="6E43D5FD"/>
    <w:rsid w:val="6E4B069D"/>
    <w:rsid w:val="6E4CABFC"/>
    <w:rsid w:val="6E4E0713"/>
    <w:rsid w:val="6E540545"/>
    <w:rsid w:val="6E5BFFA8"/>
    <w:rsid w:val="6E67FA3A"/>
    <w:rsid w:val="6E685B63"/>
    <w:rsid w:val="6E709372"/>
    <w:rsid w:val="6E71EEC9"/>
    <w:rsid w:val="6E7F669A"/>
    <w:rsid w:val="6E828BAD"/>
    <w:rsid w:val="6E875DD6"/>
    <w:rsid w:val="6E89605B"/>
    <w:rsid w:val="6E903D99"/>
    <w:rsid w:val="6E9499EF"/>
    <w:rsid w:val="6E981DF4"/>
    <w:rsid w:val="6E9A2262"/>
    <w:rsid w:val="6E9A2344"/>
    <w:rsid w:val="6EA63722"/>
    <w:rsid w:val="6EAE318B"/>
    <w:rsid w:val="6EB46182"/>
    <w:rsid w:val="6EB6F879"/>
    <w:rsid w:val="6EB74563"/>
    <w:rsid w:val="6EBA69C3"/>
    <w:rsid w:val="6EBCFD42"/>
    <w:rsid w:val="6EC04778"/>
    <w:rsid w:val="6EC1E8A4"/>
    <w:rsid w:val="6EC3EC86"/>
    <w:rsid w:val="6EC83350"/>
    <w:rsid w:val="6ED09B0C"/>
    <w:rsid w:val="6ED65907"/>
    <w:rsid w:val="6ED96FD5"/>
    <w:rsid w:val="6EE17906"/>
    <w:rsid w:val="6EE29142"/>
    <w:rsid w:val="6EED49A0"/>
    <w:rsid w:val="6EEFBDD2"/>
    <w:rsid w:val="6EFD745B"/>
    <w:rsid w:val="6F0574CC"/>
    <w:rsid w:val="6F0C4777"/>
    <w:rsid w:val="6F0F9F83"/>
    <w:rsid w:val="6F13223C"/>
    <w:rsid w:val="6F172ED8"/>
    <w:rsid w:val="6F201970"/>
    <w:rsid w:val="6F242BD4"/>
    <w:rsid w:val="6F28E8FA"/>
    <w:rsid w:val="6F4A6A13"/>
    <w:rsid w:val="6F4A7CA4"/>
    <w:rsid w:val="6F507EF3"/>
    <w:rsid w:val="6F5AF8EF"/>
    <w:rsid w:val="6F5CF0C3"/>
    <w:rsid w:val="6F5EE808"/>
    <w:rsid w:val="6F6A8226"/>
    <w:rsid w:val="6F7040BE"/>
    <w:rsid w:val="6F718D60"/>
    <w:rsid w:val="6F788D69"/>
    <w:rsid w:val="6F7A8997"/>
    <w:rsid w:val="6F7BEF72"/>
    <w:rsid w:val="6F7D4318"/>
    <w:rsid w:val="6F7DBB30"/>
    <w:rsid w:val="6F85F8B1"/>
    <w:rsid w:val="6F89A31A"/>
    <w:rsid w:val="6F8B81DC"/>
    <w:rsid w:val="6F8CE98F"/>
    <w:rsid w:val="6F8D0FD7"/>
    <w:rsid w:val="6F936E0D"/>
    <w:rsid w:val="6F962260"/>
    <w:rsid w:val="6F98CC77"/>
    <w:rsid w:val="6F9EB967"/>
    <w:rsid w:val="6F9FAC6A"/>
    <w:rsid w:val="6FA0C389"/>
    <w:rsid w:val="6FA14F28"/>
    <w:rsid w:val="6FA2B85A"/>
    <w:rsid w:val="6FAF4ABD"/>
    <w:rsid w:val="6FB7AA7D"/>
    <w:rsid w:val="6FB817E6"/>
    <w:rsid w:val="6FB8960C"/>
    <w:rsid w:val="6FB9E11F"/>
    <w:rsid w:val="6FBE96E5"/>
    <w:rsid w:val="6FC2248C"/>
    <w:rsid w:val="6FC38E71"/>
    <w:rsid w:val="6FC51E7E"/>
    <w:rsid w:val="6FC61A23"/>
    <w:rsid w:val="6FD32FFF"/>
    <w:rsid w:val="6FD86152"/>
    <w:rsid w:val="6FDBDBB5"/>
    <w:rsid w:val="6FE9FEB2"/>
    <w:rsid w:val="6FFD6FA5"/>
    <w:rsid w:val="7012FDF6"/>
    <w:rsid w:val="701B36FB"/>
    <w:rsid w:val="70226559"/>
    <w:rsid w:val="70413573"/>
    <w:rsid w:val="70438B83"/>
    <w:rsid w:val="7046238F"/>
    <w:rsid w:val="70483B84"/>
    <w:rsid w:val="704A79AD"/>
    <w:rsid w:val="704AFB24"/>
    <w:rsid w:val="704CE74E"/>
    <w:rsid w:val="7051AE80"/>
    <w:rsid w:val="7052C8DA"/>
    <w:rsid w:val="7054E7E9"/>
    <w:rsid w:val="7058CDA3"/>
    <w:rsid w:val="706627A9"/>
    <w:rsid w:val="7066303F"/>
    <w:rsid w:val="70691885"/>
    <w:rsid w:val="706F7FF0"/>
    <w:rsid w:val="70776F5F"/>
    <w:rsid w:val="707902F6"/>
    <w:rsid w:val="708CED3A"/>
    <w:rsid w:val="709120A4"/>
    <w:rsid w:val="709CF77B"/>
    <w:rsid w:val="70A2C8D1"/>
    <w:rsid w:val="70AA184B"/>
    <w:rsid w:val="70B2536E"/>
    <w:rsid w:val="70B8AB85"/>
    <w:rsid w:val="70BD8F76"/>
    <w:rsid w:val="70C75BD2"/>
    <w:rsid w:val="70CA14E1"/>
    <w:rsid w:val="70CD1FC2"/>
    <w:rsid w:val="70D23F44"/>
    <w:rsid w:val="70D2ECA4"/>
    <w:rsid w:val="70D3D539"/>
    <w:rsid w:val="70DBDEC6"/>
    <w:rsid w:val="70DC0B9D"/>
    <w:rsid w:val="70DC5334"/>
    <w:rsid w:val="70E518D6"/>
    <w:rsid w:val="70EAD367"/>
    <w:rsid w:val="70F6C950"/>
    <w:rsid w:val="7103FBC4"/>
    <w:rsid w:val="7104B69D"/>
    <w:rsid w:val="710A608B"/>
    <w:rsid w:val="710DF23C"/>
    <w:rsid w:val="710E9B23"/>
    <w:rsid w:val="7115369B"/>
    <w:rsid w:val="711B8378"/>
    <w:rsid w:val="711DAF10"/>
    <w:rsid w:val="711EB121"/>
    <w:rsid w:val="7122C47B"/>
    <w:rsid w:val="71253573"/>
    <w:rsid w:val="7127523D"/>
    <w:rsid w:val="712912D7"/>
    <w:rsid w:val="7142CE33"/>
    <w:rsid w:val="7153F4E4"/>
    <w:rsid w:val="715F5ED2"/>
    <w:rsid w:val="71642461"/>
    <w:rsid w:val="7165FE21"/>
    <w:rsid w:val="71675AE3"/>
    <w:rsid w:val="716AE711"/>
    <w:rsid w:val="71870F45"/>
    <w:rsid w:val="719336AC"/>
    <w:rsid w:val="71947280"/>
    <w:rsid w:val="719E7058"/>
    <w:rsid w:val="71A53B1B"/>
    <w:rsid w:val="71A75C45"/>
    <w:rsid w:val="71A83434"/>
    <w:rsid w:val="71AB4B72"/>
    <w:rsid w:val="71B02EC4"/>
    <w:rsid w:val="71B7FD5C"/>
    <w:rsid w:val="71C59289"/>
    <w:rsid w:val="71D1C324"/>
    <w:rsid w:val="71DE965A"/>
    <w:rsid w:val="71E037C9"/>
    <w:rsid w:val="71E2AF39"/>
    <w:rsid w:val="71E482C4"/>
    <w:rsid w:val="71E50268"/>
    <w:rsid w:val="71E8E30A"/>
    <w:rsid w:val="71EFC048"/>
    <w:rsid w:val="71F2E6F9"/>
    <w:rsid w:val="71F49E04"/>
    <w:rsid w:val="71FC5E0C"/>
    <w:rsid w:val="72235522"/>
    <w:rsid w:val="722B1328"/>
    <w:rsid w:val="722BE9F2"/>
    <w:rsid w:val="723565FA"/>
    <w:rsid w:val="72444E70"/>
    <w:rsid w:val="72496CD0"/>
    <w:rsid w:val="724D6E35"/>
    <w:rsid w:val="724EFE1F"/>
    <w:rsid w:val="72528F4F"/>
    <w:rsid w:val="7257097E"/>
    <w:rsid w:val="727205EC"/>
    <w:rsid w:val="7276C681"/>
    <w:rsid w:val="7287DB78"/>
    <w:rsid w:val="7289CB36"/>
    <w:rsid w:val="728C3FF7"/>
    <w:rsid w:val="728D7199"/>
    <w:rsid w:val="728FB4AB"/>
    <w:rsid w:val="72916F3A"/>
    <w:rsid w:val="729F00F7"/>
    <w:rsid w:val="72A1FFF4"/>
    <w:rsid w:val="72A978C7"/>
    <w:rsid w:val="72AFCF06"/>
    <w:rsid w:val="72B3426B"/>
    <w:rsid w:val="72B34F7A"/>
    <w:rsid w:val="72B9F2E6"/>
    <w:rsid w:val="72BF3BEE"/>
    <w:rsid w:val="72C665E9"/>
    <w:rsid w:val="72CC53D1"/>
    <w:rsid w:val="72E39180"/>
    <w:rsid w:val="72EA9AFB"/>
    <w:rsid w:val="72F0326E"/>
    <w:rsid w:val="7310B266"/>
    <w:rsid w:val="7315BCE5"/>
    <w:rsid w:val="73205920"/>
    <w:rsid w:val="73208E2D"/>
    <w:rsid w:val="73215F83"/>
    <w:rsid w:val="7334C0C3"/>
    <w:rsid w:val="73410B7C"/>
    <w:rsid w:val="7346E81B"/>
    <w:rsid w:val="7348763B"/>
    <w:rsid w:val="73489928"/>
    <w:rsid w:val="734B7D25"/>
    <w:rsid w:val="735093FE"/>
    <w:rsid w:val="735BE96F"/>
    <w:rsid w:val="735EFB7B"/>
    <w:rsid w:val="735FDD95"/>
    <w:rsid w:val="736637C7"/>
    <w:rsid w:val="736EE9DF"/>
    <w:rsid w:val="73723CC7"/>
    <w:rsid w:val="7379C24D"/>
    <w:rsid w:val="737FDC46"/>
    <w:rsid w:val="73848810"/>
    <w:rsid w:val="73874820"/>
    <w:rsid w:val="738942D2"/>
    <w:rsid w:val="738A699C"/>
    <w:rsid w:val="738C88AB"/>
    <w:rsid w:val="739A05BE"/>
    <w:rsid w:val="73A07B15"/>
    <w:rsid w:val="73AB5BD0"/>
    <w:rsid w:val="73ACC9BE"/>
    <w:rsid w:val="73B0A3B8"/>
    <w:rsid w:val="73BD70FA"/>
    <w:rsid w:val="73C02D73"/>
    <w:rsid w:val="73C4842D"/>
    <w:rsid w:val="73C4998F"/>
    <w:rsid w:val="73C87BC3"/>
    <w:rsid w:val="73D2BD9B"/>
    <w:rsid w:val="73DD9917"/>
    <w:rsid w:val="73E11AF0"/>
    <w:rsid w:val="73F2E5C3"/>
    <w:rsid w:val="73F5FEAF"/>
    <w:rsid w:val="73F7BE5C"/>
    <w:rsid w:val="73FA852A"/>
    <w:rsid w:val="73FE9090"/>
    <w:rsid w:val="74084A2A"/>
    <w:rsid w:val="74099CD8"/>
    <w:rsid w:val="741B8A0B"/>
    <w:rsid w:val="741CB998"/>
    <w:rsid w:val="742A8715"/>
    <w:rsid w:val="743605C3"/>
    <w:rsid w:val="7437C788"/>
    <w:rsid w:val="743D2986"/>
    <w:rsid w:val="744DFABA"/>
    <w:rsid w:val="745A653D"/>
    <w:rsid w:val="7461EF12"/>
    <w:rsid w:val="7469C439"/>
    <w:rsid w:val="7472DA72"/>
    <w:rsid w:val="747ADB96"/>
    <w:rsid w:val="7480C373"/>
    <w:rsid w:val="74819C71"/>
    <w:rsid w:val="7481BB48"/>
    <w:rsid w:val="7487C18A"/>
    <w:rsid w:val="7489285E"/>
    <w:rsid w:val="748E0D05"/>
    <w:rsid w:val="7491DB82"/>
    <w:rsid w:val="749577D3"/>
    <w:rsid w:val="749614B7"/>
    <w:rsid w:val="7497CF22"/>
    <w:rsid w:val="749D4371"/>
    <w:rsid w:val="74A15F34"/>
    <w:rsid w:val="74A2D4D3"/>
    <w:rsid w:val="74B43933"/>
    <w:rsid w:val="74DB9721"/>
    <w:rsid w:val="74DF715B"/>
    <w:rsid w:val="74E66F19"/>
    <w:rsid w:val="74E754E3"/>
    <w:rsid w:val="74E900D4"/>
    <w:rsid w:val="74E95518"/>
    <w:rsid w:val="74ECC139"/>
    <w:rsid w:val="74F2BF87"/>
    <w:rsid w:val="74F57FDA"/>
    <w:rsid w:val="74F5D67C"/>
    <w:rsid w:val="74FACBDC"/>
    <w:rsid w:val="75054BCD"/>
    <w:rsid w:val="751EE4FB"/>
    <w:rsid w:val="75228C43"/>
    <w:rsid w:val="752A1A2F"/>
    <w:rsid w:val="752BFEE3"/>
    <w:rsid w:val="75380D58"/>
    <w:rsid w:val="756478AA"/>
    <w:rsid w:val="757394DC"/>
    <w:rsid w:val="757A66B9"/>
    <w:rsid w:val="75869EE1"/>
    <w:rsid w:val="75891313"/>
    <w:rsid w:val="758FB74B"/>
    <w:rsid w:val="75910099"/>
    <w:rsid w:val="7593A9B5"/>
    <w:rsid w:val="75951813"/>
    <w:rsid w:val="75AA8A33"/>
    <w:rsid w:val="75B1D0A2"/>
    <w:rsid w:val="75B783EF"/>
    <w:rsid w:val="75B889F9"/>
    <w:rsid w:val="75BA44CE"/>
    <w:rsid w:val="75BA6F8C"/>
    <w:rsid w:val="75C1FEF7"/>
    <w:rsid w:val="75C38621"/>
    <w:rsid w:val="75C7556D"/>
    <w:rsid w:val="75C7DE5D"/>
    <w:rsid w:val="75CF81FF"/>
    <w:rsid w:val="75D1E211"/>
    <w:rsid w:val="75D2643D"/>
    <w:rsid w:val="75D2D6BC"/>
    <w:rsid w:val="75D89044"/>
    <w:rsid w:val="75D8B37B"/>
    <w:rsid w:val="75F43D8D"/>
    <w:rsid w:val="75F5D1ED"/>
    <w:rsid w:val="75F5DCFA"/>
    <w:rsid w:val="75F5FA10"/>
    <w:rsid w:val="75FBCEBC"/>
    <w:rsid w:val="7604E3BC"/>
    <w:rsid w:val="760563E4"/>
    <w:rsid w:val="760EAAD3"/>
    <w:rsid w:val="76133677"/>
    <w:rsid w:val="761C16BA"/>
    <w:rsid w:val="762334B5"/>
    <w:rsid w:val="76254F1E"/>
    <w:rsid w:val="7626A7AA"/>
    <w:rsid w:val="76362B5C"/>
    <w:rsid w:val="763913D2"/>
    <w:rsid w:val="763F1340"/>
    <w:rsid w:val="76485328"/>
    <w:rsid w:val="764D2F39"/>
    <w:rsid w:val="764FC232"/>
    <w:rsid w:val="76504D48"/>
    <w:rsid w:val="76528AAB"/>
    <w:rsid w:val="7654464C"/>
    <w:rsid w:val="76684959"/>
    <w:rsid w:val="766BC5D7"/>
    <w:rsid w:val="7673066D"/>
    <w:rsid w:val="76793B90"/>
    <w:rsid w:val="7679C4C3"/>
    <w:rsid w:val="767D4234"/>
    <w:rsid w:val="7683CF4B"/>
    <w:rsid w:val="768D4359"/>
    <w:rsid w:val="76906DF4"/>
    <w:rsid w:val="7691FC03"/>
    <w:rsid w:val="76966A91"/>
    <w:rsid w:val="7696D89D"/>
    <w:rsid w:val="7699EA7F"/>
    <w:rsid w:val="76A1F003"/>
    <w:rsid w:val="76A3AFED"/>
    <w:rsid w:val="76AEE04F"/>
    <w:rsid w:val="76B8738B"/>
    <w:rsid w:val="76BB6D75"/>
    <w:rsid w:val="76C4296D"/>
    <w:rsid w:val="76CA749F"/>
    <w:rsid w:val="76CC2E3E"/>
    <w:rsid w:val="76CCF858"/>
    <w:rsid w:val="76D2CD2E"/>
    <w:rsid w:val="76DFAE26"/>
    <w:rsid w:val="76E25368"/>
    <w:rsid w:val="76ECEA4D"/>
    <w:rsid w:val="76F1C8B9"/>
    <w:rsid w:val="76FB963A"/>
    <w:rsid w:val="7705BCD1"/>
    <w:rsid w:val="7716A5C2"/>
    <w:rsid w:val="7716F7A8"/>
    <w:rsid w:val="771F789D"/>
    <w:rsid w:val="77202BAC"/>
    <w:rsid w:val="7720DF58"/>
    <w:rsid w:val="772537BB"/>
    <w:rsid w:val="772B569F"/>
    <w:rsid w:val="772CD0FA"/>
    <w:rsid w:val="772D4D82"/>
    <w:rsid w:val="7737A7FD"/>
    <w:rsid w:val="773A64D5"/>
    <w:rsid w:val="773FBB45"/>
    <w:rsid w:val="77425F35"/>
    <w:rsid w:val="774453B2"/>
    <w:rsid w:val="7749A15D"/>
    <w:rsid w:val="7750D190"/>
    <w:rsid w:val="775B930C"/>
    <w:rsid w:val="7773BE36"/>
    <w:rsid w:val="7799DF32"/>
    <w:rsid w:val="779BDF10"/>
    <w:rsid w:val="77A06D19"/>
    <w:rsid w:val="77A2676B"/>
    <w:rsid w:val="77AA7B34"/>
    <w:rsid w:val="77AAE20F"/>
    <w:rsid w:val="77ABD56E"/>
    <w:rsid w:val="77B60D9E"/>
    <w:rsid w:val="77B64787"/>
    <w:rsid w:val="77B6DF3F"/>
    <w:rsid w:val="77BAE9AC"/>
    <w:rsid w:val="77BBD796"/>
    <w:rsid w:val="77C2780B"/>
    <w:rsid w:val="77DA374A"/>
    <w:rsid w:val="77DAC4B3"/>
    <w:rsid w:val="77DC71C9"/>
    <w:rsid w:val="77DCD686"/>
    <w:rsid w:val="77DEF539"/>
    <w:rsid w:val="77E8FF9A"/>
    <w:rsid w:val="77F1E817"/>
    <w:rsid w:val="77F9370B"/>
    <w:rsid w:val="780143EC"/>
    <w:rsid w:val="780C741E"/>
    <w:rsid w:val="780ED6CE"/>
    <w:rsid w:val="781CD399"/>
    <w:rsid w:val="78204E02"/>
    <w:rsid w:val="78239F81"/>
    <w:rsid w:val="7827704C"/>
    <w:rsid w:val="78399D97"/>
    <w:rsid w:val="784AB0B0"/>
    <w:rsid w:val="784F6524"/>
    <w:rsid w:val="78530FBA"/>
    <w:rsid w:val="785D044C"/>
    <w:rsid w:val="7862EF93"/>
    <w:rsid w:val="7863DF88"/>
    <w:rsid w:val="7869340A"/>
    <w:rsid w:val="7870ACDD"/>
    <w:rsid w:val="7870F6B3"/>
    <w:rsid w:val="78792FAA"/>
    <w:rsid w:val="78803AE1"/>
    <w:rsid w:val="78827501"/>
    <w:rsid w:val="7888BAAE"/>
    <w:rsid w:val="7889461E"/>
    <w:rsid w:val="789126A0"/>
    <w:rsid w:val="78976F47"/>
    <w:rsid w:val="789A1C60"/>
    <w:rsid w:val="789BECE6"/>
    <w:rsid w:val="78A260C1"/>
    <w:rsid w:val="78A39117"/>
    <w:rsid w:val="78B74AD4"/>
    <w:rsid w:val="78BBD8EC"/>
    <w:rsid w:val="78BD8E55"/>
    <w:rsid w:val="78E27270"/>
    <w:rsid w:val="78EA2585"/>
    <w:rsid w:val="78F939DF"/>
    <w:rsid w:val="78FD52E5"/>
    <w:rsid w:val="78FF7F1F"/>
    <w:rsid w:val="7903A7EE"/>
    <w:rsid w:val="790D224F"/>
    <w:rsid w:val="79109AA9"/>
    <w:rsid w:val="791AA378"/>
    <w:rsid w:val="791C7382"/>
    <w:rsid w:val="791F108A"/>
    <w:rsid w:val="791FC7D6"/>
    <w:rsid w:val="79216BDD"/>
    <w:rsid w:val="79229F43"/>
    <w:rsid w:val="7932ECB0"/>
    <w:rsid w:val="79468DBA"/>
    <w:rsid w:val="7947618F"/>
    <w:rsid w:val="794B8C7F"/>
    <w:rsid w:val="794C7369"/>
    <w:rsid w:val="794D4847"/>
    <w:rsid w:val="795065A9"/>
    <w:rsid w:val="79561DF2"/>
    <w:rsid w:val="795F06C9"/>
    <w:rsid w:val="79603C86"/>
    <w:rsid w:val="7961052E"/>
    <w:rsid w:val="796B4045"/>
    <w:rsid w:val="796EFF3F"/>
    <w:rsid w:val="7977AC47"/>
    <w:rsid w:val="797B5C1C"/>
    <w:rsid w:val="797E3B17"/>
    <w:rsid w:val="79882C9B"/>
    <w:rsid w:val="798D4331"/>
    <w:rsid w:val="79950CAE"/>
    <w:rsid w:val="7997F8D1"/>
    <w:rsid w:val="799D3744"/>
    <w:rsid w:val="79A01A05"/>
    <w:rsid w:val="79A1964C"/>
    <w:rsid w:val="79A73DC8"/>
    <w:rsid w:val="79AAA72F"/>
    <w:rsid w:val="79ACEB7A"/>
    <w:rsid w:val="79B16585"/>
    <w:rsid w:val="79B2150E"/>
    <w:rsid w:val="79B34619"/>
    <w:rsid w:val="79B971DA"/>
    <w:rsid w:val="79BABEA9"/>
    <w:rsid w:val="79C630AA"/>
    <w:rsid w:val="79DC68D5"/>
    <w:rsid w:val="7A028EE4"/>
    <w:rsid w:val="7A052948"/>
    <w:rsid w:val="7A0972E3"/>
    <w:rsid w:val="7A0ECFF8"/>
    <w:rsid w:val="7A0F7346"/>
    <w:rsid w:val="7A1BFDC9"/>
    <w:rsid w:val="7A287AAE"/>
    <w:rsid w:val="7A317149"/>
    <w:rsid w:val="7A375C7D"/>
    <w:rsid w:val="7A3E04E8"/>
    <w:rsid w:val="7A3E80F0"/>
    <w:rsid w:val="7A46C21E"/>
    <w:rsid w:val="7A4D2FEE"/>
    <w:rsid w:val="7A531B35"/>
    <w:rsid w:val="7A5DAD5B"/>
    <w:rsid w:val="7A5F8DCB"/>
    <w:rsid w:val="7A642C46"/>
    <w:rsid w:val="7A6923D2"/>
    <w:rsid w:val="7A6A08E9"/>
    <w:rsid w:val="7A6E1D98"/>
    <w:rsid w:val="7A707917"/>
    <w:rsid w:val="7A7159DF"/>
    <w:rsid w:val="7A747BE4"/>
    <w:rsid w:val="7A792A0A"/>
    <w:rsid w:val="7A7DE41F"/>
    <w:rsid w:val="7A847CAD"/>
    <w:rsid w:val="7A84A3EB"/>
    <w:rsid w:val="7A8EFEB6"/>
    <w:rsid w:val="7A99C899"/>
    <w:rsid w:val="7AA55334"/>
    <w:rsid w:val="7AA5D560"/>
    <w:rsid w:val="7AAA3481"/>
    <w:rsid w:val="7AAC0167"/>
    <w:rsid w:val="7ABD0D79"/>
    <w:rsid w:val="7AC94310"/>
    <w:rsid w:val="7ACC83C0"/>
    <w:rsid w:val="7ACE3483"/>
    <w:rsid w:val="7ACE8FDE"/>
    <w:rsid w:val="7AD57DAC"/>
    <w:rsid w:val="7AD854DF"/>
    <w:rsid w:val="7ADC899B"/>
    <w:rsid w:val="7ADD5A49"/>
    <w:rsid w:val="7AE14CE1"/>
    <w:rsid w:val="7AE5634D"/>
    <w:rsid w:val="7AE843CA"/>
    <w:rsid w:val="7AE8B9C9"/>
    <w:rsid w:val="7AF65529"/>
    <w:rsid w:val="7AFF9A58"/>
    <w:rsid w:val="7B012235"/>
    <w:rsid w:val="7B0E0463"/>
    <w:rsid w:val="7B1257DD"/>
    <w:rsid w:val="7B2A8F80"/>
    <w:rsid w:val="7B2C688C"/>
    <w:rsid w:val="7B3AE28A"/>
    <w:rsid w:val="7B432C8E"/>
    <w:rsid w:val="7B4A0F7E"/>
    <w:rsid w:val="7B4A38BE"/>
    <w:rsid w:val="7B4BACE7"/>
    <w:rsid w:val="7B4DA472"/>
    <w:rsid w:val="7B4F5020"/>
    <w:rsid w:val="7B5146CB"/>
    <w:rsid w:val="7B534C72"/>
    <w:rsid w:val="7B5401DC"/>
    <w:rsid w:val="7B756126"/>
    <w:rsid w:val="7B7C690F"/>
    <w:rsid w:val="7B82FE8C"/>
    <w:rsid w:val="7B898287"/>
    <w:rsid w:val="7B8E267F"/>
    <w:rsid w:val="7B8EABD8"/>
    <w:rsid w:val="7B90828A"/>
    <w:rsid w:val="7B96B377"/>
    <w:rsid w:val="7B9723FF"/>
    <w:rsid w:val="7B97D6D4"/>
    <w:rsid w:val="7B9F9F61"/>
    <w:rsid w:val="7BAA93A6"/>
    <w:rsid w:val="7BBA72E3"/>
    <w:rsid w:val="7BBBB59D"/>
    <w:rsid w:val="7BC8A021"/>
    <w:rsid w:val="7BD24321"/>
    <w:rsid w:val="7BD30478"/>
    <w:rsid w:val="7BD62E60"/>
    <w:rsid w:val="7BD65439"/>
    <w:rsid w:val="7BE0EF67"/>
    <w:rsid w:val="7BE66F01"/>
    <w:rsid w:val="7BEC224E"/>
    <w:rsid w:val="7BEF101F"/>
    <w:rsid w:val="7BF85497"/>
    <w:rsid w:val="7BF928F2"/>
    <w:rsid w:val="7C1FA8CD"/>
    <w:rsid w:val="7C2B274E"/>
    <w:rsid w:val="7C31942E"/>
    <w:rsid w:val="7C3FC044"/>
    <w:rsid w:val="7C43C120"/>
    <w:rsid w:val="7C443E6C"/>
    <w:rsid w:val="7C46AE6B"/>
    <w:rsid w:val="7C505B0D"/>
    <w:rsid w:val="7C612FC1"/>
    <w:rsid w:val="7C713D24"/>
    <w:rsid w:val="7C747C69"/>
    <w:rsid w:val="7C74D61E"/>
    <w:rsid w:val="7C7763FC"/>
    <w:rsid w:val="7C788058"/>
    <w:rsid w:val="7C798B34"/>
    <w:rsid w:val="7C813B62"/>
    <w:rsid w:val="7C82C72C"/>
    <w:rsid w:val="7C8CCD2D"/>
    <w:rsid w:val="7C904D88"/>
    <w:rsid w:val="7C952C67"/>
    <w:rsid w:val="7C9FAEA2"/>
    <w:rsid w:val="7CA36E44"/>
    <w:rsid w:val="7CA5751A"/>
    <w:rsid w:val="7CAA5F73"/>
    <w:rsid w:val="7CAE54C4"/>
    <w:rsid w:val="7CAFD37C"/>
    <w:rsid w:val="7CB0F4D7"/>
    <w:rsid w:val="7CBDE940"/>
    <w:rsid w:val="7CBE2966"/>
    <w:rsid w:val="7CBFCD5D"/>
    <w:rsid w:val="7CC94205"/>
    <w:rsid w:val="7CCE6303"/>
    <w:rsid w:val="7CD239D6"/>
    <w:rsid w:val="7CDB075B"/>
    <w:rsid w:val="7CE16FEC"/>
    <w:rsid w:val="7CF78EF4"/>
    <w:rsid w:val="7CF7BBD3"/>
    <w:rsid w:val="7CFCA3C8"/>
    <w:rsid w:val="7D047B66"/>
    <w:rsid w:val="7D0AC764"/>
    <w:rsid w:val="7D154365"/>
    <w:rsid w:val="7D217799"/>
    <w:rsid w:val="7D24B4DC"/>
    <w:rsid w:val="7D295BED"/>
    <w:rsid w:val="7D2AAAFE"/>
    <w:rsid w:val="7D2C52EB"/>
    <w:rsid w:val="7D337870"/>
    <w:rsid w:val="7D3750AB"/>
    <w:rsid w:val="7D3CA94A"/>
    <w:rsid w:val="7D3E3FEF"/>
    <w:rsid w:val="7D3F7421"/>
    <w:rsid w:val="7D43BC4E"/>
    <w:rsid w:val="7D442F29"/>
    <w:rsid w:val="7D4510BD"/>
    <w:rsid w:val="7D4F18C3"/>
    <w:rsid w:val="7D521110"/>
    <w:rsid w:val="7D52DE80"/>
    <w:rsid w:val="7D53E0BE"/>
    <w:rsid w:val="7D5E391A"/>
    <w:rsid w:val="7D5F8B12"/>
    <w:rsid w:val="7D5FC8E0"/>
    <w:rsid w:val="7D6546E2"/>
    <w:rsid w:val="7D65D6CD"/>
    <w:rsid w:val="7D6FCF7F"/>
    <w:rsid w:val="7D7943CD"/>
    <w:rsid w:val="7D829E5A"/>
    <w:rsid w:val="7D85F3B6"/>
    <w:rsid w:val="7D8ABBF7"/>
    <w:rsid w:val="7D8CE6C3"/>
    <w:rsid w:val="7D8EB3A6"/>
    <w:rsid w:val="7D90FF78"/>
    <w:rsid w:val="7D94F953"/>
    <w:rsid w:val="7D9BCD08"/>
    <w:rsid w:val="7D9E2266"/>
    <w:rsid w:val="7DA2B6B6"/>
    <w:rsid w:val="7DA37DBC"/>
    <w:rsid w:val="7DA61A25"/>
    <w:rsid w:val="7DADA4AA"/>
    <w:rsid w:val="7DB382A5"/>
    <w:rsid w:val="7DB39536"/>
    <w:rsid w:val="7DD325DB"/>
    <w:rsid w:val="7DD9A2D2"/>
    <w:rsid w:val="7DDF5BE5"/>
    <w:rsid w:val="7DE09D50"/>
    <w:rsid w:val="7DE3A229"/>
    <w:rsid w:val="7DF0DACF"/>
    <w:rsid w:val="7DF462CA"/>
    <w:rsid w:val="7DF4DD00"/>
    <w:rsid w:val="7DF51EDF"/>
    <w:rsid w:val="7DF60221"/>
    <w:rsid w:val="7E035632"/>
    <w:rsid w:val="7E0604EC"/>
    <w:rsid w:val="7E073CF8"/>
    <w:rsid w:val="7E085144"/>
    <w:rsid w:val="7E0CE6D0"/>
    <w:rsid w:val="7E0D0D85"/>
    <w:rsid w:val="7E0D176A"/>
    <w:rsid w:val="7E0F1E62"/>
    <w:rsid w:val="7E12924D"/>
    <w:rsid w:val="7E13345D"/>
    <w:rsid w:val="7E15F1A2"/>
    <w:rsid w:val="7E217B4D"/>
    <w:rsid w:val="7E289D8E"/>
    <w:rsid w:val="7E29662C"/>
    <w:rsid w:val="7E2DD987"/>
    <w:rsid w:val="7E312AF3"/>
    <w:rsid w:val="7E38EA4E"/>
    <w:rsid w:val="7E3C2E8C"/>
    <w:rsid w:val="7E3F1570"/>
    <w:rsid w:val="7E4F532F"/>
    <w:rsid w:val="7E531744"/>
    <w:rsid w:val="7E5597A6"/>
    <w:rsid w:val="7E5A32E1"/>
    <w:rsid w:val="7E5E9AB1"/>
    <w:rsid w:val="7E6184D2"/>
    <w:rsid w:val="7E687DD1"/>
    <w:rsid w:val="7E6E0A37"/>
    <w:rsid w:val="7E6EF3DE"/>
    <w:rsid w:val="7E71FB28"/>
    <w:rsid w:val="7E738B28"/>
    <w:rsid w:val="7E7538EA"/>
    <w:rsid w:val="7E78F999"/>
    <w:rsid w:val="7E7967B8"/>
    <w:rsid w:val="7E7C4C0E"/>
    <w:rsid w:val="7E8D408D"/>
    <w:rsid w:val="7E9A5EC4"/>
    <w:rsid w:val="7E9C04BA"/>
    <w:rsid w:val="7EABDA52"/>
    <w:rsid w:val="7EACC439"/>
    <w:rsid w:val="7EB514D4"/>
    <w:rsid w:val="7EB645C6"/>
    <w:rsid w:val="7EBA9F4E"/>
    <w:rsid w:val="7EC070BD"/>
    <w:rsid w:val="7EC98D4A"/>
    <w:rsid w:val="7ECE4350"/>
    <w:rsid w:val="7ECE44E2"/>
    <w:rsid w:val="7ED65B92"/>
    <w:rsid w:val="7ED7276D"/>
    <w:rsid w:val="7EE36BEE"/>
    <w:rsid w:val="7EED654D"/>
    <w:rsid w:val="7EF05146"/>
    <w:rsid w:val="7EF08C38"/>
    <w:rsid w:val="7EF7BFE1"/>
    <w:rsid w:val="7EF87545"/>
    <w:rsid w:val="7F05AD0C"/>
    <w:rsid w:val="7F09A91B"/>
    <w:rsid w:val="7F0B5AF0"/>
    <w:rsid w:val="7F0DF4FB"/>
    <w:rsid w:val="7F16D2C7"/>
    <w:rsid w:val="7F174E22"/>
    <w:rsid w:val="7F194BFE"/>
    <w:rsid w:val="7F1D3D9C"/>
    <w:rsid w:val="7F24BFBB"/>
    <w:rsid w:val="7F2A8407"/>
    <w:rsid w:val="7F3333A8"/>
    <w:rsid w:val="7F39F2C7"/>
    <w:rsid w:val="7F3D7A0C"/>
    <w:rsid w:val="7F421004"/>
    <w:rsid w:val="7F5016FB"/>
    <w:rsid w:val="7F513909"/>
    <w:rsid w:val="7F51BCFA"/>
    <w:rsid w:val="7F55BB1E"/>
    <w:rsid w:val="7F60A06E"/>
    <w:rsid w:val="7F646910"/>
    <w:rsid w:val="7F6ED8FA"/>
    <w:rsid w:val="7F77563F"/>
    <w:rsid w:val="7F78808C"/>
    <w:rsid w:val="7F8192A2"/>
    <w:rsid w:val="7F81A688"/>
    <w:rsid w:val="7F87FBCF"/>
    <w:rsid w:val="7F88C8CA"/>
    <w:rsid w:val="7F96532F"/>
    <w:rsid w:val="7F989AE7"/>
    <w:rsid w:val="7F9B2D68"/>
    <w:rsid w:val="7FA674BB"/>
    <w:rsid w:val="7FB08243"/>
    <w:rsid w:val="7FB6A313"/>
    <w:rsid w:val="7FBA2C44"/>
    <w:rsid w:val="7FBD317C"/>
    <w:rsid w:val="7FBDBDBA"/>
    <w:rsid w:val="7FBF8181"/>
    <w:rsid w:val="7FC3A716"/>
    <w:rsid w:val="7FCA7431"/>
    <w:rsid w:val="7FCBDB05"/>
    <w:rsid w:val="7FCCCD29"/>
    <w:rsid w:val="7FE19D66"/>
    <w:rsid w:val="7FE4FE4A"/>
    <w:rsid w:val="7FE6737C"/>
    <w:rsid w:val="7FFB03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BF73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F7393"/>
  </w:style>
  <w:style w:type="character" w:customStyle="1" w:styleId="eop">
    <w:name w:val="eop"/>
    <w:basedOn w:val="DefaultParagraphFont"/>
    <w:rsid w:val="00BF7393"/>
  </w:style>
  <w:style w:type="character" w:customStyle="1" w:styleId="contentcontrolboundarysink">
    <w:name w:val="contentcontrolboundarysink"/>
    <w:basedOn w:val="DefaultParagraphFont"/>
    <w:rsid w:val="002F3BDF"/>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paragraph" w:customStyle="1" w:styleId="Normal0">
    <w:name w:val="Normal0"/>
    <w:basedOn w:val="Normal"/>
    <w:uiPriority w:val="1"/>
    <w:qFormat/>
    <w:rsid w:val="6A8B6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9249">
      <w:bodyDiv w:val="1"/>
      <w:marLeft w:val="0"/>
      <w:marRight w:val="0"/>
      <w:marTop w:val="0"/>
      <w:marBottom w:val="0"/>
      <w:divBdr>
        <w:top w:val="none" w:sz="0" w:space="0" w:color="auto"/>
        <w:left w:val="none" w:sz="0" w:space="0" w:color="auto"/>
        <w:bottom w:val="none" w:sz="0" w:space="0" w:color="auto"/>
        <w:right w:val="none" w:sz="0" w:space="0" w:color="auto"/>
      </w:divBdr>
      <w:divsChild>
        <w:div w:id="1626884992">
          <w:marLeft w:val="0"/>
          <w:marRight w:val="0"/>
          <w:marTop w:val="0"/>
          <w:marBottom w:val="0"/>
          <w:divBdr>
            <w:top w:val="none" w:sz="0" w:space="0" w:color="auto"/>
            <w:left w:val="none" w:sz="0" w:space="0" w:color="auto"/>
            <w:bottom w:val="none" w:sz="0" w:space="0" w:color="auto"/>
            <w:right w:val="none" w:sz="0" w:space="0" w:color="auto"/>
          </w:divBdr>
        </w:div>
        <w:div w:id="497384040">
          <w:marLeft w:val="0"/>
          <w:marRight w:val="0"/>
          <w:marTop w:val="0"/>
          <w:marBottom w:val="0"/>
          <w:divBdr>
            <w:top w:val="none" w:sz="0" w:space="0" w:color="auto"/>
            <w:left w:val="none" w:sz="0" w:space="0" w:color="auto"/>
            <w:bottom w:val="none" w:sz="0" w:space="0" w:color="auto"/>
            <w:right w:val="none" w:sz="0" w:space="0" w:color="auto"/>
          </w:divBdr>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1217863">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86264185">
      <w:bodyDiv w:val="1"/>
      <w:marLeft w:val="0"/>
      <w:marRight w:val="0"/>
      <w:marTop w:val="0"/>
      <w:marBottom w:val="0"/>
      <w:divBdr>
        <w:top w:val="none" w:sz="0" w:space="0" w:color="auto"/>
        <w:left w:val="none" w:sz="0" w:space="0" w:color="auto"/>
        <w:bottom w:val="none" w:sz="0" w:space="0" w:color="auto"/>
        <w:right w:val="none" w:sz="0" w:space="0" w:color="auto"/>
      </w:divBdr>
      <w:divsChild>
        <w:div w:id="1087118514">
          <w:marLeft w:val="0"/>
          <w:marRight w:val="0"/>
          <w:marTop w:val="0"/>
          <w:marBottom w:val="0"/>
          <w:divBdr>
            <w:top w:val="none" w:sz="0" w:space="0" w:color="auto"/>
            <w:left w:val="none" w:sz="0" w:space="0" w:color="auto"/>
            <w:bottom w:val="none" w:sz="0" w:space="0" w:color="auto"/>
            <w:right w:val="none" w:sz="0" w:space="0" w:color="auto"/>
          </w:divBdr>
          <w:divsChild>
            <w:div w:id="888691493">
              <w:marLeft w:val="0"/>
              <w:marRight w:val="0"/>
              <w:marTop w:val="0"/>
              <w:marBottom w:val="0"/>
              <w:divBdr>
                <w:top w:val="none" w:sz="0" w:space="0" w:color="auto"/>
                <w:left w:val="none" w:sz="0" w:space="0" w:color="auto"/>
                <w:bottom w:val="none" w:sz="0" w:space="0" w:color="auto"/>
                <w:right w:val="none" w:sz="0" w:space="0" w:color="auto"/>
              </w:divBdr>
            </w:div>
          </w:divsChild>
        </w:div>
        <w:div w:id="1310941689">
          <w:marLeft w:val="0"/>
          <w:marRight w:val="0"/>
          <w:marTop w:val="0"/>
          <w:marBottom w:val="0"/>
          <w:divBdr>
            <w:top w:val="none" w:sz="0" w:space="0" w:color="auto"/>
            <w:left w:val="none" w:sz="0" w:space="0" w:color="auto"/>
            <w:bottom w:val="none" w:sz="0" w:space="0" w:color="auto"/>
            <w:right w:val="none" w:sz="0" w:space="0" w:color="auto"/>
          </w:divBdr>
          <w:divsChild>
            <w:div w:id="1583374285">
              <w:marLeft w:val="0"/>
              <w:marRight w:val="0"/>
              <w:marTop w:val="0"/>
              <w:marBottom w:val="0"/>
              <w:divBdr>
                <w:top w:val="none" w:sz="0" w:space="0" w:color="auto"/>
                <w:left w:val="none" w:sz="0" w:space="0" w:color="auto"/>
                <w:bottom w:val="none" w:sz="0" w:space="0" w:color="auto"/>
                <w:right w:val="none" w:sz="0" w:space="0" w:color="auto"/>
              </w:divBdr>
            </w:div>
          </w:divsChild>
        </w:div>
        <w:div w:id="155268219">
          <w:marLeft w:val="0"/>
          <w:marRight w:val="0"/>
          <w:marTop w:val="0"/>
          <w:marBottom w:val="0"/>
          <w:divBdr>
            <w:top w:val="none" w:sz="0" w:space="0" w:color="auto"/>
            <w:left w:val="none" w:sz="0" w:space="0" w:color="auto"/>
            <w:bottom w:val="none" w:sz="0" w:space="0" w:color="auto"/>
            <w:right w:val="none" w:sz="0" w:space="0" w:color="auto"/>
          </w:divBdr>
          <w:divsChild>
            <w:div w:id="1043821536">
              <w:marLeft w:val="0"/>
              <w:marRight w:val="0"/>
              <w:marTop w:val="0"/>
              <w:marBottom w:val="0"/>
              <w:divBdr>
                <w:top w:val="none" w:sz="0" w:space="0" w:color="auto"/>
                <w:left w:val="none" w:sz="0" w:space="0" w:color="auto"/>
                <w:bottom w:val="none" w:sz="0" w:space="0" w:color="auto"/>
                <w:right w:val="none" w:sz="0" w:space="0" w:color="auto"/>
              </w:divBdr>
            </w:div>
          </w:divsChild>
        </w:div>
        <w:div w:id="745304827">
          <w:marLeft w:val="0"/>
          <w:marRight w:val="0"/>
          <w:marTop w:val="0"/>
          <w:marBottom w:val="0"/>
          <w:divBdr>
            <w:top w:val="none" w:sz="0" w:space="0" w:color="auto"/>
            <w:left w:val="none" w:sz="0" w:space="0" w:color="auto"/>
            <w:bottom w:val="none" w:sz="0" w:space="0" w:color="auto"/>
            <w:right w:val="none" w:sz="0" w:space="0" w:color="auto"/>
          </w:divBdr>
          <w:divsChild>
            <w:div w:id="1663924389">
              <w:marLeft w:val="0"/>
              <w:marRight w:val="0"/>
              <w:marTop w:val="0"/>
              <w:marBottom w:val="0"/>
              <w:divBdr>
                <w:top w:val="none" w:sz="0" w:space="0" w:color="auto"/>
                <w:left w:val="none" w:sz="0" w:space="0" w:color="auto"/>
                <w:bottom w:val="none" w:sz="0" w:space="0" w:color="auto"/>
                <w:right w:val="none" w:sz="0" w:space="0" w:color="auto"/>
              </w:divBdr>
            </w:div>
            <w:div w:id="2016762649">
              <w:marLeft w:val="0"/>
              <w:marRight w:val="0"/>
              <w:marTop w:val="0"/>
              <w:marBottom w:val="0"/>
              <w:divBdr>
                <w:top w:val="none" w:sz="0" w:space="0" w:color="auto"/>
                <w:left w:val="none" w:sz="0" w:space="0" w:color="auto"/>
                <w:bottom w:val="none" w:sz="0" w:space="0" w:color="auto"/>
                <w:right w:val="none" w:sz="0" w:space="0" w:color="auto"/>
              </w:divBdr>
            </w:div>
            <w:div w:id="60450811">
              <w:marLeft w:val="0"/>
              <w:marRight w:val="0"/>
              <w:marTop w:val="0"/>
              <w:marBottom w:val="0"/>
              <w:divBdr>
                <w:top w:val="none" w:sz="0" w:space="0" w:color="auto"/>
                <w:left w:val="none" w:sz="0" w:space="0" w:color="auto"/>
                <w:bottom w:val="none" w:sz="0" w:space="0" w:color="auto"/>
                <w:right w:val="none" w:sz="0" w:space="0" w:color="auto"/>
              </w:divBdr>
            </w:div>
          </w:divsChild>
        </w:div>
        <w:div w:id="179206194">
          <w:marLeft w:val="0"/>
          <w:marRight w:val="0"/>
          <w:marTop w:val="0"/>
          <w:marBottom w:val="0"/>
          <w:divBdr>
            <w:top w:val="none" w:sz="0" w:space="0" w:color="auto"/>
            <w:left w:val="none" w:sz="0" w:space="0" w:color="auto"/>
            <w:bottom w:val="none" w:sz="0" w:space="0" w:color="auto"/>
            <w:right w:val="none" w:sz="0" w:space="0" w:color="auto"/>
          </w:divBdr>
          <w:divsChild>
            <w:div w:id="774447266">
              <w:marLeft w:val="0"/>
              <w:marRight w:val="0"/>
              <w:marTop w:val="0"/>
              <w:marBottom w:val="0"/>
              <w:divBdr>
                <w:top w:val="none" w:sz="0" w:space="0" w:color="auto"/>
                <w:left w:val="none" w:sz="0" w:space="0" w:color="auto"/>
                <w:bottom w:val="none" w:sz="0" w:space="0" w:color="auto"/>
                <w:right w:val="none" w:sz="0" w:space="0" w:color="auto"/>
              </w:divBdr>
            </w:div>
          </w:divsChild>
        </w:div>
        <w:div w:id="731126260">
          <w:marLeft w:val="0"/>
          <w:marRight w:val="0"/>
          <w:marTop w:val="0"/>
          <w:marBottom w:val="0"/>
          <w:divBdr>
            <w:top w:val="none" w:sz="0" w:space="0" w:color="auto"/>
            <w:left w:val="none" w:sz="0" w:space="0" w:color="auto"/>
            <w:bottom w:val="none" w:sz="0" w:space="0" w:color="auto"/>
            <w:right w:val="none" w:sz="0" w:space="0" w:color="auto"/>
          </w:divBdr>
          <w:divsChild>
            <w:div w:id="1230920121">
              <w:marLeft w:val="0"/>
              <w:marRight w:val="0"/>
              <w:marTop w:val="0"/>
              <w:marBottom w:val="0"/>
              <w:divBdr>
                <w:top w:val="none" w:sz="0" w:space="0" w:color="auto"/>
                <w:left w:val="none" w:sz="0" w:space="0" w:color="auto"/>
                <w:bottom w:val="none" w:sz="0" w:space="0" w:color="auto"/>
                <w:right w:val="none" w:sz="0" w:space="0" w:color="auto"/>
              </w:divBdr>
            </w:div>
          </w:divsChild>
        </w:div>
        <w:div w:id="766536346">
          <w:marLeft w:val="0"/>
          <w:marRight w:val="0"/>
          <w:marTop w:val="0"/>
          <w:marBottom w:val="0"/>
          <w:divBdr>
            <w:top w:val="none" w:sz="0" w:space="0" w:color="auto"/>
            <w:left w:val="none" w:sz="0" w:space="0" w:color="auto"/>
            <w:bottom w:val="none" w:sz="0" w:space="0" w:color="auto"/>
            <w:right w:val="none" w:sz="0" w:space="0" w:color="auto"/>
          </w:divBdr>
          <w:divsChild>
            <w:div w:id="918634108">
              <w:marLeft w:val="0"/>
              <w:marRight w:val="0"/>
              <w:marTop w:val="0"/>
              <w:marBottom w:val="0"/>
              <w:divBdr>
                <w:top w:val="none" w:sz="0" w:space="0" w:color="auto"/>
                <w:left w:val="none" w:sz="0" w:space="0" w:color="auto"/>
                <w:bottom w:val="none" w:sz="0" w:space="0" w:color="auto"/>
                <w:right w:val="none" w:sz="0" w:space="0" w:color="auto"/>
              </w:divBdr>
            </w:div>
          </w:divsChild>
        </w:div>
        <w:div w:id="1337076020">
          <w:marLeft w:val="0"/>
          <w:marRight w:val="0"/>
          <w:marTop w:val="0"/>
          <w:marBottom w:val="0"/>
          <w:divBdr>
            <w:top w:val="none" w:sz="0" w:space="0" w:color="auto"/>
            <w:left w:val="none" w:sz="0" w:space="0" w:color="auto"/>
            <w:bottom w:val="none" w:sz="0" w:space="0" w:color="auto"/>
            <w:right w:val="none" w:sz="0" w:space="0" w:color="auto"/>
          </w:divBdr>
          <w:divsChild>
            <w:div w:id="1329358667">
              <w:marLeft w:val="0"/>
              <w:marRight w:val="0"/>
              <w:marTop w:val="0"/>
              <w:marBottom w:val="0"/>
              <w:divBdr>
                <w:top w:val="none" w:sz="0" w:space="0" w:color="auto"/>
                <w:left w:val="none" w:sz="0" w:space="0" w:color="auto"/>
                <w:bottom w:val="none" w:sz="0" w:space="0" w:color="auto"/>
                <w:right w:val="none" w:sz="0" w:space="0" w:color="auto"/>
              </w:divBdr>
            </w:div>
          </w:divsChild>
        </w:div>
        <w:div w:id="1437671841">
          <w:marLeft w:val="0"/>
          <w:marRight w:val="0"/>
          <w:marTop w:val="0"/>
          <w:marBottom w:val="0"/>
          <w:divBdr>
            <w:top w:val="none" w:sz="0" w:space="0" w:color="auto"/>
            <w:left w:val="none" w:sz="0" w:space="0" w:color="auto"/>
            <w:bottom w:val="none" w:sz="0" w:space="0" w:color="auto"/>
            <w:right w:val="none" w:sz="0" w:space="0" w:color="auto"/>
          </w:divBdr>
          <w:divsChild>
            <w:div w:id="11525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3389/fpls.2019.00103" TargetMode="External"/><Relationship Id="rId39" Type="http://schemas.openxmlformats.org/officeDocument/2006/relationships/hyperlink" Target="https://doi.org/10.1038/s41558-022-01290-z" TargetMode="External"/><Relationship Id="rId21" Type="http://schemas.openxmlformats.org/officeDocument/2006/relationships/hyperlink" Target="https://doi.org/10.1002/eap.1752" TargetMode="External"/><Relationship Id="rId34" Type="http://schemas.openxmlformats.org/officeDocument/2006/relationships/hyperlink" Target="https://doi.org/10.1016/j.rse.2008.11.009"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inciweb.nwcg.gov/incident/7609/" TargetMode="External"/><Relationship Id="rId11" Type="http://schemas.openxmlformats.org/officeDocument/2006/relationships/image" Target="media/image1.png"/><Relationship Id="rId24" Type="http://schemas.openxmlformats.org/officeDocument/2006/relationships/hyperlink" Target="https://ecostress.jpl.nasa.gov/downloads/atbd/ECOSTRESS_L4_ESI_PT-JPL_ATBD_20180531.pdf" TargetMode="External"/><Relationship Id="rId32" Type="http://schemas.openxmlformats.org/officeDocument/2006/relationships/hyperlink" Target="https://doi.org/10.1002/ecs2.3721" TargetMode="External"/><Relationship Id="rId37" Type="http://schemas.openxmlformats.org/officeDocument/2006/relationships/hyperlink" Target="https://doi.org/10.1111/geb.13526" TargetMode="External"/><Relationship Id="rId40" Type="http://schemas.openxmlformats.org/officeDocument/2006/relationships/hyperlink" Target="https://doi.org/10.1016/j.agrformet.2010.08.003" TargetMode="External"/><Relationship Id="rId45" Type="http://schemas.openxmlformats.org/officeDocument/2006/relationships/image" Target="media/image13.jpg"/><Relationship Id="rId53" Type="http://schemas.openxmlformats.org/officeDocument/2006/relationships/image" Target="media/image21.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s://doi.org/10.1073/pnas.1607171113" TargetMode="External"/><Relationship Id="rId14" Type="http://schemas.openxmlformats.org/officeDocument/2006/relationships/image" Target="media/image4.png"/><Relationship Id="rId22" Type="http://schemas.openxmlformats.org/officeDocument/2006/relationships/hyperlink" Target="https://doi.org/10.3334/ORNLDAAC/2017" TargetMode="External"/><Relationship Id="rId27" Type="http://schemas.openxmlformats.org/officeDocument/2006/relationships/hyperlink" Target="https://doi.org/10.5067/ECOSTRESS/ECO3ETALEXI.001" TargetMode="External"/><Relationship Id="rId30" Type="http://schemas.openxmlformats.org/officeDocument/2006/relationships/hyperlink" Target="https://doi.org/10.1088/1748-9326/aa9853" TargetMode="External"/><Relationship Id="rId35" Type="http://schemas.openxmlformats.org/officeDocument/2006/relationships/hyperlink" Target="https://www.mrlc.gov/data/nlcd-2019-land-cover-conus"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29/2019WR026058" TargetMode="External"/><Relationship Id="rId33" Type="http://schemas.openxmlformats.org/officeDocument/2006/relationships/hyperlink" Target="https://doi.org/10.1029/2020EF001736" TargetMode="External"/><Relationship Id="rId38" Type="http://schemas.openxmlformats.org/officeDocument/2006/relationships/hyperlink" Target="https://doi.org/10.1029/2019EF001210" TargetMode="External"/><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hyperlink" Target="https://doi.org/10.1080/03610910802506648" TargetMode="External"/><Relationship Id="rId41" Type="http://schemas.openxmlformats.org/officeDocument/2006/relationships/image" Target="media/image9.png"/><Relationship Id="rId54" Type="http://schemas.openxmlformats.org/officeDocument/2006/relationships/image" Target="media/image22.png"/><Relationship Id="R2d88b268b2834f0b"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3390/f9030130" TargetMode="External"/><Relationship Id="rId28" Type="http://schemas.openxmlformats.org/officeDocument/2006/relationships/hyperlink" Target="https://doi.org/10.5067/ECOSTRESS/ECO4WUE.001" TargetMode="External"/><Relationship Id="rId36" Type="http://schemas.openxmlformats.org/officeDocument/2006/relationships/hyperlink" Target="https://doi.org/10.1063/1.5047374" TargetMode="External"/><Relationship Id="rId49" Type="http://schemas.openxmlformats.org/officeDocument/2006/relationships/image" Target="media/image17.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www.landfire/viewer"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NT Service\SPSearch</DisplayName>
        <AccountId>1001</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92B9A749-CDCA-4EEE-A40A-097FFE138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E41933-6F74-4C63-AF7A-4C7C2668F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8980</Words>
  <Characters>51191</Characters>
  <Application>Microsoft Office Word</Application>
  <DocSecurity>0</DocSecurity>
  <Lines>426</Lines>
  <Paragraphs>120</Paragraphs>
  <ScaleCrop>false</ScaleCrop>
  <Company/>
  <LinksUpToDate>false</LinksUpToDate>
  <CharactersWithSpaces>60051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2022-10-13T15:13:00Z</dcterms:created>
  <dcterms:modified xsi:type="dcterms:W3CDTF">2022-10-13T15:13:00Z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27000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