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E29" w:rsidRDefault="008B582B">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color w:val="000000"/>
          <w:sz w:val="28"/>
          <w:szCs w:val="28"/>
        </w:rPr>
        <w:t>NASA DEVELOP National Program</w:t>
      </w:r>
    </w:p>
    <w:p w:rsidR="00F47E29" w:rsidRDefault="008B582B">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color w:val="000000"/>
          <w:sz w:val="24"/>
          <w:szCs w:val="24"/>
        </w:rPr>
        <w:t>2019 Summer Project Proposal</w:t>
      </w:r>
    </w:p>
    <w:p w:rsidR="00F47E29" w:rsidRDefault="00F47E29">
      <w:pPr>
        <w:spacing w:after="0" w:line="240" w:lineRule="auto"/>
        <w:rPr>
          <w:rFonts w:ascii="Times New Roman" w:eastAsia="Times New Roman" w:hAnsi="Times New Roman" w:cs="Times New Roman"/>
          <w:sz w:val="24"/>
          <w:szCs w:val="24"/>
        </w:rPr>
      </w:pPr>
    </w:p>
    <w:p w:rsidR="00F47E29" w:rsidRDefault="008B582B">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color w:val="000000"/>
        </w:rPr>
        <w:t>Alabama – Mobile</w:t>
      </w:r>
    </w:p>
    <w:p w:rsidR="00F47E29" w:rsidRDefault="008B582B">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color w:val="000000"/>
          <w:sz w:val="20"/>
          <w:szCs w:val="20"/>
        </w:rPr>
        <w:t>Mobile Urban Development  </w:t>
      </w:r>
    </w:p>
    <w:p w:rsidR="00F47E29" w:rsidRDefault="008B582B">
      <w:pPr>
        <w:spacing w:after="0" w:line="240" w:lineRule="auto"/>
        <w:rPr>
          <w:rFonts w:ascii="Century Gothic" w:eastAsia="Century Gothic" w:hAnsi="Century Gothic" w:cs="Century Gothic"/>
          <w:i/>
          <w:color w:val="000000"/>
          <w:sz w:val="20"/>
          <w:szCs w:val="20"/>
        </w:rPr>
      </w:pPr>
      <w:r>
        <w:rPr>
          <w:rFonts w:ascii="Century Gothic" w:eastAsia="Century Gothic" w:hAnsi="Century Gothic" w:cs="Century Gothic"/>
          <w:i/>
          <w:color w:val="000000"/>
          <w:sz w:val="20"/>
          <w:szCs w:val="20"/>
        </w:rPr>
        <w:t>Evaluating Urban Heat Islands and Flooding to Enhance Green Infrastructure Initiatives in Coastal Communities in Mobile</w:t>
      </w:r>
    </w:p>
    <w:p w:rsidR="00F47E29" w:rsidRDefault="00F47E29">
      <w:pPr>
        <w:spacing w:after="0" w:line="240" w:lineRule="auto"/>
        <w:rPr>
          <w:rFonts w:ascii="Century Gothic" w:eastAsia="Century Gothic" w:hAnsi="Century Gothic" w:cs="Century Gothic"/>
          <w:i/>
          <w:color w:val="000000"/>
          <w:sz w:val="20"/>
          <w:szCs w:val="20"/>
        </w:rPr>
      </w:pPr>
    </w:p>
    <w:p w:rsidR="00F47E29" w:rsidRDefault="008B582B">
      <w:pPr>
        <w:pBdr>
          <w:bottom w:val="single" w:sz="4" w:space="1" w:color="000000"/>
        </w:pBd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color w:val="000000"/>
        </w:rPr>
        <w:t>Project Overview</w:t>
      </w:r>
    </w:p>
    <w:p w:rsidR="00386572" w:rsidRDefault="00386572" w:rsidP="00386572">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i/>
          <w:color w:val="000000"/>
          <w:sz w:val="20"/>
          <w:szCs w:val="20"/>
        </w:rPr>
        <w:t>P</w:t>
      </w:r>
      <w:r>
        <w:rPr>
          <w:rFonts w:ascii="Century Gothic" w:eastAsia="Century Gothic" w:hAnsi="Century Gothic" w:cs="Century Gothic"/>
          <w:b/>
          <w:i/>
          <w:color w:val="000000"/>
          <w:sz w:val="20"/>
          <w:szCs w:val="20"/>
        </w:rPr>
        <w:t>roject Synopsis</w:t>
      </w:r>
      <w:r>
        <w:rPr>
          <w:rFonts w:ascii="Century Gothic" w:eastAsia="Century Gothic" w:hAnsi="Century Gothic" w:cs="Century Gothic"/>
          <w:b/>
          <w:color w:val="000000"/>
          <w:sz w:val="20"/>
          <w:szCs w:val="20"/>
        </w:rPr>
        <w:t xml:space="preserve">: </w:t>
      </w:r>
      <w:proofErr w:type="gramStart"/>
      <w:r>
        <w:rPr>
          <w:rFonts w:ascii="Garamond" w:eastAsia="Garamond" w:hAnsi="Garamond" w:cs="Garamond"/>
          <w:color w:val="000000"/>
        </w:rPr>
        <w:t>Partnering</w:t>
      </w:r>
      <w:proofErr w:type="gramEnd"/>
      <w:r>
        <w:rPr>
          <w:rFonts w:ascii="Garamond" w:eastAsia="Garamond" w:hAnsi="Garamond" w:cs="Garamond"/>
          <w:color w:val="000000"/>
        </w:rPr>
        <w:t xml:space="preserve"> with Groundwork Mobile (GM), the team will investigate </w:t>
      </w:r>
      <w:proofErr w:type="spellStart"/>
      <w:r>
        <w:rPr>
          <w:rFonts w:ascii="Garamond" w:eastAsia="Garamond" w:hAnsi="Garamond" w:cs="Garamond"/>
          <w:color w:val="000000"/>
        </w:rPr>
        <w:t>spatio</w:t>
      </w:r>
      <w:proofErr w:type="spellEnd"/>
      <w:r>
        <w:rPr>
          <w:rFonts w:ascii="Garamond" w:eastAsia="Garamond" w:hAnsi="Garamond" w:cs="Garamond"/>
          <w:color w:val="000000"/>
        </w:rPr>
        <w:t>-temporal relationships between</w:t>
      </w:r>
      <w:r>
        <w:rPr>
          <w:rFonts w:ascii="Garamond" w:eastAsia="Garamond" w:hAnsi="Garamond" w:cs="Garamond"/>
        </w:rPr>
        <w:t xml:space="preserve"> flood vulnerability and socioeconomic status in Mobile, Alabama. In addition, vegetative canopies, impervious surfaces, and areas of extreme urban heat </w:t>
      </w:r>
      <w:proofErr w:type="gramStart"/>
      <w:r>
        <w:rPr>
          <w:rFonts w:ascii="Garamond" w:eastAsia="Garamond" w:hAnsi="Garamond" w:cs="Garamond"/>
        </w:rPr>
        <w:t>will be analyzed</w:t>
      </w:r>
      <w:proofErr w:type="gramEnd"/>
      <w:r>
        <w:rPr>
          <w:rFonts w:ascii="Garamond" w:eastAsia="Garamond" w:hAnsi="Garamond" w:cs="Garamond"/>
        </w:rPr>
        <w:t xml:space="preserve"> to identify neighborhoods viable for green infrastructure initiatives. This project will apply data from Landsat 8 OLI and Sentinel-2 MSI to produce time series products to indicate changes in green and gray infrastruc</w:t>
      </w:r>
      <w:r>
        <w:rPr>
          <w:rFonts w:ascii="Garamond" w:eastAsia="Garamond" w:hAnsi="Garamond" w:cs="Garamond"/>
        </w:rPr>
        <w:t xml:space="preserve">ture over time and </w:t>
      </w:r>
      <w:r>
        <w:rPr>
          <w:rFonts w:ascii="Garamond" w:eastAsia="Garamond" w:hAnsi="Garamond" w:cs="Garamond"/>
        </w:rPr>
        <w:t>utilize Landsat 8 TIRS and Terra MODIS land surface temperature and emissivity (LST&amp;E) data to identify areas of extreme urban heat. The flood extent analysis will be created using Sentinel-1 C-SAR to identify areas at risk of flooding. By combining these products with census data, the socioeconomic and demographic risk evaluation will identify underserved areas most at risk of flooding</w:t>
      </w:r>
      <w:r>
        <w:rPr>
          <w:rFonts w:ascii="Garamond" w:eastAsia="Garamond" w:hAnsi="Garamond" w:cs="Garamond"/>
        </w:rPr>
        <w:t xml:space="preserve"> and extreme heat, along with</w:t>
      </w:r>
      <w:r>
        <w:rPr>
          <w:rFonts w:ascii="Garamond" w:eastAsia="Garamond" w:hAnsi="Garamond" w:cs="Garamond"/>
        </w:rPr>
        <w:t xml:space="preserve"> their potential for green infrastructure initiatives implemente</w:t>
      </w:r>
      <w:r>
        <w:rPr>
          <w:rFonts w:ascii="Garamond" w:eastAsia="Garamond" w:hAnsi="Garamond" w:cs="Garamond"/>
        </w:rPr>
        <w:t>d by the partner organizations.</w:t>
      </w:r>
    </w:p>
    <w:p w:rsidR="00F47E29" w:rsidRDefault="00F47E29">
      <w:pPr>
        <w:spacing w:after="0" w:line="240" w:lineRule="auto"/>
        <w:rPr>
          <w:rFonts w:ascii="Times New Roman" w:eastAsia="Times New Roman" w:hAnsi="Times New Roman" w:cs="Times New Roman"/>
          <w:sz w:val="24"/>
          <w:szCs w:val="24"/>
        </w:rPr>
      </w:pPr>
    </w:p>
    <w:p w:rsidR="00F47E29" w:rsidRDefault="00386572" w:rsidP="00386572">
      <w:pPr>
        <w:spacing w:after="0" w:line="240" w:lineRule="auto"/>
        <w:rPr>
          <w:rFonts w:ascii="Garamond" w:eastAsia="Garamond" w:hAnsi="Garamond" w:cs="Garamond"/>
        </w:rPr>
      </w:pPr>
      <w:r>
        <w:rPr>
          <w:rFonts w:ascii="Century Gothic" w:eastAsia="Century Gothic" w:hAnsi="Century Gothic" w:cs="Century Gothic"/>
          <w:b/>
          <w:i/>
          <w:color w:val="000000"/>
          <w:sz w:val="20"/>
          <w:szCs w:val="20"/>
        </w:rPr>
        <w:t>C</w:t>
      </w:r>
      <w:r>
        <w:rPr>
          <w:rFonts w:ascii="Century Gothic" w:eastAsia="Century Gothic" w:hAnsi="Century Gothic" w:cs="Century Gothic"/>
          <w:b/>
          <w:i/>
          <w:color w:val="000000"/>
          <w:sz w:val="20"/>
          <w:szCs w:val="20"/>
        </w:rPr>
        <w:t>ommunity Concern:</w:t>
      </w:r>
      <w:r>
        <w:rPr>
          <w:rFonts w:ascii="Garamond" w:eastAsia="Garamond" w:hAnsi="Garamond" w:cs="Garamond"/>
          <w:color w:val="000000"/>
        </w:rPr>
        <w:t xml:space="preserve"> Mob</w:t>
      </w:r>
      <w:r>
        <w:rPr>
          <w:rFonts w:ascii="Garamond" w:eastAsia="Garamond" w:hAnsi="Garamond" w:cs="Garamond"/>
        </w:rPr>
        <w:t xml:space="preserve">ile, Alabama </w:t>
      </w:r>
      <w:proofErr w:type="gramStart"/>
      <w:r>
        <w:rPr>
          <w:rFonts w:ascii="Garamond" w:eastAsia="Garamond" w:hAnsi="Garamond" w:cs="Garamond"/>
        </w:rPr>
        <w:t>is situated</w:t>
      </w:r>
      <w:proofErr w:type="gramEnd"/>
      <w:r>
        <w:rPr>
          <w:rFonts w:ascii="Garamond" w:eastAsia="Garamond" w:hAnsi="Garamond" w:cs="Garamond"/>
        </w:rPr>
        <w:t xml:space="preserve"> on the western shores of Mobile Bay and along the Gulf of Mexico. Its low elevation, coastal geography, and subtropical climate contribute to flood events, especially in downtown neighborhoods. Tropical storm systems often batter this culturally rich city, which is home to nearly 200,000 people, increasing its likelihood to flood. During Hurricane Katrina in 2006, a storm surge of 12 feet inundated downtown Mobile leaving historic buildings and homes flooded and major transportation infrastructure like the Port of Mobile damaged. Flooding, along with extreme urban heat are growing concerns for community and government institutions in the region. Paved surfaces and grey infrastructure contribute to more intense Urban Heat Island (UHI) effects and can increase the temperature of urban areas significantly in contrast with surrounding, less developed areas. Green infrastructure initiatives can mitigate the risk of the UHI effect and flooding as organizations like GM and the DPC work to build, manage, and improve green spaces in Mobile.</w:t>
      </w:r>
    </w:p>
    <w:p w:rsidR="00F47E29" w:rsidRDefault="00F47E29">
      <w:pPr>
        <w:spacing w:after="0" w:line="240" w:lineRule="auto"/>
        <w:rPr>
          <w:rFonts w:ascii="Times New Roman" w:eastAsia="Times New Roman" w:hAnsi="Times New Roman" w:cs="Times New Roman"/>
          <w:sz w:val="24"/>
          <w:szCs w:val="24"/>
        </w:rPr>
      </w:pPr>
    </w:p>
    <w:p w:rsidR="00386572" w:rsidRDefault="00386572" w:rsidP="00386572">
      <w:pPr>
        <w:spacing w:after="0" w:line="240" w:lineRule="auto"/>
      </w:pPr>
      <w:r>
        <w:rPr>
          <w:rFonts w:ascii="Century Gothic" w:eastAsia="Century Gothic" w:hAnsi="Century Gothic" w:cs="Century Gothic"/>
          <w:b/>
          <w:i/>
          <w:color w:val="000000"/>
          <w:sz w:val="20"/>
          <w:szCs w:val="20"/>
        </w:rPr>
        <w:t>S</w:t>
      </w:r>
      <w:r>
        <w:rPr>
          <w:rFonts w:ascii="Century Gothic" w:eastAsia="Century Gothic" w:hAnsi="Century Gothic" w:cs="Century Gothic"/>
          <w:b/>
          <w:i/>
          <w:color w:val="000000"/>
          <w:sz w:val="20"/>
          <w:szCs w:val="20"/>
        </w:rPr>
        <w:t>ource of Project Idea:</w:t>
      </w:r>
      <w:r>
        <w:rPr>
          <w:rFonts w:ascii="Century Gothic" w:eastAsia="Century Gothic" w:hAnsi="Century Gothic" w:cs="Century Gothic"/>
          <w:color w:val="000000"/>
          <w:sz w:val="20"/>
          <w:szCs w:val="20"/>
        </w:rPr>
        <w:t xml:space="preserve"> </w:t>
      </w:r>
      <w:r>
        <w:rPr>
          <w:rFonts w:ascii="Garamond" w:eastAsia="Garamond" w:hAnsi="Garamond" w:cs="Garamond"/>
          <w:color w:val="000000"/>
        </w:rPr>
        <w:t xml:space="preserve">This project idea emanated from discussions between the DEVELOP National Program Office and the Alabama – Mobile leadership team to build </w:t>
      </w:r>
      <w:r>
        <w:rPr>
          <w:rFonts w:ascii="Garamond" w:eastAsia="Garamond" w:hAnsi="Garamond" w:cs="Garamond"/>
        </w:rPr>
        <w:t>on methodologies developed during the Summer 2018 New Orleans Urban Development project but to focus on Mobile</w:t>
      </w:r>
      <w:r>
        <w:rPr>
          <w:rFonts w:ascii="Garamond" w:eastAsia="Garamond" w:hAnsi="Garamond" w:cs="Garamond"/>
          <w:color w:val="000000"/>
        </w:rPr>
        <w:t>.</w:t>
      </w:r>
    </w:p>
    <w:p w:rsidR="00F47E29" w:rsidRDefault="00F47E29">
      <w:pPr>
        <w:spacing w:after="0" w:line="240" w:lineRule="auto"/>
        <w:rPr>
          <w:rFonts w:ascii="Times New Roman" w:eastAsia="Times New Roman" w:hAnsi="Times New Roman" w:cs="Times New Roman"/>
          <w:sz w:val="24"/>
          <w:szCs w:val="24"/>
        </w:rPr>
      </w:pPr>
    </w:p>
    <w:p w:rsidR="00F47E29" w:rsidRDefault="008B582B">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i/>
          <w:color w:val="000000"/>
          <w:sz w:val="20"/>
          <w:szCs w:val="20"/>
        </w:rPr>
        <w:t>National Application Area Addressed:</w:t>
      </w:r>
      <w:r>
        <w:rPr>
          <w:rFonts w:ascii="Century Gothic" w:eastAsia="Century Gothic" w:hAnsi="Century Gothic" w:cs="Century Gothic"/>
          <w:color w:val="000000"/>
          <w:sz w:val="20"/>
          <w:szCs w:val="20"/>
        </w:rPr>
        <w:t xml:space="preserve"> </w:t>
      </w:r>
      <w:r>
        <w:rPr>
          <w:rFonts w:ascii="Garamond" w:eastAsia="Garamond" w:hAnsi="Garamond" w:cs="Garamond"/>
          <w:color w:val="000000"/>
        </w:rPr>
        <w:t>Urban Development</w:t>
      </w:r>
    </w:p>
    <w:p w:rsidR="00F47E29" w:rsidRDefault="008B582B">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i/>
          <w:color w:val="000000"/>
          <w:sz w:val="20"/>
          <w:szCs w:val="20"/>
        </w:rPr>
        <w:t>Study Location:</w:t>
      </w:r>
      <w:r>
        <w:rPr>
          <w:rFonts w:ascii="Century Gothic" w:eastAsia="Century Gothic" w:hAnsi="Century Gothic" w:cs="Century Gothic"/>
          <w:color w:val="000000"/>
          <w:sz w:val="20"/>
          <w:szCs w:val="20"/>
        </w:rPr>
        <w:t xml:space="preserve"> </w:t>
      </w:r>
      <w:r>
        <w:rPr>
          <w:rFonts w:ascii="Garamond" w:eastAsia="Garamond" w:hAnsi="Garamond" w:cs="Garamond"/>
          <w:color w:val="000000"/>
        </w:rPr>
        <w:t>Mobile County, AL</w:t>
      </w:r>
    </w:p>
    <w:p w:rsidR="00F47E29" w:rsidRDefault="008B582B">
      <w:pPr>
        <w:spacing w:after="0" w:line="240" w:lineRule="auto"/>
        <w:rPr>
          <w:rFonts w:ascii="Times New Roman" w:eastAsia="Times New Roman" w:hAnsi="Times New Roman" w:cs="Times New Roman"/>
          <w:sz w:val="24"/>
          <w:szCs w:val="24"/>
        </w:rPr>
      </w:pPr>
      <w:bookmarkStart w:id="0" w:name="_heading=h.gjdgxs" w:colFirst="0" w:colLast="0"/>
      <w:bookmarkEnd w:id="0"/>
      <w:r>
        <w:rPr>
          <w:rFonts w:ascii="Century Gothic" w:eastAsia="Century Gothic" w:hAnsi="Century Gothic" w:cs="Century Gothic"/>
          <w:b/>
          <w:i/>
          <w:color w:val="000000"/>
          <w:sz w:val="20"/>
          <w:szCs w:val="20"/>
        </w:rPr>
        <w:t>Study Period:</w:t>
      </w:r>
      <w:r>
        <w:rPr>
          <w:rFonts w:ascii="Century Gothic" w:eastAsia="Century Gothic" w:hAnsi="Century Gothic" w:cs="Century Gothic"/>
          <w:b/>
          <w:color w:val="000000"/>
          <w:sz w:val="20"/>
          <w:szCs w:val="20"/>
        </w:rPr>
        <w:t xml:space="preserve"> </w:t>
      </w:r>
      <w:r>
        <w:rPr>
          <w:rFonts w:ascii="Garamond" w:eastAsia="Garamond" w:hAnsi="Garamond" w:cs="Garamond"/>
          <w:color w:val="000000"/>
        </w:rPr>
        <w:t>January 2015 – May 2019</w:t>
      </w:r>
    </w:p>
    <w:p w:rsidR="00F47E29" w:rsidRDefault="00F47E29">
      <w:pPr>
        <w:spacing w:after="0" w:line="240" w:lineRule="auto"/>
        <w:rPr>
          <w:rFonts w:ascii="Times New Roman" w:eastAsia="Times New Roman" w:hAnsi="Times New Roman" w:cs="Times New Roman"/>
          <w:sz w:val="24"/>
          <w:szCs w:val="24"/>
        </w:rPr>
      </w:pPr>
    </w:p>
    <w:p w:rsidR="00F47E29" w:rsidRDefault="008B582B">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i/>
          <w:color w:val="000000"/>
          <w:sz w:val="20"/>
          <w:szCs w:val="20"/>
        </w:rPr>
        <w:t>Advisors:</w:t>
      </w:r>
      <w:r>
        <w:rPr>
          <w:rFonts w:ascii="Century Gothic" w:eastAsia="Century Gothic" w:hAnsi="Century Gothic" w:cs="Century Gothic"/>
          <w:color w:val="000000"/>
          <w:sz w:val="20"/>
          <w:szCs w:val="20"/>
        </w:rPr>
        <w:t xml:space="preserve"> </w:t>
      </w:r>
      <w:r>
        <w:rPr>
          <w:rFonts w:ascii="Garamond" w:eastAsia="Garamond" w:hAnsi="Garamond" w:cs="Garamond"/>
          <w:color w:val="000000"/>
        </w:rPr>
        <w:t>Joseph Spruce (Science System &amp; Applications, Inc.), Dr. Kenton Ross (NASA Langley Research Center)</w:t>
      </w:r>
    </w:p>
    <w:p w:rsidR="00F47E29" w:rsidRDefault="00F47E29">
      <w:pPr>
        <w:spacing w:after="0" w:line="240" w:lineRule="auto"/>
        <w:rPr>
          <w:rFonts w:ascii="Times New Roman" w:eastAsia="Times New Roman" w:hAnsi="Times New Roman" w:cs="Times New Roman"/>
          <w:sz w:val="24"/>
          <w:szCs w:val="24"/>
        </w:rPr>
      </w:pPr>
    </w:p>
    <w:p w:rsidR="00F47E29" w:rsidRDefault="008B582B">
      <w:pPr>
        <w:pBdr>
          <w:bottom w:val="single" w:sz="4" w:space="1" w:color="000000"/>
        </w:pBd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color w:val="000000"/>
        </w:rPr>
        <w:t>Partner Overview</w:t>
      </w:r>
    </w:p>
    <w:p w:rsidR="00F47E29" w:rsidRDefault="008B582B">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i/>
          <w:color w:val="000000"/>
          <w:sz w:val="20"/>
          <w:szCs w:val="20"/>
        </w:rPr>
        <w:t>Partner Organizations:</w:t>
      </w:r>
    </w:p>
    <w:tbl>
      <w:tblPr>
        <w:tblStyle w:val="a"/>
        <w:tblW w:w="9360" w:type="dxa"/>
        <w:tblLayout w:type="fixed"/>
        <w:tblLook w:val="0400" w:firstRow="0" w:lastRow="0" w:firstColumn="0" w:lastColumn="0" w:noHBand="0" w:noVBand="1"/>
      </w:tblPr>
      <w:tblGrid>
        <w:gridCol w:w="3240"/>
        <w:gridCol w:w="3456"/>
        <w:gridCol w:w="1584"/>
        <w:gridCol w:w="1080"/>
      </w:tblGrid>
      <w:tr w:rsidR="00F47E29" w:rsidTr="00386572">
        <w:tc>
          <w:tcPr>
            <w:tcW w:w="3240"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tcPr>
          <w:p w:rsidR="00F47E29" w:rsidRDefault="00386572" w:rsidP="00386572">
            <w:pPr>
              <w:spacing w:after="0"/>
              <w:rPr>
                <w:rFonts w:ascii="Times New Roman" w:eastAsia="Times New Roman" w:hAnsi="Times New Roman" w:cs="Times New Roman"/>
                <w:sz w:val="24"/>
                <w:szCs w:val="24"/>
              </w:rPr>
            </w:pPr>
            <w:r>
              <w:rPr>
                <w:rFonts w:ascii="Century Gothic" w:eastAsia="Century Gothic" w:hAnsi="Century Gothic" w:cs="Century Gothic"/>
                <w:b/>
                <w:color w:val="FFFFFF"/>
              </w:rPr>
              <w:t>O</w:t>
            </w:r>
            <w:r>
              <w:rPr>
                <w:rFonts w:ascii="Century Gothic" w:eastAsia="Century Gothic" w:hAnsi="Century Gothic" w:cs="Century Gothic"/>
                <w:b/>
                <w:color w:val="FFFFFF"/>
              </w:rPr>
              <w:t>rganization</w:t>
            </w:r>
          </w:p>
        </w:tc>
        <w:tc>
          <w:tcPr>
            <w:tcW w:w="3456"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tcPr>
          <w:p w:rsidR="00F47E29" w:rsidRDefault="00386572" w:rsidP="00386572">
            <w:pPr>
              <w:spacing w:after="0"/>
              <w:rPr>
                <w:rFonts w:ascii="Times New Roman" w:eastAsia="Times New Roman" w:hAnsi="Times New Roman" w:cs="Times New Roman"/>
                <w:sz w:val="24"/>
                <w:szCs w:val="24"/>
              </w:rPr>
            </w:pPr>
            <w:r>
              <w:rPr>
                <w:rFonts w:ascii="Century Gothic" w:eastAsia="Century Gothic" w:hAnsi="Century Gothic" w:cs="Century Gothic"/>
                <w:b/>
                <w:color w:val="FFFFFF"/>
              </w:rPr>
              <w:t>P</w:t>
            </w:r>
            <w:r>
              <w:rPr>
                <w:rFonts w:ascii="Century Gothic" w:eastAsia="Century Gothic" w:hAnsi="Century Gothic" w:cs="Century Gothic"/>
                <w:b/>
                <w:color w:val="FFFFFF"/>
              </w:rPr>
              <w:t>OC (Name, Position/Title)</w:t>
            </w:r>
          </w:p>
        </w:tc>
        <w:tc>
          <w:tcPr>
            <w:tcW w:w="1584"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tcPr>
          <w:p w:rsidR="00F47E29" w:rsidRDefault="008B582B">
            <w:pPr>
              <w:spacing w:after="0"/>
              <w:rPr>
                <w:rFonts w:ascii="Times New Roman" w:eastAsia="Times New Roman" w:hAnsi="Times New Roman" w:cs="Times New Roman"/>
                <w:sz w:val="24"/>
                <w:szCs w:val="24"/>
              </w:rPr>
            </w:pPr>
            <w:r>
              <w:rPr>
                <w:rFonts w:ascii="Century Gothic" w:eastAsia="Century Gothic" w:hAnsi="Century Gothic" w:cs="Century Gothic"/>
                <w:b/>
                <w:color w:val="FFFFFF"/>
              </w:rPr>
              <w:t>Partner Type</w:t>
            </w:r>
          </w:p>
        </w:tc>
        <w:tc>
          <w:tcPr>
            <w:tcW w:w="1080"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tcPr>
          <w:p w:rsidR="00F47E29" w:rsidRDefault="00386572" w:rsidP="00386572">
            <w:pPr>
              <w:spacing w:after="0"/>
              <w:jc w:val="center"/>
              <w:rPr>
                <w:rFonts w:ascii="Times New Roman" w:eastAsia="Times New Roman" w:hAnsi="Times New Roman" w:cs="Times New Roman"/>
                <w:sz w:val="24"/>
                <w:szCs w:val="24"/>
              </w:rPr>
            </w:pPr>
            <w:r>
              <w:rPr>
                <w:rFonts w:ascii="Century Gothic" w:eastAsia="Century Gothic" w:hAnsi="Century Gothic" w:cs="Century Gothic"/>
                <w:b/>
                <w:color w:val="FFFFFF"/>
                <w:sz w:val="18"/>
                <w:szCs w:val="18"/>
              </w:rPr>
              <w:t>B</w:t>
            </w:r>
            <w:r>
              <w:rPr>
                <w:rFonts w:ascii="Century Gothic" w:eastAsia="Century Gothic" w:hAnsi="Century Gothic" w:cs="Century Gothic"/>
                <w:b/>
                <w:color w:val="FFFFFF"/>
                <w:sz w:val="18"/>
                <w:szCs w:val="18"/>
              </w:rPr>
              <w:t>oundary Org?</w:t>
            </w:r>
          </w:p>
        </w:tc>
      </w:tr>
      <w:tr w:rsidR="00F47E29" w:rsidTr="00386572">
        <w:tc>
          <w:tcPr>
            <w:tcW w:w="32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E29" w:rsidRDefault="008B582B">
            <w:pPr>
              <w:spacing w:after="0"/>
              <w:rPr>
                <w:rFonts w:ascii="Times New Roman" w:eastAsia="Times New Roman" w:hAnsi="Times New Roman" w:cs="Times New Roman"/>
                <w:sz w:val="24"/>
                <w:szCs w:val="24"/>
              </w:rPr>
            </w:pPr>
            <w:r>
              <w:rPr>
                <w:rFonts w:ascii="Garamond" w:eastAsia="Garamond" w:hAnsi="Garamond" w:cs="Garamond"/>
                <w:b/>
                <w:color w:val="000000"/>
              </w:rPr>
              <w:t>Groundwork USA, Groundwork Mobile</w:t>
            </w:r>
          </w:p>
        </w:tc>
        <w:tc>
          <w:tcPr>
            <w:tcW w:w="34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E29" w:rsidRDefault="008B582B">
            <w:pPr>
              <w:spacing w:after="0"/>
              <w:rPr>
                <w:rFonts w:ascii="Times New Roman" w:eastAsia="Times New Roman" w:hAnsi="Times New Roman" w:cs="Times New Roman"/>
                <w:sz w:val="24"/>
                <w:szCs w:val="24"/>
              </w:rPr>
            </w:pPr>
            <w:r>
              <w:rPr>
                <w:rFonts w:ascii="Garamond" w:eastAsia="Garamond" w:hAnsi="Garamond" w:cs="Garamond"/>
                <w:color w:val="000000"/>
              </w:rPr>
              <w:t xml:space="preserve">Larissa Graham, </w:t>
            </w:r>
            <w:r>
              <w:rPr>
                <w:rFonts w:ascii="Garamond" w:eastAsia="Garamond" w:hAnsi="Garamond" w:cs="Garamond"/>
              </w:rPr>
              <w:t>Chair</w:t>
            </w:r>
          </w:p>
        </w:tc>
        <w:tc>
          <w:tcPr>
            <w:tcW w:w="1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E29" w:rsidRDefault="008B582B">
            <w:pPr>
              <w:spacing w:after="0"/>
              <w:rPr>
                <w:rFonts w:ascii="Times New Roman" w:eastAsia="Times New Roman" w:hAnsi="Times New Roman" w:cs="Times New Roman"/>
                <w:sz w:val="24"/>
                <w:szCs w:val="24"/>
              </w:rPr>
            </w:pPr>
            <w:r>
              <w:rPr>
                <w:rFonts w:ascii="Garamond" w:eastAsia="Garamond" w:hAnsi="Garamond" w:cs="Garamond"/>
                <w:color w:val="000000"/>
              </w:rPr>
              <w:t>End User</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7E29" w:rsidRDefault="008B582B">
            <w:pPr>
              <w:spacing w:after="0"/>
              <w:jc w:val="center"/>
              <w:rPr>
                <w:rFonts w:ascii="Times New Roman" w:eastAsia="Times New Roman" w:hAnsi="Times New Roman" w:cs="Times New Roman"/>
                <w:sz w:val="24"/>
                <w:szCs w:val="24"/>
              </w:rPr>
            </w:pPr>
            <w:r>
              <w:rPr>
                <w:rFonts w:ascii="Garamond" w:eastAsia="Garamond" w:hAnsi="Garamond" w:cs="Garamond"/>
                <w:color w:val="000000"/>
              </w:rPr>
              <w:t>Yes</w:t>
            </w:r>
          </w:p>
        </w:tc>
      </w:tr>
    </w:tbl>
    <w:p w:rsidR="00F47E29" w:rsidRDefault="00F47E29">
      <w:pPr>
        <w:spacing w:after="240" w:line="240" w:lineRule="auto"/>
        <w:rPr>
          <w:rFonts w:ascii="Times New Roman" w:eastAsia="Times New Roman" w:hAnsi="Times New Roman" w:cs="Times New Roman"/>
          <w:sz w:val="24"/>
          <w:szCs w:val="24"/>
        </w:rPr>
      </w:pPr>
    </w:p>
    <w:p w:rsidR="00F47E29" w:rsidRDefault="008B582B">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i/>
          <w:color w:val="000000"/>
          <w:sz w:val="20"/>
          <w:szCs w:val="20"/>
          <w:u w:val="single"/>
        </w:rPr>
        <w:t>End-User Overview</w:t>
      </w:r>
    </w:p>
    <w:p w:rsidR="00F47E29" w:rsidRDefault="00386572" w:rsidP="00386572">
      <w:pPr>
        <w:spacing w:after="0" w:line="240" w:lineRule="auto"/>
        <w:rPr>
          <w:rFonts w:ascii="Garamond" w:eastAsia="Garamond" w:hAnsi="Garamond" w:cs="Garamond"/>
        </w:rPr>
      </w:pPr>
      <w:r>
        <w:rPr>
          <w:rFonts w:ascii="Century Gothic" w:eastAsia="Century Gothic" w:hAnsi="Century Gothic" w:cs="Century Gothic"/>
          <w:b/>
          <w:i/>
          <w:color w:val="000000"/>
          <w:sz w:val="20"/>
          <w:szCs w:val="20"/>
        </w:rPr>
        <w:t>E</w:t>
      </w:r>
      <w:r>
        <w:rPr>
          <w:rFonts w:ascii="Century Gothic" w:eastAsia="Century Gothic" w:hAnsi="Century Gothic" w:cs="Century Gothic"/>
          <w:b/>
          <w:i/>
          <w:color w:val="000000"/>
          <w:sz w:val="20"/>
          <w:szCs w:val="20"/>
        </w:rPr>
        <w:t>nd User’s Current Decision-Making Process:</w:t>
      </w:r>
      <w:r>
        <w:rPr>
          <w:rFonts w:ascii="Century Gothic" w:eastAsia="Century Gothic" w:hAnsi="Century Gothic" w:cs="Century Gothic"/>
          <w:i/>
          <w:color w:val="000000"/>
          <w:sz w:val="20"/>
          <w:szCs w:val="20"/>
        </w:rPr>
        <w:t xml:space="preserve"> </w:t>
      </w:r>
      <w:r>
        <w:rPr>
          <w:rFonts w:ascii="Garamond" w:eastAsia="Garamond" w:hAnsi="Garamond" w:cs="Garamond"/>
        </w:rPr>
        <w:t xml:space="preserve">Groundwork USA is a non-profit network comprised of twenty local trusts who seek to promote environmental, social, and economic well-being in the communities it serves. Their projects aim to transform the landscape of marginalized and underserved communities and implement risk-mitigation techniques such as the construction of rain gardens, urban gardens, coastal restoration, and tree plantings while teaching </w:t>
      </w:r>
      <w:proofErr w:type="gramStart"/>
      <w:r>
        <w:rPr>
          <w:rFonts w:ascii="Garamond" w:eastAsia="Garamond" w:hAnsi="Garamond" w:cs="Garamond"/>
        </w:rPr>
        <w:t>participants</w:t>
      </w:r>
      <w:proofErr w:type="gramEnd"/>
      <w:r>
        <w:rPr>
          <w:rFonts w:ascii="Garamond" w:eastAsia="Garamond" w:hAnsi="Garamond" w:cs="Garamond"/>
        </w:rPr>
        <w:t xml:space="preserve"> leadership and teamwork skills. Groundwork Mobile is in its infancy and hoping to develop strategies for identifying potential project areas.</w:t>
      </w:r>
    </w:p>
    <w:p w:rsidR="00F47E29" w:rsidRDefault="00F47E29">
      <w:pPr>
        <w:spacing w:after="0" w:line="240" w:lineRule="auto"/>
        <w:rPr>
          <w:rFonts w:ascii="Garamond" w:eastAsia="Garamond" w:hAnsi="Garamond" w:cs="Garamond"/>
        </w:rPr>
      </w:pPr>
    </w:p>
    <w:p w:rsidR="00F47E29" w:rsidRDefault="008B582B">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i/>
          <w:color w:val="000000"/>
          <w:sz w:val="20"/>
          <w:szCs w:val="20"/>
        </w:rPr>
        <w:t>End User’s Capacity to Use NASA Earth Observations:</w:t>
      </w:r>
    </w:p>
    <w:p w:rsidR="00F47E29" w:rsidRDefault="008B582B">
      <w:pPr>
        <w:spacing w:after="0" w:line="240" w:lineRule="auto"/>
        <w:ind w:left="720" w:hanging="720"/>
        <w:rPr>
          <w:rFonts w:ascii="Times New Roman" w:eastAsia="Times New Roman" w:hAnsi="Times New Roman" w:cs="Times New Roman"/>
          <w:sz w:val="24"/>
          <w:szCs w:val="24"/>
        </w:rPr>
      </w:pPr>
      <w:r>
        <w:rPr>
          <w:rFonts w:ascii="Garamond" w:eastAsia="Garamond" w:hAnsi="Garamond" w:cs="Garamond"/>
          <w:i/>
          <w:color w:val="000000"/>
        </w:rPr>
        <w:t>Groundwork USA, Groundwork Mobile</w:t>
      </w:r>
      <w:r>
        <w:rPr>
          <w:rFonts w:ascii="Garamond" w:eastAsia="Garamond" w:hAnsi="Garamond" w:cs="Garamond"/>
          <w:color w:val="000000"/>
        </w:rPr>
        <w:t xml:space="preserve"> – The end user has </w:t>
      </w:r>
      <w:r>
        <w:rPr>
          <w:rFonts w:ascii="Garamond" w:eastAsia="Garamond" w:hAnsi="Garamond" w:cs="Garamond"/>
        </w:rPr>
        <w:t>no</w:t>
      </w:r>
      <w:r>
        <w:rPr>
          <w:rFonts w:ascii="Garamond" w:eastAsia="Garamond" w:hAnsi="Garamond" w:cs="Garamond"/>
          <w:color w:val="000000"/>
        </w:rPr>
        <w:t xml:space="preserve"> familiarity with NASA Earth observations and has not implemented remotely sensed data in its work before. This project will build Groundwork Mobile’s capacity in remote sensing applications and enhance its GIS skills. </w:t>
      </w:r>
      <w:r>
        <w:rPr>
          <w:rFonts w:ascii="Times New Roman" w:eastAsia="Times New Roman" w:hAnsi="Times New Roman" w:cs="Times New Roman"/>
          <w:sz w:val="24"/>
          <w:szCs w:val="24"/>
        </w:rPr>
        <w:br/>
      </w:r>
    </w:p>
    <w:p w:rsidR="00F47E29" w:rsidRDefault="008B582B">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i/>
          <w:color w:val="000000"/>
          <w:sz w:val="20"/>
          <w:szCs w:val="20"/>
          <w:u w:val="single"/>
        </w:rPr>
        <w:t>Boundary Organization Overview</w:t>
      </w:r>
    </w:p>
    <w:p w:rsidR="00F47E29" w:rsidRDefault="008B582B">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i/>
          <w:color w:val="000000"/>
          <w:sz w:val="20"/>
          <w:szCs w:val="20"/>
        </w:rPr>
        <w:t>Dissemination by Boundary Organizations</w:t>
      </w:r>
      <w:r>
        <w:rPr>
          <w:rFonts w:ascii="Century Gothic" w:eastAsia="Century Gothic" w:hAnsi="Century Gothic" w:cs="Century Gothic"/>
          <w:b/>
          <w:color w:val="000000"/>
          <w:sz w:val="20"/>
          <w:szCs w:val="20"/>
        </w:rPr>
        <w:t>:</w:t>
      </w:r>
      <w:r>
        <w:rPr>
          <w:rFonts w:ascii="Garamond" w:eastAsia="Garamond" w:hAnsi="Garamond" w:cs="Garamond"/>
          <w:b/>
          <w:i/>
          <w:color w:val="000000"/>
        </w:rPr>
        <w:t xml:space="preserve"> </w:t>
      </w:r>
    </w:p>
    <w:p w:rsidR="00F47E29" w:rsidRDefault="00386572" w:rsidP="00386572">
      <w:pPr>
        <w:spacing w:after="0" w:line="240" w:lineRule="auto"/>
        <w:ind w:left="720" w:hanging="720"/>
        <w:rPr>
          <w:rFonts w:ascii="Times New Roman" w:eastAsia="Times New Roman" w:hAnsi="Times New Roman" w:cs="Times New Roman"/>
          <w:sz w:val="24"/>
          <w:szCs w:val="24"/>
        </w:rPr>
      </w:pPr>
      <w:r>
        <w:rPr>
          <w:rFonts w:ascii="Garamond" w:eastAsia="Garamond" w:hAnsi="Garamond" w:cs="Garamond"/>
          <w:i/>
          <w:color w:val="000000"/>
        </w:rPr>
        <w:t>G</w:t>
      </w:r>
      <w:r>
        <w:rPr>
          <w:rFonts w:ascii="Garamond" w:eastAsia="Garamond" w:hAnsi="Garamond" w:cs="Garamond"/>
          <w:i/>
          <w:color w:val="000000"/>
        </w:rPr>
        <w:t>roundwork USA, Groundwork Mobile</w:t>
      </w:r>
      <w:r>
        <w:rPr>
          <w:rFonts w:ascii="Garamond" w:eastAsia="Garamond" w:hAnsi="Garamond" w:cs="Garamond"/>
          <w:color w:val="000000"/>
        </w:rPr>
        <w:t xml:space="preserve"> – Groundwork partners with local communities to reverse environmental, economic, and social decline. Additionally, Groundwork Mobile collaborates with business owners, non-profit organizations and government officials to coordinate beautification and </w:t>
      </w:r>
      <w:proofErr w:type="gramStart"/>
      <w:r>
        <w:rPr>
          <w:rFonts w:ascii="Garamond" w:eastAsia="Garamond" w:hAnsi="Garamond" w:cs="Garamond"/>
          <w:color w:val="000000"/>
        </w:rPr>
        <w:t>restoration</w:t>
      </w:r>
      <w:proofErr w:type="gramEnd"/>
      <w:r>
        <w:rPr>
          <w:rFonts w:ascii="Garamond" w:eastAsia="Garamond" w:hAnsi="Garamond" w:cs="Garamond"/>
          <w:color w:val="000000"/>
        </w:rPr>
        <w:t xml:space="preserve"> initiatives. The </w:t>
      </w:r>
      <w:proofErr w:type="gramStart"/>
      <w:r>
        <w:rPr>
          <w:rFonts w:ascii="Garamond" w:eastAsia="Garamond" w:hAnsi="Garamond" w:cs="Garamond"/>
          <w:color w:val="000000"/>
        </w:rPr>
        <w:t>end products</w:t>
      </w:r>
      <w:proofErr w:type="gramEnd"/>
      <w:r>
        <w:rPr>
          <w:rFonts w:ascii="Garamond" w:eastAsia="Garamond" w:hAnsi="Garamond" w:cs="Garamond"/>
          <w:color w:val="000000"/>
        </w:rPr>
        <w:t xml:space="preserve"> will be shared with these partnerships. Additionally, these products </w:t>
      </w:r>
      <w:proofErr w:type="gramStart"/>
      <w:r>
        <w:rPr>
          <w:rFonts w:ascii="Garamond" w:eastAsia="Garamond" w:hAnsi="Garamond" w:cs="Garamond"/>
          <w:color w:val="000000"/>
        </w:rPr>
        <w:t>can be used</w:t>
      </w:r>
      <w:proofErr w:type="gramEnd"/>
      <w:r>
        <w:rPr>
          <w:rFonts w:ascii="Garamond" w:eastAsia="Garamond" w:hAnsi="Garamond" w:cs="Garamond"/>
          <w:color w:val="000000"/>
        </w:rPr>
        <w:t xml:space="preserve"> to produce public education materials for the Mobile community.</w:t>
      </w:r>
    </w:p>
    <w:p w:rsidR="00F47E29" w:rsidRDefault="00F47E29">
      <w:pPr>
        <w:spacing w:after="0" w:line="240" w:lineRule="auto"/>
        <w:rPr>
          <w:rFonts w:ascii="Times New Roman" w:eastAsia="Times New Roman" w:hAnsi="Times New Roman" w:cs="Times New Roman"/>
          <w:sz w:val="24"/>
          <w:szCs w:val="24"/>
        </w:rPr>
      </w:pPr>
    </w:p>
    <w:p w:rsidR="00F47E29" w:rsidRDefault="008B582B">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i/>
          <w:color w:val="000000"/>
          <w:sz w:val="20"/>
          <w:szCs w:val="20"/>
          <w:u w:val="single"/>
        </w:rPr>
        <w:t>Project Communication &amp; Transition Overview</w:t>
      </w:r>
    </w:p>
    <w:p w:rsidR="00F47E29" w:rsidRDefault="00386572">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i/>
          <w:color w:val="000000"/>
          <w:sz w:val="20"/>
          <w:szCs w:val="20"/>
        </w:rPr>
        <w:t>I</w:t>
      </w:r>
      <w:r>
        <w:rPr>
          <w:rFonts w:ascii="Century Gothic" w:eastAsia="Century Gothic" w:hAnsi="Century Gothic" w:cs="Century Gothic"/>
          <w:b/>
          <w:i/>
          <w:color w:val="000000"/>
          <w:sz w:val="20"/>
          <w:szCs w:val="20"/>
        </w:rPr>
        <w:t>n-Term Communication Plan</w:t>
      </w:r>
      <w:r>
        <w:rPr>
          <w:rFonts w:ascii="Century Gothic" w:eastAsia="Century Gothic" w:hAnsi="Century Gothic" w:cs="Century Gothic"/>
          <w:b/>
          <w:color w:val="000000"/>
          <w:sz w:val="20"/>
          <w:szCs w:val="20"/>
        </w:rPr>
        <w:t xml:space="preserve">: </w:t>
      </w:r>
      <w:r>
        <w:rPr>
          <w:rFonts w:ascii="Garamond" w:eastAsia="Garamond" w:hAnsi="Garamond" w:cs="Garamond"/>
          <w:color w:val="000000"/>
          <w:highlight w:val="white"/>
        </w:rPr>
        <w:t>Communication between the DEVELOP team and the project partners will take place biweekly via teleconference or in-person meetings. These meetings will primarily involve project updates and high-level results</w:t>
      </w:r>
      <w:r>
        <w:rPr>
          <w:rFonts w:ascii="Garamond" w:eastAsia="Garamond" w:hAnsi="Garamond" w:cs="Garamond"/>
          <w:highlight w:val="white"/>
        </w:rPr>
        <w:t>.</w:t>
      </w:r>
      <w:r>
        <w:rPr>
          <w:rFonts w:ascii="Garamond" w:eastAsia="Garamond" w:hAnsi="Garamond" w:cs="Garamond"/>
          <w:color w:val="000000"/>
          <w:highlight w:val="white"/>
        </w:rPr>
        <w:t xml:space="preserve"> The Center Lead will coordinate an initial project meeting within the first two weeks of the term and will transition this responsibility to the Project Lead.</w:t>
      </w:r>
    </w:p>
    <w:p w:rsidR="00F47E29" w:rsidRDefault="00F47E29">
      <w:pPr>
        <w:spacing w:after="0" w:line="240" w:lineRule="auto"/>
        <w:rPr>
          <w:rFonts w:ascii="Times New Roman" w:eastAsia="Times New Roman" w:hAnsi="Times New Roman" w:cs="Times New Roman"/>
          <w:sz w:val="24"/>
          <w:szCs w:val="24"/>
        </w:rPr>
      </w:pPr>
    </w:p>
    <w:p w:rsidR="00386572" w:rsidRDefault="00386572">
      <w:pPr>
        <w:spacing w:after="0" w:line="240" w:lineRule="auto"/>
        <w:rPr>
          <w:rFonts w:ascii="Garamond" w:eastAsia="Garamond" w:hAnsi="Garamond" w:cs="Garamond"/>
          <w:color w:val="000000"/>
        </w:rPr>
      </w:pPr>
      <w:r>
        <w:rPr>
          <w:rFonts w:ascii="Century Gothic" w:eastAsia="Century Gothic" w:hAnsi="Century Gothic" w:cs="Century Gothic"/>
          <w:b/>
          <w:i/>
          <w:color w:val="000000"/>
          <w:sz w:val="20"/>
          <w:szCs w:val="20"/>
        </w:rPr>
        <w:t>T</w:t>
      </w:r>
      <w:r>
        <w:rPr>
          <w:rFonts w:ascii="Century Gothic" w:eastAsia="Century Gothic" w:hAnsi="Century Gothic" w:cs="Century Gothic"/>
          <w:b/>
          <w:i/>
          <w:color w:val="000000"/>
          <w:sz w:val="20"/>
          <w:szCs w:val="20"/>
        </w:rPr>
        <w:t>ransition Plan</w:t>
      </w:r>
      <w:r>
        <w:rPr>
          <w:rFonts w:ascii="Century Gothic" w:eastAsia="Century Gothic" w:hAnsi="Century Gothic" w:cs="Century Gothic"/>
          <w:b/>
          <w:color w:val="000000"/>
          <w:sz w:val="20"/>
          <w:szCs w:val="20"/>
        </w:rPr>
        <w:t xml:space="preserve">: </w:t>
      </w:r>
      <w:r>
        <w:rPr>
          <w:rFonts w:ascii="Garamond" w:eastAsia="Garamond" w:hAnsi="Garamond" w:cs="Garamond"/>
          <w:color w:val="000000"/>
        </w:rPr>
        <w:t xml:space="preserve">The project deliverables </w:t>
      </w:r>
      <w:proofErr w:type="gramStart"/>
      <w:r>
        <w:rPr>
          <w:rFonts w:ascii="Garamond" w:eastAsia="Garamond" w:hAnsi="Garamond" w:cs="Garamond"/>
          <w:color w:val="000000"/>
        </w:rPr>
        <w:t>will be provided</w:t>
      </w:r>
      <w:proofErr w:type="gramEnd"/>
      <w:r>
        <w:rPr>
          <w:rFonts w:ascii="Garamond" w:eastAsia="Garamond" w:hAnsi="Garamond" w:cs="Garamond"/>
          <w:color w:val="000000"/>
        </w:rPr>
        <w:t xml:space="preserve"> to the project partners via Google Drive at the end of the term. A hand-off presentation </w:t>
      </w:r>
      <w:proofErr w:type="gramStart"/>
      <w:r>
        <w:rPr>
          <w:rFonts w:ascii="Garamond" w:eastAsia="Garamond" w:hAnsi="Garamond" w:cs="Garamond"/>
          <w:color w:val="000000"/>
        </w:rPr>
        <w:t>will be conducted</w:t>
      </w:r>
      <w:proofErr w:type="gramEnd"/>
      <w:r>
        <w:rPr>
          <w:rFonts w:ascii="Garamond" w:eastAsia="Garamond" w:hAnsi="Garamond" w:cs="Garamond"/>
          <w:color w:val="000000"/>
        </w:rPr>
        <w:t xml:space="preserve"> via web conference, using either Google Hangouts or WebEx, with the option for local partners to attend the presentation in-person. During this meeting, the team will present the project results to the partners and field any questions they may have</w:t>
      </w:r>
      <w:r>
        <w:rPr>
          <w:rFonts w:ascii="Garamond" w:eastAsia="Garamond" w:hAnsi="Garamond" w:cs="Garamond"/>
          <w:color w:val="000000"/>
        </w:rPr>
        <w:t>.</w:t>
      </w:r>
    </w:p>
    <w:p w:rsidR="00F47E29" w:rsidRDefault="008B582B">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color w:val="000000"/>
          <w:sz w:val="20"/>
          <w:szCs w:val="20"/>
        </w:rPr>
        <w:t xml:space="preserve"> </w:t>
      </w:r>
    </w:p>
    <w:p w:rsidR="00F47E29" w:rsidRDefault="008B582B">
      <w:pPr>
        <w:pBdr>
          <w:bottom w:val="single" w:sz="4" w:space="1" w:color="000000"/>
        </w:pBd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color w:val="000000"/>
        </w:rPr>
        <w:t>Earth Observations Overview</w:t>
      </w:r>
    </w:p>
    <w:p w:rsidR="00F47E29" w:rsidRDefault="008B582B">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i/>
          <w:color w:val="000000"/>
          <w:sz w:val="20"/>
          <w:szCs w:val="20"/>
        </w:rPr>
        <w:t>Earth Observations:</w:t>
      </w:r>
    </w:p>
    <w:tbl>
      <w:tblPr>
        <w:tblStyle w:val="a0"/>
        <w:tblW w:w="9346" w:type="dxa"/>
        <w:tblLayout w:type="fixed"/>
        <w:tblLook w:val="0400" w:firstRow="0" w:lastRow="0" w:firstColumn="0" w:lastColumn="0" w:noHBand="0" w:noVBand="1"/>
      </w:tblPr>
      <w:tblGrid>
        <w:gridCol w:w="2347"/>
        <w:gridCol w:w="2405"/>
        <w:gridCol w:w="4594"/>
      </w:tblGrid>
      <w:tr w:rsidR="00F47E29" w:rsidTr="00386572">
        <w:tc>
          <w:tcPr>
            <w:tcW w:w="2347"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tcPr>
          <w:p w:rsidR="00F47E29" w:rsidRDefault="00386572" w:rsidP="00386572">
            <w:pPr>
              <w:spacing w:after="0"/>
              <w:rPr>
                <w:rFonts w:ascii="Times New Roman" w:eastAsia="Times New Roman" w:hAnsi="Times New Roman" w:cs="Times New Roman"/>
                <w:sz w:val="24"/>
                <w:szCs w:val="24"/>
              </w:rPr>
            </w:pPr>
            <w:r>
              <w:rPr>
                <w:rFonts w:ascii="Century Gothic" w:eastAsia="Century Gothic" w:hAnsi="Century Gothic" w:cs="Century Gothic"/>
                <w:b/>
                <w:color w:val="FFFFFF"/>
              </w:rPr>
              <w:t>P</w:t>
            </w:r>
            <w:r>
              <w:rPr>
                <w:rFonts w:ascii="Century Gothic" w:eastAsia="Century Gothic" w:hAnsi="Century Gothic" w:cs="Century Gothic"/>
                <w:b/>
                <w:color w:val="FFFFFF"/>
              </w:rPr>
              <w:t>latform &amp; Sensor</w:t>
            </w:r>
          </w:p>
        </w:tc>
        <w:tc>
          <w:tcPr>
            <w:tcW w:w="2405"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tcPr>
          <w:p w:rsidR="00F47E29" w:rsidRDefault="00386572" w:rsidP="00386572">
            <w:pPr>
              <w:spacing w:after="0"/>
              <w:rPr>
                <w:rFonts w:ascii="Times New Roman" w:eastAsia="Times New Roman" w:hAnsi="Times New Roman" w:cs="Times New Roman"/>
                <w:sz w:val="24"/>
                <w:szCs w:val="24"/>
              </w:rPr>
            </w:pPr>
            <w:r>
              <w:rPr>
                <w:rFonts w:ascii="Century Gothic" w:eastAsia="Century Gothic" w:hAnsi="Century Gothic" w:cs="Century Gothic"/>
                <w:b/>
                <w:color w:val="FFFFFF"/>
              </w:rPr>
              <w:t>P</w:t>
            </w:r>
            <w:r>
              <w:rPr>
                <w:rFonts w:ascii="Century Gothic" w:eastAsia="Century Gothic" w:hAnsi="Century Gothic" w:cs="Century Gothic"/>
                <w:b/>
                <w:color w:val="FFFFFF"/>
              </w:rPr>
              <w:t>arameter</w:t>
            </w:r>
          </w:p>
        </w:tc>
        <w:tc>
          <w:tcPr>
            <w:tcW w:w="4594"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tcPr>
          <w:p w:rsidR="00F47E29" w:rsidRDefault="00386572" w:rsidP="00386572">
            <w:pPr>
              <w:spacing w:after="0"/>
              <w:rPr>
                <w:rFonts w:ascii="Times New Roman" w:eastAsia="Times New Roman" w:hAnsi="Times New Roman" w:cs="Times New Roman"/>
                <w:sz w:val="24"/>
                <w:szCs w:val="24"/>
              </w:rPr>
            </w:pPr>
            <w:r>
              <w:rPr>
                <w:rFonts w:ascii="Century Gothic" w:eastAsia="Century Gothic" w:hAnsi="Century Gothic" w:cs="Century Gothic"/>
                <w:b/>
                <w:color w:val="FFFFFF"/>
              </w:rPr>
              <w:t>U</w:t>
            </w:r>
            <w:r>
              <w:rPr>
                <w:rFonts w:ascii="Century Gothic" w:eastAsia="Century Gothic" w:hAnsi="Century Gothic" w:cs="Century Gothic"/>
                <w:b/>
                <w:color w:val="FFFFFF"/>
              </w:rPr>
              <w:t>se</w:t>
            </w:r>
          </w:p>
        </w:tc>
      </w:tr>
      <w:tr w:rsidR="00F47E29" w:rsidTr="00386572">
        <w:tc>
          <w:tcPr>
            <w:tcW w:w="23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7E29" w:rsidRDefault="008B582B">
            <w:pPr>
              <w:spacing w:after="0"/>
              <w:rPr>
                <w:rFonts w:ascii="Times New Roman" w:eastAsia="Times New Roman" w:hAnsi="Times New Roman" w:cs="Times New Roman"/>
                <w:sz w:val="24"/>
                <w:szCs w:val="24"/>
              </w:rPr>
            </w:pPr>
            <w:r>
              <w:rPr>
                <w:rFonts w:ascii="Garamond" w:eastAsia="Garamond" w:hAnsi="Garamond" w:cs="Garamond"/>
                <w:b/>
                <w:color w:val="000000"/>
              </w:rPr>
              <w:t>Landsat 8 OLI</w:t>
            </w:r>
          </w:p>
        </w:tc>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7E29" w:rsidRPr="00386572" w:rsidRDefault="00386572">
            <w:pPr>
              <w:spacing w:after="0"/>
              <w:rPr>
                <w:rFonts w:ascii="Garamond" w:eastAsia="Times New Roman" w:hAnsi="Garamond" w:cs="Times New Roman"/>
              </w:rPr>
            </w:pPr>
            <w:r w:rsidRPr="00386572">
              <w:rPr>
                <w:rFonts w:ascii="Garamond" w:eastAsia="Times New Roman" w:hAnsi="Garamond" w:cs="Times New Roman"/>
              </w:rPr>
              <w:t>Land Cover</w:t>
            </w:r>
          </w:p>
        </w:tc>
        <w:tc>
          <w:tcPr>
            <w:tcW w:w="4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7E29" w:rsidRDefault="00386572" w:rsidP="00386572">
            <w:pPr>
              <w:spacing w:after="0" w:line="240" w:lineRule="auto"/>
              <w:rPr>
                <w:rFonts w:ascii="Times New Roman" w:eastAsia="Times New Roman" w:hAnsi="Times New Roman" w:cs="Times New Roman"/>
                <w:sz w:val="24"/>
                <w:szCs w:val="24"/>
              </w:rPr>
            </w:pPr>
            <w:r>
              <w:rPr>
                <w:rFonts w:ascii="Garamond" w:eastAsia="Garamond" w:hAnsi="Garamond" w:cs="Garamond"/>
                <w:color w:val="000000"/>
              </w:rPr>
              <w:t>L</w:t>
            </w:r>
            <w:r>
              <w:rPr>
                <w:rFonts w:ascii="Garamond" w:eastAsia="Garamond" w:hAnsi="Garamond" w:cs="Garamond"/>
                <w:color w:val="000000"/>
              </w:rPr>
              <w:t xml:space="preserve">andsat 8 OLI </w:t>
            </w:r>
            <w:proofErr w:type="gramStart"/>
            <w:r>
              <w:rPr>
                <w:rFonts w:ascii="Garamond" w:eastAsia="Garamond" w:hAnsi="Garamond" w:cs="Garamond"/>
                <w:color w:val="000000"/>
              </w:rPr>
              <w:t>will be used</w:t>
            </w:r>
            <w:proofErr w:type="gramEnd"/>
            <w:r>
              <w:rPr>
                <w:rFonts w:ascii="Garamond" w:eastAsia="Garamond" w:hAnsi="Garamond" w:cs="Garamond"/>
                <w:color w:val="000000"/>
              </w:rPr>
              <w:t xml:space="preserve"> to identify low urban tree coverage, calculate </w:t>
            </w:r>
            <w:r>
              <w:rPr>
                <w:rFonts w:ascii="Garamond" w:eastAsia="Garamond" w:hAnsi="Garamond" w:cs="Garamond"/>
              </w:rPr>
              <w:t>canopy changes over time and map municipal zones with higher exposure to surface runoff.</w:t>
            </w:r>
          </w:p>
        </w:tc>
      </w:tr>
      <w:tr w:rsidR="00F47E29" w:rsidTr="00386572">
        <w:tc>
          <w:tcPr>
            <w:tcW w:w="23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7E29" w:rsidRDefault="008B582B">
            <w:pPr>
              <w:spacing w:after="0"/>
              <w:rPr>
                <w:rFonts w:ascii="Times New Roman" w:eastAsia="Times New Roman" w:hAnsi="Times New Roman" w:cs="Times New Roman"/>
                <w:sz w:val="24"/>
                <w:szCs w:val="24"/>
              </w:rPr>
            </w:pPr>
            <w:r>
              <w:rPr>
                <w:rFonts w:ascii="Garamond" w:eastAsia="Garamond" w:hAnsi="Garamond" w:cs="Garamond"/>
                <w:b/>
                <w:color w:val="000000"/>
              </w:rPr>
              <w:t>Landsat 8 TIRS</w:t>
            </w:r>
          </w:p>
        </w:tc>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7E29" w:rsidRDefault="008B582B">
            <w:pPr>
              <w:spacing w:after="0"/>
              <w:rPr>
                <w:rFonts w:ascii="Times New Roman" w:eastAsia="Times New Roman" w:hAnsi="Times New Roman" w:cs="Times New Roman"/>
                <w:sz w:val="24"/>
                <w:szCs w:val="24"/>
              </w:rPr>
            </w:pPr>
            <w:r>
              <w:rPr>
                <w:rFonts w:ascii="Garamond" w:eastAsia="Garamond" w:hAnsi="Garamond" w:cs="Garamond"/>
              </w:rPr>
              <w:t>LST</w:t>
            </w:r>
          </w:p>
        </w:tc>
        <w:tc>
          <w:tcPr>
            <w:tcW w:w="4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7E29" w:rsidRDefault="00386572" w:rsidP="00386572">
            <w:pPr>
              <w:spacing w:after="0" w:line="240" w:lineRule="auto"/>
              <w:rPr>
                <w:rFonts w:ascii="Times New Roman" w:eastAsia="Times New Roman" w:hAnsi="Times New Roman" w:cs="Times New Roman"/>
                <w:sz w:val="24"/>
                <w:szCs w:val="24"/>
              </w:rPr>
            </w:pPr>
            <w:r>
              <w:rPr>
                <w:rFonts w:ascii="Garamond" w:eastAsia="Garamond" w:hAnsi="Garamond" w:cs="Garamond"/>
              </w:rPr>
              <w:t>T</w:t>
            </w:r>
            <w:r>
              <w:rPr>
                <w:rFonts w:ascii="Garamond" w:eastAsia="Garamond" w:hAnsi="Garamond" w:cs="Garamond"/>
              </w:rPr>
              <w:t>he Landsat LST product will evaluate annual and seasonal changes in surface temperature to identify urban heat islands in Mobile county.</w:t>
            </w:r>
          </w:p>
        </w:tc>
      </w:tr>
      <w:tr w:rsidR="00F47E29" w:rsidTr="00386572">
        <w:trPr>
          <w:trHeight w:val="960"/>
        </w:trPr>
        <w:tc>
          <w:tcPr>
            <w:tcW w:w="23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7E29" w:rsidRDefault="008B582B">
            <w:pPr>
              <w:spacing w:after="0"/>
              <w:rPr>
                <w:rFonts w:ascii="Times New Roman" w:eastAsia="Times New Roman" w:hAnsi="Times New Roman" w:cs="Times New Roman"/>
                <w:sz w:val="24"/>
                <w:szCs w:val="24"/>
              </w:rPr>
            </w:pPr>
            <w:r>
              <w:rPr>
                <w:rFonts w:ascii="Garamond" w:eastAsia="Garamond" w:hAnsi="Garamond" w:cs="Garamond"/>
                <w:b/>
                <w:color w:val="000000"/>
              </w:rPr>
              <w:t>Sentinel-2 MSI</w:t>
            </w:r>
          </w:p>
        </w:tc>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7E29" w:rsidRDefault="00386572">
            <w:pPr>
              <w:spacing w:after="0"/>
              <w:rPr>
                <w:rFonts w:ascii="Times New Roman" w:eastAsia="Times New Roman" w:hAnsi="Times New Roman" w:cs="Times New Roman"/>
                <w:sz w:val="24"/>
                <w:szCs w:val="24"/>
              </w:rPr>
            </w:pPr>
            <w:r>
              <w:rPr>
                <w:rFonts w:ascii="Garamond" w:eastAsia="Garamond" w:hAnsi="Garamond" w:cs="Garamond"/>
              </w:rPr>
              <w:t>Land Cover</w:t>
            </w:r>
          </w:p>
        </w:tc>
        <w:tc>
          <w:tcPr>
            <w:tcW w:w="4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7E29" w:rsidRDefault="008B582B" w:rsidP="00386572">
            <w:pPr>
              <w:spacing w:after="0" w:line="240" w:lineRule="auto"/>
              <w:rPr>
                <w:rFonts w:ascii="Times New Roman" w:eastAsia="Times New Roman" w:hAnsi="Times New Roman" w:cs="Times New Roman"/>
                <w:sz w:val="24"/>
                <w:szCs w:val="24"/>
              </w:rPr>
            </w:pPr>
            <w:r>
              <w:rPr>
                <w:rFonts w:ascii="Garamond" w:eastAsia="Garamond" w:hAnsi="Garamond" w:cs="Garamond"/>
              </w:rPr>
              <w:t xml:space="preserve">Sentinel-2 </w:t>
            </w:r>
            <w:proofErr w:type="gramStart"/>
            <w:r>
              <w:rPr>
                <w:rFonts w:ascii="Garamond" w:eastAsia="Garamond" w:hAnsi="Garamond" w:cs="Garamond"/>
              </w:rPr>
              <w:t>will be used</w:t>
            </w:r>
            <w:proofErr w:type="gramEnd"/>
            <w:r>
              <w:rPr>
                <w:rFonts w:ascii="Garamond" w:eastAsia="Garamond" w:hAnsi="Garamond" w:cs="Garamond"/>
              </w:rPr>
              <w:t xml:space="preserve"> to supplement Landsat products to identify low urban tree coverage, calculate canopy changes over time, and map municipal zones with hig</w:t>
            </w:r>
            <w:r w:rsidR="00386572">
              <w:rPr>
                <w:rFonts w:ascii="Garamond" w:eastAsia="Garamond" w:hAnsi="Garamond" w:cs="Garamond"/>
              </w:rPr>
              <w:t>her exposure to surface runoff.</w:t>
            </w:r>
          </w:p>
        </w:tc>
      </w:tr>
      <w:tr w:rsidR="00F47E29" w:rsidTr="00386572">
        <w:trPr>
          <w:trHeight w:val="960"/>
        </w:trPr>
        <w:tc>
          <w:tcPr>
            <w:tcW w:w="23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7E29" w:rsidRDefault="008B582B">
            <w:pPr>
              <w:spacing w:after="0"/>
              <w:rPr>
                <w:rFonts w:ascii="Garamond" w:eastAsia="Garamond" w:hAnsi="Garamond" w:cs="Garamond"/>
                <w:b/>
                <w:color w:val="000000"/>
              </w:rPr>
            </w:pPr>
            <w:r>
              <w:rPr>
                <w:rFonts w:ascii="Garamond" w:eastAsia="Garamond" w:hAnsi="Garamond" w:cs="Garamond"/>
                <w:b/>
              </w:rPr>
              <w:lastRenderedPageBreak/>
              <w:t>Sentinel-1 C-SAR</w:t>
            </w:r>
          </w:p>
        </w:tc>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7E29" w:rsidRDefault="008B582B">
            <w:pPr>
              <w:spacing w:after="0"/>
              <w:rPr>
                <w:rFonts w:ascii="Garamond" w:eastAsia="Garamond" w:hAnsi="Garamond" w:cs="Garamond"/>
              </w:rPr>
            </w:pPr>
            <w:r>
              <w:rPr>
                <w:rFonts w:ascii="Garamond" w:eastAsia="Garamond" w:hAnsi="Garamond" w:cs="Garamond"/>
              </w:rPr>
              <w:t>Normalized Difference Flood Index (NDFI)</w:t>
            </w:r>
          </w:p>
        </w:tc>
        <w:tc>
          <w:tcPr>
            <w:tcW w:w="4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7E29" w:rsidRDefault="008B582B">
            <w:pPr>
              <w:spacing w:after="0" w:line="240" w:lineRule="auto"/>
              <w:rPr>
                <w:rFonts w:ascii="Garamond" w:eastAsia="Garamond" w:hAnsi="Garamond" w:cs="Garamond"/>
              </w:rPr>
            </w:pPr>
            <w:r>
              <w:rPr>
                <w:rFonts w:ascii="Garamond" w:eastAsia="Garamond" w:hAnsi="Garamond" w:cs="Garamond"/>
              </w:rPr>
              <w:t xml:space="preserve">Sentinel-1 NDFI flood maps </w:t>
            </w:r>
            <w:proofErr w:type="gramStart"/>
            <w:r>
              <w:rPr>
                <w:rFonts w:ascii="Garamond" w:eastAsia="Garamond" w:hAnsi="Garamond" w:cs="Garamond"/>
              </w:rPr>
              <w:t>will be used</w:t>
            </w:r>
            <w:proofErr w:type="gramEnd"/>
            <w:r>
              <w:rPr>
                <w:rFonts w:ascii="Garamond" w:eastAsia="Garamond" w:hAnsi="Garamond" w:cs="Garamond"/>
              </w:rPr>
              <w:t xml:space="preserve"> to demonstrate flood extent and floor vulnerability in the flood risk assessment. </w:t>
            </w:r>
          </w:p>
        </w:tc>
      </w:tr>
      <w:tr w:rsidR="00F47E29" w:rsidTr="00386572">
        <w:trPr>
          <w:trHeight w:val="960"/>
        </w:trPr>
        <w:tc>
          <w:tcPr>
            <w:tcW w:w="23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7E29" w:rsidRDefault="008B582B">
            <w:pPr>
              <w:spacing w:after="0"/>
              <w:rPr>
                <w:rFonts w:ascii="Garamond" w:eastAsia="Garamond" w:hAnsi="Garamond" w:cs="Garamond"/>
                <w:b/>
              </w:rPr>
            </w:pPr>
            <w:r>
              <w:rPr>
                <w:rFonts w:ascii="Garamond" w:eastAsia="Garamond" w:hAnsi="Garamond" w:cs="Garamond"/>
                <w:b/>
              </w:rPr>
              <w:t>Terra MODIS</w:t>
            </w:r>
          </w:p>
        </w:tc>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7E29" w:rsidRDefault="008B582B">
            <w:pPr>
              <w:spacing w:after="0"/>
              <w:rPr>
                <w:rFonts w:ascii="Garamond" w:eastAsia="Garamond" w:hAnsi="Garamond" w:cs="Garamond"/>
              </w:rPr>
            </w:pPr>
            <w:r>
              <w:rPr>
                <w:rFonts w:ascii="Garamond" w:eastAsia="Garamond" w:hAnsi="Garamond" w:cs="Garamond"/>
              </w:rPr>
              <w:t>Land Surface Temperature &amp; Emissivity (LST&amp;E)</w:t>
            </w:r>
          </w:p>
        </w:tc>
        <w:tc>
          <w:tcPr>
            <w:tcW w:w="4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7E29" w:rsidRDefault="008B582B">
            <w:pPr>
              <w:spacing w:after="0" w:line="240" w:lineRule="auto"/>
              <w:rPr>
                <w:rFonts w:ascii="Garamond" w:eastAsia="Garamond" w:hAnsi="Garamond" w:cs="Garamond"/>
              </w:rPr>
            </w:pPr>
            <w:r>
              <w:rPr>
                <w:rFonts w:ascii="Garamond" w:eastAsia="Garamond" w:hAnsi="Garamond" w:cs="Garamond"/>
              </w:rPr>
              <w:t xml:space="preserve">LST products </w:t>
            </w:r>
            <w:proofErr w:type="gramStart"/>
            <w:r>
              <w:rPr>
                <w:rFonts w:ascii="Garamond" w:eastAsia="Garamond" w:hAnsi="Garamond" w:cs="Garamond"/>
              </w:rPr>
              <w:t xml:space="preserve">will </w:t>
            </w:r>
            <w:r w:rsidR="00386572">
              <w:rPr>
                <w:rFonts w:ascii="Garamond" w:eastAsia="Garamond" w:hAnsi="Garamond" w:cs="Garamond"/>
              </w:rPr>
              <w:t xml:space="preserve">be </w:t>
            </w:r>
            <w:r>
              <w:rPr>
                <w:rFonts w:ascii="Garamond" w:eastAsia="Garamond" w:hAnsi="Garamond" w:cs="Garamond"/>
              </w:rPr>
              <w:t>compiled</w:t>
            </w:r>
            <w:proofErr w:type="gramEnd"/>
            <w:r>
              <w:rPr>
                <w:rFonts w:ascii="Garamond" w:eastAsia="Garamond" w:hAnsi="Garamond" w:cs="Garamond"/>
              </w:rPr>
              <w:t xml:space="preserve"> to assess urban heat island effects on underserved communities vulnerable to flood.</w:t>
            </w:r>
          </w:p>
        </w:tc>
      </w:tr>
    </w:tbl>
    <w:p w:rsidR="00F47E29" w:rsidRDefault="00F47E29">
      <w:pPr>
        <w:spacing w:after="240" w:line="240" w:lineRule="auto"/>
        <w:rPr>
          <w:rFonts w:ascii="Times New Roman" w:eastAsia="Times New Roman" w:hAnsi="Times New Roman" w:cs="Times New Roman"/>
          <w:sz w:val="24"/>
          <w:szCs w:val="24"/>
        </w:rPr>
      </w:pPr>
    </w:p>
    <w:p w:rsidR="00F47E29" w:rsidRDefault="008B582B">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i/>
          <w:color w:val="000000"/>
          <w:sz w:val="20"/>
          <w:szCs w:val="20"/>
        </w:rPr>
        <w:t>Ancillary Datasets:</w:t>
      </w:r>
    </w:p>
    <w:p w:rsidR="00F47E29" w:rsidRDefault="008B582B">
      <w:pPr>
        <w:spacing w:after="0" w:line="240" w:lineRule="auto"/>
        <w:ind w:left="720" w:hanging="720"/>
        <w:rPr>
          <w:rFonts w:ascii="Garamond" w:eastAsia="Garamond" w:hAnsi="Garamond" w:cs="Garamond"/>
        </w:rPr>
      </w:pPr>
      <w:r>
        <w:rPr>
          <w:rFonts w:ascii="Garamond" w:eastAsia="Garamond" w:hAnsi="Garamond" w:cs="Garamond"/>
        </w:rPr>
        <w:t>Dartmouth Flood Observatory Surface Floodwater Records</w:t>
      </w:r>
      <w:r w:rsidR="00386572">
        <w:rPr>
          <w:rFonts w:ascii="Garamond" w:eastAsia="Garamond" w:hAnsi="Garamond" w:cs="Garamond"/>
        </w:rPr>
        <w:t xml:space="preserve"> </w:t>
      </w:r>
      <w:r>
        <w:rPr>
          <w:rFonts w:ascii="Garamond" w:eastAsia="Garamond" w:hAnsi="Garamond" w:cs="Garamond"/>
        </w:rPr>
        <w:t xml:space="preserve">– The surface water records will be incorporated in the analysis to assess the accuracy of the flood extent products. </w:t>
      </w:r>
    </w:p>
    <w:p w:rsidR="00F47E29" w:rsidRDefault="008B582B">
      <w:pPr>
        <w:spacing w:after="0" w:line="240" w:lineRule="auto"/>
        <w:ind w:left="720" w:hanging="720"/>
        <w:rPr>
          <w:rFonts w:ascii="Garamond" w:eastAsia="Garamond" w:hAnsi="Garamond" w:cs="Garamond"/>
        </w:rPr>
      </w:pPr>
      <w:r>
        <w:rPr>
          <w:rFonts w:ascii="Garamond" w:eastAsia="Garamond" w:hAnsi="Garamond" w:cs="Garamond"/>
        </w:rPr>
        <w:t xml:space="preserve">FEMA Flood Map Service Center – FEMA flood map products </w:t>
      </w:r>
      <w:proofErr w:type="gramStart"/>
      <w:r>
        <w:rPr>
          <w:rFonts w:ascii="Garamond" w:eastAsia="Garamond" w:hAnsi="Garamond" w:cs="Garamond"/>
        </w:rPr>
        <w:t>will be used</w:t>
      </w:r>
      <w:proofErr w:type="gramEnd"/>
      <w:r>
        <w:rPr>
          <w:rFonts w:ascii="Garamond" w:eastAsia="Garamond" w:hAnsi="Garamond" w:cs="Garamond"/>
        </w:rPr>
        <w:t xml:space="preserve"> to compare the historical flood extent analysis to generate an accuracy assessment. </w:t>
      </w:r>
    </w:p>
    <w:p w:rsidR="00F47E29" w:rsidRDefault="008B582B">
      <w:pPr>
        <w:spacing w:after="0" w:line="240" w:lineRule="auto"/>
        <w:ind w:left="720" w:hanging="720"/>
        <w:rPr>
          <w:rFonts w:ascii="Garamond" w:eastAsia="Garamond" w:hAnsi="Garamond" w:cs="Garamond"/>
        </w:rPr>
      </w:pPr>
      <w:r>
        <w:rPr>
          <w:rFonts w:ascii="Garamond" w:eastAsia="Garamond" w:hAnsi="Garamond" w:cs="Garamond"/>
        </w:rPr>
        <w:t xml:space="preserve">NOAA NCEI Local Climatological Data (LCD) – Local weather and climatological data </w:t>
      </w:r>
      <w:proofErr w:type="gramStart"/>
      <w:r>
        <w:rPr>
          <w:rFonts w:ascii="Garamond" w:eastAsia="Garamond" w:hAnsi="Garamond" w:cs="Garamond"/>
        </w:rPr>
        <w:t>will be used</w:t>
      </w:r>
      <w:proofErr w:type="gramEnd"/>
      <w:r>
        <w:rPr>
          <w:rFonts w:ascii="Garamond" w:eastAsia="Garamond" w:hAnsi="Garamond" w:cs="Garamond"/>
        </w:rPr>
        <w:t xml:space="preserve"> to better define flood risk assessments</w:t>
      </w:r>
    </w:p>
    <w:p w:rsidR="00F47E29" w:rsidRDefault="008B582B">
      <w:pPr>
        <w:spacing w:after="0" w:line="240" w:lineRule="auto"/>
        <w:ind w:left="720" w:hanging="720"/>
        <w:rPr>
          <w:rFonts w:ascii="Garamond" w:eastAsia="Garamond" w:hAnsi="Garamond" w:cs="Garamond"/>
        </w:rPr>
      </w:pPr>
      <w:r>
        <w:rPr>
          <w:rFonts w:ascii="Garamond" w:eastAsia="Garamond" w:hAnsi="Garamond" w:cs="Garamond"/>
        </w:rPr>
        <w:t xml:space="preserve">SEDAC Gridded Population of the World (GPW) – Socioeconomic data </w:t>
      </w:r>
      <w:proofErr w:type="gramStart"/>
      <w:r>
        <w:rPr>
          <w:rFonts w:ascii="Garamond" w:eastAsia="Garamond" w:hAnsi="Garamond" w:cs="Garamond"/>
        </w:rPr>
        <w:t>will be incorporated</w:t>
      </w:r>
      <w:proofErr w:type="gramEnd"/>
      <w:r>
        <w:rPr>
          <w:rFonts w:ascii="Garamond" w:eastAsia="Garamond" w:hAnsi="Garamond" w:cs="Garamond"/>
        </w:rPr>
        <w:t xml:space="preserve"> in the analysis to observe the vulnerability of the underserved communities to flooding incidents.</w:t>
      </w:r>
    </w:p>
    <w:p w:rsidR="00F47E29" w:rsidRDefault="008B582B">
      <w:pPr>
        <w:spacing w:after="0" w:line="240" w:lineRule="auto"/>
        <w:ind w:left="720" w:hanging="720"/>
        <w:rPr>
          <w:rFonts w:ascii="Garamond" w:eastAsia="Garamond" w:hAnsi="Garamond" w:cs="Garamond"/>
        </w:rPr>
      </w:pPr>
      <w:r>
        <w:rPr>
          <w:rFonts w:ascii="Garamond" w:eastAsia="Garamond" w:hAnsi="Garamond" w:cs="Garamond"/>
        </w:rPr>
        <w:t xml:space="preserve">US Census Bureau Population Dataset – Census data </w:t>
      </w:r>
      <w:proofErr w:type="gramStart"/>
      <w:r>
        <w:rPr>
          <w:rFonts w:ascii="Garamond" w:eastAsia="Garamond" w:hAnsi="Garamond" w:cs="Garamond"/>
        </w:rPr>
        <w:t>will be employed</w:t>
      </w:r>
      <w:proofErr w:type="gramEnd"/>
      <w:r>
        <w:rPr>
          <w:rFonts w:ascii="Garamond" w:eastAsia="Garamond" w:hAnsi="Garamond" w:cs="Garamond"/>
        </w:rPr>
        <w:t xml:space="preserve"> to observe the demographic characteristics in the city of Mobile.</w:t>
      </w:r>
    </w:p>
    <w:p w:rsidR="00F47E29" w:rsidRDefault="008B582B">
      <w:pPr>
        <w:spacing w:after="0" w:line="240" w:lineRule="auto"/>
        <w:ind w:left="720" w:hanging="720"/>
        <w:rPr>
          <w:rFonts w:ascii="Times New Roman" w:eastAsia="Times New Roman" w:hAnsi="Times New Roman" w:cs="Times New Roman"/>
          <w:sz w:val="24"/>
          <w:szCs w:val="24"/>
        </w:rPr>
      </w:pPr>
      <w:r>
        <w:rPr>
          <w:rFonts w:ascii="Garamond" w:eastAsia="Garamond" w:hAnsi="Garamond" w:cs="Garamond"/>
          <w:color w:val="000000"/>
        </w:rPr>
        <w:t xml:space="preserve">US Census </w:t>
      </w:r>
      <w:r w:rsidR="00386572">
        <w:rPr>
          <w:rFonts w:ascii="Garamond" w:eastAsia="Garamond" w:hAnsi="Garamond" w:cs="Garamond"/>
          <w:color w:val="000000"/>
        </w:rPr>
        <w:t xml:space="preserve">Bureau TIGER/Line </w:t>
      </w:r>
      <w:proofErr w:type="spellStart"/>
      <w:r w:rsidR="00386572">
        <w:rPr>
          <w:rFonts w:ascii="Garamond" w:eastAsia="Garamond" w:hAnsi="Garamond" w:cs="Garamond"/>
          <w:color w:val="000000"/>
        </w:rPr>
        <w:t>Shapefiles</w:t>
      </w:r>
      <w:proofErr w:type="spellEnd"/>
      <w:r w:rsidR="00386572">
        <w:rPr>
          <w:rFonts w:ascii="Garamond" w:eastAsia="Garamond" w:hAnsi="Garamond" w:cs="Garamond"/>
          <w:color w:val="000000"/>
        </w:rPr>
        <w:t xml:space="preserve"> – </w:t>
      </w:r>
      <w:proofErr w:type="spellStart"/>
      <w:r w:rsidR="00386572">
        <w:rPr>
          <w:rFonts w:ascii="Garamond" w:eastAsia="Garamond" w:hAnsi="Garamond" w:cs="Garamond"/>
          <w:color w:val="000000"/>
        </w:rPr>
        <w:t>S</w:t>
      </w:r>
      <w:r>
        <w:rPr>
          <w:rFonts w:ascii="Garamond" w:eastAsia="Garamond" w:hAnsi="Garamond" w:cs="Garamond"/>
          <w:color w:val="000000"/>
        </w:rPr>
        <w:t>hapefiles</w:t>
      </w:r>
      <w:proofErr w:type="spellEnd"/>
      <w:r>
        <w:rPr>
          <w:rFonts w:ascii="Garamond" w:eastAsia="Garamond" w:hAnsi="Garamond" w:cs="Garamond"/>
          <w:color w:val="000000"/>
        </w:rPr>
        <w:t xml:space="preserve"> of </w:t>
      </w:r>
      <w:r>
        <w:rPr>
          <w:rFonts w:ascii="Garamond" w:eastAsia="Garamond" w:hAnsi="Garamond" w:cs="Garamond"/>
        </w:rPr>
        <w:t xml:space="preserve">downtown Mobile </w:t>
      </w:r>
      <w:r>
        <w:rPr>
          <w:rFonts w:ascii="Garamond" w:eastAsia="Garamond" w:hAnsi="Garamond" w:cs="Garamond"/>
          <w:color w:val="000000"/>
        </w:rPr>
        <w:t xml:space="preserve">derived from census population data and </w:t>
      </w:r>
      <w:r>
        <w:rPr>
          <w:rFonts w:ascii="Garamond" w:eastAsia="Garamond" w:hAnsi="Garamond" w:cs="Garamond"/>
        </w:rPr>
        <w:t xml:space="preserve">Mobile county </w:t>
      </w:r>
      <w:proofErr w:type="spellStart"/>
      <w:r>
        <w:rPr>
          <w:rFonts w:ascii="Garamond" w:eastAsia="Garamond" w:hAnsi="Garamond" w:cs="Garamond"/>
        </w:rPr>
        <w:t>shapefile</w:t>
      </w:r>
      <w:proofErr w:type="spellEnd"/>
    </w:p>
    <w:p w:rsidR="00F47E29" w:rsidRDefault="008B582B">
      <w:pPr>
        <w:spacing w:after="0" w:line="240" w:lineRule="auto"/>
        <w:ind w:left="720" w:hanging="720"/>
        <w:rPr>
          <w:rFonts w:ascii="Times New Roman" w:eastAsia="Times New Roman" w:hAnsi="Times New Roman" w:cs="Times New Roman"/>
          <w:sz w:val="24"/>
          <w:szCs w:val="24"/>
        </w:rPr>
      </w:pPr>
      <w:r>
        <w:rPr>
          <w:rFonts w:ascii="Garamond" w:eastAsia="Garamond" w:hAnsi="Garamond" w:cs="Garamond"/>
          <w:color w:val="000000"/>
        </w:rPr>
        <w:t>USDA National Agricul</w:t>
      </w:r>
      <w:r w:rsidR="00386572">
        <w:rPr>
          <w:rFonts w:ascii="Garamond" w:eastAsia="Garamond" w:hAnsi="Garamond" w:cs="Garamond"/>
          <w:color w:val="000000"/>
        </w:rPr>
        <w:t>tural Imagery Program (NAIP) – H</w:t>
      </w:r>
      <w:r>
        <w:rPr>
          <w:rFonts w:ascii="Garamond" w:eastAsia="Garamond" w:hAnsi="Garamond" w:cs="Garamond"/>
          <w:color w:val="000000"/>
        </w:rPr>
        <w:t>igh-resolution (</w:t>
      </w:r>
      <w:proofErr w:type="gramStart"/>
      <w:r>
        <w:rPr>
          <w:rFonts w:ascii="Garamond" w:eastAsia="Garamond" w:hAnsi="Garamond" w:cs="Garamond"/>
          <w:color w:val="000000"/>
        </w:rPr>
        <w:t>1 meter</w:t>
      </w:r>
      <w:proofErr w:type="gramEnd"/>
      <w:r>
        <w:rPr>
          <w:rFonts w:ascii="Garamond" w:eastAsia="Garamond" w:hAnsi="Garamond" w:cs="Garamond"/>
          <w:color w:val="000000"/>
        </w:rPr>
        <w:t>) land cover and tree canopy assessments to be used for detecting smaller stands and individual trees</w:t>
      </w:r>
    </w:p>
    <w:p w:rsidR="00F47E29" w:rsidRDefault="008B582B">
      <w:pPr>
        <w:spacing w:after="0" w:line="240" w:lineRule="auto"/>
        <w:ind w:left="720" w:hanging="720"/>
        <w:rPr>
          <w:rFonts w:ascii="Garamond" w:eastAsia="Garamond" w:hAnsi="Garamond" w:cs="Garamond"/>
          <w:color w:val="000000"/>
        </w:rPr>
      </w:pPr>
      <w:r>
        <w:rPr>
          <w:rFonts w:ascii="Garamond" w:eastAsia="Garamond" w:hAnsi="Garamond" w:cs="Garamond"/>
          <w:color w:val="000000"/>
        </w:rPr>
        <w:t xml:space="preserve">USGS National Land Cover Database (NLCD) – 2016 NLCD </w:t>
      </w:r>
      <w:proofErr w:type="gramStart"/>
      <w:r>
        <w:rPr>
          <w:rFonts w:ascii="Garamond" w:eastAsia="Garamond" w:hAnsi="Garamond" w:cs="Garamond"/>
        </w:rPr>
        <w:t>layers,</w:t>
      </w:r>
      <w:proofErr w:type="gramEnd"/>
      <w:r>
        <w:rPr>
          <w:rFonts w:ascii="Garamond" w:eastAsia="Garamond" w:hAnsi="Garamond" w:cs="Garamond"/>
        </w:rPr>
        <w:t xml:space="preserve"> will serve as comparisons for the team-created land cover products</w:t>
      </w:r>
      <w:r>
        <w:rPr>
          <w:rFonts w:ascii="Garamond" w:eastAsia="Garamond" w:hAnsi="Garamond" w:cs="Garamond"/>
          <w:color w:val="000000"/>
        </w:rPr>
        <w:t xml:space="preserve"> </w:t>
      </w:r>
    </w:p>
    <w:p w:rsidR="00F47E29" w:rsidRDefault="00F47E29">
      <w:pPr>
        <w:spacing w:after="0" w:line="240" w:lineRule="auto"/>
        <w:rPr>
          <w:rFonts w:ascii="Times New Roman" w:eastAsia="Times New Roman" w:hAnsi="Times New Roman" w:cs="Times New Roman"/>
          <w:sz w:val="24"/>
          <w:szCs w:val="24"/>
        </w:rPr>
      </w:pPr>
    </w:p>
    <w:p w:rsidR="00F47E29" w:rsidRDefault="008B582B">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i/>
          <w:color w:val="000000"/>
          <w:sz w:val="20"/>
          <w:szCs w:val="20"/>
        </w:rPr>
        <w:t>Software &amp; Scripting:</w:t>
      </w:r>
    </w:p>
    <w:p w:rsidR="00F47E29" w:rsidRDefault="008B582B">
      <w:pPr>
        <w:spacing w:after="0" w:line="240" w:lineRule="auto"/>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ArcGIS Pro – Raster manipulation, map product generation, and image classification development</w:t>
      </w:r>
    </w:p>
    <w:p w:rsidR="00F47E29" w:rsidRDefault="008B582B">
      <w:pPr>
        <w:spacing w:after="0" w:line="240" w:lineRule="auto"/>
        <w:rPr>
          <w:rFonts w:ascii="Garamond" w:eastAsia="Garamond" w:hAnsi="Garamond" w:cs="Garamond"/>
        </w:rPr>
      </w:pPr>
      <w:r>
        <w:rPr>
          <w:rFonts w:ascii="Garamond" w:eastAsia="Garamond" w:hAnsi="Garamond" w:cs="Garamond"/>
        </w:rPr>
        <w:t>QGIS SCP plugin – Raster manipulation, land cover maps compilation, and geo-spatial data visualization</w:t>
      </w:r>
    </w:p>
    <w:p w:rsidR="00F47E29" w:rsidRDefault="008B582B">
      <w:pPr>
        <w:spacing w:after="0" w:line="240" w:lineRule="auto"/>
        <w:rPr>
          <w:rFonts w:ascii="Garamond" w:eastAsia="Garamond" w:hAnsi="Garamond" w:cs="Garamond"/>
        </w:rPr>
      </w:pPr>
      <w:r>
        <w:rPr>
          <w:rFonts w:ascii="Garamond" w:eastAsia="Garamond" w:hAnsi="Garamond" w:cs="Garamond"/>
        </w:rPr>
        <w:t xml:space="preserve">ERDAS Imagine – Image classification, </w:t>
      </w:r>
      <w:proofErr w:type="gramStart"/>
      <w:r>
        <w:rPr>
          <w:rFonts w:ascii="Garamond" w:eastAsia="Garamond" w:hAnsi="Garamond" w:cs="Garamond"/>
        </w:rPr>
        <w:t>raster data product generation</w:t>
      </w:r>
      <w:proofErr w:type="gramEnd"/>
      <w:r>
        <w:rPr>
          <w:rFonts w:ascii="Garamond" w:eastAsia="Garamond" w:hAnsi="Garamond" w:cs="Garamond"/>
        </w:rPr>
        <w:t xml:space="preserve"> and geo-spatial data analysis</w:t>
      </w:r>
    </w:p>
    <w:p w:rsidR="00F47E29" w:rsidRDefault="00F47E29">
      <w:pPr>
        <w:spacing w:after="0" w:line="240" w:lineRule="auto"/>
        <w:rPr>
          <w:rFonts w:ascii="Garamond" w:eastAsia="Garamond" w:hAnsi="Garamond" w:cs="Garamond"/>
        </w:rPr>
      </w:pPr>
    </w:p>
    <w:p w:rsidR="00F47E29" w:rsidRDefault="00F47E29">
      <w:pPr>
        <w:spacing w:after="0" w:line="240" w:lineRule="auto"/>
        <w:rPr>
          <w:rFonts w:ascii="Times New Roman" w:eastAsia="Times New Roman" w:hAnsi="Times New Roman" w:cs="Times New Roman"/>
          <w:sz w:val="24"/>
          <w:szCs w:val="24"/>
        </w:rPr>
      </w:pPr>
    </w:p>
    <w:p w:rsidR="00F47E29" w:rsidRDefault="008B582B">
      <w:pPr>
        <w:pBdr>
          <w:bottom w:val="single" w:sz="4" w:space="1" w:color="000000"/>
        </w:pBd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color w:val="000000"/>
        </w:rPr>
        <w:t>Decision Support Tool &amp; End Product Overview</w:t>
      </w:r>
    </w:p>
    <w:p w:rsidR="00F47E29" w:rsidRDefault="008B582B">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i/>
          <w:color w:val="000000"/>
          <w:sz w:val="20"/>
          <w:szCs w:val="20"/>
        </w:rPr>
        <w:t>End Products:</w:t>
      </w:r>
    </w:p>
    <w:tbl>
      <w:tblPr>
        <w:tblStyle w:val="a1"/>
        <w:tblW w:w="9350" w:type="dxa"/>
        <w:tblLayout w:type="fixed"/>
        <w:tblLook w:val="0400" w:firstRow="0" w:lastRow="0" w:firstColumn="0" w:lastColumn="0" w:noHBand="0" w:noVBand="1"/>
      </w:tblPr>
      <w:tblGrid>
        <w:gridCol w:w="2254"/>
        <w:gridCol w:w="3244"/>
        <w:gridCol w:w="2706"/>
        <w:gridCol w:w="1146"/>
      </w:tblGrid>
      <w:tr w:rsidR="00F47E29">
        <w:tc>
          <w:tcPr>
            <w:tcW w:w="2254"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tcPr>
          <w:p w:rsidR="00F47E29" w:rsidRDefault="008B582B">
            <w:pPr>
              <w:spacing w:after="0"/>
              <w:jc w:val="center"/>
              <w:rPr>
                <w:rFonts w:ascii="Times New Roman" w:eastAsia="Times New Roman" w:hAnsi="Times New Roman" w:cs="Times New Roman"/>
                <w:sz w:val="24"/>
                <w:szCs w:val="24"/>
              </w:rPr>
            </w:pPr>
            <w:r>
              <w:rPr>
                <w:rFonts w:ascii="Century Gothic" w:eastAsia="Century Gothic" w:hAnsi="Century Gothic" w:cs="Century Gothic"/>
                <w:b/>
                <w:color w:val="FFFFFF"/>
              </w:rPr>
              <w:t>End Product</w:t>
            </w:r>
          </w:p>
        </w:tc>
        <w:tc>
          <w:tcPr>
            <w:tcW w:w="3244"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tcPr>
          <w:p w:rsidR="00F47E29" w:rsidRDefault="008B582B">
            <w:pPr>
              <w:spacing w:after="0"/>
              <w:jc w:val="center"/>
              <w:rPr>
                <w:rFonts w:ascii="Times New Roman" w:eastAsia="Times New Roman" w:hAnsi="Times New Roman" w:cs="Times New Roman"/>
                <w:sz w:val="24"/>
                <w:szCs w:val="24"/>
              </w:rPr>
            </w:pPr>
            <w:r>
              <w:rPr>
                <w:rFonts w:ascii="Century Gothic" w:eastAsia="Century Gothic" w:hAnsi="Century Gothic" w:cs="Century Gothic"/>
                <w:b/>
                <w:color w:val="FFFFFF"/>
              </w:rPr>
              <w:t>Partner Use</w:t>
            </w:r>
          </w:p>
        </w:tc>
        <w:tc>
          <w:tcPr>
            <w:tcW w:w="2706"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tcPr>
          <w:p w:rsidR="00F47E29" w:rsidRDefault="008B582B">
            <w:pPr>
              <w:spacing w:after="0"/>
              <w:jc w:val="center"/>
              <w:rPr>
                <w:rFonts w:ascii="Times New Roman" w:eastAsia="Times New Roman" w:hAnsi="Times New Roman" w:cs="Times New Roman"/>
                <w:sz w:val="24"/>
                <w:szCs w:val="24"/>
              </w:rPr>
            </w:pPr>
            <w:r>
              <w:rPr>
                <w:rFonts w:ascii="Century Gothic" w:eastAsia="Century Gothic" w:hAnsi="Century Gothic" w:cs="Century Gothic"/>
                <w:b/>
                <w:color w:val="FFFFFF"/>
              </w:rPr>
              <w:t>Datasets &amp; Analyses</w:t>
            </w:r>
          </w:p>
        </w:tc>
        <w:tc>
          <w:tcPr>
            <w:tcW w:w="1146"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tcPr>
          <w:p w:rsidR="00F47E29" w:rsidRDefault="008B582B">
            <w:pPr>
              <w:spacing w:after="0"/>
              <w:jc w:val="center"/>
              <w:rPr>
                <w:rFonts w:ascii="Times New Roman" w:eastAsia="Times New Roman" w:hAnsi="Times New Roman" w:cs="Times New Roman"/>
                <w:sz w:val="24"/>
                <w:szCs w:val="24"/>
              </w:rPr>
            </w:pPr>
            <w:r>
              <w:rPr>
                <w:rFonts w:ascii="Century Gothic" w:eastAsia="Century Gothic" w:hAnsi="Century Gothic" w:cs="Century Gothic"/>
                <w:b/>
                <w:color w:val="FFFFFF"/>
                <w:sz w:val="18"/>
                <w:szCs w:val="18"/>
              </w:rPr>
              <w:t>Software Release Category</w:t>
            </w:r>
          </w:p>
        </w:tc>
      </w:tr>
      <w:tr w:rsidR="00F47E29">
        <w:tc>
          <w:tcPr>
            <w:tcW w:w="22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7E29" w:rsidRDefault="008B582B">
            <w:pPr>
              <w:spacing w:after="0"/>
              <w:rPr>
                <w:rFonts w:ascii="Garamond" w:eastAsia="Garamond" w:hAnsi="Garamond" w:cs="Garamond"/>
                <w:b/>
              </w:rPr>
            </w:pPr>
            <w:r>
              <w:rPr>
                <w:rFonts w:ascii="Garamond" w:eastAsia="Garamond" w:hAnsi="Garamond" w:cs="Garamond"/>
                <w:b/>
              </w:rPr>
              <w:t>Urban Heat Maps</w:t>
            </w:r>
          </w:p>
        </w:tc>
        <w:tc>
          <w:tcPr>
            <w:tcW w:w="32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7E29" w:rsidRDefault="008B582B">
            <w:pPr>
              <w:spacing w:after="0" w:line="240" w:lineRule="auto"/>
              <w:rPr>
                <w:rFonts w:ascii="Garamond" w:eastAsia="Garamond" w:hAnsi="Garamond" w:cs="Garamond"/>
              </w:rPr>
            </w:pPr>
            <w:r>
              <w:rPr>
                <w:rFonts w:ascii="Garamond" w:eastAsia="Garamond" w:hAnsi="Garamond" w:cs="Garamond"/>
              </w:rPr>
              <w:t xml:space="preserve">These maps will demonstrate the heat distribution across the city and surrounding area to provide </w:t>
            </w:r>
            <w:r w:rsidR="00386572">
              <w:rPr>
                <w:rFonts w:ascii="Garamond" w:eastAsia="Garamond" w:hAnsi="Garamond" w:cs="Garamond"/>
              </w:rPr>
              <w:t xml:space="preserve">an </w:t>
            </w:r>
            <w:r>
              <w:rPr>
                <w:rFonts w:ascii="Garamond" w:eastAsia="Garamond" w:hAnsi="Garamond" w:cs="Garamond"/>
              </w:rPr>
              <w:t xml:space="preserve">understanding of the UHI effect.  </w:t>
            </w:r>
          </w:p>
        </w:tc>
        <w:tc>
          <w:tcPr>
            <w:tcW w:w="2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7E29" w:rsidRDefault="008B582B">
            <w:pPr>
              <w:spacing w:after="0" w:line="240" w:lineRule="auto"/>
              <w:rPr>
                <w:rFonts w:ascii="Garamond" w:eastAsia="Garamond" w:hAnsi="Garamond" w:cs="Garamond"/>
              </w:rPr>
            </w:pPr>
            <w:r>
              <w:rPr>
                <w:rFonts w:ascii="Garamond" w:eastAsia="Garamond" w:hAnsi="Garamond" w:cs="Garamond"/>
              </w:rPr>
              <w:t xml:space="preserve">Landsat 8 TIRS and Terra MODIS data will be used to generate this </w:t>
            </w:r>
            <w:proofErr w:type="gramStart"/>
            <w:r>
              <w:rPr>
                <w:rFonts w:ascii="Garamond" w:eastAsia="Garamond" w:hAnsi="Garamond" w:cs="Garamond"/>
              </w:rPr>
              <w:t>end product</w:t>
            </w:r>
            <w:proofErr w:type="gramEnd"/>
            <w:r>
              <w:rPr>
                <w:rFonts w:ascii="Garamond" w:eastAsia="Garamond" w:hAnsi="Garamond" w:cs="Garamond"/>
              </w:rPr>
              <w:t>.</w:t>
            </w:r>
          </w:p>
        </w:tc>
        <w:tc>
          <w:tcPr>
            <w:tcW w:w="11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7E29" w:rsidRDefault="008B582B">
            <w:pPr>
              <w:spacing w:after="0"/>
              <w:rPr>
                <w:rFonts w:ascii="Garamond" w:eastAsia="Garamond" w:hAnsi="Garamond" w:cs="Garamond"/>
                <w:color w:val="000000"/>
              </w:rPr>
            </w:pPr>
            <w:r>
              <w:rPr>
                <w:rFonts w:ascii="Garamond" w:eastAsia="Garamond" w:hAnsi="Garamond" w:cs="Garamond"/>
              </w:rPr>
              <w:t>N/A</w:t>
            </w:r>
          </w:p>
        </w:tc>
      </w:tr>
      <w:tr w:rsidR="00F47E29">
        <w:tc>
          <w:tcPr>
            <w:tcW w:w="22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7E29" w:rsidRDefault="008B582B">
            <w:pPr>
              <w:spacing w:after="0"/>
              <w:rPr>
                <w:rFonts w:ascii="Garamond" w:eastAsia="Garamond" w:hAnsi="Garamond" w:cs="Garamond"/>
                <w:b/>
              </w:rPr>
            </w:pPr>
            <w:r>
              <w:rPr>
                <w:rFonts w:ascii="Garamond" w:eastAsia="Garamond" w:hAnsi="Garamond" w:cs="Garamond"/>
                <w:b/>
              </w:rPr>
              <w:t>Surface Heat Assessment</w:t>
            </w:r>
          </w:p>
        </w:tc>
        <w:tc>
          <w:tcPr>
            <w:tcW w:w="32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7E29" w:rsidRDefault="008B582B">
            <w:pPr>
              <w:spacing w:after="0" w:line="240" w:lineRule="auto"/>
              <w:rPr>
                <w:rFonts w:ascii="Garamond" w:eastAsia="Garamond" w:hAnsi="Garamond" w:cs="Garamond"/>
              </w:rPr>
            </w:pPr>
            <w:r>
              <w:rPr>
                <w:rFonts w:ascii="Garamond" w:eastAsia="Garamond" w:hAnsi="Garamond" w:cs="Garamond"/>
              </w:rPr>
              <w:t xml:space="preserve">The </w:t>
            </w:r>
            <w:proofErr w:type="gramStart"/>
            <w:r>
              <w:rPr>
                <w:rFonts w:ascii="Garamond" w:eastAsia="Garamond" w:hAnsi="Garamond" w:cs="Garamond"/>
              </w:rPr>
              <w:t>surface heat assessment product</w:t>
            </w:r>
            <w:proofErr w:type="gramEnd"/>
            <w:r>
              <w:rPr>
                <w:rFonts w:ascii="Garamond" w:eastAsia="Garamond" w:hAnsi="Garamond" w:cs="Garamond"/>
              </w:rPr>
              <w:t xml:space="preserve"> will deliver annual and seasonal analysis of surface temperature to contribute to the partners’ current techniques in understanding the impacts of the urban heat island on the communities and </w:t>
            </w:r>
            <w:r w:rsidR="00141272">
              <w:rPr>
                <w:rFonts w:ascii="Garamond" w:eastAsia="Garamond" w:hAnsi="Garamond" w:cs="Garamond"/>
              </w:rPr>
              <w:t>storm water</w:t>
            </w:r>
            <w:r>
              <w:rPr>
                <w:rFonts w:ascii="Garamond" w:eastAsia="Garamond" w:hAnsi="Garamond" w:cs="Garamond"/>
              </w:rPr>
              <w:t xml:space="preserve"> </w:t>
            </w:r>
            <w:r>
              <w:rPr>
                <w:rFonts w:ascii="Garamond" w:eastAsia="Garamond" w:hAnsi="Garamond" w:cs="Garamond"/>
              </w:rPr>
              <w:lastRenderedPageBreak/>
              <w:t>threats in the area. The result will demonstrate the correlations between the urban geographies and the surface temperature level over time</w:t>
            </w:r>
          </w:p>
        </w:tc>
        <w:tc>
          <w:tcPr>
            <w:tcW w:w="2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7E29" w:rsidRDefault="008B582B">
            <w:pPr>
              <w:spacing w:after="0" w:line="240" w:lineRule="auto"/>
              <w:rPr>
                <w:rFonts w:ascii="Garamond" w:eastAsia="Garamond" w:hAnsi="Garamond" w:cs="Garamond"/>
              </w:rPr>
            </w:pPr>
            <w:r>
              <w:rPr>
                <w:rFonts w:ascii="Garamond" w:eastAsia="Garamond" w:hAnsi="Garamond" w:cs="Garamond"/>
              </w:rPr>
              <w:lastRenderedPageBreak/>
              <w:t xml:space="preserve">Landsat 8 TIRS-based brightness temperature data at a 120 m resolution and MODIS Land Surface Temperature and Emissivity (LST&amp;E) products </w:t>
            </w:r>
            <w:proofErr w:type="gramStart"/>
            <w:r>
              <w:rPr>
                <w:rFonts w:ascii="Garamond" w:eastAsia="Garamond" w:hAnsi="Garamond" w:cs="Garamond"/>
              </w:rPr>
              <w:t>will be used</w:t>
            </w:r>
            <w:proofErr w:type="gramEnd"/>
            <w:r>
              <w:rPr>
                <w:rFonts w:ascii="Garamond" w:eastAsia="Garamond" w:hAnsi="Garamond" w:cs="Garamond"/>
              </w:rPr>
              <w:t xml:space="preserve"> to assess temperature characteristics within the </w:t>
            </w:r>
            <w:r>
              <w:rPr>
                <w:rFonts w:ascii="Garamond" w:eastAsia="Garamond" w:hAnsi="Garamond" w:cs="Garamond"/>
              </w:rPr>
              <w:lastRenderedPageBreak/>
              <w:t>study area from January 2015 to June 2018.</w:t>
            </w:r>
          </w:p>
        </w:tc>
        <w:tc>
          <w:tcPr>
            <w:tcW w:w="11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7E29" w:rsidRDefault="008B582B">
            <w:pPr>
              <w:spacing w:after="0"/>
              <w:rPr>
                <w:rFonts w:ascii="Garamond" w:eastAsia="Garamond" w:hAnsi="Garamond" w:cs="Garamond"/>
                <w:color w:val="000000"/>
              </w:rPr>
            </w:pPr>
            <w:r>
              <w:rPr>
                <w:rFonts w:ascii="Garamond" w:eastAsia="Garamond" w:hAnsi="Garamond" w:cs="Garamond"/>
              </w:rPr>
              <w:lastRenderedPageBreak/>
              <w:t>N/A</w:t>
            </w:r>
          </w:p>
        </w:tc>
      </w:tr>
      <w:tr w:rsidR="00F47E29">
        <w:tc>
          <w:tcPr>
            <w:tcW w:w="22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7E29" w:rsidRDefault="008B582B">
            <w:pPr>
              <w:spacing w:after="0"/>
              <w:rPr>
                <w:rFonts w:ascii="Times New Roman" w:eastAsia="Times New Roman" w:hAnsi="Times New Roman" w:cs="Times New Roman"/>
                <w:sz w:val="24"/>
                <w:szCs w:val="24"/>
              </w:rPr>
            </w:pPr>
            <w:r>
              <w:rPr>
                <w:rFonts w:ascii="Garamond" w:eastAsia="Garamond" w:hAnsi="Garamond" w:cs="Garamond"/>
                <w:b/>
              </w:rPr>
              <w:t>Flood Extent Analysis</w:t>
            </w:r>
          </w:p>
        </w:tc>
        <w:tc>
          <w:tcPr>
            <w:tcW w:w="32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7E29" w:rsidRDefault="008B582B">
            <w:pPr>
              <w:spacing w:after="0" w:line="240" w:lineRule="auto"/>
              <w:rPr>
                <w:rFonts w:ascii="Times New Roman" w:eastAsia="Times New Roman" w:hAnsi="Times New Roman" w:cs="Times New Roman"/>
                <w:sz w:val="24"/>
                <w:szCs w:val="24"/>
              </w:rPr>
            </w:pPr>
            <w:r>
              <w:rPr>
                <w:rFonts w:ascii="Garamond" w:eastAsia="Garamond" w:hAnsi="Garamond" w:cs="Garamond"/>
              </w:rPr>
              <w:t xml:space="preserve">The product will provide a series of </w:t>
            </w:r>
            <w:r w:rsidR="00141272">
              <w:rPr>
                <w:rFonts w:ascii="Garamond" w:eastAsia="Garamond" w:hAnsi="Garamond" w:cs="Garamond"/>
              </w:rPr>
              <w:t>storm water</w:t>
            </w:r>
            <w:r>
              <w:rPr>
                <w:rFonts w:ascii="Garamond" w:eastAsia="Garamond" w:hAnsi="Garamond" w:cs="Garamond"/>
              </w:rPr>
              <w:t xml:space="preserve"> surface coverage maps to allow </w:t>
            </w:r>
            <w:r w:rsidR="00386572">
              <w:rPr>
                <w:rFonts w:ascii="Garamond" w:eastAsia="Garamond" w:hAnsi="Garamond" w:cs="Garamond"/>
              </w:rPr>
              <w:t xml:space="preserve">the </w:t>
            </w:r>
            <w:r>
              <w:rPr>
                <w:rFonts w:ascii="Garamond" w:eastAsia="Garamond" w:hAnsi="Garamond" w:cs="Garamond"/>
              </w:rPr>
              <w:t xml:space="preserve">partner to determine areas prone to flooding in both extreme weather events and daily rainfall. </w:t>
            </w:r>
          </w:p>
        </w:tc>
        <w:tc>
          <w:tcPr>
            <w:tcW w:w="2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7E29" w:rsidRDefault="008B582B">
            <w:pPr>
              <w:spacing w:after="0" w:line="240" w:lineRule="auto"/>
              <w:rPr>
                <w:rFonts w:ascii="Times New Roman" w:eastAsia="Times New Roman" w:hAnsi="Times New Roman" w:cs="Times New Roman"/>
                <w:sz w:val="24"/>
                <w:szCs w:val="24"/>
              </w:rPr>
            </w:pPr>
            <w:r>
              <w:rPr>
                <w:rFonts w:ascii="Garamond" w:eastAsia="Garamond" w:hAnsi="Garamond" w:cs="Garamond"/>
              </w:rPr>
              <w:t xml:space="preserve">Normalized Difference Flood Index (NDFI) </w:t>
            </w:r>
            <w:proofErr w:type="gramStart"/>
            <w:r>
              <w:rPr>
                <w:rFonts w:ascii="Garamond" w:eastAsia="Garamond" w:hAnsi="Garamond" w:cs="Garamond"/>
              </w:rPr>
              <w:t>will be applied</w:t>
            </w:r>
            <w:proofErr w:type="gramEnd"/>
            <w:r>
              <w:rPr>
                <w:rFonts w:ascii="Garamond" w:eastAsia="Garamond" w:hAnsi="Garamond" w:cs="Garamond"/>
              </w:rPr>
              <w:t xml:space="preserve"> to Sentinel-1 SAR data to generate flood risk analysis across the region at a 20 m resolution. </w:t>
            </w:r>
          </w:p>
        </w:tc>
        <w:tc>
          <w:tcPr>
            <w:tcW w:w="11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7E29" w:rsidRDefault="008B582B">
            <w:pPr>
              <w:spacing w:after="0"/>
              <w:rPr>
                <w:rFonts w:ascii="Times New Roman" w:eastAsia="Times New Roman" w:hAnsi="Times New Roman" w:cs="Times New Roman"/>
                <w:sz w:val="24"/>
                <w:szCs w:val="24"/>
              </w:rPr>
            </w:pPr>
            <w:r>
              <w:rPr>
                <w:rFonts w:ascii="Garamond" w:eastAsia="Garamond" w:hAnsi="Garamond" w:cs="Garamond"/>
              </w:rPr>
              <w:t>N/A</w:t>
            </w:r>
          </w:p>
        </w:tc>
      </w:tr>
      <w:tr w:rsidR="00F47E29">
        <w:tc>
          <w:tcPr>
            <w:tcW w:w="22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7E29" w:rsidRDefault="008B582B">
            <w:pPr>
              <w:spacing w:after="0"/>
              <w:rPr>
                <w:rFonts w:ascii="Garamond" w:eastAsia="Garamond" w:hAnsi="Garamond" w:cs="Garamond"/>
                <w:b/>
              </w:rPr>
            </w:pPr>
            <w:r>
              <w:rPr>
                <w:rFonts w:ascii="Garamond" w:eastAsia="Garamond" w:hAnsi="Garamond" w:cs="Garamond"/>
                <w:b/>
              </w:rPr>
              <w:t>Socioeconomic and Demographic Risk Evaluation</w:t>
            </w:r>
          </w:p>
        </w:tc>
        <w:tc>
          <w:tcPr>
            <w:tcW w:w="32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7E29" w:rsidRDefault="008B582B" w:rsidP="00386572">
            <w:pPr>
              <w:spacing w:after="0" w:line="240" w:lineRule="auto"/>
              <w:rPr>
                <w:rFonts w:ascii="Garamond" w:eastAsia="Garamond" w:hAnsi="Garamond" w:cs="Garamond"/>
              </w:rPr>
            </w:pPr>
            <w:r>
              <w:rPr>
                <w:rFonts w:ascii="Garamond" w:eastAsia="Garamond" w:hAnsi="Garamond" w:cs="Garamond"/>
              </w:rPr>
              <w:t xml:space="preserve">The analysis will observe the socioeconomic status and the demographic characteristics in the study area and will compare the variables to the generated </w:t>
            </w:r>
            <w:proofErr w:type="gramStart"/>
            <w:r>
              <w:rPr>
                <w:rFonts w:ascii="Garamond" w:eastAsia="Garamond" w:hAnsi="Garamond" w:cs="Garamond"/>
              </w:rPr>
              <w:t>end</w:t>
            </w:r>
            <w:r w:rsidR="00386572">
              <w:rPr>
                <w:rFonts w:ascii="Garamond" w:eastAsia="Garamond" w:hAnsi="Garamond" w:cs="Garamond"/>
              </w:rPr>
              <w:t xml:space="preserve"> </w:t>
            </w:r>
            <w:r>
              <w:rPr>
                <w:rFonts w:ascii="Garamond" w:eastAsia="Garamond" w:hAnsi="Garamond" w:cs="Garamond"/>
              </w:rPr>
              <w:t>products</w:t>
            </w:r>
            <w:proofErr w:type="gramEnd"/>
            <w:r>
              <w:rPr>
                <w:rFonts w:ascii="Garamond" w:eastAsia="Garamond" w:hAnsi="Garamond" w:cs="Garamond"/>
              </w:rPr>
              <w:t xml:space="preserve"> to expand the partners’ understanding of the vulnerability of the marginalized communities to flood and extreme heat.</w:t>
            </w:r>
          </w:p>
        </w:tc>
        <w:tc>
          <w:tcPr>
            <w:tcW w:w="2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7E29" w:rsidRDefault="008B582B">
            <w:pPr>
              <w:spacing w:after="0" w:line="240" w:lineRule="auto"/>
              <w:rPr>
                <w:rFonts w:ascii="Garamond" w:eastAsia="Garamond" w:hAnsi="Garamond" w:cs="Garamond"/>
              </w:rPr>
            </w:pPr>
            <w:r>
              <w:rPr>
                <w:rFonts w:ascii="Garamond" w:eastAsia="Garamond" w:hAnsi="Garamond" w:cs="Garamond"/>
              </w:rPr>
              <w:t xml:space="preserve">SEDAC GPW socioeconomic data </w:t>
            </w:r>
            <w:proofErr w:type="gramStart"/>
            <w:r>
              <w:rPr>
                <w:rFonts w:ascii="Garamond" w:eastAsia="Garamond" w:hAnsi="Garamond" w:cs="Garamond"/>
              </w:rPr>
              <w:t>will be combined</w:t>
            </w:r>
            <w:proofErr w:type="gramEnd"/>
            <w:r>
              <w:rPr>
                <w:rFonts w:ascii="Garamond" w:eastAsia="Garamond" w:hAnsi="Garamond" w:cs="Garamond"/>
              </w:rPr>
              <w:t xml:space="preserve"> with US Census Bureau demographic information including income, age, gender, and family structure to compare them to the Flood Extent Analysis and Surface Heat Assessment. The analysis will deliver a valuation of socioeconomic variables in response to the geographic setting of the area as proxy to vulnerability to flood. </w:t>
            </w:r>
          </w:p>
        </w:tc>
        <w:tc>
          <w:tcPr>
            <w:tcW w:w="11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7E29" w:rsidRDefault="008B582B">
            <w:pPr>
              <w:spacing w:after="0"/>
              <w:rPr>
                <w:rFonts w:ascii="Garamond" w:eastAsia="Garamond" w:hAnsi="Garamond" w:cs="Garamond"/>
                <w:color w:val="000000"/>
              </w:rPr>
            </w:pPr>
            <w:r>
              <w:rPr>
                <w:rFonts w:ascii="Garamond" w:eastAsia="Garamond" w:hAnsi="Garamond" w:cs="Garamond"/>
              </w:rPr>
              <w:t>N/A</w:t>
            </w:r>
          </w:p>
        </w:tc>
      </w:tr>
    </w:tbl>
    <w:p w:rsidR="00F47E29" w:rsidRDefault="00F47E29">
      <w:pPr>
        <w:spacing w:after="0" w:line="240" w:lineRule="auto"/>
        <w:rPr>
          <w:rFonts w:ascii="Times New Roman" w:eastAsia="Times New Roman" w:hAnsi="Times New Roman" w:cs="Times New Roman"/>
          <w:sz w:val="24"/>
          <w:szCs w:val="24"/>
        </w:rPr>
      </w:pPr>
    </w:p>
    <w:p w:rsidR="00F47E29" w:rsidRDefault="008B582B">
      <w:pPr>
        <w:spacing w:after="0" w:line="240" w:lineRule="auto"/>
        <w:rPr>
          <w:rFonts w:ascii="Garamond" w:eastAsia="Garamond" w:hAnsi="Garamond" w:cs="Garamond"/>
          <w:color w:val="000000"/>
        </w:rPr>
      </w:pPr>
      <w:r>
        <w:rPr>
          <w:rFonts w:ascii="Century Gothic" w:eastAsia="Century Gothic" w:hAnsi="Century Gothic" w:cs="Century Gothic"/>
          <w:b/>
          <w:i/>
          <w:color w:val="000000"/>
          <w:sz w:val="20"/>
          <w:szCs w:val="20"/>
        </w:rPr>
        <w:t>End-User Benefit</w:t>
      </w:r>
      <w:r>
        <w:rPr>
          <w:rFonts w:ascii="Century Gothic" w:eastAsia="Century Gothic" w:hAnsi="Century Gothic" w:cs="Century Gothic"/>
          <w:b/>
          <w:color w:val="000000"/>
          <w:sz w:val="20"/>
          <w:szCs w:val="20"/>
        </w:rPr>
        <w:t>:</w:t>
      </w:r>
      <w:r>
        <w:rPr>
          <w:rFonts w:ascii="Century Gothic" w:eastAsia="Century Gothic" w:hAnsi="Century Gothic" w:cs="Century Gothic"/>
          <w:color w:val="000000"/>
          <w:sz w:val="20"/>
          <w:szCs w:val="20"/>
        </w:rPr>
        <w:t xml:space="preserve"> </w:t>
      </w:r>
      <w:r>
        <w:rPr>
          <w:rFonts w:ascii="Garamond" w:eastAsia="Garamond" w:hAnsi="Garamond" w:cs="Garamond"/>
          <w:color w:val="000000"/>
        </w:rPr>
        <w:t xml:space="preserve">The implementation of various mitigation strategies like green infrastructure </w:t>
      </w:r>
      <w:proofErr w:type="gramStart"/>
      <w:r>
        <w:rPr>
          <w:rFonts w:ascii="Garamond" w:eastAsia="Garamond" w:hAnsi="Garamond" w:cs="Garamond"/>
          <w:color w:val="000000"/>
        </w:rPr>
        <w:t>can be improved</w:t>
      </w:r>
      <w:proofErr w:type="gramEnd"/>
      <w:r>
        <w:rPr>
          <w:rFonts w:ascii="Garamond" w:eastAsia="Garamond" w:hAnsi="Garamond" w:cs="Garamond"/>
          <w:color w:val="000000"/>
        </w:rPr>
        <w:t xml:space="preserve"> by targeting areas most at risk of the UHI effect. This geospatial approach can be a timesaving and cost effective strategy for </w:t>
      </w:r>
      <w:r>
        <w:rPr>
          <w:rFonts w:ascii="Garamond" w:eastAsia="Garamond" w:hAnsi="Garamond" w:cs="Garamond"/>
        </w:rPr>
        <w:t>GM</w:t>
      </w:r>
      <w:r>
        <w:rPr>
          <w:rFonts w:ascii="Garamond" w:eastAsia="Garamond" w:hAnsi="Garamond" w:cs="Garamond"/>
          <w:color w:val="000000"/>
        </w:rPr>
        <w:t>. This project will assist in</w:t>
      </w:r>
      <w:r>
        <w:rPr>
          <w:rFonts w:ascii="Garamond" w:eastAsia="Garamond" w:hAnsi="Garamond" w:cs="Garamond"/>
        </w:rPr>
        <w:t xml:space="preserve"> developing GM’s strategies to understand and mitigate urban heat and extreme flooding in its region, </w:t>
      </w:r>
      <w:r>
        <w:rPr>
          <w:rFonts w:ascii="Garamond" w:eastAsia="Garamond" w:hAnsi="Garamond" w:cs="Garamond"/>
          <w:color w:val="000000"/>
        </w:rPr>
        <w:t xml:space="preserve">thus providing a basis for future green initiatives.  </w:t>
      </w:r>
    </w:p>
    <w:p w:rsidR="00F47E29" w:rsidRDefault="008B582B">
      <w:pPr>
        <w:spacing w:after="0" w:line="240" w:lineRule="auto"/>
        <w:rPr>
          <w:rFonts w:ascii="Times New Roman" w:eastAsia="Times New Roman" w:hAnsi="Times New Roman" w:cs="Times New Roman"/>
          <w:sz w:val="24"/>
          <w:szCs w:val="24"/>
        </w:rPr>
      </w:pPr>
      <w:r>
        <w:rPr>
          <w:rFonts w:ascii="Garamond" w:eastAsia="Garamond" w:hAnsi="Garamond" w:cs="Garamond"/>
        </w:rPr>
        <w:t xml:space="preserve">  </w:t>
      </w:r>
    </w:p>
    <w:p w:rsidR="00F47E29" w:rsidRDefault="008B582B">
      <w:pPr>
        <w:pBdr>
          <w:bottom w:val="single" w:sz="4" w:space="1" w:color="000000"/>
        </w:pBd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color w:val="000000"/>
        </w:rPr>
        <w:t>Project Timeline &amp; Previous Related Work</w:t>
      </w:r>
    </w:p>
    <w:p w:rsidR="00F47E29" w:rsidRDefault="008B582B">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i/>
          <w:color w:val="000000"/>
          <w:sz w:val="20"/>
          <w:szCs w:val="20"/>
        </w:rPr>
        <w:t>Project Timeline:</w:t>
      </w:r>
      <w:r>
        <w:rPr>
          <w:rFonts w:ascii="Century Gothic" w:eastAsia="Century Gothic" w:hAnsi="Century Gothic" w:cs="Century Gothic"/>
          <w:b/>
          <w:color w:val="000000"/>
          <w:sz w:val="20"/>
          <w:szCs w:val="20"/>
        </w:rPr>
        <w:t xml:space="preserve"> </w:t>
      </w:r>
      <w:r w:rsidR="00386572">
        <w:rPr>
          <w:rFonts w:ascii="Garamond" w:eastAsia="Garamond" w:hAnsi="Garamond" w:cs="Garamond"/>
          <w:color w:val="000000"/>
        </w:rPr>
        <w:t>1 Term: 2019 Summer</w:t>
      </w:r>
    </w:p>
    <w:p w:rsidR="00F47E29" w:rsidRDefault="00F47E29">
      <w:pPr>
        <w:spacing w:after="0" w:line="240" w:lineRule="auto"/>
        <w:rPr>
          <w:rFonts w:ascii="Times New Roman" w:eastAsia="Times New Roman" w:hAnsi="Times New Roman" w:cs="Times New Roman"/>
          <w:sz w:val="24"/>
          <w:szCs w:val="24"/>
        </w:rPr>
      </w:pPr>
    </w:p>
    <w:p w:rsidR="00F47E29" w:rsidRDefault="008B582B">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i/>
          <w:color w:val="000000"/>
          <w:sz w:val="20"/>
          <w:szCs w:val="20"/>
        </w:rPr>
        <w:t>Related DEVELOP Work:</w:t>
      </w:r>
    </w:p>
    <w:p w:rsidR="00F47E29" w:rsidRDefault="008B582B">
      <w:pPr>
        <w:spacing w:after="0" w:line="240" w:lineRule="auto"/>
        <w:ind w:left="720" w:hanging="720"/>
        <w:rPr>
          <w:rFonts w:ascii="Garamond" w:eastAsia="Garamond" w:hAnsi="Garamond" w:cs="Garamond"/>
        </w:rPr>
      </w:pPr>
      <w:r>
        <w:rPr>
          <w:rFonts w:ascii="Garamond" w:eastAsia="Garamond" w:hAnsi="Garamond" w:cs="Garamond"/>
        </w:rPr>
        <w:t xml:space="preserve">2019 </w:t>
      </w:r>
      <w:proofErr w:type="gramStart"/>
      <w:r>
        <w:rPr>
          <w:rFonts w:ascii="Garamond" w:eastAsia="Garamond" w:hAnsi="Garamond" w:cs="Garamond"/>
        </w:rPr>
        <w:t>Spring</w:t>
      </w:r>
      <w:proofErr w:type="gramEnd"/>
      <w:r>
        <w:rPr>
          <w:rFonts w:ascii="Garamond" w:eastAsia="Garamond" w:hAnsi="Garamond" w:cs="Garamond"/>
        </w:rPr>
        <w:t xml:space="preserve"> (</w:t>
      </w:r>
      <w:proofErr w:type="spellStart"/>
      <w:r>
        <w:rPr>
          <w:rFonts w:ascii="Garamond" w:eastAsia="Garamond" w:hAnsi="Garamond" w:cs="Garamond"/>
        </w:rPr>
        <w:t>LaRC</w:t>
      </w:r>
      <w:proofErr w:type="spellEnd"/>
      <w:r>
        <w:rPr>
          <w:rFonts w:ascii="Garamond" w:eastAsia="Garamond" w:hAnsi="Garamond" w:cs="Garamond"/>
        </w:rPr>
        <w:t>) - Providence &amp; Elizabeth Urban Development: Exploring Heat- and Flood-related Vulnerability in Urban Settings via NASA Earth Observations</w:t>
      </w:r>
    </w:p>
    <w:p w:rsidR="00F47E29" w:rsidRDefault="008B582B">
      <w:pPr>
        <w:spacing w:after="0" w:line="240" w:lineRule="auto"/>
        <w:ind w:left="720" w:hanging="720"/>
        <w:rPr>
          <w:rFonts w:ascii="Times New Roman" w:eastAsia="Times New Roman" w:hAnsi="Times New Roman" w:cs="Times New Roman"/>
          <w:sz w:val="24"/>
          <w:szCs w:val="24"/>
        </w:rPr>
      </w:pPr>
      <w:r>
        <w:rPr>
          <w:rFonts w:ascii="Garamond" w:eastAsia="Garamond" w:hAnsi="Garamond" w:cs="Garamond"/>
          <w:color w:val="000000"/>
        </w:rPr>
        <w:t xml:space="preserve">2018 </w:t>
      </w:r>
      <w:proofErr w:type="gramStart"/>
      <w:r>
        <w:rPr>
          <w:rFonts w:ascii="Garamond" w:eastAsia="Garamond" w:hAnsi="Garamond" w:cs="Garamond"/>
          <w:color w:val="000000"/>
        </w:rPr>
        <w:t>Fall</w:t>
      </w:r>
      <w:proofErr w:type="gramEnd"/>
      <w:r>
        <w:rPr>
          <w:rFonts w:ascii="Garamond" w:eastAsia="Garamond" w:hAnsi="Garamond" w:cs="Garamond"/>
          <w:color w:val="000000"/>
        </w:rPr>
        <w:t xml:space="preserve"> (AL) – New Orleans Health &amp; Air Quality: Monitoring the Urban Heat Island Effects on the Health of Residents of New Orleans, Louisiana Metropolitan Area with Landsat, Sentinel and MODIS Land Surface Temperature Products</w:t>
      </w:r>
    </w:p>
    <w:p w:rsidR="00F47E29" w:rsidRDefault="008B582B">
      <w:pPr>
        <w:spacing w:after="0" w:line="240" w:lineRule="auto"/>
        <w:ind w:left="720" w:hanging="720"/>
        <w:rPr>
          <w:rFonts w:ascii="Times New Roman" w:eastAsia="Times New Roman" w:hAnsi="Times New Roman" w:cs="Times New Roman"/>
          <w:sz w:val="24"/>
          <w:szCs w:val="24"/>
        </w:rPr>
      </w:pPr>
      <w:r>
        <w:rPr>
          <w:rFonts w:ascii="Garamond" w:eastAsia="Garamond" w:hAnsi="Garamond" w:cs="Garamond"/>
          <w:color w:val="000000"/>
        </w:rPr>
        <w:t xml:space="preserve">2018 </w:t>
      </w:r>
      <w:proofErr w:type="gramStart"/>
      <w:r>
        <w:rPr>
          <w:rFonts w:ascii="Garamond" w:eastAsia="Garamond" w:hAnsi="Garamond" w:cs="Garamond"/>
          <w:color w:val="000000"/>
        </w:rPr>
        <w:t>Summer</w:t>
      </w:r>
      <w:proofErr w:type="gramEnd"/>
      <w:r>
        <w:rPr>
          <w:rFonts w:ascii="Garamond" w:eastAsia="Garamond" w:hAnsi="Garamond" w:cs="Garamond"/>
          <w:color w:val="000000"/>
        </w:rPr>
        <w:t xml:space="preserve"> (AL) – New Orleans Urban Development: Utilizing Earth Observations to Assist Groundwork New Orleans to Reduce Flood Vulnerability in New Orleans, Louisiana, Metropolitan Area</w:t>
      </w:r>
    </w:p>
    <w:p w:rsidR="00F47E29" w:rsidRDefault="008B582B">
      <w:pPr>
        <w:spacing w:after="0" w:line="240" w:lineRule="auto"/>
        <w:ind w:left="720" w:hanging="720"/>
        <w:rPr>
          <w:rFonts w:ascii="Times New Roman" w:eastAsia="Times New Roman" w:hAnsi="Times New Roman" w:cs="Times New Roman"/>
          <w:sz w:val="24"/>
          <w:szCs w:val="24"/>
        </w:rPr>
      </w:pPr>
      <w:r>
        <w:rPr>
          <w:rFonts w:ascii="Garamond" w:eastAsia="Garamond" w:hAnsi="Garamond" w:cs="Garamond"/>
          <w:color w:val="000000"/>
        </w:rPr>
        <w:t xml:space="preserve">2018 </w:t>
      </w:r>
      <w:proofErr w:type="gramStart"/>
      <w:r>
        <w:rPr>
          <w:rFonts w:ascii="Garamond" w:eastAsia="Garamond" w:hAnsi="Garamond" w:cs="Garamond"/>
          <w:color w:val="000000"/>
        </w:rPr>
        <w:t>Summer</w:t>
      </w:r>
      <w:proofErr w:type="gramEnd"/>
      <w:r>
        <w:rPr>
          <w:rFonts w:ascii="Garamond" w:eastAsia="Garamond" w:hAnsi="Garamond" w:cs="Garamond"/>
          <w:color w:val="000000"/>
        </w:rPr>
        <w:t xml:space="preserve"> (AZ) - Washoe County Urban Development: Utilizing NASA Earth Observations to Assess Urban Heat Island Reduction Strategies in Washoe County, Nevada</w:t>
      </w:r>
    </w:p>
    <w:p w:rsidR="00F47E29" w:rsidRDefault="008B582B">
      <w:pPr>
        <w:spacing w:after="0" w:line="240" w:lineRule="auto"/>
        <w:ind w:left="720" w:hanging="720"/>
        <w:rPr>
          <w:rFonts w:ascii="Times New Roman" w:eastAsia="Times New Roman" w:hAnsi="Times New Roman" w:cs="Times New Roman"/>
          <w:sz w:val="24"/>
          <w:szCs w:val="24"/>
        </w:rPr>
      </w:pPr>
      <w:proofErr w:type="gramStart"/>
      <w:r>
        <w:rPr>
          <w:rFonts w:ascii="Garamond" w:eastAsia="Garamond" w:hAnsi="Garamond" w:cs="Garamond"/>
          <w:color w:val="000000"/>
        </w:rPr>
        <w:t>2017</w:t>
      </w:r>
      <w:proofErr w:type="gramEnd"/>
      <w:r>
        <w:rPr>
          <w:rFonts w:ascii="Garamond" w:eastAsia="Garamond" w:hAnsi="Garamond" w:cs="Garamond"/>
          <w:color w:val="000000"/>
        </w:rPr>
        <w:t xml:space="preserve"> Summer (AZ) – Las Cruces Health &amp; Air Quality: Assessing Urban Heat as it Relates to Social Vulnerability and Land Use Changes in Las Cruces, New Mexico</w:t>
      </w:r>
    </w:p>
    <w:p w:rsidR="00F47E29" w:rsidRDefault="008B582B">
      <w:pPr>
        <w:spacing w:after="0" w:line="240" w:lineRule="auto"/>
        <w:ind w:left="720" w:hanging="720"/>
        <w:rPr>
          <w:rFonts w:ascii="Times New Roman" w:eastAsia="Times New Roman" w:hAnsi="Times New Roman" w:cs="Times New Roman"/>
          <w:sz w:val="24"/>
          <w:szCs w:val="24"/>
        </w:rPr>
      </w:pPr>
      <w:r>
        <w:rPr>
          <w:rFonts w:ascii="Garamond" w:eastAsia="Garamond" w:hAnsi="Garamond" w:cs="Garamond"/>
          <w:color w:val="000000"/>
        </w:rPr>
        <w:t xml:space="preserve">2017 </w:t>
      </w:r>
      <w:proofErr w:type="gramStart"/>
      <w:r>
        <w:rPr>
          <w:rFonts w:ascii="Garamond" w:eastAsia="Garamond" w:hAnsi="Garamond" w:cs="Garamond"/>
          <w:color w:val="000000"/>
        </w:rPr>
        <w:t>Spring</w:t>
      </w:r>
      <w:proofErr w:type="gramEnd"/>
      <w:r>
        <w:rPr>
          <w:rFonts w:ascii="Garamond" w:eastAsia="Garamond" w:hAnsi="Garamond" w:cs="Garamond"/>
          <w:color w:val="000000"/>
        </w:rPr>
        <w:t xml:space="preserve"> (AZ) – Phoenix Health &amp; Air Quality: Utilizing NASA Earth Observation to Assess the Impacts of Extreme Heat on Transit Riders in Phoenix, Arizona</w:t>
      </w:r>
    </w:p>
    <w:p w:rsidR="00F47E29" w:rsidRDefault="00F47E29">
      <w:pPr>
        <w:spacing w:after="0" w:line="240" w:lineRule="auto"/>
        <w:rPr>
          <w:rFonts w:ascii="Times New Roman" w:eastAsia="Times New Roman" w:hAnsi="Times New Roman" w:cs="Times New Roman"/>
          <w:sz w:val="24"/>
          <w:szCs w:val="24"/>
        </w:rPr>
      </w:pPr>
    </w:p>
    <w:p w:rsidR="00F47E29" w:rsidRDefault="008B582B" w:rsidP="00386572">
      <w:pPr>
        <w:pBdr>
          <w:bottom w:val="single" w:sz="4" w:space="1" w:color="000000"/>
        </w:pBd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color w:val="000000"/>
        </w:rPr>
        <w:t>Notes &amp; References:</w:t>
      </w:r>
      <w:r>
        <w:rPr>
          <w:rFonts w:ascii="Century Gothic" w:eastAsia="Century Gothic" w:hAnsi="Century Gothic" w:cs="Century Gothic"/>
          <w:b/>
          <w:i/>
          <w:color w:val="000000"/>
          <w:sz w:val="20"/>
          <w:szCs w:val="20"/>
        </w:rPr>
        <w:t xml:space="preserve"> </w:t>
      </w:r>
    </w:p>
    <w:p w:rsidR="00F47E29" w:rsidRDefault="00F47E29">
      <w:pPr>
        <w:spacing w:after="0" w:line="240" w:lineRule="auto"/>
        <w:rPr>
          <w:rFonts w:ascii="Times New Roman" w:eastAsia="Times New Roman" w:hAnsi="Times New Roman" w:cs="Times New Roman"/>
          <w:sz w:val="24"/>
          <w:szCs w:val="24"/>
        </w:rPr>
      </w:pPr>
    </w:p>
    <w:p w:rsidR="00F47E29" w:rsidRDefault="008B582B">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i/>
          <w:color w:val="000000"/>
          <w:sz w:val="20"/>
          <w:szCs w:val="20"/>
        </w:rPr>
        <w:t>References:</w:t>
      </w:r>
    </w:p>
    <w:p w:rsidR="00F47E29" w:rsidRDefault="008B582B">
      <w:pPr>
        <w:spacing w:after="0" w:line="240" w:lineRule="auto"/>
        <w:ind w:left="720" w:hanging="720"/>
        <w:rPr>
          <w:rFonts w:ascii="Times New Roman" w:eastAsia="Times New Roman" w:hAnsi="Times New Roman" w:cs="Times New Roman"/>
          <w:sz w:val="24"/>
          <w:szCs w:val="24"/>
        </w:rPr>
      </w:pPr>
      <w:r>
        <w:rPr>
          <w:rFonts w:ascii="Garamond" w:eastAsia="Garamond" w:hAnsi="Garamond" w:cs="Garamond"/>
          <w:color w:val="000000"/>
        </w:rPr>
        <w:t>Environmental Protection Agency. (2018). Measuring Heat Islands. Retrieved from https://www.epa.gov/heat-islands/measuring-heat-islands</w:t>
      </w:r>
    </w:p>
    <w:p w:rsidR="00F47E29" w:rsidRDefault="008B582B">
      <w:pPr>
        <w:spacing w:after="0" w:line="240" w:lineRule="auto"/>
        <w:ind w:hanging="720"/>
        <w:rPr>
          <w:rFonts w:ascii="Times New Roman" w:eastAsia="Times New Roman" w:hAnsi="Times New Roman" w:cs="Times New Roman"/>
          <w:sz w:val="24"/>
          <w:szCs w:val="24"/>
        </w:rPr>
      </w:pPr>
      <w:r>
        <w:rPr>
          <w:rFonts w:ascii="Garamond" w:eastAsia="Garamond" w:hAnsi="Garamond" w:cs="Garamond"/>
          <w:color w:val="000000"/>
        </w:rPr>
        <w:t xml:space="preserve"> </w:t>
      </w:r>
    </w:p>
    <w:p w:rsidR="00F47E29" w:rsidRDefault="008B582B">
      <w:pPr>
        <w:spacing w:after="0" w:line="240" w:lineRule="auto"/>
        <w:ind w:left="720" w:hanging="720"/>
        <w:rPr>
          <w:rFonts w:ascii="Times New Roman" w:eastAsia="Times New Roman" w:hAnsi="Times New Roman" w:cs="Times New Roman"/>
          <w:sz w:val="24"/>
          <w:szCs w:val="24"/>
        </w:rPr>
      </w:pPr>
      <w:r>
        <w:rPr>
          <w:rFonts w:ascii="Garamond" w:eastAsia="Garamond" w:hAnsi="Garamond" w:cs="Garamond"/>
          <w:color w:val="222222"/>
          <w:highlight w:val="white"/>
        </w:rPr>
        <w:t xml:space="preserve">Harlan, S. L., </w:t>
      </w:r>
      <w:proofErr w:type="spellStart"/>
      <w:r>
        <w:rPr>
          <w:rFonts w:ascii="Garamond" w:eastAsia="Garamond" w:hAnsi="Garamond" w:cs="Garamond"/>
          <w:color w:val="222222"/>
          <w:highlight w:val="white"/>
        </w:rPr>
        <w:t>Brazel</w:t>
      </w:r>
      <w:proofErr w:type="spellEnd"/>
      <w:r>
        <w:rPr>
          <w:rFonts w:ascii="Garamond" w:eastAsia="Garamond" w:hAnsi="Garamond" w:cs="Garamond"/>
          <w:color w:val="222222"/>
          <w:highlight w:val="white"/>
        </w:rPr>
        <w:t xml:space="preserve">, A. J., </w:t>
      </w:r>
      <w:proofErr w:type="spellStart"/>
      <w:r>
        <w:rPr>
          <w:rFonts w:ascii="Garamond" w:eastAsia="Garamond" w:hAnsi="Garamond" w:cs="Garamond"/>
          <w:color w:val="222222"/>
          <w:highlight w:val="white"/>
        </w:rPr>
        <w:t>Prashad</w:t>
      </w:r>
      <w:proofErr w:type="spellEnd"/>
      <w:r>
        <w:rPr>
          <w:rFonts w:ascii="Garamond" w:eastAsia="Garamond" w:hAnsi="Garamond" w:cs="Garamond"/>
          <w:color w:val="222222"/>
          <w:highlight w:val="white"/>
        </w:rPr>
        <w:t xml:space="preserve">, L., </w:t>
      </w:r>
      <w:proofErr w:type="spellStart"/>
      <w:r>
        <w:rPr>
          <w:rFonts w:ascii="Garamond" w:eastAsia="Garamond" w:hAnsi="Garamond" w:cs="Garamond"/>
          <w:color w:val="222222"/>
          <w:highlight w:val="white"/>
        </w:rPr>
        <w:t>Stefanov</w:t>
      </w:r>
      <w:proofErr w:type="spellEnd"/>
      <w:r>
        <w:rPr>
          <w:rFonts w:ascii="Garamond" w:eastAsia="Garamond" w:hAnsi="Garamond" w:cs="Garamond"/>
          <w:color w:val="222222"/>
          <w:highlight w:val="white"/>
        </w:rPr>
        <w:t>, W. L., &amp; Larsen, L. (2006). Neighborhood microclimates</w:t>
      </w:r>
    </w:p>
    <w:p w:rsidR="00F47E29" w:rsidRDefault="008B582B">
      <w:pPr>
        <w:spacing w:after="0" w:line="240" w:lineRule="auto"/>
        <w:ind w:left="720"/>
        <w:rPr>
          <w:rFonts w:ascii="Times New Roman" w:eastAsia="Times New Roman" w:hAnsi="Times New Roman" w:cs="Times New Roman"/>
          <w:sz w:val="24"/>
          <w:szCs w:val="24"/>
        </w:rPr>
      </w:pPr>
      <w:proofErr w:type="gramStart"/>
      <w:r>
        <w:rPr>
          <w:rFonts w:ascii="Garamond" w:eastAsia="Garamond" w:hAnsi="Garamond" w:cs="Garamond"/>
          <w:color w:val="222222"/>
          <w:highlight w:val="white"/>
        </w:rPr>
        <w:t>and</w:t>
      </w:r>
      <w:proofErr w:type="gramEnd"/>
      <w:r>
        <w:rPr>
          <w:rFonts w:ascii="Garamond" w:eastAsia="Garamond" w:hAnsi="Garamond" w:cs="Garamond"/>
          <w:color w:val="222222"/>
          <w:highlight w:val="white"/>
        </w:rPr>
        <w:t xml:space="preserve"> vulnerability to heat stress. </w:t>
      </w:r>
      <w:r>
        <w:rPr>
          <w:rFonts w:ascii="Garamond" w:eastAsia="Garamond" w:hAnsi="Garamond" w:cs="Garamond"/>
          <w:i/>
          <w:color w:val="222222"/>
          <w:highlight w:val="white"/>
        </w:rPr>
        <w:t>Social Science &amp; Medicine, 63(11)</w:t>
      </w:r>
      <w:r>
        <w:rPr>
          <w:rFonts w:ascii="Garamond" w:eastAsia="Garamond" w:hAnsi="Garamond" w:cs="Garamond"/>
          <w:color w:val="222222"/>
          <w:highlight w:val="white"/>
        </w:rPr>
        <w:t xml:space="preserve">, 2847–2863. Retrieved from </w:t>
      </w:r>
      <w:r>
        <w:rPr>
          <w:rFonts w:ascii="Garamond" w:eastAsia="Garamond" w:hAnsi="Garamond" w:cs="Garamond"/>
          <w:highlight w:val="white"/>
        </w:rPr>
        <w:t>https://doi.org/10.1016/j.socscimed.2006.07.030</w:t>
      </w:r>
    </w:p>
    <w:p w:rsidR="00F47E29" w:rsidRDefault="008B582B">
      <w:pPr>
        <w:shd w:val="clear" w:color="auto" w:fill="FFFFFF"/>
        <w:spacing w:before="180" w:after="180" w:line="240" w:lineRule="auto"/>
        <w:ind w:left="720" w:hanging="720"/>
        <w:rPr>
          <w:rFonts w:ascii="Times New Roman" w:eastAsia="Times New Roman" w:hAnsi="Times New Roman" w:cs="Times New Roman"/>
          <w:sz w:val="24"/>
          <w:szCs w:val="24"/>
        </w:rPr>
      </w:pPr>
      <w:proofErr w:type="spellStart"/>
      <w:r>
        <w:rPr>
          <w:rFonts w:ascii="Garamond" w:eastAsia="Garamond" w:hAnsi="Garamond" w:cs="Garamond"/>
          <w:color w:val="000000"/>
        </w:rPr>
        <w:t>Hulley</w:t>
      </w:r>
      <w:proofErr w:type="spellEnd"/>
      <w:r>
        <w:rPr>
          <w:rFonts w:ascii="Garamond" w:eastAsia="Garamond" w:hAnsi="Garamond" w:cs="Garamond"/>
          <w:color w:val="000000"/>
        </w:rPr>
        <w:t xml:space="preserve">, G. (2018). </w:t>
      </w:r>
      <w:proofErr w:type="spellStart"/>
      <w:r>
        <w:rPr>
          <w:rFonts w:ascii="Garamond" w:eastAsia="Garamond" w:hAnsi="Garamond" w:cs="Garamond"/>
          <w:color w:val="000000"/>
        </w:rPr>
        <w:t>ECOsystem</w:t>
      </w:r>
      <w:proofErr w:type="spellEnd"/>
      <w:r>
        <w:rPr>
          <w:rFonts w:ascii="Garamond" w:eastAsia="Garamond" w:hAnsi="Garamond" w:cs="Garamond"/>
          <w:color w:val="000000"/>
        </w:rPr>
        <w:t xml:space="preserve"> </w:t>
      </w:r>
      <w:proofErr w:type="spellStart"/>
      <w:r>
        <w:rPr>
          <w:rFonts w:ascii="Garamond" w:eastAsia="Garamond" w:hAnsi="Garamond" w:cs="Garamond"/>
          <w:color w:val="000000"/>
        </w:rPr>
        <w:t>Spaceborne</w:t>
      </w:r>
      <w:proofErr w:type="spellEnd"/>
      <w:r>
        <w:rPr>
          <w:rFonts w:ascii="Garamond" w:eastAsia="Garamond" w:hAnsi="Garamond" w:cs="Garamond"/>
          <w:color w:val="000000"/>
        </w:rPr>
        <w:t xml:space="preserve"> Thermal Radiometer Experiment on Space Station (ECOSTRESS) Mission: Level 2 Product Specification Document. </w:t>
      </w:r>
      <w:proofErr w:type="spellStart"/>
      <w:r>
        <w:rPr>
          <w:rFonts w:ascii="Garamond" w:eastAsia="Garamond" w:hAnsi="Garamond" w:cs="Garamond"/>
          <w:color w:val="000000"/>
        </w:rPr>
        <w:t>Retrievved</w:t>
      </w:r>
      <w:proofErr w:type="spellEnd"/>
      <w:r>
        <w:rPr>
          <w:rFonts w:ascii="Garamond" w:eastAsia="Garamond" w:hAnsi="Garamond" w:cs="Garamond"/>
          <w:color w:val="000000"/>
        </w:rPr>
        <w:t xml:space="preserve"> from https://ecostress.jpl.nasa.gov/downloads/psd/ECOSTRESS_SDS_PSD_L2_ver1-1.pdf</w:t>
      </w:r>
    </w:p>
    <w:p w:rsidR="00F47E29" w:rsidRDefault="008B582B">
      <w:pPr>
        <w:spacing w:after="0" w:line="240" w:lineRule="auto"/>
        <w:ind w:left="720" w:hanging="720"/>
        <w:rPr>
          <w:rFonts w:ascii="Times New Roman" w:eastAsia="Times New Roman" w:hAnsi="Times New Roman" w:cs="Times New Roman"/>
          <w:sz w:val="24"/>
          <w:szCs w:val="24"/>
        </w:rPr>
      </w:pPr>
      <w:r>
        <w:rPr>
          <w:rFonts w:ascii="Garamond" w:eastAsia="Garamond" w:hAnsi="Garamond" w:cs="Garamond"/>
          <w:color w:val="000000"/>
        </w:rPr>
        <w:t xml:space="preserve">Knight, T., Price, S., Bowler, D., and King, S. (2016). </w:t>
      </w:r>
      <w:bookmarkStart w:id="1" w:name="_GoBack"/>
      <w:r>
        <w:rPr>
          <w:rFonts w:ascii="Garamond" w:eastAsia="Garamond" w:hAnsi="Garamond" w:cs="Garamond"/>
          <w:color w:val="000000"/>
        </w:rPr>
        <w:t xml:space="preserve">How effective is ‘greening’ of urban areas in reducing human exposure to </w:t>
      </w:r>
      <w:proofErr w:type="gramStart"/>
      <w:r>
        <w:rPr>
          <w:rFonts w:ascii="Garamond" w:eastAsia="Garamond" w:hAnsi="Garamond" w:cs="Garamond"/>
          <w:color w:val="000000"/>
        </w:rPr>
        <w:t>ground-level</w:t>
      </w:r>
      <w:proofErr w:type="gramEnd"/>
      <w:r>
        <w:rPr>
          <w:rFonts w:ascii="Garamond" w:eastAsia="Garamond" w:hAnsi="Garamond" w:cs="Garamond"/>
          <w:color w:val="000000"/>
        </w:rPr>
        <w:t xml:space="preserve"> ozone concentrations, UV exposure and the ‘urban heat island effect’? A protocol to update a systematic review</w:t>
      </w:r>
      <w:bookmarkEnd w:id="1"/>
      <w:r>
        <w:rPr>
          <w:rFonts w:ascii="Garamond" w:eastAsia="Garamond" w:hAnsi="Garamond" w:cs="Garamond"/>
          <w:color w:val="000000"/>
        </w:rPr>
        <w:t xml:space="preserve">. </w:t>
      </w:r>
      <w:r>
        <w:rPr>
          <w:rFonts w:ascii="Garamond" w:eastAsia="Garamond" w:hAnsi="Garamond" w:cs="Garamond"/>
          <w:i/>
          <w:color w:val="000000"/>
        </w:rPr>
        <w:t>Environmental E</w:t>
      </w:r>
      <w:r w:rsidR="00386572">
        <w:rPr>
          <w:rFonts w:ascii="Garamond" w:eastAsia="Garamond" w:hAnsi="Garamond" w:cs="Garamond"/>
          <w:i/>
          <w:color w:val="000000"/>
        </w:rPr>
        <w:t>vidence,</w:t>
      </w:r>
      <w:r>
        <w:rPr>
          <w:rFonts w:ascii="Garamond" w:eastAsia="Garamond" w:hAnsi="Garamond" w:cs="Garamond"/>
          <w:i/>
          <w:color w:val="000000"/>
        </w:rPr>
        <w:t xml:space="preserve"> </w:t>
      </w:r>
      <w:r>
        <w:rPr>
          <w:rFonts w:ascii="Garamond" w:eastAsia="Garamond" w:hAnsi="Garamond" w:cs="Garamond"/>
          <w:color w:val="000000"/>
        </w:rPr>
        <w:t>5</w:t>
      </w:r>
      <w:r w:rsidR="00386572">
        <w:rPr>
          <w:rFonts w:ascii="Garamond" w:eastAsia="Garamond" w:hAnsi="Garamond" w:cs="Garamond"/>
          <w:color w:val="000000"/>
        </w:rPr>
        <w:t>(3)</w:t>
      </w:r>
      <w:r>
        <w:rPr>
          <w:rFonts w:ascii="Garamond" w:eastAsia="Garamond" w:hAnsi="Garamond" w:cs="Garamond"/>
          <w:i/>
          <w:color w:val="000000"/>
        </w:rPr>
        <w:t xml:space="preserve">. </w:t>
      </w:r>
      <w:r>
        <w:rPr>
          <w:rFonts w:ascii="Garamond" w:eastAsia="Garamond" w:hAnsi="Garamond" w:cs="Garamond"/>
          <w:color w:val="000000"/>
        </w:rPr>
        <w:t xml:space="preserve">Retrieved from </w:t>
      </w:r>
      <w:r>
        <w:rPr>
          <w:rFonts w:ascii="Garamond" w:eastAsia="Garamond" w:hAnsi="Garamond" w:cs="Garamond"/>
        </w:rPr>
        <w:t>https://environmentalevidencejournal.biomedcentral.com/track/pdf/10.1186/s13750-016-0054-y</w:t>
      </w:r>
    </w:p>
    <w:p w:rsidR="00F47E29" w:rsidRDefault="00F47E29">
      <w:pPr>
        <w:spacing w:after="0" w:line="240" w:lineRule="auto"/>
        <w:rPr>
          <w:rFonts w:ascii="Times New Roman" w:eastAsia="Times New Roman" w:hAnsi="Times New Roman" w:cs="Times New Roman"/>
          <w:sz w:val="24"/>
          <w:szCs w:val="24"/>
        </w:rPr>
      </w:pPr>
    </w:p>
    <w:p w:rsidR="00F47E29" w:rsidRDefault="008B582B">
      <w:pPr>
        <w:spacing w:after="0" w:line="240" w:lineRule="auto"/>
        <w:ind w:left="720" w:hanging="720"/>
        <w:rPr>
          <w:rFonts w:ascii="Times New Roman" w:eastAsia="Times New Roman" w:hAnsi="Times New Roman" w:cs="Times New Roman"/>
          <w:sz w:val="24"/>
          <w:szCs w:val="24"/>
        </w:rPr>
      </w:pPr>
      <w:r>
        <w:rPr>
          <w:rFonts w:ascii="Garamond" w:eastAsia="Garamond" w:hAnsi="Garamond" w:cs="Garamond"/>
          <w:color w:val="000000"/>
        </w:rPr>
        <w:t xml:space="preserve">Jiménez-Muñoz, J. C., </w:t>
      </w:r>
      <w:proofErr w:type="spellStart"/>
      <w:r>
        <w:rPr>
          <w:rFonts w:ascii="Garamond" w:eastAsia="Garamond" w:hAnsi="Garamond" w:cs="Garamond"/>
          <w:color w:val="000000"/>
        </w:rPr>
        <w:t>Sobrino</w:t>
      </w:r>
      <w:proofErr w:type="spellEnd"/>
      <w:r>
        <w:rPr>
          <w:rFonts w:ascii="Garamond" w:eastAsia="Garamond" w:hAnsi="Garamond" w:cs="Garamond"/>
          <w:color w:val="000000"/>
        </w:rPr>
        <w:t xml:space="preserve">, J. A., </w:t>
      </w:r>
      <w:proofErr w:type="spellStart"/>
      <w:r>
        <w:rPr>
          <w:rFonts w:ascii="Garamond" w:eastAsia="Garamond" w:hAnsi="Garamond" w:cs="Garamond"/>
          <w:color w:val="000000"/>
        </w:rPr>
        <w:t>Skoković</w:t>
      </w:r>
      <w:proofErr w:type="spellEnd"/>
      <w:r>
        <w:rPr>
          <w:rFonts w:ascii="Garamond" w:eastAsia="Garamond" w:hAnsi="Garamond" w:cs="Garamond"/>
          <w:color w:val="000000"/>
        </w:rPr>
        <w:t xml:space="preserve">, D., </w:t>
      </w:r>
      <w:proofErr w:type="spellStart"/>
      <w:r>
        <w:rPr>
          <w:rFonts w:ascii="Garamond" w:eastAsia="Garamond" w:hAnsi="Garamond" w:cs="Garamond"/>
          <w:color w:val="000000"/>
        </w:rPr>
        <w:t>Mattar</w:t>
      </w:r>
      <w:proofErr w:type="spellEnd"/>
      <w:r>
        <w:rPr>
          <w:rFonts w:ascii="Garamond" w:eastAsia="Garamond" w:hAnsi="Garamond" w:cs="Garamond"/>
          <w:color w:val="000000"/>
        </w:rPr>
        <w:t xml:space="preserve">, C., &amp; </w:t>
      </w:r>
      <w:proofErr w:type="spellStart"/>
      <w:r>
        <w:rPr>
          <w:rFonts w:ascii="Garamond" w:eastAsia="Garamond" w:hAnsi="Garamond" w:cs="Garamond"/>
          <w:color w:val="000000"/>
        </w:rPr>
        <w:t>Cristóbal</w:t>
      </w:r>
      <w:proofErr w:type="spellEnd"/>
      <w:r>
        <w:rPr>
          <w:rFonts w:ascii="Garamond" w:eastAsia="Garamond" w:hAnsi="Garamond" w:cs="Garamond"/>
          <w:color w:val="000000"/>
        </w:rPr>
        <w:t xml:space="preserve">, J. (2014). Land </w:t>
      </w:r>
      <w:proofErr w:type="gramStart"/>
      <w:r>
        <w:rPr>
          <w:rFonts w:ascii="Garamond" w:eastAsia="Garamond" w:hAnsi="Garamond" w:cs="Garamond"/>
          <w:color w:val="000000"/>
        </w:rPr>
        <w:t>surface temperature retrieval methods</w:t>
      </w:r>
      <w:proofErr w:type="gramEnd"/>
      <w:r>
        <w:rPr>
          <w:rFonts w:ascii="Garamond" w:eastAsia="Garamond" w:hAnsi="Garamond" w:cs="Garamond"/>
          <w:color w:val="000000"/>
        </w:rPr>
        <w:t xml:space="preserve"> from Landsat-8 thermal infrared sensor data. </w:t>
      </w:r>
      <w:r>
        <w:rPr>
          <w:rFonts w:ascii="Garamond" w:eastAsia="Garamond" w:hAnsi="Garamond" w:cs="Garamond"/>
          <w:i/>
          <w:color w:val="000000"/>
        </w:rPr>
        <w:t>IEEE Geoscience and Remote Sensing Letters, 11</w:t>
      </w:r>
      <w:r>
        <w:rPr>
          <w:rFonts w:ascii="Garamond" w:eastAsia="Garamond" w:hAnsi="Garamond" w:cs="Garamond"/>
          <w:color w:val="000000"/>
        </w:rPr>
        <w:t xml:space="preserve">(10), 1840-1843. Retrieved from </w:t>
      </w:r>
      <w:r>
        <w:rPr>
          <w:rFonts w:ascii="Garamond" w:eastAsia="Garamond" w:hAnsi="Garamond" w:cs="Garamond"/>
        </w:rPr>
        <w:t>https://ieeexplore.ieee.org/abstract/document/6784508/?reload=true</w:t>
      </w:r>
    </w:p>
    <w:p w:rsidR="00F47E29" w:rsidRDefault="00F47E29">
      <w:pPr>
        <w:spacing w:after="0" w:line="240" w:lineRule="auto"/>
        <w:rPr>
          <w:rFonts w:ascii="Times New Roman" w:eastAsia="Times New Roman" w:hAnsi="Times New Roman" w:cs="Times New Roman"/>
          <w:sz w:val="24"/>
          <w:szCs w:val="24"/>
        </w:rPr>
      </w:pPr>
    </w:p>
    <w:p w:rsidR="00F47E29" w:rsidRDefault="00F47E29">
      <w:pPr>
        <w:shd w:val="clear" w:color="auto" w:fill="FFFFFF"/>
        <w:spacing w:before="180" w:after="180" w:line="240" w:lineRule="auto"/>
        <w:ind w:left="-90"/>
        <w:jc w:val="both"/>
      </w:pPr>
    </w:p>
    <w:sectPr w:rsidR="00F47E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Y3NTW0NAHSZobG5ko6SsGpxcWZ+XkgBYa1AHvA+rssAAAA"/>
  </w:docVars>
  <w:rsids>
    <w:rsidRoot w:val="00F47E29"/>
    <w:rsid w:val="00141272"/>
    <w:rsid w:val="00386572"/>
    <w:rsid w:val="008B582B"/>
    <w:rsid w:val="00F4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5A736"/>
  <w15:docId w15:val="{7F63C12F-F077-4655-BC55-3179377B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DB5D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B5D45"/>
  </w:style>
  <w:style w:type="character" w:styleId="Hyperlink">
    <w:name w:val="Hyperlink"/>
    <w:basedOn w:val="DefaultParagraphFont"/>
    <w:uiPriority w:val="99"/>
    <w:semiHidden/>
    <w:unhideWhenUsed/>
    <w:rsid w:val="00DB5D45"/>
    <w:rPr>
      <w:color w:val="0000FF"/>
      <w:u w:val="single"/>
    </w:rPr>
  </w:style>
  <w:style w:type="character" w:styleId="CommentReference">
    <w:name w:val="annotation reference"/>
    <w:basedOn w:val="DefaultParagraphFont"/>
    <w:uiPriority w:val="99"/>
    <w:semiHidden/>
    <w:unhideWhenUsed/>
    <w:rsid w:val="00BC4E71"/>
    <w:rPr>
      <w:sz w:val="16"/>
      <w:szCs w:val="16"/>
    </w:rPr>
  </w:style>
  <w:style w:type="paragraph" w:styleId="CommentText">
    <w:name w:val="annotation text"/>
    <w:basedOn w:val="Normal"/>
    <w:link w:val="CommentTextChar"/>
    <w:uiPriority w:val="99"/>
    <w:unhideWhenUsed/>
    <w:rsid w:val="00BC4E71"/>
    <w:pPr>
      <w:spacing w:line="240" w:lineRule="auto"/>
    </w:pPr>
    <w:rPr>
      <w:sz w:val="20"/>
      <w:szCs w:val="20"/>
    </w:rPr>
  </w:style>
  <w:style w:type="character" w:customStyle="1" w:styleId="CommentTextChar">
    <w:name w:val="Comment Text Char"/>
    <w:basedOn w:val="DefaultParagraphFont"/>
    <w:link w:val="CommentText"/>
    <w:uiPriority w:val="99"/>
    <w:rsid w:val="00BC4E71"/>
    <w:rPr>
      <w:sz w:val="20"/>
      <w:szCs w:val="20"/>
    </w:rPr>
  </w:style>
  <w:style w:type="paragraph" w:styleId="CommentSubject">
    <w:name w:val="annotation subject"/>
    <w:basedOn w:val="CommentText"/>
    <w:next w:val="CommentText"/>
    <w:link w:val="CommentSubjectChar"/>
    <w:uiPriority w:val="99"/>
    <w:semiHidden/>
    <w:unhideWhenUsed/>
    <w:rsid w:val="00BC4E71"/>
    <w:rPr>
      <w:b/>
      <w:bCs/>
    </w:rPr>
  </w:style>
  <w:style w:type="character" w:customStyle="1" w:styleId="CommentSubjectChar">
    <w:name w:val="Comment Subject Char"/>
    <w:basedOn w:val="CommentTextChar"/>
    <w:link w:val="CommentSubject"/>
    <w:uiPriority w:val="99"/>
    <w:semiHidden/>
    <w:rsid w:val="00BC4E71"/>
    <w:rPr>
      <w:b/>
      <w:bCs/>
      <w:sz w:val="20"/>
      <w:szCs w:val="20"/>
    </w:rPr>
  </w:style>
  <w:style w:type="paragraph" w:styleId="BalloonText">
    <w:name w:val="Balloon Text"/>
    <w:basedOn w:val="Normal"/>
    <w:link w:val="BalloonTextChar"/>
    <w:uiPriority w:val="99"/>
    <w:semiHidden/>
    <w:unhideWhenUsed/>
    <w:rsid w:val="00BC4E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E71"/>
    <w:rPr>
      <w:rFonts w:ascii="Segoe UI" w:hAnsi="Segoe UI" w:cs="Segoe UI"/>
      <w:sz w:val="18"/>
      <w:szCs w:val="18"/>
    </w:rPr>
  </w:style>
  <w:style w:type="paragraph" w:styleId="Revision">
    <w:name w:val="Revision"/>
    <w:hidden/>
    <w:uiPriority w:val="99"/>
    <w:semiHidden/>
    <w:rsid w:val="00334225"/>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KIZFrISAWEoATgrjY1uecisiYw==">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1948</Words>
  <Characters>11109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UAH</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Madison Murphy</dc:creator>
  <cp:lastModifiedBy>Clayton, Amanda L. (LARC-E3)[SSAI DEVELOP]</cp:lastModifiedBy>
  <cp:revision>2</cp:revision>
  <dcterms:created xsi:type="dcterms:W3CDTF">2019-05-31T06:03:00Z</dcterms:created>
  <dcterms:modified xsi:type="dcterms:W3CDTF">2019-05-31T06:03:00Z</dcterms:modified>
</cp:coreProperties>
</file>