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bookmarkStart w:id="0" w:name="_GoBack"/>
      <w:bookmarkEnd w:id="0"/>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9A71CFB"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GESTAR/USRA,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0A0B2ED2"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Goddard Earth Sciences, Technology and Research/Universities Space Research Association</w:t>
      </w:r>
      <w:r w:rsidR="00A22A42">
        <w:rPr>
          <w:rFonts w:ascii="Century Gothic" w:hAnsi="Century Gothic" w:cs="Arial"/>
          <w:sz w:val="20"/>
          <w:szCs w:val="20"/>
        </w:rPr>
        <w:t xml:space="preserve"> (</w:t>
      </w:r>
      <w:r>
        <w:rPr>
          <w:rFonts w:ascii="Century Gothic" w:hAnsi="Century Gothic" w:cs="Arial"/>
          <w:sz w:val="20"/>
          <w:szCs w:val="20"/>
        </w:rPr>
        <w:t>Collaborator</w:t>
      </w:r>
      <w:r w:rsidR="00A22A42">
        <w:rPr>
          <w:rFonts w:ascii="Century Gothic" w:hAnsi="Century Gothic" w:cs="Arial"/>
          <w:sz w:val="20"/>
          <w:szCs w:val="20"/>
        </w:rPr>
        <w:t xml:space="preserve">), POC: </w:t>
      </w:r>
      <w:r>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23638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360ABB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A04DB">
        <w:rPr>
          <w:rFonts w:ascii="Century Gothic" w:hAnsi="Century Gothic" w:cs="Arial"/>
          <w:sz w:val="20"/>
          <w:szCs w:val="20"/>
        </w:rPr>
        <w:t>Outer Continental Shelf (OCS) of the Gul</w:t>
      </w:r>
      <w:r w:rsidR="00D962BB">
        <w:rPr>
          <w:rFonts w:ascii="Century Gothic" w:hAnsi="Century Gothic" w:cs="Arial"/>
          <w:sz w:val="20"/>
          <w:szCs w:val="20"/>
        </w:rPr>
        <w:t>f of Mexico including onshore areas of Texas (TX), Louisiana (LA), Mississippi (MS), and Alabama (AL)</w:t>
      </w:r>
      <w:r w:rsidR="00603BB8">
        <w:rPr>
          <w:rFonts w:ascii="Century Gothic" w:hAnsi="Century Gothic" w:cs="Arial"/>
          <w:sz w:val="20"/>
          <w:szCs w:val="20"/>
        </w:rPr>
        <w:t xml:space="preserve">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EBC1C6B" w:rsidR="00E80174" w:rsidRP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Aqua/Terra,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Aerosol Optical Depth (AOD) at 550nm wavelength</w:t>
      </w:r>
    </w:p>
    <w:p w14:paraId="77397EE2" w14:textId="1B174DB4" w:rsid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Aura, OMI – Nitrogen Dioxide (NO</w:t>
      </w:r>
      <w:r w:rsidRPr="00264E01">
        <w:rPr>
          <w:rFonts w:ascii="Century Gothic" w:hAnsi="Century Gothic" w:cs="Arial"/>
          <w:sz w:val="20"/>
          <w:szCs w:val="20"/>
          <w:vertAlign w:val="subscript"/>
        </w:rPr>
        <w:t>2</w:t>
      </w:r>
      <w:r>
        <w:rPr>
          <w:rFonts w:ascii="Century Gothic" w:hAnsi="Century Gothic" w:cs="Arial"/>
          <w:sz w:val="20"/>
          <w:szCs w:val="20"/>
        </w:rPr>
        <w:t>) and Sulfur Dioxide (SO</w:t>
      </w:r>
      <w:r w:rsidRPr="00264E01">
        <w:rPr>
          <w:rFonts w:ascii="Century Gothic" w:hAnsi="Century Gothic" w:cs="Arial"/>
          <w:sz w:val="20"/>
          <w:szCs w:val="20"/>
          <w:vertAlign w:val="subscript"/>
        </w:rPr>
        <w:t>2</w:t>
      </w:r>
      <w:r>
        <w:rPr>
          <w:rFonts w:ascii="Century Gothic"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w:t>
      </w:r>
      <w:proofErr w:type="spellStart"/>
      <w:r>
        <w:rPr>
          <w:rFonts w:ascii="Century Gothic" w:hAnsi="Century Gothic" w:cs="Arial"/>
          <w:sz w:val="20"/>
          <w:szCs w:val="20"/>
        </w:rPr>
        <w:t>Gulfwide</w:t>
      </w:r>
      <w:proofErr w:type="spellEnd"/>
      <w:r>
        <w:rPr>
          <w:rFonts w:ascii="Century Gothic" w:hAnsi="Century Gothic" w:cs="Arial"/>
          <w:sz w:val="20"/>
          <w:szCs w:val="20"/>
        </w:rPr>
        <w:t xml:space="preserv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36464200" w14:textId="56CA9ABC" w:rsidR="00603BB8"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WP-3D Airborne Chemical Laboratory Flights of June 2010</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Air pollution measurements</w:t>
      </w:r>
      <w:r w:rsidR="00603BB8" w:rsidRPr="00E80174">
        <w:rPr>
          <w:rFonts w:ascii="Century Gothic" w:hAnsi="Century Gothic" w:cs="Arial"/>
          <w:sz w:val="20"/>
          <w:szCs w:val="20"/>
        </w:rPr>
        <w:t xml:space="preserve"> </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657BEA06"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EPA </w:t>
      </w:r>
      <w:proofErr w:type="spellStart"/>
      <w:r>
        <w:rPr>
          <w:rFonts w:ascii="Century Gothic" w:hAnsi="Century Gothic" w:cs="Arial"/>
          <w:sz w:val="20"/>
          <w:szCs w:val="20"/>
        </w:rPr>
        <w:t>AirData</w:t>
      </w:r>
      <w:proofErr w:type="spellEnd"/>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Criteria pollutant summary data for onshore monitoring sites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A31420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Aqua/Terra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1A4B2495" w14:textId="259A21B4" w:rsidR="00D962BB" w:rsidRDefault="00D962BB" w:rsidP="00D01FB8">
      <w:pPr>
        <w:spacing w:after="0" w:line="240" w:lineRule="auto"/>
        <w:rPr>
          <w:rFonts w:ascii="Century Gothic" w:hAnsi="Century Gothic" w:cs="Arial"/>
          <w:sz w:val="20"/>
          <w:szCs w:val="20"/>
        </w:rPr>
      </w:pP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250BCECF"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 Aqua/Terra MODIS and Aura OMI</w:t>
      </w:r>
      <w:r w:rsidR="00D01FB8">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429E3A74" w:rsidR="003F68F5" w:rsidRPr="00D579FC"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objectives of the Gulf of Mexico Health and Air Quality project were to map and analyze airborne pollutant concentrations of PM 2.5 aerosol, nitrogen dioxide (NO</w:t>
      </w:r>
      <w:r w:rsidRPr="00D01FB8">
        <w:rPr>
          <w:rFonts w:ascii="Century Gothic" w:hAnsi="Century Gothic"/>
          <w:color w:val="000000"/>
          <w:sz w:val="20"/>
          <w:szCs w:val="20"/>
          <w:vertAlign w:val="subscript"/>
        </w:rPr>
        <w:t>2</w:t>
      </w:r>
      <w:r w:rsidRPr="00D01FB8">
        <w:rPr>
          <w:rFonts w:ascii="Century Gothic" w:hAnsi="Century Gothic"/>
          <w:color w:val="000000"/>
          <w:sz w:val="20"/>
          <w:szCs w:val="20"/>
        </w:rPr>
        <w:t>)</w:t>
      </w:r>
      <w:r w:rsidR="009C4A78">
        <w:rPr>
          <w:rFonts w:ascii="Century Gothic" w:hAnsi="Century Gothic"/>
          <w:color w:val="000000"/>
          <w:sz w:val="20"/>
          <w:szCs w:val="20"/>
        </w:rPr>
        <w:t>,</w:t>
      </w:r>
      <w:r w:rsidRPr="00D01FB8">
        <w:rPr>
          <w:rFonts w:ascii="Century Gothic" w:hAnsi="Century Gothic"/>
          <w:color w:val="000000"/>
          <w:sz w:val="20"/>
          <w:szCs w:val="20"/>
        </w:rPr>
        <w:t xml:space="preserve"> and sulfur dioxide (SO</w:t>
      </w:r>
      <w:r w:rsidRPr="00D01FB8">
        <w:rPr>
          <w:rFonts w:ascii="Century Gothic" w:hAnsi="Century Gothic"/>
          <w:color w:val="000000"/>
          <w:sz w:val="20"/>
          <w:szCs w:val="20"/>
          <w:vertAlign w:val="subscript"/>
        </w:rPr>
        <w:t>2</w:t>
      </w:r>
      <w:r>
        <w:rPr>
          <w:rFonts w:ascii="Century Gothic" w:hAnsi="Century Gothic"/>
          <w:color w:val="000000"/>
          <w:sz w:val="20"/>
          <w:szCs w:val="20"/>
        </w:rPr>
        <w:t xml:space="preserve">) using remotely sensed </w:t>
      </w:r>
      <w:r w:rsidRPr="00D01FB8">
        <w:rPr>
          <w:rFonts w:ascii="Century Gothic" w:hAnsi="Century Gothic"/>
          <w:color w:val="000000"/>
          <w:sz w:val="20"/>
          <w:szCs w:val="20"/>
        </w:rPr>
        <w:t>data from NASA’s Aqua/Terra MODIS and Au</w:t>
      </w:r>
      <w:r>
        <w:rPr>
          <w:rFonts w:ascii="Century Gothic" w:hAnsi="Century Gothic"/>
          <w:color w:val="000000"/>
          <w:sz w:val="20"/>
          <w:szCs w:val="20"/>
        </w:rPr>
        <w:t xml:space="preserve">ra OMI satellite instruments. </w:t>
      </w:r>
      <w:r w:rsidRPr="00D01FB8">
        <w:rPr>
          <w:rFonts w:ascii="Century Gothic" w:hAnsi="Century Gothic"/>
          <w:color w:val="000000"/>
          <w:sz w:val="20"/>
          <w:szCs w:val="20"/>
        </w:rPr>
        <w:t xml:space="preserve">Pollutant data was compared to </w:t>
      </w:r>
      <w:r w:rsidRPr="00D01FB8">
        <w:rPr>
          <w:rFonts w:ascii="Century Gothic" w:hAnsi="Century Gothic"/>
          <w:i/>
          <w:iCs/>
          <w:color w:val="000000"/>
          <w:sz w:val="20"/>
          <w:szCs w:val="20"/>
        </w:rPr>
        <w:t>in situ</w:t>
      </w:r>
      <w:r w:rsidRPr="00D01FB8">
        <w:rPr>
          <w:rFonts w:ascii="Century Gothic" w:hAnsi="Century Gothic"/>
          <w:color w:val="000000"/>
          <w:sz w:val="20"/>
          <w:szCs w:val="20"/>
        </w:rPr>
        <w:t xml:space="preserve"> </w:t>
      </w:r>
      <w:r w:rsidR="009C4A78">
        <w:rPr>
          <w:rFonts w:ascii="Century Gothic" w:hAnsi="Century Gothic"/>
          <w:color w:val="000000"/>
          <w:sz w:val="20"/>
          <w:szCs w:val="20"/>
        </w:rPr>
        <w:t xml:space="preserve">offshore emissions </w:t>
      </w:r>
      <w:r w:rsidRPr="00D01FB8">
        <w:rPr>
          <w:rFonts w:ascii="Century Gothic" w:hAnsi="Century Gothic"/>
          <w:color w:val="000000"/>
          <w:sz w:val="20"/>
          <w:szCs w:val="20"/>
        </w:rPr>
        <w:t xml:space="preserve">data collected by the Bureau of Ocean Energy Management (BOEM) and </w:t>
      </w:r>
      <w:r w:rsidR="009C4A78">
        <w:rPr>
          <w:rFonts w:ascii="Century Gothic" w:hAnsi="Century Gothic"/>
          <w:color w:val="000000"/>
          <w:sz w:val="20"/>
          <w:szCs w:val="20"/>
        </w:rPr>
        <w:t xml:space="preserve">onshore surface concentrations from the </w:t>
      </w:r>
      <w:r w:rsidRPr="00D01FB8">
        <w:rPr>
          <w:rFonts w:ascii="Century Gothic" w:hAnsi="Century Gothic"/>
          <w:color w:val="000000"/>
          <w:sz w:val="20"/>
          <w:szCs w:val="20"/>
        </w:rPr>
        <w:t>U.S. Environmental Protection Agency (EPA) to determine correlations between these pollutants and primary emission sources</w:t>
      </w:r>
      <w:r>
        <w:rPr>
          <w:rFonts w:ascii="Century Gothic" w:hAnsi="Century Gothic"/>
          <w:color w:val="000000"/>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0CC3897A" w:rsidR="003F68F5"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Aqua/Terra Moderate Resolution Imaging </w:t>
      </w:r>
      <w:proofErr w:type="spellStart"/>
      <w:r w:rsidRPr="00D01FB8">
        <w:rPr>
          <w:rFonts w:ascii="Century Gothic" w:hAnsi="Century Gothic"/>
          <w:color w:val="000000"/>
          <w:sz w:val="20"/>
          <w:szCs w:val="20"/>
        </w:rPr>
        <w:t>Spectroradiometer</w:t>
      </w:r>
      <w:proofErr w:type="spellEnd"/>
      <w:r w:rsidRPr="00D01FB8">
        <w:rPr>
          <w:rFonts w:ascii="Century Gothic" w:hAnsi="Century Gothic"/>
          <w:color w:val="000000"/>
          <w:sz w:val="20"/>
          <w:szCs w:val="20"/>
        </w:rPr>
        <w:t xml:space="preserve"> (MODIS) and Aura Ozone Monitoring Instrument (OMI) data were used to create emissions profiles for PM 2.5, nitrogen dioxide, and sulfur dioxide for the Gulf of Mexico. These data were then validated against ground truth data using NASA’s AERONET dataset co</w:t>
      </w:r>
      <w:r>
        <w:rPr>
          <w:rFonts w:ascii="Century Gothic" w:hAnsi="Century Gothic"/>
          <w:color w:val="000000"/>
          <w:sz w:val="20"/>
          <w:szCs w:val="20"/>
        </w:rPr>
        <w:t xml:space="preserve">mparison and correlation tool. </w:t>
      </w:r>
      <w:r w:rsidRPr="00D01FB8">
        <w:rPr>
          <w:rFonts w:ascii="Century Gothic" w:hAnsi="Century Gothic"/>
          <w:color w:val="000000"/>
          <w:sz w:val="20"/>
          <w:szCs w:val="20"/>
        </w:rPr>
        <w:t>Post validation, time series and time averaged maps were created to illustrate emissions over the 2000-2015 timeframe</w:t>
      </w:r>
      <w:r w:rsidRPr="00CB7D01">
        <w:rPr>
          <w:rFonts w:ascii="Century Gothic" w:hAnsi="Century Gothic"/>
          <w:sz w:val="20"/>
          <w:szCs w:val="20"/>
        </w:rPr>
        <w:t>.</w:t>
      </w:r>
      <w:r w:rsidRPr="00D01FB8">
        <w:rPr>
          <w:rFonts w:ascii="Century Gothic" w:hAnsi="Century Gothic"/>
          <w:color w:val="000000"/>
          <w:sz w:val="20"/>
          <w:szCs w:val="20"/>
        </w:rPr>
        <w:t xml:space="preserve"> Lastly, satellite data were extracted and linked with data provided by the Bureau of Ocean Energy Management’s platform sites to identify areas where emissions levels are above </w:t>
      </w:r>
      <w:r>
        <w:rPr>
          <w:rFonts w:ascii="Century Gothic" w:hAnsi="Century Gothic"/>
          <w:color w:val="000000"/>
          <w:sz w:val="20"/>
          <w:szCs w:val="20"/>
        </w:rPr>
        <w:t>the permitted thresholds.</w:t>
      </w:r>
      <w:r w:rsidRPr="00D01FB8">
        <w:rPr>
          <w:rFonts w:ascii="Century Gothic" w:hAnsi="Century Gothic"/>
          <w:color w:val="000000"/>
          <w:sz w:val="20"/>
          <w:szCs w:val="20"/>
        </w:rPr>
        <w:t> Data provided by the U.S. Environmental Protection Agency’s (EPA) onshore pollutant monitoring sites were used to further val</w:t>
      </w:r>
      <w:r>
        <w:rPr>
          <w:rFonts w:ascii="Century Gothic" w:hAnsi="Century Gothic"/>
          <w:color w:val="000000"/>
          <w:sz w:val="20"/>
          <w:szCs w:val="20"/>
        </w:rPr>
        <w:t xml:space="preserve">idate satellite and BOEM data. </w:t>
      </w:r>
      <w:r w:rsidRPr="00D01FB8">
        <w:rPr>
          <w:rFonts w:ascii="Century Gothic" w:hAnsi="Century Gothic"/>
          <w:color w:val="000000"/>
          <w:sz w:val="20"/>
          <w:szCs w:val="20"/>
        </w:rPr>
        <w:t>The project methodology will allow BOEM to use satellite data to monitor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46AC32E2" w:rsidR="00CC6870" w:rsidRPr="00D579FC"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Offshore oil and natural gas drilling in the Gulf of Mexico on over 3,000 platforms produces aerosols, nitrogen dioxide, and sulfur dioxide emissions.</w:t>
      </w:r>
    </w:p>
    <w:p w14:paraId="4D5B68AD" w14:textId="46D1646B" w:rsidR="00CC6870"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These emissions can impact the air quality of communities onshore, causing </w:t>
      </w:r>
      <w:r w:rsidR="00D01FB8">
        <w:rPr>
          <w:rFonts w:ascii="Century Gothic" w:hAnsi="Century Gothic" w:cs="Arial"/>
          <w:sz w:val="20"/>
          <w:szCs w:val="20"/>
        </w:rPr>
        <w:t>health impacts for species living along the coastline of the Gulf of Mexico.</w:t>
      </w:r>
      <w:r>
        <w:rPr>
          <w:rFonts w:ascii="Century Gothic" w:hAnsi="Century Gothic" w:cs="Arial"/>
          <w:sz w:val="20"/>
          <w:szCs w:val="20"/>
        </w:rPr>
        <w:t xml:space="preserve"> </w:t>
      </w:r>
    </w:p>
    <w:p w14:paraId="49E89776" w14:textId="2D8E10A8" w:rsidR="00CC1EF4" w:rsidRPr="009512B3" w:rsidRDefault="009512B3" w:rsidP="00146EB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Point data from individual platform and non-platform sources does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2E3B7C0" w:rsidR="00CC6870" w:rsidRPr="00D579FC" w:rsidRDefault="00D01FB8" w:rsidP="00CC6870">
      <w:pPr>
        <w:spacing w:after="0" w:line="240" w:lineRule="auto"/>
        <w:rPr>
          <w:rFonts w:ascii="Century Gothic" w:hAnsi="Century Gothic" w:cs="Arial"/>
          <w:sz w:val="20"/>
          <w:szCs w:val="20"/>
        </w:rPr>
      </w:pPr>
      <w:r w:rsidRPr="00D01FB8">
        <w:rPr>
          <w:rFonts w:ascii="Century Gothic" w:hAnsi="Century Gothic"/>
          <w:color w:val="000000"/>
          <w:sz w:val="20"/>
          <w:szCs w:val="20"/>
        </w:rPr>
        <w:t>To make a decision regarding air quality, offshore facility operators must include air emission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w:t>
      </w:r>
      <w:r w:rsidR="009C4A78">
        <w:rPr>
          <w:rFonts w:ascii="Century Gothic" w:hAnsi="Century Gothic"/>
          <w:color w:val="000000"/>
          <w:sz w:val="20"/>
          <w:szCs w:val="20"/>
        </w:rPr>
        <w:t>ld amounts of PM 2.5, nitrogen dioxide and sulfur d</w:t>
      </w:r>
      <w:r w:rsidRPr="00D01FB8">
        <w:rPr>
          <w:rFonts w:ascii="Century Gothic" w:hAnsi="Century Gothic"/>
          <w:color w:val="000000"/>
          <w:sz w:val="20"/>
          <w:szCs w:val="20"/>
        </w:rPr>
        <w:t>ioxide that must not be exceeded. BOEM developed a baseline criteria pollutant and greenhous</w:t>
      </w:r>
      <w:r w:rsidR="00AA31AA">
        <w:rPr>
          <w:rFonts w:ascii="Century Gothic" w:hAnsi="Century Gothic"/>
          <w:color w:val="000000"/>
          <w:sz w:val="20"/>
          <w:szCs w:val="20"/>
        </w:rPr>
        <w:t>e gas emissions inventory in 200</w:t>
      </w:r>
      <w:r w:rsidRPr="00D01FB8">
        <w:rPr>
          <w:rFonts w:ascii="Century Gothic" w:hAnsi="Century Gothic"/>
          <w:color w:val="000000"/>
          <w:sz w:val="20"/>
          <w:szCs w:val="20"/>
        </w:rPr>
        <w:t xml:space="preserve">0 for all OCS oil and gas production sources in the GOM and have </w:t>
      </w:r>
      <w:r w:rsidRPr="00D01FB8">
        <w:rPr>
          <w:rFonts w:ascii="Century Gothic" w:hAnsi="Century Gothic"/>
          <w:color w:val="000000"/>
          <w:sz w:val="20"/>
          <w:szCs w:val="20"/>
        </w:rPr>
        <w:lastRenderedPageBreak/>
        <w:t>produced subsequent inventories every 3-5 years. While BOEM is able to monitor air quality through their monthly inventories of platform and non-platform emissions, this type of data is cost prohibitive in producing long-term, regionally scaled studies.</w:t>
      </w:r>
      <w:r w:rsidR="00CC6870"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31B6BC54"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Time Series Analysis: Monthly, seasonal, and annual maps of PM 2.5,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660F23A2"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Aqua/Terra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37C2" w14:textId="77777777" w:rsidR="00DA53C3" w:rsidRDefault="00DA53C3" w:rsidP="00816220">
      <w:pPr>
        <w:spacing w:after="0" w:line="240" w:lineRule="auto"/>
      </w:pPr>
      <w:r>
        <w:separator/>
      </w:r>
    </w:p>
  </w:endnote>
  <w:endnote w:type="continuationSeparator" w:id="0">
    <w:p w14:paraId="709EE528" w14:textId="77777777" w:rsidR="00DA53C3" w:rsidRDefault="00DA53C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67D1B" w14:textId="77777777" w:rsidR="00DA53C3" w:rsidRDefault="00DA53C3" w:rsidP="00816220">
      <w:pPr>
        <w:spacing w:after="0" w:line="240" w:lineRule="auto"/>
      </w:pPr>
      <w:r>
        <w:separator/>
      </w:r>
    </w:p>
  </w:footnote>
  <w:footnote w:type="continuationSeparator" w:id="0">
    <w:p w14:paraId="6379AEC6" w14:textId="77777777" w:rsidR="00DA53C3" w:rsidRDefault="00DA53C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33296"/>
    <w:rsid w:val="001726C7"/>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603BB8"/>
    <w:rsid w:val="006413D6"/>
    <w:rsid w:val="00677CB8"/>
    <w:rsid w:val="006923D3"/>
    <w:rsid w:val="006A6894"/>
    <w:rsid w:val="006F18ED"/>
    <w:rsid w:val="00707C56"/>
    <w:rsid w:val="00713999"/>
    <w:rsid w:val="007338D2"/>
    <w:rsid w:val="007512A3"/>
    <w:rsid w:val="00753BE3"/>
    <w:rsid w:val="0075569C"/>
    <w:rsid w:val="00770D88"/>
    <w:rsid w:val="007E48F8"/>
    <w:rsid w:val="007E4F6F"/>
    <w:rsid w:val="00816220"/>
    <w:rsid w:val="00860A65"/>
    <w:rsid w:val="008746A4"/>
    <w:rsid w:val="008B166F"/>
    <w:rsid w:val="008C2F10"/>
    <w:rsid w:val="00902BE7"/>
    <w:rsid w:val="0093138E"/>
    <w:rsid w:val="009512B3"/>
    <w:rsid w:val="0097582D"/>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6AAF-2589-444D-9EFD-46477CA9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(GSFC-6170)[DEVELOP]</cp:lastModifiedBy>
  <cp:revision>3</cp:revision>
  <dcterms:created xsi:type="dcterms:W3CDTF">2016-02-11T14:42:00Z</dcterms:created>
  <dcterms:modified xsi:type="dcterms:W3CDTF">2016-02-11T14:43:00Z</dcterms:modified>
</cp:coreProperties>
</file>