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3202" w:rsidRDefault="00C3667D">
      <w:pPr>
        <w:spacing w:after="0" w:line="240" w:lineRule="auto"/>
        <w:jc w:val="right"/>
      </w:pPr>
      <w:r>
        <w:rPr>
          <w:rFonts w:ascii="Century Gothic" w:eastAsia="Century Gothic" w:hAnsi="Century Gothic" w:cs="Century Gothic"/>
          <w:b/>
          <w:sz w:val="28"/>
          <w:szCs w:val="28"/>
        </w:rPr>
        <w:t>NASA DEVELOP National Program</w:t>
      </w:r>
    </w:p>
    <w:p w:rsidR="00613202" w:rsidRDefault="00702B6E">
      <w:pPr>
        <w:spacing w:after="0" w:line="240" w:lineRule="auto"/>
        <w:jc w:val="right"/>
      </w:pPr>
      <w:r>
        <w:rPr>
          <w:noProof/>
        </w:rPr>
        <w:drawing>
          <wp:inline distT="0" distB="0" distL="0" distR="0" wp14:anchorId="6896E8EF" wp14:editId="5A129909">
            <wp:extent cx="5943600" cy="297180"/>
            <wp:effectExtent l="0" t="0" r="0" b="7620"/>
            <wp:docPr id="16" name="Picture 15"/>
            <wp:cNvGraphicFramePr/>
            <a:graphic xmlns:a="http://schemas.openxmlformats.org/drawingml/2006/main">
              <a:graphicData uri="http://schemas.openxmlformats.org/drawingml/2006/picture">
                <pic:pic xmlns:pic="http://schemas.openxmlformats.org/drawingml/2006/picture">
                  <pic:nvPicPr>
                    <pic:cNvPr id="16" name="Picture 15"/>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613202" w:rsidRDefault="00C3667D">
      <w:pPr>
        <w:spacing w:after="0" w:line="240" w:lineRule="auto"/>
        <w:jc w:val="right"/>
      </w:pPr>
      <w:r>
        <w:rPr>
          <w:rFonts w:ascii="Century Gothic" w:eastAsia="Century Gothic" w:hAnsi="Century Gothic" w:cs="Century Gothic"/>
          <w:sz w:val="24"/>
          <w:szCs w:val="24"/>
        </w:rPr>
        <w:t>University of Georgia</w:t>
      </w:r>
    </w:p>
    <w:p w:rsidR="00613202" w:rsidRDefault="00C3667D">
      <w:pPr>
        <w:spacing w:after="0" w:line="240" w:lineRule="auto"/>
        <w:jc w:val="right"/>
      </w:pPr>
      <w:r>
        <w:rPr>
          <w:rFonts w:ascii="Century Gothic" w:eastAsia="Century Gothic" w:hAnsi="Century Gothic" w:cs="Century Gothic"/>
          <w:b/>
        </w:rPr>
        <w:t>Summer 2015</w:t>
      </w:r>
    </w:p>
    <w:p w:rsidR="00613202" w:rsidRDefault="00613202">
      <w:pPr>
        <w:spacing w:after="0" w:line="240" w:lineRule="auto"/>
      </w:pPr>
    </w:p>
    <w:p w:rsidR="00613202" w:rsidRDefault="00C3667D">
      <w:pPr>
        <w:spacing w:after="120" w:line="240" w:lineRule="auto"/>
      </w:pPr>
      <w:r>
        <w:rPr>
          <w:rFonts w:ascii="Century Gothic" w:eastAsia="Century Gothic" w:hAnsi="Century Gothic" w:cs="Century Gothic"/>
          <w:b/>
          <w:sz w:val="24"/>
          <w:szCs w:val="24"/>
        </w:rPr>
        <w:t>Short Title: Southeast U.S. Ecological Forecasting</w:t>
      </w:r>
    </w:p>
    <w:p w:rsidR="00613202" w:rsidRDefault="00C3667D">
      <w:pPr>
        <w:spacing w:after="120" w:line="240" w:lineRule="auto"/>
      </w:pPr>
      <w:r>
        <w:rPr>
          <w:rFonts w:ascii="Century Gothic" w:eastAsia="Century Gothic" w:hAnsi="Century Gothic" w:cs="Century Gothic"/>
          <w:b/>
        </w:rPr>
        <w:t>Subtitle:</w:t>
      </w:r>
      <w:r>
        <w:rPr>
          <w:rFonts w:ascii="Century Gothic" w:eastAsia="Century Gothic" w:hAnsi="Century Gothic" w:cs="Century Gothic"/>
        </w:rPr>
        <w:t xml:space="preserve"> Utilizing NASA Earth Observations and Proximal Remote Sensing </w:t>
      </w:r>
      <w:proofErr w:type="gramStart"/>
      <w:r>
        <w:rPr>
          <w:rFonts w:ascii="Century Gothic" w:eastAsia="Century Gothic" w:hAnsi="Century Gothic" w:cs="Century Gothic"/>
        </w:rPr>
        <w:t>To</w:t>
      </w:r>
      <w:proofErr w:type="gramEnd"/>
      <w:r>
        <w:rPr>
          <w:rFonts w:ascii="Century Gothic" w:eastAsia="Century Gothic" w:hAnsi="Century Gothic" w:cs="Century Gothic"/>
        </w:rPr>
        <w:t xml:space="preserve"> Map the </w:t>
      </w:r>
      <w:proofErr w:type="spellStart"/>
      <w:r>
        <w:rPr>
          <w:rFonts w:ascii="Century Gothic" w:eastAsia="Century Gothic" w:hAnsi="Century Gothic" w:cs="Century Gothic"/>
        </w:rPr>
        <w:t>Spatio</w:t>
      </w:r>
      <w:proofErr w:type="spellEnd"/>
      <w:r>
        <w:rPr>
          <w:rFonts w:ascii="Century Gothic" w:eastAsia="Century Gothic" w:hAnsi="Century Gothic" w:cs="Century Gothic"/>
        </w:rPr>
        <w:t xml:space="preserve">-Temporal Distribution of </w:t>
      </w:r>
      <w:proofErr w:type="spellStart"/>
      <w:r>
        <w:rPr>
          <w:rFonts w:ascii="Century Gothic" w:eastAsia="Century Gothic" w:hAnsi="Century Gothic" w:cs="Century Gothic"/>
          <w:i/>
        </w:rPr>
        <w:t>Hydrilla</w:t>
      </w:r>
      <w:proofErr w:type="spellEnd"/>
      <w:r>
        <w:rPr>
          <w:rFonts w:ascii="Century Gothic" w:eastAsia="Century Gothic" w:hAnsi="Century Gothic" w:cs="Century Gothic"/>
          <w:i/>
        </w:rPr>
        <w:t xml:space="preserve"> </w:t>
      </w:r>
      <w:proofErr w:type="spellStart"/>
      <w:r>
        <w:rPr>
          <w:rFonts w:ascii="Century Gothic" w:eastAsia="Century Gothic" w:hAnsi="Century Gothic" w:cs="Century Gothic"/>
          <w:i/>
        </w:rPr>
        <w:t>verticillata</w:t>
      </w:r>
      <w:proofErr w:type="spellEnd"/>
    </w:p>
    <w:p w:rsidR="00613202" w:rsidRDefault="00C3667D">
      <w:pPr>
        <w:spacing w:after="120" w:line="240" w:lineRule="auto"/>
      </w:pPr>
      <w:r>
        <w:rPr>
          <w:rFonts w:ascii="Century Gothic" w:eastAsia="Century Gothic" w:hAnsi="Century Gothic" w:cs="Century Gothic"/>
          <w:b/>
        </w:rPr>
        <w:t xml:space="preserve">VPS Title: </w:t>
      </w:r>
      <w:r>
        <w:rPr>
          <w:rFonts w:ascii="Century Gothic" w:eastAsia="Century Gothic" w:hAnsi="Century Gothic" w:cs="Century Gothic"/>
        </w:rPr>
        <w:t xml:space="preserve">Hunting for </w:t>
      </w:r>
      <w:proofErr w:type="spellStart"/>
      <w:r>
        <w:rPr>
          <w:rFonts w:ascii="Century Gothic" w:eastAsia="Century Gothic" w:hAnsi="Century Gothic" w:cs="Century Gothic"/>
        </w:rPr>
        <w:t>Hydrilla</w:t>
      </w:r>
      <w:proofErr w:type="spellEnd"/>
      <w:r>
        <w:rPr>
          <w:rFonts w:ascii="Century Gothic" w:eastAsia="Century Gothic" w:hAnsi="Century Gothic" w:cs="Century Gothic"/>
        </w:rPr>
        <w:t>: Mapping an Aquatic Intruder</w:t>
      </w:r>
    </w:p>
    <w:p w:rsidR="00702B6E" w:rsidRDefault="00702B6E" w:rsidP="00702B6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Project Team &amp; Partners</w:t>
      </w:r>
    </w:p>
    <w:p w:rsidR="00702B6E" w:rsidRDefault="00702B6E" w:rsidP="00702B6E">
      <w:pPr>
        <w:spacing w:after="0" w:line="240" w:lineRule="auto"/>
        <w:rPr>
          <w:rFonts w:ascii="Century Gothic" w:hAnsi="Century Gothic" w:cs="Arial"/>
          <w:b/>
          <w:sz w:val="20"/>
          <w:szCs w:val="20"/>
        </w:rPr>
      </w:pPr>
      <w:r>
        <w:rPr>
          <w:rFonts w:ascii="Century Gothic" w:hAnsi="Century Gothic" w:cs="Arial"/>
          <w:b/>
          <w:sz w:val="20"/>
          <w:szCs w:val="20"/>
        </w:rPr>
        <w:t>Project Team:</w:t>
      </w:r>
    </w:p>
    <w:p w:rsidR="00613202" w:rsidRDefault="00C3667D">
      <w:pPr>
        <w:spacing w:after="0" w:line="240" w:lineRule="auto"/>
      </w:pPr>
      <w:proofErr w:type="spellStart"/>
      <w:r>
        <w:rPr>
          <w:rFonts w:ascii="Century Gothic" w:eastAsia="Century Gothic" w:hAnsi="Century Gothic" w:cs="Century Gothic"/>
          <w:sz w:val="20"/>
          <w:szCs w:val="20"/>
        </w:rPr>
        <w:t>Shuvankar</w:t>
      </w:r>
      <w:proofErr w:type="spellEnd"/>
      <w:r>
        <w:rPr>
          <w:rFonts w:ascii="Century Gothic" w:eastAsia="Century Gothic" w:hAnsi="Century Gothic" w:cs="Century Gothic"/>
          <w:sz w:val="20"/>
          <w:szCs w:val="20"/>
        </w:rPr>
        <w:t xml:space="preserve"> Ghosh (Project Lead), sghosh.21011984@gmail.com</w:t>
      </w:r>
    </w:p>
    <w:p w:rsidR="00613202" w:rsidRDefault="00C3667D">
      <w:pPr>
        <w:spacing w:after="0" w:line="240" w:lineRule="auto"/>
      </w:pPr>
      <w:r>
        <w:rPr>
          <w:rFonts w:ascii="Century Gothic" w:eastAsia="Century Gothic" w:hAnsi="Century Gothic" w:cs="Century Gothic"/>
          <w:sz w:val="20"/>
          <w:szCs w:val="20"/>
        </w:rPr>
        <w:t xml:space="preserve">Peter </w:t>
      </w:r>
      <w:proofErr w:type="spellStart"/>
      <w:r>
        <w:rPr>
          <w:rFonts w:ascii="Century Gothic" w:eastAsia="Century Gothic" w:hAnsi="Century Gothic" w:cs="Century Gothic"/>
          <w:sz w:val="20"/>
          <w:szCs w:val="20"/>
        </w:rPr>
        <w:t>Hawman</w:t>
      </w:r>
      <w:proofErr w:type="spellEnd"/>
      <w:r>
        <w:rPr>
          <w:rFonts w:ascii="Century Gothic" w:eastAsia="Century Gothic" w:hAnsi="Century Gothic" w:cs="Century Gothic"/>
          <w:sz w:val="20"/>
          <w:szCs w:val="20"/>
        </w:rPr>
        <w:t xml:space="preserve"> (Co-Project Lead), peter.a.hawman@nasa.gov </w:t>
      </w:r>
      <w:bookmarkStart w:id="0" w:name="_GoBack"/>
      <w:bookmarkEnd w:id="0"/>
    </w:p>
    <w:p w:rsidR="00613202" w:rsidRDefault="00C3667D">
      <w:pPr>
        <w:spacing w:after="0" w:line="240" w:lineRule="auto"/>
      </w:pPr>
      <w:proofErr w:type="spellStart"/>
      <w:r>
        <w:rPr>
          <w:rFonts w:ascii="Century Gothic" w:eastAsia="Century Gothic" w:hAnsi="Century Gothic" w:cs="Century Gothic"/>
          <w:sz w:val="20"/>
          <w:szCs w:val="20"/>
        </w:rPr>
        <w:t>Wuyang</w:t>
      </w:r>
      <w:proofErr w:type="spellEnd"/>
      <w:r>
        <w:rPr>
          <w:rFonts w:ascii="Century Gothic" w:eastAsia="Century Gothic" w:hAnsi="Century Gothic" w:cs="Century Gothic"/>
          <w:sz w:val="20"/>
          <w:szCs w:val="20"/>
        </w:rPr>
        <w:t xml:space="preserve"> </w:t>
      </w:r>
      <w:proofErr w:type="spellStart"/>
      <w:proofErr w:type="gramStart"/>
      <w:r>
        <w:rPr>
          <w:rFonts w:ascii="Century Gothic" w:eastAsia="Century Gothic" w:hAnsi="Century Gothic" w:cs="Century Gothic"/>
          <w:sz w:val="20"/>
          <w:szCs w:val="20"/>
        </w:rPr>
        <w:t>Cai</w:t>
      </w:r>
      <w:proofErr w:type="spellEnd"/>
      <w:proofErr w:type="gramEnd"/>
    </w:p>
    <w:p w:rsidR="00613202" w:rsidRDefault="00C3667D">
      <w:pPr>
        <w:spacing w:after="0" w:line="240" w:lineRule="auto"/>
      </w:pPr>
      <w:r>
        <w:rPr>
          <w:rFonts w:ascii="Century Gothic" w:eastAsia="Century Gothic" w:hAnsi="Century Gothic" w:cs="Century Gothic"/>
          <w:sz w:val="20"/>
          <w:szCs w:val="20"/>
        </w:rPr>
        <w:t xml:space="preserve">Elizabeth Dyer </w:t>
      </w:r>
    </w:p>
    <w:p w:rsidR="00613202" w:rsidRDefault="00C3667D">
      <w:pPr>
        <w:spacing w:after="0" w:line="240" w:lineRule="auto"/>
      </w:pPr>
      <w:r>
        <w:rPr>
          <w:rFonts w:ascii="Century Gothic" w:eastAsia="Century Gothic" w:hAnsi="Century Gothic" w:cs="Century Gothic"/>
          <w:sz w:val="20"/>
          <w:szCs w:val="20"/>
        </w:rPr>
        <w:t>Pradeep Kumar R</w:t>
      </w:r>
      <w:r>
        <w:rPr>
          <w:rFonts w:ascii="Century Gothic" w:eastAsia="Century Gothic" w:hAnsi="Century Gothic" w:cs="Century Gothic"/>
          <w:sz w:val="20"/>
          <w:szCs w:val="20"/>
        </w:rPr>
        <w:t xml:space="preserve">agu </w:t>
      </w:r>
      <w:proofErr w:type="spellStart"/>
      <w:r>
        <w:rPr>
          <w:rFonts w:ascii="Century Gothic" w:eastAsia="Century Gothic" w:hAnsi="Century Gothic" w:cs="Century Gothic"/>
          <w:sz w:val="20"/>
          <w:szCs w:val="20"/>
        </w:rPr>
        <w:t>Chanthar</w:t>
      </w:r>
      <w:proofErr w:type="spellEnd"/>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Advisors &amp; Mentors:</w:t>
      </w:r>
    </w:p>
    <w:p w:rsidR="00613202" w:rsidRDefault="00C3667D">
      <w:pPr>
        <w:spacing w:after="0" w:line="240" w:lineRule="auto"/>
      </w:pPr>
      <w:r>
        <w:rPr>
          <w:rFonts w:ascii="Century Gothic" w:eastAsia="Century Gothic" w:hAnsi="Century Gothic" w:cs="Century Gothic"/>
          <w:sz w:val="20"/>
          <w:szCs w:val="20"/>
        </w:rPr>
        <w:t>Dr. Deepak Mishra (University of Georgia)</w:t>
      </w:r>
    </w:p>
    <w:p w:rsidR="00613202" w:rsidRDefault="00C3667D">
      <w:pPr>
        <w:spacing w:after="0" w:line="240" w:lineRule="auto"/>
      </w:pPr>
      <w:r>
        <w:rPr>
          <w:rFonts w:ascii="Century Gothic" w:eastAsia="Century Gothic" w:hAnsi="Century Gothic" w:cs="Century Gothic"/>
          <w:sz w:val="20"/>
          <w:szCs w:val="20"/>
        </w:rPr>
        <w:t>Dr. Susan Wilde (University of Georgia)</w:t>
      </w:r>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Past or Other Contributors:</w:t>
      </w:r>
    </w:p>
    <w:p w:rsidR="00613202" w:rsidRDefault="00C3667D">
      <w:pPr>
        <w:spacing w:after="0" w:line="240" w:lineRule="auto"/>
      </w:pPr>
      <w:r>
        <w:rPr>
          <w:rFonts w:ascii="Century Gothic" w:eastAsia="Century Gothic" w:hAnsi="Century Gothic" w:cs="Century Gothic"/>
          <w:sz w:val="20"/>
          <w:szCs w:val="20"/>
        </w:rPr>
        <w:t>Benjamin Page</w:t>
      </w:r>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Partner Organizations</w:t>
      </w:r>
    </w:p>
    <w:p w:rsidR="00613202" w:rsidRDefault="00C3667D">
      <w:pPr>
        <w:spacing w:after="0" w:line="240" w:lineRule="auto"/>
      </w:pPr>
      <w:r>
        <w:rPr>
          <w:rFonts w:ascii="Century Gothic" w:eastAsia="Century Gothic" w:hAnsi="Century Gothic" w:cs="Century Gothic"/>
          <w:sz w:val="20"/>
          <w:szCs w:val="20"/>
        </w:rPr>
        <w:t xml:space="preserve">J.W. Jones Ecological Research Center, End-user, POC: Dr. Stephen W. </w:t>
      </w:r>
      <w:proofErr w:type="spellStart"/>
      <w:r>
        <w:rPr>
          <w:rFonts w:ascii="Century Gothic" w:eastAsia="Century Gothic" w:hAnsi="Century Gothic" w:cs="Century Gothic"/>
          <w:sz w:val="20"/>
          <w:szCs w:val="20"/>
        </w:rPr>
        <w:t>Golla</w:t>
      </w:r>
      <w:r>
        <w:rPr>
          <w:rFonts w:ascii="Century Gothic" w:eastAsia="Century Gothic" w:hAnsi="Century Gothic" w:cs="Century Gothic"/>
          <w:sz w:val="20"/>
          <w:szCs w:val="20"/>
        </w:rPr>
        <w:t>day</w:t>
      </w:r>
      <w:proofErr w:type="spellEnd"/>
    </w:p>
    <w:p w:rsidR="00613202" w:rsidRDefault="00C3667D">
      <w:pPr>
        <w:spacing w:after="0" w:line="240" w:lineRule="auto"/>
      </w:pPr>
      <w:r>
        <w:rPr>
          <w:rFonts w:ascii="Century Gothic" w:eastAsia="Century Gothic" w:hAnsi="Century Gothic" w:cs="Century Gothic"/>
          <w:sz w:val="20"/>
          <w:szCs w:val="20"/>
        </w:rPr>
        <w:t>Henry County Water Authority, End-user, POC: Ken Presley,</w:t>
      </w:r>
    </w:p>
    <w:p w:rsidR="00613202" w:rsidRDefault="00C3667D">
      <w:pPr>
        <w:spacing w:after="0" w:line="240" w:lineRule="auto"/>
      </w:pPr>
      <w:r>
        <w:rPr>
          <w:rFonts w:ascii="Century Gothic" w:eastAsia="Century Gothic" w:hAnsi="Century Gothic" w:cs="Century Gothic"/>
          <w:sz w:val="20"/>
          <w:szCs w:val="20"/>
        </w:rPr>
        <w:t>Georgia Power, End-user, POC: Anthony Dodd</w:t>
      </w:r>
    </w:p>
    <w:p w:rsidR="00613202" w:rsidRDefault="00613202">
      <w:pPr>
        <w:spacing w:after="0" w:line="240" w:lineRule="auto"/>
      </w:pPr>
    </w:p>
    <w:p w:rsidR="00613202" w:rsidRDefault="00613202">
      <w:pPr>
        <w:spacing w:after="0" w:line="240" w:lineRule="auto"/>
      </w:pPr>
    </w:p>
    <w:p w:rsidR="00702B6E" w:rsidRDefault="00702B6E" w:rsidP="00702B6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Project Details</w:t>
      </w:r>
    </w:p>
    <w:p w:rsidR="00702B6E" w:rsidRDefault="00702B6E" w:rsidP="00702B6E">
      <w:pPr>
        <w:spacing w:after="0" w:line="240" w:lineRule="auto"/>
        <w:rPr>
          <w:rFonts w:ascii="Century Gothic" w:hAnsi="Century Gothic" w:cs="Arial"/>
          <w:color w:val="auto"/>
          <w:sz w:val="20"/>
          <w:szCs w:val="20"/>
        </w:rPr>
      </w:pPr>
      <w:r>
        <w:rPr>
          <w:rFonts w:ascii="Century Gothic" w:hAnsi="Century Gothic" w:cs="Arial"/>
          <w:b/>
          <w:color w:val="auto"/>
          <w:sz w:val="20"/>
          <w:szCs w:val="20"/>
        </w:rPr>
        <w:t>Applied Sciences National Applications Addressed:</w:t>
      </w:r>
      <w:r>
        <w:rPr>
          <w:rFonts w:ascii="Century Gothic" w:hAnsi="Century Gothic" w:cs="Arial"/>
          <w:color w:val="auto"/>
          <w:sz w:val="20"/>
          <w:szCs w:val="20"/>
        </w:rPr>
        <w:t xml:space="preserve"> </w:t>
      </w:r>
    </w:p>
    <w:p w:rsidR="00613202" w:rsidRDefault="00C3667D" w:rsidP="00702B6E">
      <w:pPr>
        <w:spacing w:after="0" w:line="240" w:lineRule="auto"/>
      </w:pPr>
      <w:r>
        <w:rPr>
          <w:rFonts w:ascii="Century Gothic" w:eastAsia="Century Gothic" w:hAnsi="Century Gothic" w:cs="Century Gothic"/>
          <w:sz w:val="20"/>
          <w:szCs w:val="20"/>
        </w:rPr>
        <w:t>Ecological Forecasting, Water Resources</w:t>
      </w:r>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Study Area:</w:t>
      </w:r>
      <w:r>
        <w:rPr>
          <w:rFonts w:ascii="Century Gothic" w:eastAsia="Century Gothic" w:hAnsi="Century Gothic" w:cs="Century Gothic"/>
          <w:sz w:val="20"/>
          <w:szCs w:val="20"/>
        </w:rPr>
        <w:t xml:space="preserve"> Lakes Thurmond, Seminole, Goat Rock, Oliver, and Harding: AL, FL, </w:t>
      </w:r>
      <w:proofErr w:type="gramStart"/>
      <w:r>
        <w:rPr>
          <w:rFonts w:ascii="Century Gothic" w:eastAsia="Century Gothic" w:hAnsi="Century Gothic" w:cs="Century Gothic"/>
          <w:sz w:val="20"/>
          <w:szCs w:val="20"/>
        </w:rPr>
        <w:t>GA</w:t>
      </w:r>
      <w:proofErr w:type="gramEnd"/>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Study Period:</w:t>
      </w:r>
      <w:r>
        <w:rPr>
          <w:rFonts w:ascii="Century Gothic" w:eastAsia="Century Gothic" w:hAnsi="Century Gothic" w:cs="Century Gothic"/>
          <w:sz w:val="20"/>
          <w:szCs w:val="20"/>
        </w:rPr>
        <w:t xml:space="preserve"> August through November for the years 2013 - 2015</w:t>
      </w:r>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Earth Observations &amp; Parameters</w:t>
      </w:r>
    </w:p>
    <w:p w:rsidR="00613202" w:rsidRDefault="00C3667D">
      <w:pPr>
        <w:spacing w:after="0" w:line="240" w:lineRule="auto"/>
      </w:pPr>
      <w:r>
        <w:rPr>
          <w:rFonts w:ascii="Century Gothic" w:eastAsia="Century Gothic" w:hAnsi="Century Gothic" w:cs="Century Gothic"/>
          <w:sz w:val="20"/>
          <w:szCs w:val="20"/>
        </w:rPr>
        <w:t xml:space="preserve">Landsat 8, OLI -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distribution and vegetation indices</w:t>
      </w:r>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Ancillary Datasets Utiliz</w:t>
      </w:r>
      <w:r>
        <w:rPr>
          <w:rFonts w:ascii="Century Gothic" w:eastAsia="Century Gothic" w:hAnsi="Century Gothic" w:cs="Century Gothic"/>
          <w:b/>
          <w:sz w:val="20"/>
          <w:szCs w:val="20"/>
        </w:rPr>
        <w:t>ed</w:t>
      </w:r>
    </w:p>
    <w:p w:rsidR="00613202" w:rsidRDefault="00C3667D">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Unmanned aerial system, DJI Phantom 2 Vision +, Center for Geospatial Research, UGA -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distribution for validation </w:t>
      </w:r>
    </w:p>
    <w:p w:rsidR="00613202" w:rsidRDefault="00C3667D">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Hyperspectral digital camera Basler acA1300, University of Georgia - </w:t>
      </w:r>
    </w:p>
    <w:p w:rsidR="00613202" w:rsidRDefault="00C3667D">
      <w:pPr>
        <w:numPr>
          <w:ilvl w:val="0"/>
          <w:numId w:val="2"/>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Ocean optics non-imaging hyperspectral radiometer, Universi</w:t>
      </w:r>
      <w:r>
        <w:rPr>
          <w:rFonts w:ascii="Century Gothic" w:eastAsia="Century Gothic" w:hAnsi="Century Gothic" w:cs="Century Gothic"/>
          <w:sz w:val="20"/>
          <w:szCs w:val="20"/>
        </w:rPr>
        <w:t>ty of Georgia - above water remote sensing reflectance (</w:t>
      </w:r>
      <w:proofErr w:type="spellStart"/>
      <w:r>
        <w:rPr>
          <w:rFonts w:ascii="Century Gothic" w:eastAsia="Century Gothic" w:hAnsi="Century Gothic" w:cs="Century Gothic"/>
          <w:sz w:val="20"/>
          <w:szCs w:val="20"/>
        </w:rPr>
        <w:t>Rrs</w:t>
      </w:r>
      <w:proofErr w:type="spellEnd"/>
      <w:r>
        <w:rPr>
          <w:rFonts w:ascii="Century Gothic" w:eastAsia="Century Gothic" w:hAnsi="Century Gothic" w:cs="Century Gothic"/>
          <w:sz w:val="20"/>
          <w:szCs w:val="20"/>
        </w:rPr>
        <w:t>) measurements</w:t>
      </w:r>
    </w:p>
    <w:p w:rsidR="00613202" w:rsidRDefault="00C3667D">
      <w:pPr>
        <w:numPr>
          <w:ilvl w:val="0"/>
          <w:numId w:val="2"/>
        </w:numPr>
        <w:spacing w:after="0" w:line="240" w:lineRule="auto"/>
        <w:ind w:hanging="360"/>
        <w:contextualSpacing/>
        <w:rPr>
          <w:rFonts w:ascii="Century Gothic" w:eastAsia="Century Gothic" w:hAnsi="Century Gothic" w:cs="Century Gothic"/>
          <w:sz w:val="20"/>
          <w:szCs w:val="20"/>
        </w:rPr>
      </w:pPr>
      <w:proofErr w:type="spellStart"/>
      <w:r>
        <w:rPr>
          <w:rFonts w:ascii="Century Gothic" w:eastAsia="Century Gothic" w:hAnsi="Century Gothic" w:cs="Century Gothic"/>
          <w:i/>
          <w:sz w:val="20"/>
          <w:szCs w:val="20"/>
        </w:rPr>
        <w:t>Hydrilla</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verticillata</w:t>
      </w:r>
      <w:proofErr w:type="spellEnd"/>
      <w:r>
        <w:rPr>
          <w:rFonts w:ascii="Century Gothic" w:eastAsia="Century Gothic" w:hAnsi="Century Gothic" w:cs="Century Gothic"/>
          <w:sz w:val="20"/>
          <w:szCs w:val="20"/>
        </w:rPr>
        <w:t xml:space="preserve"> field data -  locations, density per area, and plant height data</w:t>
      </w:r>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Models Utilized</w:t>
      </w:r>
    </w:p>
    <w:p w:rsidR="00613202" w:rsidRDefault="00C3667D">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Deepak Mishra, UGA Radiative Transfer Models (Benthic Mapping)</w:t>
      </w:r>
    </w:p>
    <w:p w:rsidR="00613202" w:rsidRDefault="00C3667D">
      <w:pPr>
        <w:numPr>
          <w:ilvl w:val="0"/>
          <w:numId w:val="3"/>
        </w:numPr>
        <w:spacing w:after="0" w:line="240" w:lineRule="auto"/>
        <w:ind w:hanging="360"/>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Deepak Mishra, </w:t>
      </w:r>
      <w:r>
        <w:rPr>
          <w:rFonts w:ascii="Century Gothic" w:eastAsia="Century Gothic" w:hAnsi="Century Gothic" w:cs="Century Gothic"/>
          <w:sz w:val="20"/>
          <w:szCs w:val="20"/>
        </w:rPr>
        <w:t>UGA Green NDVI</w:t>
      </w:r>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Software Utilized</w:t>
      </w:r>
    </w:p>
    <w:p w:rsidR="00613202" w:rsidRDefault="00C3667D">
      <w:pPr>
        <w:spacing w:after="0" w:line="240" w:lineRule="auto"/>
      </w:pPr>
      <w:r>
        <w:rPr>
          <w:rFonts w:ascii="Century Gothic" w:eastAsia="Century Gothic" w:hAnsi="Century Gothic" w:cs="Century Gothic"/>
          <w:sz w:val="20"/>
          <w:szCs w:val="20"/>
        </w:rPr>
        <w:t>ACOLITE - Atmospheric Correction of Landsat 8 data</w:t>
      </w:r>
    </w:p>
    <w:p w:rsidR="00613202" w:rsidRDefault="00C3667D">
      <w:pPr>
        <w:spacing w:after="0" w:line="240" w:lineRule="auto"/>
      </w:pPr>
      <w:r>
        <w:rPr>
          <w:rFonts w:ascii="Century Gothic" w:eastAsia="Century Gothic" w:hAnsi="Century Gothic" w:cs="Century Gothic"/>
          <w:sz w:val="20"/>
          <w:szCs w:val="20"/>
        </w:rPr>
        <w:t>ENVI FLAASH – Atmospheric correction of Landsat 8 data</w:t>
      </w:r>
    </w:p>
    <w:p w:rsidR="00613202" w:rsidRDefault="00C3667D">
      <w:pPr>
        <w:spacing w:after="0" w:line="240" w:lineRule="auto"/>
        <w:ind w:left="720" w:hanging="720"/>
      </w:pPr>
      <w:r>
        <w:rPr>
          <w:rFonts w:ascii="Century Gothic" w:eastAsia="Century Gothic" w:hAnsi="Century Gothic" w:cs="Century Gothic"/>
          <w:sz w:val="20"/>
          <w:szCs w:val="20"/>
        </w:rPr>
        <w:t xml:space="preserve">ArcGIS - Map creation of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distribution from Landsat 8 data</w:t>
      </w:r>
    </w:p>
    <w:p w:rsidR="00613202" w:rsidRDefault="00C3667D">
      <w:pPr>
        <w:spacing w:after="0" w:line="240" w:lineRule="auto"/>
      </w:pPr>
      <w:proofErr w:type="spellStart"/>
      <w:r>
        <w:rPr>
          <w:rFonts w:ascii="Century Gothic" w:eastAsia="Century Gothic" w:hAnsi="Century Gothic" w:cs="Century Gothic"/>
          <w:sz w:val="20"/>
          <w:szCs w:val="20"/>
        </w:rPr>
        <w:t>Matlab</w:t>
      </w:r>
      <w:proofErr w:type="spellEnd"/>
      <w:r>
        <w:rPr>
          <w:rFonts w:ascii="Century Gothic" w:eastAsia="Century Gothic" w:hAnsi="Century Gothic" w:cs="Century Gothic"/>
          <w:sz w:val="20"/>
          <w:szCs w:val="20"/>
        </w:rPr>
        <w:t xml:space="preserve"> and Excel - Model calibration and validation of Landsat 8 data</w:t>
      </w:r>
    </w:p>
    <w:p w:rsidR="00613202" w:rsidRDefault="00613202">
      <w:pPr>
        <w:spacing w:after="0" w:line="240" w:lineRule="auto"/>
      </w:pPr>
    </w:p>
    <w:p w:rsidR="00613202" w:rsidRDefault="00613202">
      <w:pPr>
        <w:spacing w:after="0" w:line="240" w:lineRule="auto"/>
      </w:pPr>
    </w:p>
    <w:p w:rsidR="00702B6E" w:rsidRDefault="00702B6E" w:rsidP="00702B6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Project Overview</w:t>
      </w:r>
    </w:p>
    <w:p w:rsidR="00702B6E" w:rsidRDefault="00702B6E" w:rsidP="00702B6E">
      <w:pPr>
        <w:spacing w:after="0" w:line="240" w:lineRule="auto"/>
        <w:rPr>
          <w:rFonts w:ascii="Century Gothic" w:hAnsi="Century Gothic" w:cs="Arial"/>
          <w:b/>
          <w:sz w:val="20"/>
          <w:szCs w:val="20"/>
        </w:rPr>
      </w:pPr>
      <w:r>
        <w:rPr>
          <w:rFonts w:ascii="Century Gothic" w:hAnsi="Century Gothic" w:cs="Arial"/>
          <w:b/>
          <w:sz w:val="20"/>
          <w:szCs w:val="20"/>
        </w:rPr>
        <w:t>80-100 Word Objectives Overview</w:t>
      </w:r>
    </w:p>
    <w:p w:rsidR="00613202" w:rsidRDefault="00C3667D">
      <w:pPr>
        <w:spacing w:after="0" w:line="240" w:lineRule="auto"/>
      </w:pP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is an invasive aquatic plant that forms dense colonies and can grow to the surface in water over 20 feet deep.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branch</w:t>
      </w:r>
      <w:r>
        <w:rPr>
          <w:rFonts w:ascii="Century Gothic" w:eastAsia="Century Gothic" w:hAnsi="Century Gothic" w:cs="Century Gothic"/>
          <w:sz w:val="20"/>
          <w:szCs w:val="20"/>
        </w:rPr>
        <w:t xml:space="preserve">es profusely and after reaching the surface it extends across it forming thick mats, blocking out light to other plants and animals below. The overall objective of this project was to utilize remote sensing data from multiple sources to create a current </w:t>
      </w:r>
      <w:proofErr w:type="spellStart"/>
      <w:r>
        <w:rPr>
          <w:rFonts w:ascii="Century Gothic" w:eastAsia="Century Gothic" w:hAnsi="Century Gothic" w:cs="Century Gothic"/>
          <w:sz w:val="20"/>
          <w:szCs w:val="20"/>
        </w:rPr>
        <w:t>hy</w:t>
      </w:r>
      <w:r>
        <w:rPr>
          <w:rFonts w:ascii="Century Gothic" w:eastAsia="Century Gothic" w:hAnsi="Century Gothic" w:cs="Century Gothic"/>
          <w:sz w:val="20"/>
          <w:szCs w:val="20"/>
        </w:rPr>
        <w:t>drilla</w:t>
      </w:r>
      <w:proofErr w:type="spellEnd"/>
      <w:r>
        <w:rPr>
          <w:rFonts w:ascii="Century Gothic" w:eastAsia="Century Gothic" w:hAnsi="Century Gothic" w:cs="Century Gothic"/>
          <w:sz w:val="20"/>
          <w:szCs w:val="20"/>
        </w:rPr>
        <w:t xml:space="preserve"> distribution map of the study areas, and to develop a model that partners can use to determine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distribution in the future throughout the southeastern United States. </w:t>
      </w:r>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Abstract</w:t>
      </w:r>
    </w:p>
    <w:p w:rsidR="00613202" w:rsidRDefault="00C3667D">
      <w:pPr>
        <w:spacing w:after="0" w:line="240" w:lineRule="auto"/>
      </w:pPr>
      <w:proofErr w:type="spellStart"/>
      <w:r>
        <w:rPr>
          <w:rFonts w:ascii="Century Gothic" w:eastAsia="Century Gothic" w:hAnsi="Century Gothic" w:cs="Century Gothic"/>
          <w:i/>
          <w:sz w:val="20"/>
          <w:szCs w:val="20"/>
        </w:rPr>
        <w:t>Hydrilla</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verticillata</w:t>
      </w:r>
      <w:proofErr w:type="spellEnd"/>
      <w:r>
        <w:rPr>
          <w:rFonts w:ascii="Century Gothic" w:eastAsia="Century Gothic" w:hAnsi="Century Gothic" w:cs="Century Gothic"/>
          <w:i/>
          <w:sz w:val="20"/>
          <w:szCs w:val="20"/>
        </w:rPr>
        <w:t xml:space="preserve"> </w:t>
      </w:r>
      <w:r>
        <w:rPr>
          <w:rFonts w:ascii="Century Gothic" w:eastAsia="Century Gothic" w:hAnsi="Century Gothic" w:cs="Century Gothic"/>
          <w:sz w:val="20"/>
          <w:szCs w:val="20"/>
        </w:rPr>
        <w:t>is an invasive aquatic plant that has beco</w:t>
      </w:r>
      <w:r>
        <w:rPr>
          <w:rFonts w:ascii="Century Gothic" w:eastAsia="Century Gothic" w:hAnsi="Century Gothic" w:cs="Century Gothic"/>
          <w:sz w:val="20"/>
          <w:szCs w:val="20"/>
        </w:rPr>
        <w:t xml:space="preserve">me a serious problem in Southeastern United States, especially impacting vegetation and water quality. Traditionally,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i/>
          <w:sz w:val="20"/>
          <w:szCs w:val="20"/>
        </w:rPr>
        <w:t xml:space="preserve"> </w:t>
      </w:r>
      <w:r>
        <w:rPr>
          <w:rFonts w:ascii="Century Gothic" w:eastAsia="Century Gothic" w:hAnsi="Century Gothic" w:cs="Century Gothic"/>
          <w:sz w:val="20"/>
          <w:szCs w:val="20"/>
        </w:rPr>
        <w:t>infestation has been tackled using a combination of field-based physical, chemical and biological methods which are often costly.</w:t>
      </w:r>
      <w:r>
        <w:rPr>
          <w:rFonts w:ascii="Century Gothic" w:eastAsia="Century Gothic" w:hAnsi="Century Gothic" w:cs="Century Gothic"/>
          <w:sz w:val="20"/>
          <w:szCs w:val="20"/>
        </w:rPr>
        <w:t xml:space="preserve"> Rapid and accurate </w:t>
      </w:r>
      <w:proofErr w:type="spellStart"/>
      <w:r>
        <w:rPr>
          <w:rFonts w:ascii="Century Gothic" w:eastAsia="Century Gothic" w:hAnsi="Century Gothic" w:cs="Century Gothic"/>
          <w:sz w:val="20"/>
          <w:szCs w:val="20"/>
        </w:rPr>
        <w:t>spatio</w:t>
      </w:r>
      <w:proofErr w:type="spellEnd"/>
      <w:r>
        <w:rPr>
          <w:rFonts w:ascii="Century Gothic" w:eastAsia="Century Gothic" w:hAnsi="Century Gothic" w:cs="Century Gothic"/>
          <w:sz w:val="20"/>
          <w:szCs w:val="20"/>
        </w:rPr>
        <w:t xml:space="preserve">-temporal estimates of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density and distribution are needed for better monitoring and management of this invasive plant. This project demonstrated an innovative approach using Landsat 8 OLI data to study the spread of this</w:t>
      </w:r>
      <w:r>
        <w:rPr>
          <w:rFonts w:ascii="Century Gothic" w:eastAsia="Century Gothic" w:hAnsi="Century Gothic" w:cs="Century Gothic"/>
          <w:sz w:val="20"/>
          <w:szCs w:val="20"/>
        </w:rPr>
        <w:t xml:space="preserve"> invasive aquatic plant in inland waters. NASA Landsat 8 Operational Land Imager (OLI) imagery in combination with </w:t>
      </w:r>
      <w:r>
        <w:rPr>
          <w:rFonts w:ascii="Century Gothic" w:eastAsia="Century Gothic" w:hAnsi="Century Gothic" w:cs="Century Gothic"/>
          <w:i/>
          <w:sz w:val="20"/>
          <w:szCs w:val="20"/>
        </w:rPr>
        <w:t xml:space="preserve">in situ </w:t>
      </w:r>
      <w:r>
        <w:rPr>
          <w:rFonts w:ascii="Century Gothic" w:eastAsia="Century Gothic" w:hAnsi="Century Gothic" w:cs="Century Gothic"/>
          <w:sz w:val="20"/>
          <w:szCs w:val="20"/>
        </w:rPr>
        <w:t xml:space="preserve">data was used to map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density and distribution in four lakes across Georgia and Florida. Performances of Visible Atmospherica</w:t>
      </w:r>
      <w:r>
        <w:rPr>
          <w:rFonts w:ascii="Century Gothic" w:eastAsia="Century Gothic" w:hAnsi="Century Gothic" w:cs="Century Gothic"/>
          <w:sz w:val="20"/>
          <w:szCs w:val="20"/>
        </w:rPr>
        <w:t xml:space="preserve">lly Resistant Index (VARI) and Green Normalized Difference Vegetation Index (GNDVI) were analyzed for indications of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density and distribution, using a combination of statistical techniques, such as coefficient of determination (R</w:t>
      </w:r>
      <w:r>
        <w:rPr>
          <w:rFonts w:ascii="Century Gothic" w:eastAsia="Century Gothic" w:hAnsi="Century Gothic" w:cs="Century Gothic"/>
          <w:sz w:val="20"/>
          <w:szCs w:val="20"/>
          <w:vertAlign w:val="superscript"/>
        </w:rPr>
        <w:t>2</w:t>
      </w:r>
      <w:r>
        <w:rPr>
          <w:rFonts w:ascii="Century Gothic" w:eastAsia="Century Gothic" w:hAnsi="Century Gothic" w:cs="Century Gothic"/>
          <w:sz w:val="20"/>
          <w:szCs w:val="20"/>
        </w:rPr>
        <w:t>), percent normal</w:t>
      </w:r>
      <w:r>
        <w:rPr>
          <w:rFonts w:ascii="Century Gothic" w:eastAsia="Century Gothic" w:hAnsi="Century Gothic" w:cs="Century Gothic"/>
          <w:sz w:val="20"/>
          <w:szCs w:val="20"/>
        </w:rPr>
        <w:t xml:space="preserve">ized root mean square error (%RMSE), and residual trends. The resulting detection tool for monitoring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distribution was delivered to Georgia Power, the J. W. Jones Ecological Research Center, and the Henry County Water Authority for use in water qu</w:t>
      </w:r>
      <w:r>
        <w:rPr>
          <w:rFonts w:ascii="Century Gothic" w:eastAsia="Century Gothic" w:hAnsi="Century Gothic" w:cs="Century Gothic"/>
          <w:sz w:val="20"/>
          <w:szCs w:val="20"/>
        </w:rPr>
        <w:t>ality restoration decision-making. This tool will be an efficient alternative to otherwise costly measures, and facilitate adaptive plant management.</w:t>
      </w:r>
    </w:p>
    <w:p w:rsidR="00613202" w:rsidRDefault="00613202">
      <w:pPr>
        <w:spacing w:after="0" w:line="240" w:lineRule="auto"/>
      </w:pPr>
    </w:p>
    <w:p w:rsidR="00613202" w:rsidRDefault="00C3667D">
      <w:pPr>
        <w:spacing w:after="0" w:line="240" w:lineRule="auto"/>
      </w:pPr>
      <w:bookmarkStart w:id="1" w:name="h.gjdgxs" w:colFirst="0" w:colLast="0"/>
      <w:bookmarkEnd w:id="1"/>
      <w:r>
        <w:rPr>
          <w:rFonts w:ascii="Century Gothic" w:eastAsia="Century Gothic" w:hAnsi="Century Gothic" w:cs="Century Gothic"/>
          <w:b/>
          <w:sz w:val="20"/>
          <w:szCs w:val="20"/>
        </w:rPr>
        <w:t>Community Concerns</w:t>
      </w:r>
    </w:p>
    <w:p w:rsidR="00613202" w:rsidRDefault="00C3667D">
      <w:pPr>
        <w:numPr>
          <w:ilvl w:val="0"/>
          <w:numId w:val="1"/>
        </w:numPr>
        <w:spacing w:after="0" w:line="240" w:lineRule="auto"/>
        <w:ind w:hanging="360"/>
        <w:contextualSpacing/>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w:t>
      </w:r>
      <w:proofErr w:type="gramStart"/>
      <w:r>
        <w:rPr>
          <w:rFonts w:ascii="Century Gothic" w:eastAsia="Century Gothic" w:hAnsi="Century Gothic" w:cs="Century Gothic"/>
          <w:sz w:val="20"/>
          <w:szCs w:val="20"/>
        </w:rPr>
        <w:t>outcompetes</w:t>
      </w:r>
      <w:proofErr w:type="gramEnd"/>
      <w:r>
        <w:rPr>
          <w:rFonts w:ascii="Century Gothic" w:eastAsia="Century Gothic" w:hAnsi="Century Gothic" w:cs="Century Gothic"/>
          <w:sz w:val="20"/>
          <w:szCs w:val="20"/>
        </w:rPr>
        <w:t xml:space="preserve"> native plants and forms surface canopies that block sunlight inte</w:t>
      </w:r>
      <w:r>
        <w:rPr>
          <w:rFonts w:ascii="Century Gothic" w:eastAsia="Century Gothic" w:hAnsi="Century Gothic" w:cs="Century Gothic"/>
          <w:sz w:val="20"/>
          <w:szCs w:val="20"/>
        </w:rPr>
        <w:t>nsifying lake stratification and causing anoxic conditions.</w:t>
      </w:r>
    </w:p>
    <w:p w:rsidR="00613202" w:rsidRDefault="00C3667D">
      <w:pPr>
        <w:numPr>
          <w:ilvl w:val="0"/>
          <w:numId w:val="1"/>
        </w:numPr>
        <w:spacing w:after="0" w:line="240" w:lineRule="auto"/>
        <w:ind w:hanging="360"/>
        <w:contextualSpacing/>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harbors </w:t>
      </w:r>
      <w:proofErr w:type="gramStart"/>
      <w:r>
        <w:rPr>
          <w:rFonts w:ascii="Century Gothic" w:eastAsia="Century Gothic" w:hAnsi="Century Gothic" w:cs="Century Gothic"/>
          <w:sz w:val="20"/>
          <w:szCs w:val="20"/>
        </w:rPr>
        <w:t>toxic epiphytic cyanobacteria that disrupts</w:t>
      </w:r>
      <w:proofErr w:type="gramEnd"/>
      <w:r>
        <w:rPr>
          <w:rFonts w:ascii="Century Gothic" w:eastAsia="Century Gothic" w:hAnsi="Century Gothic" w:cs="Century Gothic"/>
          <w:sz w:val="20"/>
          <w:szCs w:val="20"/>
        </w:rPr>
        <w:t xml:space="preserve"> the food chain causing wildlife fatalities. </w:t>
      </w:r>
    </w:p>
    <w:p w:rsidR="00613202" w:rsidRDefault="00C3667D">
      <w:pPr>
        <w:numPr>
          <w:ilvl w:val="0"/>
          <w:numId w:val="1"/>
        </w:numPr>
        <w:spacing w:after="0" w:line="240" w:lineRule="auto"/>
        <w:ind w:hanging="360"/>
        <w:contextualSpacing/>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mats clog boat motors disrupting transportation and recreation as well as causing hazardous swimming condition.</w:t>
      </w:r>
    </w:p>
    <w:p w:rsidR="00613202" w:rsidRDefault="00C3667D">
      <w:pPr>
        <w:numPr>
          <w:ilvl w:val="0"/>
          <w:numId w:val="1"/>
        </w:numPr>
        <w:spacing w:after="0" w:line="240" w:lineRule="auto"/>
        <w:ind w:hanging="360"/>
        <w:contextualSpacing/>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obstructs water withdrawal for drinking water, irrigation, and power generation.</w:t>
      </w:r>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Current Management Practices &amp; Policies</w:t>
      </w:r>
      <w:r>
        <w:rPr>
          <w:rFonts w:ascii="Century Gothic" w:eastAsia="Century Gothic" w:hAnsi="Century Gothic" w:cs="Century Gothic"/>
          <w:sz w:val="20"/>
          <w:szCs w:val="20"/>
        </w:rPr>
        <w:t xml:space="preserve"> </w:t>
      </w:r>
    </w:p>
    <w:p w:rsidR="00613202" w:rsidRDefault="00C3667D">
      <w:pPr>
        <w:spacing w:after="0" w:line="240" w:lineRule="auto"/>
      </w:pPr>
      <w:r>
        <w:rPr>
          <w:rFonts w:ascii="Century Gothic" w:eastAsia="Century Gothic" w:hAnsi="Century Gothic" w:cs="Century Gothic"/>
          <w:sz w:val="20"/>
          <w:szCs w:val="20"/>
        </w:rPr>
        <w:t>Cur</w:t>
      </w:r>
      <w:r>
        <w:rPr>
          <w:rFonts w:ascii="Century Gothic" w:eastAsia="Century Gothic" w:hAnsi="Century Gothic" w:cs="Century Gothic"/>
          <w:sz w:val="20"/>
          <w:szCs w:val="20"/>
        </w:rPr>
        <w:t xml:space="preserve">rently, chemicals are used to manage </w:t>
      </w:r>
      <w:proofErr w:type="spellStart"/>
      <w:r>
        <w:rPr>
          <w:rFonts w:ascii="Century Gothic" w:eastAsia="Century Gothic" w:hAnsi="Century Gothic" w:cs="Century Gothic"/>
          <w:i/>
          <w:sz w:val="20"/>
          <w:szCs w:val="20"/>
        </w:rPr>
        <w:t>Hydrilla</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verticillata</w:t>
      </w:r>
      <w:proofErr w:type="spellEnd"/>
      <w:r>
        <w:rPr>
          <w:rFonts w:ascii="Century Gothic" w:eastAsia="Century Gothic" w:hAnsi="Century Gothic" w:cs="Century Gothic"/>
          <w:sz w:val="20"/>
          <w:szCs w:val="20"/>
        </w:rPr>
        <w:t xml:space="preserve">, including copper, </w:t>
      </w:r>
      <w:proofErr w:type="spellStart"/>
      <w:r>
        <w:rPr>
          <w:rFonts w:ascii="Century Gothic" w:eastAsia="Century Gothic" w:hAnsi="Century Gothic" w:cs="Century Gothic"/>
          <w:sz w:val="20"/>
          <w:szCs w:val="20"/>
        </w:rPr>
        <w:t>diguat</w:t>
      </w:r>
      <w:proofErr w:type="spellEnd"/>
      <w:r>
        <w:rPr>
          <w:rFonts w:ascii="Century Gothic" w:eastAsia="Century Gothic" w:hAnsi="Century Gothic" w:cs="Century Gothic"/>
          <w:sz w:val="20"/>
          <w:szCs w:val="20"/>
        </w:rPr>
        <w:t xml:space="preserve">, </w:t>
      </w:r>
      <w:proofErr w:type="spellStart"/>
      <w:r>
        <w:rPr>
          <w:rFonts w:ascii="Century Gothic" w:eastAsia="Century Gothic" w:hAnsi="Century Gothic" w:cs="Century Gothic"/>
          <w:sz w:val="20"/>
          <w:szCs w:val="20"/>
        </w:rPr>
        <w:t>endothall</w:t>
      </w:r>
      <w:proofErr w:type="spellEnd"/>
      <w:r>
        <w:rPr>
          <w:rFonts w:ascii="Century Gothic" w:eastAsia="Century Gothic" w:hAnsi="Century Gothic" w:cs="Century Gothic"/>
          <w:sz w:val="20"/>
          <w:szCs w:val="20"/>
        </w:rPr>
        <w:t xml:space="preserve">, and </w:t>
      </w:r>
      <w:proofErr w:type="spellStart"/>
      <w:r>
        <w:rPr>
          <w:rFonts w:ascii="Century Gothic" w:eastAsia="Century Gothic" w:hAnsi="Century Gothic" w:cs="Century Gothic"/>
          <w:sz w:val="20"/>
          <w:szCs w:val="20"/>
        </w:rPr>
        <w:t>fluridone</w:t>
      </w:r>
      <w:proofErr w:type="spellEnd"/>
      <w:r>
        <w:rPr>
          <w:rFonts w:ascii="Century Gothic" w:eastAsia="Century Gothic" w:hAnsi="Century Gothic" w:cs="Century Gothic"/>
          <w:sz w:val="20"/>
          <w:szCs w:val="20"/>
        </w:rPr>
        <w:t xml:space="preserve">. Applying these chemicals can have adverse effects on the lake ecosystem. A lower-impact strategy has been to introduce triploid (sterile) Grass </w:t>
      </w:r>
      <w:r>
        <w:rPr>
          <w:rFonts w:ascii="Century Gothic" w:eastAsia="Century Gothic" w:hAnsi="Century Gothic" w:cs="Century Gothic"/>
          <w:sz w:val="20"/>
          <w:szCs w:val="20"/>
        </w:rPr>
        <w:t>Carp</w:t>
      </w:r>
      <w:r>
        <w:rPr>
          <w:rFonts w:ascii="Century Gothic" w:eastAsia="Century Gothic" w:hAnsi="Century Gothic" w:cs="Century Gothic"/>
          <w:i/>
          <w:color w:val="252525"/>
          <w:sz w:val="20"/>
          <w:szCs w:val="20"/>
          <w:highlight w:val="white"/>
        </w:rPr>
        <w:t xml:space="preserve"> (</w:t>
      </w:r>
      <w:proofErr w:type="spellStart"/>
      <w:r>
        <w:rPr>
          <w:rFonts w:ascii="Century Gothic" w:eastAsia="Century Gothic" w:hAnsi="Century Gothic" w:cs="Century Gothic"/>
          <w:i/>
          <w:sz w:val="20"/>
          <w:szCs w:val="20"/>
        </w:rPr>
        <w:t>Ctenopharyngodon</w:t>
      </w:r>
      <w:proofErr w:type="spellEnd"/>
      <w:r>
        <w:rPr>
          <w:rFonts w:ascii="Century Gothic" w:eastAsia="Century Gothic" w:hAnsi="Century Gothic" w:cs="Century Gothic"/>
          <w:i/>
          <w:sz w:val="20"/>
          <w:szCs w:val="20"/>
        </w:rPr>
        <w:t xml:space="preserve"> </w:t>
      </w:r>
      <w:proofErr w:type="spellStart"/>
      <w:r>
        <w:rPr>
          <w:rFonts w:ascii="Century Gothic" w:eastAsia="Century Gothic" w:hAnsi="Century Gothic" w:cs="Century Gothic"/>
          <w:i/>
          <w:sz w:val="20"/>
          <w:szCs w:val="20"/>
        </w:rPr>
        <w:t>idella</w:t>
      </w:r>
      <w:proofErr w:type="spellEnd"/>
      <w:r>
        <w:rPr>
          <w:rFonts w:ascii="Century Gothic" w:eastAsia="Century Gothic" w:hAnsi="Century Gothic" w:cs="Century Gothic"/>
          <w:i/>
          <w:sz w:val="20"/>
          <w:szCs w:val="20"/>
        </w:rPr>
        <w:t>),</w:t>
      </w:r>
      <w:r>
        <w:rPr>
          <w:rFonts w:ascii="Century Gothic" w:eastAsia="Century Gothic" w:hAnsi="Century Gothic" w:cs="Century Gothic"/>
          <w:sz w:val="20"/>
          <w:szCs w:val="20"/>
        </w:rPr>
        <w:t xml:space="preserve"> a species of fish which consumes aquatic plant material including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Because triploid Grass Carp are sterile, their populations can be controlled after introduction to an ecosystem. Partners currently use traditional </w:t>
      </w:r>
      <w:r>
        <w:rPr>
          <w:rFonts w:ascii="Century Gothic" w:eastAsia="Century Gothic" w:hAnsi="Century Gothic" w:cs="Century Gothic"/>
          <w:sz w:val="20"/>
          <w:szCs w:val="20"/>
        </w:rPr>
        <w:t>monitoring practices involving visual analysis, rake collection and sonar analysis.</w:t>
      </w:r>
    </w:p>
    <w:p w:rsidR="00613202" w:rsidRDefault="00613202">
      <w:pPr>
        <w:spacing w:after="0" w:line="240" w:lineRule="auto"/>
      </w:pPr>
    </w:p>
    <w:p w:rsidR="00613202" w:rsidRDefault="00C3667D">
      <w:pPr>
        <w:spacing w:after="0" w:line="240" w:lineRule="auto"/>
      </w:pPr>
      <w:r>
        <w:rPr>
          <w:rFonts w:ascii="Century Gothic" w:eastAsia="Century Gothic" w:hAnsi="Century Gothic" w:cs="Century Gothic"/>
          <w:b/>
          <w:sz w:val="20"/>
          <w:szCs w:val="20"/>
        </w:rPr>
        <w:t>Decision Support Tools &amp; Benefits</w:t>
      </w:r>
      <w:r>
        <w:rPr>
          <w:rFonts w:ascii="Century Gothic" w:eastAsia="Century Gothic" w:hAnsi="Century Gothic" w:cs="Century Gothic"/>
          <w:sz w:val="20"/>
          <w:szCs w:val="20"/>
        </w:rPr>
        <w:t xml:space="preserve"> </w:t>
      </w:r>
      <w:r>
        <w:rPr>
          <w:rFonts w:ascii="Century Gothic" w:eastAsia="Century Gothic" w:hAnsi="Century Gothic" w:cs="Century Gothic"/>
          <w:b/>
          <w:sz w:val="20"/>
          <w:szCs w:val="20"/>
        </w:rPr>
        <w:t>Support Tools &amp; Benefits</w:t>
      </w:r>
      <w:r>
        <w:rPr>
          <w:rFonts w:ascii="Century Gothic" w:eastAsia="Century Gothic" w:hAnsi="Century Gothic" w:cs="Century Gothic"/>
          <w:sz w:val="20"/>
          <w:szCs w:val="20"/>
        </w:rPr>
        <w:t xml:space="preserve"> </w:t>
      </w:r>
    </w:p>
    <w:tbl>
      <w:tblPr>
        <w:tblStyle w:val="a"/>
        <w:tblW w:w="9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9"/>
        <w:gridCol w:w="2880"/>
        <w:gridCol w:w="3798"/>
      </w:tblGrid>
      <w:tr w:rsidR="00613202">
        <w:tc>
          <w:tcPr>
            <w:tcW w:w="2669" w:type="dxa"/>
            <w:shd w:val="clear" w:color="auto" w:fill="1F497D"/>
          </w:tcPr>
          <w:p w:rsidR="00613202" w:rsidRPr="00702B6E" w:rsidRDefault="00C3667D">
            <w:pPr>
              <w:spacing w:after="0" w:line="240" w:lineRule="auto"/>
              <w:jc w:val="center"/>
              <w:rPr>
                <w:color w:val="FFFFFF" w:themeColor="background1"/>
              </w:rPr>
            </w:pPr>
            <w:r w:rsidRPr="00702B6E">
              <w:rPr>
                <w:rFonts w:ascii="Century Gothic" w:eastAsia="Century Gothic" w:hAnsi="Century Gothic" w:cs="Century Gothic"/>
                <w:b/>
                <w:color w:val="FFFFFF" w:themeColor="background1"/>
                <w:sz w:val="20"/>
                <w:szCs w:val="20"/>
              </w:rPr>
              <w:t>End-Product</w:t>
            </w:r>
          </w:p>
        </w:tc>
        <w:tc>
          <w:tcPr>
            <w:tcW w:w="2880" w:type="dxa"/>
            <w:shd w:val="clear" w:color="auto" w:fill="1F497D"/>
          </w:tcPr>
          <w:p w:rsidR="00613202" w:rsidRPr="00702B6E" w:rsidRDefault="00C3667D">
            <w:pPr>
              <w:spacing w:after="0" w:line="240" w:lineRule="auto"/>
              <w:jc w:val="center"/>
              <w:rPr>
                <w:color w:val="FFFFFF" w:themeColor="background1"/>
              </w:rPr>
            </w:pPr>
            <w:r w:rsidRPr="00702B6E">
              <w:rPr>
                <w:rFonts w:ascii="Century Gothic" w:eastAsia="Century Gothic" w:hAnsi="Century Gothic" w:cs="Century Gothic"/>
                <w:b/>
                <w:color w:val="FFFFFF" w:themeColor="background1"/>
                <w:sz w:val="20"/>
                <w:szCs w:val="20"/>
              </w:rPr>
              <w:t>Earth Observations Used</w:t>
            </w:r>
          </w:p>
        </w:tc>
        <w:tc>
          <w:tcPr>
            <w:tcW w:w="3798" w:type="dxa"/>
            <w:shd w:val="clear" w:color="auto" w:fill="1F497D"/>
          </w:tcPr>
          <w:p w:rsidR="00613202" w:rsidRPr="00702B6E" w:rsidRDefault="00C3667D">
            <w:pPr>
              <w:spacing w:after="0" w:line="240" w:lineRule="auto"/>
              <w:jc w:val="center"/>
              <w:rPr>
                <w:color w:val="FFFFFF" w:themeColor="background1"/>
              </w:rPr>
            </w:pPr>
            <w:r w:rsidRPr="00702B6E">
              <w:rPr>
                <w:rFonts w:ascii="Century Gothic" w:eastAsia="Century Gothic" w:hAnsi="Century Gothic" w:cs="Century Gothic"/>
                <w:b/>
                <w:color w:val="FFFFFF" w:themeColor="background1"/>
                <w:sz w:val="20"/>
                <w:szCs w:val="20"/>
              </w:rPr>
              <w:t>Benefit &amp; Impact</w:t>
            </w:r>
          </w:p>
        </w:tc>
      </w:tr>
      <w:tr w:rsidR="00613202">
        <w:tc>
          <w:tcPr>
            <w:tcW w:w="2669" w:type="dxa"/>
          </w:tcPr>
          <w:p w:rsidR="00613202" w:rsidRDefault="00C3667D">
            <w:pPr>
              <w:spacing w:after="0" w:line="240" w:lineRule="auto"/>
            </w:pPr>
            <w:r>
              <w:rPr>
                <w:rFonts w:ascii="Century Gothic" w:eastAsia="Century Gothic" w:hAnsi="Century Gothic" w:cs="Century Gothic"/>
                <w:sz w:val="20"/>
                <w:szCs w:val="20"/>
              </w:rPr>
              <w:t xml:space="preserve">Landsat 8 Benthic Model for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Mapping</w:t>
            </w:r>
          </w:p>
        </w:tc>
        <w:tc>
          <w:tcPr>
            <w:tcW w:w="2880" w:type="dxa"/>
          </w:tcPr>
          <w:p w:rsidR="00613202" w:rsidRDefault="00C3667D">
            <w:pPr>
              <w:spacing w:after="0" w:line="240" w:lineRule="auto"/>
            </w:pPr>
            <w:r>
              <w:rPr>
                <w:rFonts w:ascii="Century Gothic" w:eastAsia="Century Gothic" w:hAnsi="Century Gothic" w:cs="Century Gothic"/>
                <w:sz w:val="20"/>
                <w:szCs w:val="20"/>
              </w:rPr>
              <w:t>Landsat 8 OLI</w:t>
            </w:r>
          </w:p>
        </w:tc>
        <w:tc>
          <w:tcPr>
            <w:tcW w:w="3798" w:type="dxa"/>
          </w:tcPr>
          <w:p w:rsidR="00613202" w:rsidRDefault="00C3667D">
            <w:pPr>
              <w:spacing w:after="0" w:line="240" w:lineRule="auto"/>
            </w:pPr>
            <w:r>
              <w:rPr>
                <w:rFonts w:ascii="Century Gothic" w:eastAsia="Century Gothic" w:hAnsi="Century Gothic" w:cs="Century Gothic"/>
                <w:sz w:val="20"/>
                <w:szCs w:val="20"/>
              </w:rPr>
              <w:t xml:space="preserve">Will allow end-users to continually track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distribution using NASA EO data for mitigation efforts</w:t>
            </w:r>
          </w:p>
        </w:tc>
      </w:tr>
      <w:tr w:rsidR="00613202">
        <w:tc>
          <w:tcPr>
            <w:tcW w:w="2669" w:type="dxa"/>
          </w:tcPr>
          <w:p w:rsidR="00613202" w:rsidRDefault="00C3667D">
            <w:pPr>
              <w:spacing w:after="0" w:line="240" w:lineRule="auto"/>
            </w:pP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Distribution Maps</w:t>
            </w:r>
          </w:p>
        </w:tc>
        <w:tc>
          <w:tcPr>
            <w:tcW w:w="2880" w:type="dxa"/>
          </w:tcPr>
          <w:p w:rsidR="00613202" w:rsidRDefault="00C3667D">
            <w:pPr>
              <w:spacing w:after="0" w:line="240" w:lineRule="auto"/>
            </w:pPr>
            <w:r>
              <w:rPr>
                <w:rFonts w:ascii="Century Gothic" w:eastAsia="Century Gothic" w:hAnsi="Century Gothic" w:cs="Century Gothic"/>
                <w:sz w:val="20"/>
                <w:szCs w:val="20"/>
              </w:rPr>
              <w:t>Landsat 8 OLI</w:t>
            </w:r>
          </w:p>
        </w:tc>
        <w:tc>
          <w:tcPr>
            <w:tcW w:w="3798" w:type="dxa"/>
          </w:tcPr>
          <w:p w:rsidR="00613202" w:rsidRDefault="00C3667D">
            <w:pPr>
              <w:spacing w:after="0" w:line="240" w:lineRule="auto"/>
            </w:pPr>
            <w:r>
              <w:rPr>
                <w:rFonts w:ascii="Century Gothic" w:eastAsia="Century Gothic" w:hAnsi="Century Gothic" w:cs="Century Gothic"/>
                <w:sz w:val="20"/>
                <w:szCs w:val="20"/>
              </w:rPr>
              <w:t>Define areas where lake managers can target mitigation efforts</w:t>
            </w:r>
          </w:p>
        </w:tc>
      </w:tr>
    </w:tbl>
    <w:p w:rsidR="00613202" w:rsidRDefault="00613202">
      <w:pPr>
        <w:spacing w:after="0" w:line="240" w:lineRule="auto"/>
      </w:pPr>
    </w:p>
    <w:p w:rsidR="00613202" w:rsidRDefault="00613202">
      <w:pPr>
        <w:spacing w:after="0" w:line="240" w:lineRule="auto"/>
      </w:pPr>
    </w:p>
    <w:p w:rsidR="00702B6E" w:rsidRDefault="00702B6E" w:rsidP="00702B6E">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Project Imagery</w:t>
      </w:r>
    </w:p>
    <w:p w:rsidR="00613202" w:rsidRDefault="00C3667D">
      <w:pPr>
        <w:spacing w:after="0" w:line="240" w:lineRule="auto"/>
        <w:ind w:left="720" w:hanging="720"/>
      </w:pPr>
      <w:r>
        <w:rPr>
          <w:noProof/>
        </w:rPr>
        <w:drawing>
          <wp:inline distT="114300" distB="114300" distL="114300" distR="114300">
            <wp:extent cx="5943600" cy="3886200"/>
            <wp:effectExtent l="0" t="0" r="0" b="0"/>
            <wp:docPr id="1"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9"/>
                    <a:srcRect/>
                    <a:stretch>
                      <a:fillRect/>
                    </a:stretch>
                  </pic:blipFill>
                  <pic:spPr>
                    <a:xfrm>
                      <a:off x="0" y="0"/>
                      <a:ext cx="5943600" cy="3886200"/>
                    </a:xfrm>
                    <a:prstGeom prst="rect">
                      <a:avLst/>
                    </a:prstGeom>
                    <a:ln/>
                  </pic:spPr>
                </pic:pic>
              </a:graphicData>
            </a:graphic>
          </wp:inline>
        </w:drawing>
      </w:r>
    </w:p>
    <w:p w:rsidR="00613202" w:rsidRDefault="00613202">
      <w:pPr>
        <w:spacing w:after="0" w:line="240" w:lineRule="auto"/>
        <w:ind w:left="720" w:hanging="720"/>
      </w:pPr>
    </w:p>
    <w:p w:rsidR="00613202" w:rsidRDefault="00C3667D">
      <w:pPr>
        <w:spacing w:after="0" w:line="240" w:lineRule="auto"/>
        <w:ind w:left="720" w:hanging="720"/>
      </w:pPr>
      <w:r>
        <w:rPr>
          <w:rFonts w:ascii="Century Gothic" w:eastAsia="Century Gothic" w:hAnsi="Century Gothic" w:cs="Century Gothic"/>
          <w:b/>
          <w:sz w:val="20"/>
          <w:szCs w:val="20"/>
        </w:rPr>
        <w:t>Caption:</w:t>
      </w:r>
      <w:r>
        <w:rPr>
          <w:rFonts w:ascii="Century Gothic" w:eastAsia="Century Gothic" w:hAnsi="Century Gothic" w:cs="Century Gothic"/>
          <w:sz w:val="20"/>
          <w:szCs w:val="20"/>
        </w:rPr>
        <w:t xml:space="preserve"> The mapped distribution of submerged </w:t>
      </w:r>
      <w:proofErr w:type="spellStart"/>
      <w:r>
        <w:rPr>
          <w:rFonts w:ascii="Century Gothic" w:eastAsia="Century Gothic" w:hAnsi="Century Gothic" w:cs="Century Gothic"/>
          <w:sz w:val="20"/>
          <w:szCs w:val="20"/>
        </w:rPr>
        <w:t>hydrilla</w:t>
      </w:r>
      <w:proofErr w:type="spellEnd"/>
      <w:r>
        <w:rPr>
          <w:rFonts w:ascii="Century Gothic" w:eastAsia="Century Gothic" w:hAnsi="Century Gothic" w:cs="Century Gothic"/>
          <w:sz w:val="20"/>
          <w:szCs w:val="20"/>
        </w:rPr>
        <w:t xml:space="preserve"> using VARI (Visible Atmospherically Resistant Index) in Lake Seminole along the Georgia-Florida border in November of 2014. Image Credit: Southeast U.S. Ecological Forecasting Team.</w:t>
      </w:r>
    </w:p>
    <w:p w:rsidR="00613202" w:rsidRDefault="00C3667D">
      <w:pPr>
        <w:spacing w:after="0" w:line="240" w:lineRule="auto"/>
        <w:ind w:left="720" w:hanging="720"/>
      </w:pPr>
      <w:r>
        <w:rPr>
          <w:rFonts w:ascii="Century Gothic" w:eastAsia="Century Gothic" w:hAnsi="Century Gothic" w:cs="Century Gothic"/>
          <w:b/>
          <w:sz w:val="20"/>
          <w:szCs w:val="20"/>
        </w:rPr>
        <w:t>Image:</w:t>
      </w:r>
      <w:r>
        <w:rPr>
          <w:rFonts w:ascii="Century Gothic" w:eastAsia="Century Gothic" w:hAnsi="Century Gothic" w:cs="Century Gothic"/>
          <w:sz w:val="20"/>
          <w:szCs w:val="20"/>
        </w:rPr>
        <w:t xml:space="preserve"> 2015Sum_UGA_Southeas</w:t>
      </w:r>
      <w:r>
        <w:rPr>
          <w:rFonts w:ascii="Century Gothic" w:eastAsia="Century Gothic" w:hAnsi="Century Gothic" w:cs="Century Gothic"/>
          <w:sz w:val="20"/>
          <w:szCs w:val="20"/>
        </w:rPr>
        <w:t>tEcoForecasting_ProjectSummaryImage.jpeg</w:t>
      </w:r>
    </w:p>
    <w:sectPr w:rsidR="00613202">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7D" w:rsidRDefault="00C3667D">
      <w:pPr>
        <w:spacing w:after="0" w:line="240" w:lineRule="auto"/>
      </w:pPr>
      <w:r>
        <w:separator/>
      </w:r>
    </w:p>
  </w:endnote>
  <w:endnote w:type="continuationSeparator" w:id="0">
    <w:p w:rsidR="00C3667D" w:rsidRDefault="00C36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202" w:rsidRDefault="00C3667D">
    <w:pPr>
      <w:tabs>
        <w:tab w:val="center" w:pos="4680"/>
        <w:tab w:val="right" w:pos="9360"/>
      </w:tabs>
      <w:spacing w:after="720"/>
      <w:jc w:val="center"/>
    </w:pPr>
    <w:r>
      <w:rPr>
        <w:noProof/>
      </w:rPr>
      <w:drawing>
        <wp:inline distT="0" distB="0" distL="0" distR="0">
          <wp:extent cx="1497330" cy="285750"/>
          <wp:effectExtent l="0" t="0" r="0" b="0"/>
          <wp:docPr id="3" name="image05.png" descr="DEVELOP Text Black"/>
          <wp:cNvGraphicFramePr/>
          <a:graphic xmlns:a="http://schemas.openxmlformats.org/drawingml/2006/main">
            <a:graphicData uri="http://schemas.openxmlformats.org/drawingml/2006/picture">
              <pic:pic xmlns:pic="http://schemas.openxmlformats.org/drawingml/2006/picture">
                <pic:nvPicPr>
                  <pic:cNvPr id="0" name="image05.png" descr="DEVELOP Text Black"/>
                  <pic:cNvPicPr preferRelativeResize="0"/>
                </pic:nvPicPr>
                <pic:blipFill>
                  <a:blip r:embed="rId1"/>
                  <a:srcRect/>
                  <a:stretch>
                    <a:fillRect/>
                  </a:stretch>
                </pic:blipFill>
                <pic:spPr>
                  <a:xfrm>
                    <a:off x="0" y="0"/>
                    <a:ext cx="1497330" cy="2857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7D" w:rsidRDefault="00C3667D">
      <w:pPr>
        <w:spacing w:after="0" w:line="240" w:lineRule="auto"/>
      </w:pPr>
      <w:r>
        <w:separator/>
      </w:r>
    </w:p>
  </w:footnote>
  <w:footnote w:type="continuationSeparator" w:id="0">
    <w:p w:rsidR="00C3667D" w:rsidRDefault="00C36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F6E33"/>
    <w:multiLevelType w:val="multilevel"/>
    <w:tmpl w:val="B1F0E786"/>
    <w:lvl w:ilvl="0">
      <w:start w:val="1"/>
      <w:numFmt w:val="bullet"/>
      <w:lvlText w:val="●"/>
      <w:lvlJc w:val="left"/>
      <w:pPr>
        <w:ind w:left="776" w:firstLine="1191"/>
      </w:pPr>
      <w:rPr>
        <w:rFonts w:ascii="Arial" w:eastAsia="Arial" w:hAnsi="Arial" w:cs="Arial"/>
      </w:rPr>
    </w:lvl>
    <w:lvl w:ilvl="1">
      <w:start w:val="1"/>
      <w:numFmt w:val="bullet"/>
      <w:lvlText w:val="o"/>
      <w:lvlJc w:val="left"/>
      <w:pPr>
        <w:ind w:left="1496" w:firstLine="2632"/>
      </w:pPr>
      <w:rPr>
        <w:rFonts w:ascii="Arial" w:eastAsia="Arial" w:hAnsi="Arial" w:cs="Arial"/>
      </w:rPr>
    </w:lvl>
    <w:lvl w:ilvl="2">
      <w:start w:val="1"/>
      <w:numFmt w:val="bullet"/>
      <w:lvlText w:val="▪"/>
      <w:lvlJc w:val="left"/>
      <w:pPr>
        <w:ind w:left="2216" w:firstLine="4072"/>
      </w:pPr>
      <w:rPr>
        <w:rFonts w:ascii="Arial" w:eastAsia="Arial" w:hAnsi="Arial" w:cs="Arial"/>
      </w:rPr>
    </w:lvl>
    <w:lvl w:ilvl="3">
      <w:start w:val="1"/>
      <w:numFmt w:val="bullet"/>
      <w:lvlText w:val="●"/>
      <w:lvlJc w:val="left"/>
      <w:pPr>
        <w:ind w:left="2936" w:firstLine="5512"/>
      </w:pPr>
      <w:rPr>
        <w:rFonts w:ascii="Arial" w:eastAsia="Arial" w:hAnsi="Arial" w:cs="Arial"/>
      </w:rPr>
    </w:lvl>
    <w:lvl w:ilvl="4">
      <w:start w:val="1"/>
      <w:numFmt w:val="bullet"/>
      <w:lvlText w:val="o"/>
      <w:lvlJc w:val="left"/>
      <w:pPr>
        <w:ind w:left="3656" w:firstLine="6952"/>
      </w:pPr>
      <w:rPr>
        <w:rFonts w:ascii="Arial" w:eastAsia="Arial" w:hAnsi="Arial" w:cs="Arial"/>
      </w:rPr>
    </w:lvl>
    <w:lvl w:ilvl="5">
      <w:start w:val="1"/>
      <w:numFmt w:val="bullet"/>
      <w:lvlText w:val="▪"/>
      <w:lvlJc w:val="left"/>
      <w:pPr>
        <w:ind w:left="4376" w:firstLine="8392"/>
      </w:pPr>
      <w:rPr>
        <w:rFonts w:ascii="Arial" w:eastAsia="Arial" w:hAnsi="Arial" w:cs="Arial"/>
      </w:rPr>
    </w:lvl>
    <w:lvl w:ilvl="6">
      <w:start w:val="1"/>
      <w:numFmt w:val="bullet"/>
      <w:lvlText w:val="●"/>
      <w:lvlJc w:val="left"/>
      <w:pPr>
        <w:ind w:left="5096" w:firstLine="9832"/>
      </w:pPr>
      <w:rPr>
        <w:rFonts w:ascii="Arial" w:eastAsia="Arial" w:hAnsi="Arial" w:cs="Arial"/>
      </w:rPr>
    </w:lvl>
    <w:lvl w:ilvl="7">
      <w:start w:val="1"/>
      <w:numFmt w:val="bullet"/>
      <w:lvlText w:val="o"/>
      <w:lvlJc w:val="left"/>
      <w:pPr>
        <w:ind w:left="5816" w:firstLine="11272"/>
      </w:pPr>
      <w:rPr>
        <w:rFonts w:ascii="Arial" w:eastAsia="Arial" w:hAnsi="Arial" w:cs="Arial"/>
      </w:rPr>
    </w:lvl>
    <w:lvl w:ilvl="8">
      <w:start w:val="1"/>
      <w:numFmt w:val="bullet"/>
      <w:lvlText w:val="▪"/>
      <w:lvlJc w:val="left"/>
      <w:pPr>
        <w:ind w:left="6536" w:firstLine="12712"/>
      </w:pPr>
      <w:rPr>
        <w:rFonts w:ascii="Arial" w:eastAsia="Arial" w:hAnsi="Arial" w:cs="Arial"/>
      </w:rPr>
    </w:lvl>
  </w:abstractNum>
  <w:abstractNum w:abstractNumId="1">
    <w:nsid w:val="41BE6A8B"/>
    <w:multiLevelType w:val="multilevel"/>
    <w:tmpl w:val="4EC2B94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nsid w:val="423E019D"/>
    <w:multiLevelType w:val="multilevel"/>
    <w:tmpl w:val="288CF91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13202"/>
    <w:rsid w:val="00613202"/>
    <w:rsid w:val="00702B6E"/>
    <w:rsid w:val="00C36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02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B6E"/>
    <w:rPr>
      <w:rFonts w:ascii="Tahoma" w:hAnsi="Tahoma" w:cs="Tahoma"/>
      <w:sz w:val="16"/>
      <w:szCs w:val="16"/>
    </w:rPr>
  </w:style>
  <w:style w:type="paragraph" w:styleId="CommentText">
    <w:name w:val="annotation text"/>
    <w:basedOn w:val="Normal"/>
    <w:link w:val="CommentTextChar"/>
    <w:uiPriority w:val="99"/>
    <w:semiHidden/>
    <w:unhideWhenUsed/>
    <w:rsid w:val="00702B6E"/>
    <w:pPr>
      <w:spacing w:line="240" w:lineRule="auto"/>
    </w:pPr>
    <w:rPr>
      <w:rFonts w:cs="Times New Roman"/>
      <w:color w:val="auto"/>
      <w:sz w:val="20"/>
      <w:szCs w:val="20"/>
    </w:rPr>
  </w:style>
  <w:style w:type="character" w:customStyle="1" w:styleId="CommentTextChar">
    <w:name w:val="Comment Text Char"/>
    <w:basedOn w:val="DefaultParagraphFont"/>
    <w:link w:val="CommentText"/>
    <w:uiPriority w:val="99"/>
    <w:semiHidden/>
    <w:rsid w:val="00702B6E"/>
    <w:rPr>
      <w:rFonts w:cs="Times New Roman"/>
      <w:color w:val="auto"/>
      <w:sz w:val="20"/>
      <w:szCs w:val="20"/>
    </w:rPr>
  </w:style>
  <w:style w:type="character" w:styleId="CommentReference">
    <w:name w:val="annotation reference"/>
    <w:basedOn w:val="DefaultParagraphFont"/>
    <w:uiPriority w:val="99"/>
    <w:semiHidden/>
    <w:unhideWhenUsed/>
    <w:rsid w:val="00702B6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02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B6E"/>
    <w:rPr>
      <w:rFonts w:ascii="Tahoma" w:hAnsi="Tahoma" w:cs="Tahoma"/>
      <w:sz w:val="16"/>
      <w:szCs w:val="16"/>
    </w:rPr>
  </w:style>
  <w:style w:type="paragraph" w:styleId="CommentText">
    <w:name w:val="annotation text"/>
    <w:basedOn w:val="Normal"/>
    <w:link w:val="CommentTextChar"/>
    <w:uiPriority w:val="99"/>
    <w:semiHidden/>
    <w:unhideWhenUsed/>
    <w:rsid w:val="00702B6E"/>
    <w:pPr>
      <w:spacing w:line="240" w:lineRule="auto"/>
    </w:pPr>
    <w:rPr>
      <w:rFonts w:cs="Times New Roman"/>
      <w:color w:val="auto"/>
      <w:sz w:val="20"/>
      <w:szCs w:val="20"/>
    </w:rPr>
  </w:style>
  <w:style w:type="character" w:customStyle="1" w:styleId="CommentTextChar">
    <w:name w:val="Comment Text Char"/>
    <w:basedOn w:val="DefaultParagraphFont"/>
    <w:link w:val="CommentText"/>
    <w:uiPriority w:val="99"/>
    <w:semiHidden/>
    <w:rsid w:val="00702B6E"/>
    <w:rPr>
      <w:rFonts w:cs="Times New Roman"/>
      <w:color w:val="auto"/>
      <w:sz w:val="20"/>
      <w:szCs w:val="20"/>
    </w:rPr>
  </w:style>
  <w:style w:type="character" w:styleId="CommentReference">
    <w:name w:val="annotation reference"/>
    <w:basedOn w:val="DefaultParagraphFont"/>
    <w:uiPriority w:val="99"/>
    <w:semiHidden/>
    <w:unhideWhenUsed/>
    <w:rsid w:val="00702B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24096">
      <w:bodyDiv w:val="1"/>
      <w:marLeft w:val="0"/>
      <w:marRight w:val="0"/>
      <w:marTop w:val="0"/>
      <w:marBottom w:val="0"/>
      <w:divBdr>
        <w:top w:val="none" w:sz="0" w:space="0" w:color="auto"/>
        <w:left w:val="none" w:sz="0" w:space="0" w:color="auto"/>
        <w:bottom w:val="none" w:sz="0" w:space="0" w:color="auto"/>
        <w:right w:val="none" w:sz="0" w:space="0" w:color="auto"/>
      </w:divBdr>
    </w:div>
    <w:div w:id="870916737">
      <w:bodyDiv w:val="1"/>
      <w:marLeft w:val="0"/>
      <w:marRight w:val="0"/>
      <w:marTop w:val="0"/>
      <w:marBottom w:val="0"/>
      <w:divBdr>
        <w:top w:val="none" w:sz="0" w:space="0" w:color="auto"/>
        <w:left w:val="none" w:sz="0" w:space="0" w:color="auto"/>
        <w:bottom w:val="none" w:sz="0" w:space="0" w:color="auto"/>
        <w:right w:val="none" w:sz="0" w:space="0" w:color="auto"/>
      </w:divBdr>
    </w:div>
    <w:div w:id="1073043575">
      <w:bodyDiv w:val="1"/>
      <w:marLeft w:val="0"/>
      <w:marRight w:val="0"/>
      <w:marTop w:val="0"/>
      <w:marBottom w:val="0"/>
      <w:divBdr>
        <w:top w:val="none" w:sz="0" w:space="0" w:color="auto"/>
        <w:left w:val="none" w:sz="0" w:space="0" w:color="auto"/>
        <w:bottom w:val="none" w:sz="0" w:space="0" w:color="auto"/>
        <w:right w:val="none" w:sz="0" w:space="0" w:color="auto"/>
      </w:divBdr>
    </w:div>
    <w:div w:id="1986204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Wuyang Cai</dc:creator>
  <cp:lastModifiedBy>Wuyang Cai</cp:lastModifiedBy>
  <cp:revision>2</cp:revision>
  <dcterms:created xsi:type="dcterms:W3CDTF">2015-07-09T20:12:00Z</dcterms:created>
  <dcterms:modified xsi:type="dcterms:W3CDTF">2015-07-09T20:12:00Z</dcterms:modified>
</cp:coreProperties>
</file>