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CB3D2" w14:textId="61EA0AE3" w:rsidR="0012258B" w:rsidRDefault="0012258B">
      <w:pPr>
        <w:spacing w:after="0" w:line="240" w:lineRule="auto"/>
        <w:rPr>
          <w:rFonts w:ascii="Garamond" w:eastAsia="Garamond" w:hAnsi="Garamond" w:cs="Garamond"/>
          <w:b/>
          <w:sz w:val="40"/>
          <w:szCs w:val="40"/>
        </w:rPr>
      </w:pPr>
    </w:p>
    <w:p w14:paraId="576B48B8" w14:textId="77777777" w:rsidR="0012258B" w:rsidRDefault="004F7961">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Idaho Water Resources II</w:t>
      </w:r>
    </w:p>
    <w:p w14:paraId="2F487B53" w14:textId="77777777" w:rsidR="00DF61B3" w:rsidRDefault="004F7961">
      <w:pPr>
        <w:spacing w:after="0" w:line="240" w:lineRule="auto"/>
        <w:jc w:val="right"/>
        <w:rPr>
          <w:rFonts w:ascii="Garamond" w:eastAsia="Garamond" w:hAnsi="Garamond" w:cs="Garamond"/>
          <w:sz w:val="28"/>
          <w:szCs w:val="28"/>
        </w:rPr>
      </w:pPr>
      <w:r>
        <w:rPr>
          <w:rFonts w:ascii="Garamond" w:eastAsia="Garamond" w:hAnsi="Garamond" w:cs="Garamond"/>
          <w:sz w:val="28"/>
          <w:szCs w:val="28"/>
        </w:rPr>
        <w:t xml:space="preserve">Evaluating Evapotranspiration and Water Budget Components in </w:t>
      </w:r>
    </w:p>
    <w:p w14:paraId="49D194FB" w14:textId="647D202E" w:rsidR="0012258B" w:rsidRDefault="004F7961">
      <w:pPr>
        <w:spacing w:after="0" w:line="240" w:lineRule="auto"/>
        <w:jc w:val="right"/>
        <w:rPr>
          <w:rFonts w:ascii="Garamond" w:eastAsia="Garamond" w:hAnsi="Garamond" w:cs="Garamond"/>
          <w:sz w:val="28"/>
          <w:szCs w:val="28"/>
        </w:rPr>
      </w:pPr>
      <w:r>
        <w:rPr>
          <w:rFonts w:ascii="Garamond" w:eastAsia="Garamond" w:hAnsi="Garamond" w:cs="Garamond"/>
          <w:sz w:val="28"/>
          <w:szCs w:val="28"/>
        </w:rPr>
        <w:t>Semi-</w:t>
      </w:r>
      <w:r w:rsidR="00525C23">
        <w:rPr>
          <w:rFonts w:ascii="Garamond" w:eastAsia="Garamond" w:hAnsi="Garamond" w:cs="Garamond"/>
          <w:sz w:val="28"/>
          <w:szCs w:val="28"/>
        </w:rPr>
        <w:t>A</w:t>
      </w:r>
      <w:r>
        <w:rPr>
          <w:rFonts w:ascii="Garamond" w:eastAsia="Garamond" w:hAnsi="Garamond" w:cs="Garamond"/>
          <w:sz w:val="28"/>
          <w:szCs w:val="28"/>
        </w:rPr>
        <w:t>rid Sagebrush Steppe</w:t>
      </w:r>
    </w:p>
    <w:p w14:paraId="084D4EBC" w14:textId="77777777" w:rsidR="0012258B" w:rsidRDefault="0012258B">
      <w:pPr>
        <w:spacing w:after="0" w:line="240" w:lineRule="auto"/>
        <w:rPr>
          <w:rFonts w:ascii="Garamond" w:eastAsia="Garamond" w:hAnsi="Garamond" w:cs="Garamond"/>
          <w:sz w:val="32"/>
          <w:szCs w:val="32"/>
        </w:rPr>
      </w:pPr>
    </w:p>
    <w:p w14:paraId="18D224D7" w14:textId="77777777" w:rsidR="0012258B" w:rsidRDefault="0012258B">
      <w:pPr>
        <w:spacing w:after="0" w:line="240" w:lineRule="auto"/>
        <w:rPr>
          <w:rFonts w:ascii="Garamond" w:eastAsia="Garamond" w:hAnsi="Garamond" w:cs="Garamond"/>
          <w:sz w:val="32"/>
          <w:szCs w:val="32"/>
        </w:rPr>
      </w:pPr>
    </w:p>
    <w:p w14:paraId="50DC1BD4" w14:textId="77777777" w:rsidR="0012258B" w:rsidRDefault="0012258B">
      <w:pPr>
        <w:spacing w:after="0" w:line="240" w:lineRule="auto"/>
        <w:rPr>
          <w:rFonts w:ascii="Garamond" w:eastAsia="Garamond" w:hAnsi="Garamond" w:cs="Garamond"/>
          <w:sz w:val="32"/>
          <w:szCs w:val="32"/>
        </w:rPr>
      </w:pPr>
    </w:p>
    <w:p w14:paraId="2724780C" w14:textId="77777777" w:rsidR="0012258B" w:rsidRDefault="0012258B">
      <w:pPr>
        <w:spacing w:after="0" w:line="240" w:lineRule="auto"/>
        <w:rPr>
          <w:rFonts w:ascii="Garamond" w:eastAsia="Garamond" w:hAnsi="Garamond" w:cs="Garamond"/>
          <w:sz w:val="32"/>
          <w:szCs w:val="32"/>
        </w:rPr>
      </w:pPr>
    </w:p>
    <w:p w14:paraId="3D1E2AA5" w14:textId="77777777" w:rsidR="0012258B" w:rsidRDefault="0012258B">
      <w:pPr>
        <w:spacing w:after="0" w:line="240" w:lineRule="auto"/>
        <w:jc w:val="center"/>
        <w:rPr>
          <w:rFonts w:ascii="Garamond" w:eastAsia="Garamond" w:hAnsi="Garamond" w:cs="Garamond"/>
          <w:b/>
          <w:sz w:val="32"/>
          <w:szCs w:val="32"/>
        </w:rPr>
      </w:pPr>
    </w:p>
    <w:p w14:paraId="4956BDF4" w14:textId="77777777" w:rsidR="0012258B" w:rsidRDefault="0012258B">
      <w:pPr>
        <w:spacing w:after="0" w:line="240" w:lineRule="auto"/>
        <w:jc w:val="center"/>
        <w:rPr>
          <w:rFonts w:ascii="Garamond" w:eastAsia="Garamond" w:hAnsi="Garamond" w:cs="Garamond"/>
          <w:b/>
          <w:sz w:val="32"/>
          <w:szCs w:val="32"/>
        </w:rPr>
      </w:pPr>
    </w:p>
    <w:p w14:paraId="1FC21475" w14:textId="1308A32A" w:rsidR="0012258B" w:rsidRDefault="004F7961">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3120" behindDoc="0" locked="0" layoutInCell="1" hidden="0" allowOverlap="1" wp14:anchorId="1E6AD7F4" wp14:editId="67173590">
            <wp:simplePos x="0" y="0"/>
            <wp:positionH relativeFrom="margin">
              <wp:posOffset>1628140</wp:posOffset>
            </wp:positionH>
            <wp:positionV relativeFrom="paragraph">
              <wp:posOffset>56432</wp:posOffset>
            </wp:positionV>
            <wp:extent cx="968735" cy="182880"/>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739785AC" w14:textId="77777777" w:rsidR="0012258B" w:rsidRDefault="004F7961">
      <w:pPr>
        <w:spacing w:after="0" w:line="240" w:lineRule="auto"/>
        <w:jc w:val="center"/>
        <w:rPr>
          <w:rFonts w:ascii="Garamond" w:eastAsia="Garamond" w:hAnsi="Garamond" w:cs="Garamond"/>
          <w:sz w:val="28"/>
          <w:szCs w:val="28"/>
        </w:rPr>
      </w:pPr>
      <w:r>
        <w:rPr>
          <w:rFonts w:ascii="Garamond" w:eastAsia="Garamond" w:hAnsi="Garamond" w:cs="Garamond"/>
          <w:sz w:val="28"/>
          <w:szCs w:val="28"/>
        </w:rPr>
        <w:t>Rough Draft – October 4th, 2018</w:t>
      </w:r>
    </w:p>
    <w:p w14:paraId="16F00808" w14:textId="77777777" w:rsidR="0012258B" w:rsidRDefault="0012258B">
      <w:pPr>
        <w:spacing w:after="0" w:line="240" w:lineRule="auto"/>
        <w:jc w:val="center"/>
        <w:rPr>
          <w:rFonts w:ascii="Garamond" w:eastAsia="Garamond" w:hAnsi="Garamond" w:cs="Garamond"/>
          <w:sz w:val="24"/>
          <w:szCs w:val="24"/>
        </w:rPr>
      </w:pPr>
    </w:p>
    <w:p w14:paraId="1170C7CB" w14:textId="4707ADD0"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Ian Lauer</w:t>
      </w:r>
      <w:r w:rsidR="001064C9">
        <w:rPr>
          <w:rFonts w:ascii="Garamond" w:eastAsia="Garamond" w:hAnsi="Garamond" w:cs="Garamond"/>
          <w:sz w:val="20"/>
          <w:szCs w:val="20"/>
        </w:rPr>
        <w:t xml:space="preserve"> </w:t>
      </w:r>
      <w:r>
        <w:rPr>
          <w:rFonts w:ascii="Garamond" w:eastAsia="Garamond" w:hAnsi="Garamond" w:cs="Garamond"/>
          <w:sz w:val="20"/>
          <w:szCs w:val="20"/>
        </w:rPr>
        <w:t>(Project Lead)</w:t>
      </w:r>
    </w:p>
    <w:p w14:paraId="2EAD62A8"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Carl Jurkowski</w:t>
      </w:r>
    </w:p>
    <w:p w14:paraId="4CAE8B71"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Carolyn Macek</w:t>
      </w:r>
    </w:p>
    <w:p w14:paraId="5F2841AB"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Francis Zurek</w:t>
      </w:r>
    </w:p>
    <w:p w14:paraId="266C323C" w14:textId="77777777" w:rsidR="0012258B" w:rsidRDefault="0012258B">
      <w:pPr>
        <w:spacing w:after="0" w:line="240" w:lineRule="auto"/>
        <w:jc w:val="center"/>
        <w:rPr>
          <w:rFonts w:ascii="Garamond" w:eastAsia="Garamond" w:hAnsi="Garamond" w:cs="Garamond"/>
          <w:sz w:val="20"/>
          <w:szCs w:val="20"/>
        </w:rPr>
      </w:pPr>
    </w:p>
    <w:p w14:paraId="1FCFFDF7"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Keith T. Weber, Idaho State University, GIS TReC (Science Advisor)</w:t>
      </w:r>
    </w:p>
    <w:p w14:paraId="094EC23A" w14:textId="77777777" w:rsidR="0012258B" w:rsidRDefault="0012258B">
      <w:pPr>
        <w:spacing w:after="0" w:line="240" w:lineRule="auto"/>
        <w:jc w:val="center"/>
        <w:rPr>
          <w:rFonts w:ascii="Garamond" w:eastAsia="Garamond" w:hAnsi="Garamond" w:cs="Garamond"/>
          <w:sz w:val="20"/>
          <w:szCs w:val="20"/>
        </w:rPr>
      </w:pPr>
    </w:p>
    <w:p w14:paraId="2D7DE837"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14:paraId="524241D9" w14:textId="29F290C6"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Ian Lauer</w:t>
      </w:r>
    </w:p>
    <w:p w14:paraId="52E500B1"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Madison Broddle</w:t>
      </w:r>
    </w:p>
    <w:p w14:paraId="36585E7E"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Dane Coats</w:t>
      </w:r>
    </w:p>
    <w:p w14:paraId="772DD998"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Leah Kucera</w:t>
      </w:r>
    </w:p>
    <w:p w14:paraId="3501838C" w14:textId="77777777" w:rsidR="0012258B" w:rsidRDefault="004F7961">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Zach Sforzo </w:t>
      </w:r>
    </w:p>
    <w:p w14:paraId="162057EC" w14:textId="77777777" w:rsidR="0012258B" w:rsidRDefault="004F7961">
      <w:pPr>
        <w:rPr>
          <w:rFonts w:ascii="Garamond" w:eastAsia="Garamond" w:hAnsi="Garamond" w:cs="Garamond"/>
          <w:sz w:val="20"/>
          <w:szCs w:val="20"/>
        </w:rPr>
      </w:pPr>
      <w:r>
        <w:br w:type="page"/>
      </w:r>
    </w:p>
    <w:p w14:paraId="71D9A5D7" w14:textId="77777777" w:rsidR="0012258B" w:rsidRDefault="004F7961">
      <w:pPr>
        <w:pStyle w:val="Heading1"/>
        <w:rPr>
          <w:rFonts w:ascii="Garamond" w:eastAsia="Garamond" w:hAnsi="Garamond" w:cs="Garamond"/>
        </w:rPr>
      </w:pPr>
      <w:r>
        <w:rPr>
          <w:rFonts w:ascii="Garamond" w:eastAsia="Garamond" w:hAnsi="Garamond" w:cs="Garamond"/>
        </w:rPr>
        <w:lastRenderedPageBreak/>
        <w:t>1. Abstract</w:t>
      </w:r>
    </w:p>
    <w:p w14:paraId="4E8AFC9B" w14:textId="29856BE5" w:rsidR="00F417E3" w:rsidRPr="00100D02" w:rsidRDefault="00351FB5" w:rsidP="00100D02">
      <w:pPr>
        <w:spacing w:after="0" w:line="240" w:lineRule="auto"/>
        <w:rPr>
          <w:rFonts w:ascii="Garamond" w:hAnsi="Garamond"/>
        </w:rPr>
      </w:pPr>
      <w:r w:rsidRPr="00100D02">
        <w:rPr>
          <w:rFonts w:ascii="Garamond" w:hAnsi="Garamond"/>
        </w:rPr>
        <w:t>Evapotranspiration (ET) is a vital component of the hydrologic cycle, especially in semi-arid environments</w:t>
      </w:r>
      <w:r w:rsidR="009609DE">
        <w:rPr>
          <w:rFonts w:ascii="Garamond" w:hAnsi="Garamond"/>
        </w:rPr>
        <w:t xml:space="preserve">; </w:t>
      </w:r>
      <w:r w:rsidRPr="00100D02">
        <w:rPr>
          <w:rFonts w:ascii="Garamond" w:hAnsi="Garamond"/>
        </w:rPr>
        <w:t>water availability can have a substantial impact on ecosystem services, such as grazing patterns of native and domesticated animal populations, vegetation health, and fire susceptibility. Current practices to measure ET rely on costly field sampling approaches or models that are typically calibrated for agricultural land cover. Validating remote</w:t>
      </w:r>
      <w:r w:rsidR="009609DE">
        <w:rPr>
          <w:rFonts w:ascii="Garamond" w:hAnsi="Garamond"/>
        </w:rPr>
        <w:t xml:space="preserve">ly </w:t>
      </w:r>
      <w:r w:rsidRPr="00100D02">
        <w:rPr>
          <w:rFonts w:ascii="Garamond" w:hAnsi="Garamond"/>
        </w:rPr>
        <w:t>sens</w:t>
      </w:r>
      <w:r w:rsidR="009609DE">
        <w:rPr>
          <w:rFonts w:ascii="Garamond" w:hAnsi="Garamond"/>
        </w:rPr>
        <w:t>ed</w:t>
      </w:r>
      <w:r w:rsidRPr="00100D02">
        <w:rPr>
          <w:rFonts w:ascii="Garamond" w:hAnsi="Garamond"/>
        </w:rPr>
        <w:t xml:space="preserve"> ET models with paired </w:t>
      </w:r>
      <w:r w:rsidRPr="00100D02">
        <w:rPr>
          <w:rFonts w:ascii="Garamond" w:hAnsi="Garamond"/>
          <w:i/>
        </w:rPr>
        <w:t>in situ</w:t>
      </w:r>
      <w:r w:rsidRPr="00100D02">
        <w:rPr>
          <w:rFonts w:ascii="Garamond" w:hAnsi="Garamond"/>
        </w:rPr>
        <w:t xml:space="preserve"> eddy covariance tower data from Reynolds Creek Experimental Watershed (RCEW) will increase the confidence of measuring ET using remotely sensed data in the sagebrush steppe environment. ET estimates and model inputs were derived from NASA Terra Moderate Resolution Imaging Spectroradiometer (MODIS) and Advanced Spaceborne Thermal Emission and Reflection Radiometer (ASTER), </w:t>
      </w:r>
      <w:r w:rsidR="007E0695">
        <w:rPr>
          <w:rFonts w:ascii="Garamond" w:hAnsi="Garamond"/>
        </w:rPr>
        <w:t xml:space="preserve">Aqua MODIS, Landsat 7 Enhances Thematic Mapper (ETM+), </w:t>
      </w:r>
      <w:r w:rsidR="002E4C75">
        <w:rPr>
          <w:rFonts w:ascii="Garamond" w:hAnsi="Garamond"/>
          <w:color w:val="000000"/>
        </w:rPr>
        <w:t>and</w:t>
      </w:r>
      <w:r w:rsidR="001C33F7">
        <w:rPr>
          <w:rFonts w:ascii="Garamond" w:hAnsi="Garamond"/>
          <w:color w:val="000000"/>
        </w:rPr>
        <w:t xml:space="preserve"> </w:t>
      </w:r>
      <w:r w:rsidRPr="00100D02">
        <w:rPr>
          <w:rFonts w:ascii="Garamond" w:hAnsi="Garamond"/>
        </w:rPr>
        <w:t xml:space="preserve">Landsat 8 Operational Land Imager (OLI) and Thermal Infrared Sensor (TIRS). </w:t>
      </w:r>
      <w:r w:rsidR="009609DE" w:rsidRPr="000A6BBF">
        <w:rPr>
          <w:rFonts w:ascii="Garamond" w:hAnsi="Garamond"/>
        </w:rPr>
        <w:t>Additionally</w:t>
      </w:r>
      <w:r w:rsidR="009609DE">
        <w:rPr>
          <w:rFonts w:ascii="Garamond" w:hAnsi="Garamond"/>
        </w:rPr>
        <w:t>, t</w:t>
      </w:r>
      <w:r w:rsidRPr="00100D02">
        <w:rPr>
          <w:rFonts w:ascii="Garamond" w:hAnsi="Garamond"/>
        </w:rPr>
        <w:t xml:space="preserve">he project </w:t>
      </w:r>
      <w:r w:rsidR="002E4C75">
        <w:rPr>
          <w:rFonts w:ascii="Garamond" w:hAnsi="Garamond"/>
        </w:rPr>
        <w:t>used</w:t>
      </w:r>
      <w:r w:rsidRPr="00100D02">
        <w:rPr>
          <w:rFonts w:ascii="Garamond" w:hAnsi="Garamond"/>
        </w:rPr>
        <w:t xml:space="preserve"> modeled data from Google Earth Engine Evapotranspiration Flux (</w:t>
      </w:r>
      <w:r w:rsidRPr="00DF61B3">
        <w:rPr>
          <w:rFonts w:ascii="Garamond" w:hAnsi="Garamond"/>
          <w:noProof/>
        </w:rPr>
        <w:t>EEFlux</w:t>
      </w:r>
      <w:r w:rsidRPr="00100D02">
        <w:rPr>
          <w:rFonts w:ascii="Garamond" w:hAnsi="Garamond"/>
        </w:rPr>
        <w:t xml:space="preserve">), Simplified Surface Energy Balance (SSEBop), MODIS Global ET Project (MOD16), and North American Land Data Assimilation System (NLDAS-2 Noah). The NLDAS-2 Noah model produced the best correlation to the RCEW </w:t>
      </w:r>
      <w:r w:rsidRPr="00100D02">
        <w:rPr>
          <w:rFonts w:ascii="Garamond" w:hAnsi="Garamond"/>
          <w:i/>
        </w:rPr>
        <w:t xml:space="preserve">in situ </w:t>
      </w:r>
      <w:r w:rsidRPr="00100D02">
        <w:rPr>
          <w:rFonts w:ascii="Garamond" w:hAnsi="Garamond"/>
        </w:rPr>
        <w:t>measurements,</w:t>
      </w:r>
      <w:r w:rsidRPr="00100D02">
        <w:rPr>
          <w:rFonts w:ascii="Garamond" w:hAnsi="Garamond"/>
          <w:i/>
        </w:rPr>
        <w:t xml:space="preserve"> </w:t>
      </w:r>
      <w:r w:rsidRPr="00100D02">
        <w:rPr>
          <w:rFonts w:ascii="Garamond" w:hAnsi="Garamond"/>
        </w:rPr>
        <w:t>with an average coefficient of determination of r</w:t>
      </w:r>
      <w:r w:rsidRPr="00100D02">
        <w:rPr>
          <w:rFonts w:ascii="Garamond" w:hAnsi="Garamond"/>
          <w:vertAlign w:val="superscript"/>
        </w:rPr>
        <w:t>2</w:t>
      </w:r>
      <w:r w:rsidRPr="00100D02">
        <w:rPr>
          <w:rFonts w:ascii="Garamond" w:hAnsi="Garamond"/>
        </w:rPr>
        <w:t xml:space="preserve"> = 0.87. The other three models resulted in coefficients ranging from r</w:t>
      </w:r>
      <w:r w:rsidRPr="00100D02">
        <w:rPr>
          <w:rFonts w:ascii="Garamond" w:hAnsi="Garamond"/>
          <w:vertAlign w:val="superscript"/>
        </w:rPr>
        <w:t>2</w:t>
      </w:r>
      <w:r w:rsidRPr="00100D02">
        <w:rPr>
          <w:rFonts w:ascii="Garamond" w:hAnsi="Garamond"/>
        </w:rPr>
        <w:t xml:space="preserve"> = 0.</w:t>
      </w:r>
      <w:r w:rsidRPr="00351FB5">
        <w:rPr>
          <w:rFonts w:ascii="Garamond" w:eastAsia="Times New Roman" w:hAnsi="Garamond" w:cs="Times New Roman"/>
          <w:szCs w:val="24"/>
        </w:rPr>
        <w:t>04</w:t>
      </w:r>
      <w:r w:rsidR="00074646">
        <w:rPr>
          <w:rFonts w:ascii="Garamond" w:eastAsia="Times New Roman" w:hAnsi="Garamond" w:cs="Times New Roman"/>
          <w:szCs w:val="24"/>
        </w:rPr>
        <w:t>3</w:t>
      </w:r>
      <w:r w:rsidRPr="00100D02">
        <w:rPr>
          <w:rFonts w:ascii="Garamond" w:hAnsi="Garamond"/>
        </w:rPr>
        <w:t xml:space="preserve"> (</w:t>
      </w:r>
      <w:r w:rsidR="006D4545" w:rsidRPr="00DF61B3">
        <w:rPr>
          <w:rFonts w:ascii="Garamond" w:hAnsi="Garamond"/>
          <w:noProof/>
        </w:rPr>
        <w:t>EEFlux</w:t>
      </w:r>
      <w:r w:rsidRPr="00100D02">
        <w:rPr>
          <w:rFonts w:ascii="Garamond" w:hAnsi="Garamond"/>
        </w:rPr>
        <w:t>) to r</w:t>
      </w:r>
      <w:r w:rsidRPr="00100D02">
        <w:rPr>
          <w:rFonts w:ascii="Garamond" w:hAnsi="Garamond"/>
          <w:vertAlign w:val="superscript"/>
        </w:rPr>
        <w:t xml:space="preserve">2 </w:t>
      </w:r>
      <w:r w:rsidRPr="00100D02">
        <w:rPr>
          <w:rFonts w:ascii="Garamond" w:hAnsi="Garamond"/>
        </w:rPr>
        <w:t>= 0.</w:t>
      </w:r>
      <w:r w:rsidR="006D4545">
        <w:rPr>
          <w:rFonts w:ascii="Garamond" w:eastAsia="Times New Roman" w:hAnsi="Garamond" w:cs="Times New Roman"/>
          <w:szCs w:val="24"/>
        </w:rPr>
        <w:t>87</w:t>
      </w:r>
      <w:r w:rsidRPr="00351FB5">
        <w:rPr>
          <w:rFonts w:ascii="Garamond" w:eastAsia="Times New Roman" w:hAnsi="Garamond" w:cs="Times New Roman"/>
          <w:szCs w:val="24"/>
        </w:rPr>
        <w:t xml:space="preserve"> (SSEBop and MOD16).</w:t>
      </w:r>
      <w:r w:rsidRPr="00100D02">
        <w:rPr>
          <w:rFonts w:ascii="Garamond" w:hAnsi="Garamond"/>
        </w:rPr>
        <w:t xml:space="preserve"> Although NLDAS-2 Noah has the lowest spatial resolution of the tested models (~12 km), it has the highest temporal resolution (hourly), which is promising for developing hybrid models paired with higher spatial resolution datasets such as SSEBop.</w:t>
      </w:r>
    </w:p>
    <w:p w14:paraId="5AC978A4" w14:textId="77777777" w:rsidR="0012258B" w:rsidRDefault="0012258B">
      <w:pPr>
        <w:spacing w:after="0" w:line="240" w:lineRule="auto"/>
        <w:rPr>
          <w:rFonts w:ascii="Garamond" w:eastAsia="Garamond" w:hAnsi="Garamond" w:cs="Garamond"/>
        </w:rPr>
      </w:pPr>
    </w:p>
    <w:p w14:paraId="13F28850" w14:textId="5A2BAC3B" w:rsidR="0012258B" w:rsidRDefault="004F7961">
      <w:pPr>
        <w:spacing w:after="0" w:line="240" w:lineRule="auto"/>
        <w:rPr>
          <w:rFonts w:ascii="Garamond" w:eastAsia="Garamond" w:hAnsi="Garamond" w:cs="Garamond"/>
        </w:rPr>
      </w:pPr>
      <w:r>
        <w:rPr>
          <w:rFonts w:ascii="Garamond" w:eastAsia="Garamond" w:hAnsi="Garamond" w:cs="Garamond"/>
          <w:b/>
        </w:rPr>
        <w:t>Keywords</w:t>
      </w:r>
      <w:r w:rsidR="00D918E7">
        <w:rPr>
          <w:rFonts w:ascii="Garamond" w:eastAsia="Garamond" w:hAnsi="Garamond" w:cs="Garamond"/>
        </w:rPr>
        <w:t>:</w:t>
      </w:r>
      <w:r w:rsidR="008C6703">
        <w:rPr>
          <w:rFonts w:ascii="Garamond" w:eastAsia="Garamond" w:hAnsi="Garamond" w:cs="Garamond"/>
        </w:rPr>
        <w:t xml:space="preserve"> </w:t>
      </w:r>
      <w:r>
        <w:rPr>
          <w:rFonts w:ascii="Garamond" w:eastAsia="Garamond" w:hAnsi="Garamond" w:cs="Garamond"/>
        </w:rPr>
        <w:t>MODIS</w:t>
      </w:r>
      <w:r w:rsidR="00525C23">
        <w:rPr>
          <w:rFonts w:ascii="Garamond" w:eastAsia="Garamond" w:hAnsi="Garamond" w:cs="Garamond"/>
        </w:rPr>
        <w:t>,</w:t>
      </w:r>
      <w:r>
        <w:rPr>
          <w:rFonts w:ascii="Garamond" w:eastAsia="Garamond" w:hAnsi="Garamond" w:cs="Garamond"/>
        </w:rPr>
        <w:t xml:space="preserve"> </w:t>
      </w:r>
      <w:r w:rsidR="00E5411C">
        <w:rPr>
          <w:rFonts w:ascii="Garamond" w:eastAsia="Garamond" w:hAnsi="Garamond" w:cs="Garamond"/>
        </w:rPr>
        <w:t>MSAVI-2</w:t>
      </w:r>
      <w:r w:rsidR="00525C23">
        <w:rPr>
          <w:rFonts w:ascii="Garamond" w:eastAsia="Garamond" w:hAnsi="Garamond" w:cs="Garamond"/>
        </w:rPr>
        <w:t>,</w:t>
      </w:r>
      <w:r>
        <w:rPr>
          <w:rFonts w:ascii="Garamond" w:eastAsia="Garamond" w:hAnsi="Garamond" w:cs="Garamond"/>
        </w:rPr>
        <w:t xml:space="preserve"> EEFlux</w:t>
      </w:r>
      <w:r w:rsidR="00525C23">
        <w:rPr>
          <w:rFonts w:ascii="Garamond" w:eastAsia="Garamond" w:hAnsi="Garamond" w:cs="Garamond"/>
        </w:rPr>
        <w:t>,</w:t>
      </w:r>
      <w:r>
        <w:rPr>
          <w:rFonts w:ascii="Garamond" w:eastAsia="Garamond" w:hAnsi="Garamond" w:cs="Garamond"/>
        </w:rPr>
        <w:t xml:space="preserve"> SSEBop</w:t>
      </w:r>
      <w:r w:rsidR="00525C23">
        <w:rPr>
          <w:rFonts w:ascii="Garamond" w:eastAsia="Garamond" w:hAnsi="Garamond" w:cs="Garamond"/>
        </w:rPr>
        <w:t>,</w:t>
      </w:r>
      <w:r>
        <w:rPr>
          <w:rFonts w:ascii="Garamond" w:eastAsia="Garamond" w:hAnsi="Garamond" w:cs="Garamond"/>
        </w:rPr>
        <w:t xml:space="preserve"> Landsat</w:t>
      </w:r>
      <w:r w:rsidR="00525C23">
        <w:rPr>
          <w:rFonts w:ascii="Garamond" w:eastAsia="Garamond" w:hAnsi="Garamond" w:cs="Garamond"/>
        </w:rPr>
        <w:t>,</w:t>
      </w:r>
      <w:r>
        <w:rPr>
          <w:rFonts w:ascii="Garamond" w:eastAsia="Garamond" w:hAnsi="Garamond" w:cs="Garamond"/>
        </w:rPr>
        <w:t xml:space="preserve"> Google Earth Engine</w:t>
      </w:r>
      <w:r w:rsidR="00525C23">
        <w:rPr>
          <w:rFonts w:ascii="Garamond" w:eastAsia="Garamond" w:hAnsi="Garamond" w:cs="Garamond"/>
        </w:rPr>
        <w:t>,</w:t>
      </w:r>
      <w:r>
        <w:rPr>
          <w:rFonts w:ascii="Garamond" w:eastAsia="Garamond" w:hAnsi="Garamond" w:cs="Garamond"/>
        </w:rPr>
        <w:t xml:space="preserve"> </w:t>
      </w:r>
      <w:r w:rsidR="00525C23">
        <w:rPr>
          <w:rFonts w:ascii="Garamond" w:eastAsia="Garamond" w:hAnsi="Garamond" w:cs="Garamond"/>
        </w:rPr>
        <w:t>evapotranspiration,</w:t>
      </w:r>
      <w:r>
        <w:rPr>
          <w:rFonts w:ascii="Garamond" w:eastAsia="Garamond" w:hAnsi="Garamond" w:cs="Garamond"/>
        </w:rPr>
        <w:t xml:space="preserve"> </w:t>
      </w:r>
      <w:r w:rsidR="00525C23">
        <w:rPr>
          <w:rFonts w:ascii="Garamond" w:eastAsia="Garamond" w:hAnsi="Garamond" w:cs="Garamond"/>
        </w:rPr>
        <w:t>s</w:t>
      </w:r>
      <w:r>
        <w:rPr>
          <w:rFonts w:ascii="Garamond" w:eastAsia="Garamond" w:hAnsi="Garamond" w:cs="Garamond"/>
        </w:rPr>
        <w:t>emi-arid</w:t>
      </w:r>
    </w:p>
    <w:p w14:paraId="5A64243A" w14:textId="77777777" w:rsidR="0012258B" w:rsidRDefault="004F7961">
      <w:pPr>
        <w:pStyle w:val="Heading1"/>
        <w:rPr>
          <w:rFonts w:ascii="Garamond" w:eastAsia="Garamond" w:hAnsi="Garamond" w:cs="Garamond"/>
        </w:rPr>
      </w:pPr>
      <w:bookmarkStart w:id="0" w:name="_gjdgxs" w:colFirst="0" w:colLast="0"/>
      <w:bookmarkEnd w:id="0"/>
      <w:r>
        <w:rPr>
          <w:rFonts w:ascii="Garamond" w:eastAsia="Garamond" w:hAnsi="Garamond" w:cs="Garamond"/>
        </w:rPr>
        <w:t>2. Introduction</w:t>
      </w:r>
    </w:p>
    <w:p w14:paraId="4ECEA3A1" w14:textId="77777777" w:rsidR="0012258B" w:rsidRDefault="004F7961">
      <w:pPr>
        <w:numPr>
          <w:ilvl w:val="1"/>
          <w:numId w:val="2"/>
        </w:numPr>
        <w:pBdr>
          <w:top w:val="nil"/>
          <w:left w:val="nil"/>
          <w:bottom w:val="nil"/>
          <w:right w:val="nil"/>
          <w:between w:val="nil"/>
        </w:pBdr>
        <w:spacing w:after="0" w:line="240" w:lineRule="auto"/>
        <w:contextualSpacing/>
        <w:rPr>
          <w:rFonts w:ascii="Garamond" w:eastAsia="Garamond" w:hAnsi="Garamond" w:cs="Garamond"/>
          <w:b/>
          <w:i/>
          <w:color w:val="000000"/>
        </w:rPr>
      </w:pPr>
      <w:bookmarkStart w:id="1" w:name="_30j0zll" w:colFirst="0" w:colLast="0"/>
      <w:bookmarkEnd w:id="1"/>
      <w:r>
        <w:rPr>
          <w:rFonts w:ascii="Garamond" w:eastAsia="Garamond" w:hAnsi="Garamond" w:cs="Garamond"/>
          <w:b/>
          <w:i/>
          <w:color w:val="000000"/>
        </w:rPr>
        <w:t>Background Information</w:t>
      </w:r>
    </w:p>
    <w:p w14:paraId="68683A2B" w14:textId="63B79BE3" w:rsidR="0012258B" w:rsidRDefault="004F7961">
      <w:pPr>
        <w:spacing w:after="0" w:line="240" w:lineRule="auto"/>
        <w:rPr>
          <w:rFonts w:ascii="Garamond" w:eastAsia="Garamond" w:hAnsi="Garamond" w:cs="Garamond"/>
        </w:rPr>
      </w:pPr>
      <w:r>
        <w:rPr>
          <w:rFonts w:ascii="Garamond" w:eastAsia="Garamond" w:hAnsi="Garamond" w:cs="Garamond"/>
        </w:rPr>
        <w:t>Evapotranspiration (ET), the sum of water loss to the atmosphere from surface evaporation and plant transpiration, is a critical component of the hydrologic cycle, particularl</w:t>
      </w:r>
      <w:r w:rsidR="00A024A6">
        <w:rPr>
          <w:rFonts w:ascii="Garamond" w:eastAsia="Garamond" w:hAnsi="Garamond" w:cs="Garamond"/>
        </w:rPr>
        <w:t xml:space="preserve">y in semi-arid environments (Ke, Im, Park, &amp; Gong, </w:t>
      </w:r>
      <w:r>
        <w:rPr>
          <w:rFonts w:ascii="Garamond" w:eastAsia="Garamond" w:hAnsi="Garamond" w:cs="Garamond"/>
        </w:rPr>
        <w:t xml:space="preserve">2016) where </w:t>
      </w:r>
      <w:r w:rsidR="005C07BC">
        <w:rPr>
          <w:rFonts w:ascii="Garamond" w:eastAsia="Garamond" w:hAnsi="Garamond" w:cs="Garamond"/>
        </w:rPr>
        <w:t>water</w:t>
      </w:r>
      <w:r w:rsidR="00AC4295">
        <w:rPr>
          <w:rFonts w:ascii="Garamond" w:eastAsia="Garamond" w:hAnsi="Garamond" w:cs="Garamond"/>
        </w:rPr>
        <w:t xml:space="preserve"> availability</w:t>
      </w:r>
      <w:r w:rsidR="005C07BC">
        <w:rPr>
          <w:rFonts w:ascii="Garamond" w:eastAsia="Garamond" w:hAnsi="Garamond" w:cs="Garamond"/>
        </w:rPr>
        <w:t xml:space="preserve"> for </w:t>
      </w:r>
      <w:r w:rsidR="00934A51">
        <w:rPr>
          <w:rFonts w:ascii="Garamond" w:eastAsia="Garamond" w:hAnsi="Garamond" w:cs="Garamond"/>
        </w:rPr>
        <w:t>vegetation</w:t>
      </w:r>
      <w:r>
        <w:rPr>
          <w:rFonts w:ascii="Garamond" w:eastAsia="Garamond" w:hAnsi="Garamond" w:cs="Garamond"/>
        </w:rPr>
        <w:t xml:space="preserve"> is limited.</w:t>
      </w:r>
      <w:r w:rsidR="00FA5A2D">
        <w:rPr>
          <w:rFonts w:ascii="Garamond" w:eastAsia="Garamond" w:hAnsi="Garamond" w:cs="Garamond"/>
        </w:rPr>
        <w:t xml:space="preserve"> Watershed-</w:t>
      </w:r>
      <w:r w:rsidR="002B28FA">
        <w:rPr>
          <w:rFonts w:ascii="Garamond" w:eastAsia="Garamond" w:hAnsi="Garamond" w:cs="Garamond"/>
        </w:rPr>
        <w:t xml:space="preserve">scale ET measurements can be useful for understanding water loss in the water </w:t>
      </w:r>
      <w:r w:rsidR="002B28FA" w:rsidRPr="00DF61B3">
        <w:rPr>
          <w:rFonts w:ascii="Garamond" w:eastAsia="Garamond" w:hAnsi="Garamond" w:cs="Garamond"/>
          <w:noProof/>
        </w:rPr>
        <w:t>balance</w:t>
      </w:r>
      <w:r w:rsidR="002B28FA">
        <w:rPr>
          <w:rFonts w:ascii="Garamond" w:eastAsia="Garamond" w:hAnsi="Garamond" w:cs="Garamond"/>
        </w:rPr>
        <w:t xml:space="preserve"> but </w:t>
      </w:r>
      <w:r w:rsidR="00FA5A2D">
        <w:rPr>
          <w:rFonts w:ascii="Garamond" w:eastAsia="Garamond" w:hAnsi="Garamond" w:cs="Garamond"/>
        </w:rPr>
        <w:t xml:space="preserve">have previously been </w:t>
      </w:r>
      <w:r w:rsidR="004E2E05">
        <w:rPr>
          <w:rFonts w:ascii="Garamond" w:eastAsia="Garamond" w:hAnsi="Garamond" w:cs="Garamond"/>
        </w:rPr>
        <w:t xml:space="preserve">neglected </w:t>
      </w:r>
      <w:r w:rsidR="00FA5A2D">
        <w:rPr>
          <w:rFonts w:ascii="Garamond" w:eastAsia="Garamond" w:hAnsi="Garamond" w:cs="Garamond"/>
        </w:rPr>
        <w:t>due to spatial and temporal complexity</w:t>
      </w:r>
      <w:r w:rsidR="002B28FA">
        <w:rPr>
          <w:rFonts w:ascii="Garamond" w:eastAsia="Garamond" w:hAnsi="Garamond" w:cs="Garamond"/>
        </w:rPr>
        <w:t>.</w:t>
      </w:r>
      <w:r>
        <w:rPr>
          <w:rFonts w:ascii="Garamond" w:eastAsia="Garamond" w:hAnsi="Garamond" w:cs="Garamond"/>
        </w:rPr>
        <w:t xml:space="preserve"> </w:t>
      </w:r>
      <w:r w:rsidR="00934A51">
        <w:rPr>
          <w:rFonts w:ascii="Garamond" w:eastAsia="Garamond" w:hAnsi="Garamond" w:cs="Garamond"/>
        </w:rPr>
        <w:t>In the future, a</w:t>
      </w:r>
      <w:r>
        <w:rPr>
          <w:rFonts w:ascii="Garamond" w:eastAsia="Garamond" w:hAnsi="Garamond" w:cs="Garamond"/>
        </w:rPr>
        <w:t xml:space="preserve">reas like the Intermountain West are predicted to </w:t>
      </w:r>
      <w:r w:rsidR="00934A51">
        <w:rPr>
          <w:rFonts w:ascii="Garamond" w:eastAsia="Garamond" w:hAnsi="Garamond" w:cs="Garamond"/>
        </w:rPr>
        <w:t xml:space="preserve">experience </w:t>
      </w:r>
      <w:r>
        <w:rPr>
          <w:rFonts w:ascii="Garamond" w:eastAsia="Garamond" w:hAnsi="Garamond" w:cs="Garamond"/>
        </w:rPr>
        <w:t>high</w:t>
      </w:r>
      <w:r w:rsidR="00934A51">
        <w:rPr>
          <w:rFonts w:ascii="Garamond" w:eastAsia="Garamond" w:hAnsi="Garamond" w:cs="Garamond"/>
        </w:rPr>
        <w:t>er</w:t>
      </w:r>
      <w:r>
        <w:rPr>
          <w:rFonts w:ascii="Garamond" w:eastAsia="Garamond" w:hAnsi="Garamond" w:cs="Garamond"/>
        </w:rPr>
        <w:t xml:space="preserve"> susceptib</w:t>
      </w:r>
      <w:r w:rsidR="00934A51">
        <w:rPr>
          <w:rFonts w:ascii="Garamond" w:eastAsia="Garamond" w:hAnsi="Garamond" w:cs="Garamond"/>
        </w:rPr>
        <w:t>ility</w:t>
      </w:r>
      <w:r>
        <w:rPr>
          <w:rFonts w:ascii="Garamond" w:eastAsia="Garamond" w:hAnsi="Garamond" w:cs="Garamond"/>
        </w:rPr>
        <w:t xml:space="preserve"> to changes in the hydrologic cycle in response to climate alterations</w:t>
      </w:r>
      <w:r w:rsidR="00BB3E25">
        <w:rPr>
          <w:rFonts w:ascii="Garamond" w:eastAsia="Garamond" w:hAnsi="Garamond" w:cs="Garamond"/>
        </w:rPr>
        <w:t xml:space="preserve"> compared to other ecoregions</w:t>
      </w:r>
      <w:r w:rsidR="00A024A6">
        <w:rPr>
          <w:rFonts w:ascii="Garamond" w:eastAsia="Garamond" w:hAnsi="Garamond" w:cs="Garamond"/>
        </w:rPr>
        <w:t xml:space="preserve"> (Sridhar &amp;</w:t>
      </w:r>
      <w:r>
        <w:rPr>
          <w:rFonts w:ascii="Garamond" w:eastAsia="Garamond" w:hAnsi="Garamond" w:cs="Garamond"/>
        </w:rPr>
        <w:t xml:space="preserve"> Nayak, 2010). In Idaho, greater than 60% of the land, </w:t>
      </w:r>
      <w:r w:rsidR="00B006DC">
        <w:rPr>
          <w:rFonts w:ascii="Garamond" w:eastAsia="Garamond" w:hAnsi="Garamond" w:cs="Garamond"/>
        </w:rPr>
        <w:t xml:space="preserve">approximately </w:t>
      </w:r>
      <w:r>
        <w:rPr>
          <w:rFonts w:ascii="Garamond" w:eastAsia="Garamond" w:hAnsi="Garamond" w:cs="Garamond"/>
        </w:rPr>
        <w:t>35 million acres, is publicly managed (</w:t>
      </w:r>
      <w:r w:rsidR="00A024A6">
        <w:rPr>
          <w:rFonts w:ascii="Garamond" w:eastAsia="Garamond" w:hAnsi="Garamond" w:cs="Garamond"/>
        </w:rPr>
        <w:t>Vincent, Hanson, and Argueta</w:t>
      </w:r>
      <w:r w:rsidR="00A536DD">
        <w:rPr>
          <w:rFonts w:ascii="Garamond" w:eastAsia="Garamond" w:hAnsi="Garamond" w:cs="Garamond"/>
        </w:rPr>
        <w:t>, 2017</w:t>
      </w:r>
      <w:r>
        <w:rPr>
          <w:rFonts w:ascii="Garamond" w:eastAsia="Garamond" w:hAnsi="Garamond" w:cs="Garamond"/>
        </w:rPr>
        <w:t xml:space="preserve">). </w:t>
      </w:r>
      <w:r w:rsidR="00100D02">
        <w:rPr>
          <w:rFonts w:ascii="Garamond" w:eastAsia="Garamond" w:hAnsi="Garamond" w:cs="Garamond"/>
        </w:rPr>
        <w:t xml:space="preserve">Because of the expansive and remote nature of these lands, </w:t>
      </w:r>
      <w:r>
        <w:rPr>
          <w:rFonts w:ascii="Garamond" w:eastAsia="Garamond" w:hAnsi="Garamond" w:cs="Garamond"/>
        </w:rPr>
        <w:t xml:space="preserve">land managers currently rely on interpolated data from limited </w:t>
      </w:r>
      <w:r>
        <w:rPr>
          <w:rFonts w:ascii="Garamond" w:eastAsia="Garamond" w:hAnsi="Garamond" w:cs="Garamond"/>
          <w:i/>
        </w:rPr>
        <w:t xml:space="preserve">in situ </w:t>
      </w:r>
      <w:r>
        <w:rPr>
          <w:rFonts w:ascii="Garamond" w:eastAsia="Garamond" w:hAnsi="Garamond" w:cs="Garamond"/>
        </w:rPr>
        <w:t>measurements and coarse resolution remote</w:t>
      </w:r>
      <w:r w:rsidR="004E2E05">
        <w:rPr>
          <w:rFonts w:ascii="Garamond" w:eastAsia="Garamond" w:hAnsi="Garamond" w:cs="Garamond"/>
        </w:rPr>
        <w:t xml:space="preserve">ly </w:t>
      </w:r>
      <w:r>
        <w:rPr>
          <w:rFonts w:ascii="Garamond" w:eastAsia="Garamond" w:hAnsi="Garamond" w:cs="Garamond"/>
        </w:rPr>
        <w:t xml:space="preserve">sensed datasets to perform research and </w:t>
      </w:r>
      <w:r w:rsidR="00AC4295">
        <w:rPr>
          <w:rFonts w:ascii="Garamond" w:eastAsia="Garamond" w:hAnsi="Garamond" w:cs="Garamond"/>
        </w:rPr>
        <w:t>adopt</w:t>
      </w:r>
      <w:r>
        <w:rPr>
          <w:rFonts w:ascii="Garamond" w:eastAsia="Garamond" w:hAnsi="Garamond" w:cs="Garamond"/>
        </w:rPr>
        <w:t xml:space="preserve"> resource management policies. </w:t>
      </w:r>
      <w:r w:rsidR="00A536DD">
        <w:rPr>
          <w:rFonts w:ascii="Garamond" w:eastAsia="Garamond" w:hAnsi="Garamond" w:cs="Garamond"/>
        </w:rPr>
        <w:t>To</w:t>
      </w:r>
      <w:r>
        <w:rPr>
          <w:rFonts w:ascii="Garamond" w:eastAsia="Garamond" w:hAnsi="Garamond" w:cs="Garamond"/>
        </w:rPr>
        <w:t xml:space="preserve"> improve the ability </w:t>
      </w:r>
      <w:r w:rsidR="00A536DD">
        <w:rPr>
          <w:rFonts w:ascii="Garamond" w:eastAsia="Garamond" w:hAnsi="Garamond" w:cs="Garamond"/>
        </w:rPr>
        <w:t>for</w:t>
      </w:r>
      <w:r>
        <w:rPr>
          <w:rFonts w:ascii="Garamond" w:eastAsia="Garamond" w:hAnsi="Garamond" w:cs="Garamond"/>
        </w:rPr>
        <w:t xml:space="preserve"> land managers to make decisions on ecosystem health and services</w:t>
      </w:r>
      <w:r w:rsidR="00A536DD">
        <w:rPr>
          <w:rFonts w:ascii="Garamond" w:eastAsia="Garamond" w:hAnsi="Garamond" w:cs="Garamond"/>
        </w:rPr>
        <w:t>, high-resolution, spatially</w:t>
      </w:r>
      <w:r w:rsidR="00BA248D">
        <w:rPr>
          <w:rFonts w:ascii="Garamond" w:eastAsia="Garamond" w:hAnsi="Garamond" w:cs="Garamond"/>
        </w:rPr>
        <w:t xml:space="preserve"> </w:t>
      </w:r>
      <w:r w:rsidR="00A536DD">
        <w:rPr>
          <w:rFonts w:ascii="Garamond" w:eastAsia="Garamond" w:hAnsi="Garamond" w:cs="Garamond"/>
        </w:rPr>
        <w:t>extensive datasets are need</w:t>
      </w:r>
      <w:r w:rsidR="0096501C">
        <w:rPr>
          <w:rFonts w:ascii="Garamond" w:eastAsia="Garamond" w:hAnsi="Garamond" w:cs="Garamond"/>
        </w:rPr>
        <w:t>ed</w:t>
      </w:r>
      <w:r w:rsidR="00A536DD">
        <w:rPr>
          <w:rFonts w:ascii="Garamond" w:eastAsia="Garamond" w:hAnsi="Garamond" w:cs="Garamond"/>
        </w:rPr>
        <w:t xml:space="preserve"> </w:t>
      </w:r>
      <w:r w:rsidR="00BB3E25">
        <w:rPr>
          <w:rFonts w:ascii="Garamond" w:eastAsia="Garamond" w:hAnsi="Garamond" w:cs="Garamond"/>
        </w:rPr>
        <w:t>for managers to</w:t>
      </w:r>
      <w:r w:rsidR="004E2E05">
        <w:rPr>
          <w:rFonts w:ascii="Garamond" w:eastAsia="Garamond" w:hAnsi="Garamond" w:cs="Garamond"/>
        </w:rPr>
        <w:t xml:space="preserve"> better</w:t>
      </w:r>
      <w:r w:rsidR="00BB3E25">
        <w:rPr>
          <w:rFonts w:ascii="Garamond" w:eastAsia="Garamond" w:hAnsi="Garamond" w:cs="Garamond"/>
        </w:rPr>
        <w:t xml:space="preserve"> understand h</w:t>
      </w:r>
      <w:r w:rsidR="00A536DD">
        <w:rPr>
          <w:rFonts w:ascii="Garamond" w:eastAsia="Garamond" w:hAnsi="Garamond" w:cs="Garamond"/>
        </w:rPr>
        <w:t>ydrologic and vegetative health conditions.</w:t>
      </w:r>
      <w:r>
        <w:rPr>
          <w:rFonts w:ascii="Garamond" w:eastAsia="Garamond" w:hAnsi="Garamond" w:cs="Garamond"/>
        </w:rPr>
        <w:t xml:space="preserve"> </w:t>
      </w:r>
    </w:p>
    <w:p w14:paraId="018C65EE" w14:textId="77777777" w:rsidR="0012258B" w:rsidRDefault="0012258B">
      <w:pPr>
        <w:spacing w:after="0" w:line="240" w:lineRule="auto"/>
        <w:rPr>
          <w:rFonts w:ascii="Garamond" w:eastAsia="Garamond" w:hAnsi="Garamond" w:cs="Garamond"/>
        </w:rPr>
      </w:pPr>
    </w:p>
    <w:p w14:paraId="6428CA2B" w14:textId="1C0BA3FB" w:rsidR="0012258B" w:rsidRDefault="0096501C">
      <w:pPr>
        <w:spacing w:after="0" w:line="240" w:lineRule="auto"/>
        <w:rPr>
          <w:rFonts w:ascii="Garamond" w:eastAsia="Garamond" w:hAnsi="Garamond" w:cs="Garamond"/>
        </w:rPr>
      </w:pPr>
      <w:r>
        <w:rPr>
          <w:rFonts w:ascii="Garamond" w:eastAsia="Garamond" w:hAnsi="Garamond" w:cs="Garamond"/>
        </w:rPr>
        <w:t>I</w:t>
      </w:r>
      <w:r w:rsidR="00DB33EA">
        <w:rPr>
          <w:rFonts w:ascii="Garamond" w:eastAsia="Garamond" w:hAnsi="Garamond" w:cs="Garamond"/>
        </w:rPr>
        <w:t xml:space="preserve">n summer 2018, the </w:t>
      </w:r>
      <w:r w:rsidR="004F7961">
        <w:rPr>
          <w:rFonts w:ascii="Garamond" w:eastAsia="Garamond" w:hAnsi="Garamond" w:cs="Garamond"/>
        </w:rPr>
        <w:t xml:space="preserve">Idaho Water Resources </w:t>
      </w:r>
      <w:r w:rsidR="00DB33EA">
        <w:rPr>
          <w:rFonts w:ascii="Garamond" w:eastAsia="Garamond" w:hAnsi="Garamond" w:cs="Garamond"/>
        </w:rPr>
        <w:t xml:space="preserve">I </w:t>
      </w:r>
      <w:r>
        <w:rPr>
          <w:rFonts w:ascii="Garamond" w:eastAsia="Garamond" w:hAnsi="Garamond" w:cs="Garamond"/>
        </w:rPr>
        <w:t>team</w:t>
      </w:r>
      <w:r w:rsidR="004F7961">
        <w:rPr>
          <w:rFonts w:ascii="Garamond" w:eastAsia="Garamond" w:hAnsi="Garamond" w:cs="Garamond"/>
        </w:rPr>
        <w:t xml:space="preserve"> </w:t>
      </w:r>
      <w:r w:rsidR="00DB33EA">
        <w:rPr>
          <w:rFonts w:ascii="Garamond" w:eastAsia="Garamond" w:hAnsi="Garamond" w:cs="Garamond"/>
        </w:rPr>
        <w:t>investigated remote</w:t>
      </w:r>
      <w:r w:rsidR="00F52FA8">
        <w:rPr>
          <w:rFonts w:ascii="Garamond" w:eastAsia="Garamond" w:hAnsi="Garamond" w:cs="Garamond"/>
        </w:rPr>
        <w:t>ly</w:t>
      </w:r>
      <w:r w:rsidR="004E2E05">
        <w:rPr>
          <w:rFonts w:ascii="Garamond" w:eastAsia="Garamond" w:hAnsi="Garamond" w:cs="Garamond"/>
        </w:rPr>
        <w:t xml:space="preserve"> </w:t>
      </w:r>
      <w:r w:rsidR="00DB33EA">
        <w:rPr>
          <w:rFonts w:ascii="Garamond" w:eastAsia="Garamond" w:hAnsi="Garamond" w:cs="Garamond"/>
        </w:rPr>
        <w:t>sensed soil moisture observations for the semi-arid</w:t>
      </w:r>
      <w:r w:rsidR="00AC4295">
        <w:rPr>
          <w:rFonts w:ascii="Garamond" w:eastAsia="Garamond" w:hAnsi="Garamond" w:cs="Garamond"/>
        </w:rPr>
        <w:t xml:space="preserve"> sagebrush</w:t>
      </w:r>
      <w:r w:rsidR="00DB33EA">
        <w:rPr>
          <w:rFonts w:ascii="Garamond" w:eastAsia="Garamond" w:hAnsi="Garamond" w:cs="Garamond"/>
        </w:rPr>
        <w:t xml:space="preserve"> steppe</w:t>
      </w:r>
      <w:r w:rsidR="003C459A">
        <w:rPr>
          <w:rFonts w:ascii="Garamond" w:eastAsia="Garamond" w:hAnsi="Garamond" w:cs="Garamond"/>
        </w:rPr>
        <w:t>.</w:t>
      </w:r>
      <w:r w:rsidR="00DB33EA">
        <w:rPr>
          <w:rFonts w:ascii="Garamond" w:eastAsia="Garamond" w:hAnsi="Garamond" w:cs="Garamond"/>
        </w:rPr>
        <w:t xml:space="preserve"> The</w:t>
      </w:r>
      <w:r w:rsidR="004F7961">
        <w:rPr>
          <w:rFonts w:ascii="Garamond" w:eastAsia="Garamond" w:hAnsi="Garamond" w:cs="Garamond"/>
        </w:rPr>
        <w:t xml:space="preserve"> team used </w:t>
      </w:r>
      <w:r w:rsidR="004F7961">
        <w:rPr>
          <w:rFonts w:ascii="Garamond" w:eastAsia="Garamond" w:hAnsi="Garamond" w:cs="Garamond"/>
          <w:i/>
        </w:rPr>
        <w:t xml:space="preserve">in situ </w:t>
      </w:r>
      <w:r w:rsidR="004F7961">
        <w:rPr>
          <w:rFonts w:ascii="Garamond" w:eastAsia="Garamond" w:hAnsi="Garamond" w:cs="Garamond"/>
        </w:rPr>
        <w:t xml:space="preserve">data </w:t>
      </w:r>
      <w:r>
        <w:rPr>
          <w:rFonts w:ascii="Garamond" w:eastAsia="Garamond" w:hAnsi="Garamond" w:cs="Garamond"/>
        </w:rPr>
        <w:t>from the</w:t>
      </w:r>
      <w:r w:rsidR="004F7961">
        <w:rPr>
          <w:rFonts w:ascii="Garamond" w:eastAsia="Garamond" w:hAnsi="Garamond" w:cs="Garamond"/>
        </w:rPr>
        <w:t xml:space="preserve"> Reynolds Creek Experimental Watershed (RCEW</w:t>
      </w:r>
      <w:r w:rsidR="004E2E05">
        <w:rPr>
          <w:rFonts w:ascii="Garamond" w:eastAsia="Garamond" w:hAnsi="Garamond" w:cs="Garamond"/>
        </w:rPr>
        <w:t>) (</w:t>
      </w:r>
      <w:r w:rsidR="00AD7E97">
        <w:rPr>
          <w:rFonts w:ascii="Garamond" w:eastAsia="Garamond" w:hAnsi="Garamond" w:cs="Garamond"/>
        </w:rPr>
        <w:t>Figure 1</w:t>
      </w:r>
      <w:r w:rsidR="004F7961">
        <w:rPr>
          <w:rFonts w:ascii="Garamond" w:eastAsia="Garamond" w:hAnsi="Garamond" w:cs="Garamond"/>
        </w:rPr>
        <w:t>) to validate observations of beta-quality</w:t>
      </w:r>
      <w:r w:rsidR="002E4C75">
        <w:rPr>
          <w:rFonts w:ascii="Garamond" w:eastAsia="Garamond" w:hAnsi="Garamond" w:cs="Garamond"/>
        </w:rPr>
        <w:t xml:space="preserve">, </w:t>
      </w:r>
      <w:r w:rsidR="00ED588A">
        <w:rPr>
          <w:rFonts w:ascii="Garamond" w:eastAsia="Garamond" w:hAnsi="Garamond" w:cs="Garamond"/>
        </w:rPr>
        <w:t>1 km</w:t>
      </w:r>
      <w:r w:rsidR="002E4C75">
        <w:rPr>
          <w:rFonts w:ascii="Garamond" w:eastAsia="Garamond" w:hAnsi="Garamond" w:cs="Garamond"/>
        </w:rPr>
        <w:t xml:space="preserve"> resolution,</w:t>
      </w:r>
      <w:r w:rsidR="004F7961">
        <w:rPr>
          <w:rFonts w:ascii="Garamond" w:eastAsia="Garamond" w:hAnsi="Garamond" w:cs="Garamond"/>
        </w:rPr>
        <w:t xml:space="preserve"> SMAP/Sentinel-1</w:t>
      </w:r>
      <w:r w:rsidR="008E03BD">
        <w:rPr>
          <w:rFonts w:ascii="Garamond" w:hAnsi="Garamond"/>
        </w:rPr>
        <w:t xml:space="preserve"> </w:t>
      </w:r>
      <w:r w:rsidR="004F7961">
        <w:rPr>
          <w:rFonts w:ascii="Garamond" w:eastAsia="Garamond" w:hAnsi="Garamond" w:cs="Garamond"/>
        </w:rPr>
        <w:t>enhanced soil moisture products. The Soil Moisture Active Passive sensor (SMAP) was launched</w:t>
      </w:r>
      <w:r w:rsidR="004E2E05">
        <w:rPr>
          <w:rFonts w:ascii="Garamond" w:eastAsia="Garamond" w:hAnsi="Garamond" w:cs="Garamond"/>
        </w:rPr>
        <w:t xml:space="preserve"> by NASA</w:t>
      </w:r>
      <w:r w:rsidR="004F7961">
        <w:rPr>
          <w:rFonts w:ascii="Garamond" w:eastAsia="Garamond" w:hAnsi="Garamond" w:cs="Garamond"/>
        </w:rPr>
        <w:t xml:space="preserve"> in 2015</w:t>
      </w:r>
      <w:r w:rsidR="00171A0F">
        <w:rPr>
          <w:rFonts w:ascii="Garamond" w:eastAsia="Garamond" w:hAnsi="Garamond" w:cs="Garamond"/>
        </w:rPr>
        <w:t>.</w:t>
      </w:r>
      <w:r w:rsidR="004F7961">
        <w:rPr>
          <w:rFonts w:ascii="Garamond" w:eastAsia="Garamond" w:hAnsi="Garamond" w:cs="Garamond"/>
        </w:rPr>
        <w:t xml:space="preserve"> </w:t>
      </w:r>
      <w:r w:rsidR="00171A0F">
        <w:rPr>
          <w:rFonts w:ascii="Garamond" w:eastAsia="Garamond" w:hAnsi="Garamond" w:cs="Garamond"/>
        </w:rPr>
        <w:t>However, shortly after launch, SMAP’s</w:t>
      </w:r>
      <w:r w:rsidR="004F7961">
        <w:rPr>
          <w:rFonts w:ascii="Garamond" w:eastAsia="Garamond" w:hAnsi="Garamond" w:cs="Garamond"/>
        </w:rPr>
        <w:t xml:space="preserve"> active radar amplifier</w:t>
      </w:r>
      <w:r w:rsidR="00171A0F">
        <w:rPr>
          <w:rFonts w:ascii="Garamond" w:eastAsia="Garamond" w:hAnsi="Garamond" w:cs="Garamond"/>
        </w:rPr>
        <w:t xml:space="preserve"> </w:t>
      </w:r>
      <w:r w:rsidR="003C459A">
        <w:rPr>
          <w:rFonts w:ascii="Garamond" w:eastAsia="Garamond" w:hAnsi="Garamond" w:cs="Garamond"/>
        </w:rPr>
        <w:t>malfunctioned</w:t>
      </w:r>
      <w:r w:rsidR="004E2E05">
        <w:rPr>
          <w:rFonts w:ascii="Garamond" w:eastAsia="Garamond" w:hAnsi="Garamond" w:cs="Garamond"/>
        </w:rPr>
        <w:t>;</w:t>
      </w:r>
      <w:r w:rsidR="00171A0F">
        <w:rPr>
          <w:rFonts w:ascii="Garamond" w:eastAsia="Garamond" w:hAnsi="Garamond" w:cs="Garamond"/>
        </w:rPr>
        <w:t xml:space="preserve"> </w:t>
      </w:r>
      <w:r w:rsidR="004E2E05">
        <w:rPr>
          <w:rFonts w:ascii="Garamond" w:eastAsia="Garamond" w:hAnsi="Garamond" w:cs="Garamond"/>
        </w:rPr>
        <w:t xml:space="preserve">this left </w:t>
      </w:r>
      <w:r w:rsidR="00171A0F">
        <w:rPr>
          <w:rFonts w:ascii="Garamond" w:eastAsia="Garamond" w:hAnsi="Garamond" w:cs="Garamond"/>
        </w:rPr>
        <w:t>only the passive sensor</w:t>
      </w:r>
      <w:r w:rsidR="00BA248D">
        <w:rPr>
          <w:rFonts w:ascii="Garamond" w:eastAsia="Garamond" w:hAnsi="Garamond" w:cs="Garamond"/>
        </w:rPr>
        <w:t>,</w:t>
      </w:r>
      <w:r w:rsidR="00171A0F">
        <w:rPr>
          <w:rFonts w:ascii="Garamond" w:eastAsia="Garamond" w:hAnsi="Garamond" w:cs="Garamond"/>
        </w:rPr>
        <w:t xml:space="preserve"> which </w:t>
      </w:r>
      <w:r w:rsidR="003C459A">
        <w:rPr>
          <w:rFonts w:ascii="Garamond" w:eastAsia="Garamond" w:hAnsi="Garamond" w:cs="Garamond"/>
        </w:rPr>
        <w:t>had reduced spatial resolution</w:t>
      </w:r>
      <w:r w:rsidR="00704074">
        <w:rPr>
          <w:rFonts w:ascii="Garamond" w:eastAsia="Garamond" w:hAnsi="Garamond" w:cs="Garamond"/>
        </w:rPr>
        <w:t xml:space="preserve"> (36 km) </w:t>
      </w:r>
      <w:r w:rsidR="003C459A">
        <w:rPr>
          <w:rFonts w:ascii="Garamond" w:eastAsia="Garamond" w:hAnsi="Garamond" w:cs="Garamond"/>
        </w:rPr>
        <w:t>and ground penetration</w:t>
      </w:r>
      <w:r w:rsidR="00171A0F">
        <w:rPr>
          <w:rFonts w:ascii="Garamond" w:eastAsia="Garamond" w:hAnsi="Garamond" w:cs="Garamond"/>
        </w:rPr>
        <w:t xml:space="preserve"> </w:t>
      </w:r>
      <w:r w:rsidR="00AC4295">
        <w:rPr>
          <w:rFonts w:ascii="Garamond" w:eastAsia="Garamond" w:hAnsi="Garamond" w:cs="Garamond"/>
        </w:rPr>
        <w:t xml:space="preserve">depth </w:t>
      </w:r>
      <w:r w:rsidR="00171A0F">
        <w:rPr>
          <w:rFonts w:ascii="Garamond" w:eastAsia="Garamond" w:hAnsi="Garamond" w:cs="Garamond"/>
        </w:rPr>
        <w:t>(Chan et al., 2016)</w:t>
      </w:r>
      <w:r w:rsidR="004F7961">
        <w:rPr>
          <w:rFonts w:ascii="Garamond" w:eastAsia="Garamond" w:hAnsi="Garamond" w:cs="Garamond"/>
        </w:rPr>
        <w:t xml:space="preserve">. A new methodology that utilized backscatter from </w:t>
      </w:r>
      <w:r w:rsidR="00952BE1" w:rsidRPr="00952BE1">
        <w:rPr>
          <w:rFonts w:ascii="Garamond" w:eastAsia="Garamond" w:hAnsi="Garamond" w:cs="Garamond"/>
        </w:rPr>
        <w:t>SMAP/Sentinel-1 L2 Radiometer/Radar 30-Second Scene 3 km EASE-Grid Soil Moisture V002</w:t>
      </w:r>
      <w:r w:rsidR="004F7961">
        <w:rPr>
          <w:rFonts w:ascii="Garamond" w:eastAsia="Garamond" w:hAnsi="Garamond" w:cs="Garamond"/>
        </w:rPr>
        <w:t xml:space="preserve"> sharpen</w:t>
      </w:r>
      <w:r w:rsidR="00BA248D">
        <w:rPr>
          <w:rFonts w:ascii="Garamond" w:eastAsia="Garamond" w:hAnsi="Garamond" w:cs="Garamond"/>
        </w:rPr>
        <w:t>ed</w:t>
      </w:r>
      <w:r w:rsidR="004F7961">
        <w:rPr>
          <w:rFonts w:ascii="Garamond" w:eastAsia="Garamond" w:hAnsi="Garamond" w:cs="Garamond"/>
        </w:rPr>
        <w:t xml:space="preserve"> the spatial resolution of soil moisture outputs </w:t>
      </w:r>
      <w:r w:rsidR="000A46F0">
        <w:rPr>
          <w:rFonts w:ascii="Garamond" w:eastAsia="Garamond" w:hAnsi="Garamond" w:cs="Garamond"/>
        </w:rPr>
        <w:t xml:space="preserve">to 1 km </w:t>
      </w:r>
      <w:r w:rsidR="004F7961">
        <w:rPr>
          <w:rFonts w:ascii="Garamond" w:eastAsia="Garamond" w:hAnsi="Garamond" w:cs="Garamond"/>
        </w:rPr>
        <w:t xml:space="preserve">(Das </w:t>
      </w:r>
      <w:r>
        <w:rPr>
          <w:rFonts w:ascii="Garamond" w:eastAsia="Garamond" w:hAnsi="Garamond" w:cs="Garamond"/>
        </w:rPr>
        <w:t>&amp;</w:t>
      </w:r>
      <w:r w:rsidR="004F7961">
        <w:rPr>
          <w:rFonts w:ascii="Garamond" w:eastAsia="Garamond" w:hAnsi="Garamond" w:cs="Garamond"/>
        </w:rPr>
        <w:t xml:space="preserve"> Dunbar, 2017; Das et al., 2017) but had limited testing</w:t>
      </w:r>
      <w:r w:rsidR="00F9370A">
        <w:rPr>
          <w:rFonts w:ascii="Garamond" w:eastAsia="Garamond" w:hAnsi="Garamond" w:cs="Garamond"/>
        </w:rPr>
        <w:t xml:space="preserve"> at the time of the first term’s project</w:t>
      </w:r>
      <w:r w:rsidR="004F7961">
        <w:rPr>
          <w:rFonts w:ascii="Garamond" w:eastAsia="Garamond" w:hAnsi="Garamond" w:cs="Garamond"/>
        </w:rPr>
        <w:t xml:space="preserve">. </w:t>
      </w:r>
      <w:r w:rsidR="00F9370A">
        <w:rPr>
          <w:rFonts w:ascii="Garamond" w:eastAsia="Garamond" w:hAnsi="Garamond" w:cs="Garamond"/>
        </w:rPr>
        <w:t>The summer 2018 team’s s</w:t>
      </w:r>
      <w:r w:rsidR="004F7961">
        <w:rPr>
          <w:rFonts w:ascii="Garamond" w:eastAsia="Garamond" w:hAnsi="Garamond" w:cs="Garamond"/>
        </w:rPr>
        <w:t xml:space="preserve">imple regression analysis showed moderate to strong correlations between SMAP/Sentinel-1 soil moisture products and </w:t>
      </w:r>
      <w:r w:rsidR="004F7961">
        <w:rPr>
          <w:rFonts w:ascii="Garamond" w:eastAsia="Garamond" w:hAnsi="Garamond" w:cs="Garamond"/>
          <w:i/>
        </w:rPr>
        <w:t xml:space="preserve">in situ </w:t>
      </w:r>
      <w:r w:rsidR="004F7961">
        <w:rPr>
          <w:rFonts w:ascii="Garamond" w:eastAsia="Garamond" w:hAnsi="Garamond" w:cs="Garamond"/>
        </w:rPr>
        <w:t>soil moisture measurements</w:t>
      </w:r>
      <w:r w:rsidR="000A46F0">
        <w:rPr>
          <w:rFonts w:ascii="Garamond" w:eastAsia="Garamond" w:hAnsi="Garamond" w:cs="Garamond"/>
        </w:rPr>
        <w:t xml:space="preserve">. Additionally, </w:t>
      </w:r>
      <w:r w:rsidR="004F7961">
        <w:rPr>
          <w:rFonts w:ascii="Garamond" w:eastAsia="Garamond" w:hAnsi="Garamond" w:cs="Garamond"/>
        </w:rPr>
        <w:t>low correlations</w:t>
      </w:r>
      <w:r w:rsidR="000A46F0">
        <w:rPr>
          <w:rFonts w:ascii="Garamond" w:eastAsia="Garamond" w:hAnsi="Garamond" w:cs="Garamond"/>
        </w:rPr>
        <w:t xml:space="preserve"> were found</w:t>
      </w:r>
      <w:r w:rsidR="004F7961">
        <w:rPr>
          <w:rFonts w:ascii="Garamond" w:eastAsia="Garamond" w:hAnsi="Garamond" w:cs="Garamond"/>
        </w:rPr>
        <w:t xml:space="preserve"> </w:t>
      </w:r>
      <w:r w:rsidR="004F7961">
        <w:rPr>
          <w:rFonts w:ascii="Garamond" w:eastAsia="Garamond" w:hAnsi="Garamond" w:cs="Garamond"/>
        </w:rPr>
        <w:lastRenderedPageBreak/>
        <w:t xml:space="preserve">between </w:t>
      </w:r>
      <w:r w:rsidR="008F2556">
        <w:rPr>
          <w:rFonts w:ascii="Garamond" w:eastAsia="Garamond" w:hAnsi="Garamond" w:cs="Garamond"/>
        </w:rPr>
        <w:t>SEB</w:t>
      </w:r>
      <w:r w:rsidR="004F7961">
        <w:rPr>
          <w:rFonts w:ascii="Garamond" w:eastAsia="Garamond" w:hAnsi="Garamond" w:cs="Garamond"/>
        </w:rPr>
        <w:t>/Sentinel-1 soil moisture</w:t>
      </w:r>
      <w:r w:rsidR="00E05EB7">
        <w:rPr>
          <w:rFonts w:ascii="Garamond" w:eastAsia="Garamond" w:hAnsi="Garamond" w:cs="Garamond"/>
        </w:rPr>
        <w:t>,</w:t>
      </w:r>
      <w:r w:rsidR="004F7961">
        <w:rPr>
          <w:rFonts w:ascii="Garamond" w:eastAsia="Garamond" w:hAnsi="Garamond" w:cs="Garamond"/>
        </w:rPr>
        <w:t xml:space="preserve"> satellite-estimated precipitation (GPM IMERG)</w:t>
      </w:r>
      <w:r w:rsidR="00E05EB7">
        <w:rPr>
          <w:rFonts w:ascii="Garamond" w:eastAsia="Garamond" w:hAnsi="Garamond" w:cs="Garamond"/>
        </w:rPr>
        <w:t>,</w:t>
      </w:r>
      <w:r w:rsidR="004F7961">
        <w:rPr>
          <w:rFonts w:ascii="Garamond" w:eastAsia="Garamond" w:hAnsi="Garamond" w:cs="Garamond"/>
        </w:rPr>
        <w:t xml:space="preserve"> and Normali</w:t>
      </w:r>
      <w:r w:rsidR="00E5411C">
        <w:rPr>
          <w:rFonts w:ascii="Garamond" w:eastAsia="Garamond" w:hAnsi="Garamond" w:cs="Garamond"/>
        </w:rPr>
        <w:t>zed Difference Vegetation Index</w:t>
      </w:r>
      <w:r w:rsidR="00FD5F5A">
        <w:rPr>
          <w:rFonts w:ascii="Garamond" w:eastAsia="Garamond" w:hAnsi="Garamond" w:cs="Garamond"/>
        </w:rPr>
        <w:t xml:space="preserve"> </w:t>
      </w:r>
      <w:r w:rsidR="00171A0F">
        <w:rPr>
          <w:rFonts w:ascii="Garamond" w:eastAsia="Garamond" w:hAnsi="Garamond" w:cs="Garamond"/>
        </w:rPr>
        <w:t>(</w:t>
      </w:r>
      <w:r w:rsidR="00A024A6">
        <w:rPr>
          <w:rFonts w:ascii="Garamond" w:eastAsia="Garamond" w:hAnsi="Garamond" w:cs="Garamond"/>
        </w:rPr>
        <w:t>Lauer</w:t>
      </w:r>
      <w:r w:rsidR="003C459A">
        <w:rPr>
          <w:rFonts w:ascii="Garamond" w:eastAsia="Garamond" w:hAnsi="Garamond" w:cs="Garamond"/>
        </w:rPr>
        <w:t>,</w:t>
      </w:r>
      <w:r w:rsidR="00A024A6">
        <w:rPr>
          <w:rFonts w:ascii="Garamond" w:eastAsia="Garamond" w:hAnsi="Garamond" w:cs="Garamond"/>
        </w:rPr>
        <w:t xml:space="preserve"> Coats, Kucera, Sforzo, &amp; Broddle,</w:t>
      </w:r>
      <w:r w:rsidR="003C459A">
        <w:rPr>
          <w:rFonts w:ascii="Garamond" w:eastAsia="Garamond" w:hAnsi="Garamond" w:cs="Garamond"/>
        </w:rPr>
        <w:t xml:space="preserve"> 2018</w:t>
      </w:r>
      <w:r w:rsidR="00FD5F5A">
        <w:rPr>
          <w:rFonts w:ascii="Garamond" w:eastAsia="Garamond" w:hAnsi="Garamond" w:cs="Garamond"/>
        </w:rPr>
        <w:t>)</w:t>
      </w:r>
      <w:r w:rsidR="004F7961">
        <w:rPr>
          <w:rFonts w:ascii="Garamond" w:eastAsia="Garamond" w:hAnsi="Garamond" w:cs="Garamond"/>
        </w:rPr>
        <w:t xml:space="preserve">. These results showed significant promise for continued use of the </w:t>
      </w:r>
      <w:r w:rsidR="004F7961" w:rsidRPr="00DF61B3">
        <w:rPr>
          <w:rFonts w:ascii="Garamond" w:eastAsia="Garamond" w:hAnsi="Garamond" w:cs="Garamond"/>
          <w:noProof/>
        </w:rPr>
        <w:t>platform</w:t>
      </w:r>
      <w:r w:rsidR="004F7961">
        <w:rPr>
          <w:rFonts w:ascii="Garamond" w:eastAsia="Garamond" w:hAnsi="Garamond" w:cs="Garamond"/>
        </w:rPr>
        <w:t xml:space="preserve"> but necessitated further exploration of soil moisture influence on vegetative health in the study area. </w:t>
      </w:r>
    </w:p>
    <w:p w14:paraId="2C55FAC0" w14:textId="77777777" w:rsidR="001C33F7" w:rsidRPr="00D6244F" w:rsidRDefault="001C33F7">
      <w:pPr>
        <w:spacing w:after="0" w:line="240" w:lineRule="auto"/>
        <w:rPr>
          <w:rFonts w:ascii="Garamond" w:eastAsia="Garamond" w:hAnsi="Garamond" w:cs="Garamond"/>
        </w:rPr>
      </w:pPr>
    </w:p>
    <w:p w14:paraId="7BE329DB" w14:textId="7694133B" w:rsidR="0012258B" w:rsidRDefault="00CB47F1">
      <w:pPr>
        <w:spacing w:after="0" w:line="240" w:lineRule="auto"/>
        <w:jc w:val="center"/>
        <w:rPr>
          <w:rFonts w:ascii="Garamond" w:eastAsia="Garamond" w:hAnsi="Garamond" w:cs="Garamond"/>
        </w:rPr>
      </w:pPr>
      <w:r w:rsidRPr="0082766C">
        <w:rPr>
          <w:rFonts w:ascii="Garamond" w:eastAsia="Garamond" w:hAnsi="Garamond" w:cs="Garamond"/>
          <w:noProof/>
        </w:rPr>
        <mc:AlternateContent>
          <mc:Choice Requires="wps">
            <w:drawing>
              <wp:anchor distT="45720" distB="45720" distL="114300" distR="114300" simplePos="0" relativeHeight="251662336" behindDoc="0" locked="0" layoutInCell="1" allowOverlap="1" wp14:anchorId="5EC83023" wp14:editId="006EB167">
                <wp:simplePos x="0" y="0"/>
                <wp:positionH relativeFrom="column">
                  <wp:posOffset>3641697</wp:posOffset>
                </wp:positionH>
                <wp:positionV relativeFrom="paragraph">
                  <wp:posOffset>1979378</wp:posOffset>
                </wp:positionV>
                <wp:extent cx="930303" cy="457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457200"/>
                        </a:xfrm>
                        <a:prstGeom prst="rect">
                          <a:avLst/>
                        </a:prstGeom>
                        <a:noFill/>
                        <a:ln w="9525">
                          <a:noFill/>
                          <a:miter lim="800000"/>
                          <a:headEnd/>
                          <a:tailEnd/>
                        </a:ln>
                      </wps:spPr>
                      <wps:txbx>
                        <w:txbxContent>
                          <w:p w14:paraId="1425C50D" w14:textId="3D542C1C" w:rsidR="00F9370A" w:rsidRPr="00CB47F1" w:rsidRDefault="00F9370A" w:rsidP="00CB47F1">
                            <w:pPr>
                              <w:jc w:val="center"/>
                              <w:rPr>
                                <w:rFonts w:ascii="Century Gothic" w:hAnsi="Century Gothic"/>
                                <w:b/>
                                <w:szCs w:val="24"/>
                              </w:rPr>
                            </w:pPr>
                            <w:r w:rsidRPr="00CB47F1">
                              <w:rPr>
                                <w:rFonts w:ascii="Century Gothic" w:hAnsi="Century Gothic"/>
                                <w:b/>
                                <w:szCs w:val="24"/>
                              </w:rPr>
                              <w:t>Idaho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83023" id="_x0000_t202" coordsize="21600,21600" o:spt="202" path="m,l,21600r21600,l21600,xe">
                <v:stroke joinstyle="miter"/>
                <v:path gradientshapeok="t" o:connecttype="rect"/>
              </v:shapetype>
              <v:shape id="Text Box 2" o:spid="_x0000_s1026" type="#_x0000_t202" style="position:absolute;left:0;text-align:left;margin-left:286.75pt;margin-top:155.85pt;width:73.25pt;height: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" filled="f" stroked="f">
                <v:textbox>
                  <w:txbxContent>
                    <w:p w14:paraId="1425C50D" w14:textId="3D542C1C" w:rsidR="00F9370A" w:rsidRPr="00CB47F1" w:rsidRDefault="00F9370A" w:rsidP="00CB47F1">
                      <w:pPr>
                        <w:jc w:val="center"/>
                        <w:rPr>
                          <w:rFonts w:ascii="Century Gothic" w:hAnsi="Century Gothic"/>
                          <w:b/>
                          <w:szCs w:val="24"/>
                        </w:rPr>
                      </w:pPr>
                      <w:r w:rsidRPr="00CB47F1">
                        <w:rPr>
                          <w:rFonts w:ascii="Century Gothic" w:hAnsi="Century Gothic"/>
                          <w:b/>
                          <w:szCs w:val="24"/>
                        </w:rPr>
                        <w:t>Idaho</w:t>
                      </w:r>
                    </w:p>
                  </w:txbxContent>
                </v:textbox>
              </v:shape>
            </w:pict>
          </mc:Fallback>
        </mc:AlternateContent>
      </w:r>
      <w:r w:rsidR="00C01EB3" w:rsidRPr="0082766C">
        <w:rPr>
          <w:rFonts w:ascii="Garamond" w:eastAsia="Garamond" w:hAnsi="Garamond" w:cs="Garamond"/>
          <w:noProof/>
        </w:rPr>
        <mc:AlternateContent>
          <mc:Choice Requires="wps">
            <w:drawing>
              <wp:anchor distT="45720" distB="45720" distL="114300" distR="114300" simplePos="0" relativeHeight="251660288" behindDoc="0" locked="0" layoutInCell="1" allowOverlap="1" wp14:anchorId="53049EF0" wp14:editId="319878F6">
                <wp:simplePos x="0" y="0"/>
                <wp:positionH relativeFrom="margin">
                  <wp:posOffset>3943350</wp:posOffset>
                </wp:positionH>
                <wp:positionV relativeFrom="paragraph">
                  <wp:posOffset>3490595</wp:posOffset>
                </wp:positionV>
                <wp:extent cx="1304925" cy="4572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w="9525">
                          <a:noFill/>
                          <a:miter lim="800000"/>
                          <a:headEnd/>
                          <a:tailEnd/>
                        </a:ln>
                      </wps:spPr>
                      <wps:txbx>
                        <w:txbxContent>
                          <w:p w14:paraId="78C2DE3B" w14:textId="00631386" w:rsidR="00F9370A" w:rsidRPr="00D13B47" w:rsidRDefault="00F9370A" w:rsidP="00D13B47">
                            <w:pPr>
                              <w:spacing w:line="240" w:lineRule="auto"/>
                              <w:rPr>
                                <w:rFonts w:ascii="Century Gothic" w:hAnsi="Century Gothic"/>
                                <w:b/>
                                <w:sz w:val="18"/>
                                <w:szCs w:val="18"/>
                              </w:rPr>
                            </w:pPr>
                            <w:r w:rsidRPr="00D13B47">
                              <w:rPr>
                                <w:rFonts w:ascii="Century Gothic" w:hAnsi="Century Gothic"/>
                                <w:b/>
                                <w:sz w:val="18"/>
                                <w:szCs w:val="18"/>
                              </w:rPr>
                              <w:t>Study area 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9EF0" id="_x0000_s1027" type="#_x0000_t202" style="position:absolute;left:0;text-align:left;margin-left:310.5pt;margin-top:274.85pt;width:102.75pt;height:3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" filled="f" stroked="f">
                <v:textbox>
                  <w:txbxContent>
                    <w:p w14:paraId="78C2DE3B" w14:textId="00631386" w:rsidR="00F9370A" w:rsidRPr="00D13B47" w:rsidRDefault="00F9370A" w:rsidP="00D13B47">
                      <w:pPr>
                        <w:spacing w:line="240" w:lineRule="auto"/>
                        <w:rPr>
                          <w:rFonts w:ascii="Century Gothic" w:hAnsi="Century Gothic"/>
                          <w:b/>
                          <w:sz w:val="18"/>
                          <w:szCs w:val="18"/>
                        </w:rPr>
                      </w:pPr>
                      <w:r w:rsidRPr="00D13B47">
                        <w:rPr>
                          <w:rFonts w:ascii="Century Gothic" w:hAnsi="Century Gothic"/>
                          <w:b/>
                          <w:sz w:val="18"/>
                          <w:szCs w:val="18"/>
                        </w:rPr>
                        <w:t>Study area boundary</w:t>
                      </w:r>
                    </w:p>
                  </w:txbxContent>
                </v:textbox>
                <w10:wrap anchorx="margin"/>
              </v:shape>
            </w:pict>
          </mc:Fallback>
        </mc:AlternateContent>
      </w:r>
      <w:r w:rsidR="00D13B47" w:rsidRPr="00D13B47">
        <w:rPr>
          <w:rFonts w:ascii="Garamond" w:eastAsia="Garamond" w:hAnsi="Garamond" w:cs="Garamond"/>
          <w:noProof/>
        </w:rPr>
        <mc:AlternateContent>
          <mc:Choice Requires="wps">
            <w:drawing>
              <wp:anchor distT="45720" distB="45720" distL="114300" distR="114300" simplePos="0" relativeHeight="251670528" behindDoc="0" locked="0" layoutInCell="1" allowOverlap="1" wp14:anchorId="1FC90DBD" wp14:editId="41654637">
                <wp:simplePos x="0" y="0"/>
                <wp:positionH relativeFrom="column">
                  <wp:posOffset>4619625</wp:posOffset>
                </wp:positionH>
                <wp:positionV relativeFrom="paragraph">
                  <wp:posOffset>4385945</wp:posOffset>
                </wp:positionV>
                <wp:extent cx="538012" cy="2190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12" cy="219075"/>
                        </a:xfrm>
                        <a:prstGeom prst="rect">
                          <a:avLst/>
                        </a:prstGeom>
                        <a:noFill/>
                        <a:ln w="9525">
                          <a:noFill/>
                          <a:miter lim="800000"/>
                          <a:headEnd/>
                          <a:tailEnd/>
                        </a:ln>
                      </wps:spPr>
                      <wps:txbx>
                        <w:txbxContent>
                          <w:p w14:paraId="3F6C2FA0" w14:textId="3E23585B" w:rsidR="00F9370A" w:rsidRPr="00D13B47" w:rsidRDefault="00F9370A" w:rsidP="00D13B47">
                            <w:pPr>
                              <w:rPr>
                                <w:rFonts w:ascii="Century Gothic" w:hAnsi="Century Gothic"/>
                                <w:b/>
                                <w:sz w:val="18"/>
                                <w:szCs w:val="18"/>
                              </w:rPr>
                            </w:pPr>
                            <w:r w:rsidRPr="00D13B47">
                              <w:rPr>
                                <w:rFonts w:ascii="Century Gothic" w:hAnsi="Century Gothic"/>
                                <w:b/>
                                <w:sz w:val="18"/>
                                <w:szCs w:val="18"/>
                              </w:rPr>
                              <w:t>20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90DBD" id="Text Box 5" o:spid="_x0000_s1028" type="#_x0000_t202" style="position:absolute;left:0;text-align:left;margin-left:363.75pt;margin-top:345.35pt;width:42.35pt;height:1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" filled="f" stroked="f">
                <v:textbox>
                  <w:txbxContent>
                    <w:p w14:paraId="3F6C2FA0" w14:textId="3E23585B" w:rsidR="00F9370A" w:rsidRPr="00D13B47" w:rsidRDefault="00F9370A" w:rsidP="00D13B47">
                      <w:pPr>
                        <w:rPr>
                          <w:rFonts w:ascii="Century Gothic" w:hAnsi="Century Gothic"/>
                          <w:b/>
                          <w:sz w:val="18"/>
                          <w:szCs w:val="18"/>
                        </w:rPr>
                      </w:pPr>
                      <w:r w:rsidRPr="00D13B47">
                        <w:rPr>
                          <w:rFonts w:ascii="Century Gothic" w:hAnsi="Century Gothic"/>
                          <w:b/>
                          <w:sz w:val="18"/>
                          <w:szCs w:val="18"/>
                        </w:rPr>
                        <w:t>20 km</w:t>
                      </w:r>
                    </w:p>
                  </w:txbxContent>
                </v:textbox>
              </v:shape>
            </w:pict>
          </mc:Fallback>
        </mc:AlternateContent>
      </w:r>
      <w:r w:rsidR="00D13B47" w:rsidRPr="00D13B47">
        <w:rPr>
          <w:rFonts w:ascii="Garamond" w:eastAsia="Garamond" w:hAnsi="Garamond" w:cs="Garamond"/>
          <w:noProof/>
        </w:rPr>
        <mc:AlternateContent>
          <mc:Choice Requires="wps">
            <w:drawing>
              <wp:anchor distT="45720" distB="45720" distL="114300" distR="114300" simplePos="0" relativeHeight="251668480" behindDoc="0" locked="0" layoutInCell="1" allowOverlap="1" wp14:anchorId="35B47479" wp14:editId="654390F2">
                <wp:simplePos x="0" y="0"/>
                <wp:positionH relativeFrom="column">
                  <wp:posOffset>3718970</wp:posOffset>
                </wp:positionH>
                <wp:positionV relativeFrom="paragraph">
                  <wp:posOffset>4363720</wp:posOffset>
                </wp:positionV>
                <wp:extent cx="325464" cy="2190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64" cy="219075"/>
                        </a:xfrm>
                        <a:prstGeom prst="rect">
                          <a:avLst/>
                        </a:prstGeom>
                        <a:noFill/>
                        <a:ln w="9525">
                          <a:noFill/>
                          <a:miter lim="800000"/>
                          <a:headEnd/>
                          <a:tailEnd/>
                        </a:ln>
                      </wps:spPr>
                      <wps:txbx>
                        <w:txbxContent>
                          <w:p w14:paraId="4121A7ED" w14:textId="4A24BC15" w:rsidR="00F9370A" w:rsidRPr="00D13B47" w:rsidRDefault="00F9370A" w:rsidP="00D13B47">
                            <w:pPr>
                              <w:rPr>
                                <w:rFonts w:ascii="Century Gothic" w:hAnsi="Century Gothic"/>
                                <w:b/>
                                <w:sz w:val="18"/>
                                <w:szCs w:val="18"/>
                              </w:rPr>
                            </w:pPr>
                            <w:r w:rsidRPr="00D13B47">
                              <w:rPr>
                                <w:rFonts w:ascii="Century Gothic" w:hAnsi="Century Gothic"/>
                                <w:b/>
                                <w:sz w:val="18"/>
                                <w:szCs w:val="1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47479" id="Text Box 3" o:spid="_x0000_s1029" type="#_x0000_t202" style="position:absolute;left:0;text-align:left;margin-left:292.85pt;margin-top:343.6pt;width:25.65pt;height:17.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" filled="f" stroked="f">
                <v:textbox>
                  <w:txbxContent>
                    <w:p w14:paraId="4121A7ED" w14:textId="4A24BC15" w:rsidR="00F9370A" w:rsidRPr="00D13B47" w:rsidRDefault="00F9370A" w:rsidP="00D13B47">
                      <w:pPr>
                        <w:rPr>
                          <w:rFonts w:ascii="Century Gothic" w:hAnsi="Century Gothic"/>
                          <w:b/>
                          <w:sz w:val="18"/>
                          <w:szCs w:val="18"/>
                        </w:rPr>
                      </w:pPr>
                      <w:r w:rsidRPr="00D13B47">
                        <w:rPr>
                          <w:rFonts w:ascii="Century Gothic" w:hAnsi="Century Gothic"/>
                          <w:b/>
                          <w:sz w:val="18"/>
                          <w:szCs w:val="18"/>
                        </w:rPr>
                        <w:t>10</w:t>
                      </w:r>
                    </w:p>
                  </w:txbxContent>
                </v:textbox>
              </v:shape>
            </w:pict>
          </mc:Fallback>
        </mc:AlternateContent>
      </w:r>
      <w:r w:rsidR="00D13B47" w:rsidRPr="00D13B47">
        <w:rPr>
          <w:rFonts w:ascii="Garamond" w:eastAsia="Garamond" w:hAnsi="Garamond" w:cs="Garamond"/>
          <w:noProof/>
        </w:rPr>
        <mc:AlternateContent>
          <mc:Choice Requires="wps">
            <w:drawing>
              <wp:anchor distT="45720" distB="45720" distL="114300" distR="114300" simplePos="0" relativeHeight="251666432" behindDoc="0" locked="0" layoutInCell="1" allowOverlap="1" wp14:anchorId="440B368B" wp14:editId="6C1C77B7">
                <wp:simplePos x="0" y="0"/>
                <wp:positionH relativeFrom="column">
                  <wp:posOffset>3182249</wp:posOffset>
                </wp:positionH>
                <wp:positionV relativeFrom="paragraph">
                  <wp:posOffset>4354770</wp:posOffset>
                </wp:positionV>
                <wp:extent cx="238125" cy="2190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noFill/>
                        <a:ln w="9525">
                          <a:noFill/>
                          <a:miter lim="800000"/>
                          <a:headEnd/>
                          <a:tailEnd/>
                        </a:ln>
                      </wps:spPr>
                      <wps:txbx>
                        <w:txbxContent>
                          <w:p w14:paraId="70643E00" w14:textId="60E7F513" w:rsidR="00F9370A" w:rsidRPr="00D13B47" w:rsidRDefault="00F9370A" w:rsidP="00D13B47">
                            <w:pPr>
                              <w:rPr>
                                <w:rFonts w:ascii="Century Gothic" w:hAnsi="Century Gothic"/>
                                <w:b/>
                                <w:sz w:val="18"/>
                                <w:szCs w:val="18"/>
                              </w:rPr>
                            </w:pPr>
                            <w:r w:rsidRPr="00D13B47">
                              <w:rPr>
                                <w:rFonts w:ascii="Century Gothic" w:hAnsi="Century Gothic"/>
                                <w:b/>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368B" id="_x0000_s1030" type="#_x0000_t202" style="position:absolute;left:0;text-align:left;margin-left:250.55pt;margin-top:342.9pt;width:18.75pt;height:17.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" filled="f" stroked="f">
                <v:textbox>
                  <w:txbxContent>
                    <w:p w14:paraId="70643E00" w14:textId="60E7F513" w:rsidR="00F9370A" w:rsidRPr="00D13B47" w:rsidRDefault="00F9370A" w:rsidP="00D13B47">
                      <w:pPr>
                        <w:rPr>
                          <w:rFonts w:ascii="Century Gothic" w:hAnsi="Century Gothic"/>
                          <w:b/>
                          <w:sz w:val="18"/>
                          <w:szCs w:val="18"/>
                        </w:rPr>
                      </w:pPr>
                      <w:r w:rsidRPr="00D13B47">
                        <w:rPr>
                          <w:rFonts w:ascii="Century Gothic" w:hAnsi="Century Gothic"/>
                          <w:b/>
                          <w:sz w:val="18"/>
                          <w:szCs w:val="18"/>
                        </w:rPr>
                        <w:t>5</w:t>
                      </w:r>
                    </w:p>
                  </w:txbxContent>
                </v:textbox>
              </v:shape>
            </w:pict>
          </mc:Fallback>
        </mc:AlternateContent>
      </w:r>
      <w:r w:rsidR="00D13B47" w:rsidRPr="00D13B47">
        <w:rPr>
          <w:rFonts w:ascii="Garamond" w:eastAsia="Garamond" w:hAnsi="Garamond" w:cs="Garamond"/>
          <w:noProof/>
        </w:rPr>
        <mc:AlternateContent>
          <mc:Choice Requires="wps">
            <w:drawing>
              <wp:anchor distT="45720" distB="45720" distL="114300" distR="114300" simplePos="0" relativeHeight="251664384" behindDoc="0" locked="0" layoutInCell="1" allowOverlap="1" wp14:anchorId="170EABD7" wp14:editId="1B29A596">
                <wp:simplePos x="0" y="0"/>
                <wp:positionH relativeFrom="column">
                  <wp:posOffset>2600325</wp:posOffset>
                </wp:positionH>
                <wp:positionV relativeFrom="paragraph">
                  <wp:posOffset>4352925</wp:posOffset>
                </wp:positionV>
                <wp:extent cx="238125" cy="2190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noFill/>
                        <a:ln w="9525">
                          <a:noFill/>
                          <a:miter lim="800000"/>
                          <a:headEnd/>
                          <a:tailEnd/>
                        </a:ln>
                      </wps:spPr>
                      <wps:txbx>
                        <w:txbxContent>
                          <w:p w14:paraId="0A13DC81" w14:textId="21A85EE1" w:rsidR="00F9370A" w:rsidRPr="00D13B47" w:rsidRDefault="00F9370A">
                            <w:pPr>
                              <w:rPr>
                                <w:rFonts w:ascii="Century Gothic" w:hAnsi="Century Gothic"/>
                                <w:b/>
                                <w:sz w:val="18"/>
                                <w:szCs w:val="18"/>
                              </w:rPr>
                            </w:pPr>
                            <w:r w:rsidRPr="00D13B47">
                              <w:rPr>
                                <w:rFonts w:ascii="Century Gothic" w:hAnsi="Century Gothic"/>
                                <w:b/>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EABD7" id="_x0000_s1031" type="#_x0000_t202" style="position:absolute;left:0;text-align:left;margin-left:204.75pt;margin-top:342.75pt;width:18.75pt;height:1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" filled="f" stroked="f">
                <v:textbox>
                  <w:txbxContent>
                    <w:p w14:paraId="0A13DC81" w14:textId="21A85EE1" w:rsidR="00F9370A" w:rsidRPr="00D13B47" w:rsidRDefault="00F9370A">
                      <w:pPr>
                        <w:rPr>
                          <w:rFonts w:ascii="Century Gothic" w:hAnsi="Century Gothic"/>
                          <w:b/>
                          <w:sz w:val="18"/>
                          <w:szCs w:val="18"/>
                        </w:rPr>
                      </w:pPr>
                      <w:r w:rsidRPr="00D13B47">
                        <w:rPr>
                          <w:rFonts w:ascii="Century Gothic" w:hAnsi="Century Gothic"/>
                          <w:b/>
                          <w:sz w:val="18"/>
                          <w:szCs w:val="18"/>
                        </w:rPr>
                        <w:t>0</w:t>
                      </w:r>
                    </w:p>
                  </w:txbxContent>
                </v:textbox>
              </v:shape>
            </w:pict>
          </mc:Fallback>
        </mc:AlternateContent>
      </w:r>
      <w:r w:rsidR="00D13B47" w:rsidRPr="0082766C">
        <w:rPr>
          <w:rFonts w:ascii="Garamond" w:eastAsia="Garamond" w:hAnsi="Garamond" w:cs="Garamond"/>
          <w:noProof/>
        </w:rPr>
        <mc:AlternateContent>
          <mc:Choice Requires="wps">
            <w:drawing>
              <wp:anchor distT="45720" distB="45720" distL="114300" distR="114300" simplePos="0" relativeHeight="251658240" behindDoc="0" locked="0" layoutInCell="1" allowOverlap="1" wp14:anchorId="561D59F1" wp14:editId="27C239F2">
                <wp:simplePos x="0" y="0"/>
                <wp:positionH relativeFrom="margin">
                  <wp:posOffset>3952875</wp:posOffset>
                </wp:positionH>
                <wp:positionV relativeFrom="paragraph">
                  <wp:posOffset>2852420</wp:posOffset>
                </wp:positionV>
                <wp:extent cx="1000125" cy="685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85800"/>
                        </a:xfrm>
                        <a:prstGeom prst="rect">
                          <a:avLst/>
                        </a:prstGeom>
                        <a:noFill/>
                        <a:ln w="9525">
                          <a:noFill/>
                          <a:miter lim="800000"/>
                          <a:headEnd/>
                          <a:tailEnd/>
                        </a:ln>
                      </wps:spPr>
                      <wps:txbx>
                        <w:txbxContent>
                          <w:p w14:paraId="29891137" w14:textId="019264E1" w:rsidR="00F9370A" w:rsidRPr="00D13B47" w:rsidRDefault="00F9370A" w:rsidP="00D13B47">
                            <w:pPr>
                              <w:spacing w:line="240" w:lineRule="auto"/>
                              <w:rPr>
                                <w:rFonts w:ascii="Century Gothic" w:hAnsi="Century Gothic"/>
                                <w:b/>
                                <w:sz w:val="18"/>
                                <w:szCs w:val="18"/>
                              </w:rPr>
                            </w:pPr>
                            <w:r w:rsidRPr="00D13B47">
                              <w:rPr>
                                <w:rFonts w:ascii="Century Gothic" w:hAnsi="Century Gothic"/>
                                <w:b/>
                                <w:sz w:val="18"/>
                                <w:szCs w:val="18"/>
                              </w:rPr>
                              <w:t>Eddy covariance flux towers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D59F1" id="_x0000_s1032" type="#_x0000_t202" style="position:absolute;left:0;text-align:left;margin-left:311.25pt;margin-top:224.6pt;width:78.75pt;height:5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" filled="f" stroked="f">
                <v:textbox>
                  <w:txbxContent>
                    <w:p w14:paraId="29891137" w14:textId="019264E1" w:rsidR="00F9370A" w:rsidRPr="00D13B47" w:rsidRDefault="00F9370A" w:rsidP="00D13B47">
                      <w:pPr>
                        <w:spacing w:line="240" w:lineRule="auto"/>
                        <w:rPr>
                          <w:rFonts w:ascii="Century Gothic" w:hAnsi="Century Gothic"/>
                          <w:b/>
                          <w:sz w:val="18"/>
                          <w:szCs w:val="18"/>
                        </w:rPr>
                      </w:pPr>
                      <w:r w:rsidRPr="00D13B47">
                        <w:rPr>
                          <w:rFonts w:ascii="Century Gothic" w:hAnsi="Century Gothic"/>
                          <w:b/>
                          <w:sz w:val="18"/>
                          <w:szCs w:val="18"/>
                        </w:rPr>
                        <w:t>Eddy covariance flux towers</w:t>
                      </w:r>
                    </w:p>
                  </w:txbxContent>
                </v:textbox>
                <w10:wrap anchorx="margin"/>
              </v:shape>
            </w:pict>
          </mc:Fallback>
        </mc:AlternateContent>
      </w:r>
      <w:r w:rsidR="00944E31">
        <w:rPr>
          <w:rFonts w:ascii="Garamond" w:eastAsia="Garamond" w:hAnsi="Garamond" w:cs="Garamond"/>
          <w:noProof/>
        </w:rPr>
        <w:pict w14:anchorId="1684D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8pt;height:379.15pt">
            <v:imagedata r:id="rId9" o:title="StudyArea_Small_ID"/>
          </v:shape>
        </w:pict>
      </w:r>
    </w:p>
    <w:p w14:paraId="54C9B377" w14:textId="319A6CE9" w:rsidR="0012258B" w:rsidRPr="0082766C" w:rsidRDefault="004F7961">
      <w:pPr>
        <w:spacing w:line="240" w:lineRule="auto"/>
        <w:jc w:val="center"/>
        <w:rPr>
          <w:rFonts w:ascii="Garamond" w:eastAsia="Garamond" w:hAnsi="Garamond" w:cs="Garamond"/>
        </w:rPr>
      </w:pPr>
      <w:r>
        <w:rPr>
          <w:rFonts w:ascii="Garamond" w:eastAsia="Garamond" w:hAnsi="Garamond" w:cs="Garamond"/>
          <w:i/>
        </w:rPr>
        <w:t xml:space="preserve">Figure 1. </w:t>
      </w:r>
      <w:r>
        <w:rPr>
          <w:rFonts w:ascii="Garamond" w:eastAsia="Garamond" w:hAnsi="Garamond" w:cs="Garamond"/>
        </w:rPr>
        <w:t>The Reynolds Creek Experimental Watershed (RCEW) in southwest Idaho was the study area for this research.</w:t>
      </w:r>
      <w:r w:rsidR="003C459A">
        <w:rPr>
          <w:rFonts w:ascii="Garamond" w:eastAsia="Garamond" w:hAnsi="Garamond" w:cs="Garamond"/>
        </w:rPr>
        <w:t xml:space="preserve"> It contains </w:t>
      </w:r>
      <w:r w:rsidR="0085078F">
        <w:rPr>
          <w:rFonts w:ascii="Garamond" w:eastAsia="Garamond" w:hAnsi="Garamond" w:cs="Garamond"/>
        </w:rPr>
        <w:t xml:space="preserve">six </w:t>
      </w:r>
      <w:r w:rsidR="007308B0">
        <w:rPr>
          <w:rFonts w:ascii="Garamond" w:eastAsia="Garamond" w:hAnsi="Garamond" w:cs="Garamond"/>
        </w:rPr>
        <w:t>e</w:t>
      </w:r>
      <w:r w:rsidR="0082766C">
        <w:rPr>
          <w:rFonts w:ascii="Garamond" w:eastAsia="Garamond" w:hAnsi="Garamond" w:cs="Garamond"/>
        </w:rPr>
        <w:t xml:space="preserve">ddy </w:t>
      </w:r>
      <w:r w:rsidR="007308B0">
        <w:rPr>
          <w:rFonts w:ascii="Garamond" w:eastAsia="Garamond" w:hAnsi="Garamond" w:cs="Garamond"/>
        </w:rPr>
        <w:t>covariance flux t</w:t>
      </w:r>
      <w:r w:rsidR="0082766C">
        <w:rPr>
          <w:rFonts w:ascii="Garamond" w:eastAsia="Garamond" w:hAnsi="Garamond" w:cs="Garamond"/>
        </w:rPr>
        <w:t>owers</w:t>
      </w:r>
      <w:r w:rsidR="00EB0151">
        <w:rPr>
          <w:rFonts w:ascii="Garamond" w:eastAsia="Garamond" w:hAnsi="Garamond" w:cs="Garamond"/>
        </w:rPr>
        <w:t xml:space="preserve"> (red balloons)</w:t>
      </w:r>
      <w:r w:rsidR="0082766C">
        <w:rPr>
          <w:rFonts w:ascii="Garamond" w:eastAsia="Garamond" w:hAnsi="Garamond" w:cs="Garamond"/>
        </w:rPr>
        <w:t xml:space="preserve"> for </w:t>
      </w:r>
      <w:r w:rsidR="003C459A">
        <w:rPr>
          <w:rFonts w:ascii="Garamond" w:eastAsia="Garamond" w:hAnsi="Garamond" w:cs="Garamond"/>
          <w:i/>
        </w:rPr>
        <w:t xml:space="preserve">in situ </w:t>
      </w:r>
      <w:r w:rsidR="0082766C" w:rsidRPr="003C459A">
        <w:rPr>
          <w:rFonts w:ascii="Garamond" w:eastAsia="Garamond" w:hAnsi="Garamond" w:cs="Garamond"/>
        </w:rPr>
        <w:t>ET</w:t>
      </w:r>
      <w:r w:rsidR="00EB0151">
        <w:rPr>
          <w:rFonts w:ascii="Garamond" w:eastAsia="Garamond" w:hAnsi="Garamond" w:cs="Garamond"/>
        </w:rPr>
        <w:t xml:space="preserve"> measurements.</w:t>
      </w:r>
    </w:p>
    <w:p w14:paraId="074041D8" w14:textId="77777777" w:rsidR="00377D28" w:rsidRDefault="00377D28" w:rsidP="001C33F7">
      <w:pPr>
        <w:spacing w:after="0" w:line="240" w:lineRule="auto"/>
        <w:rPr>
          <w:rFonts w:ascii="Garamond" w:eastAsia="Garamond" w:hAnsi="Garamond" w:cs="Garamond"/>
        </w:rPr>
      </w:pPr>
    </w:p>
    <w:p w14:paraId="1FBDD27F" w14:textId="7AEFA563" w:rsidR="001C33F7" w:rsidRDefault="001C33F7" w:rsidP="001C33F7">
      <w:pPr>
        <w:spacing w:after="0" w:line="240" w:lineRule="auto"/>
        <w:rPr>
          <w:rFonts w:ascii="Garamond" w:eastAsia="Garamond" w:hAnsi="Garamond" w:cs="Garamond"/>
        </w:rPr>
      </w:pPr>
      <w:r>
        <w:rPr>
          <w:rFonts w:ascii="Garamond" w:eastAsia="Garamond" w:hAnsi="Garamond" w:cs="Garamond"/>
        </w:rPr>
        <w:t xml:space="preserve">For this project, Idaho Water Resources II, data from NASA </w:t>
      </w:r>
      <w:r w:rsidRPr="00DF61B3">
        <w:rPr>
          <w:rFonts w:ascii="Garamond" w:eastAsia="Garamond" w:hAnsi="Garamond" w:cs="Garamond"/>
          <w:noProof/>
        </w:rPr>
        <w:t>Earth</w:t>
      </w:r>
      <w:r w:rsidR="00944E31">
        <w:rPr>
          <w:rFonts w:ascii="Garamond" w:eastAsia="Garamond" w:hAnsi="Garamond" w:cs="Garamond"/>
          <w:noProof/>
        </w:rPr>
        <w:t>-</w:t>
      </w:r>
      <w:r w:rsidRPr="00DF61B3">
        <w:rPr>
          <w:rFonts w:ascii="Garamond" w:eastAsia="Garamond" w:hAnsi="Garamond" w:cs="Garamond"/>
          <w:noProof/>
        </w:rPr>
        <w:t>observing</w:t>
      </w:r>
      <w:r>
        <w:rPr>
          <w:rFonts w:ascii="Garamond" w:eastAsia="Garamond" w:hAnsi="Garamond" w:cs="Garamond"/>
        </w:rPr>
        <w:t xml:space="preserve"> satellites and various ET models were compared to </w:t>
      </w:r>
      <w:r>
        <w:rPr>
          <w:rFonts w:ascii="Garamond" w:eastAsia="Garamond" w:hAnsi="Garamond" w:cs="Garamond"/>
          <w:i/>
        </w:rPr>
        <w:t>in situ</w:t>
      </w:r>
      <w:r>
        <w:rPr>
          <w:rFonts w:ascii="Garamond" w:eastAsia="Garamond" w:hAnsi="Garamond" w:cs="Garamond"/>
        </w:rPr>
        <w:t xml:space="preserve"> data </w:t>
      </w:r>
      <w:r>
        <w:rPr>
          <w:rFonts w:ascii="Garamond" w:eastAsia="Garamond" w:hAnsi="Garamond" w:cs="Garamond"/>
          <w:highlight w:val="white"/>
        </w:rPr>
        <w:t xml:space="preserve">from eddy covariance towers </w:t>
      </w:r>
      <w:r w:rsidR="007A58BB">
        <w:rPr>
          <w:rFonts w:ascii="Garamond" w:eastAsia="Garamond" w:hAnsi="Garamond" w:cs="Garamond"/>
          <w:highlight w:val="white"/>
        </w:rPr>
        <w:t xml:space="preserve">at RCEW. Eddy covariance towers are used to measure </w:t>
      </w:r>
      <w:r w:rsidR="008F635C">
        <w:rPr>
          <w:rFonts w:ascii="Garamond" w:eastAsia="Garamond" w:hAnsi="Garamond" w:cs="Garamond"/>
          <w:highlight w:val="white"/>
        </w:rPr>
        <w:t>land surface-atmospher</w:t>
      </w:r>
      <w:r w:rsidR="00F52FA8">
        <w:rPr>
          <w:rFonts w:ascii="Garamond" w:eastAsia="Garamond" w:hAnsi="Garamond" w:cs="Garamond"/>
          <w:highlight w:val="white"/>
        </w:rPr>
        <w:t>ic</w:t>
      </w:r>
      <w:r w:rsidR="008F635C">
        <w:rPr>
          <w:rFonts w:ascii="Garamond" w:eastAsia="Garamond" w:hAnsi="Garamond" w:cs="Garamond"/>
          <w:highlight w:val="white"/>
        </w:rPr>
        <w:t xml:space="preserve"> g</w:t>
      </w:r>
      <w:r w:rsidR="007A58BB">
        <w:rPr>
          <w:rFonts w:ascii="Garamond" w:eastAsia="Garamond" w:hAnsi="Garamond" w:cs="Garamond"/>
          <w:highlight w:val="white"/>
        </w:rPr>
        <w:t>as</w:t>
      </w:r>
      <w:r w:rsidR="00122F69">
        <w:rPr>
          <w:rFonts w:ascii="Garamond" w:eastAsia="Garamond" w:hAnsi="Garamond" w:cs="Garamond"/>
          <w:highlight w:val="white"/>
        </w:rPr>
        <w:t xml:space="preserve"> </w:t>
      </w:r>
      <w:r w:rsidR="002F74A7">
        <w:rPr>
          <w:rFonts w:ascii="Garamond" w:eastAsia="Garamond" w:hAnsi="Garamond" w:cs="Garamond"/>
          <w:highlight w:val="white"/>
        </w:rPr>
        <w:t>and</w:t>
      </w:r>
      <w:r w:rsidR="00AC04D9">
        <w:rPr>
          <w:rFonts w:ascii="Garamond" w:eastAsia="Garamond" w:hAnsi="Garamond" w:cs="Garamond"/>
          <w:highlight w:val="white"/>
        </w:rPr>
        <w:t xml:space="preserve"> energy </w:t>
      </w:r>
      <w:r w:rsidR="00122F69">
        <w:rPr>
          <w:rFonts w:ascii="Garamond" w:eastAsia="Garamond" w:hAnsi="Garamond" w:cs="Garamond"/>
          <w:highlight w:val="white"/>
        </w:rPr>
        <w:t>exchange</w:t>
      </w:r>
      <w:r w:rsidR="008F635C">
        <w:rPr>
          <w:rFonts w:ascii="Garamond" w:eastAsia="Garamond" w:hAnsi="Garamond" w:cs="Garamond"/>
          <w:highlight w:val="white"/>
        </w:rPr>
        <w:t xml:space="preserve"> variables, which are then utilized in environmental models such</w:t>
      </w:r>
      <w:r w:rsidR="009479C0">
        <w:rPr>
          <w:rFonts w:ascii="Garamond" w:eastAsia="Garamond" w:hAnsi="Garamond" w:cs="Garamond"/>
          <w:highlight w:val="white"/>
        </w:rPr>
        <w:t xml:space="preserve"> as ET.</w:t>
      </w:r>
      <w:r w:rsidR="008F635C">
        <w:rPr>
          <w:rFonts w:ascii="Garamond" w:eastAsia="Garamond" w:hAnsi="Garamond" w:cs="Garamond"/>
          <w:highlight w:val="white"/>
        </w:rPr>
        <w:t xml:space="preserve"> </w:t>
      </w:r>
      <w:r w:rsidR="007A58BB">
        <w:rPr>
          <w:rFonts w:ascii="Garamond" w:eastAsia="Garamond" w:hAnsi="Garamond" w:cs="Garamond"/>
          <w:highlight w:val="white"/>
        </w:rPr>
        <w:t>T</w:t>
      </w:r>
      <w:r w:rsidR="009479C0">
        <w:rPr>
          <w:rFonts w:ascii="Garamond" w:eastAsia="Garamond" w:hAnsi="Garamond" w:cs="Garamond"/>
          <w:highlight w:val="white"/>
        </w:rPr>
        <w:t>he</w:t>
      </w:r>
      <w:r>
        <w:rPr>
          <w:rFonts w:ascii="Garamond" w:eastAsia="Garamond" w:hAnsi="Garamond" w:cs="Garamond"/>
          <w:highlight w:val="white"/>
        </w:rPr>
        <w:t xml:space="preserve"> </w:t>
      </w:r>
      <w:r>
        <w:rPr>
          <w:rFonts w:ascii="Garamond" w:eastAsia="Garamond" w:hAnsi="Garamond" w:cs="Garamond"/>
          <w:i/>
          <w:highlight w:val="white"/>
        </w:rPr>
        <w:t>in situ</w:t>
      </w:r>
      <w:r w:rsidR="009479C0">
        <w:rPr>
          <w:rFonts w:ascii="Garamond" w:eastAsia="Garamond" w:hAnsi="Garamond" w:cs="Garamond"/>
          <w:highlight w:val="white"/>
        </w:rPr>
        <w:t xml:space="preserve"> ET measures at RCEW </w:t>
      </w:r>
      <w:r>
        <w:rPr>
          <w:rFonts w:ascii="Garamond" w:eastAsia="Garamond" w:hAnsi="Garamond" w:cs="Garamond"/>
          <w:highlight w:val="white"/>
        </w:rPr>
        <w:t xml:space="preserve">were used </w:t>
      </w:r>
      <w:r>
        <w:rPr>
          <w:rFonts w:ascii="Garamond" w:eastAsia="Garamond" w:hAnsi="Garamond" w:cs="Garamond"/>
        </w:rPr>
        <w:t>to assess the accuracies of remotely sensed ET measurements and models in the semi-arid sagebrush steppe.</w:t>
      </w:r>
      <w:r w:rsidR="004439F4">
        <w:rPr>
          <w:rFonts w:ascii="Garamond" w:eastAsia="Garamond" w:hAnsi="Garamond" w:cs="Garamond"/>
        </w:rPr>
        <w:t xml:space="preserve"> These sites include three distinct vegetation communities across a </w:t>
      </w:r>
      <w:r w:rsidR="00F9370A">
        <w:rPr>
          <w:rFonts w:ascii="Garamond" w:eastAsia="Garamond" w:hAnsi="Garamond" w:cs="Garamond"/>
        </w:rPr>
        <w:t xml:space="preserve">range </w:t>
      </w:r>
      <w:r w:rsidR="004439F4">
        <w:rPr>
          <w:rFonts w:ascii="Garamond" w:eastAsia="Garamond" w:hAnsi="Garamond" w:cs="Garamond"/>
        </w:rPr>
        <w:t>of elevations.</w:t>
      </w:r>
      <w:r>
        <w:rPr>
          <w:rFonts w:ascii="Garamond" w:eastAsia="Garamond" w:hAnsi="Garamond" w:cs="Garamond"/>
        </w:rPr>
        <w:t xml:space="preserve"> </w:t>
      </w:r>
      <w:r w:rsidR="004439F4">
        <w:rPr>
          <w:rFonts w:ascii="Garamond" w:eastAsia="Garamond" w:hAnsi="Garamond" w:cs="Garamond"/>
        </w:rPr>
        <w:t xml:space="preserve">Two of the sites were in communities dominated by mountain big sagebrush </w:t>
      </w:r>
      <w:r w:rsidR="004439F4" w:rsidRPr="004439F4">
        <w:rPr>
          <w:rFonts w:ascii="Garamond" w:eastAsia="Garamond" w:hAnsi="Garamond" w:cs="Garamond"/>
        </w:rPr>
        <w:t>(</w:t>
      </w:r>
      <w:r w:rsidR="004439F4" w:rsidRPr="004439F4">
        <w:rPr>
          <w:rStyle w:val="lrzxr"/>
          <w:rFonts w:ascii="Garamond" w:hAnsi="Garamond"/>
          <w:i/>
          <w:color w:val="222222"/>
          <w:shd w:val="clear" w:color="auto" w:fill="FFFFFF"/>
        </w:rPr>
        <w:t>Artemisia tridentat</w:t>
      </w:r>
      <w:r w:rsidR="00F52FA8">
        <w:rPr>
          <w:rStyle w:val="lrzxr"/>
          <w:rFonts w:ascii="Garamond" w:hAnsi="Garamond"/>
          <w:i/>
          <w:color w:val="222222"/>
          <w:shd w:val="clear" w:color="auto" w:fill="FFFFFF"/>
        </w:rPr>
        <w:t>a</w:t>
      </w:r>
      <w:r w:rsidR="006311F4">
        <w:rPr>
          <w:rStyle w:val="lrzxr"/>
          <w:rFonts w:ascii="Garamond" w:hAnsi="Garamond"/>
          <w:i/>
          <w:color w:val="222222"/>
          <w:shd w:val="clear" w:color="auto" w:fill="FFFFFF"/>
        </w:rPr>
        <w:t xml:space="preserve"> </w:t>
      </w:r>
      <w:r w:rsidR="006311F4">
        <w:rPr>
          <w:rStyle w:val="lrzxr"/>
          <w:rFonts w:ascii="Garamond" w:hAnsi="Garamond"/>
          <w:color w:val="222222"/>
          <w:shd w:val="clear" w:color="auto" w:fill="FFFFFF"/>
        </w:rPr>
        <w:t xml:space="preserve">spp. </w:t>
      </w:r>
      <w:r w:rsidR="006311F4" w:rsidRPr="007E1296">
        <w:rPr>
          <w:rStyle w:val="lrzxr"/>
          <w:rFonts w:ascii="Garamond" w:hAnsi="Garamond"/>
          <w:i/>
          <w:noProof/>
          <w:color w:val="222222"/>
          <w:shd w:val="clear" w:color="auto" w:fill="FFFFFF"/>
        </w:rPr>
        <w:t>vaseyana</w:t>
      </w:r>
      <w:r w:rsidR="004439F4" w:rsidRPr="004439F4">
        <w:rPr>
          <w:rStyle w:val="lrzxr"/>
          <w:rFonts w:ascii="Garamond" w:hAnsi="Garamond"/>
          <w:color w:val="222222"/>
          <w:shd w:val="clear" w:color="auto" w:fill="FFFFFF"/>
        </w:rPr>
        <w:t>)</w:t>
      </w:r>
      <w:r w:rsidR="004439F4">
        <w:rPr>
          <w:rStyle w:val="lrzxr"/>
          <w:rFonts w:ascii="Garamond" w:hAnsi="Garamond"/>
          <w:color w:val="222222"/>
          <w:shd w:val="clear" w:color="auto" w:fill="FFFFFF"/>
        </w:rPr>
        <w:t xml:space="preserve"> at ~1900 m (hereafter</w:t>
      </w:r>
      <w:r w:rsidR="006311F4">
        <w:rPr>
          <w:rStyle w:val="lrzxr"/>
          <w:rFonts w:ascii="Garamond" w:hAnsi="Garamond"/>
          <w:color w:val="222222"/>
          <w:shd w:val="clear" w:color="auto" w:fill="FFFFFF"/>
        </w:rPr>
        <w:t>,</w:t>
      </w:r>
      <w:r w:rsidR="004439F4">
        <w:rPr>
          <w:rStyle w:val="lrzxr"/>
          <w:rFonts w:ascii="Garamond" w:hAnsi="Garamond"/>
          <w:color w:val="222222"/>
          <w:shd w:val="clear" w:color="auto" w:fill="FFFFFF"/>
        </w:rPr>
        <w:t xml:space="preserve"> called Mountain Sage 1)</w:t>
      </w:r>
      <w:r w:rsidR="006311F4">
        <w:rPr>
          <w:rStyle w:val="lrzxr"/>
          <w:rFonts w:ascii="Garamond" w:hAnsi="Garamond"/>
          <w:color w:val="222222"/>
          <w:shd w:val="clear" w:color="auto" w:fill="FFFFFF"/>
        </w:rPr>
        <w:t xml:space="preserve"> and ~2100 m (Mountain Sage 2)</w:t>
      </w:r>
      <w:r w:rsidR="004439F4" w:rsidRPr="004439F4">
        <w:rPr>
          <w:rStyle w:val="lrzxr"/>
          <w:rFonts w:ascii="Garamond" w:hAnsi="Garamond"/>
          <w:color w:val="222222"/>
          <w:shd w:val="clear" w:color="auto" w:fill="FFFFFF"/>
        </w:rPr>
        <w:t>.</w:t>
      </w:r>
      <w:r w:rsidR="004439F4">
        <w:rPr>
          <w:rStyle w:val="lrzxr"/>
          <w:color w:val="222222"/>
          <w:shd w:val="clear" w:color="auto" w:fill="FFFFFF"/>
        </w:rPr>
        <w:t xml:space="preserve"> </w:t>
      </w:r>
      <w:r w:rsidR="006311F4">
        <w:rPr>
          <w:rStyle w:val="lrzxr"/>
          <w:rFonts w:ascii="Garamond" w:hAnsi="Garamond"/>
          <w:color w:val="222222"/>
          <w:shd w:val="clear" w:color="auto" w:fill="FFFFFF"/>
        </w:rPr>
        <w:t xml:space="preserve">The two lower elevation sites used for comparison contained </w:t>
      </w:r>
      <w:r w:rsidR="009E6D4B">
        <w:rPr>
          <w:rStyle w:val="lrzxr"/>
          <w:rFonts w:ascii="Garamond" w:hAnsi="Garamond"/>
          <w:color w:val="222222"/>
          <w:shd w:val="clear" w:color="auto" w:fill="FFFFFF"/>
        </w:rPr>
        <w:t>Wyoming big</w:t>
      </w:r>
      <w:r w:rsidR="00132A32">
        <w:rPr>
          <w:rStyle w:val="lrzxr"/>
          <w:rFonts w:ascii="Garamond" w:hAnsi="Garamond"/>
          <w:color w:val="222222"/>
          <w:shd w:val="clear" w:color="auto" w:fill="FFFFFF"/>
        </w:rPr>
        <w:t xml:space="preserve"> sage</w:t>
      </w:r>
      <w:r w:rsidR="006311F4">
        <w:rPr>
          <w:rStyle w:val="lrzxr"/>
          <w:rFonts w:ascii="Garamond" w:hAnsi="Garamond"/>
          <w:color w:val="222222"/>
          <w:shd w:val="clear" w:color="auto" w:fill="FFFFFF"/>
        </w:rPr>
        <w:t xml:space="preserve"> </w:t>
      </w:r>
      <w:r w:rsidR="006311F4" w:rsidRPr="004439F4">
        <w:rPr>
          <w:rFonts w:ascii="Garamond" w:eastAsia="Garamond" w:hAnsi="Garamond" w:cs="Garamond"/>
        </w:rPr>
        <w:t>(</w:t>
      </w:r>
      <w:r w:rsidR="006311F4" w:rsidRPr="004439F4">
        <w:rPr>
          <w:rStyle w:val="lrzxr"/>
          <w:rFonts w:ascii="Garamond" w:hAnsi="Garamond"/>
          <w:i/>
          <w:color w:val="222222"/>
          <w:shd w:val="clear" w:color="auto" w:fill="FFFFFF"/>
        </w:rPr>
        <w:t>Artemisia tridentate</w:t>
      </w:r>
      <w:r w:rsidR="006311F4">
        <w:rPr>
          <w:rStyle w:val="lrzxr"/>
          <w:rFonts w:ascii="Garamond" w:hAnsi="Garamond"/>
          <w:i/>
          <w:color w:val="222222"/>
          <w:shd w:val="clear" w:color="auto" w:fill="FFFFFF"/>
        </w:rPr>
        <w:t xml:space="preserve"> </w:t>
      </w:r>
      <w:r w:rsidR="006311F4">
        <w:rPr>
          <w:rStyle w:val="lrzxr"/>
          <w:rFonts w:ascii="Garamond" w:hAnsi="Garamond"/>
          <w:color w:val="222222"/>
          <w:shd w:val="clear" w:color="auto" w:fill="FFFFFF"/>
        </w:rPr>
        <w:t xml:space="preserve">spp. </w:t>
      </w:r>
      <w:r w:rsidR="006311F4" w:rsidRPr="007E1296">
        <w:rPr>
          <w:rStyle w:val="lrzxr"/>
          <w:rFonts w:ascii="Garamond" w:hAnsi="Garamond"/>
          <w:i/>
          <w:noProof/>
          <w:color w:val="222222"/>
          <w:shd w:val="clear" w:color="auto" w:fill="FFFFFF"/>
        </w:rPr>
        <w:t>wyomingensis</w:t>
      </w:r>
      <w:r w:rsidR="00132A32">
        <w:rPr>
          <w:rStyle w:val="lrzxr"/>
          <w:rFonts w:ascii="Garamond" w:hAnsi="Garamond"/>
          <w:color w:val="222222"/>
          <w:shd w:val="clear" w:color="auto" w:fill="FFFFFF"/>
        </w:rPr>
        <w:t>; Wyoming Sage</w:t>
      </w:r>
      <w:r w:rsidR="006311F4" w:rsidRPr="004439F4">
        <w:rPr>
          <w:rStyle w:val="lrzxr"/>
          <w:rFonts w:ascii="Garamond" w:hAnsi="Garamond"/>
          <w:color w:val="222222"/>
          <w:shd w:val="clear" w:color="auto" w:fill="FFFFFF"/>
        </w:rPr>
        <w:t>)</w:t>
      </w:r>
      <w:r w:rsidR="00132A32">
        <w:rPr>
          <w:rStyle w:val="lrzxr"/>
          <w:rFonts w:ascii="Garamond" w:hAnsi="Garamond"/>
          <w:color w:val="222222"/>
          <w:shd w:val="clear" w:color="auto" w:fill="FFFFFF"/>
        </w:rPr>
        <w:t xml:space="preserve"> and low s</w:t>
      </w:r>
      <w:r w:rsidR="006311F4">
        <w:rPr>
          <w:rStyle w:val="lrzxr"/>
          <w:rFonts w:ascii="Garamond" w:hAnsi="Garamond"/>
          <w:color w:val="222222"/>
          <w:shd w:val="clear" w:color="auto" w:fill="FFFFFF"/>
        </w:rPr>
        <w:t>age</w:t>
      </w:r>
      <w:r w:rsidR="00132A32">
        <w:rPr>
          <w:rStyle w:val="lrzxr"/>
          <w:rFonts w:ascii="Garamond" w:hAnsi="Garamond"/>
          <w:color w:val="222222"/>
          <w:shd w:val="clear" w:color="auto" w:fill="FFFFFF"/>
        </w:rPr>
        <w:t>brush</w:t>
      </w:r>
      <w:r w:rsidR="006311F4">
        <w:rPr>
          <w:rStyle w:val="lrzxr"/>
          <w:rFonts w:ascii="Garamond" w:hAnsi="Garamond"/>
          <w:color w:val="222222"/>
          <w:shd w:val="clear" w:color="auto" w:fill="FFFFFF"/>
        </w:rPr>
        <w:t xml:space="preserve"> </w:t>
      </w:r>
      <w:r w:rsidR="006311F4" w:rsidRPr="004439F4">
        <w:rPr>
          <w:rFonts w:ascii="Garamond" w:eastAsia="Garamond" w:hAnsi="Garamond" w:cs="Garamond"/>
        </w:rPr>
        <w:t>(</w:t>
      </w:r>
      <w:r w:rsidR="006311F4" w:rsidRPr="004439F4">
        <w:rPr>
          <w:rStyle w:val="lrzxr"/>
          <w:rFonts w:ascii="Garamond" w:hAnsi="Garamond"/>
          <w:i/>
          <w:color w:val="222222"/>
          <w:shd w:val="clear" w:color="auto" w:fill="FFFFFF"/>
        </w:rPr>
        <w:t xml:space="preserve">Artemisia </w:t>
      </w:r>
      <w:r w:rsidR="006311F4" w:rsidRPr="007E1296">
        <w:rPr>
          <w:rStyle w:val="lrzxr"/>
          <w:rFonts w:ascii="Garamond" w:hAnsi="Garamond"/>
          <w:i/>
          <w:noProof/>
          <w:color w:val="222222"/>
          <w:shd w:val="clear" w:color="auto" w:fill="FFFFFF"/>
        </w:rPr>
        <w:t>arbuscula</w:t>
      </w:r>
      <w:r w:rsidR="00132A32">
        <w:rPr>
          <w:rStyle w:val="lrzxr"/>
          <w:rFonts w:ascii="Garamond" w:hAnsi="Garamond"/>
          <w:color w:val="222222"/>
          <w:shd w:val="clear" w:color="auto" w:fill="FFFFFF"/>
        </w:rPr>
        <w:t>; Low Sage</w:t>
      </w:r>
      <w:r w:rsidR="006311F4" w:rsidRPr="004439F4">
        <w:rPr>
          <w:rStyle w:val="lrzxr"/>
          <w:rFonts w:ascii="Garamond" w:hAnsi="Garamond"/>
          <w:color w:val="222222"/>
          <w:shd w:val="clear" w:color="auto" w:fill="FFFFFF"/>
        </w:rPr>
        <w:t>)</w:t>
      </w:r>
      <w:r w:rsidR="006311F4">
        <w:rPr>
          <w:rStyle w:val="lrzxr"/>
          <w:rFonts w:ascii="Garamond" w:hAnsi="Garamond"/>
          <w:color w:val="222222"/>
          <w:shd w:val="clear" w:color="auto" w:fill="FFFFFF"/>
        </w:rPr>
        <w:t xml:space="preserve">, at ~1600 m and ~1400 m respectively. </w:t>
      </w:r>
      <w:r w:rsidR="00DB510A">
        <w:rPr>
          <w:rFonts w:ascii="Garamond" w:eastAsia="Garamond" w:hAnsi="Garamond" w:cs="Garamond"/>
        </w:rPr>
        <w:t xml:space="preserve">There are two different groups of vegetation corresponding to </w:t>
      </w:r>
      <w:r w:rsidR="00DB510A" w:rsidRPr="00DF61B3">
        <w:rPr>
          <w:rFonts w:ascii="Garamond" w:eastAsia="Garamond" w:hAnsi="Garamond" w:cs="Garamond"/>
          <w:noProof/>
        </w:rPr>
        <w:t>relative</w:t>
      </w:r>
      <w:r w:rsidR="00DF61B3" w:rsidRPr="00103AC2">
        <w:rPr>
          <w:rFonts w:ascii="Garamond" w:eastAsia="Garamond" w:hAnsi="Garamond" w:cs="Garamond"/>
          <w:noProof/>
        </w:rPr>
        <w:t>ly</w:t>
      </w:r>
      <w:r w:rsidR="00DB510A">
        <w:rPr>
          <w:rFonts w:ascii="Garamond" w:eastAsia="Garamond" w:hAnsi="Garamond" w:cs="Garamond"/>
        </w:rPr>
        <w:t xml:space="preserve"> lower and higher elevations. Lower elevation land cover (~1100 m-~1500 m) consisted </w:t>
      </w:r>
      <w:r w:rsidR="00EB3065">
        <w:rPr>
          <w:rFonts w:ascii="Garamond" w:eastAsia="Garamond" w:hAnsi="Garamond" w:cs="Garamond"/>
        </w:rPr>
        <w:t xml:space="preserve">predominantly </w:t>
      </w:r>
      <w:r w:rsidR="00DB510A">
        <w:rPr>
          <w:rFonts w:ascii="Garamond" w:eastAsia="Garamond" w:hAnsi="Garamond" w:cs="Garamond"/>
        </w:rPr>
        <w:t>of greasewood, cultivated</w:t>
      </w:r>
      <w:r w:rsidR="000C7D62">
        <w:rPr>
          <w:rFonts w:ascii="Garamond" w:eastAsia="Garamond" w:hAnsi="Garamond" w:cs="Garamond"/>
        </w:rPr>
        <w:t xml:space="preserve"> land</w:t>
      </w:r>
      <w:r w:rsidR="00DB510A">
        <w:rPr>
          <w:rFonts w:ascii="Garamond" w:eastAsia="Garamond" w:hAnsi="Garamond" w:cs="Garamond"/>
        </w:rPr>
        <w:t xml:space="preserve">, Wyoming sagebrush, and bitterbrush.  </w:t>
      </w:r>
      <w:r w:rsidR="0078146F">
        <w:rPr>
          <w:rFonts w:ascii="Garamond" w:eastAsia="Garamond" w:hAnsi="Garamond" w:cs="Garamond"/>
        </w:rPr>
        <w:lastRenderedPageBreak/>
        <w:t xml:space="preserve">Mountain sagebrush-snowberry, Wyoming sagebrush-bitterbrush, low sagebrush, conifers, and quaking </w:t>
      </w:r>
      <w:r w:rsidR="0078146F" w:rsidRPr="007E1296">
        <w:rPr>
          <w:rFonts w:ascii="Garamond" w:eastAsia="Garamond" w:hAnsi="Garamond" w:cs="Garamond"/>
          <w:noProof/>
        </w:rPr>
        <w:t>aspen dominated</w:t>
      </w:r>
      <w:r w:rsidR="0078146F">
        <w:rPr>
          <w:rFonts w:ascii="Garamond" w:eastAsia="Garamond" w:hAnsi="Garamond" w:cs="Garamond"/>
        </w:rPr>
        <w:t xml:space="preserve"> higher elevations</w:t>
      </w:r>
      <w:r w:rsidR="00DB510A">
        <w:rPr>
          <w:rFonts w:ascii="Garamond" w:eastAsia="Garamond" w:hAnsi="Garamond" w:cs="Garamond"/>
        </w:rPr>
        <w:t xml:space="preserve">. </w:t>
      </w:r>
      <w:r>
        <w:rPr>
          <w:rFonts w:ascii="Garamond" w:eastAsia="Garamond" w:hAnsi="Garamond" w:cs="Garamond"/>
        </w:rPr>
        <w:t>While previous research has compared</w:t>
      </w:r>
      <w:r w:rsidR="009479C0">
        <w:rPr>
          <w:rFonts w:ascii="Garamond" w:eastAsia="Garamond" w:hAnsi="Garamond" w:cs="Garamond"/>
        </w:rPr>
        <w:t xml:space="preserve"> satellite-based</w:t>
      </w:r>
      <w:r>
        <w:rPr>
          <w:rFonts w:ascii="Garamond" w:eastAsia="Garamond" w:hAnsi="Garamond" w:cs="Garamond"/>
        </w:rPr>
        <w:t xml:space="preserve"> ET model accuracy within agricultural systems and across environmental variables, such as varying elevation and climate zones (Ayenew, 2003; Velpuri, Senay, Singh, Bohms, &amp; Verdin, 2013), there has been little research specifically assessing model applicability within a semi-arid climate</w:t>
      </w:r>
      <w:r w:rsidR="000A46F0">
        <w:rPr>
          <w:rFonts w:ascii="Garamond" w:eastAsia="Garamond" w:hAnsi="Garamond" w:cs="Garamond"/>
        </w:rPr>
        <w:t xml:space="preserve"> and natural </w:t>
      </w:r>
      <w:r w:rsidR="00ED588A">
        <w:rPr>
          <w:rFonts w:ascii="Garamond" w:eastAsia="Garamond" w:hAnsi="Garamond" w:cs="Garamond"/>
        </w:rPr>
        <w:t>land cover</w:t>
      </w:r>
      <w:r>
        <w:rPr>
          <w:rFonts w:ascii="Garamond" w:eastAsia="Garamond" w:hAnsi="Garamond" w:cs="Garamond"/>
        </w:rPr>
        <w:t xml:space="preserve">. </w:t>
      </w:r>
      <w:r>
        <w:rPr>
          <w:rFonts w:ascii="Garamond" w:eastAsia="Garamond" w:hAnsi="Garamond" w:cs="Garamond"/>
          <w:highlight w:val="white"/>
        </w:rPr>
        <w:t>This work will give land management agencies greater confidence in applying remote</w:t>
      </w:r>
      <w:r w:rsidR="00F52FA8">
        <w:rPr>
          <w:rFonts w:ascii="Garamond" w:eastAsia="Garamond" w:hAnsi="Garamond" w:cs="Garamond"/>
          <w:highlight w:val="white"/>
        </w:rPr>
        <w:t>ly</w:t>
      </w:r>
      <w:r w:rsidR="004E2E05">
        <w:rPr>
          <w:rFonts w:ascii="Garamond" w:eastAsia="Garamond" w:hAnsi="Garamond" w:cs="Garamond"/>
          <w:highlight w:val="white"/>
        </w:rPr>
        <w:t xml:space="preserve"> </w:t>
      </w:r>
      <w:r>
        <w:rPr>
          <w:rFonts w:ascii="Garamond" w:eastAsia="Garamond" w:hAnsi="Garamond" w:cs="Garamond"/>
          <w:highlight w:val="white"/>
        </w:rPr>
        <w:t xml:space="preserve">sensed measurements in future products and assess the best methods for determining ET in this particular ecosystem. </w:t>
      </w:r>
      <w:r>
        <w:rPr>
          <w:rFonts w:ascii="Garamond" w:eastAsia="Garamond" w:hAnsi="Garamond" w:cs="Garamond"/>
        </w:rPr>
        <w:t xml:space="preserve">We assessed four </w:t>
      </w:r>
      <w:r w:rsidR="00447E20">
        <w:rPr>
          <w:rFonts w:ascii="Garamond" w:eastAsia="Garamond" w:hAnsi="Garamond" w:cs="Garamond"/>
        </w:rPr>
        <w:t xml:space="preserve">remotely sensed </w:t>
      </w:r>
      <w:r>
        <w:rPr>
          <w:rFonts w:ascii="Garamond" w:eastAsia="Garamond" w:hAnsi="Garamond" w:cs="Garamond"/>
        </w:rPr>
        <w:t xml:space="preserve">ET models, </w:t>
      </w:r>
      <w:r w:rsidR="004439F4">
        <w:rPr>
          <w:rFonts w:ascii="Garamond" w:eastAsia="Garamond" w:hAnsi="Garamond" w:cs="Garamond"/>
        </w:rPr>
        <w:t xml:space="preserve">Google </w:t>
      </w:r>
      <w:r w:rsidR="008E03BD">
        <w:rPr>
          <w:rFonts w:ascii="Garamond" w:eastAsia="Garamond" w:hAnsi="Garamond" w:cs="Garamond"/>
        </w:rPr>
        <w:t>Earth Engine Evapotranspiration Flux (</w:t>
      </w:r>
      <w:r>
        <w:rPr>
          <w:rFonts w:ascii="Garamond" w:eastAsia="Garamond" w:hAnsi="Garamond" w:cs="Garamond"/>
        </w:rPr>
        <w:t>EEFlux</w:t>
      </w:r>
      <w:r w:rsidR="008E03BD">
        <w:rPr>
          <w:rFonts w:ascii="Garamond" w:eastAsia="Garamond" w:hAnsi="Garamond" w:cs="Garamond"/>
        </w:rPr>
        <w:t>)</w:t>
      </w:r>
      <w:r>
        <w:rPr>
          <w:rFonts w:ascii="Garamond" w:eastAsia="Garamond" w:hAnsi="Garamond" w:cs="Garamond"/>
        </w:rPr>
        <w:t xml:space="preserve">, </w:t>
      </w:r>
      <w:r w:rsidR="008E03BD">
        <w:rPr>
          <w:rFonts w:ascii="Garamond" w:eastAsia="Garamond" w:hAnsi="Garamond" w:cs="Garamond"/>
        </w:rPr>
        <w:t>Operational Simplified Surface Energy Balance</w:t>
      </w:r>
      <w:r w:rsidR="004439F4">
        <w:rPr>
          <w:rFonts w:ascii="Garamond" w:eastAsia="Garamond" w:hAnsi="Garamond" w:cs="Garamond"/>
        </w:rPr>
        <w:t xml:space="preserve"> (</w:t>
      </w:r>
      <w:r>
        <w:rPr>
          <w:rFonts w:ascii="Garamond" w:eastAsia="Garamond" w:hAnsi="Garamond" w:cs="Garamond"/>
        </w:rPr>
        <w:t>SSEBop</w:t>
      </w:r>
      <w:r w:rsidR="004439F4">
        <w:rPr>
          <w:rFonts w:ascii="Garamond" w:eastAsia="Garamond" w:hAnsi="Garamond" w:cs="Garamond"/>
        </w:rPr>
        <w:t>)</w:t>
      </w:r>
      <w:r>
        <w:rPr>
          <w:rFonts w:ascii="Garamond" w:eastAsia="Garamond" w:hAnsi="Garamond" w:cs="Garamond"/>
        </w:rPr>
        <w:t xml:space="preserve">, </w:t>
      </w:r>
      <w:r w:rsidR="004439F4">
        <w:rPr>
          <w:rFonts w:ascii="Garamond" w:eastAsia="Garamond" w:hAnsi="Garamond" w:cs="Garamond"/>
        </w:rPr>
        <w:t>Moderate Resolution Imaging Spectroradiometer</w:t>
      </w:r>
      <w:r w:rsidR="004439F4">
        <w:rPr>
          <w:rFonts w:ascii="Garamond" w:eastAsia="Garamond" w:hAnsi="Garamond" w:cs="Garamond"/>
          <w:highlight w:val="white"/>
        </w:rPr>
        <w:t xml:space="preserve"> (MODIS) </w:t>
      </w:r>
      <w:r w:rsidR="004439F4">
        <w:rPr>
          <w:rFonts w:ascii="Garamond" w:eastAsia="Garamond" w:hAnsi="Garamond" w:cs="Garamond"/>
        </w:rPr>
        <w:t>Global Evapotranspiration Project (</w:t>
      </w:r>
      <w:r>
        <w:rPr>
          <w:rFonts w:ascii="Garamond" w:eastAsia="Garamond" w:hAnsi="Garamond" w:cs="Garamond"/>
        </w:rPr>
        <w:t>MOD16</w:t>
      </w:r>
      <w:r w:rsidR="004439F4">
        <w:rPr>
          <w:rFonts w:ascii="Garamond" w:eastAsia="Garamond" w:hAnsi="Garamond" w:cs="Garamond"/>
        </w:rPr>
        <w:t xml:space="preserve">), and </w:t>
      </w:r>
      <w:r w:rsidR="004439F4">
        <w:rPr>
          <w:rFonts w:ascii="Garamond" w:eastAsia="Garamond" w:hAnsi="Garamond" w:cs="Garamond"/>
          <w:highlight w:val="white"/>
        </w:rPr>
        <w:t>North America Land Data Assimilation Systems 2 Noah</w:t>
      </w:r>
      <w:r w:rsidR="004439F4">
        <w:rPr>
          <w:rFonts w:ascii="Garamond" w:eastAsia="Garamond" w:hAnsi="Garamond" w:cs="Garamond"/>
        </w:rPr>
        <w:t xml:space="preserve"> (</w:t>
      </w:r>
      <w:r>
        <w:rPr>
          <w:rFonts w:ascii="Garamond" w:eastAsia="Garamond" w:hAnsi="Garamond" w:cs="Garamond"/>
        </w:rPr>
        <w:t>NLDAS-2-Noah</w:t>
      </w:r>
      <w:r w:rsidR="004439F4">
        <w:rPr>
          <w:rFonts w:ascii="Garamond" w:eastAsia="Garamond" w:hAnsi="Garamond" w:cs="Garamond"/>
        </w:rPr>
        <w:t>)</w:t>
      </w:r>
      <w:r>
        <w:rPr>
          <w:rFonts w:ascii="Garamond" w:eastAsia="Garamond" w:hAnsi="Garamond" w:cs="Garamond"/>
        </w:rPr>
        <w:t xml:space="preserve">, each of which utilized different algorithms for calculating ET. </w:t>
      </w:r>
      <w:r w:rsidR="004439F4">
        <w:rPr>
          <w:rFonts w:ascii="Garamond" w:eastAsia="Garamond" w:hAnsi="Garamond" w:cs="Garamond"/>
        </w:rPr>
        <w:t>EEFlux</w:t>
      </w:r>
      <w:r>
        <w:rPr>
          <w:rFonts w:ascii="Garamond" w:eastAsia="Garamond" w:hAnsi="Garamond" w:cs="Garamond"/>
        </w:rPr>
        <w:t xml:space="preserve"> implements </w:t>
      </w:r>
      <w:r>
        <w:rPr>
          <w:rFonts w:ascii="Garamond" w:eastAsia="Garamond" w:hAnsi="Garamond" w:cs="Garamond"/>
          <w:highlight w:val="white"/>
        </w:rPr>
        <w:t>Mapping Evapotranspiration at High Resolution with Internalized Calibration</w:t>
      </w:r>
      <w:r>
        <w:rPr>
          <w:rFonts w:ascii="Garamond" w:eastAsia="Garamond" w:hAnsi="Garamond" w:cs="Garamond"/>
        </w:rPr>
        <w:t xml:space="preserve"> (METRIC) within the Google Earth Engine API (GEE), allowing rapid mapping of regional ET measurements. </w:t>
      </w:r>
      <w:r>
        <w:rPr>
          <w:rFonts w:ascii="Garamond" w:eastAsia="Garamond" w:hAnsi="Garamond" w:cs="Garamond"/>
          <w:highlight w:val="white"/>
        </w:rPr>
        <w:t>S</w:t>
      </w:r>
      <w:r w:rsidR="004439F4">
        <w:rPr>
          <w:rFonts w:ascii="Garamond" w:eastAsia="Garamond" w:hAnsi="Garamond" w:cs="Garamond"/>
          <w:highlight w:val="white"/>
        </w:rPr>
        <w:t>SEBop</w:t>
      </w:r>
      <w:r>
        <w:rPr>
          <w:rFonts w:ascii="Garamond" w:eastAsia="Garamond" w:hAnsi="Garamond" w:cs="Garamond"/>
          <w:highlight w:val="white"/>
        </w:rPr>
        <w:t xml:space="preserve"> estimates ET across a variety of climatological conditions and elevations</w:t>
      </w:r>
      <w:r w:rsidR="00571C94">
        <w:rPr>
          <w:rFonts w:ascii="Garamond" w:eastAsia="Garamond" w:hAnsi="Garamond" w:cs="Garamond"/>
          <w:highlight w:val="white"/>
        </w:rPr>
        <w:t>,</w:t>
      </w:r>
      <w:r w:rsidR="000A46F0">
        <w:rPr>
          <w:rFonts w:ascii="Garamond" w:eastAsia="Garamond" w:hAnsi="Garamond" w:cs="Garamond"/>
          <w:highlight w:val="white"/>
        </w:rPr>
        <w:t xml:space="preserve"> </w:t>
      </w:r>
      <w:r w:rsidR="00571C94">
        <w:rPr>
          <w:rFonts w:ascii="Garamond" w:eastAsia="Garamond" w:hAnsi="Garamond" w:cs="Garamond"/>
          <w:highlight w:val="white"/>
        </w:rPr>
        <w:t xml:space="preserve">which </w:t>
      </w:r>
      <w:r w:rsidR="00ED588A">
        <w:rPr>
          <w:rFonts w:ascii="Garamond" w:eastAsia="Garamond" w:hAnsi="Garamond" w:cs="Garamond"/>
          <w:highlight w:val="white"/>
        </w:rPr>
        <w:t>advertises</w:t>
      </w:r>
      <w:r>
        <w:rPr>
          <w:rFonts w:ascii="Garamond" w:eastAsia="Garamond" w:hAnsi="Garamond" w:cs="Garamond"/>
          <w:highlight w:val="white"/>
        </w:rPr>
        <w:t xml:space="preserve"> improv</w:t>
      </w:r>
      <w:r w:rsidR="000A46F0">
        <w:rPr>
          <w:rFonts w:ascii="Garamond" w:eastAsia="Garamond" w:hAnsi="Garamond" w:cs="Garamond"/>
          <w:highlight w:val="white"/>
        </w:rPr>
        <w:t>ed</w:t>
      </w:r>
      <w:r>
        <w:rPr>
          <w:rFonts w:ascii="Garamond" w:eastAsia="Garamond" w:hAnsi="Garamond" w:cs="Garamond"/>
          <w:highlight w:val="white"/>
        </w:rPr>
        <w:t xml:space="preserve"> automation </w:t>
      </w:r>
      <w:r w:rsidR="000A46F0">
        <w:rPr>
          <w:rFonts w:ascii="Garamond" w:eastAsia="Garamond" w:hAnsi="Garamond" w:cs="Garamond"/>
          <w:highlight w:val="white"/>
        </w:rPr>
        <w:t xml:space="preserve">for </w:t>
      </w:r>
      <w:r>
        <w:rPr>
          <w:rFonts w:ascii="Garamond" w:eastAsia="Garamond" w:hAnsi="Garamond" w:cs="Garamond"/>
          <w:highlight w:val="white"/>
        </w:rPr>
        <w:t>modeling across large spatial scopes</w:t>
      </w:r>
      <w:r w:rsidR="00571C94">
        <w:rPr>
          <w:rFonts w:ascii="Garamond" w:eastAsia="Garamond" w:hAnsi="Garamond" w:cs="Garamond"/>
          <w:highlight w:val="white"/>
        </w:rPr>
        <w:t xml:space="preserve"> </w:t>
      </w:r>
      <w:r>
        <w:rPr>
          <w:rFonts w:ascii="Garamond" w:eastAsia="Garamond" w:hAnsi="Garamond" w:cs="Garamond"/>
          <w:highlight w:val="white"/>
        </w:rPr>
        <w:t xml:space="preserve">(Senay et al., 2013). </w:t>
      </w:r>
      <w:r w:rsidR="007E1296" w:rsidRPr="007E1296">
        <w:rPr>
          <w:rFonts w:ascii="Garamond" w:eastAsia="Garamond" w:hAnsi="Garamond" w:cs="Garamond"/>
          <w:noProof/>
          <w:highlight w:val="white"/>
        </w:rPr>
        <w:t xml:space="preserve">The </w:t>
      </w:r>
      <w:r w:rsidRPr="007E1296">
        <w:rPr>
          <w:rFonts w:ascii="Garamond" w:eastAsia="Garamond" w:hAnsi="Garamond" w:cs="Garamond"/>
          <w:noProof/>
          <w:highlight w:val="white"/>
        </w:rPr>
        <w:t>MOD16</w:t>
      </w:r>
      <w:r>
        <w:rPr>
          <w:rFonts w:ascii="Garamond" w:eastAsia="Garamond" w:hAnsi="Garamond" w:cs="Garamond"/>
          <w:highlight w:val="white"/>
        </w:rPr>
        <w:t xml:space="preserve"> algorithm incorporates a number of complex processes excluded in other models, including surface evaporation, which may be of particular importance in semi-arid environments (Mu, Zhao, &amp; Running, 2011). Lastly,</w:t>
      </w:r>
      <w:r w:rsidR="006311F4">
        <w:rPr>
          <w:rFonts w:ascii="Garamond" w:eastAsia="Garamond" w:hAnsi="Garamond" w:cs="Garamond"/>
          <w:highlight w:val="white"/>
        </w:rPr>
        <w:t xml:space="preserve"> the</w:t>
      </w:r>
      <w:r>
        <w:rPr>
          <w:rFonts w:ascii="Garamond" w:eastAsia="Garamond" w:hAnsi="Garamond" w:cs="Garamond"/>
          <w:highlight w:val="white"/>
        </w:rPr>
        <w:t xml:space="preserve"> </w:t>
      </w:r>
      <w:r w:rsidR="006311F4">
        <w:rPr>
          <w:rFonts w:ascii="Garamond" w:eastAsia="Garamond" w:hAnsi="Garamond" w:cs="Garamond"/>
          <w:highlight w:val="white"/>
        </w:rPr>
        <w:t>NLDAS-2-Noah</w:t>
      </w:r>
      <w:r>
        <w:rPr>
          <w:rFonts w:ascii="Garamond" w:eastAsia="Garamond" w:hAnsi="Garamond" w:cs="Garamond"/>
          <w:highlight w:val="white"/>
        </w:rPr>
        <w:t xml:space="preserve"> model has hourly data, allowing for examination of ET trends at a fine temporal scale</w:t>
      </w:r>
      <w:r w:rsidR="000A46F0">
        <w:rPr>
          <w:rFonts w:ascii="Garamond" w:eastAsia="Garamond" w:hAnsi="Garamond" w:cs="Garamond"/>
          <w:highlight w:val="white"/>
        </w:rPr>
        <w:t xml:space="preserve">, and assimilates large </w:t>
      </w:r>
      <w:r w:rsidR="008448C8">
        <w:rPr>
          <w:rFonts w:ascii="Garamond" w:eastAsia="Garamond" w:hAnsi="Garamond" w:cs="Garamond"/>
          <w:highlight w:val="white"/>
        </w:rPr>
        <w:t>meteorological</w:t>
      </w:r>
      <w:r w:rsidR="000A46F0">
        <w:rPr>
          <w:rFonts w:ascii="Garamond" w:eastAsia="Garamond" w:hAnsi="Garamond" w:cs="Garamond"/>
          <w:highlight w:val="white"/>
        </w:rPr>
        <w:t xml:space="preserve"> datasets</w:t>
      </w:r>
      <w:r w:rsidR="006311F4">
        <w:rPr>
          <w:rFonts w:ascii="Garamond" w:eastAsia="Garamond" w:hAnsi="Garamond" w:cs="Garamond"/>
          <w:highlight w:val="white"/>
        </w:rPr>
        <w:t>, such as</w:t>
      </w:r>
      <w:r w:rsidR="000A46F0">
        <w:rPr>
          <w:rFonts w:ascii="Garamond" w:eastAsia="Garamond" w:hAnsi="Garamond" w:cs="Garamond"/>
          <w:highlight w:val="white"/>
        </w:rPr>
        <w:t xml:space="preserve"> </w:t>
      </w:r>
      <w:r w:rsidR="008448C8">
        <w:rPr>
          <w:rFonts w:ascii="Garamond" w:eastAsia="Garamond" w:hAnsi="Garamond" w:cs="Garamond"/>
          <w:i/>
        </w:rPr>
        <w:t>in situ</w:t>
      </w:r>
      <w:r w:rsidR="008448C8">
        <w:rPr>
          <w:rFonts w:ascii="Garamond" w:eastAsia="Garamond" w:hAnsi="Garamond" w:cs="Garamond"/>
        </w:rPr>
        <w:t xml:space="preserve"> or satellite-measured precipitation</w:t>
      </w:r>
      <w:r>
        <w:rPr>
          <w:rFonts w:ascii="Garamond" w:eastAsia="Garamond" w:hAnsi="Garamond" w:cs="Garamond"/>
          <w:highlight w:val="white"/>
        </w:rPr>
        <w:t xml:space="preserve">. </w:t>
      </w:r>
    </w:p>
    <w:p w14:paraId="58F6AE47" w14:textId="77777777" w:rsidR="0012258B" w:rsidRDefault="0012258B">
      <w:pPr>
        <w:spacing w:after="0" w:line="240" w:lineRule="auto"/>
        <w:rPr>
          <w:rFonts w:ascii="Garamond" w:eastAsia="Garamond" w:hAnsi="Garamond" w:cs="Garamond"/>
        </w:rPr>
      </w:pPr>
    </w:p>
    <w:p w14:paraId="0A88AFAA" w14:textId="13A0886A" w:rsidR="0012258B" w:rsidRDefault="004F7961">
      <w:pPr>
        <w:numPr>
          <w:ilvl w:val="1"/>
          <w:numId w:val="2"/>
        </w:numPr>
        <w:pBdr>
          <w:top w:val="nil"/>
          <w:left w:val="nil"/>
          <w:bottom w:val="nil"/>
          <w:right w:val="nil"/>
          <w:between w:val="nil"/>
        </w:pBdr>
        <w:spacing w:after="0" w:line="240" w:lineRule="auto"/>
        <w:contextualSpacing/>
        <w:rPr>
          <w:rFonts w:ascii="Garamond" w:eastAsia="Garamond" w:hAnsi="Garamond" w:cs="Garamond"/>
          <w:b/>
          <w:i/>
          <w:color w:val="000000"/>
        </w:rPr>
      </w:pPr>
      <w:r>
        <w:rPr>
          <w:rFonts w:ascii="Garamond" w:eastAsia="Garamond" w:hAnsi="Garamond" w:cs="Garamond"/>
          <w:b/>
          <w:i/>
          <w:color w:val="000000"/>
        </w:rPr>
        <w:t>Project Partners &amp; Objectives</w:t>
      </w:r>
    </w:p>
    <w:p w14:paraId="38C7C661" w14:textId="1BE6F221" w:rsidR="0012258B" w:rsidRDefault="004F7961">
      <w:pPr>
        <w:spacing w:after="0" w:line="240" w:lineRule="auto"/>
        <w:rPr>
          <w:rFonts w:ascii="Garamond" w:eastAsia="Garamond" w:hAnsi="Garamond" w:cs="Garamond"/>
        </w:rPr>
      </w:pPr>
      <w:r>
        <w:rPr>
          <w:rFonts w:ascii="Garamond" w:eastAsia="Garamond" w:hAnsi="Garamond" w:cs="Garamond"/>
        </w:rPr>
        <w:t>The project team partnered with several federal and state agencies including the US Fish and Wildlife Service (USFWS</w:t>
      </w:r>
      <w:r w:rsidR="000901C7">
        <w:rPr>
          <w:rFonts w:ascii="Garamond" w:eastAsia="Garamond" w:hAnsi="Garamond" w:cs="Garamond"/>
        </w:rPr>
        <w:t>)</w:t>
      </w:r>
      <w:r w:rsidR="00ED588A">
        <w:rPr>
          <w:rFonts w:ascii="Garamond" w:eastAsia="Garamond" w:hAnsi="Garamond" w:cs="Garamond"/>
        </w:rPr>
        <w:t>,</w:t>
      </w:r>
      <w:r>
        <w:rPr>
          <w:rFonts w:ascii="Garamond" w:eastAsia="Garamond" w:hAnsi="Garamond" w:cs="Garamond"/>
        </w:rPr>
        <w:t xml:space="preserve"> </w:t>
      </w:r>
      <w:r w:rsidR="007178C0">
        <w:rPr>
          <w:rFonts w:ascii="Garamond" w:eastAsia="Garamond" w:hAnsi="Garamond" w:cs="Garamond"/>
        </w:rPr>
        <w:t>the Idaho Department of Fish and Game (IDFG)</w:t>
      </w:r>
      <w:r w:rsidR="00ED588A">
        <w:rPr>
          <w:rFonts w:ascii="Garamond" w:eastAsia="Garamond" w:hAnsi="Garamond" w:cs="Garamond"/>
        </w:rPr>
        <w:t>,</w:t>
      </w:r>
      <w:r w:rsidR="001D47A5">
        <w:rPr>
          <w:rFonts w:ascii="Garamond" w:eastAsia="Garamond" w:hAnsi="Garamond" w:cs="Garamond"/>
        </w:rPr>
        <w:t xml:space="preserve"> the Idaho National Laboratory (INL),</w:t>
      </w:r>
      <w:r w:rsidR="007178C0">
        <w:rPr>
          <w:rFonts w:ascii="Garamond" w:eastAsia="Garamond" w:hAnsi="Garamond" w:cs="Garamond"/>
        </w:rPr>
        <w:t xml:space="preserve"> </w:t>
      </w:r>
      <w:r w:rsidR="001D47A5">
        <w:rPr>
          <w:rFonts w:ascii="Garamond" w:eastAsia="Garamond" w:hAnsi="Garamond" w:cs="Garamond"/>
        </w:rPr>
        <w:t xml:space="preserve">and </w:t>
      </w:r>
      <w:r w:rsidR="007178C0">
        <w:rPr>
          <w:rFonts w:ascii="Garamond" w:eastAsia="Garamond" w:hAnsi="Garamond" w:cs="Garamond"/>
        </w:rPr>
        <w:t xml:space="preserve">the US Department of Agriculture (USDA) </w:t>
      </w:r>
      <w:r>
        <w:rPr>
          <w:rFonts w:ascii="Garamond" w:eastAsia="Garamond" w:hAnsi="Garamond" w:cs="Garamond"/>
        </w:rPr>
        <w:t>Natural Resources Conservation Service (NRCS)</w:t>
      </w:r>
      <w:r w:rsidR="007178C0">
        <w:rPr>
          <w:rFonts w:ascii="Garamond" w:eastAsia="Garamond" w:hAnsi="Garamond" w:cs="Garamond"/>
        </w:rPr>
        <w:t xml:space="preserve"> and</w:t>
      </w:r>
      <w:r>
        <w:rPr>
          <w:rFonts w:ascii="Garamond" w:eastAsia="Garamond" w:hAnsi="Garamond" w:cs="Garamond"/>
        </w:rPr>
        <w:t xml:space="preserve"> Agricultural Research Service (ARS</w:t>
      </w:r>
      <w:r w:rsidR="00547DF5">
        <w:rPr>
          <w:rFonts w:ascii="Garamond" w:eastAsia="Garamond" w:hAnsi="Garamond" w:cs="Garamond"/>
        </w:rPr>
        <w:t>)</w:t>
      </w:r>
      <w:r w:rsidR="007178C0">
        <w:rPr>
          <w:rFonts w:ascii="Garamond" w:eastAsia="Garamond" w:hAnsi="Garamond" w:cs="Garamond"/>
        </w:rPr>
        <w:t>.</w:t>
      </w:r>
    </w:p>
    <w:p w14:paraId="0C882973" w14:textId="07E3029C" w:rsidR="00AA1C6B" w:rsidRDefault="00AA1C6B">
      <w:pPr>
        <w:spacing w:after="0" w:line="240" w:lineRule="auto"/>
        <w:rPr>
          <w:rFonts w:ascii="Garamond" w:eastAsia="Garamond" w:hAnsi="Garamond" w:cs="Garamond"/>
        </w:rPr>
      </w:pPr>
    </w:p>
    <w:p w14:paraId="1E48EE64" w14:textId="1614C965" w:rsidR="004A075B" w:rsidRDefault="004F7961" w:rsidP="004A075B">
      <w:pPr>
        <w:spacing w:after="0" w:line="240" w:lineRule="auto"/>
        <w:rPr>
          <w:rFonts w:ascii="Garamond" w:eastAsia="Garamond" w:hAnsi="Garamond" w:cs="Garamond"/>
        </w:rPr>
      </w:pPr>
      <w:r>
        <w:rPr>
          <w:rFonts w:ascii="Garamond" w:eastAsia="Garamond" w:hAnsi="Garamond" w:cs="Garamond"/>
        </w:rPr>
        <w:t xml:space="preserve">The USFWS and IDFG consult with other local agencies and are responsible for the dissemination of data to </w:t>
      </w:r>
      <w:r w:rsidR="00F9370A">
        <w:rPr>
          <w:rFonts w:ascii="Garamond" w:eastAsia="Garamond" w:hAnsi="Garamond" w:cs="Garamond"/>
        </w:rPr>
        <w:t xml:space="preserve">area </w:t>
      </w:r>
      <w:r>
        <w:rPr>
          <w:rFonts w:ascii="Garamond" w:eastAsia="Garamond" w:hAnsi="Garamond" w:cs="Garamond"/>
        </w:rPr>
        <w:t>stakeholders</w:t>
      </w:r>
      <w:r w:rsidR="00456147">
        <w:rPr>
          <w:rFonts w:ascii="Garamond" w:eastAsia="Garamond" w:hAnsi="Garamond" w:cs="Garamond"/>
        </w:rPr>
        <w:t>, such as ranchers, landowners, and other land managers</w:t>
      </w:r>
      <w:r>
        <w:rPr>
          <w:rFonts w:ascii="Garamond" w:eastAsia="Garamond" w:hAnsi="Garamond" w:cs="Garamond"/>
        </w:rPr>
        <w:t xml:space="preserve">. These two partners </w:t>
      </w:r>
      <w:r w:rsidR="00F9370A">
        <w:rPr>
          <w:rFonts w:ascii="Garamond" w:eastAsia="Garamond" w:hAnsi="Garamond" w:cs="Garamond"/>
        </w:rPr>
        <w:t xml:space="preserve">were </w:t>
      </w:r>
      <w:r>
        <w:rPr>
          <w:rFonts w:ascii="Garamond" w:eastAsia="Garamond" w:hAnsi="Garamond" w:cs="Garamond"/>
        </w:rPr>
        <w:t>interested in obtaining higher spatial and temporal resolution data for the purpose of wildlife conservation, including foraging, endangered species monitoring, and resource management.</w:t>
      </w:r>
      <w:r w:rsidR="00CB4BD7">
        <w:rPr>
          <w:rFonts w:ascii="Garamond" w:eastAsia="Garamond" w:hAnsi="Garamond" w:cs="Garamond"/>
        </w:rPr>
        <w:t xml:space="preserve"> Specifically, the USFWS and IDFG </w:t>
      </w:r>
      <w:r w:rsidR="00F9370A">
        <w:rPr>
          <w:rFonts w:ascii="Garamond" w:eastAsia="Garamond" w:hAnsi="Garamond" w:cs="Garamond"/>
        </w:rPr>
        <w:t xml:space="preserve">were </w:t>
      </w:r>
      <w:r w:rsidR="00CB4BD7">
        <w:rPr>
          <w:rFonts w:ascii="Garamond" w:eastAsia="Garamond" w:hAnsi="Garamond" w:cs="Garamond"/>
        </w:rPr>
        <w:t xml:space="preserve">interested in using ET data to </w:t>
      </w:r>
      <w:r w:rsidR="00774350">
        <w:rPr>
          <w:rFonts w:ascii="Garamond" w:eastAsia="Garamond" w:hAnsi="Garamond" w:cs="Garamond"/>
        </w:rPr>
        <w:t xml:space="preserve">better </w:t>
      </w:r>
      <w:r w:rsidR="00CB4BD7">
        <w:rPr>
          <w:rFonts w:ascii="Garamond" w:eastAsia="Garamond" w:hAnsi="Garamond" w:cs="Garamond"/>
        </w:rPr>
        <w:t>understand sagebrush recovery pre- and post</w:t>
      </w:r>
      <w:r w:rsidR="005D74F0">
        <w:rPr>
          <w:rFonts w:ascii="Garamond" w:eastAsia="Garamond" w:hAnsi="Garamond" w:cs="Garamond"/>
        </w:rPr>
        <w:t>-</w:t>
      </w:r>
      <w:r w:rsidR="00CB4BD7">
        <w:rPr>
          <w:rFonts w:ascii="Garamond" w:eastAsia="Garamond" w:hAnsi="Garamond" w:cs="Garamond"/>
        </w:rPr>
        <w:t>fire</w:t>
      </w:r>
      <w:r w:rsidR="00547DF5">
        <w:rPr>
          <w:rFonts w:ascii="Garamond" w:eastAsia="Garamond" w:hAnsi="Garamond" w:cs="Garamond"/>
        </w:rPr>
        <w:t xml:space="preserve">. Additionally, these organizations </w:t>
      </w:r>
      <w:r w:rsidR="00F9370A">
        <w:rPr>
          <w:rFonts w:ascii="Garamond" w:eastAsia="Garamond" w:hAnsi="Garamond" w:cs="Garamond"/>
        </w:rPr>
        <w:t xml:space="preserve">were </w:t>
      </w:r>
      <w:r w:rsidR="00547DF5">
        <w:rPr>
          <w:rFonts w:ascii="Garamond" w:eastAsia="Garamond" w:hAnsi="Garamond" w:cs="Garamond"/>
        </w:rPr>
        <w:t xml:space="preserve">concerned with monitoring </w:t>
      </w:r>
      <w:r w:rsidR="00D24FB2">
        <w:rPr>
          <w:rFonts w:ascii="Garamond" w:eastAsia="Garamond" w:hAnsi="Garamond" w:cs="Garamond"/>
        </w:rPr>
        <w:t xml:space="preserve">vegetation health and </w:t>
      </w:r>
      <w:r w:rsidR="00ED588A">
        <w:rPr>
          <w:rFonts w:ascii="Garamond" w:eastAsia="Garamond" w:hAnsi="Garamond" w:cs="Garamond"/>
        </w:rPr>
        <w:t>distribution</w:t>
      </w:r>
      <w:r w:rsidR="00D24FB2">
        <w:rPr>
          <w:rFonts w:ascii="Garamond" w:eastAsia="Garamond" w:hAnsi="Garamond" w:cs="Garamond"/>
        </w:rPr>
        <w:t xml:space="preserve"> </w:t>
      </w:r>
      <w:r w:rsidR="008448C8">
        <w:rPr>
          <w:rFonts w:ascii="Garamond" w:eastAsia="Garamond" w:hAnsi="Garamond" w:cs="Garamond"/>
        </w:rPr>
        <w:t xml:space="preserve">in order to understand </w:t>
      </w:r>
      <w:r w:rsidR="00D24FB2">
        <w:rPr>
          <w:rFonts w:ascii="Garamond" w:eastAsia="Garamond" w:hAnsi="Garamond" w:cs="Garamond"/>
        </w:rPr>
        <w:t>their impacts on both rangeland management and native animal populations</w:t>
      </w:r>
      <w:r w:rsidR="00CB4BD7">
        <w:rPr>
          <w:rFonts w:ascii="Garamond" w:eastAsia="Garamond" w:hAnsi="Garamond" w:cs="Garamond"/>
        </w:rPr>
        <w:t>.</w:t>
      </w:r>
      <w:r>
        <w:rPr>
          <w:rFonts w:ascii="Garamond" w:eastAsia="Garamond" w:hAnsi="Garamond" w:cs="Garamond"/>
        </w:rPr>
        <w:t xml:space="preserve"> </w:t>
      </w:r>
      <w:r w:rsidR="004A075B">
        <w:rPr>
          <w:rFonts w:ascii="Garamond" w:eastAsia="Garamond" w:hAnsi="Garamond" w:cs="Garamond"/>
        </w:rPr>
        <w:t xml:space="preserve">The INL </w:t>
      </w:r>
      <w:r w:rsidR="009E6D4B">
        <w:rPr>
          <w:rFonts w:ascii="Garamond" w:eastAsia="Garamond" w:hAnsi="Garamond" w:cs="Garamond"/>
        </w:rPr>
        <w:t xml:space="preserve">also </w:t>
      </w:r>
      <w:r w:rsidR="00F9370A">
        <w:rPr>
          <w:rFonts w:ascii="Garamond" w:eastAsia="Garamond" w:hAnsi="Garamond" w:cs="Garamond"/>
        </w:rPr>
        <w:t xml:space="preserve">had </w:t>
      </w:r>
      <w:r w:rsidR="001D47A5">
        <w:rPr>
          <w:rFonts w:ascii="Garamond" w:eastAsia="Garamond" w:hAnsi="Garamond" w:cs="Garamond"/>
        </w:rPr>
        <w:t>a vested interest</w:t>
      </w:r>
      <w:r w:rsidR="004A075B">
        <w:rPr>
          <w:rFonts w:ascii="Garamond" w:eastAsia="Garamond" w:hAnsi="Garamond" w:cs="Garamond"/>
        </w:rPr>
        <w:t xml:space="preserve"> in understanding the hydrologic cycles in semi-arid environments at large spatial extents, particularly along the Idaho Snake River Plain where water recharges the Snake River Plain Aquifer. </w:t>
      </w:r>
    </w:p>
    <w:p w14:paraId="0ED773D3" w14:textId="3EAFA595" w:rsidR="001408D2" w:rsidRDefault="001408D2">
      <w:pPr>
        <w:spacing w:after="0" w:line="240" w:lineRule="auto"/>
        <w:rPr>
          <w:rFonts w:ascii="Garamond" w:eastAsia="Garamond" w:hAnsi="Garamond" w:cs="Garamond"/>
        </w:rPr>
      </w:pPr>
    </w:p>
    <w:p w14:paraId="231A41E4" w14:textId="19E237AB" w:rsidR="00E06C03" w:rsidRDefault="004F7961">
      <w:pPr>
        <w:spacing w:after="0" w:line="240" w:lineRule="auto"/>
        <w:rPr>
          <w:rFonts w:ascii="Garamond" w:eastAsia="Garamond" w:hAnsi="Garamond" w:cs="Garamond"/>
        </w:rPr>
      </w:pPr>
      <w:r>
        <w:rPr>
          <w:rFonts w:ascii="Garamond" w:eastAsia="Garamond" w:hAnsi="Garamond" w:cs="Garamond"/>
        </w:rPr>
        <w:t>The USDA ARS and NRCS provide</w:t>
      </w:r>
      <w:r w:rsidR="00774350">
        <w:rPr>
          <w:rFonts w:ascii="Garamond" w:eastAsia="Garamond" w:hAnsi="Garamond" w:cs="Garamond"/>
        </w:rPr>
        <w:t>d</w:t>
      </w:r>
      <w:r>
        <w:rPr>
          <w:rFonts w:ascii="Garamond" w:eastAsia="Garamond" w:hAnsi="Garamond" w:cs="Garamond"/>
        </w:rPr>
        <w:t xml:space="preserve"> </w:t>
      </w:r>
      <w:r w:rsidR="00F9370A">
        <w:rPr>
          <w:rFonts w:ascii="Garamond" w:eastAsia="Garamond" w:hAnsi="Garamond" w:cs="Garamond"/>
        </w:rPr>
        <w:t xml:space="preserve">the </w:t>
      </w:r>
      <w:r>
        <w:rPr>
          <w:rFonts w:ascii="Garamond" w:eastAsia="Garamond" w:hAnsi="Garamond" w:cs="Garamond"/>
        </w:rPr>
        <w:t>publicly available</w:t>
      </w:r>
      <w:r w:rsidR="004A075B">
        <w:rPr>
          <w:rFonts w:ascii="Garamond" w:eastAsia="Garamond" w:hAnsi="Garamond" w:cs="Garamond"/>
        </w:rPr>
        <w:t xml:space="preserve"> </w:t>
      </w:r>
      <w:r w:rsidR="004A075B">
        <w:rPr>
          <w:rFonts w:ascii="Garamond" w:eastAsia="Garamond" w:hAnsi="Garamond" w:cs="Garamond"/>
          <w:i/>
        </w:rPr>
        <w:t>in situ</w:t>
      </w:r>
      <w:r>
        <w:rPr>
          <w:rFonts w:ascii="Garamond" w:eastAsia="Garamond" w:hAnsi="Garamond" w:cs="Garamond"/>
        </w:rPr>
        <w:t xml:space="preserve"> data that were used</w:t>
      </w:r>
      <w:r w:rsidR="004A075B">
        <w:rPr>
          <w:rFonts w:ascii="Garamond" w:eastAsia="Garamond" w:hAnsi="Garamond" w:cs="Garamond"/>
        </w:rPr>
        <w:t xml:space="preserve"> for analysis and comparison with remotely sensed ET models</w:t>
      </w:r>
      <w:r w:rsidR="00F9370A">
        <w:rPr>
          <w:rFonts w:ascii="Garamond" w:eastAsia="Garamond" w:hAnsi="Garamond" w:cs="Garamond"/>
        </w:rPr>
        <w:t>,</w:t>
      </w:r>
      <w:r>
        <w:rPr>
          <w:rFonts w:ascii="Garamond" w:eastAsia="Garamond" w:hAnsi="Garamond" w:cs="Garamond"/>
        </w:rPr>
        <w:t xml:space="preserve"> </w:t>
      </w:r>
      <w:r w:rsidR="00735AE2">
        <w:rPr>
          <w:rFonts w:ascii="Garamond" w:eastAsia="Garamond" w:hAnsi="Garamond" w:cs="Garamond"/>
        </w:rPr>
        <w:t xml:space="preserve">including </w:t>
      </w:r>
      <w:r w:rsidR="004A075B" w:rsidRPr="004A075B">
        <w:rPr>
          <w:rFonts w:ascii="Garamond" w:eastAsia="Garamond" w:hAnsi="Garamond" w:cs="Garamond"/>
          <w:i/>
        </w:rPr>
        <w:t>in situ</w:t>
      </w:r>
      <w:r w:rsidR="004A075B">
        <w:rPr>
          <w:rFonts w:ascii="Garamond" w:eastAsia="Garamond" w:hAnsi="Garamond" w:cs="Garamond"/>
        </w:rPr>
        <w:t xml:space="preserve"> </w:t>
      </w:r>
      <w:r w:rsidR="00735AE2">
        <w:rPr>
          <w:rFonts w:ascii="Garamond" w:eastAsia="Garamond" w:hAnsi="Garamond" w:cs="Garamond"/>
        </w:rPr>
        <w:t>ET</w:t>
      </w:r>
      <w:r w:rsidR="00F9370A">
        <w:rPr>
          <w:rFonts w:ascii="Garamond" w:eastAsia="Garamond" w:hAnsi="Garamond" w:cs="Garamond"/>
        </w:rPr>
        <w:t>,</w:t>
      </w:r>
      <w:r w:rsidR="00735AE2">
        <w:rPr>
          <w:rFonts w:ascii="Garamond" w:eastAsia="Garamond" w:hAnsi="Garamond" w:cs="Garamond"/>
        </w:rPr>
        <w:t xml:space="preserve"> precipitation</w:t>
      </w:r>
      <w:r w:rsidR="00F9370A">
        <w:rPr>
          <w:rFonts w:ascii="Garamond" w:eastAsia="Garamond" w:hAnsi="Garamond" w:cs="Garamond"/>
        </w:rPr>
        <w:t>,</w:t>
      </w:r>
      <w:r w:rsidR="00735AE2">
        <w:rPr>
          <w:rFonts w:ascii="Garamond" w:eastAsia="Garamond" w:hAnsi="Garamond" w:cs="Garamond"/>
        </w:rPr>
        <w:t xml:space="preserve"> and soil moisture</w:t>
      </w:r>
      <w:r>
        <w:rPr>
          <w:rFonts w:ascii="Garamond" w:eastAsia="Garamond" w:hAnsi="Garamond" w:cs="Garamond"/>
        </w:rPr>
        <w:t xml:space="preserve">. Partnership with NASA DEVELOP allows the USDA ARS and NRCS to disseminate data </w:t>
      </w:r>
      <w:r w:rsidR="00735AE2">
        <w:rPr>
          <w:rFonts w:ascii="Garamond" w:eastAsia="Garamond" w:hAnsi="Garamond" w:cs="Garamond"/>
        </w:rPr>
        <w:t>by providing them with tools and</w:t>
      </w:r>
      <w:r>
        <w:rPr>
          <w:rFonts w:ascii="Garamond" w:eastAsia="Garamond" w:hAnsi="Garamond" w:cs="Garamond"/>
        </w:rPr>
        <w:t xml:space="preserve"> methodologies that pertain to their current research goals as an experimental watershed. </w:t>
      </w:r>
      <w:r w:rsidR="00132A32">
        <w:rPr>
          <w:rFonts w:ascii="Garamond" w:eastAsia="Garamond" w:hAnsi="Garamond" w:cs="Garamond"/>
        </w:rPr>
        <w:t xml:space="preserve">Although </w:t>
      </w:r>
      <w:r w:rsidR="00447E20">
        <w:rPr>
          <w:rFonts w:ascii="Garamond" w:eastAsia="Garamond" w:hAnsi="Garamond" w:cs="Garamond"/>
        </w:rPr>
        <w:t>RCEW</w:t>
      </w:r>
      <w:r w:rsidR="00132A32">
        <w:rPr>
          <w:rFonts w:ascii="Garamond" w:eastAsia="Garamond" w:hAnsi="Garamond" w:cs="Garamond"/>
        </w:rPr>
        <w:t xml:space="preserve"> is highly instrumented, t</w:t>
      </w:r>
      <w:r w:rsidR="009E6D4B">
        <w:rPr>
          <w:rFonts w:ascii="Garamond" w:eastAsia="Garamond" w:hAnsi="Garamond" w:cs="Garamond"/>
        </w:rPr>
        <w:t>he datase</w:t>
      </w:r>
      <w:r w:rsidR="00447E20">
        <w:rPr>
          <w:rFonts w:ascii="Garamond" w:eastAsia="Garamond" w:hAnsi="Garamond" w:cs="Garamond"/>
        </w:rPr>
        <w:t>ts provided by this project give the partners</w:t>
      </w:r>
      <w:r w:rsidR="009E6D4B">
        <w:rPr>
          <w:rFonts w:ascii="Garamond" w:eastAsia="Garamond" w:hAnsi="Garamond" w:cs="Garamond"/>
        </w:rPr>
        <w:t xml:space="preserve"> a fuller picture of the </w:t>
      </w:r>
      <w:r w:rsidR="00447E20">
        <w:rPr>
          <w:rFonts w:ascii="Garamond" w:eastAsia="Garamond" w:hAnsi="Garamond" w:cs="Garamond"/>
        </w:rPr>
        <w:t>hydrologic cycle in this watershed.</w:t>
      </w:r>
    </w:p>
    <w:p w14:paraId="1F571AC6" w14:textId="77777777" w:rsidR="0012258B" w:rsidRPr="00103AC2" w:rsidRDefault="0012258B">
      <w:pPr>
        <w:spacing w:after="0"/>
        <w:rPr>
          <w:rFonts w:ascii="Garamond" w:hAnsi="Garamond"/>
        </w:rPr>
      </w:pPr>
    </w:p>
    <w:p w14:paraId="6BAADA05" w14:textId="5453DE62" w:rsidR="0012258B" w:rsidRDefault="004F7961">
      <w:pPr>
        <w:spacing w:after="0" w:line="240" w:lineRule="auto"/>
        <w:rPr>
          <w:rFonts w:ascii="Garamond" w:eastAsia="Garamond" w:hAnsi="Garamond" w:cs="Garamond"/>
        </w:rPr>
      </w:pPr>
      <w:r>
        <w:rPr>
          <w:rFonts w:ascii="Garamond" w:eastAsia="Garamond" w:hAnsi="Garamond" w:cs="Garamond"/>
        </w:rPr>
        <w:t xml:space="preserve">The primary objective of this project </w:t>
      </w:r>
      <w:r w:rsidR="00FD5F5A">
        <w:rPr>
          <w:rFonts w:ascii="Garamond" w:eastAsia="Garamond" w:hAnsi="Garamond" w:cs="Garamond"/>
        </w:rPr>
        <w:t>was</w:t>
      </w:r>
      <w:r>
        <w:rPr>
          <w:rFonts w:ascii="Garamond" w:eastAsia="Garamond" w:hAnsi="Garamond" w:cs="Garamond"/>
        </w:rPr>
        <w:t xml:space="preserve"> to assess the </w:t>
      </w:r>
      <w:r w:rsidR="004C414B">
        <w:rPr>
          <w:rFonts w:ascii="Garamond" w:eastAsia="Garamond" w:hAnsi="Garamond" w:cs="Garamond"/>
        </w:rPr>
        <w:t xml:space="preserve">effectiveness </w:t>
      </w:r>
      <w:r>
        <w:rPr>
          <w:rFonts w:ascii="Garamond" w:eastAsia="Garamond" w:hAnsi="Garamond" w:cs="Garamond"/>
        </w:rPr>
        <w:t xml:space="preserve">of multiple </w:t>
      </w:r>
      <w:r w:rsidR="00EE31DB">
        <w:rPr>
          <w:rFonts w:ascii="Garamond" w:eastAsia="Garamond" w:hAnsi="Garamond" w:cs="Garamond"/>
        </w:rPr>
        <w:t>remotely sensed</w:t>
      </w:r>
      <w:r w:rsidR="00447E20">
        <w:rPr>
          <w:rFonts w:ascii="Garamond" w:eastAsia="Garamond" w:hAnsi="Garamond" w:cs="Garamond"/>
        </w:rPr>
        <w:t xml:space="preserve"> </w:t>
      </w:r>
      <w:r>
        <w:rPr>
          <w:rFonts w:ascii="Garamond" w:eastAsia="Garamond" w:hAnsi="Garamond" w:cs="Garamond"/>
        </w:rPr>
        <w:t>models to map ET a</w:t>
      </w:r>
      <w:r w:rsidR="00EE31DB">
        <w:rPr>
          <w:rFonts w:ascii="Garamond" w:eastAsia="Garamond" w:hAnsi="Garamond" w:cs="Garamond"/>
        </w:rPr>
        <w:t>cross semi-arid environments. Additionally, this project aimed</w:t>
      </w:r>
      <w:r>
        <w:rPr>
          <w:rFonts w:ascii="Garamond" w:eastAsia="Garamond" w:hAnsi="Garamond" w:cs="Garamond"/>
        </w:rPr>
        <w:t xml:space="preserve"> to validate the models by comparing them </w:t>
      </w:r>
      <w:r w:rsidR="004C414B">
        <w:rPr>
          <w:rFonts w:ascii="Garamond" w:eastAsia="Garamond" w:hAnsi="Garamond" w:cs="Garamond"/>
        </w:rPr>
        <w:t xml:space="preserve">against </w:t>
      </w:r>
      <w:r>
        <w:rPr>
          <w:rFonts w:ascii="Garamond" w:eastAsia="Garamond" w:hAnsi="Garamond" w:cs="Garamond"/>
          <w:i/>
        </w:rPr>
        <w:t>in situ</w:t>
      </w:r>
      <w:r>
        <w:rPr>
          <w:rFonts w:ascii="Garamond" w:eastAsia="Garamond" w:hAnsi="Garamond" w:cs="Garamond"/>
        </w:rPr>
        <w:t xml:space="preserve"> data from</w:t>
      </w:r>
      <w:r w:rsidR="004C414B">
        <w:rPr>
          <w:rFonts w:ascii="Garamond" w:eastAsia="Garamond" w:hAnsi="Garamond" w:cs="Garamond"/>
        </w:rPr>
        <w:t xml:space="preserve"> the</w:t>
      </w:r>
      <w:r>
        <w:rPr>
          <w:rFonts w:ascii="Garamond" w:eastAsia="Garamond" w:hAnsi="Garamond" w:cs="Garamond"/>
        </w:rPr>
        <w:t xml:space="preserve"> eddy covariance towers at RCEW. </w:t>
      </w:r>
      <w:r w:rsidR="00EE31DB">
        <w:rPr>
          <w:rFonts w:ascii="Garamond" w:eastAsia="Garamond" w:hAnsi="Garamond" w:cs="Garamond"/>
        </w:rPr>
        <w:t xml:space="preserve">The final objective was to compare </w:t>
      </w:r>
      <w:r>
        <w:rPr>
          <w:rFonts w:ascii="Garamond" w:eastAsia="Garamond" w:hAnsi="Garamond" w:cs="Garamond"/>
        </w:rPr>
        <w:t xml:space="preserve">ET data </w:t>
      </w:r>
      <w:r w:rsidR="00D24FB2">
        <w:rPr>
          <w:rFonts w:ascii="Garamond" w:eastAsia="Garamond" w:hAnsi="Garamond" w:cs="Garamond"/>
        </w:rPr>
        <w:t>to elevation,</w:t>
      </w:r>
      <w:r w:rsidR="004C414B">
        <w:rPr>
          <w:rFonts w:ascii="Garamond" w:eastAsia="Garamond" w:hAnsi="Garamond" w:cs="Garamond"/>
        </w:rPr>
        <w:t xml:space="preserve"> </w:t>
      </w:r>
      <w:r>
        <w:rPr>
          <w:rFonts w:ascii="Garamond" w:eastAsia="Garamond" w:hAnsi="Garamond" w:cs="Garamond"/>
        </w:rPr>
        <w:t>soil moisture, and precipitation data</w:t>
      </w:r>
      <w:r w:rsidR="004C414B">
        <w:rPr>
          <w:rFonts w:ascii="Garamond" w:eastAsia="Garamond" w:hAnsi="Garamond" w:cs="Garamond"/>
        </w:rPr>
        <w:t xml:space="preserve"> </w:t>
      </w:r>
      <w:r w:rsidR="00D4344E">
        <w:rPr>
          <w:rFonts w:ascii="Garamond" w:eastAsia="Garamond" w:hAnsi="Garamond" w:cs="Garamond"/>
        </w:rPr>
        <w:t>from RCEW datasets, as well as modified soil-adjusted vegetation index (</w:t>
      </w:r>
      <w:bookmarkStart w:id="2" w:name="_GoBack"/>
      <w:bookmarkEnd w:id="2"/>
      <w:r w:rsidR="00D4344E" w:rsidRPr="00103AC2">
        <w:rPr>
          <w:rFonts w:ascii="Garamond" w:eastAsia="Garamond" w:hAnsi="Garamond" w:cs="Garamond"/>
          <w:noProof/>
        </w:rPr>
        <w:t>MSAVI-2)</w:t>
      </w:r>
      <w:r w:rsidR="00D4344E">
        <w:rPr>
          <w:rFonts w:ascii="Garamond" w:eastAsia="Garamond" w:hAnsi="Garamond" w:cs="Garamond"/>
        </w:rPr>
        <w:t xml:space="preserve"> derived from Landsat 8 </w:t>
      </w:r>
      <w:r w:rsidR="007C6C95">
        <w:rPr>
          <w:rFonts w:ascii="Garamond" w:eastAsia="Garamond" w:hAnsi="Garamond" w:cs="Garamond"/>
        </w:rPr>
        <w:t>Operational Land Imager (OLI)</w:t>
      </w:r>
      <w:r w:rsidR="00E06C03">
        <w:rPr>
          <w:rFonts w:ascii="Garamond" w:eastAsia="Garamond" w:hAnsi="Garamond" w:cs="Garamond"/>
        </w:rPr>
        <w:t xml:space="preserve"> </w:t>
      </w:r>
      <w:r w:rsidR="00D4344E">
        <w:rPr>
          <w:rFonts w:ascii="Garamond" w:eastAsia="Garamond" w:hAnsi="Garamond" w:cs="Garamond"/>
        </w:rPr>
        <w:t>imagery</w:t>
      </w:r>
      <w:r>
        <w:rPr>
          <w:rFonts w:ascii="Garamond" w:eastAsia="Garamond" w:hAnsi="Garamond" w:cs="Garamond"/>
        </w:rPr>
        <w:t xml:space="preserve">. </w:t>
      </w:r>
      <w:r w:rsidR="00D4344E">
        <w:rPr>
          <w:rFonts w:ascii="Garamond" w:eastAsia="Garamond" w:hAnsi="Garamond" w:cs="Garamond"/>
        </w:rPr>
        <w:t>Time-lagged cross-correlation</w:t>
      </w:r>
      <w:r>
        <w:rPr>
          <w:rFonts w:ascii="Garamond" w:eastAsia="Garamond" w:hAnsi="Garamond" w:cs="Garamond"/>
        </w:rPr>
        <w:t xml:space="preserve"> between the hydrologic variables </w:t>
      </w:r>
      <w:r w:rsidR="00FD5F5A">
        <w:rPr>
          <w:rFonts w:ascii="Garamond" w:eastAsia="Garamond" w:hAnsi="Garamond" w:cs="Garamond"/>
        </w:rPr>
        <w:t>was</w:t>
      </w:r>
      <w:r>
        <w:rPr>
          <w:rFonts w:ascii="Garamond" w:eastAsia="Garamond" w:hAnsi="Garamond" w:cs="Garamond"/>
        </w:rPr>
        <w:t xml:space="preserve"> produce</w:t>
      </w:r>
      <w:r w:rsidR="004C414B">
        <w:rPr>
          <w:rFonts w:ascii="Garamond" w:eastAsia="Garamond" w:hAnsi="Garamond" w:cs="Garamond"/>
        </w:rPr>
        <w:t>d</w:t>
      </w:r>
      <w:r>
        <w:rPr>
          <w:rFonts w:ascii="Garamond" w:eastAsia="Garamond" w:hAnsi="Garamond" w:cs="Garamond"/>
        </w:rPr>
        <w:t xml:space="preserve"> </w:t>
      </w:r>
      <w:r w:rsidR="00FD5F5A">
        <w:rPr>
          <w:rFonts w:ascii="Garamond" w:eastAsia="Garamond" w:hAnsi="Garamond" w:cs="Garamond"/>
        </w:rPr>
        <w:t xml:space="preserve">to create </w:t>
      </w:r>
      <w:r>
        <w:rPr>
          <w:rFonts w:ascii="Garamond" w:eastAsia="Garamond" w:hAnsi="Garamond" w:cs="Garamond"/>
        </w:rPr>
        <w:t>a more holistic view of water availability in Reynolds Creek. Final products include</w:t>
      </w:r>
      <w:r w:rsidR="00D4344E">
        <w:rPr>
          <w:rFonts w:ascii="Garamond" w:eastAsia="Garamond" w:hAnsi="Garamond" w:cs="Garamond"/>
        </w:rPr>
        <w:t>d</w:t>
      </w:r>
      <w:r>
        <w:rPr>
          <w:rFonts w:ascii="Garamond" w:eastAsia="Garamond" w:hAnsi="Garamond" w:cs="Garamond"/>
        </w:rPr>
        <w:t xml:space="preserve"> a handoff document comprise</w:t>
      </w:r>
      <w:r w:rsidR="004C414B">
        <w:rPr>
          <w:rFonts w:ascii="Garamond" w:eastAsia="Garamond" w:hAnsi="Garamond" w:cs="Garamond"/>
        </w:rPr>
        <w:t>d</w:t>
      </w:r>
      <w:r>
        <w:rPr>
          <w:rFonts w:ascii="Garamond" w:eastAsia="Garamond" w:hAnsi="Garamond" w:cs="Garamond"/>
        </w:rPr>
        <w:t xml:space="preserve"> of </w:t>
      </w:r>
      <w:r w:rsidR="004C414B">
        <w:rPr>
          <w:rFonts w:ascii="Garamond" w:eastAsia="Garamond" w:hAnsi="Garamond" w:cs="Garamond"/>
        </w:rPr>
        <w:t xml:space="preserve">the </w:t>
      </w:r>
      <w:r>
        <w:rPr>
          <w:rFonts w:ascii="Garamond" w:eastAsia="Garamond" w:hAnsi="Garamond" w:cs="Garamond"/>
        </w:rPr>
        <w:t>correlations between measured hydrologic variables and ET,</w:t>
      </w:r>
      <w:r w:rsidR="00D4344E">
        <w:rPr>
          <w:rFonts w:ascii="Garamond" w:eastAsia="Garamond" w:hAnsi="Garamond" w:cs="Garamond"/>
        </w:rPr>
        <w:t xml:space="preserve"> which project pa</w:t>
      </w:r>
      <w:r w:rsidR="00364E33">
        <w:rPr>
          <w:rFonts w:ascii="Garamond" w:eastAsia="Garamond" w:hAnsi="Garamond" w:cs="Garamond"/>
        </w:rPr>
        <w:t xml:space="preserve">rtners can use to </w:t>
      </w:r>
      <w:r w:rsidR="007C6C95">
        <w:rPr>
          <w:rFonts w:ascii="Garamond" w:eastAsia="Garamond" w:hAnsi="Garamond" w:cs="Garamond"/>
        </w:rPr>
        <w:t>select</w:t>
      </w:r>
      <w:r w:rsidR="00364E33">
        <w:rPr>
          <w:rFonts w:ascii="Garamond" w:eastAsia="Garamond" w:hAnsi="Garamond" w:cs="Garamond"/>
        </w:rPr>
        <w:t xml:space="preserve"> the </w:t>
      </w:r>
      <w:r w:rsidR="00D4344E">
        <w:rPr>
          <w:rFonts w:ascii="Garamond" w:eastAsia="Garamond" w:hAnsi="Garamond" w:cs="Garamond"/>
        </w:rPr>
        <w:t>ET model</w:t>
      </w:r>
      <w:r w:rsidR="00364E33">
        <w:rPr>
          <w:rFonts w:ascii="Garamond" w:eastAsia="Garamond" w:hAnsi="Garamond" w:cs="Garamond"/>
        </w:rPr>
        <w:t xml:space="preserve"> that </w:t>
      </w:r>
      <w:r w:rsidR="00364E33">
        <w:rPr>
          <w:rFonts w:ascii="Garamond" w:eastAsia="Garamond" w:hAnsi="Garamond" w:cs="Garamond"/>
        </w:rPr>
        <w:lastRenderedPageBreak/>
        <w:t>best fits their needs</w:t>
      </w:r>
      <w:r w:rsidR="00D4344E">
        <w:rPr>
          <w:rFonts w:ascii="Garamond" w:eastAsia="Garamond" w:hAnsi="Garamond" w:cs="Garamond"/>
        </w:rPr>
        <w:t xml:space="preserve">. Additionally, </w:t>
      </w:r>
      <w:r>
        <w:rPr>
          <w:rFonts w:ascii="Garamond" w:eastAsia="Garamond" w:hAnsi="Garamond" w:cs="Garamond"/>
        </w:rPr>
        <w:t xml:space="preserve">a video tutorial </w:t>
      </w:r>
      <w:r w:rsidR="00D4344E">
        <w:rPr>
          <w:rFonts w:ascii="Garamond" w:eastAsia="Garamond" w:hAnsi="Garamond" w:cs="Garamond"/>
        </w:rPr>
        <w:t xml:space="preserve">illustrating </w:t>
      </w:r>
      <w:r>
        <w:rPr>
          <w:rFonts w:ascii="Garamond" w:eastAsia="Garamond" w:hAnsi="Garamond" w:cs="Garamond"/>
        </w:rPr>
        <w:t>the methodologies used in assessing ET models within the region</w:t>
      </w:r>
      <w:r w:rsidR="00D4344E">
        <w:rPr>
          <w:rFonts w:ascii="Garamond" w:eastAsia="Garamond" w:hAnsi="Garamond" w:cs="Garamond"/>
        </w:rPr>
        <w:t xml:space="preserve"> was produced to help partners replicate </w:t>
      </w:r>
      <w:r w:rsidR="00E06C03">
        <w:rPr>
          <w:rFonts w:ascii="Garamond" w:eastAsia="Garamond" w:hAnsi="Garamond" w:cs="Garamond"/>
        </w:rPr>
        <w:t>the methodologies</w:t>
      </w:r>
      <w:r>
        <w:rPr>
          <w:rFonts w:ascii="Garamond" w:eastAsia="Garamond" w:hAnsi="Garamond" w:cs="Garamond"/>
        </w:rPr>
        <w:t xml:space="preserve">. </w:t>
      </w:r>
    </w:p>
    <w:p w14:paraId="423490BB" w14:textId="3D26C5C2" w:rsidR="0012258B" w:rsidRDefault="004F7961" w:rsidP="00103AC2">
      <w:pPr>
        <w:pStyle w:val="Heading1"/>
      </w:pPr>
      <w:bookmarkStart w:id="3" w:name="_1fob9te" w:colFirst="0" w:colLast="0"/>
      <w:bookmarkEnd w:id="3"/>
      <w:r>
        <w:rPr>
          <w:rFonts w:ascii="Garamond" w:eastAsia="Garamond" w:hAnsi="Garamond" w:cs="Garamond"/>
        </w:rPr>
        <w:t>3. Methodology</w:t>
      </w:r>
    </w:p>
    <w:p w14:paraId="75A12488" w14:textId="1B4E9873" w:rsidR="0012258B" w:rsidRDefault="004F7961">
      <w:pPr>
        <w:spacing w:after="0" w:line="240" w:lineRule="auto"/>
        <w:rPr>
          <w:rFonts w:ascii="Garamond" w:eastAsia="Garamond" w:hAnsi="Garamond" w:cs="Garamond"/>
        </w:rPr>
      </w:pPr>
      <w:r>
        <w:rPr>
          <w:rFonts w:ascii="Garamond" w:eastAsia="Garamond" w:hAnsi="Garamond" w:cs="Garamond"/>
          <w:b/>
          <w:i/>
        </w:rPr>
        <w:t xml:space="preserve">3.1 Data Acquisition </w:t>
      </w:r>
    </w:p>
    <w:p w14:paraId="53EB6AE4" w14:textId="3A32B18C" w:rsidR="0034738D" w:rsidRDefault="00FD5BE3" w:rsidP="0034738D">
      <w:pPr>
        <w:spacing w:after="0" w:line="240" w:lineRule="auto"/>
        <w:rPr>
          <w:rFonts w:ascii="Garamond" w:eastAsia="Garamond" w:hAnsi="Garamond" w:cs="Garamond"/>
        </w:rPr>
      </w:pPr>
      <w:r>
        <w:rPr>
          <w:rFonts w:ascii="Garamond" w:eastAsia="Garamond" w:hAnsi="Garamond" w:cs="Garamond"/>
        </w:rPr>
        <w:t xml:space="preserve">The team </w:t>
      </w:r>
      <w:r w:rsidR="00EF51CE">
        <w:rPr>
          <w:rFonts w:ascii="Garamond" w:eastAsia="Garamond" w:hAnsi="Garamond" w:cs="Garamond"/>
        </w:rPr>
        <w:t>analyzed</w:t>
      </w:r>
      <w:r>
        <w:rPr>
          <w:rFonts w:ascii="Garamond" w:eastAsia="Garamond" w:hAnsi="Garamond" w:cs="Garamond"/>
        </w:rPr>
        <w:t xml:space="preserve"> </w:t>
      </w:r>
      <w:r w:rsidR="00EF51CE">
        <w:rPr>
          <w:rFonts w:ascii="Garamond" w:eastAsia="Garamond" w:hAnsi="Garamond" w:cs="Garamond"/>
        </w:rPr>
        <w:t xml:space="preserve">data from </w:t>
      </w:r>
      <w:r w:rsidR="00D57959">
        <w:rPr>
          <w:rFonts w:ascii="Garamond" w:eastAsia="Garamond" w:hAnsi="Garamond" w:cs="Garamond"/>
        </w:rPr>
        <w:t xml:space="preserve">four preprocessed </w:t>
      </w:r>
      <w:r w:rsidR="00364E33">
        <w:rPr>
          <w:rFonts w:ascii="Garamond" w:eastAsia="Garamond" w:hAnsi="Garamond" w:cs="Garamond"/>
        </w:rPr>
        <w:t xml:space="preserve">remotely sensed </w:t>
      </w:r>
      <w:r w:rsidR="00D57959">
        <w:rPr>
          <w:rFonts w:ascii="Garamond" w:eastAsia="Garamond" w:hAnsi="Garamond" w:cs="Garamond"/>
        </w:rPr>
        <w:t>E</w:t>
      </w:r>
      <w:r>
        <w:rPr>
          <w:rFonts w:ascii="Garamond" w:eastAsia="Garamond" w:hAnsi="Garamond" w:cs="Garamond"/>
        </w:rPr>
        <w:t xml:space="preserve">T </w:t>
      </w:r>
      <w:r w:rsidR="00EF51CE">
        <w:rPr>
          <w:rFonts w:ascii="Garamond" w:eastAsia="Garamond" w:hAnsi="Garamond" w:cs="Garamond"/>
        </w:rPr>
        <w:t xml:space="preserve">models </w:t>
      </w:r>
      <w:r w:rsidR="0034738D">
        <w:rPr>
          <w:rFonts w:ascii="Garamond" w:eastAsia="Garamond" w:hAnsi="Garamond" w:cs="Garamond"/>
        </w:rPr>
        <w:t xml:space="preserve">for the study period </w:t>
      </w:r>
      <w:r w:rsidR="00103AC2">
        <w:rPr>
          <w:rFonts w:ascii="Garamond" w:eastAsia="Garamond" w:hAnsi="Garamond" w:cs="Garamond"/>
          <w:noProof/>
        </w:rPr>
        <w:t>from</w:t>
      </w:r>
      <w:r w:rsidR="0034738D">
        <w:rPr>
          <w:rFonts w:ascii="Garamond" w:eastAsia="Garamond" w:hAnsi="Garamond" w:cs="Garamond"/>
        </w:rPr>
        <w:t xml:space="preserve"> 2015 to 2017</w:t>
      </w:r>
      <w:r w:rsidR="00EF51CE">
        <w:rPr>
          <w:rFonts w:ascii="Garamond" w:eastAsia="Garamond" w:hAnsi="Garamond" w:cs="Garamond"/>
        </w:rPr>
        <w:t>.</w:t>
      </w:r>
      <w:r w:rsidR="0034738D">
        <w:rPr>
          <w:rFonts w:ascii="Garamond" w:eastAsia="Garamond" w:hAnsi="Garamond" w:cs="Garamond"/>
        </w:rPr>
        <w:t xml:space="preserve"> These ET </w:t>
      </w:r>
      <w:r w:rsidR="00D57959">
        <w:rPr>
          <w:rFonts w:ascii="Garamond" w:eastAsia="Garamond" w:hAnsi="Garamond" w:cs="Garamond"/>
        </w:rPr>
        <w:t>products</w:t>
      </w:r>
      <w:r w:rsidR="0034738D">
        <w:rPr>
          <w:rFonts w:ascii="Garamond" w:eastAsia="Garamond" w:hAnsi="Garamond" w:cs="Garamond"/>
        </w:rPr>
        <w:t xml:space="preserve"> were produced</w:t>
      </w:r>
      <w:r w:rsidR="00D54E5B">
        <w:rPr>
          <w:rFonts w:ascii="Garamond" w:eastAsia="Garamond" w:hAnsi="Garamond" w:cs="Garamond"/>
        </w:rPr>
        <w:t xml:space="preserve"> </w:t>
      </w:r>
      <w:r w:rsidR="0034738D">
        <w:rPr>
          <w:rFonts w:ascii="Garamond" w:eastAsia="Garamond" w:hAnsi="Garamond" w:cs="Garamond"/>
        </w:rPr>
        <w:t>with various data</w:t>
      </w:r>
      <w:r w:rsidR="00D54E5B">
        <w:rPr>
          <w:rFonts w:ascii="Garamond" w:eastAsia="Garamond" w:hAnsi="Garamond" w:cs="Garamond"/>
        </w:rPr>
        <w:t xml:space="preserve"> </w:t>
      </w:r>
      <w:r w:rsidR="00EF51CE">
        <w:rPr>
          <w:rFonts w:ascii="Garamond" w:eastAsia="Garamond" w:hAnsi="Garamond" w:cs="Garamond"/>
        </w:rPr>
        <w:t>from the</w:t>
      </w:r>
      <w:r w:rsidR="00D54E5B">
        <w:rPr>
          <w:rFonts w:ascii="Garamond" w:eastAsia="Garamond" w:hAnsi="Garamond" w:cs="Garamond"/>
        </w:rPr>
        <w:t xml:space="preserve"> Aqua</w:t>
      </w:r>
      <w:r w:rsidR="00364E33">
        <w:rPr>
          <w:rFonts w:ascii="Garamond" w:eastAsia="Garamond" w:hAnsi="Garamond" w:cs="Garamond"/>
        </w:rPr>
        <w:t xml:space="preserve"> MODIS</w:t>
      </w:r>
      <w:r w:rsidR="00D54E5B">
        <w:rPr>
          <w:rFonts w:ascii="Garamond" w:eastAsia="Garamond" w:hAnsi="Garamond" w:cs="Garamond"/>
        </w:rPr>
        <w:t>, Terra</w:t>
      </w:r>
      <w:r w:rsidR="00364E33">
        <w:rPr>
          <w:rFonts w:ascii="Garamond" w:eastAsia="Garamond" w:hAnsi="Garamond" w:cs="Garamond"/>
        </w:rPr>
        <w:t xml:space="preserve"> MODIS,</w:t>
      </w:r>
      <w:r w:rsidR="003767FF">
        <w:rPr>
          <w:rFonts w:ascii="Garamond" w:eastAsia="Garamond" w:hAnsi="Garamond" w:cs="Garamond"/>
        </w:rPr>
        <w:t xml:space="preserve"> Terra ASTER,</w:t>
      </w:r>
      <w:r w:rsidR="00865AFF">
        <w:rPr>
          <w:rFonts w:ascii="Garamond" w:eastAsia="Garamond" w:hAnsi="Garamond" w:cs="Garamond"/>
        </w:rPr>
        <w:t xml:space="preserve"> </w:t>
      </w:r>
      <w:r w:rsidR="00D54E5B">
        <w:rPr>
          <w:rFonts w:ascii="Garamond" w:eastAsia="Garamond" w:hAnsi="Garamond" w:cs="Garamond"/>
        </w:rPr>
        <w:t xml:space="preserve">Landsat </w:t>
      </w:r>
      <w:r w:rsidR="00865AFF">
        <w:rPr>
          <w:rFonts w:ascii="Garamond" w:eastAsia="Garamond" w:hAnsi="Garamond" w:cs="Garamond"/>
        </w:rPr>
        <w:t>7</w:t>
      </w:r>
      <w:r w:rsidR="003767FF">
        <w:rPr>
          <w:rFonts w:ascii="Garamond" w:eastAsia="Garamond" w:hAnsi="Garamond" w:cs="Garamond"/>
        </w:rPr>
        <w:t xml:space="preserve"> Enhanced Thematic Mapper Plus (ETM+),</w:t>
      </w:r>
      <w:r w:rsidR="00865AFF">
        <w:rPr>
          <w:rFonts w:ascii="Garamond" w:eastAsia="Garamond" w:hAnsi="Garamond" w:cs="Garamond"/>
        </w:rPr>
        <w:t xml:space="preserve"> </w:t>
      </w:r>
      <w:r w:rsidR="003767FF">
        <w:rPr>
          <w:rFonts w:ascii="Garamond" w:eastAsia="Garamond" w:hAnsi="Garamond" w:cs="Garamond"/>
        </w:rPr>
        <w:t xml:space="preserve">Landsat </w:t>
      </w:r>
      <w:r w:rsidR="00D54E5B">
        <w:rPr>
          <w:rFonts w:ascii="Garamond" w:eastAsia="Garamond" w:hAnsi="Garamond" w:cs="Garamond"/>
        </w:rPr>
        <w:t>8</w:t>
      </w:r>
      <w:r w:rsidR="007C6C95">
        <w:rPr>
          <w:rFonts w:ascii="Garamond" w:eastAsia="Garamond" w:hAnsi="Garamond" w:cs="Garamond"/>
        </w:rPr>
        <w:t xml:space="preserve"> OLI</w:t>
      </w:r>
      <w:r w:rsidR="003767FF">
        <w:rPr>
          <w:rFonts w:ascii="Garamond" w:eastAsia="Garamond" w:hAnsi="Garamond" w:cs="Garamond"/>
        </w:rPr>
        <w:t>, and Landsat 8 Thermal Infrared Sensor (TIRS)</w:t>
      </w:r>
      <w:r w:rsidR="00D54E5B">
        <w:rPr>
          <w:rFonts w:ascii="Garamond" w:eastAsia="Garamond" w:hAnsi="Garamond" w:cs="Garamond"/>
        </w:rPr>
        <w:t>.</w:t>
      </w:r>
      <w:r w:rsidR="0034738D">
        <w:rPr>
          <w:rFonts w:ascii="Garamond" w:eastAsia="Garamond" w:hAnsi="Garamond" w:cs="Garamond"/>
        </w:rPr>
        <w:t xml:space="preserve"> </w:t>
      </w:r>
      <w:r w:rsidR="00D57959">
        <w:rPr>
          <w:rFonts w:ascii="Garamond" w:eastAsia="Garamond" w:hAnsi="Garamond" w:cs="Garamond"/>
        </w:rPr>
        <w:t xml:space="preserve">First, SSEBop ET estimates were acquired from the </w:t>
      </w:r>
      <w:r w:rsidR="003767FF">
        <w:rPr>
          <w:rFonts w:ascii="Garamond" w:eastAsia="Garamond" w:hAnsi="Garamond" w:cs="Garamond"/>
        </w:rPr>
        <w:t>United States</w:t>
      </w:r>
      <w:r w:rsidR="00C74A45">
        <w:rPr>
          <w:rFonts w:ascii="Garamond" w:eastAsia="Garamond" w:hAnsi="Garamond" w:cs="Garamond"/>
        </w:rPr>
        <w:t xml:space="preserve"> Geological Survey</w:t>
      </w:r>
      <w:r w:rsidR="007C6C95">
        <w:rPr>
          <w:rFonts w:ascii="Garamond" w:eastAsia="Garamond" w:hAnsi="Garamond" w:cs="Garamond"/>
        </w:rPr>
        <w:t xml:space="preserve"> (USGS)</w:t>
      </w:r>
      <w:r w:rsidR="00D57959">
        <w:rPr>
          <w:rFonts w:ascii="Garamond" w:eastAsia="Garamond" w:hAnsi="Garamond" w:cs="Garamond"/>
        </w:rPr>
        <w:t xml:space="preserve"> via the GEE Climate Engine</w:t>
      </w:r>
      <w:r w:rsidR="00F42DD1">
        <w:rPr>
          <w:rFonts w:ascii="Garamond" w:eastAsia="Garamond" w:hAnsi="Garamond" w:cs="Garamond"/>
        </w:rPr>
        <w:t xml:space="preserve"> (</w:t>
      </w:r>
      <w:r w:rsidR="00F42DD1" w:rsidRPr="008573E9">
        <w:rPr>
          <w:rFonts w:ascii="Garamond" w:eastAsia="Garamond" w:hAnsi="Garamond" w:cs="Garamond"/>
        </w:rPr>
        <w:t>app.climateengine.org</w:t>
      </w:r>
      <w:r w:rsidR="00F42DD1">
        <w:rPr>
          <w:rFonts w:ascii="Garamond" w:eastAsia="Garamond" w:hAnsi="Garamond" w:cs="Garamond"/>
        </w:rPr>
        <w:t>)</w:t>
      </w:r>
      <w:r w:rsidR="00D57959">
        <w:rPr>
          <w:rFonts w:ascii="Garamond" w:eastAsia="Garamond" w:hAnsi="Garamond" w:cs="Garamond"/>
        </w:rPr>
        <w:t xml:space="preserve">, whose product is derived from Aqua </w:t>
      </w:r>
      <w:r w:rsidR="007C6C95">
        <w:rPr>
          <w:rFonts w:ascii="Garamond" w:eastAsia="Garamond" w:hAnsi="Garamond" w:cs="Garamond"/>
        </w:rPr>
        <w:t>MODIS</w:t>
      </w:r>
      <w:r w:rsidR="00D57959">
        <w:rPr>
          <w:rFonts w:ascii="Garamond" w:eastAsia="Garamond" w:hAnsi="Garamond" w:cs="Garamond"/>
        </w:rPr>
        <w:t xml:space="preserve"> data (</w:t>
      </w:r>
      <w:r w:rsidR="00D57959" w:rsidRPr="00C74A45">
        <w:rPr>
          <w:rFonts w:ascii="Garamond" w:eastAsia="Garamond" w:hAnsi="Garamond" w:cs="Garamond"/>
        </w:rPr>
        <w:t>MYD16A2: MODIS/Aqua Net Evapotranspiration 8-Da</w:t>
      </w:r>
      <w:r w:rsidR="003767FF">
        <w:rPr>
          <w:rFonts w:ascii="Garamond" w:eastAsia="Garamond" w:hAnsi="Garamond" w:cs="Garamond"/>
        </w:rPr>
        <w:t>y L4 Global 500 m SIN Grid V006;</w:t>
      </w:r>
      <w:r w:rsidR="003767FF">
        <w:rPr>
          <w:rFonts w:ascii="Garamond" w:eastAsia="Garamond" w:hAnsi="Garamond" w:cs="Garamond"/>
          <w:highlight w:val="white"/>
        </w:rPr>
        <w:t xml:space="preserve"> R</w:t>
      </w:r>
      <w:r w:rsidR="00D57959">
        <w:rPr>
          <w:rFonts w:ascii="Garamond" w:eastAsia="Garamond" w:hAnsi="Garamond" w:cs="Garamond"/>
          <w:highlight w:val="white"/>
        </w:rPr>
        <w:t>unning, Mu, &amp; Zhao, 2017). Second, MOD16</w:t>
      </w:r>
      <w:r w:rsidR="00F42DD1">
        <w:rPr>
          <w:rFonts w:ascii="Garamond" w:eastAsia="Garamond" w:hAnsi="Garamond" w:cs="Garamond"/>
          <w:highlight w:val="white"/>
        </w:rPr>
        <w:t xml:space="preserve"> ET was acquired from Google Earth Engine (</w:t>
      </w:r>
      <w:r w:rsidR="00F42DD1" w:rsidRPr="00F42DD1">
        <w:rPr>
          <w:rFonts w:ascii="Garamond" w:eastAsia="Garamond" w:hAnsi="Garamond" w:cs="Garamond"/>
        </w:rPr>
        <w:t>MOD16A2: MODIS/Terra Net Evapotranspiration 8-Day L4 Global 500 m SIN Grid V006</w:t>
      </w:r>
      <w:r w:rsidR="003767FF">
        <w:rPr>
          <w:rFonts w:ascii="Garamond" w:eastAsia="Garamond" w:hAnsi="Garamond" w:cs="Garamond"/>
        </w:rPr>
        <w:t xml:space="preserve">; </w:t>
      </w:r>
      <w:r w:rsidR="00F42DD1">
        <w:rPr>
          <w:rFonts w:ascii="Garamond" w:eastAsia="Garamond" w:hAnsi="Garamond" w:cs="Garamond"/>
          <w:highlight w:val="white"/>
        </w:rPr>
        <w:t xml:space="preserve">Running, Mu, &amp; Zhao, 2017). </w:t>
      </w:r>
      <w:r w:rsidR="00D57959">
        <w:rPr>
          <w:rFonts w:ascii="Garamond" w:eastAsia="Garamond" w:hAnsi="Garamond" w:cs="Garamond"/>
          <w:highlight w:val="white"/>
        </w:rPr>
        <w:t xml:space="preserve">Third, </w:t>
      </w:r>
      <w:r w:rsidR="00D57959">
        <w:rPr>
          <w:rFonts w:ascii="Garamond" w:eastAsia="Garamond" w:hAnsi="Garamond" w:cs="Garamond"/>
        </w:rPr>
        <w:t>NLDAS-2 Noah Actual ET data was acquired through NASA Giovanni (</w:t>
      </w:r>
      <w:r w:rsidR="0034738D" w:rsidRPr="00C5278C">
        <w:rPr>
          <w:rFonts w:ascii="Garamond" w:eastAsia="Garamond" w:hAnsi="Garamond" w:cs="Garamond"/>
        </w:rPr>
        <w:t>Noah Land Surface Model L4 Hourly 0.125 x 0.125 degree V002</w:t>
      </w:r>
      <w:r w:rsidR="003767FF">
        <w:rPr>
          <w:rFonts w:ascii="Garamond" w:eastAsia="Garamond" w:hAnsi="Garamond" w:cs="Garamond"/>
        </w:rPr>
        <w:t xml:space="preserve">; </w:t>
      </w:r>
      <w:r w:rsidR="0034738D">
        <w:rPr>
          <w:rFonts w:ascii="Garamond" w:eastAsia="Garamond" w:hAnsi="Garamond" w:cs="Garamond"/>
        </w:rPr>
        <w:t>Mocko, D., 2012; Xia et. al., 2012)</w:t>
      </w:r>
      <w:r w:rsidR="00D57959">
        <w:rPr>
          <w:rFonts w:ascii="Garamond" w:eastAsia="Garamond" w:hAnsi="Garamond" w:cs="Garamond"/>
        </w:rPr>
        <w:t xml:space="preserve">. </w:t>
      </w:r>
      <w:r w:rsidR="00F42DD1">
        <w:rPr>
          <w:rFonts w:ascii="Garamond" w:eastAsia="Garamond" w:hAnsi="Garamond" w:cs="Garamond"/>
        </w:rPr>
        <w:t>Last, METRIC ET was acquired from the EEFlux app (</w:t>
      </w:r>
      <w:r w:rsidR="003767FF">
        <w:rPr>
          <w:rFonts w:ascii="Garamond" w:eastAsia="Garamond" w:hAnsi="Garamond" w:cs="Garamond"/>
        </w:rPr>
        <w:t xml:space="preserve">eeflux-level1.appspot.com; </w:t>
      </w:r>
      <w:r w:rsidR="00F42DD1">
        <w:rPr>
          <w:rFonts w:ascii="Garamond" w:eastAsia="Garamond" w:hAnsi="Garamond" w:cs="Garamond"/>
        </w:rPr>
        <w:t xml:space="preserve">Irmak et al., 2012; Allen, Masahiro, &amp; Trezza, 2007; and </w:t>
      </w:r>
      <w:r w:rsidR="00F42DD1" w:rsidRPr="00377D28">
        <w:rPr>
          <w:rFonts w:ascii="Garamond" w:eastAsia="Garamond" w:hAnsi="Garamond" w:cs="Garamond"/>
        </w:rPr>
        <w:t>Univ. of Nebraska et al.,</w:t>
      </w:r>
      <w:r w:rsidR="00F42DD1">
        <w:rPr>
          <w:rFonts w:ascii="Garamond" w:eastAsia="Garamond" w:hAnsi="Garamond" w:cs="Garamond"/>
        </w:rPr>
        <w:t xml:space="preserve"> 2018)</w:t>
      </w:r>
      <w:r w:rsidR="00DF6D62">
        <w:rPr>
          <w:rFonts w:ascii="Garamond" w:eastAsia="Garamond" w:hAnsi="Garamond" w:cs="Garamond"/>
        </w:rPr>
        <w:t>.</w:t>
      </w:r>
    </w:p>
    <w:p w14:paraId="75A3ABB8" w14:textId="2739103A" w:rsidR="00D57959" w:rsidRDefault="00D57959" w:rsidP="008573E9">
      <w:pPr>
        <w:spacing w:after="0" w:line="240" w:lineRule="auto"/>
        <w:rPr>
          <w:rFonts w:ascii="Garamond" w:eastAsia="Garamond" w:hAnsi="Garamond" w:cs="Garamond"/>
        </w:rPr>
      </w:pPr>
    </w:p>
    <w:p w14:paraId="5AE9300D" w14:textId="4FC3857D" w:rsidR="007C6C95" w:rsidRDefault="00DF6D62" w:rsidP="00DF6D62">
      <w:pPr>
        <w:spacing w:after="0" w:line="240" w:lineRule="auto"/>
        <w:rPr>
          <w:rFonts w:ascii="Garamond" w:eastAsia="Garamond" w:hAnsi="Garamond" w:cs="Garamond"/>
        </w:rPr>
      </w:pPr>
      <w:r>
        <w:rPr>
          <w:rFonts w:ascii="Garamond" w:eastAsia="Garamond" w:hAnsi="Garamond" w:cs="Garamond"/>
        </w:rPr>
        <w:t>In addition to modeled ET data, vegetation health maps</w:t>
      </w:r>
      <w:r w:rsidR="00A56112">
        <w:rPr>
          <w:rFonts w:ascii="Garamond" w:eastAsia="Garamond" w:hAnsi="Garamond" w:cs="Garamond"/>
        </w:rPr>
        <w:t>, elevation,</w:t>
      </w:r>
      <w:r>
        <w:rPr>
          <w:rFonts w:ascii="Garamond" w:eastAsia="Garamond" w:hAnsi="Garamond" w:cs="Garamond"/>
        </w:rPr>
        <w:t xml:space="preserve"> and </w:t>
      </w:r>
      <w:r>
        <w:rPr>
          <w:rFonts w:ascii="Garamond" w:eastAsia="Garamond" w:hAnsi="Garamond" w:cs="Garamond"/>
          <w:i/>
        </w:rPr>
        <w:t>in</w:t>
      </w:r>
      <w:r>
        <w:rPr>
          <w:rFonts w:ascii="Garamond" w:eastAsia="Garamond" w:hAnsi="Garamond" w:cs="Garamond"/>
        </w:rPr>
        <w:t xml:space="preserve"> </w:t>
      </w:r>
      <w:r>
        <w:rPr>
          <w:rFonts w:ascii="Garamond" w:eastAsia="Garamond" w:hAnsi="Garamond" w:cs="Garamond"/>
          <w:i/>
        </w:rPr>
        <w:t>situ</w:t>
      </w:r>
      <w:r>
        <w:rPr>
          <w:rFonts w:ascii="Garamond" w:eastAsia="Garamond" w:hAnsi="Garamond" w:cs="Garamond"/>
        </w:rPr>
        <w:t xml:space="preserve"> precipitation, soil moisture, and</w:t>
      </w:r>
      <w:r w:rsidR="00A56112">
        <w:rPr>
          <w:rFonts w:ascii="Garamond" w:eastAsia="Garamond" w:hAnsi="Garamond" w:cs="Garamond"/>
        </w:rPr>
        <w:t xml:space="preserve"> </w:t>
      </w:r>
      <w:r>
        <w:rPr>
          <w:rFonts w:ascii="Garamond" w:eastAsia="Garamond" w:hAnsi="Garamond" w:cs="Garamond"/>
        </w:rPr>
        <w:t xml:space="preserve">evapotranspiration data were acquired. MSAVI-2 vegetation </w:t>
      </w:r>
      <w:r w:rsidR="00835D5E">
        <w:rPr>
          <w:rFonts w:ascii="Garamond" w:eastAsia="Garamond" w:hAnsi="Garamond" w:cs="Garamond"/>
        </w:rPr>
        <w:t xml:space="preserve">index </w:t>
      </w:r>
      <w:r w:rsidR="00A56112">
        <w:rPr>
          <w:rFonts w:ascii="Garamond" w:eastAsia="Garamond" w:hAnsi="Garamond" w:cs="Garamond"/>
        </w:rPr>
        <w:t>maps</w:t>
      </w:r>
      <w:r>
        <w:rPr>
          <w:rFonts w:ascii="Garamond" w:eastAsia="Garamond" w:hAnsi="Garamond" w:cs="Garamond"/>
        </w:rPr>
        <w:t xml:space="preserve"> were produced with </w:t>
      </w:r>
      <w:r w:rsidR="000C7D62">
        <w:rPr>
          <w:rFonts w:ascii="Garamond" w:eastAsia="Garamond" w:hAnsi="Garamond" w:cs="Garamond"/>
        </w:rPr>
        <w:t xml:space="preserve">the </w:t>
      </w:r>
      <w:r>
        <w:rPr>
          <w:rFonts w:ascii="Garamond" w:eastAsia="Garamond" w:hAnsi="Garamond" w:cs="Garamond"/>
        </w:rPr>
        <w:t xml:space="preserve">red and near-infrared bands of the </w:t>
      </w:r>
      <w:r w:rsidR="00582530" w:rsidRPr="00582530">
        <w:rPr>
          <w:rFonts w:ascii="Garamond" w:eastAsia="Garamond" w:hAnsi="Garamond" w:cs="Garamond"/>
        </w:rPr>
        <w:t xml:space="preserve">Landsat 8 </w:t>
      </w:r>
      <w:r w:rsidR="007C6C95">
        <w:rPr>
          <w:rFonts w:ascii="Garamond" w:eastAsia="Garamond" w:hAnsi="Garamond" w:cs="Garamond"/>
        </w:rPr>
        <w:t>OLI and Landsat 8 TIRS</w:t>
      </w:r>
      <w:r w:rsidR="00582530" w:rsidRPr="00582530">
        <w:rPr>
          <w:rFonts w:ascii="Garamond" w:eastAsia="Garamond" w:hAnsi="Garamond" w:cs="Garamond"/>
        </w:rPr>
        <w:t xml:space="preserve"> Collection 1 V1</w:t>
      </w:r>
      <w:r w:rsidR="00582530">
        <w:rPr>
          <w:rFonts w:ascii="Garamond" w:eastAsia="Garamond" w:hAnsi="Garamond" w:cs="Garamond"/>
        </w:rPr>
        <w:t xml:space="preserve">. </w:t>
      </w:r>
      <w:r w:rsidR="00665B19" w:rsidRPr="00665B19">
        <w:rPr>
          <w:rFonts w:ascii="Garamond" w:eastAsia="Garamond" w:hAnsi="Garamond" w:cs="Garamond"/>
        </w:rPr>
        <w:t>Digital elevation models (DEM) were acquired from the USGS National Elevation Dataset (NED)</w:t>
      </w:r>
      <w:r w:rsidR="00BF6C76">
        <w:rPr>
          <w:rFonts w:ascii="Garamond" w:eastAsia="Garamond" w:hAnsi="Garamond" w:cs="Garamond"/>
        </w:rPr>
        <w:t>.</w:t>
      </w:r>
      <w:r w:rsidR="00835D5E">
        <w:rPr>
          <w:rFonts w:ascii="Garamond" w:eastAsia="Garamond" w:hAnsi="Garamond" w:cs="Garamond"/>
        </w:rPr>
        <w:t xml:space="preserve"> MSAVI-2 is calculated using the following equation:</w:t>
      </w:r>
    </w:p>
    <w:p w14:paraId="6C600590" w14:textId="3B2AD8AB" w:rsidR="00835D5E" w:rsidRDefault="00835D5E" w:rsidP="00DF6D62">
      <w:pPr>
        <w:spacing w:after="0" w:line="240" w:lineRule="auto"/>
        <w:rPr>
          <w:rFonts w:ascii="Garamond" w:eastAsia="Garamond" w:hAnsi="Garamond" w:cs="Garamond"/>
        </w:rPr>
      </w:pPr>
    </w:p>
    <w:p w14:paraId="1F2DBD9E" w14:textId="0F0E3A3F" w:rsidR="00835D5E" w:rsidRPr="000C7D62" w:rsidRDefault="000C7D62" w:rsidP="00DF6D62">
      <w:pPr>
        <w:spacing w:after="0" w:line="240" w:lineRule="auto"/>
        <w:rPr>
          <w:rFonts w:ascii="Garamond" w:eastAsia="Garamond" w:hAnsi="Garamond" w:cs="Garamond"/>
        </w:rPr>
      </w:pPr>
      <m:oMathPara>
        <m:oMath>
          <m:r>
            <m:rPr>
              <m:nor/>
            </m:rPr>
            <w:rPr>
              <w:rFonts w:ascii="Garamond" w:eastAsia="Garamond" w:hAnsi="Garamond" w:cs="Garamond"/>
            </w:rPr>
            <m:t>MSAVI-2=</m:t>
          </m:r>
          <m:f>
            <m:fPr>
              <m:ctrlPr>
                <w:rPr>
                  <w:rFonts w:ascii="Cambria Math" w:eastAsia="Garamond" w:hAnsi="Cambria Math" w:cs="Garamond"/>
                  <w:i/>
                </w:rPr>
              </m:ctrlPr>
            </m:fPr>
            <m:num>
              <m:r>
                <m:rPr>
                  <m:nor/>
                </m:rPr>
                <w:rPr>
                  <w:rFonts w:ascii="Garamond" w:eastAsia="Garamond" w:hAnsi="Garamond" w:cs="Garamond"/>
                </w:rPr>
                <m:t>(2*NIR+1-</m:t>
              </m:r>
              <m:r>
                <w:rPr>
                  <w:rFonts w:ascii="Cambria Math" w:eastAsia="Garamond" w:hAnsi="Cambria Math" w:cs="Garamond"/>
                </w:rPr>
                <m:t xml:space="preserve"> </m:t>
              </m:r>
              <m:rad>
                <m:radPr>
                  <m:degHide m:val="1"/>
                  <m:ctrlPr>
                    <w:rPr>
                      <w:rFonts w:ascii="Cambria Math" w:eastAsia="Garamond" w:hAnsi="Cambria Math" w:cs="Garamond"/>
                      <w:i/>
                    </w:rPr>
                  </m:ctrlPr>
                </m:radPr>
                <m:deg/>
                <m:e>
                  <m:sSup>
                    <m:sSupPr>
                      <m:ctrlPr>
                        <w:rPr>
                          <w:rFonts w:ascii="Cambria Math" w:eastAsia="Garamond" w:hAnsi="Cambria Math" w:cs="Garamond"/>
                          <w:i/>
                        </w:rPr>
                      </m:ctrlPr>
                    </m:sSupPr>
                    <m:e>
                      <m:d>
                        <m:dPr>
                          <m:ctrlPr>
                            <w:rPr>
                              <w:rFonts w:ascii="Cambria Math" w:eastAsia="Garamond" w:hAnsi="Cambria Math" w:cs="Garamond"/>
                              <w:i/>
                            </w:rPr>
                          </m:ctrlPr>
                        </m:dPr>
                        <m:e>
                          <m:r>
                            <m:rPr>
                              <m:nor/>
                            </m:rPr>
                            <w:rPr>
                              <w:rFonts w:ascii="Garamond" w:eastAsia="Garamond" w:hAnsi="Garamond" w:cs="Garamond"/>
                            </w:rPr>
                            <m:t>2*NIR+1</m:t>
                          </m:r>
                        </m:e>
                      </m:d>
                    </m:e>
                    <m:sup>
                      <m:r>
                        <m:rPr>
                          <m:nor/>
                        </m:rPr>
                        <w:rPr>
                          <w:rFonts w:ascii="Garamond" w:eastAsia="Garamond" w:hAnsi="Garamond" w:cs="Garamond"/>
                        </w:rPr>
                        <m:t>2</m:t>
                      </m:r>
                    </m:sup>
                  </m:sSup>
                  <m:r>
                    <m:rPr>
                      <m:nor/>
                    </m:rPr>
                    <w:rPr>
                      <w:rFonts w:ascii="Garamond" w:eastAsia="Garamond" w:hAnsi="Garamond" w:cs="Garamond"/>
                    </w:rPr>
                    <m:t>-8*</m:t>
                  </m:r>
                  <m:d>
                    <m:dPr>
                      <m:ctrlPr>
                        <w:rPr>
                          <w:rFonts w:ascii="Cambria Math" w:eastAsia="Garamond" w:hAnsi="Cambria Math" w:cs="Garamond"/>
                          <w:i/>
                        </w:rPr>
                      </m:ctrlPr>
                    </m:dPr>
                    <m:e>
                      <m:r>
                        <m:rPr>
                          <m:nor/>
                        </m:rPr>
                        <w:rPr>
                          <w:rFonts w:ascii="Garamond" w:eastAsia="Garamond" w:hAnsi="Garamond" w:cs="Garamond"/>
                        </w:rPr>
                        <m:t>NIR-RED</m:t>
                      </m:r>
                    </m:e>
                  </m:d>
                </m:e>
              </m:rad>
              <m:r>
                <m:rPr>
                  <m:nor/>
                </m:rPr>
                <w:rPr>
                  <w:rFonts w:ascii="Garamond" w:eastAsia="Garamond" w:hAnsi="Garamond" w:cs="Garamond"/>
                </w:rPr>
                <m:t>)</m:t>
              </m:r>
            </m:num>
            <m:den>
              <m:r>
                <m:rPr>
                  <m:nor/>
                </m:rPr>
                <w:rPr>
                  <w:rFonts w:ascii="Garamond" w:eastAsia="Garamond" w:hAnsi="Garamond" w:cs="Garamond"/>
                </w:rPr>
                <m:t>2</m:t>
              </m:r>
            </m:den>
          </m:f>
        </m:oMath>
      </m:oMathPara>
    </w:p>
    <w:p w14:paraId="2294E311" w14:textId="780E95C6" w:rsidR="00835D5E" w:rsidRDefault="00835D5E" w:rsidP="00DF6D62">
      <w:pPr>
        <w:spacing w:after="0" w:line="240" w:lineRule="auto"/>
        <w:rPr>
          <w:rFonts w:ascii="Garamond" w:eastAsia="Garamond" w:hAnsi="Garamond" w:cs="Garamond"/>
        </w:rPr>
      </w:pPr>
    </w:p>
    <w:p w14:paraId="2AEAF259" w14:textId="7773705C" w:rsidR="00ED1E1B" w:rsidRDefault="00DF6D62" w:rsidP="00DF6D62">
      <w:pPr>
        <w:spacing w:after="0" w:line="240" w:lineRule="auto"/>
        <w:rPr>
          <w:rFonts w:ascii="Garamond" w:eastAsia="Garamond" w:hAnsi="Garamond" w:cs="Garamond"/>
        </w:rPr>
      </w:pPr>
      <w:r w:rsidRPr="00DF6D62">
        <w:rPr>
          <w:rFonts w:ascii="Garamond" w:eastAsia="Garamond" w:hAnsi="Garamond" w:cs="Garamond"/>
        </w:rPr>
        <w:t xml:space="preserve"> </w:t>
      </w:r>
    </w:p>
    <w:p w14:paraId="7C850726" w14:textId="620C7820" w:rsidR="00DF6D62" w:rsidRDefault="003E0733" w:rsidP="00DF6D62">
      <w:pPr>
        <w:spacing w:after="0" w:line="240" w:lineRule="auto"/>
        <w:rPr>
          <w:rFonts w:ascii="Garamond" w:eastAsia="Garamond" w:hAnsi="Garamond" w:cs="Garamond"/>
        </w:rPr>
      </w:pPr>
      <w:r>
        <w:rPr>
          <w:rFonts w:ascii="Garamond" w:eastAsia="Garamond" w:hAnsi="Garamond" w:cs="Garamond"/>
          <w:i/>
        </w:rPr>
        <w:t>I</w:t>
      </w:r>
      <w:r w:rsidR="00DF6D62">
        <w:rPr>
          <w:rFonts w:ascii="Garamond" w:eastAsia="Garamond" w:hAnsi="Garamond" w:cs="Garamond"/>
          <w:i/>
        </w:rPr>
        <w:t>n situ</w:t>
      </w:r>
      <w:r w:rsidR="00DF6D62">
        <w:rPr>
          <w:rFonts w:ascii="Garamond" w:eastAsia="Garamond" w:hAnsi="Garamond" w:cs="Garamond"/>
        </w:rPr>
        <w:t xml:space="preserve"> data </w:t>
      </w:r>
      <w:r w:rsidR="00FC4188">
        <w:rPr>
          <w:rFonts w:ascii="Garamond" w:eastAsia="Garamond" w:hAnsi="Garamond" w:cs="Garamond"/>
        </w:rPr>
        <w:t>collected from</w:t>
      </w:r>
      <w:r w:rsidR="005545C2">
        <w:rPr>
          <w:rFonts w:ascii="Garamond" w:eastAsia="Garamond" w:hAnsi="Garamond" w:cs="Garamond"/>
        </w:rPr>
        <w:t xml:space="preserve"> eddy covariance towers</w:t>
      </w:r>
      <w:r w:rsidR="000C7D62" w:rsidRPr="000C7D62">
        <w:rPr>
          <w:rFonts w:ascii="Garamond" w:eastAsia="Garamond" w:hAnsi="Garamond" w:cs="Garamond"/>
        </w:rPr>
        <w:t xml:space="preserve"> </w:t>
      </w:r>
      <w:r w:rsidR="000C7D62">
        <w:rPr>
          <w:rFonts w:ascii="Garamond" w:eastAsia="Garamond" w:hAnsi="Garamond" w:cs="Garamond"/>
        </w:rPr>
        <w:t>within RCEW</w:t>
      </w:r>
      <w:r w:rsidR="005545C2">
        <w:rPr>
          <w:rFonts w:ascii="Garamond" w:eastAsia="Garamond" w:hAnsi="Garamond" w:cs="Garamond"/>
        </w:rPr>
        <w:t xml:space="preserve">, </w:t>
      </w:r>
      <w:r w:rsidR="000C7D62">
        <w:rPr>
          <w:rFonts w:ascii="Garamond" w:eastAsia="Garamond" w:hAnsi="Garamond" w:cs="Garamond"/>
        </w:rPr>
        <w:t xml:space="preserve">such as ET, </w:t>
      </w:r>
      <w:r w:rsidR="005545C2">
        <w:rPr>
          <w:rFonts w:ascii="Garamond" w:eastAsia="Garamond" w:hAnsi="Garamond" w:cs="Garamond"/>
        </w:rPr>
        <w:t xml:space="preserve">soil moisture, and </w:t>
      </w:r>
      <w:r w:rsidR="00DF6D62">
        <w:rPr>
          <w:rFonts w:ascii="Garamond" w:eastAsia="Garamond" w:hAnsi="Garamond" w:cs="Garamond"/>
        </w:rPr>
        <w:t>precipitation</w:t>
      </w:r>
      <w:r w:rsidR="000C7D62">
        <w:rPr>
          <w:rFonts w:ascii="Garamond" w:eastAsia="Garamond" w:hAnsi="Garamond" w:cs="Garamond"/>
        </w:rPr>
        <w:t>,</w:t>
      </w:r>
      <w:r w:rsidR="00DF6D62">
        <w:rPr>
          <w:rFonts w:ascii="Garamond" w:eastAsia="Garamond" w:hAnsi="Garamond" w:cs="Garamond"/>
        </w:rPr>
        <w:t xml:space="preserve"> </w:t>
      </w:r>
      <w:r>
        <w:rPr>
          <w:rFonts w:ascii="Garamond" w:eastAsia="Garamond" w:hAnsi="Garamond" w:cs="Garamond"/>
        </w:rPr>
        <w:t>w</w:t>
      </w:r>
      <w:r w:rsidR="00ED1E1B">
        <w:rPr>
          <w:rFonts w:ascii="Garamond" w:eastAsia="Garamond" w:hAnsi="Garamond" w:cs="Garamond"/>
        </w:rPr>
        <w:t>ere</w:t>
      </w:r>
      <w:r>
        <w:rPr>
          <w:rFonts w:ascii="Garamond" w:eastAsia="Garamond" w:hAnsi="Garamond" w:cs="Garamond"/>
        </w:rPr>
        <w:t xml:space="preserve"> used </w:t>
      </w:r>
      <w:r w:rsidR="00DF6D62">
        <w:rPr>
          <w:rFonts w:ascii="Garamond" w:eastAsia="Garamond" w:hAnsi="Garamond" w:cs="Garamond"/>
        </w:rPr>
        <w:t xml:space="preserve">to verify the NASA remotely sensed data products and ET models. </w:t>
      </w:r>
      <w:r w:rsidR="000C7D62">
        <w:rPr>
          <w:rFonts w:ascii="Garamond" w:eastAsia="Garamond" w:hAnsi="Garamond" w:cs="Garamond"/>
          <w:i/>
        </w:rPr>
        <w:t>I</w:t>
      </w:r>
      <w:r w:rsidRPr="003E0733">
        <w:rPr>
          <w:rFonts w:ascii="Garamond" w:eastAsia="Garamond" w:hAnsi="Garamond" w:cs="Garamond"/>
          <w:i/>
        </w:rPr>
        <w:t>n situ</w:t>
      </w:r>
      <w:r>
        <w:rPr>
          <w:rFonts w:ascii="Garamond" w:eastAsia="Garamond" w:hAnsi="Garamond" w:cs="Garamond"/>
        </w:rPr>
        <w:t xml:space="preserve"> ET data </w:t>
      </w:r>
      <w:r w:rsidR="007C6C95">
        <w:rPr>
          <w:rFonts w:ascii="Garamond" w:eastAsia="Garamond" w:hAnsi="Garamond" w:cs="Garamond"/>
        </w:rPr>
        <w:t>were</w:t>
      </w:r>
      <w:r>
        <w:rPr>
          <w:rFonts w:ascii="Garamond" w:eastAsia="Garamond" w:hAnsi="Garamond" w:cs="Garamond"/>
        </w:rPr>
        <w:t xml:space="preserve"> acquired from </w:t>
      </w:r>
      <w:r w:rsidR="00DF6D62" w:rsidRPr="003E0733">
        <w:rPr>
          <w:rFonts w:ascii="Garamond" w:eastAsia="Garamond" w:hAnsi="Garamond" w:cs="Garamond"/>
        </w:rPr>
        <w:t>Gerald</w:t>
      </w:r>
      <w:r w:rsidR="00DF6D62">
        <w:rPr>
          <w:rFonts w:ascii="Garamond" w:eastAsia="Garamond" w:hAnsi="Garamond" w:cs="Garamond"/>
        </w:rPr>
        <w:t xml:space="preserve"> Flerchinger</w:t>
      </w:r>
      <w:r w:rsidR="000C7D62">
        <w:rPr>
          <w:rFonts w:ascii="Garamond" w:eastAsia="Garamond" w:hAnsi="Garamond" w:cs="Garamond"/>
        </w:rPr>
        <w:t xml:space="preserve"> at the</w:t>
      </w:r>
      <w:r>
        <w:rPr>
          <w:rFonts w:ascii="Garamond" w:eastAsia="Garamond" w:hAnsi="Garamond" w:cs="Garamond"/>
        </w:rPr>
        <w:t xml:space="preserve"> USDA ARS </w:t>
      </w:r>
      <w:r w:rsidR="00DF6D62">
        <w:rPr>
          <w:rFonts w:ascii="Garamond" w:eastAsia="Garamond" w:hAnsi="Garamond" w:cs="Garamond"/>
        </w:rPr>
        <w:t xml:space="preserve">(Fellows et al., 2017). Soil moisture data used in this project </w:t>
      </w:r>
      <w:r w:rsidR="005545C2">
        <w:rPr>
          <w:rFonts w:ascii="Garamond" w:eastAsia="Garamond" w:hAnsi="Garamond" w:cs="Garamond"/>
        </w:rPr>
        <w:t>were</w:t>
      </w:r>
      <w:r w:rsidR="00DF6D62">
        <w:rPr>
          <w:rFonts w:ascii="Garamond" w:eastAsia="Garamond" w:hAnsi="Garamond" w:cs="Garamond"/>
        </w:rPr>
        <w:t xml:space="preserve"> compiled by the Idaho Water Resources I team (Lauer et al., 2018).</w:t>
      </w:r>
      <w:r w:rsidR="008A185A">
        <w:rPr>
          <w:rFonts w:ascii="Garamond" w:eastAsia="Garamond" w:hAnsi="Garamond" w:cs="Garamond"/>
        </w:rPr>
        <w:t xml:space="preserve"> A flowchart of the models used in this project, </w:t>
      </w:r>
      <w:r w:rsidR="00DF61B3" w:rsidRPr="00103AC2">
        <w:rPr>
          <w:rFonts w:ascii="Garamond" w:eastAsia="Garamond" w:hAnsi="Garamond" w:cs="Garamond"/>
          <w:noProof/>
        </w:rPr>
        <w:t xml:space="preserve">a </w:t>
      </w:r>
      <w:r w:rsidR="008A185A" w:rsidRPr="00DF61B3">
        <w:rPr>
          <w:rFonts w:ascii="Garamond" w:eastAsia="Garamond" w:hAnsi="Garamond" w:cs="Garamond"/>
          <w:noProof/>
        </w:rPr>
        <w:t>brief</w:t>
      </w:r>
      <w:r w:rsidR="008A185A">
        <w:rPr>
          <w:rFonts w:ascii="Garamond" w:eastAsia="Garamond" w:hAnsi="Garamond" w:cs="Garamond"/>
        </w:rPr>
        <w:t xml:space="preserve"> description of methodologies, and outcomes </w:t>
      </w:r>
      <w:r w:rsidR="008A185A" w:rsidRPr="00103AC2">
        <w:rPr>
          <w:rFonts w:ascii="Garamond" w:eastAsia="Garamond" w:hAnsi="Garamond" w:cs="Garamond"/>
          <w:noProof/>
        </w:rPr>
        <w:t>is</w:t>
      </w:r>
      <w:r w:rsidR="008A185A">
        <w:rPr>
          <w:rFonts w:ascii="Garamond" w:eastAsia="Garamond" w:hAnsi="Garamond" w:cs="Garamond"/>
        </w:rPr>
        <w:t xml:space="preserve"> </w:t>
      </w:r>
      <w:r w:rsidR="00D563E1">
        <w:rPr>
          <w:rFonts w:ascii="Garamond" w:eastAsia="Garamond" w:hAnsi="Garamond" w:cs="Garamond"/>
        </w:rPr>
        <w:t>shown</w:t>
      </w:r>
      <w:r w:rsidR="008A185A">
        <w:rPr>
          <w:rFonts w:ascii="Garamond" w:eastAsia="Garamond" w:hAnsi="Garamond" w:cs="Garamond"/>
        </w:rPr>
        <w:t xml:space="preserve"> in figure 2.</w:t>
      </w:r>
    </w:p>
    <w:p w14:paraId="34E9755B" w14:textId="316C286E" w:rsidR="00377D28" w:rsidRDefault="00377D28" w:rsidP="00DF6D62">
      <w:pPr>
        <w:spacing w:after="0" w:line="240" w:lineRule="auto"/>
        <w:rPr>
          <w:rFonts w:ascii="Garamond" w:eastAsia="Garamond" w:hAnsi="Garamond" w:cs="Garamond"/>
        </w:rPr>
      </w:pPr>
    </w:p>
    <w:p w14:paraId="172031BD" w14:textId="0F8A2A03" w:rsidR="0012258B" w:rsidRDefault="00377D28">
      <w:pPr>
        <w:spacing w:after="0"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729920" behindDoc="0" locked="0" layoutInCell="1" allowOverlap="1" wp14:anchorId="22CE2CA8" wp14:editId="6BC9B3EF">
                <wp:simplePos x="0" y="0"/>
                <wp:positionH relativeFrom="column">
                  <wp:posOffset>-103505</wp:posOffset>
                </wp:positionH>
                <wp:positionV relativeFrom="paragraph">
                  <wp:posOffset>7620</wp:posOffset>
                </wp:positionV>
                <wp:extent cx="5943600" cy="2118437"/>
                <wp:effectExtent l="0" t="0" r="0" b="0"/>
                <wp:wrapNone/>
                <wp:docPr id="29" name="Group 29"/>
                <wp:cNvGraphicFramePr/>
                <a:graphic xmlns:a="http://schemas.openxmlformats.org/drawingml/2006/main">
                  <a:graphicData uri="http://schemas.microsoft.com/office/word/2010/wordprocessingGroup">
                    <wpg:wgp>
                      <wpg:cNvGrpSpPr/>
                      <wpg:grpSpPr>
                        <a:xfrm>
                          <a:off x="0" y="0"/>
                          <a:ext cx="5943600" cy="2118437"/>
                          <a:chOff x="0" y="23750"/>
                          <a:chExt cx="5943600" cy="2118437"/>
                        </a:xfrm>
                      </wpg:grpSpPr>
                      <wps:wsp>
                        <wps:cNvPr id="35" name="TextBox 34"/>
                        <wps:cNvSpPr txBox="1"/>
                        <wps:spPr>
                          <a:xfrm>
                            <a:off x="1419225" y="485775"/>
                            <a:ext cx="2143125" cy="558800"/>
                          </a:xfrm>
                          <a:prstGeom prst="rect">
                            <a:avLst/>
                          </a:prstGeom>
                        </wps:spPr>
                        <wps:txbx>
                          <w:txbxContent>
                            <w:p w14:paraId="6411D47F" w14:textId="77777777" w:rsidR="00F9370A" w:rsidRPr="008F4E3A" w:rsidRDefault="00F9370A" w:rsidP="008F4E3A">
                              <w:pPr>
                                <w:pStyle w:val="NormalWeb"/>
                                <w:spacing w:before="0" w:beforeAutospacing="0" w:after="0" w:afterAutospacing="0"/>
                                <w:jc w:val="center"/>
                                <w:rPr>
                                  <w:rFonts w:ascii="Century Gothic" w:hAnsi="Century Gothic"/>
                                  <w:sz w:val="20"/>
                                  <w:szCs w:val="18"/>
                                </w:rPr>
                              </w:pPr>
                              <w:r w:rsidRPr="008F4E3A">
                                <w:rPr>
                                  <w:rFonts w:ascii="Century Gothic" w:hAnsi="Century Gothic" w:cstheme="minorBidi"/>
                                  <w:b/>
                                  <w:bCs/>
                                  <w:color w:val="404040" w:themeColor="text1" w:themeTint="BF"/>
                                  <w:kern w:val="24"/>
                                  <w:sz w:val="20"/>
                                  <w:szCs w:val="18"/>
                                </w:rPr>
                                <w:t>Google Earth Engine:</w:t>
                              </w:r>
                            </w:p>
                            <w:p w14:paraId="1B11EFA5" w14:textId="77777777" w:rsidR="00F9370A" w:rsidRPr="008F4E3A" w:rsidRDefault="00F9370A" w:rsidP="008F4E3A">
                              <w:pPr>
                                <w:pStyle w:val="NormalWeb"/>
                                <w:spacing w:before="0" w:beforeAutospacing="0" w:after="0" w:afterAutospacing="0"/>
                                <w:jc w:val="center"/>
                                <w:rPr>
                                  <w:rFonts w:ascii="Century Gothic" w:hAnsi="Century Gothic"/>
                                  <w:sz w:val="20"/>
                                  <w:szCs w:val="18"/>
                                </w:rPr>
                              </w:pPr>
                              <w:r w:rsidRPr="008F4E3A">
                                <w:rPr>
                                  <w:rFonts w:ascii="Century Gothic" w:hAnsi="Century Gothic" w:cstheme="minorBidi"/>
                                  <w:color w:val="404040" w:themeColor="text1" w:themeTint="BF"/>
                                  <w:kern w:val="24"/>
                                  <w:sz w:val="20"/>
                                  <w:szCs w:val="18"/>
                                </w:rPr>
                                <w:t xml:space="preserve">Combine GEE and </w:t>
                              </w:r>
                              <w:r w:rsidRPr="008F4E3A">
                                <w:rPr>
                                  <w:rFonts w:ascii="Century Gothic" w:hAnsi="Century Gothic" w:cstheme="minorBidi"/>
                                  <w:i/>
                                  <w:iCs/>
                                  <w:color w:val="404040" w:themeColor="text1" w:themeTint="BF"/>
                                  <w:kern w:val="24"/>
                                  <w:sz w:val="20"/>
                                  <w:szCs w:val="18"/>
                                </w:rPr>
                                <w:t>in situ</w:t>
                              </w:r>
                              <w:r w:rsidRPr="008F4E3A">
                                <w:rPr>
                                  <w:rFonts w:ascii="Century Gothic" w:hAnsi="Century Gothic" w:cstheme="minorBidi"/>
                                  <w:color w:val="404040" w:themeColor="text1" w:themeTint="BF"/>
                                  <w:kern w:val="24"/>
                                  <w:sz w:val="20"/>
                                  <w:szCs w:val="18"/>
                                </w:rPr>
                                <w:t xml:space="preserve"> data; extract values at RCEW sites</w:t>
                              </w:r>
                            </w:p>
                          </w:txbxContent>
                        </wps:txbx>
                        <wps:bodyPr wrap="square" numCol="1" spcCol="640080" rtlCol="0">
                          <a:spAutoFit/>
                        </wps:bodyPr>
                      </wps:wsp>
                      <wps:wsp>
                        <wps:cNvPr id="23" name="TextBox 36"/>
                        <wps:cNvSpPr txBox="1"/>
                        <wps:spPr>
                          <a:xfrm>
                            <a:off x="1352550" y="1276350"/>
                            <a:ext cx="2257425" cy="558800"/>
                          </a:xfrm>
                          <a:prstGeom prst="rect">
                            <a:avLst/>
                          </a:prstGeom>
                          <a:noFill/>
                          <a:ln>
                            <a:noFill/>
                          </a:ln>
                        </wps:spPr>
                        <wps:txbx>
                          <w:txbxContent>
                            <w:p w14:paraId="09789F01" w14:textId="77777777" w:rsidR="00F9370A" w:rsidRPr="008F4E3A" w:rsidRDefault="00F9370A" w:rsidP="008F4E3A">
                              <w:pPr>
                                <w:pStyle w:val="NormalWeb"/>
                                <w:spacing w:before="0" w:beforeAutospacing="0" w:after="0" w:afterAutospacing="0"/>
                                <w:jc w:val="center"/>
                                <w:rPr>
                                  <w:rFonts w:ascii="Century Gothic" w:hAnsi="Century Gothic"/>
                                  <w:sz w:val="20"/>
                                  <w:szCs w:val="20"/>
                                </w:rPr>
                              </w:pPr>
                              <w:r w:rsidRPr="008F4E3A">
                                <w:rPr>
                                  <w:rFonts w:ascii="Century Gothic" w:hAnsi="Century Gothic" w:cstheme="minorBidi"/>
                                  <w:b/>
                                  <w:bCs/>
                                  <w:color w:val="404040" w:themeColor="text1" w:themeTint="BF"/>
                                  <w:kern w:val="24"/>
                                  <w:sz w:val="20"/>
                                  <w:szCs w:val="20"/>
                                </w:rPr>
                                <w:t>ArcGIS Pro:</w:t>
                              </w:r>
                            </w:p>
                            <w:p w14:paraId="7378998A" w14:textId="77777777" w:rsidR="00F9370A" w:rsidRPr="008F4E3A" w:rsidRDefault="00F9370A" w:rsidP="008F4E3A">
                              <w:pPr>
                                <w:pStyle w:val="NormalWeb"/>
                                <w:spacing w:before="0" w:beforeAutospacing="0" w:after="0" w:afterAutospacing="0"/>
                                <w:jc w:val="center"/>
                                <w:rPr>
                                  <w:rFonts w:ascii="Century Gothic" w:hAnsi="Century Gothic"/>
                                  <w:sz w:val="20"/>
                                  <w:szCs w:val="20"/>
                                </w:rPr>
                              </w:pPr>
                              <w:r w:rsidRPr="008F4E3A">
                                <w:rPr>
                                  <w:rFonts w:ascii="Century Gothic" w:hAnsi="Century Gothic" w:cstheme="minorBidi"/>
                                  <w:color w:val="404040" w:themeColor="text1" w:themeTint="BF"/>
                                  <w:kern w:val="24"/>
                                  <w:sz w:val="20"/>
                                  <w:szCs w:val="20"/>
                                </w:rPr>
                                <w:t>Clip to study area; extract values at RCEW Points</w:t>
                              </w:r>
                            </w:p>
                          </w:txbxContent>
                        </wps:txbx>
                        <wps:bodyPr wrap="square" numCol="1" spcCol="640080" rtlCol="0">
                          <a:spAutoFit/>
                        </wps:bodyPr>
                      </wps:wsp>
                      <wps:wsp>
                        <wps:cNvPr id="24" name="TextBox 40"/>
                        <wps:cNvSpPr txBox="1"/>
                        <wps:spPr>
                          <a:xfrm>
                            <a:off x="3581400" y="809625"/>
                            <a:ext cx="1247775" cy="714375"/>
                          </a:xfrm>
                          <a:prstGeom prst="rect">
                            <a:avLst/>
                          </a:prstGeom>
                          <a:noFill/>
                          <a:ln>
                            <a:noFill/>
                          </a:ln>
                        </wps:spPr>
                        <wps:txbx>
                          <w:txbxContent>
                            <w:p w14:paraId="3ACB3E3E" w14:textId="77777777" w:rsidR="00F9370A" w:rsidRPr="008F4E3A" w:rsidRDefault="00F9370A" w:rsidP="008F4E3A">
                              <w:pPr>
                                <w:pStyle w:val="NormalWeb"/>
                                <w:spacing w:before="0" w:beforeAutospacing="0" w:after="0" w:afterAutospacing="0"/>
                                <w:jc w:val="center"/>
                                <w:rPr>
                                  <w:rFonts w:ascii="Century Gothic" w:hAnsi="Century Gothic"/>
                                  <w:sz w:val="20"/>
                                  <w:szCs w:val="20"/>
                                </w:rPr>
                              </w:pPr>
                              <w:r w:rsidRPr="008F4E3A">
                                <w:rPr>
                                  <w:rFonts w:ascii="Century Gothic" w:hAnsi="Century Gothic" w:cstheme="minorBidi"/>
                                  <w:color w:val="404040" w:themeColor="text1" w:themeTint="BF"/>
                                  <w:kern w:val="24"/>
                                  <w:sz w:val="20"/>
                                  <w:szCs w:val="20"/>
                                </w:rPr>
                                <w:t>Compare ET maps to elevation, soil moisture, etc.</w:t>
                              </w:r>
                            </w:p>
                          </w:txbxContent>
                        </wps:txbx>
                        <wps:bodyPr wrap="square" numCol="1" spcCol="640080" rtlCol="0">
                          <a:spAutoFit/>
                        </wps:bodyPr>
                      </wps:wsp>
                      <wps:wsp>
                        <wps:cNvPr id="36" name="TextBox 35"/>
                        <wps:cNvSpPr txBox="1"/>
                        <wps:spPr>
                          <a:xfrm>
                            <a:off x="4838700" y="857250"/>
                            <a:ext cx="1104900" cy="605155"/>
                          </a:xfrm>
                          <a:prstGeom prst="rect">
                            <a:avLst/>
                          </a:prstGeom>
                          <a:noFill/>
                          <a:ln>
                            <a:noFill/>
                          </a:ln>
                        </wps:spPr>
                        <wps:txbx>
                          <w:txbxContent>
                            <w:p w14:paraId="404F21BB" w14:textId="77777777" w:rsidR="00F9370A" w:rsidRPr="008F4E3A" w:rsidRDefault="00F9370A" w:rsidP="008F4E3A">
                              <w:pPr>
                                <w:pStyle w:val="NormalWeb"/>
                                <w:spacing w:before="0" w:beforeAutospacing="0" w:after="0" w:afterAutospacing="0"/>
                                <w:jc w:val="center"/>
                                <w:rPr>
                                  <w:rFonts w:ascii="Century Gothic" w:hAnsi="Century Gothic"/>
                                  <w:sz w:val="22"/>
                                  <w:szCs w:val="20"/>
                                </w:rPr>
                              </w:pPr>
                              <w:r w:rsidRPr="008F4E3A">
                                <w:rPr>
                                  <w:rFonts w:ascii="Century Gothic" w:hAnsi="Century Gothic" w:cstheme="minorBidi"/>
                                  <w:color w:val="FFFFFF" w:themeColor="background1"/>
                                  <w:kern w:val="24"/>
                                  <w:sz w:val="22"/>
                                  <w:szCs w:val="20"/>
                                </w:rPr>
                                <w:t xml:space="preserve">ET Maps &amp; Correlation </w:t>
                              </w:r>
                            </w:p>
                            <w:p w14:paraId="36CDEB62" w14:textId="77777777" w:rsidR="00F9370A" w:rsidRPr="008F4E3A" w:rsidRDefault="00F9370A" w:rsidP="008F4E3A">
                              <w:pPr>
                                <w:pStyle w:val="NormalWeb"/>
                                <w:spacing w:before="0" w:beforeAutospacing="0" w:after="0" w:afterAutospacing="0"/>
                                <w:jc w:val="center"/>
                                <w:rPr>
                                  <w:rFonts w:ascii="Century Gothic" w:hAnsi="Century Gothic"/>
                                  <w:sz w:val="22"/>
                                  <w:szCs w:val="20"/>
                                </w:rPr>
                              </w:pPr>
                              <w:r w:rsidRPr="008F4E3A">
                                <w:rPr>
                                  <w:rFonts w:ascii="Century Gothic" w:hAnsi="Century Gothic" w:cstheme="minorBidi"/>
                                  <w:color w:val="FFFFFF" w:themeColor="background1"/>
                                  <w:kern w:val="24"/>
                                  <w:sz w:val="22"/>
                                  <w:szCs w:val="20"/>
                                </w:rPr>
                                <w:t>Plots</w:t>
                              </w:r>
                            </w:p>
                          </w:txbxContent>
                        </wps:txbx>
                        <wps:bodyPr wrap="square" numCol="1" spcCol="640080" rtlCol="0">
                          <a:spAutoFit/>
                        </wps:bodyPr>
                      </wps:wsp>
                      <wps:wsp>
                        <wps:cNvPr id="25" name="TextBox 35"/>
                        <wps:cNvSpPr txBox="1"/>
                        <wps:spPr>
                          <a:xfrm>
                            <a:off x="0" y="23750"/>
                            <a:ext cx="1495425" cy="729615"/>
                          </a:xfrm>
                          <a:prstGeom prst="rect">
                            <a:avLst/>
                          </a:prstGeom>
                          <a:noFill/>
                          <a:ln>
                            <a:noFill/>
                          </a:ln>
                        </wps:spPr>
                        <wps:txbx>
                          <w:txbxContent>
                            <w:p w14:paraId="0D566BAE" w14:textId="77777777" w:rsidR="00F9370A" w:rsidRPr="00D4346C"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0"/>
                                  <w:szCs w:val="20"/>
                                </w:rPr>
                              </w:pPr>
                              <w:r w:rsidRPr="008F4E3A">
                                <w:rPr>
                                  <w:rFonts w:ascii="Century Gothic" w:hAnsi="Century Gothic" w:cstheme="minorBidi"/>
                                  <w:color w:val="FFFFFF" w:themeColor="background1"/>
                                  <w:kern w:val="24"/>
                                  <w:sz w:val="22"/>
                                  <w:szCs w:val="20"/>
                                </w:rPr>
                                <w:t xml:space="preserve">GEE ET Models: </w:t>
                              </w:r>
                              <w:r w:rsidRPr="00D4346C">
                                <w:rPr>
                                  <w:rFonts w:ascii="Century Gothic" w:hAnsi="Century Gothic" w:cstheme="minorBidi"/>
                                  <w:color w:val="FFFFFF" w:themeColor="background1"/>
                                  <w:kern w:val="24"/>
                                  <w:sz w:val="20"/>
                                  <w:szCs w:val="20"/>
                                </w:rPr>
                                <w:t>EEFlux</w:t>
                              </w:r>
                            </w:p>
                            <w:p w14:paraId="476D9AF9" w14:textId="3395681A" w:rsidR="00F9370A" w:rsidRPr="00D4346C"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0"/>
                                  <w:szCs w:val="20"/>
                                </w:rPr>
                              </w:pPr>
                              <w:r w:rsidRPr="00D4346C">
                                <w:rPr>
                                  <w:rFonts w:ascii="Century Gothic" w:hAnsi="Century Gothic" w:cstheme="minorBidi"/>
                                  <w:color w:val="FFFFFF" w:themeColor="background1"/>
                                  <w:kern w:val="24"/>
                                  <w:sz w:val="20"/>
                                  <w:szCs w:val="20"/>
                                </w:rPr>
                                <w:t>MOD16</w:t>
                              </w:r>
                            </w:p>
                            <w:p w14:paraId="07435648" w14:textId="1CAEB2B2" w:rsidR="00F9370A" w:rsidRPr="00D4346C"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0"/>
                                  <w:szCs w:val="20"/>
                                </w:rPr>
                              </w:pPr>
                              <w:r w:rsidRPr="00D4346C">
                                <w:rPr>
                                  <w:rFonts w:ascii="Century Gothic" w:hAnsi="Century Gothic" w:cstheme="minorBidi"/>
                                  <w:color w:val="FFFFFF" w:themeColor="background1"/>
                                  <w:kern w:val="24"/>
                                  <w:sz w:val="20"/>
                                  <w:szCs w:val="20"/>
                                </w:rPr>
                                <w:t>SSEBop</w:t>
                              </w:r>
                            </w:p>
                          </w:txbxContent>
                        </wps:txbx>
                        <wps:bodyPr wrap="square" numCol="1" spcCol="640080" rtlCol="0">
                          <a:spAutoFit/>
                        </wps:bodyPr>
                      </wps:wsp>
                      <wps:wsp>
                        <wps:cNvPr id="27" name="TextBox 40"/>
                        <wps:cNvSpPr txBox="1"/>
                        <wps:spPr>
                          <a:xfrm>
                            <a:off x="123825" y="885825"/>
                            <a:ext cx="1247775" cy="605155"/>
                          </a:xfrm>
                          <a:prstGeom prst="rect">
                            <a:avLst/>
                          </a:prstGeom>
                          <a:noFill/>
                          <a:ln>
                            <a:noFill/>
                          </a:ln>
                        </wps:spPr>
                        <wps:txbx>
                          <w:txbxContent>
                            <w:p w14:paraId="56AF7C5C" w14:textId="021CF9B2" w:rsidR="00F9370A" w:rsidRPr="008F4E3A" w:rsidRDefault="00F9370A" w:rsidP="008F4E3A">
                              <w:pPr>
                                <w:pStyle w:val="NormalWeb"/>
                                <w:spacing w:before="0" w:beforeAutospacing="0" w:after="0" w:afterAutospacing="0"/>
                                <w:jc w:val="center"/>
                                <w:rPr>
                                  <w:rFonts w:ascii="Century Gothic" w:hAnsi="Century Gothic" w:cstheme="minorBidi"/>
                                  <w:color w:val="404040" w:themeColor="text1" w:themeTint="BF"/>
                                  <w:kern w:val="24"/>
                                  <w:sz w:val="22"/>
                                  <w:szCs w:val="20"/>
                                </w:rPr>
                              </w:pPr>
                              <w:r w:rsidRPr="008F4E3A">
                                <w:rPr>
                                  <w:rFonts w:ascii="Century Gothic" w:hAnsi="Century Gothic" w:cstheme="minorBidi"/>
                                  <w:i/>
                                  <w:iCs/>
                                  <w:color w:val="404040" w:themeColor="text1" w:themeTint="BF"/>
                                  <w:kern w:val="24"/>
                                  <w:sz w:val="22"/>
                                  <w:szCs w:val="20"/>
                                </w:rPr>
                                <w:t xml:space="preserve">RCEW </w:t>
                              </w:r>
                              <w:r w:rsidRPr="008F4E3A">
                                <w:rPr>
                                  <w:rFonts w:ascii="Century Gothic" w:hAnsi="Century Gothic" w:cstheme="minorBidi"/>
                                  <w:color w:val="404040" w:themeColor="text1" w:themeTint="BF"/>
                                  <w:kern w:val="24"/>
                                  <w:sz w:val="22"/>
                                  <w:szCs w:val="20"/>
                                </w:rPr>
                                <w:t>ET &amp;</w:t>
                              </w:r>
                            </w:p>
                            <w:p w14:paraId="5104EE9C" w14:textId="5FF814AD" w:rsidR="00F9370A" w:rsidRPr="008F4E3A" w:rsidRDefault="00F9370A" w:rsidP="008F4E3A">
                              <w:pPr>
                                <w:pStyle w:val="NormalWeb"/>
                                <w:spacing w:before="0" w:beforeAutospacing="0" w:after="0" w:afterAutospacing="0"/>
                                <w:jc w:val="center"/>
                                <w:rPr>
                                  <w:rFonts w:ascii="Century Gothic" w:hAnsi="Century Gothic" w:cstheme="minorBidi"/>
                                  <w:color w:val="404040" w:themeColor="text1" w:themeTint="BF"/>
                                  <w:kern w:val="24"/>
                                  <w:sz w:val="22"/>
                                  <w:szCs w:val="20"/>
                                </w:rPr>
                              </w:pPr>
                              <w:r w:rsidRPr="008F4E3A">
                                <w:rPr>
                                  <w:rFonts w:ascii="Century Gothic" w:hAnsi="Century Gothic" w:cstheme="minorBidi"/>
                                  <w:color w:val="404040" w:themeColor="text1" w:themeTint="BF"/>
                                  <w:kern w:val="24"/>
                                  <w:sz w:val="22"/>
                                  <w:szCs w:val="20"/>
                                </w:rPr>
                                <w:t>soil moisture,</w:t>
                              </w:r>
                            </w:p>
                            <w:p w14:paraId="358F5B45" w14:textId="2CA3D631" w:rsidR="00F9370A" w:rsidRPr="008F4E3A" w:rsidRDefault="00F9370A" w:rsidP="008F4E3A">
                              <w:pPr>
                                <w:pStyle w:val="NormalWeb"/>
                                <w:spacing w:before="0" w:beforeAutospacing="0" w:after="0" w:afterAutospacing="0"/>
                                <w:jc w:val="center"/>
                                <w:rPr>
                                  <w:rFonts w:ascii="Century Gothic" w:hAnsi="Century Gothic" w:cstheme="minorBidi"/>
                                  <w:color w:val="404040" w:themeColor="text1" w:themeTint="BF"/>
                                  <w:kern w:val="24"/>
                                  <w:sz w:val="22"/>
                                  <w:szCs w:val="20"/>
                                </w:rPr>
                              </w:pPr>
                              <w:r w:rsidRPr="008F4E3A">
                                <w:rPr>
                                  <w:rFonts w:ascii="Century Gothic" w:hAnsi="Century Gothic" w:cstheme="minorBidi"/>
                                  <w:color w:val="404040" w:themeColor="text1" w:themeTint="BF"/>
                                  <w:kern w:val="24"/>
                                  <w:sz w:val="22"/>
                                  <w:szCs w:val="20"/>
                                </w:rPr>
                                <w:t>MSAVI-2</w:t>
                              </w:r>
                            </w:p>
                          </w:txbxContent>
                        </wps:txbx>
                        <wps:bodyPr wrap="square" numCol="1" spcCol="640080" rtlCol="0">
                          <a:spAutoFit/>
                        </wps:bodyPr>
                      </wps:wsp>
                      <wps:wsp>
                        <wps:cNvPr id="28" name="TextBox 35"/>
                        <wps:cNvSpPr txBox="1"/>
                        <wps:spPr>
                          <a:xfrm>
                            <a:off x="9525" y="1723722"/>
                            <a:ext cx="1495425" cy="418465"/>
                          </a:xfrm>
                          <a:prstGeom prst="rect">
                            <a:avLst/>
                          </a:prstGeom>
                          <a:noFill/>
                          <a:ln>
                            <a:noFill/>
                          </a:ln>
                        </wps:spPr>
                        <wps:txbx>
                          <w:txbxContent>
                            <w:p w14:paraId="6BC83079" w14:textId="77777777" w:rsidR="00F9370A" w:rsidRPr="008F4E3A"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2"/>
                                  <w:szCs w:val="20"/>
                                </w:rPr>
                              </w:pPr>
                              <w:r w:rsidRPr="008F4E3A">
                                <w:rPr>
                                  <w:rFonts w:ascii="Century Gothic" w:hAnsi="Century Gothic" w:cstheme="minorBidi"/>
                                  <w:color w:val="FFFFFF" w:themeColor="background1"/>
                                  <w:kern w:val="24"/>
                                  <w:sz w:val="22"/>
                                  <w:szCs w:val="20"/>
                                </w:rPr>
                                <w:t>Other Models:</w:t>
                              </w:r>
                            </w:p>
                            <w:p w14:paraId="493B19E4" w14:textId="1C3FF8CC" w:rsidR="00F9370A" w:rsidRPr="00D4346C"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0"/>
                                  <w:szCs w:val="20"/>
                                </w:rPr>
                              </w:pPr>
                              <w:r w:rsidRPr="00D4346C">
                                <w:rPr>
                                  <w:rFonts w:ascii="Century Gothic" w:hAnsi="Century Gothic" w:cstheme="minorBidi"/>
                                  <w:color w:val="FFFFFF" w:themeColor="background1"/>
                                  <w:kern w:val="24"/>
                                  <w:sz w:val="20"/>
                                  <w:szCs w:val="20"/>
                                </w:rPr>
                                <w:t>NLDAS-2-Noah</w:t>
                              </w:r>
                            </w:p>
                          </w:txbxContent>
                        </wps:txbx>
                        <wps:bodyPr wrap="square" numCol="1" spcCol="640080" rtlCol="0">
                          <a:spAutoFit/>
                        </wps:bodyPr>
                      </wps:wsp>
                    </wpg:wgp>
                  </a:graphicData>
                </a:graphic>
                <wp14:sizeRelV relativeFrom="margin">
                  <wp14:pctHeight>0</wp14:pctHeight>
                </wp14:sizeRelV>
              </wp:anchor>
            </w:drawing>
          </mc:Choice>
          <mc:Fallback>
            <w:pict>
              <v:group w14:anchorId="22CE2CA8" id="Group 29" o:spid="_x0000_s1033" style="position:absolute;margin-left:-8.15pt;margin-top:.6pt;width:468pt;height:166.8pt;z-index:251729920;mso-height-relative:margin" coordorigin=",237" coordsize="59436,2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">
                <v:shape id="TextBox 34" o:spid="_x0000_s1034" type="#_x0000_t202" style="position:absolute;left:14192;top:4857;width:214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411D47F" w14:textId="77777777" w:rsidR="00F9370A" w:rsidRPr="008F4E3A" w:rsidRDefault="00F9370A" w:rsidP="008F4E3A">
                        <w:pPr>
                          <w:pStyle w:val="NormalWeb"/>
                          <w:spacing w:before="0" w:beforeAutospacing="0" w:after="0" w:afterAutospacing="0"/>
                          <w:jc w:val="center"/>
                          <w:rPr>
                            <w:rFonts w:ascii="Century Gothic" w:hAnsi="Century Gothic"/>
                            <w:sz w:val="20"/>
                            <w:szCs w:val="18"/>
                          </w:rPr>
                        </w:pPr>
                        <w:r w:rsidRPr="008F4E3A">
                          <w:rPr>
                            <w:rFonts w:ascii="Century Gothic" w:hAnsi="Century Gothic" w:cstheme="minorBidi"/>
                            <w:b/>
                            <w:bCs/>
                            <w:color w:val="404040" w:themeColor="text1" w:themeTint="BF"/>
                            <w:kern w:val="24"/>
                            <w:sz w:val="20"/>
                            <w:szCs w:val="18"/>
                          </w:rPr>
                          <w:t>Google Earth Engine:</w:t>
                        </w:r>
                      </w:p>
                      <w:p w14:paraId="1B11EFA5" w14:textId="77777777" w:rsidR="00F9370A" w:rsidRPr="008F4E3A" w:rsidRDefault="00F9370A" w:rsidP="008F4E3A">
                        <w:pPr>
                          <w:pStyle w:val="NormalWeb"/>
                          <w:spacing w:before="0" w:beforeAutospacing="0" w:after="0" w:afterAutospacing="0"/>
                          <w:jc w:val="center"/>
                          <w:rPr>
                            <w:rFonts w:ascii="Century Gothic" w:hAnsi="Century Gothic"/>
                            <w:sz w:val="20"/>
                            <w:szCs w:val="18"/>
                          </w:rPr>
                        </w:pPr>
                        <w:r w:rsidRPr="008F4E3A">
                          <w:rPr>
                            <w:rFonts w:ascii="Century Gothic" w:hAnsi="Century Gothic" w:cstheme="minorBidi"/>
                            <w:color w:val="404040" w:themeColor="text1" w:themeTint="BF"/>
                            <w:kern w:val="24"/>
                            <w:sz w:val="20"/>
                            <w:szCs w:val="18"/>
                          </w:rPr>
                          <w:t xml:space="preserve">Combine GEE and </w:t>
                        </w:r>
                        <w:r w:rsidRPr="008F4E3A">
                          <w:rPr>
                            <w:rFonts w:ascii="Century Gothic" w:hAnsi="Century Gothic" w:cstheme="minorBidi"/>
                            <w:i/>
                            <w:iCs/>
                            <w:color w:val="404040" w:themeColor="text1" w:themeTint="BF"/>
                            <w:kern w:val="24"/>
                            <w:sz w:val="20"/>
                            <w:szCs w:val="18"/>
                          </w:rPr>
                          <w:t>in situ</w:t>
                        </w:r>
                        <w:r w:rsidRPr="008F4E3A">
                          <w:rPr>
                            <w:rFonts w:ascii="Century Gothic" w:hAnsi="Century Gothic" w:cstheme="minorBidi"/>
                            <w:color w:val="404040" w:themeColor="text1" w:themeTint="BF"/>
                            <w:kern w:val="24"/>
                            <w:sz w:val="20"/>
                            <w:szCs w:val="18"/>
                          </w:rPr>
                          <w:t xml:space="preserve"> data; extract values at RCEW sites</w:t>
                        </w:r>
                      </w:p>
                    </w:txbxContent>
                  </v:textbox>
                </v:shape>
                <v:shape id="TextBox 36" o:spid="_x0000_s1035" type="#_x0000_t202" style="position:absolute;left:13525;top:12763;width:2257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9789F01" w14:textId="77777777" w:rsidR="00F9370A" w:rsidRPr="008F4E3A" w:rsidRDefault="00F9370A" w:rsidP="008F4E3A">
                        <w:pPr>
                          <w:pStyle w:val="NormalWeb"/>
                          <w:spacing w:before="0" w:beforeAutospacing="0" w:after="0" w:afterAutospacing="0"/>
                          <w:jc w:val="center"/>
                          <w:rPr>
                            <w:rFonts w:ascii="Century Gothic" w:hAnsi="Century Gothic"/>
                            <w:sz w:val="20"/>
                            <w:szCs w:val="20"/>
                          </w:rPr>
                        </w:pPr>
                        <w:r w:rsidRPr="008F4E3A">
                          <w:rPr>
                            <w:rFonts w:ascii="Century Gothic" w:hAnsi="Century Gothic" w:cstheme="minorBidi"/>
                            <w:b/>
                            <w:bCs/>
                            <w:color w:val="404040" w:themeColor="text1" w:themeTint="BF"/>
                            <w:kern w:val="24"/>
                            <w:sz w:val="20"/>
                            <w:szCs w:val="20"/>
                          </w:rPr>
                          <w:t>ArcGIS Pro:</w:t>
                        </w:r>
                      </w:p>
                      <w:p w14:paraId="7378998A" w14:textId="77777777" w:rsidR="00F9370A" w:rsidRPr="008F4E3A" w:rsidRDefault="00F9370A" w:rsidP="008F4E3A">
                        <w:pPr>
                          <w:pStyle w:val="NormalWeb"/>
                          <w:spacing w:before="0" w:beforeAutospacing="0" w:after="0" w:afterAutospacing="0"/>
                          <w:jc w:val="center"/>
                          <w:rPr>
                            <w:rFonts w:ascii="Century Gothic" w:hAnsi="Century Gothic"/>
                            <w:sz w:val="20"/>
                            <w:szCs w:val="20"/>
                          </w:rPr>
                        </w:pPr>
                        <w:r w:rsidRPr="008F4E3A">
                          <w:rPr>
                            <w:rFonts w:ascii="Century Gothic" w:hAnsi="Century Gothic" w:cstheme="minorBidi"/>
                            <w:color w:val="404040" w:themeColor="text1" w:themeTint="BF"/>
                            <w:kern w:val="24"/>
                            <w:sz w:val="20"/>
                            <w:szCs w:val="20"/>
                          </w:rPr>
                          <w:t>Clip to study area; extract values at RCEW Points</w:t>
                        </w:r>
                      </w:p>
                    </w:txbxContent>
                  </v:textbox>
                </v:shape>
                <v:shape id="TextBox 40" o:spid="_x0000_s1036" type="#_x0000_t202" style="position:absolute;left:35814;top:8096;width:12477;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3ACB3E3E" w14:textId="77777777" w:rsidR="00F9370A" w:rsidRPr="008F4E3A" w:rsidRDefault="00F9370A" w:rsidP="008F4E3A">
                        <w:pPr>
                          <w:pStyle w:val="NormalWeb"/>
                          <w:spacing w:before="0" w:beforeAutospacing="0" w:after="0" w:afterAutospacing="0"/>
                          <w:jc w:val="center"/>
                          <w:rPr>
                            <w:rFonts w:ascii="Century Gothic" w:hAnsi="Century Gothic"/>
                            <w:sz w:val="20"/>
                            <w:szCs w:val="20"/>
                          </w:rPr>
                        </w:pPr>
                        <w:r w:rsidRPr="008F4E3A">
                          <w:rPr>
                            <w:rFonts w:ascii="Century Gothic" w:hAnsi="Century Gothic" w:cstheme="minorBidi"/>
                            <w:color w:val="404040" w:themeColor="text1" w:themeTint="BF"/>
                            <w:kern w:val="24"/>
                            <w:sz w:val="20"/>
                            <w:szCs w:val="20"/>
                          </w:rPr>
                          <w:t>Compare ET maps to elevation, soil moisture, etc.</w:t>
                        </w:r>
                      </w:p>
                    </w:txbxContent>
                  </v:textbox>
                </v:shape>
                <v:shape id="TextBox 35" o:spid="_x0000_s1037" type="#_x0000_t202" style="position:absolute;left:48387;top:8572;width:11049;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404F21BB" w14:textId="77777777" w:rsidR="00F9370A" w:rsidRPr="008F4E3A" w:rsidRDefault="00F9370A" w:rsidP="008F4E3A">
                        <w:pPr>
                          <w:pStyle w:val="NormalWeb"/>
                          <w:spacing w:before="0" w:beforeAutospacing="0" w:after="0" w:afterAutospacing="0"/>
                          <w:jc w:val="center"/>
                          <w:rPr>
                            <w:rFonts w:ascii="Century Gothic" w:hAnsi="Century Gothic"/>
                            <w:sz w:val="22"/>
                            <w:szCs w:val="20"/>
                          </w:rPr>
                        </w:pPr>
                        <w:r w:rsidRPr="008F4E3A">
                          <w:rPr>
                            <w:rFonts w:ascii="Century Gothic" w:hAnsi="Century Gothic" w:cstheme="minorBidi"/>
                            <w:color w:val="FFFFFF" w:themeColor="background1"/>
                            <w:kern w:val="24"/>
                            <w:sz w:val="22"/>
                            <w:szCs w:val="20"/>
                          </w:rPr>
                          <w:t xml:space="preserve">ET Maps &amp; Correlation </w:t>
                        </w:r>
                      </w:p>
                      <w:p w14:paraId="36CDEB62" w14:textId="77777777" w:rsidR="00F9370A" w:rsidRPr="008F4E3A" w:rsidRDefault="00F9370A" w:rsidP="008F4E3A">
                        <w:pPr>
                          <w:pStyle w:val="NormalWeb"/>
                          <w:spacing w:before="0" w:beforeAutospacing="0" w:after="0" w:afterAutospacing="0"/>
                          <w:jc w:val="center"/>
                          <w:rPr>
                            <w:rFonts w:ascii="Century Gothic" w:hAnsi="Century Gothic"/>
                            <w:sz w:val="22"/>
                            <w:szCs w:val="20"/>
                          </w:rPr>
                        </w:pPr>
                        <w:r w:rsidRPr="008F4E3A">
                          <w:rPr>
                            <w:rFonts w:ascii="Century Gothic" w:hAnsi="Century Gothic" w:cstheme="minorBidi"/>
                            <w:color w:val="FFFFFF" w:themeColor="background1"/>
                            <w:kern w:val="24"/>
                            <w:sz w:val="22"/>
                            <w:szCs w:val="20"/>
                          </w:rPr>
                          <w:t>Plots</w:t>
                        </w:r>
                      </w:p>
                    </w:txbxContent>
                  </v:textbox>
                </v:shape>
                <v:shape id="TextBox 35" o:spid="_x0000_s1038" type="#_x0000_t202" style="position:absolute;top:237;width:14954;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0D566BAE" w14:textId="77777777" w:rsidR="00F9370A" w:rsidRPr="00D4346C"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0"/>
                            <w:szCs w:val="20"/>
                          </w:rPr>
                        </w:pPr>
                        <w:r w:rsidRPr="008F4E3A">
                          <w:rPr>
                            <w:rFonts w:ascii="Century Gothic" w:hAnsi="Century Gothic" w:cstheme="minorBidi"/>
                            <w:color w:val="FFFFFF" w:themeColor="background1"/>
                            <w:kern w:val="24"/>
                            <w:sz w:val="22"/>
                            <w:szCs w:val="20"/>
                          </w:rPr>
                          <w:t xml:space="preserve">GEE ET Models: </w:t>
                        </w:r>
                        <w:proofErr w:type="spellStart"/>
                        <w:r w:rsidRPr="00D4346C">
                          <w:rPr>
                            <w:rFonts w:ascii="Century Gothic" w:hAnsi="Century Gothic" w:cstheme="minorBidi"/>
                            <w:color w:val="FFFFFF" w:themeColor="background1"/>
                            <w:kern w:val="24"/>
                            <w:sz w:val="20"/>
                            <w:szCs w:val="20"/>
                          </w:rPr>
                          <w:t>EEFlux</w:t>
                        </w:r>
                        <w:proofErr w:type="spellEnd"/>
                      </w:p>
                      <w:p w14:paraId="476D9AF9" w14:textId="3395681A" w:rsidR="00F9370A" w:rsidRPr="00D4346C"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0"/>
                            <w:szCs w:val="20"/>
                          </w:rPr>
                        </w:pPr>
                        <w:r w:rsidRPr="00D4346C">
                          <w:rPr>
                            <w:rFonts w:ascii="Century Gothic" w:hAnsi="Century Gothic" w:cstheme="minorBidi"/>
                            <w:color w:val="FFFFFF" w:themeColor="background1"/>
                            <w:kern w:val="24"/>
                            <w:sz w:val="20"/>
                            <w:szCs w:val="20"/>
                          </w:rPr>
                          <w:t>MOD16</w:t>
                        </w:r>
                      </w:p>
                      <w:p w14:paraId="07435648" w14:textId="1CAEB2B2" w:rsidR="00F9370A" w:rsidRPr="00D4346C"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0"/>
                            <w:szCs w:val="20"/>
                          </w:rPr>
                        </w:pPr>
                        <w:proofErr w:type="spellStart"/>
                        <w:r w:rsidRPr="00D4346C">
                          <w:rPr>
                            <w:rFonts w:ascii="Century Gothic" w:hAnsi="Century Gothic" w:cstheme="minorBidi"/>
                            <w:color w:val="FFFFFF" w:themeColor="background1"/>
                            <w:kern w:val="24"/>
                            <w:sz w:val="20"/>
                            <w:szCs w:val="20"/>
                          </w:rPr>
                          <w:t>SSEBop</w:t>
                        </w:r>
                        <w:proofErr w:type="spellEnd"/>
                      </w:p>
                    </w:txbxContent>
                  </v:textbox>
                </v:shape>
                <v:shape id="TextBox 40" o:spid="_x0000_s1039" type="#_x0000_t202" style="position:absolute;left:1238;top:8858;width:12478;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56AF7C5C" w14:textId="021CF9B2" w:rsidR="00F9370A" w:rsidRPr="008F4E3A" w:rsidRDefault="00F9370A" w:rsidP="008F4E3A">
                        <w:pPr>
                          <w:pStyle w:val="NormalWeb"/>
                          <w:spacing w:before="0" w:beforeAutospacing="0" w:after="0" w:afterAutospacing="0"/>
                          <w:jc w:val="center"/>
                          <w:rPr>
                            <w:rFonts w:ascii="Century Gothic" w:hAnsi="Century Gothic" w:cstheme="minorBidi"/>
                            <w:color w:val="404040" w:themeColor="text1" w:themeTint="BF"/>
                            <w:kern w:val="24"/>
                            <w:sz w:val="22"/>
                            <w:szCs w:val="20"/>
                          </w:rPr>
                        </w:pPr>
                        <w:r w:rsidRPr="008F4E3A">
                          <w:rPr>
                            <w:rFonts w:ascii="Century Gothic" w:hAnsi="Century Gothic" w:cstheme="minorBidi"/>
                            <w:i/>
                            <w:iCs/>
                            <w:color w:val="404040" w:themeColor="text1" w:themeTint="BF"/>
                            <w:kern w:val="24"/>
                            <w:sz w:val="22"/>
                            <w:szCs w:val="20"/>
                          </w:rPr>
                          <w:t xml:space="preserve">RCEW </w:t>
                        </w:r>
                        <w:r w:rsidRPr="008F4E3A">
                          <w:rPr>
                            <w:rFonts w:ascii="Century Gothic" w:hAnsi="Century Gothic" w:cstheme="minorBidi"/>
                            <w:color w:val="404040" w:themeColor="text1" w:themeTint="BF"/>
                            <w:kern w:val="24"/>
                            <w:sz w:val="22"/>
                            <w:szCs w:val="20"/>
                          </w:rPr>
                          <w:t>ET &amp;</w:t>
                        </w:r>
                      </w:p>
                      <w:p w14:paraId="5104EE9C" w14:textId="5FF814AD" w:rsidR="00F9370A" w:rsidRPr="008F4E3A" w:rsidRDefault="00F9370A" w:rsidP="008F4E3A">
                        <w:pPr>
                          <w:pStyle w:val="NormalWeb"/>
                          <w:spacing w:before="0" w:beforeAutospacing="0" w:after="0" w:afterAutospacing="0"/>
                          <w:jc w:val="center"/>
                          <w:rPr>
                            <w:rFonts w:ascii="Century Gothic" w:hAnsi="Century Gothic" w:cstheme="minorBidi"/>
                            <w:color w:val="404040" w:themeColor="text1" w:themeTint="BF"/>
                            <w:kern w:val="24"/>
                            <w:sz w:val="22"/>
                            <w:szCs w:val="20"/>
                          </w:rPr>
                        </w:pPr>
                        <w:proofErr w:type="gramStart"/>
                        <w:r w:rsidRPr="008F4E3A">
                          <w:rPr>
                            <w:rFonts w:ascii="Century Gothic" w:hAnsi="Century Gothic" w:cstheme="minorBidi"/>
                            <w:color w:val="404040" w:themeColor="text1" w:themeTint="BF"/>
                            <w:kern w:val="24"/>
                            <w:sz w:val="22"/>
                            <w:szCs w:val="20"/>
                          </w:rPr>
                          <w:t>soil</w:t>
                        </w:r>
                        <w:proofErr w:type="gramEnd"/>
                        <w:r w:rsidRPr="008F4E3A">
                          <w:rPr>
                            <w:rFonts w:ascii="Century Gothic" w:hAnsi="Century Gothic" w:cstheme="minorBidi"/>
                            <w:color w:val="404040" w:themeColor="text1" w:themeTint="BF"/>
                            <w:kern w:val="24"/>
                            <w:sz w:val="22"/>
                            <w:szCs w:val="20"/>
                          </w:rPr>
                          <w:t xml:space="preserve"> moisture,</w:t>
                        </w:r>
                      </w:p>
                      <w:p w14:paraId="358F5B45" w14:textId="2CA3D631" w:rsidR="00F9370A" w:rsidRPr="008F4E3A" w:rsidRDefault="00F9370A" w:rsidP="008F4E3A">
                        <w:pPr>
                          <w:pStyle w:val="NormalWeb"/>
                          <w:spacing w:before="0" w:beforeAutospacing="0" w:after="0" w:afterAutospacing="0"/>
                          <w:jc w:val="center"/>
                          <w:rPr>
                            <w:rFonts w:ascii="Century Gothic" w:hAnsi="Century Gothic" w:cstheme="minorBidi"/>
                            <w:color w:val="404040" w:themeColor="text1" w:themeTint="BF"/>
                            <w:kern w:val="24"/>
                            <w:sz w:val="22"/>
                            <w:szCs w:val="20"/>
                          </w:rPr>
                        </w:pPr>
                        <w:r w:rsidRPr="008F4E3A">
                          <w:rPr>
                            <w:rFonts w:ascii="Century Gothic" w:hAnsi="Century Gothic" w:cstheme="minorBidi"/>
                            <w:color w:val="404040" w:themeColor="text1" w:themeTint="BF"/>
                            <w:kern w:val="24"/>
                            <w:sz w:val="22"/>
                            <w:szCs w:val="20"/>
                          </w:rPr>
                          <w:t>MSAVI-2</w:t>
                        </w:r>
                      </w:p>
                    </w:txbxContent>
                  </v:textbox>
                </v:shape>
                <v:shape id="TextBox 35" o:spid="_x0000_s1040" type="#_x0000_t202" style="position:absolute;left:95;top:17237;width:14954;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6BC83079" w14:textId="77777777" w:rsidR="00F9370A" w:rsidRPr="008F4E3A"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2"/>
                            <w:szCs w:val="20"/>
                          </w:rPr>
                        </w:pPr>
                        <w:r w:rsidRPr="008F4E3A">
                          <w:rPr>
                            <w:rFonts w:ascii="Century Gothic" w:hAnsi="Century Gothic" w:cstheme="minorBidi"/>
                            <w:color w:val="FFFFFF" w:themeColor="background1"/>
                            <w:kern w:val="24"/>
                            <w:sz w:val="22"/>
                            <w:szCs w:val="20"/>
                          </w:rPr>
                          <w:t>Other Models:</w:t>
                        </w:r>
                      </w:p>
                      <w:p w14:paraId="493B19E4" w14:textId="1C3FF8CC" w:rsidR="00F9370A" w:rsidRPr="00D4346C" w:rsidRDefault="00F9370A" w:rsidP="008F4E3A">
                        <w:pPr>
                          <w:pStyle w:val="NormalWeb"/>
                          <w:spacing w:before="0" w:beforeAutospacing="0" w:after="0" w:afterAutospacing="0"/>
                          <w:jc w:val="center"/>
                          <w:rPr>
                            <w:rFonts w:ascii="Century Gothic" w:hAnsi="Century Gothic" w:cstheme="minorBidi"/>
                            <w:color w:val="FFFFFF" w:themeColor="background1"/>
                            <w:kern w:val="24"/>
                            <w:sz w:val="20"/>
                            <w:szCs w:val="20"/>
                          </w:rPr>
                        </w:pPr>
                        <w:r w:rsidRPr="00D4346C">
                          <w:rPr>
                            <w:rFonts w:ascii="Century Gothic" w:hAnsi="Century Gothic" w:cstheme="minorBidi"/>
                            <w:color w:val="FFFFFF" w:themeColor="background1"/>
                            <w:kern w:val="24"/>
                            <w:sz w:val="20"/>
                            <w:szCs w:val="20"/>
                          </w:rPr>
                          <w:t>NLDAS-2-Noah</w:t>
                        </w:r>
                      </w:p>
                    </w:txbxContent>
                  </v:textbox>
                </v:shape>
              </v:group>
            </w:pict>
          </mc:Fallback>
        </mc:AlternateContent>
      </w:r>
      <w:r>
        <w:rPr>
          <w:rFonts w:ascii="Garamond" w:eastAsia="Garamond" w:hAnsi="Garamond" w:cs="Garamond"/>
          <w:noProof/>
        </w:rPr>
        <w:drawing>
          <wp:inline distT="0" distB="0" distL="0" distR="0" wp14:anchorId="3D421211" wp14:editId="2ABBFD81">
            <wp:extent cx="5844540" cy="22741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7657" cy="2298659"/>
                    </a:xfrm>
                    <a:prstGeom prst="rect">
                      <a:avLst/>
                    </a:prstGeom>
                    <a:noFill/>
                  </pic:spPr>
                </pic:pic>
              </a:graphicData>
            </a:graphic>
          </wp:inline>
        </w:drawing>
      </w:r>
    </w:p>
    <w:p w14:paraId="41521AFC" w14:textId="77777777" w:rsidR="00377D28" w:rsidRDefault="00377D28">
      <w:pPr>
        <w:spacing w:after="0" w:line="240" w:lineRule="auto"/>
        <w:rPr>
          <w:rFonts w:ascii="Garamond" w:eastAsia="Garamond" w:hAnsi="Garamond" w:cs="Garamond"/>
          <w:b/>
          <w:i/>
        </w:rPr>
      </w:pPr>
    </w:p>
    <w:p w14:paraId="2ACDCA28" w14:textId="6A35077F" w:rsidR="00377D28" w:rsidRDefault="00377D28" w:rsidP="00103AC2">
      <w:pPr>
        <w:spacing w:after="0" w:line="240" w:lineRule="auto"/>
        <w:jc w:val="center"/>
        <w:rPr>
          <w:rFonts w:ascii="Garamond" w:eastAsia="Garamond" w:hAnsi="Garamond" w:cs="Garamond"/>
          <w:b/>
          <w:i/>
        </w:rPr>
      </w:pPr>
      <w:r>
        <w:rPr>
          <w:rFonts w:ascii="Garamond" w:eastAsia="Garamond" w:hAnsi="Garamond" w:cs="Garamond"/>
          <w:i/>
        </w:rPr>
        <w:t xml:space="preserve">Figure 2. </w:t>
      </w:r>
      <w:r w:rsidRPr="007E1296">
        <w:rPr>
          <w:rFonts w:ascii="Garamond" w:eastAsia="Garamond" w:hAnsi="Garamond" w:cs="Garamond"/>
          <w:noProof/>
        </w:rPr>
        <w:t>Flowchart</w:t>
      </w:r>
      <w:r>
        <w:rPr>
          <w:rFonts w:ascii="Garamond" w:eastAsia="Garamond" w:hAnsi="Garamond" w:cs="Garamond"/>
        </w:rPr>
        <w:t xml:space="preserve"> of models used in this project, methodologies, and overall outcomes.</w:t>
      </w:r>
    </w:p>
    <w:p w14:paraId="75536357" w14:textId="122EDC80" w:rsidR="0012258B" w:rsidRDefault="004F7961">
      <w:pPr>
        <w:spacing w:after="0" w:line="240" w:lineRule="auto"/>
        <w:rPr>
          <w:rFonts w:ascii="Garamond" w:eastAsia="Garamond" w:hAnsi="Garamond" w:cs="Garamond"/>
          <w:b/>
          <w:i/>
        </w:rPr>
      </w:pPr>
      <w:r>
        <w:rPr>
          <w:rFonts w:ascii="Garamond" w:eastAsia="Garamond" w:hAnsi="Garamond" w:cs="Garamond"/>
          <w:b/>
          <w:i/>
        </w:rPr>
        <w:lastRenderedPageBreak/>
        <w:t>3.2 Data Processing</w:t>
      </w:r>
    </w:p>
    <w:p w14:paraId="6E657F6B" w14:textId="22F907E8" w:rsidR="00410AF5" w:rsidRDefault="00410AF5" w:rsidP="00410AF5">
      <w:pPr>
        <w:spacing w:after="0" w:line="240" w:lineRule="auto"/>
        <w:rPr>
          <w:rFonts w:ascii="Garamond" w:eastAsia="Garamond" w:hAnsi="Garamond" w:cs="Garamond"/>
        </w:rPr>
      </w:pPr>
      <w:r>
        <w:rPr>
          <w:rFonts w:ascii="Garamond" w:eastAsia="Garamond" w:hAnsi="Garamond" w:cs="Garamond"/>
        </w:rPr>
        <w:t xml:space="preserve">Spatial data were processed with Esri ArcGIS Pro (version 2.2), GEE, and MATLAB (version R2018b). Esri ArcGIS Pro was used to process geospatial files and datasets for RCEW, </w:t>
      </w:r>
      <w:r w:rsidR="000C7D62">
        <w:rPr>
          <w:rFonts w:ascii="Garamond" w:eastAsia="Garamond" w:hAnsi="Garamond" w:cs="Garamond"/>
        </w:rPr>
        <w:t xml:space="preserve">to </w:t>
      </w:r>
      <w:r>
        <w:rPr>
          <w:rFonts w:ascii="Garamond" w:eastAsia="Garamond" w:hAnsi="Garamond" w:cs="Garamond"/>
        </w:rPr>
        <w:t xml:space="preserve">sample ET data, and </w:t>
      </w:r>
      <w:r w:rsidR="000C7D62">
        <w:rPr>
          <w:rFonts w:ascii="Garamond" w:eastAsia="Garamond" w:hAnsi="Garamond" w:cs="Garamond"/>
        </w:rPr>
        <w:t xml:space="preserve">to </w:t>
      </w:r>
      <w:r>
        <w:rPr>
          <w:rFonts w:ascii="Garamond" w:eastAsia="Garamond" w:hAnsi="Garamond" w:cs="Garamond"/>
        </w:rPr>
        <w:t xml:space="preserve">create visual maps and end products. The Reynolds Creek dataset included shapefiles for watershed delineation, instrument location (eddy covariance towers, meteorological stations, and soil moisture sensors), soil type, elevation, and vegetation classification. ET data from the EEFlux and MOD16 modeling tools were downloaded via GEE and processed in Esri ArcGIS Pro. All ET data were clipped to the study area and sampled at eddy covariance tower and soil moisture sensor site locations. Sampling results were exported for further analysis in MATLAB and Excel. </w:t>
      </w:r>
    </w:p>
    <w:p w14:paraId="46D61D50" w14:textId="77777777" w:rsidR="00410AF5" w:rsidRDefault="00410AF5" w:rsidP="00410AF5">
      <w:pPr>
        <w:spacing w:after="0" w:line="240" w:lineRule="auto"/>
        <w:rPr>
          <w:rFonts w:ascii="Garamond" w:eastAsia="Garamond" w:hAnsi="Garamond" w:cs="Garamond"/>
        </w:rPr>
      </w:pPr>
    </w:p>
    <w:p w14:paraId="1F2F6034" w14:textId="0CD65208" w:rsidR="00410AF5" w:rsidRDefault="00410AF5" w:rsidP="00410AF5">
      <w:pPr>
        <w:spacing w:after="0" w:line="240" w:lineRule="auto"/>
        <w:rPr>
          <w:rFonts w:ascii="Garamond" w:eastAsia="Garamond" w:hAnsi="Garamond" w:cs="Garamond"/>
        </w:rPr>
      </w:pPr>
      <w:r>
        <w:rPr>
          <w:rFonts w:ascii="Garamond" w:eastAsia="Garamond" w:hAnsi="Garamond" w:cs="Garamond"/>
        </w:rPr>
        <w:t>To evaluate the relationship between remote</w:t>
      </w:r>
      <w:r w:rsidR="000C7D62">
        <w:rPr>
          <w:rFonts w:ascii="Garamond" w:eastAsia="Garamond" w:hAnsi="Garamond" w:cs="Garamond"/>
        </w:rPr>
        <w:t>ly</w:t>
      </w:r>
      <w:r>
        <w:rPr>
          <w:rFonts w:ascii="Garamond" w:eastAsia="Garamond" w:hAnsi="Garamond" w:cs="Garamond"/>
        </w:rPr>
        <w:t xml:space="preserve"> sensed ET to vegetation type and elevation across the watershed, monthly ET (2015) maps of EEFlux and SSEBop were compared to </w:t>
      </w:r>
      <w:r w:rsidRPr="00103AC2">
        <w:rPr>
          <w:rFonts w:ascii="Garamond" w:eastAsia="Garamond" w:hAnsi="Garamond" w:cs="Garamond"/>
          <w:noProof/>
        </w:rPr>
        <w:t>a RCEW</w:t>
      </w:r>
      <w:r>
        <w:rPr>
          <w:rFonts w:ascii="Garamond" w:eastAsia="Garamond" w:hAnsi="Garamond" w:cs="Garamond"/>
        </w:rPr>
        <w:t xml:space="preserve"> vegetation map and DEM. NLDAS-2-Noah and MOD16 were not analyzed with environmental data due to having poor spatial resolution and abnormally high ET outputs</w:t>
      </w:r>
      <w:r w:rsidR="000C7D62">
        <w:rPr>
          <w:rFonts w:ascii="Garamond" w:eastAsia="Garamond" w:hAnsi="Garamond" w:cs="Garamond"/>
        </w:rPr>
        <w:t>,</w:t>
      </w:r>
      <w:r>
        <w:rPr>
          <w:rFonts w:ascii="Garamond" w:eastAsia="Garamond" w:hAnsi="Garamond" w:cs="Garamond"/>
        </w:rPr>
        <w:t xml:space="preserve"> respectively. Cultivated areas, defined by </w:t>
      </w:r>
      <w:r w:rsidRPr="00103AC2">
        <w:rPr>
          <w:rFonts w:ascii="Garamond" w:eastAsia="Garamond" w:hAnsi="Garamond" w:cs="Garamond"/>
          <w:noProof/>
        </w:rPr>
        <w:t>a RCEW</w:t>
      </w:r>
      <w:r>
        <w:rPr>
          <w:rFonts w:ascii="Garamond" w:eastAsia="Garamond" w:hAnsi="Garamond" w:cs="Garamond"/>
        </w:rPr>
        <w:t xml:space="preserve"> vegetation map, were removed from clipped ET maps with ArcPro raster calculator tool to reduce the influence of </w:t>
      </w:r>
      <w:r w:rsidR="00EC501C">
        <w:rPr>
          <w:rFonts w:ascii="Garamond" w:eastAsia="Garamond" w:hAnsi="Garamond" w:cs="Garamond"/>
        </w:rPr>
        <w:t xml:space="preserve">the </w:t>
      </w:r>
      <w:r>
        <w:rPr>
          <w:rFonts w:ascii="Garamond" w:eastAsia="Garamond" w:hAnsi="Garamond" w:cs="Garamond"/>
        </w:rPr>
        <w:t>abnormally high ET values associated with those areas. The resulting raster image was analyzed with the Arc</w:t>
      </w:r>
      <w:r w:rsidR="004C48F5">
        <w:rPr>
          <w:rFonts w:ascii="Garamond" w:eastAsia="Garamond" w:hAnsi="Garamond" w:cs="Garamond"/>
        </w:rPr>
        <w:t xml:space="preserve">GIS </w:t>
      </w:r>
      <w:r>
        <w:rPr>
          <w:rFonts w:ascii="Garamond" w:eastAsia="Garamond" w:hAnsi="Garamond" w:cs="Garamond"/>
        </w:rPr>
        <w:t xml:space="preserve">Pro zonal statistics tool, evaluating ET and vegetation type </w:t>
      </w:r>
      <w:r w:rsidR="004C48F5">
        <w:rPr>
          <w:rFonts w:ascii="Garamond" w:eastAsia="Garamond" w:hAnsi="Garamond" w:cs="Garamond"/>
        </w:rPr>
        <w:t xml:space="preserve">relative </w:t>
      </w:r>
      <w:r>
        <w:rPr>
          <w:rFonts w:ascii="Garamond" w:eastAsia="Garamond" w:hAnsi="Garamond" w:cs="Garamond"/>
        </w:rPr>
        <w:t xml:space="preserve">to elevation. </w:t>
      </w:r>
      <w:r w:rsidR="00571C94">
        <w:rPr>
          <w:rFonts w:ascii="Garamond" w:eastAsia="Garamond" w:hAnsi="Garamond" w:cs="Garamond"/>
        </w:rPr>
        <w:t xml:space="preserve">Elevation relationships were determined using the ArcGIS Pro zonal statistics tool with EEFlux and SSEBop ET models and the RCEW 1-m DEM. </w:t>
      </w:r>
      <w:r>
        <w:rPr>
          <w:rFonts w:ascii="Garamond" w:eastAsia="Garamond" w:hAnsi="Garamond" w:cs="Garamond"/>
        </w:rPr>
        <w:t xml:space="preserve">Minimum, maximum, mean, and standard deviation </w:t>
      </w:r>
      <w:r w:rsidR="00571C94">
        <w:rPr>
          <w:rFonts w:ascii="Garamond" w:eastAsia="Garamond" w:hAnsi="Garamond" w:cs="Garamond"/>
        </w:rPr>
        <w:t>data from each of the products were</w:t>
      </w:r>
      <w:r>
        <w:rPr>
          <w:rFonts w:ascii="Garamond" w:eastAsia="Garamond" w:hAnsi="Garamond" w:cs="Garamond"/>
        </w:rPr>
        <w:t xml:space="preserve"> exported from ArcGIS Pro to Excel where the data were plotted and compared to the other ET models. </w:t>
      </w:r>
    </w:p>
    <w:p w14:paraId="35AED2EF" w14:textId="45A4BDAA" w:rsidR="0012258B" w:rsidRDefault="00571C94" w:rsidP="00571C94">
      <w:pPr>
        <w:tabs>
          <w:tab w:val="left" w:pos="6690"/>
        </w:tabs>
        <w:spacing w:after="0" w:line="240" w:lineRule="auto"/>
        <w:rPr>
          <w:i/>
          <w:color w:val="1F497D"/>
        </w:rPr>
      </w:pPr>
      <w:r>
        <w:rPr>
          <w:i/>
          <w:color w:val="1F497D"/>
        </w:rPr>
        <w:tab/>
      </w:r>
    </w:p>
    <w:p w14:paraId="4F436C4B" w14:textId="64C34D68" w:rsidR="001B553B" w:rsidRPr="001B553B" w:rsidRDefault="004F7961">
      <w:pPr>
        <w:spacing w:after="0" w:line="240" w:lineRule="auto"/>
        <w:rPr>
          <w:rFonts w:ascii="Garamond" w:eastAsia="Garamond" w:hAnsi="Garamond" w:cs="Garamond"/>
          <w:b/>
          <w:i/>
        </w:rPr>
      </w:pPr>
      <w:r>
        <w:rPr>
          <w:rFonts w:ascii="Garamond" w:eastAsia="Garamond" w:hAnsi="Garamond" w:cs="Garamond"/>
          <w:b/>
          <w:i/>
        </w:rPr>
        <w:t>3.3 Data Analysis</w:t>
      </w:r>
    </w:p>
    <w:p w14:paraId="5423A5D8" w14:textId="6EB5ABEB" w:rsidR="00410AF5" w:rsidRPr="005B2B54" w:rsidRDefault="00410AF5" w:rsidP="00410AF5">
      <w:pPr>
        <w:spacing w:after="0" w:line="240" w:lineRule="auto"/>
        <w:rPr>
          <w:rFonts w:ascii="Garamond" w:eastAsia="Garamond" w:hAnsi="Garamond" w:cs="Garamond"/>
        </w:rPr>
      </w:pPr>
      <w:bookmarkStart w:id="4" w:name="_3znysh7" w:colFirst="0" w:colLast="0"/>
      <w:bookmarkEnd w:id="4"/>
      <w:r>
        <w:rPr>
          <w:rFonts w:ascii="Garamond" w:eastAsia="Garamond" w:hAnsi="Garamond" w:cs="Garamond"/>
        </w:rPr>
        <w:t xml:space="preserve">Relationships between remotely sensed ET and </w:t>
      </w:r>
      <w:r>
        <w:rPr>
          <w:rFonts w:ascii="Garamond" w:eastAsia="Garamond" w:hAnsi="Garamond" w:cs="Garamond"/>
          <w:i/>
        </w:rPr>
        <w:t>in situ</w:t>
      </w:r>
      <w:r>
        <w:rPr>
          <w:rFonts w:ascii="Garamond" w:eastAsia="Garamond" w:hAnsi="Garamond" w:cs="Garamond"/>
        </w:rPr>
        <w:t xml:space="preserve"> ET, as well as soil moisture, precipitation, MSAVI-2, and </w:t>
      </w:r>
      <w:r w:rsidRPr="00DF61B3">
        <w:rPr>
          <w:rFonts w:ascii="Garamond" w:eastAsia="Garamond" w:hAnsi="Garamond" w:cs="Garamond"/>
          <w:noProof/>
        </w:rPr>
        <w:t>elevation</w:t>
      </w:r>
      <w:r w:rsidR="00DF61B3" w:rsidRPr="00103AC2">
        <w:rPr>
          <w:rFonts w:ascii="Garamond" w:eastAsia="Garamond" w:hAnsi="Garamond" w:cs="Garamond"/>
          <w:noProof/>
        </w:rPr>
        <w:t>,</w:t>
      </w:r>
      <w:r>
        <w:rPr>
          <w:rFonts w:ascii="Garamond" w:eastAsia="Garamond" w:hAnsi="Garamond" w:cs="Garamond"/>
        </w:rPr>
        <w:t xml:space="preserve"> were completed using the Microsoft Excel regression tool and MATLAB </w:t>
      </w:r>
      <w:r w:rsidRPr="007E1296">
        <w:rPr>
          <w:rFonts w:ascii="Garamond" w:eastAsia="Garamond" w:hAnsi="Garamond" w:cs="Garamond"/>
          <w:noProof/>
        </w:rPr>
        <w:t>xcorr</w:t>
      </w:r>
      <w:r>
        <w:rPr>
          <w:rFonts w:ascii="Garamond" w:eastAsia="Garamond" w:hAnsi="Garamond" w:cs="Garamond"/>
        </w:rPr>
        <w:t xml:space="preserve"> cross-correlation tool. Linear regressions were analyzed between remotely sensed ET and </w:t>
      </w:r>
      <w:r>
        <w:rPr>
          <w:rFonts w:ascii="Garamond" w:eastAsia="Garamond" w:hAnsi="Garamond" w:cs="Garamond"/>
          <w:i/>
        </w:rPr>
        <w:t>in situ</w:t>
      </w:r>
      <w:r>
        <w:rPr>
          <w:rFonts w:ascii="Garamond" w:eastAsia="Garamond" w:hAnsi="Garamond" w:cs="Garamond"/>
        </w:rPr>
        <w:t xml:space="preserve"> measurements at each eddy covariance site producing regression coefficients (r</w:t>
      </w:r>
      <w:r>
        <w:rPr>
          <w:rFonts w:ascii="Garamond" w:eastAsia="Garamond" w:hAnsi="Garamond" w:cs="Garamond"/>
          <w:vertAlign w:val="superscript"/>
        </w:rPr>
        <w:t>2</w:t>
      </w:r>
      <w:r>
        <w:rPr>
          <w:rFonts w:ascii="Garamond" w:eastAsia="Garamond" w:hAnsi="Garamond" w:cs="Garamond"/>
        </w:rPr>
        <w:t xml:space="preserve"> values). The time-lag correlation between modeled and </w:t>
      </w:r>
      <w:r>
        <w:rPr>
          <w:rFonts w:ascii="Garamond" w:eastAsia="Garamond" w:hAnsi="Garamond" w:cs="Garamond"/>
          <w:i/>
        </w:rPr>
        <w:t xml:space="preserve">in situ </w:t>
      </w:r>
      <w:r>
        <w:rPr>
          <w:rFonts w:ascii="Garamond" w:eastAsia="Garamond" w:hAnsi="Garamond" w:cs="Garamond"/>
        </w:rPr>
        <w:t>ET measurements</w:t>
      </w:r>
      <w:r w:rsidR="00103AC2">
        <w:rPr>
          <w:rFonts w:ascii="Garamond" w:eastAsia="Garamond" w:hAnsi="Garamond" w:cs="Garamond"/>
        </w:rPr>
        <w:t>,</w:t>
      </w:r>
      <w:r>
        <w:rPr>
          <w:rFonts w:ascii="Garamond" w:eastAsia="Garamond" w:hAnsi="Garamond" w:cs="Garamond"/>
        </w:rPr>
        <w:t xml:space="preserve"> relative to environmental variables</w:t>
      </w:r>
      <w:r w:rsidR="00103AC2">
        <w:rPr>
          <w:rFonts w:ascii="Garamond" w:eastAsia="Garamond" w:hAnsi="Garamond" w:cs="Garamond"/>
        </w:rPr>
        <w:t>,</w:t>
      </w:r>
      <w:r>
        <w:rPr>
          <w:rFonts w:ascii="Garamond" w:eastAsia="Garamond" w:hAnsi="Garamond" w:cs="Garamond"/>
        </w:rPr>
        <w:t xml:space="preserve"> </w:t>
      </w:r>
      <w:r w:rsidR="007E1296" w:rsidRPr="00103AC2">
        <w:rPr>
          <w:rFonts w:ascii="Garamond" w:eastAsia="Garamond" w:hAnsi="Garamond" w:cs="Garamond"/>
          <w:noProof/>
        </w:rPr>
        <w:t>was</w:t>
      </w:r>
      <w:r w:rsidR="00DF61B3">
        <w:rPr>
          <w:rFonts w:ascii="Garamond" w:eastAsia="Garamond" w:hAnsi="Garamond" w:cs="Garamond"/>
        </w:rPr>
        <w:t xml:space="preserve"> </w:t>
      </w:r>
      <w:r>
        <w:rPr>
          <w:rFonts w:ascii="Garamond" w:eastAsia="Garamond" w:hAnsi="Garamond" w:cs="Garamond"/>
        </w:rPr>
        <w:t xml:space="preserve">assessed in MATLAB with the </w:t>
      </w:r>
      <w:r w:rsidRPr="007E1296">
        <w:rPr>
          <w:rFonts w:ascii="Garamond" w:eastAsia="Garamond" w:hAnsi="Garamond" w:cs="Garamond"/>
          <w:noProof/>
        </w:rPr>
        <w:t>xcorr</w:t>
      </w:r>
      <w:r>
        <w:rPr>
          <w:rFonts w:ascii="Garamond" w:eastAsia="Garamond" w:hAnsi="Garamond" w:cs="Garamond"/>
        </w:rPr>
        <w:t xml:space="preserve"> function. Exact </w:t>
      </w:r>
      <w:r w:rsidRPr="001A27F9">
        <w:rPr>
          <w:rFonts w:ascii="Garamond" w:eastAsia="Garamond" w:hAnsi="Garamond" w:cs="Garamond"/>
        </w:rPr>
        <w:t>r</w:t>
      </w:r>
      <w:r>
        <w:rPr>
          <w:rFonts w:ascii="Garamond" w:eastAsia="Garamond" w:hAnsi="Garamond" w:cs="Garamond"/>
          <w:vertAlign w:val="superscript"/>
        </w:rPr>
        <w:t>2</w:t>
      </w:r>
      <w:r>
        <w:rPr>
          <w:rFonts w:ascii="Garamond" w:eastAsia="Garamond" w:hAnsi="Garamond" w:cs="Garamond"/>
        </w:rPr>
        <w:t xml:space="preserve"> values are relative to the application; however, r</w:t>
      </w:r>
      <w:r>
        <w:rPr>
          <w:rFonts w:ascii="Garamond" w:eastAsia="Garamond" w:hAnsi="Garamond" w:cs="Garamond"/>
          <w:vertAlign w:val="superscript"/>
        </w:rPr>
        <w:t>2</w:t>
      </w:r>
      <w:r>
        <w:rPr>
          <w:rFonts w:ascii="Garamond" w:eastAsia="Garamond" w:hAnsi="Garamond" w:cs="Garamond"/>
        </w:rPr>
        <w:t xml:space="preserve"> &lt; 0.3</w:t>
      </w:r>
      <w:r w:rsidR="004C48F5">
        <w:rPr>
          <w:rFonts w:ascii="Garamond" w:eastAsia="Garamond" w:hAnsi="Garamond" w:cs="Garamond"/>
        </w:rPr>
        <w:t>,</w:t>
      </w:r>
      <w:r>
        <w:rPr>
          <w:rFonts w:ascii="Garamond" w:eastAsia="Garamond" w:hAnsi="Garamond" w:cs="Garamond"/>
        </w:rPr>
        <w:t xml:space="preserve"> r</w:t>
      </w:r>
      <w:r>
        <w:rPr>
          <w:rFonts w:ascii="Garamond" w:eastAsia="Garamond" w:hAnsi="Garamond" w:cs="Garamond"/>
          <w:vertAlign w:val="superscript"/>
        </w:rPr>
        <w:t xml:space="preserve">2 </w:t>
      </w:r>
      <w:r>
        <w:rPr>
          <w:rFonts w:ascii="Garamond" w:eastAsia="Garamond" w:hAnsi="Garamond" w:cs="Garamond"/>
        </w:rPr>
        <w:t>=</w:t>
      </w:r>
      <w:r>
        <w:rPr>
          <w:rFonts w:ascii="Garamond" w:eastAsia="Garamond" w:hAnsi="Garamond" w:cs="Garamond"/>
          <w:vertAlign w:val="superscript"/>
        </w:rPr>
        <w:t xml:space="preserve"> </w:t>
      </w:r>
      <w:r>
        <w:rPr>
          <w:rFonts w:ascii="Garamond" w:eastAsia="Garamond" w:hAnsi="Garamond" w:cs="Garamond"/>
        </w:rPr>
        <w:t>0.3-0.7, and r</w:t>
      </w:r>
      <w:r>
        <w:rPr>
          <w:rFonts w:ascii="Garamond" w:eastAsia="Garamond" w:hAnsi="Garamond" w:cs="Garamond"/>
          <w:vertAlign w:val="superscript"/>
        </w:rPr>
        <w:t>2</w:t>
      </w:r>
      <w:r>
        <w:rPr>
          <w:rFonts w:ascii="Garamond" w:eastAsia="Garamond" w:hAnsi="Garamond" w:cs="Garamond"/>
        </w:rPr>
        <w:t xml:space="preserve"> &gt; 0.7 were considered weak, moderate</w:t>
      </w:r>
      <w:r w:rsidR="004C48F5">
        <w:rPr>
          <w:rFonts w:ascii="Garamond" w:eastAsia="Garamond" w:hAnsi="Garamond" w:cs="Garamond"/>
        </w:rPr>
        <w:t>,</w:t>
      </w:r>
      <w:r>
        <w:rPr>
          <w:rFonts w:ascii="Garamond" w:eastAsia="Garamond" w:hAnsi="Garamond" w:cs="Garamond"/>
        </w:rPr>
        <w:t xml:space="preserve"> and strong respectively.</w:t>
      </w:r>
    </w:p>
    <w:p w14:paraId="0BD58440" w14:textId="31911360" w:rsidR="0012258B" w:rsidRDefault="004F7961">
      <w:pPr>
        <w:pStyle w:val="Heading1"/>
        <w:rPr>
          <w:rFonts w:ascii="Garamond" w:eastAsia="Garamond" w:hAnsi="Garamond" w:cs="Garamond"/>
        </w:rPr>
      </w:pPr>
      <w:r>
        <w:rPr>
          <w:rFonts w:ascii="Garamond" w:eastAsia="Garamond" w:hAnsi="Garamond" w:cs="Garamond"/>
        </w:rPr>
        <w:t>4. Results &amp; Discussion</w:t>
      </w:r>
    </w:p>
    <w:p w14:paraId="4E850551" w14:textId="40D99BCA" w:rsidR="0012258B" w:rsidRDefault="004F7961">
      <w:pPr>
        <w:spacing w:after="0" w:line="240" w:lineRule="auto"/>
        <w:rPr>
          <w:rFonts w:ascii="Garamond" w:eastAsia="Garamond" w:hAnsi="Garamond" w:cs="Garamond"/>
          <w:b/>
          <w:i/>
        </w:rPr>
      </w:pPr>
      <w:r>
        <w:rPr>
          <w:rFonts w:ascii="Garamond" w:eastAsia="Garamond" w:hAnsi="Garamond" w:cs="Garamond"/>
          <w:b/>
          <w:i/>
        </w:rPr>
        <w:t>4.1 Analysis of Results</w:t>
      </w:r>
    </w:p>
    <w:p w14:paraId="62709D24" w14:textId="66D89FCC" w:rsidR="00410AF5" w:rsidRDefault="00EC501C" w:rsidP="00410AF5">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Based on the minimum resolution of their model inputs, S</w:t>
      </w:r>
      <w:r w:rsidR="00410AF5">
        <w:rPr>
          <w:rFonts w:ascii="Garamond" w:eastAsia="Garamond" w:hAnsi="Garamond" w:cs="Garamond"/>
          <w:color w:val="000000"/>
        </w:rPr>
        <w:t xml:space="preserve">patial and temporal resolutions vary with different ET datasets. Spatial resolutions ranged from ~12 km (NLDAS-2-Noah) to 30 m (EEFlux), shown in Figure </w:t>
      </w:r>
      <w:r w:rsidR="008A185A">
        <w:rPr>
          <w:rFonts w:ascii="Garamond" w:eastAsia="Garamond" w:hAnsi="Garamond" w:cs="Garamond"/>
          <w:color w:val="000000"/>
        </w:rPr>
        <w:t>3</w:t>
      </w:r>
      <w:r w:rsidR="00410AF5">
        <w:rPr>
          <w:rFonts w:ascii="Garamond" w:eastAsia="Garamond" w:hAnsi="Garamond" w:cs="Garamond"/>
          <w:color w:val="000000"/>
        </w:rPr>
        <w:t xml:space="preserve">, and temporal resolutions ranged from 10-day (SSEBop) to hourly (NLDAS-2-Noah). MOD16, SSEBop, and EEFlux data produced unique ET measurements at each validation site. However, the low spatial resolution of NLDAS-2-Noah model divided the four eddy covariance towers into only two unique pixels, </w:t>
      </w:r>
      <w:r w:rsidR="00410AF5">
        <w:rPr>
          <w:rFonts w:ascii="Garamond" w:eastAsia="Garamond" w:hAnsi="Garamond" w:cs="Garamond"/>
        </w:rPr>
        <w:t>split between comparatively higher and lower elevation validation sites</w:t>
      </w:r>
      <w:r w:rsidR="00410AF5">
        <w:rPr>
          <w:rFonts w:ascii="Garamond" w:eastAsia="Garamond" w:hAnsi="Garamond" w:cs="Garamond"/>
          <w:color w:val="000000"/>
        </w:rPr>
        <w:t xml:space="preserve">. Datasets were kept at their native spatial resolution, and comparisons between </w:t>
      </w:r>
      <w:r w:rsidR="00410AF5">
        <w:rPr>
          <w:rFonts w:ascii="Garamond" w:eastAsia="Garamond" w:hAnsi="Garamond" w:cs="Garamond"/>
          <w:i/>
          <w:color w:val="000000"/>
        </w:rPr>
        <w:t xml:space="preserve">in </w:t>
      </w:r>
      <w:r w:rsidR="00410AF5" w:rsidRPr="002F1C84">
        <w:rPr>
          <w:rFonts w:ascii="Garamond" w:eastAsia="Garamond" w:hAnsi="Garamond" w:cs="Garamond"/>
          <w:i/>
          <w:color w:val="000000"/>
        </w:rPr>
        <w:t>situ</w:t>
      </w:r>
      <w:r w:rsidR="00410AF5">
        <w:rPr>
          <w:rFonts w:ascii="Garamond" w:eastAsia="Garamond" w:hAnsi="Garamond" w:cs="Garamond"/>
          <w:i/>
          <w:color w:val="000000"/>
        </w:rPr>
        <w:t xml:space="preserve"> </w:t>
      </w:r>
      <w:r w:rsidR="00410AF5">
        <w:rPr>
          <w:rFonts w:ascii="Garamond" w:eastAsia="Garamond" w:hAnsi="Garamond" w:cs="Garamond"/>
          <w:color w:val="000000"/>
        </w:rPr>
        <w:t>data and remotely sensed data were analyzed at monthly averages.</w:t>
      </w:r>
      <w:r w:rsidR="00D563E1">
        <w:rPr>
          <w:rFonts w:ascii="Garamond" w:eastAsia="Garamond" w:hAnsi="Garamond" w:cs="Garamond"/>
          <w:color w:val="000000"/>
        </w:rPr>
        <w:t xml:space="preserve"> A time series of RCEW </w:t>
      </w:r>
      <w:r w:rsidR="00D563E1">
        <w:rPr>
          <w:rFonts w:ascii="Garamond" w:eastAsia="Garamond" w:hAnsi="Garamond" w:cs="Garamond"/>
          <w:i/>
          <w:color w:val="000000"/>
        </w:rPr>
        <w:t xml:space="preserve">in situ </w:t>
      </w:r>
      <w:r w:rsidR="00D563E1">
        <w:rPr>
          <w:rFonts w:ascii="Garamond" w:eastAsia="Garamond" w:hAnsi="Garamond" w:cs="Garamond"/>
          <w:color w:val="000000"/>
        </w:rPr>
        <w:t>ET for visual comparison is shown in Figure 4.</w:t>
      </w:r>
    </w:p>
    <w:p w14:paraId="05B75958" w14:textId="4EF638D7" w:rsidR="0078146F" w:rsidRDefault="0078146F">
      <w:pPr>
        <w:pBdr>
          <w:top w:val="nil"/>
          <w:left w:val="nil"/>
          <w:bottom w:val="nil"/>
          <w:right w:val="nil"/>
          <w:between w:val="nil"/>
        </w:pBdr>
        <w:spacing w:after="0" w:line="240" w:lineRule="auto"/>
        <w:rPr>
          <w:rFonts w:ascii="Garamond" w:eastAsia="Garamond" w:hAnsi="Garamond" w:cs="Garamond"/>
          <w:color w:val="000000"/>
        </w:rPr>
      </w:pPr>
    </w:p>
    <w:p w14:paraId="41D41F42" w14:textId="705DB190" w:rsidR="0078146F" w:rsidRDefault="005D434F" w:rsidP="00C7538F">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noProof/>
          <w:color w:val="000000"/>
        </w:rPr>
        <w:lastRenderedPageBreak/>
        <mc:AlternateContent>
          <mc:Choice Requires="wpg">
            <w:drawing>
              <wp:anchor distT="0" distB="0" distL="114300" distR="114300" simplePos="0" relativeHeight="251700224" behindDoc="0" locked="0" layoutInCell="1" allowOverlap="1" wp14:anchorId="5571DC92" wp14:editId="0EE25F71">
                <wp:simplePos x="0" y="0"/>
                <wp:positionH relativeFrom="column">
                  <wp:posOffset>4614530</wp:posOffset>
                </wp:positionH>
                <wp:positionV relativeFrom="paragraph">
                  <wp:posOffset>808074</wp:posOffset>
                </wp:positionV>
                <wp:extent cx="1030013" cy="1498621"/>
                <wp:effectExtent l="0" t="0" r="0" b="0"/>
                <wp:wrapNone/>
                <wp:docPr id="103" name="Group 103"/>
                <wp:cNvGraphicFramePr/>
                <a:graphic xmlns:a="http://schemas.openxmlformats.org/drawingml/2006/main">
                  <a:graphicData uri="http://schemas.microsoft.com/office/word/2010/wordprocessingGroup">
                    <wpg:wgp>
                      <wpg:cNvGrpSpPr/>
                      <wpg:grpSpPr>
                        <a:xfrm>
                          <a:off x="0" y="0"/>
                          <a:ext cx="1030013" cy="1498621"/>
                          <a:chOff x="0" y="0"/>
                          <a:chExt cx="1030013" cy="1498621"/>
                        </a:xfrm>
                      </wpg:grpSpPr>
                      <wps:wsp>
                        <wps:cNvPr id="13" name="TextBox 43"/>
                        <wps:cNvSpPr txBox="1"/>
                        <wps:spPr>
                          <a:xfrm>
                            <a:off x="0" y="0"/>
                            <a:ext cx="994410" cy="200660"/>
                          </a:xfrm>
                          <a:prstGeom prst="rect">
                            <a:avLst/>
                          </a:prstGeom>
                        </wps:spPr>
                        <wps:txbx>
                          <w:txbxContent>
                            <w:p w14:paraId="122A077A" w14:textId="77777777" w:rsidR="00F9370A" w:rsidRPr="0078146F" w:rsidRDefault="00F9370A" w:rsidP="00C7538F">
                              <w:pPr>
                                <w:pStyle w:val="NormalWeb"/>
                                <w:spacing w:before="0" w:beforeAutospacing="0" w:after="0" w:afterAutospacing="0"/>
                                <w:jc w:val="both"/>
                                <w:rPr>
                                  <w:rFonts w:ascii="Century Gothic" w:hAnsi="Century Gothic"/>
                                  <w:sz w:val="14"/>
                                  <w:szCs w:val="22"/>
                                </w:rPr>
                              </w:pPr>
                              <w:r w:rsidRPr="0078146F">
                                <w:rPr>
                                  <w:rFonts w:ascii="Century Gothic" w:hAnsi="Century Gothic" w:cstheme="minorBidi"/>
                                  <w:b/>
                                  <w:bCs/>
                                  <w:color w:val="404040" w:themeColor="text1" w:themeTint="BF"/>
                                  <w:kern w:val="24"/>
                                  <w:sz w:val="14"/>
                                  <w:szCs w:val="22"/>
                                </w:rPr>
                                <w:t>Evapotranspiration</w:t>
                              </w:r>
                            </w:p>
                          </w:txbxContent>
                        </wps:txbx>
                        <wps:bodyPr wrap="square" numCol="1" spcCol="640080" rtlCol="0">
                          <a:spAutoFit/>
                        </wps:bodyPr>
                      </wps:wsp>
                      <wps:wsp>
                        <wps:cNvPr id="15" name="TextBox 38"/>
                        <wps:cNvSpPr txBox="1"/>
                        <wps:spPr>
                          <a:xfrm>
                            <a:off x="276431" y="999415"/>
                            <a:ext cx="292735" cy="215900"/>
                          </a:xfrm>
                          <a:prstGeom prst="rect">
                            <a:avLst/>
                          </a:prstGeom>
                        </wps:spPr>
                        <wps:txbx>
                          <w:txbxContent>
                            <w:p w14:paraId="39B0AE5C" w14:textId="77777777" w:rsidR="00F9370A" w:rsidRPr="0078146F" w:rsidRDefault="00F9370A" w:rsidP="00C7538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0</w:t>
                              </w:r>
                            </w:p>
                          </w:txbxContent>
                        </wps:txbx>
                        <wps:bodyPr wrap="square" numCol="1" spcCol="640080" rtlCol="0">
                          <a:spAutoFit/>
                        </wps:bodyPr>
                      </wps:wsp>
                      <wps:wsp>
                        <wps:cNvPr id="16" name="TextBox 38"/>
                        <wps:cNvSpPr txBox="1"/>
                        <wps:spPr>
                          <a:xfrm>
                            <a:off x="255167" y="170113"/>
                            <a:ext cx="400050" cy="215900"/>
                          </a:xfrm>
                          <a:prstGeom prst="rect">
                            <a:avLst/>
                          </a:prstGeom>
                        </wps:spPr>
                        <wps:txbx>
                          <w:txbxContent>
                            <w:p w14:paraId="03F8E68C" w14:textId="5F9CBB14" w:rsidR="00F9370A" w:rsidRPr="0078146F" w:rsidRDefault="00F9370A" w:rsidP="00C7538F">
                              <w:pPr>
                                <w:pStyle w:val="NormalWeb"/>
                                <w:spacing w:before="0" w:beforeAutospacing="0" w:after="0" w:afterAutospacing="0"/>
                                <w:jc w:val="both"/>
                                <w:rPr>
                                  <w:rFonts w:ascii="Century Gothic" w:hAnsi="Century Gothic"/>
                                  <w:sz w:val="16"/>
                                </w:rPr>
                              </w:pPr>
                              <w:r>
                                <w:rPr>
                                  <w:rFonts w:ascii="Century Gothic" w:hAnsi="Century Gothic" w:cstheme="minorBidi"/>
                                  <w:b/>
                                  <w:bCs/>
                                  <w:color w:val="404040" w:themeColor="text1" w:themeTint="BF"/>
                                  <w:kern w:val="24"/>
                                  <w:sz w:val="16"/>
                                </w:rPr>
                                <w:t>15</w:t>
                              </w:r>
                            </w:p>
                          </w:txbxContent>
                        </wps:txbx>
                        <wps:bodyPr wrap="square" numCol="1" spcCol="640080" rtlCol="0">
                          <a:spAutoFit/>
                        </wps:bodyPr>
                      </wps:wsp>
                      <wps:wsp>
                        <wps:cNvPr id="17" name="TextBox 26"/>
                        <wps:cNvSpPr txBox="1"/>
                        <wps:spPr>
                          <a:xfrm>
                            <a:off x="287063" y="467812"/>
                            <a:ext cx="742950" cy="340360"/>
                          </a:xfrm>
                          <a:prstGeom prst="rect">
                            <a:avLst/>
                          </a:prstGeom>
                        </wps:spPr>
                        <wps:txbx>
                          <w:txbxContent>
                            <w:p w14:paraId="21DA1050" w14:textId="77777777" w:rsidR="00F9370A" w:rsidRPr="0078146F" w:rsidRDefault="00F9370A" w:rsidP="00C7538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 xml:space="preserve"> (mm/ </w:t>
                              </w:r>
                            </w:p>
                            <w:p w14:paraId="45B0A33B" w14:textId="38784B5C" w:rsidR="00F9370A" w:rsidRPr="0078146F" w:rsidRDefault="00F9370A" w:rsidP="00C7538F">
                              <w:pPr>
                                <w:pStyle w:val="NormalWeb"/>
                                <w:spacing w:before="0" w:beforeAutospacing="0" w:after="0" w:afterAutospacing="0"/>
                                <w:jc w:val="both"/>
                                <w:rPr>
                                  <w:rFonts w:ascii="Century Gothic" w:hAnsi="Century Gothic"/>
                                  <w:sz w:val="16"/>
                                  <w:szCs w:val="16"/>
                                </w:rPr>
                              </w:pPr>
                              <w:r>
                                <w:rPr>
                                  <w:rFonts w:ascii="Century Gothic" w:hAnsi="Century Gothic" w:cstheme="minorBidi"/>
                                  <w:b/>
                                  <w:bCs/>
                                  <w:color w:val="404040" w:themeColor="text1" w:themeTint="BF"/>
                                  <w:kern w:val="24"/>
                                  <w:sz w:val="16"/>
                                  <w:szCs w:val="16"/>
                                </w:rPr>
                                <w:t>8 days</w:t>
                              </w:r>
                              <w:r w:rsidRPr="0078146F">
                                <w:rPr>
                                  <w:rFonts w:ascii="Century Gothic" w:hAnsi="Century Gothic" w:cstheme="minorBidi"/>
                                  <w:b/>
                                  <w:bCs/>
                                  <w:color w:val="404040" w:themeColor="text1" w:themeTint="BF"/>
                                  <w:kern w:val="24"/>
                                  <w:sz w:val="16"/>
                                  <w:szCs w:val="16"/>
                                </w:rPr>
                                <w:t>)</w:t>
                              </w:r>
                            </w:p>
                          </w:txbxContent>
                        </wps:txbx>
                        <wps:bodyPr wrap="square" numCol="1" spcCol="640080" rtlCol="0">
                          <a:spAutoFit/>
                        </wps:bodyPr>
                      </wps:wsp>
                      <wps:wsp>
                        <wps:cNvPr id="18" name="TextBox 40"/>
                        <wps:cNvSpPr txBox="1"/>
                        <wps:spPr>
                          <a:xfrm>
                            <a:off x="255171" y="1158896"/>
                            <a:ext cx="534035" cy="339725"/>
                          </a:xfrm>
                          <a:prstGeom prst="rect">
                            <a:avLst/>
                          </a:prstGeom>
                        </wps:spPr>
                        <wps:txbx>
                          <w:txbxContent>
                            <w:p w14:paraId="75A795FB" w14:textId="77777777" w:rsidR="00F9370A" w:rsidRPr="0078146F" w:rsidRDefault="00F9370A" w:rsidP="00C7538F">
                              <w:pPr>
                                <w:pStyle w:val="NormalWeb"/>
                                <w:spacing w:before="0" w:beforeAutospacing="0" w:after="0" w:afterAutospacing="0"/>
                                <w:jc w:val="both"/>
                                <w:rPr>
                                  <w:sz w:val="16"/>
                                </w:rPr>
                              </w:pPr>
                              <w:r>
                                <w:rPr>
                                  <w:rFonts w:asciiTheme="majorHAnsi" w:hAnsi="Calibri" w:cstheme="minorBidi"/>
                                  <w:b/>
                                  <w:bCs/>
                                  <w:color w:val="404040" w:themeColor="text1" w:themeTint="BF"/>
                                  <w:kern w:val="24"/>
                                  <w:sz w:val="16"/>
                                </w:rPr>
                                <w:t xml:space="preserve">E.C. </w:t>
                              </w:r>
                              <w:r w:rsidRPr="0078146F">
                                <w:rPr>
                                  <w:rFonts w:asciiTheme="majorHAnsi" w:hAnsi="Calibri" w:cstheme="minorBidi"/>
                                  <w:b/>
                                  <w:bCs/>
                                  <w:color w:val="404040" w:themeColor="text1" w:themeTint="BF"/>
                                  <w:kern w:val="24"/>
                                  <w:sz w:val="16"/>
                                </w:rPr>
                                <w:t>Flux Towers</w:t>
                              </w:r>
                            </w:p>
                          </w:txbxContent>
                        </wps:txbx>
                        <wps:bodyPr wrap="square" numCol="1" spcCol="640080" rtlCol="0">
                          <a:spAutoFit/>
                        </wps:bodyPr>
                      </wps:wsp>
                    </wpg:wgp>
                  </a:graphicData>
                </a:graphic>
              </wp:anchor>
            </w:drawing>
          </mc:Choice>
          <mc:Fallback>
            <w:pict>
              <v:group w14:anchorId="5571DC92" id="Group 103" o:spid="_x0000_s1041" style="position:absolute;left:0;text-align:left;margin-left:363.35pt;margin-top:63.65pt;width:81.1pt;height:118pt;z-index:251700224" coordsize="10300,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">
                <v:shape id="TextBox 43" o:spid="_x0000_s1042" type="#_x0000_t202" style="position:absolute;width:994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22A077A" w14:textId="77777777" w:rsidR="00F9370A" w:rsidRPr="0078146F" w:rsidRDefault="00F9370A" w:rsidP="00C7538F">
                        <w:pPr>
                          <w:pStyle w:val="NormalWeb"/>
                          <w:spacing w:before="0" w:beforeAutospacing="0" w:after="0" w:afterAutospacing="0"/>
                          <w:jc w:val="both"/>
                          <w:rPr>
                            <w:rFonts w:ascii="Century Gothic" w:hAnsi="Century Gothic"/>
                            <w:sz w:val="14"/>
                            <w:szCs w:val="22"/>
                          </w:rPr>
                        </w:pPr>
                        <w:r w:rsidRPr="0078146F">
                          <w:rPr>
                            <w:rFonts w:ascii="Century Gothic" w:hAnsi="Century Gothic" w:cstheme="minorBidi"/>
                            <w:b/>
                            <w:bCs/>
                            <w:color w:val="404040" w:themeColor="text1" w:themeTint="BF"/>
                            <w:kern w:val="24"/>
                            <w:sz w:val="14"/>
                            <w:szCs w:val="22"/>
                          </w:rPr>
                          <w:t>Evapotranspiration</w:t>
                        </w:r>
                      </w:p>
                    </w:txbxContent>
                  </v:textbox>
                </v:shape>
                <v:shape id="TextBox 38" o:spid="_x0000_s1043" type="#_x0000_t202" style="position:absolute;left:2764;top:9994;width:292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9B0AE5C" w14:textId="77777777" w:rsidR="00F9370A" w:rsidRPr="0078146F" w:rsidRDefault="00F9370A" w:rsidP="00C7538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0</w:t>
                        </w:r>
                      </w:p>
                    </w:txbxContent>
                  </v:textbox>
                </v:shape>
                <v:shape id="TextBox 38" o:spid="_x0000_s1044" type="#_x0000_t202" style="position:absolute;left:2551;top:1701;width:40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3F8E68C" w14:textId="5F9CBB14" w:rsidR="00F9370A" w:rsidRPr="0078146F" w:rsidRDefault="00F9370A" w:rsidP="00C7538F">
                        <w:pPr>
                          <w:pStyle w:val="NormalWeb"/>
                          <w:spacing w:before="0" w:beforeAutospacing="0" w:after="0" w:afterAutospacing="0"/>
                          <w:jc w:val="both"/>
                          <w:rPr>
                            <w:rFonts w:ascii="Century Gothic" w:hAnsi="Century Gothic"/>
                            <w:sz w:val="16"/>
                          </w:rPr>
                        </w:pPr>
                        <w:r>
                          <w:rPr>
                            <w:rFonts w:ascii="Century Gothic" w:hAnsi="Century Gothic" w:cstheme="minorBidi"/>
                            <w:b/>
                            <w:bCs/>
                            <w:color w:val="404040" w:themeColor="text1" w:themeTint="BF"/>
                            <w:kern w:val="24"/>
                            <w:sz w:val="16"/>
                          </w:rPr>
                          <w:t>15</w:t>
                        </w:r>
                      </w:p>
                    </w:txbxContent>
                  </v:textbox>
                </v:shape>
                <v:shape id="TextBox 26" o:spid="_x0000_s1045" type="#_x0000_t202" style="position:absolute;left:2870;top:4678;width:743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1DA1050" w14:textId="77777777" w:rsidR="00F9370A" w:rsidRPr="0078146F" w:rsidRDefault="00F9370A" w:rsidP="00C7538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 xml:space="preserve"> (</w:t>
                        </w:r>
                        <w:proofErr w:type="gramStart"/>
                        <w:r w:rsidRPr="0078146F">
                          <w:rPr>
                            <w:rFonts w:ascii="Century Gothic" w:hAnsi="Century Gothic" w:cstheme="minorBidi"/>
                            <w:b/>
                            <w:bCs/>
                            <w:color w:val="404040" w:themeColor="text1" w:themeTint="BF"/>
                            <w:kern w:val="24"/>
                            <w:sz w:val="16"/>
                            <w:szCs w:val="16"/>
                          </w:rPr>
                          <w:t>mm</w:t>
                        </w:r>
                        <w:proofErr w:type="gramEnd"/>
                        <w:r w:rsidRPr="0078146F">
                          <w:rPr>
                            <w:rFonts w:ascii="Century Gothic" w:hAnsi="Century Gothic" w:cstheme="minorBidi"/>
                            <w:b/>
                            <w:bCs/>
                            <w:color w:val="404040" w:themeColor="text1" w:themeTint="BF"/>
                            <w:kern w:val="24"/>
                            <w:sz w:val="16"/>
                            <w:szCs w:val="16"/>
                          </w:rPr>
                          <w:t xml:space="preserve">/ </w:t>
                        </w:r>
                      </w:p>
                      <w:p w14:paraId="45B0A33B" w14:textId="38784B5C" w:rsidR="00F9370A" w:rsidRPr="0078146F" w:rsidRDefault="00F9370A" w:rsidP="00C7538F">
                        <w:pPr>
                          <w:pStyle w:val="NormalWeb"/>
                          <w:spacing w:before="0" w:beforeAutospacing="0" w:after="0" w:afterAutospacing="0"/>
                          <w:jc w:val="both"/>
                          <w:rPr>
                            <w:rFonts w:ascii="Century Gothic" w:hAnsi="Century Gothic"/>
                            <w:sz w:val="16"/>
                            <w:szCs w:val="16"/>
                          </w:rPr>
                        </w:pPr>
                        <w:r>
                          <w:rPr>
                            <w:rFonts w:ascii="Century Gothic" w:hAnsi="Century Gothic" w:cstheme="minorBidi"/>
                            <w:b/>
                            <w:bCs/>
                            <w:color w:val="404040" w:themeColor="text1" w:themeTint="BF"/>
                            <w:kern w:val="24"/>
                            <w:sz w:val="16"/>
                            <w:szCs w:val="16"/>
                          </w:rPr>
                          <w:t>8 days</w:t>
                        </w:r>
                        <w:r w:rsidRPr="0078146F">
                          <w:rPr>
                            <w:rFonts w:ascii="Century Gothic" w:hAnsi="Century Gothic" w:cstheme="minorBidi"/>
                            <w:b/>
                            <w:bCs/>
                            <w:color w:val="404040" w:themeColor="text1" w:themeTint="BF"/>
                            <w:kern w:val="24"/>
                            <w:sz w:val="16"/>
                            <w:szCs w:val="16"/>
                          </w:rPr>
                          <w:t>)</w:t>
                        </w:r>
                      </w:p>
                    </w:txbxContent>
                  </v:textbox>
                </v:shape>
                <v:shape id="TextBox 40" o:spid="_x0000_s1046" type="#_x0000_t202" style="position:absolute;left:2551;top:11588;width:534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75A795FB" w14:textId="77777777" w:rsidR="00F9370A" w:rsidRPr="0078146F" w:rsidRDefault="00F9370A" w:rsidP="00C7538F">
                        <w:pPr>
                          <w:pStyle w:val="NormalWeb"/>
                          <w:spacing w:before="0" w:beforeAutospacing="0" w:after="0" w:afterAutospacing="0"/>
                          <w:jc w:val="both"/>
                          <w:rPr>
                            <w:sz w:val="16"/>
                          </w:rPr>
                        </w:pPr>
                        <w:r>
                          <w:rPr>
                            <w:rFonts w:asciiTheme="majorHAnsi" w:hAnsi="Calibri" w:cstheme="minorBidi"/>
                            <w:b/>
                            <w:bCs/>
                            <w:color w:val="404040" w:themeColor="text1" w:themeTint="BF"/>
                            <w:kern w:val="24"/>
                            <w:sz w:val="16"/>
                          </w:rPr>
                          <w:t xml:space="preserve">E.C. </w:t>
                        </w:r>
                        <w:r w:rsidRPr="0078146F">
                          <w:rPr>
                            <w:rFonts w:asciiTheme="majorHAnsi" w:hAnsi="Calibri" w:cstheme="minorBidi"/>
                            <w:b/>
                            <w:bCs/>
                            <w:color w:val="404040" w:themeColor="text1" w:themeTint="BF"/>
                            <w:kern w:val="24"/>
                            <w:sz w:val="16"/>
                          </w:rPr>
                          <w:t>Flux Towers</w:t>
                        </w:r>
                      </w:p>
                    </w:txbxContent>
                  </v:textbox>
                </v:shape>
              </v:group>
            </w:pict>
          </mc:Fallback>
        </mc:AlternateContent>
      </w:r>
      <w:r w:rsidRPr="0078146F">
        <w:rPr>
          <w:rFonts w:ascii="Garamond" w:eastAsia="Garamond" w:hAnsi="Garamond" w:cs="Garamond"/>
          <w:noProof/>
          <w:color w:val="000000"/>
        </w:rPr>
        <mc:AlternateContent>
          <mc:Choice Requires="wps">
            <w:drawing>
              <wp:anchor distT="0" distB="0" distL="114300" distR="114300" simplePos="0" relativeHeight="251672576" behindDoc="0" locked="0" layoutInCell="1" allowOverlap="1" wp14:anchorId="04A9B6CB" wp14:editId="1D743C02">
                <wp:simplePos x="0" y="0"/>
                <wp:positionH relativeFrom="column">
                  <wp:posOffset>325282</wp:posOffset>
                </wp:positionH>
                <wp:positionV relativeFrom="paragraph">
                  <wp:posOffset>46355</wp:posOffset>
                </wp:positionV>
                <wp:extent cx="709295" cy="461645"/>
                <wp:effectExtent l="0" t="0" r="0" b="3810"/>
                <wp:wrapNone/>
                <wp:docPr id="43" name="TextBox 42"/>
                <wp:cNvGraphicFramePr/>
                <a:graphic xmlns:a="http://schemas.openxmlformats.org/drawingml/2006/main">
                  <a:graphicData uri="http://schemas.microsoft.com/office/word/2010/wordprocessingShape">
                    <wps:wsp>
                      <wps:cNvSpPr txBox="1"/>
                      <wps:spPr>
                        <a:xfrm>
                          <a:off x="0" y="0"/>
                          <a:ext cx="709295" cy="461645"/>
                        </a:xfrm>
                        <a:prstGeom prst="rect">
                          <a:avLst/>
                        </a:prstGeom>
                        <a:solidFill>
                          <a:srgbClr val="FFFFFF">
                            <a:alpha val="80000"/>
                          </a:srgbClr>
                        </a:solidFill>
                      </wps:spPr>
                      <wps:txbx>
                        <w:txbxContent>
                          <w:p w14:paraId="01D40422" w14:textId="77777777" w:rsidR="00F9370A" w:rsidRPr="0078146F" w:rsidRDefault="00F9370A" w:rsidP="0078146F">
                            <w:pPr>
                              <w:pStyle w:val="NormalWeb"/>
                              <w:spacing w:before="0" w:beforeAutospacing="0" w:after="0" w:afterAutospacing="0"/>
                              <w:jc w:val="center"/>
                              <w:rPr>
                                <w:rFonts w:ascii="Century Gothic" w:hAnsi="Century Gothic"/>
                                <w:sz w:val="10"/>
                              </w:rPr>
                            </w:pPr>
                            <w:r w:rsidRPr="0078146F">
                              <w:rPr>
                                <w:rFonts w:ascii="Century Gothic" w:hAnsi="Century Gothic" w:cstheme="minorBidi"/>
                                <w:b/>
                                <w:bCs/>
                                <w:color w:val="404040" w:themeColor="text1" w:themeTint="BF"/>
                                <w:kern w:val="24"/>
                                <w:sz w:val="22"/>
                                <w:szCs w:val="48"/>
                              </w:rPr>
                              <w:t>SSEBop</w:t>
                            </w:r>
                          </w:p>
                        </w:txbxContent>
                      </wps:txbx>
                      <wps:bodyPr wrap="square" numCol="1" spcCol="640080" rtlCol="0">
                        <a:spAutoFit/>
                      </wps:bodyPr>
                    </wps:wsp>
                  </a:graphicData>
                </a:graphic>
                <wp14:sizeRelH relativeFrom="margin">
                  <wp14:pctWidth>0</wp14:pctWidth>
                </wp14:sizeRelH>
              </wp:anchor>
            </w:drawing>
          </mc:Choice>
          <mc:Fallback>
            <w:pict>
              <v:shape w14:anchorId="04A9B6CB" id="TextBox 42" o:spid="_x0000_s1047" type="#_x0000_t202" style="position:absolute;left:0;text-align:left;margin-left:25.6pt;margin-top:3.65pt;width:55.85pt;height:36.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" stroked="f">
                <v:fill opacity="52428f"/>
                <v:textbox style="mso-fit-shape-to-text:t">
                  <w:txbxContent>
                    <w:p w14:paraId="01D40422" w14:textId="77777777" w:rsidR="00F9370A" w:rsidRPr="0078146F" w:rsidRDefault="00F9370A" w:rsidP="0078146F">
                      <w:pPr>
                        <w:pStyle w:val="NormalWeb"/>
                        <w:spacing w:before="0" w:beforeAutospacing="0" w:after="0" w:afterAutospacing="0"/>
                        <w:jc w:val="center"/>
                        <w:rPr>
                          <w:rFonts w:ascii="Century Gothic" w:hAnsi="Century Gothic"/>
                          <w:sz w:val="10"/>
                        </w:rPr>
                      </w:pPr>
                      <w:proofErr w:type="spellStart"/>
                      <w:r w:rsidRPr="0078146F">
                        <w:rPr>
                          <w:rFonts w:ascii="Century Gothic" w:hAnsi="Century Gothic" w:cstheme="minorBidi"/>
                          <w:b/>
                          <w:bCs/>
                          <w:color w:val="404040" w:themeColor="text1" w:themeTint="BF"/>
                          <w:kern w:val="24"/>
                          <w:sz w:val="22"/>
                          <w:szCs w:val="48"/>
                        </w:rPr>
                        <w:t>SSEBop</w:t>
                      </w:r>
                      <w:proofErr w:type="spellEnd"/>
                    </w:p>
                  </w:txbxContent>
                </v:textbox>
              </v:shape>
            </w:pict>
          </mc:Fallback>
        </mc:AlternateContent>
      </w:r>
      <w:r>
        <w:rPr>
          <w:noProof/>
        </w:rPr>
        <mc:AlternateContent>
          <mc:Choice Requires="wpg">
            <w:drawing>
              <wp:anchor distT="0" distB="0" distL="114300" distR="114300" simplePos="0" relativeHeight="251680768" behindDoc="0" locked="0" layoutInCell="1" allowOverlap="1" wp14:anchorId="4F3FC23F" wp14:editId="0F2ED6EC">
                <wp:simplePos x="0" y="0"/>
                <wp:positionH relativeFrom="column">
                  <wp:posOffset>1892227</wp:posOffset>
                </wp:positionH>
                <wp:positionV relativeFrom="paragraph">
                  <wp:posOffset>782261</wp:posOffset>
                </wp:positionV>
                <wp:extent cx="1387903" cy="1507587"/>
                <wp:effectExtent l="0" t="0" r="0" b="0"/>
                <wp:wrapNone/>
                <wp:docPr id="56" name="Group 56"/>
                <wp:cNvGraphicFramePr/>
                <a:graphic xmlns:a="http://schemas.openxmlformats.org/drawingml/2006/main">
                  <a:graphicData uri="http://schemas.microsoft.com/office/word/2010/wordprocessingGroup">
                    <wpg:wgp>
                      <wpg:cNvGrpSpPr/>
                      <wpg:grpSpPr>
                        <a:xfrm>
                          <a:off x="0" y="0"/>
                          <a:ext cx="1387903" cy="1507587"/>
                          <a:chOff x="0" y="0"/>
                          <a:chExt cx="1387903" cy="1507587"/>
                        </a:xfrm>
                      </wpg:grpSpPr>
                      <wps:wsp>
                        <wps:cNvPr id="44" name="TextBox 43"/>
                        <wps:cNvSpPr txBox="1"/>
                        <wps:spPr>
                          <a:xfrm>
                            <a:off x="0" y="0"/>
                            <a:ext cx="994410" cy="200660"/>
                          </a:xfrm>
                          <a:prstGeom prst="rect">
                            <a:avLst/>
                          </a:prstGeom>
                        </wps:spPr>
                        <wps:txbx>
                          <w:txbxContent>
                            <w:p w14:paraId="6C3377F5" w14:textId="77777777" w:rsidR="00F9370A" w:rsidRPr="0078146F" w:rsidRDefault="00F9370A" w:rsidP="0078146F">
                              <w:pPr>
                                <w:pStyle w:val="NormalWeb"/>
                                <w:spacing w:before="0" w:beforeAutospacing="0" w:after="0" w:afterAutospacing="0"/>
                                <w:jc w:val="both"/>
                                <w:rPr>
                                  <w:rFonts w:ascii="Century Gothic" w:hAnsi="Century Gothic"/>
                                  <w:sz w:val="14"/>
                                  <w:szCs w:val="22"/>
                                </w:rPr>
                              </w:pPr>
                              <w:r w:rsidRPr="0078146F">
                                <w:rPr>
                                  <w:rFonts w:ascii="Century Gothic" w:hAnsi="Century Gothic" w:cstheme="minorBidi"/>
                                  <w:b/>
                                  <w:bCs/>
                                  <w:color w:val="404040" w:themeColor="text1" w:themeTint="BF"/>
                                  <w:kern w:val="24"/>
                                  <w:sz w:val="14"/>
                                  <w:szCs w:val="22"/>
                                </w:rPr>
                                <w:t>Evapotranspiration</w:t>
                              </w:r>
                            </w:p>
                          </w:txbxContent>
                        </wps:txbx>
                        <wps:bodyPr wrap="square" numCol="1" spcCol="640080" rtlCol="0">
                          <a:spAutoFit/>
                        </wps:bodyPr>
                      </wps:wsp>
                      <wps:wsp>
                        <wps:cNvPr id="6" name="TextBox 26"/>
                        <wps:cNvSpPr txBox="1"/>
                        <wps:spPr>
                          <a:xfrm>
                            <a:off x="354123" y="470315"/>
                            <a:ext cx="1033780" cy="340360"/>
                          </a:xfrm>
                          <a:prstGeom prst="rect">
                            <a:avLst/>
                          </a:prstGeom>
                        </wps:spPr>
                        <wps:txbx>
                          <w:txbxContent>
                            <w:p w14:paraId="02C0231F" w14:textId="77777777" w:rsidR="00F9370A" w:rsidRPr="0078146F" w:rsidRDefault="00F9370A" w:rsidP="0078146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 xml:space="preserve"> (mm/ </w:t>
                              </w:r>
                            </w:p>
                            <w:p w14:paraId="201000E7" w14:textId="77777777" w:rsidR="00F9370A" w:rsidRPr="0078146F" w:rsidRDefault="00F9370A" w:rsidP="0078146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month)</w:t>
                              </w:r>
                            </w:p>
                          </w:txbxContent>
                        </wps:txbx>
                        <wps:bodyPr wrap="square" numCol="1" spcCol="640080" rtlCol="0">
                          <a:spAutoFit/>
                        </wps:bodyPr>
                      </wps:wsp>
                      <wps:wsp>
                        <wps:cNvPr id="38" name="TextBox 37"/>
                        <wps:cNvSpPr txBox="1"/>
                        <wps:spPr>
                          <a:xfrm>
                            <a:off x="232492" y="153249"/>
                            <a:ext cx="431165" cy="215900"/>
                          </a:xfrm>
                          <a:prstGeom prst="rect">
                            <a:avLst/>
                          </a:prstGeom>
                        </wps:spPr>
                        <wps:txbx>
                          <w:txbxContent>
                            <w:p w14:paraId="20FF70F1" w14:textId="77777777" w:rsidR="00F9370A" w:rsidRPr="0078146F" w:rsidRDefault="00F9370A" w:rsidP="0078146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110</w:t>
                              </w:r>
                            </w:p>
                          </w:txbxContent>
                        </wps:txbx>
                        <wps:bodyPr wrap="square" numCol="1" spcCol="640080" rtlCol="0">
                          <a:spAutoFit/>
                        </wps:bodyPr>
                      </wps:wsp>
                      <wps:wsp>
                        <wps:cNvPr id="39" name="TextBox 38"/>
                        <wps:cNvSpPr txBox="1"/>
                        <wps:spPr>
                          <a:xfrm>
                            <a:off x="248343" y="1004044"/>
                            <a:ext cx="292735" cy="215900"/>
                          </a:xfrm>
                          <a:prstGeom prst="rect">
                            <a:avLst/>
                          </a:prstGeom>
                        </wps:spPr>
                        <wps:txbx>
                          <w:txbxContent>
                            <w:p w14:paraId="029CA1ED" w14:textId="77777777" w:rsidR="00F9370A" w:rsidRPr="0078146F" w:rsidRDefault="00F9370A" w:rsidP="0078146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0</w:t>
                              </w:r>
                            </w:p>
                          </w:txbxContent>
                        </wps:txbx>
                        <wps:bodyPr wrap="square" numCol="1" spcCol="640080" rtlCol="0">
                          <a:spAutoFit/>
                        </wps:bodyPr>
                      </wps:wsp>
                      <wps:wsp>
                        <wps:cNvPr id="41" name="TextBox 40"/>
                        <wps:cNvSpPr txBox="1"/>
                        <wps:spPr>
                          <a:xfrm>
                            <a:off x="258911" y="1167862"/>
                            <a:ext cx="533400" cy="339725"/>
                          </a:xfrm>
                          <a:prstGeom prst="rect">
                            <a:avLst/>
                          </a:prstGeom>
                        </wps:spPr>
                        <wps:txbx>
                          <w:txbxContent>
                            <w:p w14:paraId="4DFCA271" w14:textId="64AC10E1" w:rsidR="00F9370A" w:rsidRPr="0078146F" w:rsidRDefault="00F9370A" w:rsidP="0078146F">
                              <w:pPr>
                                <w:pStyle w:val="NormalWeb"/>
                                <w:spacing w:before="0" w:beforeAutospacing="0" w:after="0" w:afterAutospacing="0"/>
                                <w:jc w:val="both"/>
                                <w:rPr>
                                  <w:sz w:val="16"/>
                                </w:rPr>
                              </w:pPr>
                              <w:r>
                                <w:rPr>
                                  <w:rFonts w:asciiTheme="majorHAnsi" w:hAnsi="Calibri" w:cstheme="minorBidi"/>
                                  <w:b/>
                                  <w:bCs/>
                                  <w:color w:val="404040" w:themeColor="text1" w:themeTint="BF"/>
                                  <w:kern w:val="24"/>
                                  <w:sz w:val="16"/>
                                </w:rPr>
                                <w:t xml:space="preserve">E.C. </w:t>
                              </w:r>
                              <w:r w:rsidRPr="0078146F">
                                <w:rPr>
                                  <w:rFonts w:asciiTheme="majorHAnsi" w:hAnsi="Calibri" w:cstheme="minorBidi"/>
                                  <w:b/>
                                  <w:bCs/>
                                  <w:color w:val="404040" w:themeColor="text1" w:themeTint="BF"/>
                                  <w:kern w:val="24"/>
                                  <w:sz w:val="16"/>
                                </w:rPr>
                                <w:t>Flux Towers</w:t>
                              </w:r>
                            </w:p>
                          </w:txbxContent>
                        </wps:txbx>
                        <wps:bodyPr wrap="square" numCol="1" spcCol="640080" rtlCol="0">
                          <a:spAutoFit/>
                        </wps:bodyPr>
                      </wps:wsp>
                    </wpg:wgp>
                  </a:graphicData>
                </a:graphic>
              </wp:anchor>
            </w:drawing>
          </mc:Choice>
          <mc:Fallback>
            <w:pict>
              <v:group w14:anchorId="4F3FC23F" id="Group 56" o:spid="_x0000_s1048" style="position:absolute;left:0;text-align:left;margin-left:149pt;margin-top:61.6pt;width:109.3pt;height:118.7pt;z-index:251680768" coordsize="1387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">
                <v:shape id="TextBox 43" o:spid="_x0000_s1049" type="#_x0000_t202" style="position:absolute;width:994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6C3377F5" w14:textId="77777777" w:rsidR="00F9370A" w:rsidRPr="0078146F" w:rsidRDefault="00F9370A" w:rsidP="0078146F">
                        <w:pPr>
                          <w:pStyle w:val="NormalWeb"/>
                          <w:spacing w:before="0" w:beforeAutospacing="0" w:after="0" w:afterAutospacing="0"/>
                          <w:jc w:val="both"/>
                          <w:rPr>
                            <w:rFonts w:ascii="Century Gothic" w:hAnsi="Century Gothic"/>
                            <w:sz w:val="14"/>
                            <w:szCs w:val="22"/>
                          </w:rPr>
                        </w:pPr>
                        <w:r w:rsidRPr="0078146F">
                          <w:rPr>
                            <w:rFonts w:ascii="Century Gothic" w:hAnsi="Century Gothic" w:cstheme="minorBidi"/>
                            <w:b/>
                            <w:bCs/>
                            <w:color w:val="404040" w:themeColor="text1" w:themeTint="BF"/>
                            <w:kern w:val="24"/>
                            <w:sz w:val="14"/>
                            <w:szCs w:val="22"/>
                          </w:rPr>
                          <w:t>Evapotranspiration</w:t>
                        </w:r>
                      </w:p>
                    </w:txbxContent>
                  </v:textbox>
                </v:shape>
                <v:shape id="TextBox 26" o:spid="_x0000_s1050" type="#_x0000_t202" style="position:absolute;left:3541;top:4703;width:1033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2C0231F" w14:textId="77777777" w:rsidR="00F9370A" w:rsidRPr="0078146F" w:rsidRDefault="00F9370A" w:rsidP="0078146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 xml:space="preserve"> (</w:t>
                        </w:r>
                        <w:proofErr w:type="gramStart"/>
                        <w:r w:rsidRPr="0078146F">
                          <w:rPr>
                            <w:rFonts w:ascii="Century Gothic" w:hAnsi="Century Gothic" w:cstheme="minorBidi"/>
                            <w:b/>
                            <w:bCs/>
                            <w:color w:val="404040" w:themeColor="text1" w:themeTint="BF"/>
                            <w:kern w:val="24"/>
                            <w:sz w:val="16"/>
                            <w:szCs w:val="16"/>
                          </w:rPr>
                          <w:t>mm</w:t>
                        </w:r>
                        <w:proofErr w:type="gramEnd"/>
                        <w:r w:rsidRPr="0078146F">
                          <w:rPr>
                            <w:rFonts w:ascii="Century Gothic" w:hAnsi="Century Gothic" w:cstheme="minorBidi"/>
                            <w:b/>
                            <w:bCs/>
                            <w:color w:val="404040" w:themeColor="text1" w:themeTint="BF"/>
                            <w:kern w:val="24"/>
                            <w:sz w:val="16"/>
                            <w:szCs w:val="16"/>
                          </w:rPr>
                          <w:t xml:space="preserve">/ </w:t>
                        </w:r>
                      </w:p>
                      <w:p w14:paraId="201000E7" w14:textId="77777777" w:rsidR="00F9370A" w:rsidRPr="0078146F" w:rsidRDefault="00F9370A" w:rsidP="0078146F">
                        <w:pPr>
                          <w:pStyle w:val="NormalWeb"/>
                          <w:spacing w:before="0" w:beforeAutospacing="0" w:after="0" w:afterAutospacing="0"/>
                          <w:jc w:val="both"/>
                          <w:rPr>
                            <w:rFonts w:ascii="Century Gothic" w:hAnsi="Century Gothic"/>
                            <w:sz w:val="16"/>
                            <w:szCs w:val="16"/>
                          </w:rPr>
                        </w:pPr>
                        <w:proofErr w:type="gramStart"/>
                        <w:r w:rsidRPr="0078146F">
                          <w:rPr>
                            <w:rFonts w:ascii="Century Gothic" w:hAnsi="Century Gothic" w:cstheme="minorBidi"/>
                            <w:b/>
                            <w:bCs/>
                            <w:color w:val="404040" w:themeColor="text1" w:themeTint="BF"/>
                            <w:kern w:val="24"/>
                            <w:sz w:val="16"/>
                            <w:szCs w:val="16"/>
                          </w:rPr>
                          <w:t>month</w:t>
                        </w:r>
                        <w:proofErr w:type="gramEnd"/>
                        <w:r w:rsidRPr="0078146F">
                          <w:rPr>
                            <w:rFonts w:ascii="Century Gothic" w:hAnsi="Century Gothic" w:cstheme="minorBidi"/>
                            <w:b/>
                            <w:bCs/>
                            <w:color w:val="404040" w:themeColor="text1" w:themeTint="BF"/>
                            <w:kern w:val="24"/>
                            <w:sz w:val="16"/>
                            <w:szCs w:val="16"/>
                          </w:rPr>
                          <w:t>)</w:t>
                        </w:r>
                      </w:p>
                    </w:txbxContent>
                  </v:textbox>
                </v:shape>
                <v:shape id="TextBox 37" o:spid="_x0000_s1051" type="#_x0000_t202" style="position:absolute;left:2324;top:1532;width:431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20FF70F1" w14:textId="77777777" w:rsidR="00F9370A" w:rsidRPr="0078146F" w:rsidRDefault="00F9370A" w:rsidP="0078146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110</w:t>
                        </w:r>
                      </w:p>
                    </w:txbxContent>
                  </v:textbox>
                </v:shape>
                <v:shape id="TextBox 38" o:spid="_x0000_s1052" type="#_x0000_t202" style="position:absolute;left:2483;top:10040;width:292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029CA1ED" w14:textId="77777777" w:rsidR="00F9370A" w:rsidRPr="0078146F" w:rsidRDefault="00F9370A" w:rsidP="0078146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0</w:t>
                        </w:r>
                      </w:p>
                    </w:txbxContent>
                  </v:textbox>
                </v:shape>
                <v:shape id="TextBox 40" o:spid="_x0000_s1053" type="#_x0000_t202" style="position:absolute;left:2589;top:11678;width:533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4DFCA271" w14:textId="64AC10E1" w:rsidR="00F9370A" w:rsidRPr="0078146F" w:rsidRDefault="00F9370A" w:rsidP="0078146F">
                        <w:pPr>
                          <w:pStyle w:val="NormalWeb"/>
                          <w:spacing w:before="0" w:beforeAutospacing="0" w:after="0" w:afterAutospacing="0"/>
                          <w:jc w:val="both"/>
                          <w:rPr>
                            <w:sz w:val="16"/>
                          </w:rPr>
                        </w:pPr>
                        <w:r>
                          <w:rPr>
                            <w:rFonts w:asciiTheme="majorHAnsi" w:hAnsi="Calibri" w:cstheme="minorBidi"/>
                            <w:b/>
                            <w:bCs/>
                            <w:color w:val="404040" w:themeColor="text1" w:themeTint="BF"/>
                            <w:kern w:val="24"/>
                            <w:sz w:val="16"/>
                          </w:rPr>
                          <w:t xml:space="preserve">E.C. </w:t>
                        </w:r>
                        <w:r w:rsidRPr="0078146F">
                          <w:rPr>
                            <w:rFonts w:asciiTheme="majorHAnsi" w:hAnsi="Calibri" w:cstheme="minorBidi"/>
                            <w:b/>
                            <w:bCs/>
                            <w:color w:val="404040" w:themeColor="text1" w:themeTint="BF"/>
                            <w:kern w:val="24"/>
                            <w:sz w:val="16"/>
                          </w:rPr>
                          <w:t>Flux Towers</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05AABD80" wp14:editId="12F7C612">
                <wp:simplePos x="0" y="0"/>
                <wp:positionH relativeFrom="column">
                  <wp:posOffset>4089829</wp:posOffset>
                </wp:positionH>
                <wp:positionV relativeFrom="paragraph">
                  <wp:posOffset>2941955</wp:posOffset>
                </wp:positionV>
                <wp:extent cx="2355215" cy="215265"/>
                <wp:effectExtent l="0" t="0" r="0" b="0"/>
                <wp:wrapNone/>
                <wp:docPr id="47" name="Group 47"/>
                <wp:cNvGraphicFramePr/>
                <a:graphic xmlns:a="http://schemas.openxmlformats.org/drawingml/2006/main">
                  <a:graphicData uri="http://schemas.microsoft.com/office/word/2010/wordprocessingGroup">
                    <wpg:wgp>
                      <wpg:cNvGrpSpPr/>
                      <wpg:grpSpPr>
                        <a:xfrm>
                          <a:off x="0" y="0"/>
                          <a:ext cx="2355215" cy="215265"/>
                          <a:chOff x="0" y="0"/>
                          <a:chExt cx="2355215" cy="215265"/>
                        </a:xfrm>
                      </wpg:grpSpPr>
                      <wps:wsp>
                        <wps:cNvPr id="48" name="Rectangle 44"/>
                        <wps:cNvSpPr/>
                        <wps:spPr>
                          <a:xfrm>
                            <a:off x="68505" y="26807"/>
                            <a:ext cx="1316498" cy="139519"/>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Box 45"/>
                        <wps:cNvSpPr txBox="1"/>
                        <wps:spPr>
                          <a:xfrm>
                            <a:off x="0" y="0"/>
                            <a:ext cx="2355215" cy="215265"/>
                          </a:xfrm>
                          <a:prstGeom prst="rect">
                            <a:avLst/>
                          </a:prstGeom>
                          <a:noFill/>
                        </wps:spPr>
                        <wps:txbx>
                          <w:txbxContent>
                            <w:p w14:paraId="0A34B42C" w14:textId="77777777" w:rsidR="00F9370A" w:rsidRPr="004C6EBD" w:rsidRDefault="00F9370A" w:rsidP="005D434F">
                              <w:pPr>
                                <w:pStyle w:val="NormalWeb"/>
                                <w:spacing w:before="0" w:beforeAutospacing="0" w:after="0" w:afterAutospacing="0"/>
                                <w:rPr>
                                  <w:sz w:val="14"/>
                                </w:rPr>
                              </w:pPr>
                              <w:r w:rsidRPr="004C6EBD">
                                <w:rPr>
                                  <w:rFonts w:asciiTheme="majorHAnsi" w:hAnsi="Calibri" w:cstheme="minorBidi"/>
                                  <w:b/>
                                  <w:bCs/>
                                  <w:color w:val="404040" w:themeColor="text1" w:themeTint="BF"/>
                                  <w:kern w:val="24"/>
                                  <w:sz w:val="16"/>
                                  <w:szCs w:val="28"/>
                                </w:rPr>
                                <w:t xml:space="preserve">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  5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10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20 km </w:t>
                              </w:r>
                            </w:p>
                          </w:txbxContent>
                        </wps:txbx>
                        <wps:bodyPr wrap="square" rtlCol="0">
                          <a:spAutoFit/>
                        </wps:bodyPr>
                      </wps:wsp>
                    </wpg:wgp>
                  </a:graphicData>
                </a:graphic>
              </wp:anchor>
            </w:drawing>
          </mc:Choice>
          <mc:Fallback>
            <w:pict>
              <v:group w14:anchorId="05AABD80" id="Group 47" o:spid="_x0000_s1054" style="position:absolute;left:0;text-align:left;margin-left:322.05pt;margin-top:231.65pt;width:185.45pt;height:16.95pt;z-index:251702272" coordsize="2355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">
                <v:rect id="Rectangle 44" o:spid="_x0000_s1055" style="position:absolute;left:685;top:268;width:1316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" stroked="f" strokeweight="2pt">
                  <v:fill opacity="45746f"/>
                </v:rect>
                <v:shape id="TextBox 45" o:spid="_x0000_s1056" type="#_x0000_t202" style="position:absolute;width:235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0A34B42C" w14:textId="77777777" w:rsidR="00F9370A" w:rsidRPr="004C6EBD" w:rsidRDefault="00F9370A" w:rsidP="005D434F">
                        <w:pPr>
                          <w:pStyle w:val="NormalWeb"/>
                          <w:spacing w:before="0" w:beforeAutospacing="0" w:after="0" w:afterAutospacing="0"/>
                          <w:rPr>
                            <w:sz w:val="14"/>
                          </w:rPr>
                        </w:pPr>
                        <w:r w:rsidRPr="004C6EBD">
                          <w:rPr>
                            <w:rFonts w:asciiTheme="majorHAnsi" w:hAnsi="Calibri" w:cstheme="minorBidi"/>
                            <w:b/>
                            <w:bCs/>
                            <w:color w:val="404040" w:themeColor="text1" w:themeTint="BF"/>
                            <w:kern w:val="24"/>
                            <w:sz w:val="16"/>
                            <w:szCs w:val="28"/>
                          </w:rPr>
                          <w:t xml:space="preserve">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  5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10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20 km </w:t>
                        </w:r>
                      </w:p>
                    </w:txbxContent>
                  </v:textbox>
                </v:shape>
              </v:group>
            </w:pict>
          </mc:Fallback>
        </mc:AlternateContent>
      </w:r>
      <w:r>
        <w:rPr>
          <w:noProof/>
        </w:rPr>
        <mc:AlternateContent>
          <mc:Choice Requires="wpg">
            <w:drawing>
              <wp:anchor distT="0" distB="0" distL="114300" distR="114300" simplePos="0" relativeHeight="251686912" behindDoc="0" locked="0" layoutInCell="1" allowOverlap="1" wp14:anchorId="0B63BB24" wp14:editId="46766C11">
                <wp:simplePos x="0" y="0"/>
                <wp:positionH relativeFrom="column">
                  <wp:posOffset>1376068</wp:posOffset>
                </wp:positionH>
                <wp:positionV relativeFrom="paragraph">
                  <wp:posOffset>2939781</wp:posOffset>
                </wp:positionV>
                <wp:extent cx="2355215" cy="215265"/>
                <wp:effectExtent l="0" t="0" r="0" b="0"/>
                <wp:wrapNone/>
                <wp:docPr id="40" name="Group 40"/>
                <wp:cNvGraphicFramePr/>
                <a:graphic xmlns:a="http://schemas.openxmlformats.org/drawingml/2006/main">
                  <a:graphicData uri="http://schemas.microsoft.com/office/word/2010/wordprocessingGroup">
                    <wpg:wgp>
                      <wpg:cNvGrpSpPr/>
                      <wpg:grpSpPr>
                        <a:xfrm>
                          <a:off x="0" y="0"/>
                          <a:ext cx="2355215" cy="215265"/>
                          <a:chOff x="0" y="0"/>
                          <a:chExt cx="2355215" cy="215265"/>
                        </a:xfrm>
                      </wpg:grpSpPr>
                      <wps:wsp>
                        <wps:cNvPr id="45" name="Rectangle 44"/>
                        <wps:cNvSpPr/>
                        <wps:spPr>
                          <a:xfrm>
                            <a:off x="68505" y="26807"/>
                            <a:ext cx="1316498" cy="139519"/>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Box 45"/>
                        <wps:cNvSpPr txBox="1"/>
                        <wps:spPr>
                          <a:xfrm>
                            <a:off x="0" y="0"/>
                            <a:ext cx="2355215" cy="215265"/>
                          </a:xfrm>
                          <a:prstGeom prst="rect">
                            <a:avLst/>
                          </a:prstGeom>
                          <a:noFill/>
                        </wps:spPr>
                        <wps:txbx>
                          <w:txbxContent>
                            <w:p w14:paraId="4E2EC5A3" w14:textId="709D01B5" w:rsidR="00F9370A" w:rsidRPr="004C6EBD" w:rsidRDefault="00F9370A" w:rsidP="004C6EBD">
                              <w:pPr>
                                <w:pStyle w:val="NormalWeb"/>
                                <w:spacing w:before="0" w:beforeAutospacing="0" w:after="0" w:afterAutospacing="0"/>
                                <w:rPr>
                                  <w:sz w:val="14"/>
                                </w:rPr>
                              </w:pPr>
                              <w:r w:rsidRPr="004C6EBD">
                                <w:rPr>
                                  <w:rFonts w:asciiTheme="majorHAnsi" w:hAnsi="Calibri" w:cstheme="minorBidi"/>
                                  <w:b/>
                                  <w:bCs/>
                                  <w:color w:val="404040" w:themeColor="text1" w:themeTint="BF"/>
                                  <w:kern w:val="24"/>
                                  <w:sz w:val="16"/>
                                  <w:szCs w:val="28"/>
                                </w:rPr>
                                <w:t xml:space="preserve">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  5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10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20 km </w:t>
                              </w:r>
                            </w:p>
                          </w:txbxContent>
                        </wps:txbx>
                        <wps:bodyPr wrap="square" rtlCol="0">
                          <a:spAutoFit/>
                        </wps:bodyPr>
                      </wps:wsp>
                    </wpg:wgp>
                  </a:graphicData>
                </a:graphic>
              </wp:anchor>
            </w:drawing>
          </mc:Choice>
          <mc:Fallback>
            <w:pict>
              <v:group w14:anchorId="0B63BB24" id="Group 40" o:spid="_x0000_s1057" style="position:absolute;left:0;text-align:left;margin-left:108.35pt;margin-top:231.5pt;width:185.45pt;height:16.95pt;z-index:251686912" coordsize="2355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">
                <v:rect id="Rectangle 44" o:spid="_x0000_s1058" style="position:absolute;left:685;top:268;width:1316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" stroked="f" strokeweight="2pt">
                  <v:fill opacity="45746f"/>
                </v:rect>
                <v:shape id="TextBox 45" o:spid="_x0000_s1059" type="#_x0000_t202" style="position:absolute;width:235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4E2EC5A3" w14:textId="709D01B5" w:rsidR="00F9370A" w:rsidRPr="004C6EBD" w:rsidRDefault="00F9370A" w:rsidP="004C6EBD">
                        <w:pPr>
                          <w:pStyle w:val="NormalWeb"/>
                          <w:spacing w:before="0" w:beforeAutospacing="0" w:after="0" w:afterAutospacing="0"/>
                          <w:rPr>
                            <w:sz w:val="14"/>
                          </w:rPr>
                        </w:pPr>
                        <w:r w:rsidRPr="004C6EBD">
                          <w:rPr>
                            <w:rFonts w:asciiTheme="majorHAnsi" w:hAnsi="Calibri" w:cstheme="minorBidi"/>
                            <w:b/>
                            <w:bCs/>
                            <w:color w:val="404040" w:themeColor="text1" w:themeTint="BF"/>
                            <w:kern w:val="24"/>
                            <w:sz w:val="16"/>
                            <w:szCs w:val="28"/>
                          </w:rPr>
                          <w:t xml:space="preserve">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  5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10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20 km </w:t>
                        </w:r>
                      </w:p>
                    </w:txbxContent>
                  </v:textbox>
                </v:shape>
              </v:group>
            </w:pict>
          </mc:Fallback>
        </mc:AlternateContent>
      </w:r>
      <w:r w:rsidR="00C7538F" w:rsidRPr="0078146F">
        <w:rPr>
          <w:rFonts w:ascii="Garamond" w:eastAsia="Garamond" w:hAnsi="Garamond" w:cs="Garamond"/>
          <w:noProof/>
          <w:color w:val="000000"/>
        </w:rPr>
        <mc:AlternateContent>
          <mc:Choice Requires="wps">
            <w:drawing>
              <wp:anchor distT="0" distB="0" distL="114300" distR="114300" simplePos="0" relativeHeight="251688960" behindDoc="0" locked="0" layoutInCell="1" allowOverlap="1" wp14:anchorId="319014D5" wp14:editId="481CA59C">
                <wp:simplePos x="0" y="0"/>
                <wp:positionH relativeFrom="column">
                  <wp:posOffset>3067050</wp:posOffset>
                </wp:positionH>
                <wp:positionV relativeFrom="paragraph">
                  <wp:posOffset>43815</wp:posOffset>
                </wp:positionV>
                <wp:extent cx="709295" cy="461645"/>
                <wp:effectExtent l="0" t="0" r="0" b="3810"/>
                <wp:wrapNone/>
                <wp:docPr id="12" name="TextBox 42"/>
                <wp:cNvGraphicFramePr/>
                <a:graphic xmlns:a="http://schemas.openxmlformats.org/drawingml/2006/main">
                  <a:graphicData uri="http://schemas.microsoft.com/office/word/2010/wordprocessingShape">
                    <wps:wsp>
                      <wps:cNvSpPr txBox="1"/>
                      <wps:spPr>
                        <a:xfrm>
                          <a:off x="0" y="0"/>
                          <a:ext cx="709295" cy="461645"/>
                        </a:xfrm>
                        <a:prstGeom prst="rect">
                          <a:avLst/>
                        </a:prstGeom>
                        <a:solidFill>
                          <a:srgbClr val="FFFFFF">
                            <a:alpha val="80000"/>
                          </a:srgbClr>
                        </a:solidFill>
                      </wps:spPr>
                      <wps:txbx>
                        <w:txbxContent>
                          <w:p w14:paraId="0255136D" w14:textId="21BDFB66" w:rsidR="00F9370A" w:rsidRPr="0078146F" w:rsidRDefault="00F9370A" w:rsidP="00C7538F">
                            <w:pPr>
                              <w:pStyle w:val="NormalWeb"/>
                              <w:spacing w:before="0" w:beforeAutospacing="0" w:after="0" w:afterAutospacing="0"/>
                              <w:jc w:val="center"/>
                              <w:rPr>
                                <w:rFonts w:ascii="Century Gothic" w:hAnsi="Century Gothic"/>
                                <w:sz w:val="10"/>
                              </w:rPr>
                            </w:pPr>
                            <w:r>
                              <w:rPr>
                                <w:rFonts w:ascii="Century Gothic" w:hAnsi="Century Gothic" w:cstheme="minorBidi"/>
                                <w:b/>
                                <w:bCs/>
                                <w:color w:val="404040" w:themeColor="text1" w:themeTint="BF"/>
                                <w:kern w:val="24"/>
                                <w:sz w:val="22"/>
                                <w:szCs w:val="48"/>
                              </w:rPr>
                              <w:t>EEFlux</w:t>
                            </w:r>
                          </w:p>
                        </w:txbxContent>
                      </wps:txbx>
                      <wps:bodyPr wrap="square" numCol="1" spcCol="640080" rtlCol="0">
                        <a:spAutoFit/>
                      </wps:bodyPr>
                    </wps:wsp>
                  </a:graphicData>
                </a:graphic>
                <wp14:sizeRelH relativeFrom="margin">
                  <wp14:pctWidth>0</wp14:pctWidth>
                </wp14:sizeRelH>
              </wp:anchor>
            </w:drawing>
          </mc:Choice>
          <mc:Fallback>
            <w:pict>
              <v:shape w14:anchorId="319014D5" id="_x0000_s1060" type="#_x0000_t202" style="position:absolute;left:0;text-align:left;margin-left:241.5pt;margin-top:3.45pt;width:55.85pt;height:36.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" stroked="f">
                <v:fill opacity="52428f"/>
                <v:textbox style="mso-fit-shape-to-text:t">
                  <w:txbxContent>
                    <w:p w14:paraId="0255136D" w14:textId="21BDFB66" w:rsidR="00F9370A" w:rsidRPr="0078146F" w:rsidRDefault="00F9370A" w:rsidP="00C7538F">
                      <w:pPr>
                        <w:pStyle w:val="NormalWeb"/>
                        <w:spacing w:before="0" w:beforeAutospacing="0" w:after="0" w:afterAutospacing="0"/>
                        <w:jc w:val="center"/>
                        <w:rPr>
                          <w:rFonts w:ascii="Century Gothic" w:hAnsi="Century Gothic"/>
                          <w:sz w:val="10"/>
                        </w:rPr>
                      </w:pPr>
                      <w:proofErr w:type="spellStart"/>
                      <w:r>
                        <w:rPr>
                          <w:rFonts w:ascii="Century Gothic" w:hAnsi="Century Gothic" w:cstheme="minorBidi"/>
                          <w:b/>
                          <w:bCs/>
                          <w:color w:val="404040" w:themeColor="text1" w:themeTint="BF"/>
                          <w:kern w:val="24"/>
                          <w:sz w:val="22"/>
                          <w:szCs w:val="48"/>
                        </w:rPr>
                        <w:t>EEFlux</w:t>
                      </w:r>
                      <w:proofErr w:type="spellEnd"/>
                    </w:p>
                  </w:txbxContent>
                </v:textbox>
              </v:shape>
            </w:pict>
          </mc:Fallback>
        </mc:AlternateContent>
      </w:r>
      <w:r w:rsidR="0078146F" w:rsidRPr="0078146F">
        <w:rPr>
          <w:rFonts w:ascii="Garamond" w:eastAsia="Garamond" w:hAnsi="Garamond" w:cs="Garamond"/>
          <w:noProof/>
          <w:color w:val="000000"/>
        </w:rPr>
        <w:drawing>
          <wp:inline distT="0" distB="0" distL="0" distR="0" wp14:anchorId="68E89C07" wp14:editId="0E0A3EEC">
            <wp:extent cx="2684075" cy="3306471"/>
            <wp:effectExtent l="0" t="0" r="2540" b="8255"/>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12144" cy="3341049"/>
                    </a:xfrm>
                    <a:prstGeom prst="rect">
                      <a:avLst/>
                    </a:prstGeom>
                  </pic:spPr>
                </pic:pic>
              </a:graphicData>
            </a:graphic>
          </wp:inline>
        </w:drawing>
      </w:r>
      <w:r w:rsidR="00C7538F">
        <w:rPr>
          <w:rFonts w:ascii="Garamond" w:eastAsia="Garamond" w:hAnsi="Garamond" w:cs="Garamond"/>
          <w:color w:val="000000"/>
        </w:rPr>
        <w:t xml:space="preserve"> </w:t>
      </w:r>
      <w:r w:rsidR="00C7538F" w:rsidRPr="00C7538F">
        <w:rPr>
          <w:noProof/>
        </w:rPr>
        <w:drawing>
          <wp:inline distT="0" distB="0" distL="0" distR="0" wp14:anchorId="126986C3" wp14:editId="3A1C90C4">
            <wp:extent cx="2687047" cy="3310128"/>
            <wp:effectExtent l="0" t="0" r="0" b="508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87047" cy="3310128"/>
                    </a:xfrm>
                    <a:prstGeom prst="rect">
                      <a:avLst/>
                    </a:prstGeom>
                  </pic:spPr>
                </pic:pic>
              </a:graphicData>
            </a:graphic>
          </wp:inline>
        </w:drawing>
      </w:r>
    </w:p>
    <w:p w14:paraId="2F590B7E" w14:textId="7C7262DC" w:rsidR="00C7538F" w:rsidRDefault="00C7538F" w:rsidP="00C7538F">
      <w:pPr>
        <w:pBdr>
          <w:top w:val="nil"/>
          <w:left w:val="nil"/>
          <w:bottom w:val="nil"/>
          <w:right w:val="nil"/>
          <w:between w:val="nil"/>
        </w:pBdr>
        <w:spacing w:after="0" w:line="240" w:lineRule="auto"/>
        <w:jc w:val="center"/>
        <w:rPr>
          <w:rFonts w:ascii="Garamond" w:eastAsia="Garamond" w:hAnsi="Garamond" w:cs="Garamond"/>
          <w:color w:val="000000"/>
          <w:sz w:val="8"/>
        </w:rPr>
      </w:pPr>
    </w:p>
    <w:p w14:paraId="46CB4CAD" w14:textId="69393B53" w:rsidR="00B1669D" w:rsidRDefault="003F4997" w:rsidP="00103AC2">
      <w:pPr>
        <w:pBdr>
          <w:top w:val="nil"/>
          <w:left w:val="nil"/>
          <w:bottom w:val="nil"/>
          <w:right w:val="nil"/>
          <w:between w:val="nil"/>
        </w:pBdr>
        <w:spacing w:after="0" w:line="240" w:lineRule="auto"/>
        <w:jc w:val="center"/>
        <w:rPr>
          <w:rFonts w:ascii="Garamond" w:eastAsia="Garamond" w:hAnsi="Garamond" w:cs="Garamond"/>
          <w:color w:val="000000"/>
        </w:rPr>
      </w:pPr>
      <w:r>
        <w:rPr>
          <w:noProof/>
        </w:rPr>
        <mc:AlternateContent>
          <mc:Choice Requires="wpg">
            <w:drawing>
              <wp:anchor distT="0" distB="0" distL="114300" distR="114300" simplePos="0" relativeHeight="251708416" behindDoc="0" locked="0" layoutInCell="1" allowOverlap="1" wp14:anchorId="2775E767" wp14:editId="74EA8F68">
                <wp:simplePos x="0" y="0"/>
                <wp:positionH relativeFrom="column">
                  <wp:posOffset>1891665</wp:posOffset>
                </wp:positionH>
                <wp:positionV relativeFrom="paragraph">
                  <wp:posOffset>797560</wp:posOffset>
                </wp:positionV>
                <wp:extent cx="1387475" cy="1507490"/>
                <wp:effectExtent l="0" t="0" r="0" b="0"/>
                <wp:wrapNone/>
                <wp:docPr id="57" name="Group 57"/>
                <wp:cNvGraphicFramePr/>
                <a:graphic xmlns:a="http://schemas.openxmlformats.org/drawingml/2006/main">
                  <a:graphicData uri="http://schemas.microsoft.com/office/word/2010/wordprocessingGroup">
                    <wpg:wgp>
                      <wpg:cNvGrpSpPr/>
                      <wpg:grpSpPr>
                        <a:xfrm>
                          <a:off x="0" y="0"/>
                          <a:ext cx="1387475" cy="1507490"/>
                          <a:chOff x="0" y="0"/>
                          <a:chExt cx="1387903" cy="1507587"/>
                        </a:xfrm>
                      </wpg:grpSpPr>
                      <wps:wsp>
                        <wps:cNvPr id="58" name="TextBox 43"/>
                        <wps:cNvSpPr txBox="1"/>
                        <wps:spPr>
                          <a:xfrm>
                            <a:off x="0" y="0"/>
                            <a:ext cx="994410" cy="200660"/>
                          </a:xfrm>
                          <a:prstGeom prst="rect">
                            <a:avLst/>
                          </a:prstGeom>
                        </wps:spPr>
                        <wps:txbx>
                          <w:txbxContent>
                            <w:p w14:paraId="5521F737" w14:textId="77777777" w:rsidR="00F9370A" w:rsidRPr="0078146F" w:rsidRDefault="00F9370A" w:rsidP="005D434F">
                              <w:pPr>
                                <w:pStyle w:val="NormalWeb"/>
                                <w:spacing w:before="0" w:beforeAutospacing="0" w:after="0" w:afterAutospacing="0"/>
                                <w:jc w:val="both"/>
                                <w:rPr>
                                  <w:rFonts w:ascii="Century Gothic" w:hAnsi="Century Gothic"/>
                                  <w:sz w:val="14"/>
                                  <w:szCs w:val="22"/>
                                </w:rPr>
                              </w:pPr>
                              <w:r w:rsidRPr="0078146F">
                                <w:rPr>
                                  <w:rFonts w:ascii="Century Gothic" w:hAnsi="Century Gothic" w:cstheme="minorBidi"/>
                                  <w:b/>
                                  <w:bCs/>
                                  <w:color w:val="404040" w:themeColor="text1" w:themeTint="BF"/>
                                  <w:kern w:val="24"/>
                                  <w:sz w:val="14"/>
                                  <w:szCs w:val="22"/>
                                </w:rPr>
                                <w:t>Evapotranspiration</w:t>
                              </w:r>
                            </w:p>
                          </w:txbxContent>
                        </wps:txbx>
                        <wps:bodyPr wrap="square" numCol="1" spcCol="640080" rtlCol="0">
                          <a:spAutoFit/>
                        </wps:bodyPr>
                      </wps:wsp>
                      <wps:wsp>
                        <wps:cNvPr id="59" name="TextBox 26"/>
                        <wps:cNvSpPr txBox="1"/>
                        <wps:spPr>
                          <a:xfrm>
                            <a:off x="354123" y="470315"/>
                            <a:ext cx="1033780" cy="340360"/>
                          </a:xfrm>
                          <a:prstGeom prst="rect">
                            <a:avLst/>
                          </a:prstGeom>
                        </wps:spPr>
                        <wps:txbx>
                          <w:txbxContent>
                            <w:p w14:paraId="1315DAFD" w14:textId="77777777" w:rsidR="00F9370A" w:rsidRPr="0078146F" w:rsidRDefault="00F9370A" w:rsidP="005D434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 xml:space="preserve"> (mm/ </w:t>
                              </w:r>
                            </w:p>
                            <w:p w14:paraId="487EE5DD" w14:textId="62D61408" w:rsidR="00F9370A" w:rsidRPr="0078146F" w:rsidRDefault="00F9370A" w:rsidP="005D434F">
                              <w:pPr>
                                <w:pStyle w:val="NormalWeb"/>
                                <w:spacing w:before="0" w:beforeAutospacing="0" w:after="0" w:afterAutospacing="0"/>
                                <w:jc w:val="both"/>
                                <w:rPr>
                                  <w:rFonts w:ascii="Century Gothic" w:hAnsi="Century Gothic"/>
                                  <w:sz w:val="16"/>
                                  <w:szCs w:val="16"/>
                                </w:rPr>
                              </w:pPr>
                              <w:r>
                                <w:rPr>
                                  <w:rFonts w:ascii="Century Gothic" w:hAnsi="Century Gothic" w:cstheme="minorBidi"/>
                                  <w:b/>
                                  <w:bCs/>
                                  <w:color w:val="404040" w:themeColor="text1" w:themeTint="BF"/>
                                  <w:kern w:val="24"/>
                                  <w:sz w:val="16"/>
                                  <w:szCs w:val="16"/>
                                </w:rPr>
                                <w:t>8 days</w:t>
                              </w:r>
                              <w:r w:rsidRPr="0078146F">
                                <w:rPr>
                                  <w:rFonts w:ascii="Century Gothic" w:hAnsi="Century Gothic" w:cstheme="minorBidi"/>
                                  <w:b/>
                                  <w:bCs/>
                                  <w:color w:val="404040" w:themeColor="text1" w:themeTint="BF"/>
                                  <w:kern w:val="24"/>
                                  <w:sz w:val="16"/>
                                  <w:szCs w:val="16"/>
                                </w:rPr>
                                <w:t>)</w:t>
                              </w:r>
                            </w:p>
                          </w:txbxContent>
                        </wps:txbx>
                        <wps:bodyPr wrap="square" numCol="1" spcCol="640080" rtlCol="0">
                          <a:spAutoFit/>
                        </wps:bodyPr>
                      </wps:wsp>
                      <wps:wsp>
                        <wps:cNvPr id="60" name="TextBox 37"/>
                        <wps:cNvSpPr txBox="1"/>
                        <wps:spPr>
                          <a:xfrm>
                            <a:off x="232492" y="153249"/>
                            <a:ext cx="431165" cy="215900"/>
                          </a:xfrm>
                          <a:prstGeom prst="rect">
                            <a:avLst/>
                          </a:prstGeom>
                        </wps:spPr>
                        <wps:txbx>
                          <w:txbxContent>
                            <w:p w14:paraId="474533D7" w14:textId="66340BF5" w:rsidR="00F9370A" w:rsidRPr="0078146F" w:rsidRDefault="00F9370A" w:rsidP="005D434F">
                              <w:pPr>
                                <w:pStyle w:val="NormalWeb"/>
                                <w:spacing w:before="0" w:beforeAutospacing="0" w:after="0" w:afterAutospacing="0"/>
                                <w:jc w:val="both"/>
                                <w:rPr>
                                  <w:rFonts w:ascii="Century Gothic" w:hAnsi="Century Gothic"/>
                                  <w:sz w:val="16"/>
                                </w:rPr>
                              </w:pPr>
                              <w:r>
                                <w:rPr>
                                  <w:rFonts w:ascii="Century Gothic" w:hAnsi="Century Gothic" w:cstheme="minorBidi"/>
                                  <w:b/>
                                  <w:bCs/>
                                  <w:color w:val="404040" w:themeColor="text1" w:themeTint="BF"/>
                                  <w:kern w:val="24"/>
                                  <w:sz w:val="16"/>
                                </w:rPr>
                                <w:t>45</w:t>
                              </w:r>
                            </w:p>
                          </w:txbxContent>
                        </wps:txbx>
                        <wps:bodyPr wrap="square" numCol="1" spcCol="640080" rtlCol="0">
                          <a:spAutoFit/>
                        </wps:bodyPr>
                      </wps:wsp>
                      <wps:wsp>
                        <wps:cNvPr id="61" name="TextBox 38"/>
                        <wps:cNvSpPr txBox="1"/>
                        <wps:spPr>
                          <a:xfrm>
                            <a:off x="248343" y="1004044"/>
                            <a:ext cx="292735" cy="215900"/>
                          </a:xfrm>
                          <a:prstGeom prst="rect">
                            <a:avLst/>
                          </a:prstGeom>
                        </wps:spPr>
                        <wps:txbx>
                          <w:txbxContent>
                            <w:p w14:paraId="44E28FCE" w14:textId="77777777" w:rsidR="00F9370A" w:rsidRPr="0078146F" w:rsidRDefault="00F9370A" w:rsidP="005D434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0</w:t>
                              </w:r>
                            </w:p>
                          </w:txbxContent>
                        </wps:txbx>
                        <wps:bodyPr wrap="square" numCol="1" spcCol="640080" rtlCol="0">
                          <a:spAutoFit/>
                        </wps:bodyPr>
                      </wps:wsp>
                      <wps:wsp>
                        <wps:cNvPr id="62" name="TextBox 40"/>
                        <wps:cNvSpPr txBox="1"/>
                        <wps:spPr>
                          <a:xfrm>
                            <a:off x="258911" y="1167862"/>
                            <a:ext cx="533400" cy="339725"/>
                          </a:xfrm>
                          <a:prstGeom prst="rect">
                            <a:avLst/>
                          </a:prstGeom>
                        </wps:spPr>
                        <wps:txbx>
                          <w:txbxContent>
                            <w:p w14:paraId="42B39D5D" w14:textId="77777777" w:rsidR="00F9370A" w:rsidRPr="0078146F" w:rsidRDefault="00F9370A" w:rsidP="005D434F">
                              <w:pPr>
                                <w:pStyle w:val="NormalWeb"/>
                                <w:spacing w:before="0" w:beforeAutospacing="0" w:after="0" w:afterAutospacing="0"/>
                                <w:jc w:val="both"/>
                                <w:rPr>
                                  <w:sz w:val="16"/>
                                </w:rPr>
                              </w:pPr>
                              <w:r>
                                <w:rPr>
                                  <w:rFonts w:asciiTheme="majorHAnsi" w:hAnsi="Calibri" w:cstheme="minorBidi"/>
                                  <w:b/>
                                  <w:bCs/>
                                  <w:color w:val="404040" w:themeColor="text1" w:themeTint="BF"/>
                                  <w:kern w:val="24"/>
                                  <w:sz w:val="16"/>
                                </w:rPr>
                                <w:t xml:space="preserve">E.C. </w:t>
                              </w:r>
                              <w:r w:rsidRPr="0078146F">
                                <w:rPr>
                                  <w:rFonts w:asciiTheme="majorHAnsi" w:hAnsi="Calibri" w:cstheme="minorBidi"/>
                                  <w:b/>
                                  <w:bCs/>
                                  <w:color w:val="404040" w:themeColor="text1" w:themeTint="BF"/>
                                  <w:kern w:val="24"/>
                                  <w:sz w:val="16"/>
                                </w:rPr>
                                <w:t>Flux Towers</w:t>
                              </w:r>
                            </w:p>
                          </w:txbxContent>
                        </wps:txbx>
                        <wps:bodyPr wrap="square" numCol="1" spcCol="640080" rtlCol="0">
                          <a:spAutoFit/>
                        </wps:bodyPr>
                      </wps:wsp>
                    </wpg:wgp>
                  </a:graphicData>
                </a:graphic>
              </wp:anchor>
            </w:drawing>
          </mc:Choice>
          <mc:Fallback>
            <w:pict>
              <v:group w14:anchorId="2775E767" id="Group 57" o:spid="_x0000_s1061" style="position:absolute;left:0;text-align:left;margin-left:148.95pt;margin-top:62.8pt;width:109.25pt;height:118.7pt;z-index:251708416" coordsize="1387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">
                <v:shape id="TextBox 43" o:spid="_x0000_s1062" type="#_x0000_t202" style="position:absolute;width:994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5521F737" w14:textId="77777777" w:rsidR="00F9370A" w:rsidRPr="0078146F" w:rsidRDefault="00F9370A" w:rsidP="005D434F">
                        <w:pPr>
                          <w:pStyle w:val="NormalWeb"/>
                          <w:spacing w:before="0" w:beforeAutospacing="0" w:after="0" w:afterAutospacing="0"/>
                          <w:jc w:val="both"/>
                          <w:rPr>
                            <w:rFonts w:ascii="Century Gothic" w:hAnsi="Century Gothic"/>
                            <w:sz w:val="14"/>
                            <w:szCs w:val="22"/>
                          </w:rPr>
                        </w:pPr>
                        <w:r w:rsidRPr="0078146F">
                          <w:rPr>
                            <w:rFonts w:ascii="Century Gothic" w:hAnsi="Century Gothic" w:cstheme="minorBidi"/>
                            <w:b/>
                            <w:bCs/>
                            <w:color w:val="404040" w:themeColor="text1" w:themeTint="BF"/>
                            <w:kern w:val="24"/>
                            <w:sz w:val="14"/>
                            <w:szCs w:val="22"/>
                          </w:rPr>
                          <w:t>Evapotranspiration</w:t>
                        </w:r>
                      </w:p>
                    </w:txbxContent>
                  </v:textbox>
                </v:shape>
                <v:shape id="TextBox 26" o:spid="_x0000_s1063" type="#_x0000_t202" style="position:absolute;left:3541;top:4703;width:1033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1315DAFD" w14:textId="77777777" w:rsidR="00F9370A" w:rsidRPr="0078146F" w:rsidRDefault="00F9370A" w:rsidP="005D434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 xml:space="preserve"> (</w:t>
                        </w:r>
                        <w:proofErr w:type="gramStart"/>
                        <w:r w:rsidRPr="0078146F">
                          <w:rPr>
                            <w:rFonts w:ascii="Century Gothic" w:hAnsi="Century Gothic" w:cstheme="minorBidi"/>
                            <w:b/>
                            <w:bCs/>
                            <w:color w:val="404040" w:themeColor="text1" w:themeTint="BF"/>
                            <w:kern w:val="24"/>
                            <w:sz w:val="16"/>
                            <w:szCs w:val="16"/>
                          </w:rPr>
                          <w:t>mm</w:t>
                        </w:r>
                        <w:proofErr w:type="gramEnd"/>
                        <w:r w:rsidRPr="0078146F">
                          <w:rPr>
                            <w:rFonts w:ascii="Century Gothic" w:hAnsi="Century Gothic" w:cstheme="minorBidi"/>
                            <w:b/>
                            <w:bCs/>
                            <w:color w:val="404040" w:themeColor="text1" w:themeTint="BF"/>
                            <w:kern w:val="24"/>
                            <w:sz w:val="16"/>
                            <w:szCs w:val="16"/>
                          </w:rPr>
                          <w:t xml:space="preserve">/ </w:t>
                        </w:r>
                      </w:p>
                      <w:p w14:paraId="487EE5DD" w14:textId="62D61408" w:rsidR="00F9370A" w:rsidRPr="0078146F" w:rsidRDefault="00F9370A" w:rsidP="005D434F">
                        <w:pPr>
                          <w:pStyle w:val="NormalWeb"/>
                          <w:spacing w:before="0" w:beforeAutospacing="0" w:after="0" w:afterAutospacing="0"/>
                          <w:jc w:val="both"/>
                          <w:rPr>
                            <w:rFonts w:ascii="Century Gothic" w:hAnsi="Century Gothic"/>
                            <w:sz w:val="16"/>
                            <w:szCs w:val="16"/>
                          </w:rPr>
                        </w:pPr>
                        <w:r>
                          <w:rPr>
                            <w:rFonts w:ascii="Century Gothic" w:hAnsi="Century Gothic" w:cstheme="minorBidi"/>
                            <w:b/>
                            <w:bCs/>
                            <w:color w:val="404040" w:themeColor="text1" w:themeTint="BF"/>
                            <w:kern w:val="24"/>
                            <w:sz w:val="16"/>
                            <w:szCs w:val="16"/>
                          </w:rPr>
                          <w:t>8 days</w:t>
                        </w:r>
                        <w:r w:rsidRPr="0078146F">
                          <w:rPr>
                            <w:rFonts w:ascii="Century Gothic" w:hAnsi="Century Gothic" w:cstheme="minorBidi"/>
                            <w:b/>
                            <w:bCs/>
                            <w:color w:val="404040" w:themeColor="text1" w:themeTint="BF"/>
                            <w:kern w:val="24"/>
                            <w:sz w:val="16"/>
                            <w:szCs w:val="16"/>
                          </w:rPr>
                          <w:t>)</w:t>
                        </w:r>
                      </w:p>
                    </w:txbxContent>
                  </v:textbox>
                </v:shape>
                <v:shape id="TextBox 37" o:spid="_x0000_s1064" type="#_x0000_t202" style="position:absolute;left:2324;top:1532;width:431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474533D7" w14:textId="66340BF5" w:rsidR="00F9370A" w:rsidRPr="0078146F" w:rsidRDefault="00F9370A" w:rsidP="005D434F">
                        <w:pPr>
                          <w:pStyle w:val="NormalWeb"/>
                          <w:spacing w:before="0" w:beforeAutospacing="0" w:after="0" w:afterAutospacing="0"/>
                          <w:jc w:val="both"/>
                          <w:rPr>
                            <w:rFonts w:ascii="Century Gothic" w:hAnsi="Century Gothic"/>
                            <w:sz w:val="16"/>
                          </w:rPr>
                        </w:pPr>
                        <w:r>
                          <w:rPr>
                            <w:rFonts w:ascii="Century Gothic" w:hAnsi="Century Gothic" w:cstheme="minorBidi"/>
                            <w:b/>
                            <w:bCs/>
                            <w:color w:val="404040" w:themeColor="text1" w:themeTint="BF"/>
                            <w:kern w:val="24"/>
                            <w:sz w:val="16"/>
                          </w:rPr>
                          <w:t>45</w:t>
                        </w:r>
                      </w:p>
                    </w:txbxContent>
                  </v:textbox>
                </v:shape>
                <v:shape id="TextBox 38" o:spid="_x0000_s1065" type="#_x0000_t202" style="position:absolute;left:2483;top:10040;width:292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44E28FCE" w14:textId="77777777" w:rsidR="00F9370A" w:rsidRPr="0078146F" w:rsidRDefault="00F9370A" w:rsidP="005D434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0</w:t>
                        </w:r>
                      </w:p>
                    </w:txbxContent>
                  </v:textbox>
                </v:shape>
                <v:shape id="TextBox 40" o:spid="_x0000_s1066" type="#_x0000_t202" style="position:absolute;left:2589;top:11678;width:533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42B39D5D" w14:textId="77777777" w:rsidR="00F9370A" w:rsidRPr="0078146F" w:rsidRDefault="00F9370A" w:rsidP="005D434F">
                        <w:pPr>
                          <w:pStyle w:val="NormalWeb"/>
                          <w:spacing w:before="0" w:beforeAutospacing="0" w:after="0" w:afterAutospacing="0"/>
                          <w:jc w:val="both"/>
                          <w:rPr>
                            <w:sz w:val="16"/>
                          </w:rPr>
                        </w:pPr>
                        <w:r>
                          <w:rPr>
                            <w:rFonts w:asciiTheme="majorHAnsi" w:hAnsi="Calibri" w:cstheme="minorBidi"/>
                            <w:b/>
                            <w:bCs/>
                            <w:color w:val="404040" w:themeColor="text1" w:themeTint="BF"/>
                            <w:kern w:val="24"/>
                            <w:sz w:val="16"/>
                          </w:rPr>
                          <w:t xml:space="preserve">E.C. </w:t>
                        </w:r>
                        <w:r w:rsidRPr="0078146F">
                          <w:rPr>
                            <w:rFonts w:asciiTheme="majorHAnsi" w:hAnsi="Calibri" w:cstheme="minorBidi"/>
                            <w:b/>
                            <w:bCs/>
                            <w:color w:val="404040" w:themeColor="text1" w:themeTint="BF"/>
                            <w:kern w:val="24"/>
                            <w:sz w:val="16"/>
                          </w:rPr>
                          <w:t>Flux Towers</w:t>
                        </w:r>
                      </w:p>
                    </w:txbxContent>
                  </v:textbox>
                </v:shape>
              </v:group>
            </w:pict>
          </mc:Fallback>
        </mc:AlternateContent>
      </w:r>
      <w:r>
        <w:rPr>
          <w:noProof/>
        </w:rPr>
        <mc:AlternateContent>
          <mc:Choice Requires="wpg">
            <w:drawing>
              <wp:anchor distT="0" distB="0" distL="114300" distR="114300" simplePos="0" relativeHeight="251710464" behindDoc="0" locked="0" layoutInCell="1" allowOverlap="1" wp14:anchorId="64064077" wp14:editId="658C91AC">
                <wp:simplePos x="0" y="0"/>
                <wp:positionH relativeFrom="column">
                  <wp:posOffset>4631365</wp:posOffset>
                </wp:positionH>
                <wp:positionV relativeFrom="paragraph">
                  <wp:posOffset>792333</wp:posOffset>
                </wp:positionV>
                <wp:extent cx="1387903" cy="1507587"/>
                <wp:effectExtent l="0" t="0" r="0" b="0"/>
                <wp:wrapNone/>
                <wp:docPr id="63" name="Group 63"/>
                <wp:cNvGraphicFramePr/>
                <a:graphic xmlns:a="http://schemas.openxmlformats.org/drawingml/2006/main">
                  <a:graphicData uri="http://schemas.microsoft.com/office/word/2010/wordprocessingGroup">
                    <wpg:wgp>
                      <wpg:cNvGrpSpPr/>
                      <wpg:grpSpPr>
                        <a:xfrm>
                          <a:off x="0" y="0"/>
                          <a:ext cx="1387903" cy="1507587"/>
                          <a:chOff x="0" y="0"/>
                          <a:chExt cx="1387903" cy="1507587"/>
                        </a:xfrm>
                      </wpg:grpSpPr>
                      <wps:wsp>
                        <wps:cNvPr id="96" name="TextBox 43"/>
                        <wps:cNvSpPr txBox="1"/>
                        <wps:spPr>
                          <a:xfrm>
                            <a:off x="0" y="0"/>
                            <a:ext cx="994410" cy="200660"/>
                          </a:xfrm>
                          <a:prstGeom prst="rect">
                            <a:avLst/>
                          </a:prstGeom>
                        </wps:spPr>
                        <wps:txbx>
                          <w:txbxContent>
                            <w:p w14:paraId="006F08DA" w14:textId="77777777" w:rsidR="00F9370A" w:rsidRPr="0078146F" w:rsidRDefault="00F9370A" w:rsidP="005D434F">
                              <w:pPr>
                                <w:pStyle w:val="NormalWeb"/>
                                <w:spacing w:before="0" w:beforeAutospacing="0" w:after="0" w:afterAutospacing="0"/>
                                <w:jc w:val="both"/>
                                <w:rPr>
                                  <w:rFonts w:ascii="Century Gothic" w:hAnsi="Century Gothic"/>
                                  <w:sz w:val="14"/>
                                  <w:szCs w:val="22"/>
                                </w:rPr>
                              </w:pPr>
                              <w:r w:rsidRPr="0078146F">
                                <w:rPr>
                                  <w:rFonts w:ascii="Century Gothic" w:hAnsi="Century Gothic" w:cstheme="minorBidi"/>
                                  <w:b/>
                                  <w:bCs/>
                                  <w:color w:val="404040" w:themeColor="text1" w:themeTint="BF"/>
                                  <w:kern w:val="24"/>
                                  <w:sz w:val="14"/>
                                  <w:szCs w:val="22"/>
                                </w:rPr>
                                <w:t>Evapotranspiration</w:t>
                              </w:r>
                            </w:p>
                          </w:txbxContent>
                        </wps:txbx>
                        <wps:bodyPr wrap="square" numCol="1" spcCol="640080" rtlCol="0">
                          <a:spAutoFit/>
                        </wps:bodyPr>
                      </wps:wsp>
                      <wps:wsp>
                        <wps:cNvPr id="97" name="TextBox 26"/>
                        <wps:cNvSpPr txBox="1"/>
                        <wps:spPr>
                          <a:xfrm>
                            <a:off x="354123" y="470315"/>
                            <a:ext cx="1033780" cy="340360"/>
                          </a:xfrm>
                          <a:prstGeom prst="rect">
                            <a:avLst/>
                          </a:prstGeom>
                        </wps:spPr>
                        <wps:txbx>
                          <w:txbxContent>
                            <w:p w14:paraId="7CBC9C66" w14:textId="77777777" w:rsidR="00F9370A" w:rsidRPr="0078146F" w:rsidRDefault="00F9370A" w:rsidP="005D434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 xml:space="preserve"> (mm/ </w:t>
                              </w:r>
                            </w:p>
                            <w:p w14:paraId="6AC8EC30" w14:textId="77777777" w:rsidR="00F9370A" w:rsidRPr="0078146F" w:rsidRDefault="00F9370A" w:rsidP="005D434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month)</w:t>
                              </w:r>
                            </w:p>
                          </w:txbxContent>
                        </wps:txbx>
                        <wps:bodyPr wrap="square" numCol="1" spcCol="640080" rtlCol="0">
                          <a:spAutoFit/>
                        </wps:bodyPr>
                      </wps:wsp>
                      <wps:wsp>
                        <wps:cNvPr id="98" name="TextBox 37"/>
                        <wps:cNvSpPr txBox="1"/>
                        <wps:spPr>
                          <a:xfrm>
                            <a:off x="232492" y="153249"/>
                            <a:ext cx="431165" cy="215900"/>
                          </a:xfrm>
                          <a:prstGeom prst="rect">
                            <a:avLst/>
                          </a:prstGeom>
                        </wps:spPr>
                        <wps:txbx>
                          <w:txbxContent>
                            <w:p w14:paraId="31AA8ABE" w14:textId="58D9C16B" w:rsidR="00F9370A" w:rsidRPr="0078146F" w:rsidRDefault="00F9370A" w:rsidP="005D434F">
                              <w:pPr>
                                <w:pStyle w:val="NormalWeb"/>
                                <w:spacing w:before="0" w:beforeAutospacing="0" w:after="0" w:afterAutospacing="0"/>
                                <w:jc w:val="both"/>
                                <w:rPr>
                                  <w:rFonts w:ascii="Century Gothic" w:hAnsi="Century Gothic"/>
                                  <w:sz w:val="16"/>
                                </w:rPr>
                              </w:pPr>
                              <w:r>
                                <w:rPr>
                                  <w:rFonts w:ascii="Century Gothic" w:hAnsi="Century Gothic" w:cstheme="minorBidi"/>
                                  <w:b/>
                                  <w:bCs/>
                                  <w:color w:val="404040" w:themeColor="text1" w:themeTint="BF"/>
                                  <w:kern w:val="24"/>
                                  <w:sz w:val="16"/>
                                </w:rPr>
                                <w:t>6</w:t>
                              </w:r>
                              <w:r w:rsidRPr="0078146F">
                                <w:rPr>
                                  <w:rFonts w:ascii="Century Gothic" w:hAnsi="Century Gothic" w:cstheme="minorBidi"/>
                                  <w:b/>
                                  <w:bCs/>
                                  <w:color w:val="404040" w:themeColor="text1" w:themeTint="BF"/>
                                  <w:kern w:val="24"/>
                                  <w:sz w:val="16"/>
                                </w:rPr>
                                <w:t>0</w:t>
                              </w:r>
                            </w:p>
                          </w:txbxContent>
                        </wps:txbx>
                        <wps:bodyPr wrap="square" numCol="1" spcCol="640080" rtlCol="0">
                          <a:spAutoFit/>
                        </wps:bodyPr>
                      </wps:wsp>
                      <wps:wsp>
                        <wps:cNvPr id="99" name="TextBox 38"/>
                        <wps:cNvSpPr txBox="1"/>
                        <wps:spPr>
                          <a:xfrm>
                            <a:off x="248343" y="1004044"/>
                            <a:ext cx="292735" cy="215900"/>
                          </a:xfrm>
                          <a:prstGeom prst="rect">
                            <a:avLst/>
                          </a:prstGeom>
                        </wps:spPr>
                        <wps:txbx>
                          <w:txbxContent>
                            <w:p w14:paraId="752B563A" w14:textId="77777777" w:rsidR="00F9370A" w:rsidRPr="0078146F" w:rsidRDefault="00F9370A" w:rsidP="005D434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0</w:t>
                              </w:r>
                            </w:p>
                          </w:txbxContent>
                        </wps:txbx>
                        <wps:bodyPr wrap="square" numCol="1" spcCol="640080" rtlCol="0">
                          <a:spAutoFit/>
                        </wps:bodyPr>
                      </wps:wsp>
                      <wps:wsp>
                        <wps:cNvPr id="100" name="TextBox 40"/>
                        <wps:cNvSpPr txBox="1"/>
                        <wps:spPr>
                          <a:xfrm>
                            <a:off x="258911" y="1167862"/>
                            <a:ext cx="533400" cy="339725"/>
                          </a:xfrm>
                          <a:prstGeom prst="rect">
                            <a:avLst/>
                          </a:prstGeom>
                        </wps:spPr>
                        <wps:txbx>
                          <w:txbxContent>
                            <w:p w14:paraId="4EA40621" w14:textId="77777777" w:rsidR="00F9370A" w:rsidRPr="0078146F" w:rsidRDefault="00F9370A" w:rsidP="005D434F">
                              <w:pPr>
                                <w:pStyle w:val="NormalWeb"/>
                                <w:spacing w:before="0" w:beforeAutospacing="0" w:after="0" w:afterAutospacing="0"/>
                                <w:jc w:val="both"/>
                                <w:rPr>
                                  <w:sz w:val="16"/>
                                </w:rPr>
                              </w:pPr>
                              <w:r>
                                <w:rPr>
                                  <w:rFonts w:asciiTheme="majorHAnsi" w:hAnsi="Calibri" w:cstheme="minorBidi"/>
                                  <w:b/>
                                  <w:bCs/>
                                  <w:color w:val="404040" w:themeColor="text1" w:themeTint="BF"/>
                                  <w:kern w:val="24"/>
                                  <w:sz w:val="16"/>
                                </w:rPr>
                                <w:t xml:space="preserve">E.C. </w:t>
                              </w:r>
                              <w:r w:rsidRPr="0078146F">
                                <w:rPr>
                                  <w:rFonts w:asciiTheme="majorHAnsi" w:hAnsi="Calibri" w:cstheme="minorBidi"/>
                                  <w:b/>
                                  <w:bCs/>
                                  <w:color w:val="404040" w:themeColor="text1" w:themeTint="BF"/>
                                  <w:kern w:val="24"/>
                                  <w:sz w:val="16"/>
                                </w:rPr>
                                <w:t>Flux Towers</w:t>
                              </w:r>
                            </w:p>
                          </w:txbxContent>
                        </wps:txbx>
                        <wps:bodyPr wrap="square" numCol="1" spcCol="640080" rtlCol="0">
                          <a:spAutoFit/>
                        </wps:bodyPr>
                      </wps:wsp>
                    </wpg:wgp>
                  </a:graphicData>
                </a:graphic>
              </wp:anchor>
            </w:drawing>
          </mc:Choice>
          <mc:Fallback>
            <w:pict>
              <v:group w14:anchorId="64064077" id="Group 63" o:spid="_x0000_s1067" style="position:absolute;left:0;text-align:left;margin-left:364.65pt;margin-top:62.4pt;width:109.3pt;height:118.7pt;z-index:251710464" coordsize="1387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">
                <v:shape id="TextBox 43" o:spid="_x0000_s1068" type="#_x0000_t202" style="position:absolute;width:994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006F08DA" w14:textId="77777777" w:rsidR="00F9370A" w:rsidRPr="0078146F" w:rsidRDefault="00F9370A" w:rsidP="005D434F">
                        <w:pPr>
                          <w:pStyle w:val="NormalWeb"/>
                          <w:spacing w:before="0" w:beforeAutospacing="0" w:after="0" w:afterAutospacing="0"/>
                          <w:jc w:val="both"/>
                          <w:rPr>
                            <w:rFonts w:ascii="Century Gothic" w:hAnsi="Century Gothic"/>
                            <w:sz w:val="14"/>
                            <w:szCs w:val="22"/>
                          </w:rPr>
                        </w:pPr>
                        <w:r w:rsidRPr="0078146F">
                          <w:rPr>
                            <w:rFonts w:ascii="Century Gothic" w:hAnsi="Century Gothic" w:cstheme="minorBidi"/>
                            <w:b/>
                            <w:bCs/>
                            <w:color w:val="404040" w:themeColor="text1" w:themeTint="BF"/>
                            <w:kern w:val="24"/>
                            <w:sz w:val="14"/>
                            <w:szCs w:val="22"/>
                          </w:rPr>
                          <w:t>Evapotranspiration</w:t>
                        </w:r>
                      </w:p>
                    </w:txbxContent>
                  </v:textbox>
                </v:shape>
                <v:shape id="TextBox 26" o:spid="_x0000_s1069" type="#_x0000_t202" style="position:absolute;left:3541;top:4703;width:1033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7CBC9C66" w14:textId="77777777" w:rsidR="00F9370A" w:rsidRPr="0078146F" w:rsidRDefault="00F9370A" w:rsidP="005D434F">
                        <w:pPr>
                          <w:pStyle w:val="NormalWeb"/>
                          <w:spacing w:before="0" w:beforeAutospacing="0" w:after="0" w:afterAutospacing="0"/>
                          <w:jc w:val="both"/>
                          <w:rPr>
                            <w:rFonts w:ascii="Century Gothic" w:hAnsi="Century Gothic"/>
                            <w:sz w:val="16"/>
                            <w:szCs w:val="16"/>
                          </w:rPr>
                        </w:pPr>
                        <w:r w:rsidRPr="0078146F">
                          <w:rPr>
                            <w:rFonts w:ascii="Century Gothic" w:hAnsi="Century Gothic" w:cstheme="minorBidi"/>
                            <w:b/>
                            <w:bCs/>
                            <w:color w:val="404040" w:themeColor="text1" w:themeTint="BF"/>
                            <w:kern w:val="24"/>
                            <w:sz w:val="16"/>
                            <w:szCs w:val="16"/>
                          </w:rPr>
                          <w:t xml:space="preserve"> (</w:t>
                        </w:r>
                        <w:proofErr w:type="gramStart"/>
                        <w:r w:rsidRPr="0078146F">
                          <w:rPr>
                            <w:rFonts w:ascii="Century Gothic" w:hAnsi="Century Gothic" w:cstheme="minorBidi"/>
                            <w:b/>
                            <w:bCs/>
                            <w:color w:val="404040" w:themeColor="text1" w:themeTint="BF"/>
                            <w:kern w:val="24"/>
                            <w:sz w:val="16"/>
                            <w:szCs w:val="16"/>
                          </w:rPr>
                          <w:t>mm</w:t>
                        </w:r>
                        <w:proofErr w:type="gramEnd"/>
                        <w:r w:rsidRPr="0078146F">
                          <w:rPr>
                            <w:rFonts w:ascii="Century Gothic" w:hAnsi="Century Gothic" w:cstheme="minorBidi"/>
                            <w:b/>
                            <w:bCs/>
                            <w:color w:val="404040" w:themeColor="text1" w:themeTint="BF"/>
                            <w:kern w:val="24"/>
                            <w:sz w:val="16"/>
                            <w:szCs w:val="16"/>
                          </w:rPr>
                          <w:t xml:space="preserve">/ </w:t>
                        </w:r>
                      </w:p>
                      <w:p w14:paraId="6AC8EC30" w14:textId="77777777" w:rsidR="00F9370A" w:rsidRPr="0078146F" w:rsidRDefault="00F9370A" w:rsidP="005D434F">
                        <w:pPr>
                          <w:pStyle w:val="NormalWeb"/>
                          <w:spacing w:before="0" w:beforeAutospacing="0" w:after="0" w:afterAutospacing="0"/>
                          <w:jc w:val="both"/>
                          <w:rPr>
                            <w:rFonts w:ascii="Century Gothic" w:hAnsi="Century Gothic"/>
                            <w:sz w:val="16"/>
                            <w:szCs w:val="16"/>
                          </w:rPr>
                        </w:pPr>
                        <w:proofErr w:type="gramStart"/>
                        <w:r w:rsidRPr="0078146F">
                          <w:rPr>
                            <w:rFonts w:ascii="Century Gothic" w:hAnsi="Century Gothic" w:cstheme="minorBidi"/>
                            <w:b/>
                            <w:bCs/>
                            <w:color w:val="404040" w:themeColor="text1" w:themeTint="BF"/>
                            <w:kern w:val="24"/>
                            <w:sz w:val="16"/>
                            <w:szCs w:val="16"/>
                          </w:rPr>
                          <w:t>month</w:t>
                        </w:r>
                        <w:proofErr w:type="gramEnd"/>
                        <w:r w:rsidRPr="0078146F">
                          <w:rPr>
                            <w:rFonts w:ascii="Century Gothic" w:hAnsi="Century Gothic" w:cstheme="minorBidi"/>
                            <w:b/>
                            <w:bCs/>
                            <w:color w:val="404040" w:themeColor="text1" w:themeTint="BF"/>
                            <w:kern w:val="24"/>
                            <w:sz w:val="16"/>
                            <w:szCs w:val="16"/>
                          </w:rPr>
                          <w:t>)</w:t>
                        </w:r>
                      </w:p>
                    </w:txbxContent>
                  </v:textbox>
                </v:shape>
                <v:shape id="TextBox 37" o:spid="_x0000_s1070" type="#_x0000_t202" style="position:absolute;left:2324;top:1532;width:431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31AA8ABE" w14:textId="58D9C16B" w:rsidR="00F9370A" w:rsidRPr="0078146F" w:rsidRDefault="00F9370A" w:rsidP="005D434F">
                        <w:pPr>
                          <w:pStyle w:val="NormalWeb"/>
                          <w:spacing w:before="0" w:beforeAutospacing="0" w:after="0" w:afterAutospacing="0"/>
                          <w:jc w:val="both"/>
                          <w:rPr>
                            <w:rFonts w:ascii="Century Gothic" w:hAnsi="Century Gothic"/>
                            <w:sz w:val="16"/>
                          </w:rPr>
                        </w:pPr>
                        <w:r>
                          <w:rPr>
                            <w:rFonts w:ascii="Century Gothic" w:hAnsi="Century Gothic" w:cstheme="minorBidi"/>
                            <w:b/>
                            <w:bCs/>
                            <w:color w:val="404040" w:themeColor="text1" w:themeTint="BF"/>
                            <w:kern w:val="24"/>
                            <w:sz w:val="16"/>
                          </w:rPr>
                          <w:t>6</w:t>
                        </w:r>
                        <w:r w:rsidRPr="0078146F">
                          <w:rPr>
                            <w:rFonts w:ascii="Century Gothic" w:hAnsi="Century Gothic" w:cstheme="minorBidi"/>
                            <w:b/>
                            <w:bCs/>
                            <w:color w:val="404040" w:themeColor="text1" w:themeTint="BF"/>
                            <w:kern w:val="24"/>
                            <w:sz w:val="16"/>
                          </w:rPr>
                          <w:t>0</w:t>
                        </w:r>
                      </w:p>
                    </w:txbxContent>
                  </v:textbox>
                </v:shape>
                <v:shape id="TextBox 38" o:spid="_x0000_s1071" type="#_x0000_t202" style="position:absolute;left:2483;top:10040;width:292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752B563A" w14:textId="77777777" w:rsidR="00F9370A" w:rsidRPr="0078146F" w:rsidRDefault="00F9370A" w:rsidP="005D434F">
                        <w:pPr>
                          <w:pStyle w:val="NormalWeb"/>
                          <w:spacing w:before="0" w:beforeAutospacing="0" w:after="0" w:afterAutospacing="0"/>
                          <w:jc w:val="both"/>
                          <w:rPr>
                            <w:rFonts w:ascii="Century Gothic" w:hAnsi="Century Gothic"/>
                            <w:sz w:val="16"/>
                          </w:rPr>
                        </w:pPr>
                        <w:r w:rsidRPr="0078146F">
                          <w:rPr>
                            <w:rFonts w:ascii="Century Gothic" w:hAnsi="Century Gothic" w:cstheme="minorBidi"/>
                            <w:b/>
                            <w:bCs/>
                            <w:color w:val="404040" w:themeColor="text1" w:themeTint="BF"/>
                            <w:kern w:val="24"/>
                            <w:sz w:val="16"/>
                          </w:rPr>
                          <w:t>0</w:t>
                        </w:r>
                      </w:p>
                    </w:txbxContent>
                  </v:textbox>
                </v:shape>
                <v:shape id="TextBox 40" o:spid="_x0000_s1072" type="#_x0000_t202" style="position:absolute;left:2589;top:11678;width:533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4EA40621" w14:textId="77777777" w:rsidR="00F9370A" w:rsidRPr="0078146F" w:rsidRDefault="00F9370A" w:rsidP="005D434F">
                        <w:pPr>
                          <w:pStyle w:val="NormalWeb"/>
                          <w:spacing w:before="0" w:beforeAutospacing="0" w:after="0" w:afterAutospacing="0"/>
                          <w:jc w:val="both"/>
                          <w:rPr>
                            <w:sz w:val="16"/>
                          </w:rPr>
                        </w:pPr>
                        <w:r>
                          <w:rPr>
                            <w:rFonts w:asciiTheme="majorHAnsi" w:hAnsi="Calibri" w:cstheme="minorBidi"/>
                            <w:b/>
                            <w:bCs/>
                            <w:color w:val="404040" w:themeColor="text1" w:themeTint="BF"/>
                            <w:kern w:val="24"/>
                            <w:sz w:val="16"/>
                          </w:rPr>
                          <w:t xml:space="preserve">E.C. </w:t>
                        </w:r>
                        <w:r w:rsidRPr="0078146F">
                          <w:rPr>
                            <w:rFonts w:asciiTheme="majorHAnsi" w:hAnsi="Calibri" w:cstheme="minorBidi"/>
                            <w:b/>
                            <w:bCs/>
                            <w:color w:val="404040" w:themeColor="text1" w:themeTint="BF"/>
                            <w:kern w:val="24"/>
                            <w:sz w:val="16"/>
                          </w:rPr>
                          <w:t>Flux Towers</w:t>
                        </w:r>
                      </w:p>
                    </w:txbxContent>
                  </v:textbox>
                </v:shape>
              </v:group>
            </w:pict>
          </mc:Fallback>
        </mc:AlternateContent>
      </w:r>
      <w:r w:rsidR="005D434F" w:rsidRPr="0078146F">
        <w:rPr>
          <w:rFonts w:ascii="Garamond" w:eastAsia="Garamond" w:hAnsi="Garamond" w:cs="Garamond"/>
          <w:noProof/>
          <w:color w:val="000000"/>
        </w:rPr>
        <mc:AlternateContent>
          <mc:Choice Requires="wps">
            <w:drawing>
              <wp:anchor distT="0" distB="0" distL="114300" distR="114300" simplePos="0" relativeHeight="251714560" behindDoc="0" locked="0" layoutInCell="1" allowOverlap="1" wp14:anchorId="3F687C2E" wp14:editId="5CBD6E4A">
                <wp:simplePos x="0" y="0"/>
                <wp:positionH relativeFrom="column">
                  <wp:posOffset>3059268</wp:posOffset>
                </wp:positionH>
                <wp:positionV relativeFrom="paragraph">
                  <wp:posOffset>38735</wp:posOffset>
                </wp:positionV>
                <wp:extent cx="1211580" cy="461645"/>
                <wp:effectExtent l="0" t="0" r="7620" b="3810"/>
                <wp:wrapNone/>
                <wp:docPr id="102" name="TextBox 42"/>
                <wp:cNvGraphicFramePr/>
                <a:graphic xmlns:a="http://schemas.openxmlformats.org/drawingml/2006/main">
                  <a:graphicData uri="http://schemas.microsoft.com/office/word/2010/wordprocessingShape">
                    <wps:wsp>
                      <wps:cNvSpPr txBox="1"/>
                      <wps:spPr>
                        <a:xfrm>
                          <a:off x="0" y="0"/>
                          <a:ext cx="1211580" cy="461645"/>
                        </a:xfrm>
                        <a:prstGeom prst="rect">
                          <a:avLst/>
                        </a:prstGeom>
                        <a:solidFill>
                          <a:srgbClr val="FFFFFF">
                            <a:alpha val="80000"/>
                          </a:srgbClr>
                        </a:solidFill>
                      </wps:spPr>
                      <wps:txbx>
                        <w:txbxContent>
                          <w:p w14:paraId="2640FB41" w14:textId="4960BE89" w:rsidR="00F9370A" w:rsidRPr="0078146F" w:rsidRDefault="00F9370A" w:rsidP="005D434F">
                            <w:pPr>
                              <w:pStyle w:val="NormalWeb"/>
                              <w:spacing w:before="0" w:beforeAutospacing="0" w:after="0" w:afterAutospacing="0"/>
                              <w:jc w:val="center"/>
                              <w:rPr>
                                <w:rFonts w:ascii="Century Gothic" w:hAnsi="Century Gothic"/>
                                <w:sz w:val="10"/>
                              </w:rPr>
                            </w:pPr>
                            <w:r>
                              <w:rPr>
                                <w:rFonts w:ascii="Century Gothic" w:hAnsi="Century Gothic" w:cstheme="minorBidi"/>
                                <w:b/>
                                <w:bCs/>
                                <w:color w:val="404040" w:themeColor="text1" w:themeTint="BF"/>
                                <w:kern w:val="24"/>
                                <w:sz w:val="22"/>
                                <w:szCs w:val="48"/>
                              </w:rPr>
                              <w:t>NLDAS-2-Noah</w:t>
                            </w:r>
                          </w:p>
                        </w:txbxContent>
                      </wps:txbx>
                      <wps:bodyPr wrap="square" numCol="1" spcCol="640080" rtlCol="0">
                        <a:spAutoFit/>
                      </wps:bodyPr>
                    </wps:wsp>
                  </a:graphicData>
                </a:graphic>
                <wp14:sizeRelH relativeFrom="margin">
                  <wp14:pctWidth>0</wp14:pctWidth>
                </wp14:sizeRelH>
              </wp:anchor>
            </w:drawing>
          </mc:Choice>
          <mc:Fallback>
            <w:pict>
              <v:shape w14:anchorId="3F687C2E" id="_x0000_s1073" type="#_x0000_t202" style="position:absolute;left:0;text-align:left;margin-left:240.9pt;margin-top:3.05pt;width:95.4pt;height:36.3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" stroked="f">
                <v:fill opacity="52428f"/>
                <v:textbox style="mso-fit-shape-to-text:t">
                  <w:txbxContent>
                    <w:p w14:paraId="2640FB41" w14:textId="4960BE89" w:rsidR="00F9370A" w:rsidRPr="0078146F" w:rsidRDefault="00F9370A" w:rsidP="005D434F">
                      <w:pPr>
                        <w:pStyle w:val="NormalWeb"/>
                        <w:spacing w:before="0" w:beforeAutospacing="0" w:after="0" w:afterAutospacing="0"/>
                        <w:jc w:val="center"/>
                        <w:rPr>
                          <w:rFonts w:ascii="Century Gothic" w:hAnsi="Century Gothic"/>
                          <w:sz w:val="10"/>
                        </w:rPr>
                      </w:pPr>
                      <w:r>
                        <w:rPr>
                          <w:rFonts w:ascii="Century Gothic" w:hAnsi="Century Gothic" w:cstheme="minorBidi"/>
                          <w:b/>
                          <w:bCs/>
                          <w:color w:val="404040" w:themeColor="text1" w:themeTint="BF"/>
                          <w:kern w:val="24"/>
                          <w:sz w:val="22"/>
                          <w:szCs w:val="48"/>
                        </w:rPr>
                        <w:t>NLDAS-2-Noah</w:t>
                      </w:r>
                    </w:p>
                  </w:txbxContent>
                </v:textbox>
              </v:shape>
            </w:pict>
          </mc:Fallback>
        </mc:AlternateContent>
      </w:r>
      <w:r w:rsidR="005D434F" w:rsidRPr="0078146F">
        <w:rPr>
          <w:rFonts w:ascii="Garamond" w:eastAsia="Garamond" w:hAnsi="Garamond" w:cs="Garamond"/>
          <w:noProof/>
          <w:color w:val="000000"/>
        </w:rPr>
        <mc:AlternateContent>
          <mc:Choice Requires="wps">
            <w:drawing>
              <wp:anchor distT="0" distB="0" distL="114300" distR="114300" simplePos="0" relativeHeight="251712512" behindDoc="0" locked="0" layoutInCell="1" allowOverlap="1" wp14:anchorId="0A4B6611" wp14:editId="6A3D01EB">
                <wp:simplePos x="0" y="0"/>
                <wp:positionH relativeFrom="column">
                  <wp:posOffset>337023</wp:posOffset>
                </wp:positionH>
                <wp:positionV relativeFrom="paragraph">
                  <wp:posOffset>38735</wp:posOffset>
                </wp:positionV>
                <wp:extent cx="709295" cy="461645"/>
                <wp:effectExtent l="0" t="0" r="0" b="3810"/>
                <wp:wrapNone/>
                <wp:docPr id="101" name="TextBox 42"/>
                <wp:cNvGraphicFramePr/>
                <a:graphic xmlns:a="http://schemas.openxmlformats.org/drawingml/2006/main">
                  <a:graphicData uri="http://schemas.microsoft.com/office/word/2010/wordprocessingShape">
                    <wps:wsp>
                      <wps:cNvSpPr txBox="1"/>
                      <wps:spPr>
                        <a:xfrm>
                          <a:off x="0" y="0"/>
                          <a:ext cx="709295" cy="461645"/>
                        </a:xfrm>
                        <a:prstGeom prst="rect">
                          <a:avLst/>
                        </a:prstGeom>
                        <a:solidFill>
                          <a:srgbClr val="FFFFFF">
                            <a:alpha val="80000"/>
                          </a:srgbClr>
                        </a:solidFill>
                      </wps:spPr>
                      <wps:txbx>
                        <w:txbxContent>
                          <w:p w14:paraId="7430E7B3" w14:textId="19F29CA4" w:rsidR="00F9370A" w:rsidRPr="0078146F" w:rsidRDefault="00F9370A" w:rsidP="005D434F">
                            <w:pPr>
                              <w:pStyle w:val="NormalWeb"/>
                              <w:spacing w:before="0" w:beforeAutospacing="0" w:after="0" w:afterAutospacing="0"/>
                              <w:jc w:val="center"/>
                              <w:rPr>
                                <w:rFonts w:ascii="Century Gothic" w:hAnsi="Century Gothic"/>
                                <w:sz w:val="10"/>
                              </w:rPr>
                            </w:pPr>
                            <w:r>
                              <w:rPr>
                                <w:rFonts w:ascii="Century Gothic" w:hAnsi="Century Gothic" w:cstheme="minorBidi"/>
                                <w:b/>
                                <w:bCs/>
                                <w:color w:val="404040" w:themeColor="text1" w:themeTint="BF"/>
                                <w:kern w:val="24"/>
                                <w:sz w:val="22"/>
                                <w:szCs w:val="48"/>
                              </w:rPr>
                              <w:t>MOD16</w:t>
                            </w:r>
                          </w:p>
                        </w:txbxContent>
                      </wps:txbx>
                      <wps:bodyPr wrap="square" numCol="1" spcCol="640080" rtlCol="0">
                        <a:spAutoFit/>
                      </wps:bodyPr>
                    </wps:wsp>
                  </a:graphicData>
                </a:graphic>
                <wp14:sizeRelH relativeFrom="margin">
                  <wp14:pctWidth>0</wp14:pctWidth>
                </wp14:sizeRelH>
              </wp:anchor>
            </w:drawing>
          </mc:Choice>
          <mc:Fallback>
            <w:pict>
              <v:shape w14:anchorId="0A4B6611" id="_x0000_s1074" type="#_x0000_t202" style="position:absolute;left:0;text-align:left;margin-left:26.55pt;margin-top:3.05pt;width:55.85pt;height:36.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" stroked="f">
                <v:fill opacity="52428f"/>
                <v:textbox style="mso-fit-shape-to-text:t">
                  <w:txbxContent>
                    <w:p w14:paraId="7430E7B3" w14:textId="19F29CA4" w:rsidR="00F9370A" w:rsidRPr="0078146F" w:rsidRDefault="00F9370A" w:rsidP="005D434F">
                      <w:pPr>
                        <w:pStyle w:val="NormalWeb"/>
                        <w:spacing w:before="0" w:beforeAutospacing="0" w:after="0" w:afterAutospacing="0"/>
                        <w:jc w:val="center"/>
                        <w:rPr>
                          <w:rFonts w:ascii="Century Gothic" w:hAnsi="Century Gothic"/>
                          <w:sz w:val="10"/>
                        </w:rPr>
                      </w:pPr>
                      <w:r>
                        <w:rPr>
                          <w:rFonts w:ascii="Century Gothic" w:hAnsi="Century Gothic" w:cstheme="minorBidi"/>
                          <w:b/>
                          <w:bCs/>
                          <w:color w:val="404040" w:themeColor="text1" w:themeTint="BF"/>
                          <w:kern w:val="24"/>
                          <w:sz w:val="22"/>
                          <w:szCs w:val="48"/>
                        </w:rPr>
                        <w:t>MOD16</w:t>
                      </w:r>
                    </w:p>
                  </w:txbxContent>
                </v:textbox>
              </v:shape>
            </w:pict>
          </mc:Fallback>
        </mc:AlternateContent>
      </w:r>
      <w:r w:rsidR="005D434F">
        <w:rPr>
          <w:noProof/>
        </w:rPr>
        <mc:AlternateContent>
          <mc:Choice Requires="wpg">
            <w:drawing>
              <wp:anchor distT="0" distB="0" distL="114300" distR="114300" simplePos="0" relativeHeight="251704320" behindDoc="0" locked="0" layoutInCell="1" allowOverlap="1" wp14:anchorId="1E6C815D" wp14:editId="417F89EF">
                <wp:simplePos x="0" y="0"/>
                <wp:positionH relativeFrom="column">
                  <wp:posOffset>1382090</wp:posOffset>
                </wp:positionH>
                <wp:positionV relativeFrom="paragraph">
                  <wp:posOffset>2950845</wp:posOffset>
                </wp:positionV>
                <wp:extent cx="2355215" cy="215265"/>
                <wp:effectExtent l="0" t="0" r="0" b="0"/>
                <wp:wrapNone/>
                <wp:docPr id="50" name="Group 50"/>
                <wp:cNvGraphicFramePr/>
                <a:graphic xmlns:a="http://schemas.openxmlformats.org/drawingml/2006/main">
                  <a:graphicData uri="http://schemas.microsoft.com/office/word/2010/wordprocessingGroup">
                    <wpg:wgp>
                      <wpg:cNvGrpSpPr/>
                      <wpg:grpSpPr>
                        <a:xfrm>
                          <a:off x="0" y="0"/>
                          <a:ext cx="2355215" cy="215265"/>
                          <a:chOff x="0" y="0"/>
                          <a:chExt cx="2355215" cy="215265"/>
                        </a:xfrm>
                      </wpg:grpSpPr>
                      <wps:wsp>
                        <wps:cNvPr id="51" name="Rectangle 44"/>
                        <wps:cNvSpPr/>
                        <wps:spPr>
                          <a:xfrm>
                            <a:off x="68505" y="26807"/>
                            <a:ext cx="1316498" cy="139519"/>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Box 45"/>
                        <wps:cNvSpPr txBox="1"/>
                        <wps:spPr>
                          <a:xfrm>
                            <a:off x="0" y="0"/>
                            <a:ext cx="2355215" cy="215265"/>
                          </a:xfrm>
                          <a:prstGeom prst="rect">
                            <a:avLst/>
                          </a:prstGeom>
                          <a:noFill/>
                        </wps:spPr>
                        <wps:txbx>
                          <w:txbxContent>
                            <w:p w14:paraId="7569B67A" w14:textId="77777777" w:rsidR="00F9370A" w:rsidRPr="004C6EBD" w:rsidRDefault="00F9370A" w:rsidP="005D434F">
                              <w:pPr>
                                <w:pStyle w:val="NormalWeb"/>
                                <w:spacing w:before="0" w:beforeAutospacing="0" w:after="0" w:afterAutospacing="0"/>
                                <w:rPr>
                                  <w:sz w:val="14"/>
                                </w:rPr>
                              </w:pPr>
                              <w:r w:rsidRPr="004C6EBD">
                                <w:rPr>
                                  <w:rFonts w:asciiTheme="majorHAnsi" w:hAnsi="Calibri" w:cstheme="minorBidi"/>
                                  <w:b/>
                                  <w:bCs/>
                                  <w:color w:val="404040" w:themeColor="text1" w:themeTint="BF"/>
                                  <w:kern w:val="24"/>
                                  <w:sz w:val="16"/>
                                  <w:szCs w:val="28"/>
                                </w:rPr>
                                <w:t xml:space="preserve">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  5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10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20 km </w:t>
                              </w:r>
                            </w:p>
                          </w:txbxContent>
                        </wps:txbx>
                        <wps:bodyPr wrap="square" rtlCol="0">
                          <a:spAutoFit/>
                        </wps:bodyPr>
                      </wps:wsp>
                    </wpg:wgp>
                  </a:graphicData>
                </a:graphic>
              </wp:anchor>
            </w:drawing>
          </mc:Choice>
          <mc:Fallback>
            <w:pict>
              <v:group w14:anchorId="1E6C815D" id="Group 50" o:spid="_x0000_s1075" style="position:absolute;left:0;text-align:left;margin-left:108.85pt;margin-top:232.35pt;width:185.45pt;height:16.95pt;z-index:251704320" coordsize="2355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">
                <v:rect id="Rectangle 44" o:spid="_x0000_s1076" style="position:absolute;left:685;top:268;width:1316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" stroked="f" strokeweight="2pt">
                  <v:fill opacity="45746f"/>
                </v:rect>
                <v:shape id="TextBox 45" o:spid="_x0000_s1077" type="#_x0000_t202" style="position:absolute;width:235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7569B67A" w14:textId="77777777" w:rsidR="00F9370A" w:rsidRPr="004C6EBD" w:rsidRDefault="00F9370A" w:rsidP="005D434F">
                        <w:pPr>
                          <w:pStyle w:val="NormalWeb"/>
                          <w:spacing w:before="0" w:beforeAutospacing="0" w:after="0" w:afterAutospacing="0"/>
                          <w:rPr>
                            <w:sz w:val="14"/>
                          </w:rPr>
                        </w:pPr>
                        <w:r w:rsidRPr="004C6EBD">
                          <w:rPr>
                            <w:rFonts w:asciiTheme="majorHAnsi" w:hAnsi="Calibri" w:cstheme="minorBidi"/>
                            <w:b/>
                            <w:bCs/>
                            <w:color w:val="404040" w:themeColor="text1" w:themeTint="BF"/>
                            <w:kern w:val="24"/>
                            <w:sz w:val="16"/>
                            <w:szCs w:val="28"/>
                          </w:rPr>
                          <w:t xml:space="preserve">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  5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10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20 km </w:t>
                        </w:r>
                      </w:p>
                    </w:txbxContent>
                  </v:textbox>
                </v:shape>
              </v:group>
            </w:pict>
          </mc:Fallback>
        </mc:AlternateContent>
      </w:r>
      <w:r w:rsidR="005D434F">
        <w:rPr>
          <w:noProof/>
        </w:rPr>
        <mc:AlternateContent>
          <mc:Choice Requires="wpg">
            <w:drawing>
              <wp:anchor distT="0" distB="0" distL="114300" distR="114300" simplePos="0" relativeHeight="251706368" behindDoc="0" locked="0" layoutInCell="1" allowOverlap="1" wp14:anchorId="57436474" wp14:editId="54DB6F70">
                <wp:simplePos x="0" y="0"/>
                <wp:positionH relativeFrom="column">
                  <wp:posOffset>4097655</wp:posOffset>
                </wp:positionH>
                <wp:positionV relativeFrom="paragraph">
                  <wp:posOffset>2943860</wp:posOffset>
                </wp:positionV>
                <wp:extent cx="2355215" cy="215265"/>
                <wp:effectExtent l="0" t="0" r="0" b="0"/>
                <wp:wrapNone/>
                <wp:docPr id="53" name="Group 53"/>
                <wp:cNvGraphicFramePr/>
                <a:graphic xmlns:a="http://schemas.openxmlformats.org/drawingml/2006/main">
                  <a:graphicData uri="http://schemas.microsoft.com/office/word/2010/wordprocessingGroup">
                    <wpg:wgp>
                      <wpg:cNvGrpSpPr/>
                      <wpg:grpSpPr>
                        <a:xfrm>
                          <a:off x="0" y="0"/>
                          <a:ext cx="2355215" cy="215265"/>
                          <a:chOff x="0" y="0"/>
                          <a:chExt cx="2355215" cy="215265"/>
                        </a:xfrm>
                      </wpg:grpSpPr>
                      <wps:wsp>
                        <wps:cNvPr id="54" name="Rectangle 44"/>
                        <wps:cNvSpPr/>
                        <wps:spPr>
                          <a:xfrm>
                            <a:off x="68505" y="26807"/>
                            <a:ext cx="1316498" cy="139519"/>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Box 45"/>
                        <wps:cNvSpPr txBox="1"/>
                        <wps:spPr>
                          <a:xfrm>
                            <a:off x="0" y="0"/>
                            <a:ext cx="2355215" cy="215265"/>
                          </a:xfrm>
                          <a:prstGeom prst="rect">
                            <a:avLst/>
                          </a:prstGeom>
                          <a:noFill/>
                        </wps:spPr>
                        <wps:txbx>
                          <w:txbxContent>
                            <w:p w14:paraId="53E0FC70" w14:textId="77777777" w:rsidR="00F9370A" w:rsidRPr="004C6EBD" w:rsidRDefault="00F9370A" w:rsidP="005D434F">
                              <w:pPr>
                                <w:pStyle w:val="NormalWeb"/>
                                <w:spacing w:before="0" w:beforeAutospacing="0" w:after="0" w:afterAutospacing="0"/>
                                <w:rPr>
                                  <w:sz w:val="14"/>
                                </w:rPr>
                              </w:pPr>
                              <w:r w:rsidRPr="004C6EBD">
                                <w:rPr>
                                  <w:rFonts w:asciiTheme="majorHAnsi" w:hAnsi="Calibri" w:cstheme="minorBidi"/>
                                  <w:b/>
                                  <w:bCs/>
                                  <w:color w:val="404040" w:themeColor="text1" w:themeTint="BF"/>
                                  <w:kern w:val="24"/>
                                  <w:sz w:val="16"/>
                                  <w:szCs w:val="28"/>
                                </w:rPr>
                                <w:t xml:space="preserve">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  5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10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20 km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7436474" id="Group 53" o:spid="_x0000_s1078" style="position:absolute;left:0;text-align:left;margin-left:322.65pt;margin-top:231.8pt;width:185.45pt;height:16.95pt;z-index:251706368;mso-width-relative:margin;mso-height-relative:margin" coordsize="2355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">
                <v:rect id="Rectangle 44" o:spid="_x0000_s1079" style="position:absolute;left:685;top:268;width:1316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" stroked="f" strokeweight="2pt">
                  <v:fill opacity="45746f"/>
                </v:rect>
                <v:shape id="TextBox 45" o:spid="_x0000_s1080" type="#_x0000_t202" style="position:absolute;width:235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53E0FC70" w14:textId="77777777" w:rsidR="00F9370A" w:rsidRPr="004C6EBD" w:rsidRDefault="00F9370A" w:rsidP="005D434F">
                        <w:pPr>
                          <w:pStyle w:val="NormalWeb"/>
                          <w:spacing w:before="0" w:beforeAutospacing="0" w:after="0" w:afterAutospacing="0"/>
                          <w:rPr>
                            <w:sz w:val="14"/>
                          </w:rPr>
                        </w:pPr>
                        <w:r w:rsidRPr="004C6EBD">
                          <w:rPr>
                            <w:rFonts w:asciiTheme="majorHAnsi" w:hAnsi="Calibri" w:cstheme="minorBidi"/>
                            <w:b/>
                            <w:bCs/>
                            <w:color w:val="404040" w:themeColor="text1" w:themeTint="BF"/>
                            <w:kern w:val="24"/>
                            <w:sz w:val="16"/>
                            <w:szCs w:val="28"/>
                          </w:rPr>
                          <w:t xml:space="preserve">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  5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10         </w:t>
                        </w:r>
                        <w:r>
                          <w:rPr>
                            <w:rFonts w:asciiTheme="majorHAnsi" w:hAnsi="Calibri" w:cstheme="minorBidi"/>
                            <w:b/>
                            <w:bCs/>
                            <w:color w:val="404040" w:themeColor="text1" w:themeTint="BF"/>
                            <w:kern w:val="24"/>
                            <w:sz w:val="16"/>
                            <w:szCs w:val="28"/>
                          </w:rPr>
                          <w:t xml:space="preserve">      </w:t>
                        </w:r>
                        <w:r w:rsidRPr="004C6EBD">
                          <w:rPr>
                            <w:rFonts w:asciiTheme="majorHAnsi" w:hAnsi="Calibri" w:cstheme="minorBidi"/>
                            <w:b/>
                            <w:bCs/>
                            <w:color w:val="404040" w:themeColor="text1" w:themeTint="BF"/>
                            <w:kern w:val="24"/>
                            <w:sz w:val="16"/>
                            <w:szCs w:val="28"/>
                          </w:rPr>
                          <w:t xml:space="preserve">20 km </w:t>
                        </w:r>
                      </w:p>
                    </w:txbxContent>
                  </v:textbox>
                </v:shape>
              </v:group>
            </w:pict>
          </mc:Fallback>
        </mc:AlternateContent>
      </w:r>
      <w:r w:rsidR="00C7538F" w:rsidRPr="00C7538F">
        <w:rPr>
          <w:rFonts w:ascii="Garamond" w:eastAsia="Garamond" w:hAnsi="Garamond" w:cs="Garamond"/>
          <w:noProof/>
          <w:color w:val="000000"/>
        </w:rPr>
        <w:drawing>
          <wp:inline distT="0" distB="0" distL="0" distR="0" wp14:anchorId="08A25752" wp14:editId="014EFED2">
            <wp:extent cx="2690420" cy="3314285"/>
            <wp:effectExtent l="0" t="0" r="0" b="63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09969" cy="3338367"/>
                    </a:xfrm>
                    <a:prstGeom prst="rect">
                      <a:avLst/>
                    </a:prstGeom>
                  </pic:spPr>
                </pic:pic>
              </a:graphicData>
            </a:graphic>
          </wp:inline>
        </w:drawing>
      </w:r>
      <w:r w:rsidR="00C7538F">
        <w:rPr>
          <w:rFonts w:ascii="Garamond" w:eastAsia="Garamond" w:hAnsi="Garamond" w:cs="Garamond"/>
          <w:color w:val="000000"/>
        </w:rPr>
        <w:t xml:space="preserve"> </w:t>
      </w:r>
      <w:r w:rsidR="00C7538F" w:rsidRPr="00C7538F">
        <w:rPr>
          <w:rFonts w:ascii="Garamond" w:eastAsia="Garamond" w:hAnsi="Garamond" w:cs="Garamond"/>
          <w:noProof/>
          <w:color w:val="000000"/>
        </w:rPr>
        <w:drawing>
          <wp:inline distT="0" distB="0" distL="0" distR="0" wp14:anchorId="04B09119" wp14:editId="36C04A28">
            <wp:extent cx="2687045" cy="3310128"/>
            <wp:effectExtent l="0" t="0" r="0" b="508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87045" cy="3310128"/>
                    </a:xfrm>
                    <a:prstGeom prst="rect">
                      <a:avLst/>
                    </a:prstGeom>
                  </pic:spPr>
                </pic:pic>
              </a:graphicData>
            </a:graphic>
          </wp:inline>
        </w:drawing>
      </w:r>
    </w:p>
    <w:p w14:paraId="04E3089B" w14:textId="0289EF25" w:rsidR="007A1846" w:rsidRDefault="00410AF5" w:rsidP="00410AF5">
      <w:pPr>
        <w:pBdr>
          <w:top w:val="nil"/>
          <w:left w:val="nil"/>
          <w:bottom w:val="nil"/>
          <w:right w:val="nil"/>
          <w:between w:val="nil"/>
        </w:pBdr>
        <w:spacing w:after="0" w:line="240" w:lineRule="auto"/>
        <w:ind w:left="144"/>
        <w:jc w:val="center"/>
        <w:rPr>
          <w:rFonts w:ascii="Garamond" w:eastAsia="Garamond" w:hAnsi="Garamond" w:cs="Garamond"/>
          <w:color w:val="000000"/>
        </w:rPr>
      </w:pPr>
      <w:r w:rsidRPr="0067080B">
        <w:rPr>
          <w:rFonts w:ascii="Garamond" w:eastAsia="Garamond" w:hAnsi="Garamond" w:cs="Garamond"/>
          <w:i/>
          <w:color w:val="000000"/>
        </w:rPr>
        <w:t xml:space="preserve">Figure </w:t>
      </w:r>
      <w:r w:rsidR="008A185A">
        <w:rPr>
          <w:rFonts w:ascii="Garamond" w:eastAsia="Garamond" w:hAnsi="Garamond" w:cs="Garamond"/>
          <w:i/>
          <w:color w:val="000000"/>
        </w:rPr>
        <w:t>3.</w:t>
      </w:r>
      <w:r>
        <w:rPr>
          <w:rFonts w:ascii="Garamond" w:eastAsia="Garamond" w:hAnsi="Garamond" w:cs="Garamond"/>
          <w:color w:val="000000"/>
        </w:rPr>
        <w:t xml:space="preserve"> A comparison of spatial resolutions of the four ET models. Resolutions are from left to right, SSEBop 1 km, MOD16 500 m, EEFlux 30 m, NLDAS ~12 km. </w:t>
      </w:r>
    </w:p>
    <w:p w14:paraId="312F2532" w14:textId="77777777" w:rsidR="00410AF5" w:rsidRPr="00410AF5" w:rsidRDefault="00410AF5" w:rsidP="00410AF5">
      <w:pPr>
        <w:pBdr>
          <w:top w:val="nil"/>
          <w:left w:val="nil"/>
          <w:bottom w:val="nil"/>
          <w:right w:val="nil"/>
          <w:between w:val="nil"/>
        </w:pBdr>
        <w:spacing w:after="0" w:line="240" w:lineRule="auto"/>
        <w:ind w:left="144"/>
        <w:jc w:val="center"/>
        <w:rPr>
          <w:rFonts w:ascii="Garamond" w:eastAsia="Garamond" w:hAnsi="Garamond" w:cs="Garamond"/>
          <w:color w:val="000000"/>
        </w:rPr>
      </w:pPr>
    </w:p>
    <w:p w14:paraId="0DB85D8E" w14:textId="77777777" w:rsidR="00410AF5" w:rsidRDefault="00410AF5" w:rsidP="00410AF5">
      <w:pPr>
        <w:spacing w:after="0" w:line="240" w:lineRule="auto"/>
        <w:rPr>
          <w:rFonts w:ascii="Garamond" w:eastAsia="Garamond" w:hAnsi="Garamond" w:cs="Garamond"/>
        </w:rPr>
      </w:pPr>
      <w:r>
        <w:rPr>
          <w:rFonts w:ascii="Garamond" w:eastAsia="Garamond" w:hAnsi="Garamond" w:cs="Garamond"/>
          <w:b/>
          <w:i/>
        </w:rPr>
        <w:t>4.1.1 NLDAS-2-Noah</w:t>
      </w:r>
    </w:p>
    <w:p w14:paraId="74E9C76E" w14:textId="7E380A56" w:rsidR="00410AF5" w:rsidRDefault="00410AF5" w:rsidP="00410AF5">
      <w:pPr>
        <w:spacing w:after="0" w:line="240" w:lineRule="auto"/>
        <w:rPr>
          <w:rFonts w:ascii="Garamond" w:eastAsia="Garamond" w:hAnsi="Garamond" w:cs="Garamond"/>
        </w:rPr>
      </w:pPr>
      <w:r>
        <w:rPr>
          <w:rFonts w:ascii="Garamond" w:eastAsia="Garamond" w:hAnsi="Garamond" w:cs="Garamond"/>
        </w:rPr>
        <w:t xml:space="preserve">NLDAS-2-Noah has the highest temporal resolution (hourly) and the lowest spatial resolution (~12 km). Time series analysis was conducted at daily and monthly temporal scales and compared to contemporaneous RCEW measurements. Daily correlations </w:t>
      </w:r>
      <w:r w:rsidRPr="00DF61B3">
        <w:rPr>
          <w:rFonts w:ascii="Garamond" w:eastAsia="Garamond" w:hAnsi="Garamond" w:cs="Garamond"/>
          <w:noProof/>
        </w:rPr>
        <w:t>p</w:t>
      </w:r>
      <w:r w:rsidR="00DF61B3" w:rsidRPr="00103AC2">
        <w:rPr>
          <w:rFonts w:ascii="Garamond" w:eastAsia="Garamond" w:hAnsi="Garamond" w:cs="Garamond"/>
          <w:noProof/>
        </w:rPr>
        <w:t>er</w:t>
      </w:r>
      <w:r w:rsidRPr="00DF61B3">
        <w:rPr>
          <w:rFonts w:ascii="Garamond" w:eastAsia="Garamond" w:hAnsi="Garamond" w:cs="Garamond"/>
          <w:noProof/>
        </w:rPr>
        <w:t>formed</w:t>
      </w:r>
      <w:r>
        <w:rPr>
          <w:rFonts w:ascii="Garamond" w:eastAsia="Garamond" w:hAnsi="Garamond" w:cs="Garamond"/>
        </w:rPr>
        <w:t xml:space="preserve"> worse compared to monthly total correlations. Daily regression coefficients ranged from 0.53 to 0.69 and monthly total regressi</w:t>
      </w:r>
      <w:r w:rsidR="00D563E1">
        <w:rPr>
          <w:rFonts w:ascii="Garamond" w:eastAsia="Garamond" w:hAnsi="Garamond" w:cs="Garamond"/>
        </w:rPr>
        <w:t>on coefficients</w:t>
      </w:r>
      <w:r w:rsidR="00FC2C16">
        <w:rPr>
          <w:rFonts w:ascii="Garamond" w:eastAsia="Garamond" w:hAnsi="Garamond" w:cs="Garamond"/>
        </w:rPr>
        <w:t xml:space="preserve"> for </w:t>
      </w:r>
      <w:r w:rsidR="008D7635">
        <w:rPr>
          <w:rFonts w:ascii="Garamond" w:eastAsia="Garamond" w:hAnsi="Garamond" w:cs="Garamond"/>
        </w:rPr>
        <w:t>the study period</w:t>
      </w:r>
      <w:r w:rsidR="00D563E1">
        <w:rPr>
          <w:rFonts w:ascii="Garamond" w:eastAsia="Garamond" w:hAnsi="Garamond" w:cs="Garamond"/>
        </w:rPr>
        <w:t xml:space="preserve"> ranged from 0.</w:t>
      </w:r>
      <w:r w:rsidR="008D7635">
        <w:rPr>
          <w:rFonts w:ascii="Garamond" w:eastAsia="Garamond" w:hAnsi="Garamond" w:cs="Garamond"/>
        </w:rPr>
        <w:t>7</w:t>
      </w:r>
      <w:r>
        <w:rPr>
          <w:rFonts w:ascii="Garamond" w:eastAsia="Garamond" w:hAnsi="Garamond" w:cs="Garamond"/>
        </w:rPr>
        <w:t xml:space="preserve"> to 0.87</w:t>
      </w:r>
      <w:r w:rsidR="006E0DA6">
        <w:rPr>
          <w:rFonts w:ascii="Garamond" w:eastAsia="Garamond" w:hAnsi="Garamond" w:cs="Garamond"/>
        </w:rPr>
        <w:t xml:space="preserve"> (Figure 5A</w:t>
      </w:r>
      <w:r w:rsidR="00D563E1">
        <w:rPr>
          <w:rFonts w:ascii="Garamond" w:eastAsia="Garamond" w:hAnsi="Garamond" w:cs="Garamond"/>
        </w:rPr>
        <w:t>)</w:t>
      </w:r>
      <w:r>
        <w:rPr>
          <w:rFonts w:ascii="Garamond" w:eastAsia="Garamond" w:hAnsi="Garamond" w:cs="Garamond"/>
        </w:rPr>
        <w:t>. Total ET varied between elevation sites</w:t>
      </w:r>
      <w:r w:rsidR="00EC501C">
        <w:rPr>
          <w:rFonts w:ascii="Garamond" w:eastAsia="Garamond" w:hAnsi="Garamond" w:cs="Garamond"/>
        </w:rPr>
        <w:t>,</w:t>
      </w:r>
      <w:r>
        <w:rPr>
          <w:rFonts w:ascii="Garamond" w:eastAsia="Garamond" w:hAnsi="Garamond" w:cs="Garamond"/>
        </w:rPr>
        <w:t xml:space="preserve"> where higher elevation sites had </w:t>
      </w:r>
      <w:r>
        <w:rPr>
          <w:rFonts w:ascii="Garamond" w:eastAsia="Garamond" w:hAnsi="Garamond" w:cs="Garamond"/>
        </w:rPr>
        <w:lastRenderedPageBreak/>
        <w:t xml:space="preserve">higher total ET compared to lower elevation sites. Both groups of sites followed a similar </w:t>
      </w:r>
      <w:r w:rsidR="00DF61B3">
        <w:rPr>
          <w:rFonts w:ascii="Garamond" w:eastAsia="Garamond" w:hAnsi="Garamond" w:cs="Garamond"/>
          <w:noProof/>
        </w:rPr>
        <w:t>annual</w:t>
      </w:r>
      <w:r w:rsidR="00DF61B3">
        <w:rPr>
          <w:rFonts w:ascii="Garamond" w:eastAsia="Garamond" w:hAnsi="Garamond" w:cs="Garamond"/>
        </w:rPr>
        <w:t xml:space="preserve"> </w:t>
      </w:r>
      <w:r>
        <w:rPr>
          <w:rFonts w:ascii="Garamond" w:eastAsia="Garamond" w:hAnsi="Garamond" w:cs="Garamond"/>
        </w:rPr>
        <w:t>trend of increasing ET until mid-year and decreasing ET in the later months of the year</w:t>
      </w:r>
      <w:r w:rsidR="006E0DA6">
        <w:rPr>
          <w:rFonts w:ascii="Garamond" w:eastAsia="Garamond" w:hAnsi="Garamond" w:cs="Garamond"/>
        </w:rPr>
        <w:t xml:space="preserve"> (Figure 5B)</w:t>
      </w:r>
      <w:r>
        <w:rPr>
          <w:rFonts w:ascii="Garamond" w:eastAsia="Garamond" w:hAnsi="Garamond" w:cs="Garamond"/>
        </w:rPr>
        <w:t>. In general, NLDAS-2-Noah under</w:t>
      </w:r>
      <w:r w:rsidR="00EC501C">
        <w:rPr>
          <w:rFonts w:ascii="Garamond" w:eastAsia="Garamond" w:hAnsi="Garamond" w:cs="Garamond"/>
        </w:rPr>
        <w:t>-</w:t>
      </w:r>
      <w:r>
        <w:rPr>
          <w:rFonts w:ascii="Garamond" w:eastAsia="Garamond" w:hAnsi="Garamond" w:cs="Garamond"/>
        </w:rPr>
        <w:t xml:space="preserve">predicted total ET throughout the entire year </w:t>
      </w:r>
      <w:r w:rsidR="00EC501C">
        <w:rPr>
          <w:rFonts w:ascii="Garamond" w:eastAsia="Garamond" w:hAnsi="Garamond" w:cs="Garamond"/>
        </w:rPr>
        <w:t xml:space="preserve">and </w:t>
      </w:r>
      <w:r>
        <w:rPr>
          <w:rFonts w:ascii="Garamond" w:eastAsia="Garamond" w:hAnsi="Garamond" w:cs="Garamond"/>
        </w:rPr>
        <w:t>more substantially in the summer months (</w:t>
      </w:r>
      <w:r w:rsidRPr="00DF61B3">
        <w:rPr>
          <w:rFonts w:ascii="Garamond" w:eastAsia="Garamond" w:hAnsi="Garamond" w:cs="Garamond"/>
          <w:noProof/>
        </w:rPr>
        <w:t>May</w:t>
      </w:r>
      <w:r w:rsidR="00DF61B3" w:rsidRPr="00103AC2">
        <w:rPr>
          <w:rFonts w:ascii="Garamond" w:eastAsia="Garamond" w:hAnsi="Garamond" w:cs="Garamond"/>
          <w:noProof/>
        </w:rPr>
        <w:t>-</w:t>
      </w:r>
      <w:r w:rsidRPr="00DF61B3">
        <w:rPr>
          <w:rFonts w:ascii="Garamond" w:eastAsia="Garamond" w:hAnsi="Garamond" w:cs="Garamond"/>
          <w:noProof/>
        </w:rPr>
        <w:t>August</w:t>
      </w:r>
      <w:r>
        <w:rPr>
          <w:rFonts w:ascii="Garamond" w:eastAsia="Garamond" w:hAnsi="Garamond" w:cs="Garamond"/>
        </w:rPr>
        <w:t xml:space="preserve">). This model </w:t>
      </w:r>
      <w:r w:rsidRPr="00DF61B3">
        <w:rPr>
          <w:rFonts w:ascii="Garamond" w:eastAsia="Garamond" w:hAnsi="Garamond" w:cs="Garamond"/>
          <w:noProof/>
        </w:rPr>
        <w:t>underpredicted</w:t>
      </w:r>
      <w:r>
        <w:rPr>
          <w:rFonts w:ascii="Garamond" w:eastAsia="Garamond" w:hAnsi="Garamond" w:cs="Garamond"/>
        </w:rPr>
        <w:t xml:space="preserve"> ET by an average 53%</w:t>
      </w:r>
      <w:r w:rsidRPr="00F014DB">
        <w:rPr>
          <w:rFonts w:ascii="Garamond" w:eastAsia="Garamond" w:hAnsi="Garamond" w:cs="Garamond"/>
        </w:rPr>
        <w:t xml:space="preserve"> </w:t>
      </w:r>
      <w:r>
        <w:rPr>
          <w:rFonts w:ascii="Garamond" w:eastAsia="Garamond" w:hAnsi="Garamond" w:cs="Garamond"/>
        </w:rPr>
        <w:t xml:space="preserve">throughout the year. NLDAS-2-Noah assimilates meteorological data from sites across the United States to compute an ET product. Therefore, high regression coefficients may be a product of this model utilizing RCEW meteorological data and may not produce similarly accurate results when used in regions that lack </w:t>
      </w:r>
      <w:r w:rsidRPr="007E1296">
        <w:rPr>
          <w:rFonts w:ascii="Garamond" w:eastAsia="Garamond" w:hAnsi="Garamond" w:cs="Garamond"/>
          <w:noProof/>
        </w:rPr>
        <w:t>dense</w:t>
      </w:r>
      <w:r>
        <w:rPr>
          <w:rFonts w:ascii="Garamond" w:eastAsia="Garamond" w:hAnsi="Garamond" w:cs="Garamond"/>
        </w:rPr>
        <w:t xml:space="preserve"> local meteorological data. </w:t>
      </w:r>
    </w:p>
    <w:p w14:paraId="4415571E" w14:textId="330E4DEE" w:rsidR="00CC7494" w:rsidRDefault="00CC7494" w:rsidP="00B1669D">
      <w:pPr>
        <w:spacing w:after="0" w:line="240" w:lineRule="auto"/>
        <w:rPr>
          <w:rFonts w:ascii="Garamond" w:eastAsia="Garamond" w:hAnsi="Garamond" w:cs="Garamond"/>
        </w:rPr>
      </w:pPr>
    </w:p>
    <w:p w14:paraId="661BCC13" w14:textId="7C88E16D" w:rsidR="00835E87" w:rsidRPr="00835E87" w:rsidRDefault="00D04B0B" w:rsidP="00103AC2">
      <w:pPr>
        <w:spacing w:after="0" w:line="240" w:lineRule="auto"/>
        <w:jc w:val="center"/>
        <w:rPr>
          <w:rFonts w:ascii="Garamond" w:hAnsi="Garamond"/>
          <w:noProof/>
        </w:rPr>
      </w:pPr>
      <w:r w:rsidRPr="00D04B0B">
        <w:rPr>
          <w:noProof/>
        </w:rPr>
        <w:drawing>
          <wp:inline distT="0" distB="0" distL="0" distR="0" wp14:anchorId="4F9510D9" wp14:editId="0CE305D4">
            <wp:extent cx="4114800" cy="2530549"/>
            <wp:effectExtent l="0" t="0" r="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C59830" w14:textId="6CF820CE" w:rsidR="00835E87" w:rsidRPr="00835E87" w:rsidRDefault="00835E87" w:rsidP="00B1669D">
      <w:pPr>
        <w:spacing w:after="0" w:line="240" w:lineRule="auto"/>
        <w:rPr>
          <w:rFonts w:ascii="Garamond" w:hAnsi="Garamond"/>
          <w:noProof/>
        </w:rPr>
      </w:pPr>
      <w:r w:rsidRPr="00835E87">
        <w:rPr>
          <w:rFonts w:ascii="Garamond" w:hAnsi="Garamond"/>
          <w:i/>
          <w:noProof/>
        </w:rPr>
        <w:t xml:space="preserve">Figure </w:t>
      </w:r>
      <w:r w:rsidR="00D563E1">
        <w:rPr>
          <w:rFonts w:ascii="Garamond" w:hAnsi="Garamond"/>
          <w:i/>
          <w:noProof/>
        </w:rPr>
        <w:t>4</w:t>
      </w:r>
      <w:r w:rsidR="008A185A">
        <w:rPr>
          <w:rFonts w:ascii="Garamond" w:hAnsi="Garamond"/>
          <w:noProof/>
        </w:rPr>
        <w:t>.</w:t>
      </w:r>
      <w:r w:rsidRPr="00835E87">
        <w:rPr>
          <w:rFonts w:ascii="Garamond" w:hAnsi="Garamond"/>
          <w:noProof/>
        </w:rPr>
        <w:t xml:space="preserve"> </w:t>
      </w:r>
      <w:r w:rsidR="00192D19">
        <w:rPr>
          <w:rFonts w:ascii="Garamond" w:hAnsi="Garamond"/>
          <w:noProof/>
        </w:rPr>
        <w:t>Reynolds Creek ET time series for the year 2016 for comparison with modeled ET time series.</w:t>
      </w:r>
    </w:p>
    <w:p w14:paraId="0DC3C186" w14:textId="29E3DABE" w:rsidR="00835E87" w:rsidRDefault="00835E87" w:rsidP="00B1669D">
      <w:pPr>
        <w:spacing w:after="0" w:line="240" w:lineRule="auto"/>
        <w:rPr>
          <w:rFonts w:ascii="Garamond" w:eastAsia="Garamond" w:hAnsi="Garamond" w:cs="Garamond"/>
        </w:rPr>
      </w:pPr>
    </w:p>
    <w:p w14:paraId="254B732E" w14:textId="13434AE2" w:rsidR="00835E87" w:rsidRDefault="00835E87" w:rsidP="00835E87">
      <w:pPr>
        <w:spacing w:after="0" w:line="240" w:lineRule="auto"/>
        <w:jc w:val="center"/>
        <w:rPr>
          <w:rFonts w:ascii="Garamond" w:eastAsia="Garamond" w:hAnsi="Garamond" w:cs="Garamond"/>
        </w:rPr>
      </w:pPr>
    </w:p>
    <w:p w14:paraId="7AF816E3" w14:textId="0FBFD306" w:rsidR="006D4545" w:rsidRDefault="008E02EE" w:rsidP="00EC501C">
      <w:pPr>
        <w:spacing w:after="0" w:line="240" w:lineRule="auto"/>
        <w:jc w:val="center"/>
        <w:rPr>
          <w:rFonts w:ascii="Garamond" w:eastAsia="Garamond" w:hAnsi="Garamond" w:cs="Garamond"/>
        </w:rPr>
      </w:pPr>
      <w:r w:rsidRPr="008E02EE">
        <w:rPr>
          <w:rFonts w:ascii="Garamond" w:eastAsia="Garamond" w:hAnsi="Garamond" w:cs="Garamond"/>
          <w:noProof/>
        </w:rPr>
        <w:drawing>
          <wp:inline distT="0" distB="0" distL="0" distR="0" wp14:anchorId="61DD8B31" wp14:editId="05A9AAEE">
            <wp:extent cx="2971800" cy="24098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C259C" w:rsidRPr="004C259C">
        <w:rPr>
          <w:rFonts w:ascii="Garamond" w:eastAsia="Garamond" w:hAnsi="Garamond" w:cs="Garamond"/>
          <w:noProof/>
        </w:rPr>
        <w:drawing>
          <wp:inline distT="0" distB="0" distL="0" distR="0" wp14:anchorId="100EB5E6" wp14:editId="2BF3A349">
            <wp:extent cx="2955290" cy="2419350"/>
            <wp:effectExtent l="0" t="0" r="0" b="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5C7E77" w14:textId="7ED0DE32" w:rsidR="00835E87" w:rsidRPr="00835E87" w:rsidRDefault="00835E87" w:rsidP="006E0DA6">
      <w:pPr>
        <w:spacing w:after="0" w:line="240" w:lineRule="auto"/>
        <w:jc w:val="center"/>
        <w:rPr>
          <w:rFonts w:ascii="Garamond" w:eastAsia="Garamond" w:hAnsi="Garamond" w:cs="Garamond"/>
        </w:rPr>
      </w:pPr>
      <w:r>
        <w:rPr>
          <w:rFonts w:ascii="Garamond" w:eastAsia="Garamond" w:hAnsi="Garamond" w:cs="Garamond"/>
          <w:i/>
        </w:rPr>
        <w:t xml:space="preserve">Figure </w:t>
      </w:r>
      <w:r w:rsidR="00D563E1">
        <w:rPr>
          <w:rFonts w:ascii="Garamond" w:eastAsia="Garamond" w:hAnsi="Garamond" w:cs="Garamond"/>
          <w:i/>
        </w:rPr>
        <w:t>5</w:t>
      </w:r>
      <w:r w:rsidR="008A185A">
        <w:rPr>
          <w:rFonts w:ascii="Garamond" w:eastAsia="Garamond" w:hAnsi="Garamond" w:cs="Garamond"/>
        </w:rPr>
        <w:t>.</w:t>
      </w:r>
      <w:r w:rsidR="00192D19" w:rsidRPr="00192D19">
        <w:rPr>
          <w:rFonts w:ascii="Garamond" w:hAnsi="Garamond"/>
          <w:noProof/>
        </w:rPr>
        <w:t xml:space="preserve"> </w:t>
      </w:r>
      <w:r w:rsidR="006E0DA6">
        <w:rPr>
          <w:rFonts w:ascii="Garamond" w:hAnsi="Garamond"/>
          <w:noProof/>
        </w:rPr>
        <w:t>A</w:t>
      </w:r>
      <w:r w:rsidR="00192D19">
        <w:rPr>
          <w:rFonts w:ascii="Garamond" w:hAnsi="Garamond"/>
          <w:noProof/>
        </w:rPr>
        <w:t>) NLDAS-2-Noah Modeled ET vs. RCEW ET regression analysis</w:t>
      </w:r>
      <w:r w:rsidR="00FC2C16">
        <w:rPr>
          <w:rFonts w:ascii="Garamond" w:hAnsi="Garamond"/>
          <w:noProof/>
        </w:rPr>
        <w:t xml:space="preserve"> for </w:t>
      </w:r>
      <w:r w:rsidR="00413B60">
        <w:rPr>
          <w:rFonts w:ascii="Garamond" w:hAnsi="Garamond"/>
          <w:noProof/>
        </w:rPr>
        <w:t>study period 2015-2017</w:t>
      </w:r>
      <w:r w:rsidR="00192D19">
        <w:rPr>
          <w:rFonts w:ascii="Garamond" w:hAnsi="Garamond"/>
          <w:noProof/>
        </w:rPr>
        <w:t>.</w:t>
      </w:r>
      <w:r w:rsidR="006E0DA6" w:rsidRPr="006E0DA6">
        <w:rPr>
          <w:rFonts w:ascii="Garamond" w:hAnsi="Garamond"/>
          <w:noProof/>
        </w:rPr>
        <w:t xml:space="preserve"> </w:t>
      </w:r>
      <w:r w:rsidR="006E0DA6">
        <w:rPr>
          <w:rFonts w:ascii="Garamond" w:hAnsi="Garamond"/>
          <w:noProof/>
        </w:rPr>
        <w:t>B) NLDAS-2-Noah ET time series for the year 2016.</w:t>
      </w:r>
    </w:p>
    <w:p w14:paraId="7C7EFBC2" w14:textId="52A8A6DC" w:rsidR="0033141E" w:rsidRDefault="0033141E" w:rsidP="00B1669D">
      <w:pPr>
        <w:spacing w:after="0" w:line="240" w:lineRule="auto"/>
        <w:rPr>
          <w:rFonts w:ascii="Garamond" w:eastAsia="Garamond" w:hAnsi="Garamond" w:cs="Garamond"/>
        </w:rPr>
      </w:pPr>
    </w:p>
    <w:p w14:paraId="3C85BC4B" w14:textId="77777777" w:rsidR="00410AF5" w:rsidRPr="0052012A" w:rsidRDefault="00410AF5" w:rsidP="00410AF5">
      <w:pPr>
        <w:spacing w:after="0" w:line="240" w:lineRule="auto"/>
        <w:rPr>
          <w:rFonts w:ascii="Garamond" w:eastAsia="Garamond" w:hAnsi="Garamond" w:cs="Garamond"/>
          <w:b/>
          <w:i/>
        </w:rPr>
      </w:pPr>
      <w:r w:rsidRPr="0052012A">
        <w:rPr>
          <w:rFonts w:ascii="Garamond" w:eastAsia="Garamond" w:hAnsi="Garamond" w:cs="Garamond"/>
          <w:b/>
          <w:i/>
        </w:rPr>
        <w:t>4.1.2 SSEBop</w:t>
      </w:r>
    </w:p>
    <w:p w14:paraId="71956508" w14:textId="660016E5" w:rsidR="00410AF5" w:rsidRDefault="00410AF5" w:rsidP="00410AF5">
      <w:pPr>
        <w:spacing w:after="0" w:line="240" w:lineRule="auto"/>
        <w:rPr>
          <w:rFonts w:ascii="Garamond" w:eastAsia="Garamond" w:hAnsi="Garamond" w:cs="Garamond"/>
        </w:rPr>
      </w:pPr>
      <w:r>
        <w:rPr>
          <w:rFonts w:ascii="Garamond" w:eastAsia="Garamond" w:hAnsi="Garamond" w:cs="Garamond"/>
        </w:rPr>
        <w:t>SSEBop has a temporal resolution of ten days but</w:t>
      </w:r>
      <w:r w:rsidR="00DF61B3">
        <w:rPr>
          <w:rFonts w:ascii="Garamond" w:eastAsia="Garamond" w:hAnsi="Garamond" w:cs="Garamond"/>
        </w:rPr>
        <w:t>,</w:t>
      </w:r>
      <w:r>
        <w:rPr>
          <w:rFonts w:ascii="Garamond" w:eastAsia="Garamond" w:hAnsi="Garamond" w:cs="Garamond"/>
        </w:rPr>
        <w:t xml:space="preserve"> for the purpose of comparing </w:t>
      </w:r>
      <w:r w:rsidRPr="00DF61B3">
        <w:rPr>
          <w:rFonts w:ascii="Garamond" w:eastAsia="Garamond" w:hAnsi="Garamond" w:cs="Garamond"/>
          <w:noProof/>
        </w:rPr>
        <w:t>models</w:t>
      </w:r>
      <w:r w:rsidR="00DF61B3" w:rsidRPr="00103AC2">
        <w:rPr>
          <w:rFonts w:ascii="Garamond" w:eastAsia="Garamond" w:hAnsi="Garamond" w:cs="Garamond"/>
          <w:noProof/>
        </w:rPr>
        <w:t>,</w:t>
      </w:r>
      <w:r>
        <w:rPr>
          <w:rFonts w:ascii="Garamond" w:eastAsia="Garamond" w:hAnsi="Garamond" w:cs="Garamond"/>
        </w:rPr>
        <w:t xml:space="preserve"> daily values were summed to monthly total ET. This model has a spatial resolution of 1 km. Correlation coefficients between eddy covariance towers and modeled ET ranged from </w:t>
      </w:r>
      <w:r w:rsidRPr="00FC2C16">
        <w:rPr>
          <w:rFonts w:ascii="Garamond" w:eastAsia="Garamond" w:hAnsi="Garamond" w:cs="Garamond"/>
        </w:rPr>
        <w:t>0.21 to 0.85 with an average r</w:t>
      </w:r>
      <w:r w:rsidRPr="00FC2C16">
        <w:rPr>
          <w:rFonts w:ascii="Garamond" w:eastAsia="Garamond" w:hAnsi="Garamond" w:cs="Garamond"/>
          <w:vertAlign w:val="superscript"/>
        </w:rPr>
        <w:t>2</w:t>
      </w:r>
      <w:r w:rsidRPr="00FC2C16">
        <w:rPr>
          <w:rFonts w:ascii="Garamond" w:eastAsia="Garamond" w:hAnsi="Garamond" w:cs="Garamond"/>
        </w:rPr>
        <w:t xml:space="preserve"> of 0.49</w:t>
      </w:r>
      <w:r w:rsidR="00FC2C16">
        <w:rPr>
          <w:rFonts w:ascii="Garamond" w:eastAsia="Garamond" w:hAnsi="Garamond" w:cs="Garamond"/>
        </w:rPr>
        <w:t xml:space="preserve"> over</w:t>
      </w:r>
      <w:r w:rsidR="006D4545">
        <w:rPr>
          <w:rFonts w:ascii="Garamond" w:eastAsia="Garamond" w:hAnsi="Garamond" w:cs="Garamond"/>
        </w:rPr>
        <w:t xml:space="preserve"> the length of the study period (Figure 6A)</w:t>
      </w:r>
      <w:r>
        <w:rPr>
          <w:rFonts w:ascii="Garamond" w:eastAsia="Garamond" w:hAnsi="Garamond" w:cs="Garamond"/>
        </w:rPr>
        <w:t xml:space="preserve">. SSEBop follows the general trend of increasing ET during the growing </w:t>
      </w:r>
      <w:r>
        <w:rPr>
          <w:rFonts w:ascii="Garamond" w:eastAsia="Garamond" w:hAnsi="Garamond" w:cs="Garamond"/>
        </w:rPr>
        <w:lastRenderedPageBreak/>
        <w:t>months and decreasing ET during the winter months</w:t>
      </w:r>
      <w:r w:rsidR="006E0DA6">
        <w:rPr>
          <w:rFonts w:ascii="Garamond" w:eastAsia="Garamond" w:hAnsi="Garamond" w:cs="Garamond"/>
        </w:rPr>
        <w:t xml:space="preserve"> (Figure 2B)</w:t>
      </w:r>
      <w:r>
        <w:rPr>
          <w:rFonts w:ascii="Garamond" w:eastAsia="Garamond" w:hAnsi="Garamond" w:cs="Garamond"/>
        </w:rPr>
        <w:t xml:space="preserve">. Overall, this model tends to underestimate ET throughout the entire year by an average of 48% throughout the year. </w:t>
      </w:r>
    </w:p>
    <w:p w14:paraId="3BCD4B24" w14:textId="77777777" w:rsidR="00377D28" w:rsidRDefault="00377D28" w:rsidP="00410AF5">
      <w:pPr>
        <w:spacing w:after="0" w:line="240" w:lineRule="auto"/>
        <w:rPr>
          <w:rFonts w:ascii="Garamond" w:eastAsia="Garamond" w:hAnsi="Garamond" w:cs="Garamond"/>
        </w:rPr>
      </w:pPr>
    </w:p>
    <w:p w14:paraId="23256353" w14:textId="4873BBFA" w:rsidR="00835E87" w:rsidRDefault="00305AF9" w:rsidP="00103AC2">
      <w:pPr>
        <w:spacing w:after="0" w:line="240" w:lineRule="auto"/>
        <w:rPr>
          <w:rFonts w:ascii="Garamond" w:eastAsia="Garamond" w:hAnsi="Garamond" w:cs="Garamond"/>
        </w:rPr>
      </w:pPr>
      <w:r w:rsidRPr="00305AF9">
        <w:rPr>
          <w:noProof/>
        </w:rPr>
        <w:drawing>
          <wp:inline distT="0" distB="0" distL="0" distR="0" wp14:anchorId="74CBD326" wp14:editId="66EB2F05">
            <wp:extent cx="2933700" cy="2672080"/>
            <wp:effectExtent l="0" t="0" r="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B5916" w:rsidRPr="007B5916">
        <w:rPr>
          <w:noProof/>
        </w:rPr>
        <w:drawing>
          <wp:inline distT="0" distB="0" distL="0" distR="0" wp14:anchorId="3F5E22A8" wp14:editId="1AF853CD">
            <wp:extent cx="2934335" cy="2705100"/>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F88960" w14:textId="254A2123" w:rsidR="00835E87" w:rsidRDefault="00835E87" w:rsidP="006E0DA6">
      <w:pPr>
        <w:spacing w:after="0" w:line="240" w:lineRule="auto"/>
        <w:jc w:val="center"/>
        <w:rPr>
          <w:rFonts w:ascii="Garamond" w:eastAsia="Garamond" w:hAnsi="Garamond" w:cs="Garamond"/>
        </w:rPr>
      </w:pPr>
      <w:r>
        <w:rPr>
          <w:rFonts w:ascii="Garamond" w:eastAsia="Garamond" w:hAnsi="Garamond" w:cs="Garamond"/>
          <w:i/>
        </w:rPr>
        <w:t xml:space="preserve">Figure </w:t>
      </w:r>
      <w:r w:rsidR="00D563E1">
        <w:rPr>
          <w:rFonts w:ascii="Garamond" w:eastAsia="Garamond" w:hAnsi="Garamond" w:cs="Garamond"/>
          <w:i/>
        </w:rPr>
        <w:t>6</w:t>
      </w:r>
      <w:r w:rsidR="008A185A">
        <w:rPr>
          <w:rFonts w:ascii="Garamond" w:eastAsia="Garamond" w:hAnsi="Garamond" w:cs="Garamond"/>
          <w:i/>
        </w:rPr>
        <w:t>.</w:t>
      </w:r>
      <w:r>
        <w:rPr>
          <w:rFonts w:ascii="Garamond" w:eastAsia="Garamond" w:hAnsi="Garamond" w:cs="Garamond"/>
        </w:rPr>
        <w:t xml:space="preserve"> </w:t>
      </w:r>
      <w:r w:rsidR="006E0DA6">
        <w:rPr>
          <w:rFonts w:ascii="Garamond" w:hAnsi="Garamond"/>
          <w:noProof/>
        </w:rPr>
        <w:t>A</w:t>
      </w:r>
      <w:r w:rsidR="00192D19">
        <w:rPr>
          <w:rFonts w:ascii="Garamond" w:hAnsi="Garamond"/>
          <w:noProof/>
        </w:rPr>
        <w:t xml:space="preserve">) </w:t>
      </w:r>
      <w:r w:rsidR="00E658AF">
        <w:rPr>
          <w:rFonts w:ascii="Garamond" w:hAnsi="Garamond"/>
          <w:noProof/>
        </w:rPr>
        <w:t xml:space="preserve">SSEBop </w:t>
      </w:r>
      <w:r w:rsidR="00192D19">
        <w:rPr>
          <w:rFonts w:ascii="Garamond" w:hAnsi="Garamond"/>
          <w:noProof/>
        </w:rPr>
        <w:t>Modeled ET vs. RCEW ET regression analysis</w:t>
      </w:r>
      <w:r w:rsidR="00FC2C16">
        <w:rPr>
          <w:rFonts w:ascii="Garamond" w:hAnsi="Garamond"/>
          <w:noProof/>
        </w:rPr>
        <w:t xml:space="preserve"> for </w:t>
      </w:r>
      <w:r w:rsidR="00413B60">
        <w:rPr>
          <w:rFonts w:ascii="Garamond" w:hAnsi="Garamond"/>
          <w:noProof/>
        </w:rPr>
        <w:t>the study period 2015-2017.</w:t>
      </w:r>
      <w:r w:rsidR="006E0DA6" w:rsidRPr="006E0DA6">
        <w:rPr>
          <w:rFonts w:ascii="Garamond" w:hAnsi="Garamond"/>
          <w:noProof/>
        </w:rPr>
        <w:t xml:space="preserve"> </w:t>
      </w:r>
      <w:r w:rsidR="006E0DA6">
        <w:rPr>
          <w:rFonts w:ascii="Garamond" w:hAnsi="Garamond"/>
          <w:noProof/>
        </w:rPr>
        <w:t>B) SSEBop ET time series for the year 2016.</w:t>
      </w:r>
    </w:p>
    <w:p w14:paraId="1453229F" w14:textId="285138E5" w:rsidR="00835E87" w:rsidRDefault="00835E87" w:rsidP="00B1669D">
      <w:pPr>
        <w:spacing w:after="0" w:line="240" w:lineRule="auto"/>
        <w:rPr>
          <w:rFonts w:ascii="Garamond" w:eastAsia="Garamond" w:hAnsi="Garamond" w:cs="Garamond"/>
        </w:rPr>
      </w:pPr>
      <w:r>
        <w:rPr>
          <w:rFonts w:ascii="Garamond" w:eastAsia="Garamond" w:hAnsi="Garamond" w:cs="Garamond"/>
        </w:rPr>
        <w:t xml:space="preserve"> </w:t>
      </w:r>
    </w:p>
    <w:p w14:paraId="1932D8F3" w14:textId="6E70C401" w:rsidR="00410AF5" w:rsidRPr="0052012A" w:rsidRDefault="00410AF5" w:rsidP="00410AF5">
      <w:pPr>
        <w:spacing w:after="0" w:line="240" w:lineRule="auto"/>
        <w:rPr>
          <w:rFonts w:ascii="Garamond" w:hAnsi="Garamond"/>
          <w:b/>
          <w:i/>
          <w:noProof/>
        </w:rPr>
      </w:pPr>
      <w:r w:rsidRPr="0052012A">
        <w:rPr>
          <w:rFonts w:ascii="Garamond" w:hAnsi="Garamond"/>
          <w:b/>
          <w:i/>
          <w:noProof/>
        </w:rPr>
        <w:t>4.1.3 EEFlux</w:t>
      </w:r>
      <w:r w:rsidR="00B93787">
        <w:rPr>
          <w:rFonts w:ascii="Garamond" w:hAnsi="Garamond"/>
          <w:b/>
          <w:i/>
          <w:noProof/>
        </w:rPr>
        <w:t xml:space="preserve"> </w:t>
      </w:r>
    </w:p>
    <w:p w14:paraId="1325C4EF" w14:textId="530FE965" w:rsidR="00B1669D" w:rsidRDefault="00410AF5" w:rsidP="00B1669D">
      <w:pPr>
        <w:spacing w:after="0" w:line="240" w:lineRule="auto"/>
        <w:rPr>
          <w:rFonts w:ascii="Garamond" w:eastAsia="Garamond" w:hAnsi="Garamond" w:cs="Garamond"/>
        </w:rPr>
      </w:pPr>
      <w:r>
        <w:rPr>
          <w:rFonts w:ascii="Garamond" w:eastAsia="Garamond" w:hAnsi="Garamond" w:cs="Garamond"/>
        </w:rPr>
        <w:t>EEFlux utilizes imagery from Landsat 7 ETM+ and Landsat 8 OLI and TIRS</w:t>
      </w:r>
      <w:r w:rsidR="00EC501C">
        <w:rPr>
          <w:rFonts w:ascii="Garamond" w:eastAsia="Garamond" w:hAnsi="Garamond" w:cs="Garamond"/>
        </w:rPr>
        <w:t>,</w:t>
      </w:r>
      <w:r>
        <w:rPr>
          <w:rFonts w:ascii="Garamond" w:eastAsia="Garamond" w:hAnsi="Garamond" w:cs="Garamond"/>
        </w:rPr>
        <w:t xml:space="preserve"> resulting in a roughly eight-day temporal resolution depending on cloud cover and Landsat 7 ETM+ band errors</w:t>
      </w:r>
      <w:r w:rsidR="00EC501C">
        <w:rPr>
          <w:rFonts w:ascii="Garamond" w:eastAsia="Garamond" w:hAnsi="Garamond" w:cs="Garamond"/>
        </w:rPr>
        <w:t>,</w:t>
      </w:r>
      <w:r>
        <w:rPr>
          <w:rFonts w:ascii="Garamond" w:eastAsia="Garamond" w:hAnsi="Garamond" w:cs="Garamond"/>
        </w:rPr>
        <w:t xml:space="preserve"> and were collected for the years 2015</w:t>
      </w:r>
      <w:r w:rsidR="00EC501C">
        <w:rPr>
          <w:rFonts w:ascii="Garamond" w:eastAsia="Garamond" w:hAnsi="Garamond" w:cs="Garamond"/>
        </w:rPr>
        <w:t xml:space="preserve"> through </w:t>
      </w:r>
      <w:r>
        <w:rPr>
          <w:rFonts w:ascii="Garamond" w:eastAsia="Garamond" w:hAnsi="Garamond" w:cs="Garamond"/>
        </w:rPr>
        <w:t>2017. Its spatial resolution is 30m. Monthly total ET coefficient corre</w:t>
      </w:r>
      <w:r w:rsidR="006E0DA6">
        <w:rPr>
          <w:rFonts w:ascii="Garamond" w:eastAsia="Garamond" w:hAnsi="Garamond" w:cs="Garamond"/>
        </w:rPr>
        <w:t>lations ranged from 0.32 to 0.83</w:t>
      </w:r>
      <w:r>
        <w:rPr>
          <w:rFonts w:ascii="Garamond" w:eastAsia="Garamond" w:hAnsi="Garamond" w:cs="Garamond"/>
        </w:rPr>
        <w:t xml:space="preserve"> with an average of 0.66 across all sites throughout the study period</w:t>
      </w:r>
      <w:r w:rsidR="006D4545">
        <w:rPr>
          <w:rFonts w:ascii="Garamond" w:eastAsia="Garamond" w:hAnsi="Garamond" w:cs="Garamond"/>
        </w:rPr>
        <w:t xml:space="preserve"> (Figure 7A)</w:t>
      </w:r>
      <w:r>
        <w:rPr>
          <w:rFonts w:ascii="Garamond" w:eastAsia="Garamond" w:hAnsi="Garamond" w:cs="Garamond"/>
        </w:rPr>
        <w:t>.</w:t>
      </w:r>
      <w:r w:rsidR="004A3B1C">
        <w:rPr>
          <w:rFonts w:ascii="Garamond" w:eastAsia="Garamond" w:hAnsi="Garamond" w:cs="Garamond"/>
        </w:rPr>
        <w:t xml:space="preserve"> </w:t>
      </w:r>
      <w:r>
        <w:rPr>
          <w:rFonts w:ascii="Garamond" w:eastAsia="Garamond" w:hAnsi="Garamond" w:cs="Garamond"/>
        </w:rPr>
        <w:t>The EEFlux model showed monthly total ET increasing to the summer months and decreasing in the later months. A secondary spike in ET is seen in September 2016 for Wyoming big sage, low sage, and mountain big sage 1. This spike in ET can be seen in the other two years of data, though not as obvious or during the same months</w:t>
      </w:r>
      <w:r w:rsidR="004A3B1C">
        <w:rPr>
          <w:rFonts w:ascii="Garamond" w:eastAsia="Garamond" w:hAnsi="Garamond" w:cs="Garamond"/>
        </w:rPr>
        <w:t xml:space="preserve"> (Figure 7B)</w:t>
      </w:r>
      <w:r>
        <w:rPr>
          <w:rFonts w:ascii="Garamond" w:eastAsia="Garamond" w:hAnsi="Garamond" w:cs="Garamond"/>
        </w:rPr>
        <w:t xml:space="preserve">. EEFlux tends to </w:t>
      </w:r>
      <w:r w:rsidRPr="00DF61B3">
        <w:rPr>
          <w:rFonts w:ascii="Garamond" w:eastAsia="Garamond" w:hAnsi="Garamond" w:cs="Garamond"/>
          <w:noProof/>
        </w:rPr>
        <w:t>underestimate</w:t>
      </w:r>
      <w:r>
        <w:rPr>
          <w:rFonts w:ascii="Garamond" w:eastAsia="Garamond" w:hAnsi="Garamond" w:cs="Garamond"/>
        </w:rPr>
        <w:t xml:space="preserve"> ET throughout the entire year by an average of 23%. </w:t>
      </w:r>
      <w:r w:rsidRPr="00EC501C">
        <w:rPr>
          <w:rFonts w:ascii="Garamond" w:eastAsia="Garamond" w:hAnsi="Garamond" w:cs="Garamond"/>
        </w:rPr>
        <w:t xml:space="preserve">ET roughly correlated with elevation with </w:t>
      </w:r>
      <w:r w:rsidRPr="00EC501C">
        <w:rPr>
          <w:rFonts w:ascii="Garamond" w:eastAsia="Garamond" w:hAnsi="Garamond" w:cs="Garamond"/>
          <w:noProof/>
        </w:rPr>
        <w:t>an</w:t>
      </w:r>
      <w:r w:rsidRPr="00EC501C">
        <w:rPr>
          <w:rFonts w:ascii="Garamond" w:eastAsia="Garamond" w:hAnsi="Garamond" w:cs="Garamond"/>
        </w:rPr>
        <w:t xml:space="preserve"> average r</w:t>
      </w:r>
      <w:r w:rsidRPr="00EC501C">
        <w:rPr>
          <w:rFonts w:ascii="Garamond" w:eastAsia="Garamond" w:hAnsi="Garamond" w:cs="Garamond"/>
          <w:vertAlign w:val="superscript"/>
        </w:rPr>
        <w:t>2</w:t>
      </w:r>
      <w:r w:rsidRPr="00EC501C">
        <w:rPr>
          <w:rFonts w:ascii="Garamond" w:eastAsia="Garamond" w:hAnsi="Garamond" w:cs="Garamond"/>
        </w:rPr>
        <w:t xml:space="preserve"> of 0.6 across the study period.</w:t>
      </w:r>
    </w:p>
    <w:p w14:paraId="15024E9A" w14:textId="600E9BE5" w:rsidR="00C63F33" w:rsidRDefault="00C63F33" w:rsidP="00B1669D">
      <w:pPr>
        <w:spacing w:after="0" w:line="240" w:lineRule="auto"/>
        <w:rPr>
          <w:noProof/>
        </w:rPr>
      </w:pPr>
      <w:r w:rsidRPr="00C63F33">
        <w:rPr>
          <w:noProof/>
        </w:rPr>
        <w:t xml:space="preserve"> </w:t>
      </w:r>
      <w:r w:rsidR="00ED72B1" w:rsidRPr="00ED72B1">
        <w:rPr>
          <w:noProof/>
        </w:rPr>
        <w:drawing>
          <wp:inline distT="0" distB="0" distL="0" distR="0" wp14:anchorId="7E11D6C8" wp14:editId="40DE7A0F">
            <wp:extent cx="2857500" cy="269367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0337A" w:rsidRPr="00F0337A">
        <w:rPr>
          <w:noProof/>
        </w:rPr>
        <w:drawing>
          <wp:inline distT="0" distB="0" distL="0" distR="0" wp14:anchorId="29B0BB83" wp14:editId="6E90BF37">
            <wp:extent cx="3009900" cy="2638425"/>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FCA905" w14:textId="16B50E39" w:rsidR="00835E87" w:rsidRDefault="00C63F33" w:rsidP="00FC2C16">
      <w:pPr>
        <w:spacing w:after="0" w:line="240" w:lineRule="auto"/>
        <w:jc w:val="center"/>
        <w:rPr>
          <w:rFonts w:ascii="Garamond" w:eastAsia="Garamond" w:hAnsi="Garamond" w:cs="Garamond"/>
        </w:rPr>
      </w:pPr>
      <w:r w:rsidRPr="00C63F33">
        <w:rPr>
          <w:rFonts w:ascii="Garamond" w:hAnsi="Garamond"/>
          <w:i/>
          <w:noProof/>
        </w:rPr>
        <w:t xml:space="preserve">Figure </w:t>
      </w:r>
      <w:r w:rsidR="00D563E1">
        <w:rPr>
          <w:rFonts w:ascii="Garamond" w:hAnsi="Garamond"/>
          <w:i/>
          <w:noProof/>
        </w:rPr>
        <w:t>7</w:t>
      </w:r>
      <w:r w:rsidR="008A185A">
        <w:rPr>
          <w:rFonts w:ascii="Garamond" w:hAnsi="Garamond"/>
          <w:i/>
          <w:noProof/>
        </w:rPr>
        <w:t>.</w:t>
      </w:r>
      <w:r>
        <w:rPr>
          <w:rFonts w:ascii="Garamond" w:hAnsi="Garamond"/>
          <w:noProof/>
        </w:rPr>
        <w:t xml:space="preserve"> </w:t>
      </w:r>
      <w:r w:rsidR="00FC2C16">
        <w:rPr>
          <w:rFonts w:ascii="Garamond" w:hAnsi="Garamond"/>
          <w:noProof/>
        </w:rPr>
        <w:t>A</w:t>
      </w:r>
      <w:r w:rsidR="00192D19">
        <w:rPr>
          <w:rFonts w:ascii="Garamond" w:hAnsi="Garamond"/>
          <w:noProof/>
        </w:rPr>
        <w:t xml:space="preserve">) </w:t>
      </w:r>
      <w:r w:rsidR="00E658AF">
        <w:rPr>
          <w:rFonts w:ascii="Garamond" w:hAnsi="Garamond"/>
          <w:noProof/>
        </w:rPr>
        <w:t>EEFlux</w:t>
      </w:r>
      <w:r w:rsidR="00192D19">
        <w:rPr>
          <w:rFonts w:ascii="Garamond" w:hAnsi="Garamond"/>
          <w:noProof/>
        </w:rPr>
        <w:t xml:space="preserve"> Modeled ET vs. RCEW ET regression analysis</w:t>
      </w:r>
      <w:r w:rsidR="00FC2C16">
        <w:rPr>
          <w:rFonts w:ascii="Garamond" w:hAnsi="Garamond"/>
          <w:noProof/>
        </w:rPr>
        <w:t xml:space="preserve"> for </w:t>
      </w:r>
      <w:r w:rsidR="00413B60">
        <w:rPr>
          <w:rFonts w:ascii="Garamond" w:hAnsi="Garamond"/>
          <w:noProof/>
        </w:rPr>
        <w:t>the study period 2015-2017</w:t>
      </w:r>
      <w:r w:rsidR="00192D19">
        <w:rPr>
          <w:rFonts w:ascii="Garamond" w:hAnsi="Garamond"/>
          <w:noProof/>
        </w:rPr>
        <w:t>.</w:t>
      </w:r>
      <w:r w:rsidR="00FC2C16" w:rsidRPr="00FC2C16">
        <w:rPr>
          <w:rFonts w:ascii="Garamond" w:hAnsi="Garamond"/>
          <w:noProof/>
        </w:rPr>
        <w:t xml:space="preserve"> </w:t>
      </w:r>
      <w:r w:rsidR="00FC2C16">
        <w:rPr>
          <w:rFonts w:ascii="Garamond" w:hAnsi="Garamond"/>
          <w:noProof/>
        </w:rPr>
        <w:t>B) EEFlux ET time series for the year 2016.</w:t>
      </w:r>
    </w:p>
    <w:p w14:paraId="5B224157" w14:textId="77777777" w:rsidR="00410AF5" w:rsidRPr="0052012A" w:rsidRDefault="00410AF5" w:rsidP="00410AF5">
      <w:pPr>
        <w:spacing w:after="0" w:line="240" w:lineRule="auto"/>
        <w:rPr>
          <w:rFonts w:ascii="Garamond" w:eastAsia="Garamond" w:hAnsi="Garamond" w:cs="Garamond"/>
          <w:b/>
          <w:i/>
        </w:rPr>
      </w:pPr>
      <w:r w:rsidRPr="0052012A">
        <w:rPr>
          <w:rFonts w:ascii="Garamond" w:eastAsia="Garamond" w:hAnsi="Garamond" w:cs="Garamond"/>
          <w:b/>
          <w:i/>
        </w:rPr>
        <w:lastRenderedPageBreak/>
        <w:t>4.1.4 MOD16</w:t>
      </w:r>
    </w:p>
    <w:p w14:paraId="4C317F18" w14:textId="6C30E5F9" w:rsidR="00410AF5" w:rsidRDefault="00410AF5" w:rsidP="00410AF5">
      <w:pPr>
        <w:spacing w:after="0" w:line="240" w:lineRule="auto"/>
        <w:rPr>
          <w:rFonts w:ascii="Garamond" w:eastAsia="Garamond" w:hAnsi="Garamond" w:cs="Garamond"/>
        </w:rPr>
      </w:pPr>
      <w:r>
        <w:rPr>
          <w:rFonts w:ascii="Garamond" w:eastAsia="Garamond" w:hAnsi="Garamond" w:cs="Garamond"/>
        </w:rPr>
        <w:t>The MOD16 product contains eight-day cumulative ET estimates</w:t>
      </w:r>
      <w:r w:rsidR="00757731">
        <w:rPr>
          <w:rFonts w:ascii="Garamond" w:eastAsia="Garamond" w:hAnsi="Garamond" w:cs="Garamond"/>
        </w:rPr>
        <w:t>; each estimate</w:t>
      </w:r>
      <w:r>
        <w:rPr>
          <w:rFonts w:ascii="Garamond" w:eastAsia="Garamond" w:hAnsi="Garamond" w:cs="Garamond"/>
        </w:rPr>
        <w:t xml:space="preserve"> was averaged over the month to produce a monthly total ET value. The spatial resolution of this data set is 500m. Correlation coefficients between MOD16 and RCEW </w:t>
      </w:r>
      <w:r>
        <w:rPr>
          <w:rFonts w:ascii="Garamond" w:eastAsia="Garamond" w:hAnsi="Garamond" w:cs="Garamond"/>
          <w:i/>
        </w:rPr>
        <w:t>in situ</w:t>
      </w:r>
      <w:r>
        <w:rPr>
          <w:rFonts w:ascii="Garamond" w:eastAsia="Garamond" w:hAnsi="Garamond" w:cs="Garamond"/>
        </w:rPr>
        <w:t xml:space="preserve"> ET data over the length of </w:t>
      </w:r>
      <w:r w:rsidR="006D4545">
        <w:rPr>
          <w:rFonts w:ascii="Garamond" w:eastAsia="Garamond" w:hAnsi="Garamond" w:cs="Garamond"/>
        </w:rPr>
        <w:t>the study period</w:t>
      </w:r>
      <w:r>
        <w:rPr>
          <w:rFonts w:ascii="Garamond" w:eastAsia="Garamond" w:hAnsi="Garamond" w:cs="Garamond"/>
        </w:rPr>
        <w:t xml:space="preserve"> resulted in r</w:t>
      </w:r>
      <w:r>
        <w:rPr>
          <w:rFonts w:ascii="Garamond" w:eastAsia="Garamond" w:hAnsi="Garamond" w:cs="Garamond"/>
          <w:vertAlign w:val="superscript"/>
        </w:rPr>
        <w:t>2</w:t>
      </w:r>
      <w:r>
        <w:rPr>
          <w:rFonts w:ascii="Garamond" w:eastAsia="Garamond" w:hAnsi="Garamond" w:cs="Garamond"/>
        </w:rPr>
        <w:t xml:space="preserve"> </w:t>
      </w:r>
      <w:r w:rsidR="006D4545">
        <w:rPr>
          <w:rFonts w:ascii="Garamond" w:eastAsia="Garamond" w:hAnsi="Garamond" w:cs="Garamond"/>
        </w:rPr>
        <w:t>values ranging from 0.04 to 0.61</w:t>
      </w:r>
      <w:r>
        <w:rPr>
          <w:rFonts w:ascii="Garamond" w:eastAsia="Garamond" w:hAnsi="Garamond" w:cs="Garamond"/>
        </w:rPr>
        <w:t xml:space="preserve"> with an average r</w:t>
      </w:r>
      <w:r>
        <w:rPr>
          <w:rFonts w:ascii="Garamond" w:eastAsia="Garamond" w:hAnsi="Garamond" w:cs="Garamond"/>
          <w:vertAlign w:val="superscript"/>
        </w:rPr>
        <w:t>2</w:t>
      </w:r>
      <w:r>
        <w:rPr>
          <w:rFonts w:ascii="Garamond" w:eastAsia="Garamond" w:hAnsi="Garamond" w:cs="Garamond"/>
        </w:rPr>
        <w:t xml:space="preserve"> of 0.45. </w:t>
      </w:r>
      <w:r w:rsidR="00FC2C16">
        <w:rPr>
          <w:rFonts w:ascii="Garamond" w:eastAsia="Garamond" w:hAnsi="Garamond" w:cs="Garamond"/>
        </w:rPr>
        <w:t xml:space="preserve">Correlation coefficients for 2016 are shown in figure 8A. </w:t>
      </w:r>
      <w:r>
        <w:rPr>
          <w:rFonts w:ascii="Garamond" w:eastAsia="Garamond" w:hAnsi="Garamond" w:cs="Garamond"/>
        </w:rPr>
        <w:t>Time series analysis of modeled ET shows varying trends and magnitudes of ET over the four years</w:t>
      </w:r>
      <w:r w:rsidR="00FC2C16">
        <w:rPr>
          <w:rFonts w:ascii="Garamond" w:eastAsia="Garamond" w:hAnsi="Garamond" w:cs="Garamond"/>
        </w:rPr>
        <w:t xml:space="preserve"> (Figure 8B)</w:t>
      </w:r>
      <w:r>
        <w:rPr>
          <w:rFonts w:ascii="Garamond" w:eastAsia="Garamond" w:hAnsi="Garamond" w:cs="Garamond"/>
        </w:rPr>
        <w:t>. However, MOD16 showed an increas</w:t>
      </w:r>
      <w:r w:rsidR="00F93EB5">
        <w:rPr>
          <w:rFonts w:ascii="Garamond" w:eastAsia="Garamond" w:hAnsi="Garamond" w:cs="Garamond"/>
        </w:rPr>
        <w:t>e of</w:t>
      </w:r>
      <w:r>
        <w:rPr>
          <w:rFonts w:ascii="Garamond" w:eastAsia="Garamond" w:hAnsi="Garamond" w:cs="Garamond"/>
        </w:rPr>
        <w:t xml:space="preserve"> total ET in the summer months and </w:t>
      </w:r>
      <w:r w:rsidR="00F93EB5">
        <w:rPr>
          <w:rFonts w:ascii="Garamond" w:eastAsia="Garamond" w:hAnsi="Garamond" w:cs="Garamond"/>
        </w:rPr>
        <w:t xml:space="preserve">a decrease of </w:t>
      </w:r>
      <w:r>
        <w:rPr>
          <w:rFonts w:ascii="Garamond" w:eastAsia="Garamond" w:hAnsi="Garamond" w:cs="Garamond"/>
        </w:rPr>
        <w:t xml:space="preserve">ET during the winter months. This model showed a second spike in ET in September in Wyoming sage, low sage, and </w:t>
      </w:r>
      <w:r w:rsidR="00103AC2">
        <w:rPr>
          <w:rFonts w:ascii="Garamond" w:eastAsia="Garamond" w:hAnsi="Garamond" w:cs="Garamond"/>
        </w:rPr>
        <w:t>m</w:t>
      </w:r>
      <w:r>
        <w:rPr>
          <w:rFonts w:ascii="Garamond" w:eastAsia="Garamond" w:hAnsi="Garamond" w:cs="Garamond"/>
        </w:rPr>
        <w:t xml:space="preserve">ountain sage 1 sites. This model consistently </w:t>
      </w:r>
      <w:r w:rsidRPr="00DF61B3">
        <w:rPr>
          <w:rFonts w:ascii="Garamond" w:eastAsia="Garamond" w:hAnsi="Garamond" w:cs="Garamond"/>
          <w:noProof/>
        </w:rPr>
        <w:t>overestimate</w:t>
      </w:r>
      <w:r w:rsidR="00DF61B3" w:rsidRPr="00103AC2">
        <w:rPr>
          <w:rFonts w:ascii="Garamond" w:eastAsia="Garamond" w:hAnsi="Garamond" w:cs="Garamond"/>
          <w:noProof/>
        </w:rPr>
        <w:t>d</w:t>
      </w:r>
      <w:r>
        <w:rPr>
          <w:rFonts w:ascii="Garamond" w:eastAsia="Garamond" w:hAnsi="Garamond" w:cs="Garamond"/>
        </w:rPr>
        <w:t xml:space="preserve"> ET by an average of 300% throughout the year. </w:t>
      </w:r>
    </w:p>
    <w:p w14:paraId="6B39D5AE" w14:textId="24C76056" w:rsidR="00C63F33" w:rsidRDefault="00C63F33" w:rsidP="00B1669D">
      <w:pPr>
        <w:spacing w:after="0" w:line="240" w:lineRule="auto"/>
        <w:rPr>
          <w:rFonts w:ascii="Garamond" w:eastAsia="Garamond" w:hAnsi="Garamond" w:cs="Garamond"/>
        </w:rPr>
      </w:pPr>
    </w:p>
    <w:p w14:paraId="51E8032C" w14:textId="3F2C7889" w:rsidR="00C63F33" w:rsidRDefault="0043298B" w:rsidP="00103AC2">
      <w:pPr>
        <w:spacing w:after="0" w:line="240" w:lineRule="auto"/>
        <w:jc w:val="center"/>
        <w:rPr>
          <w:rFonts w:ascii="Garamond" w:eastAsia="Garamond" w:hAnsi="Garamond" w:cs="Garamond"/>
        </w:rPr>
      </w:pPr>
      <w:r w:rsidRPr="0043298B">
        <w:rPr>
          <w:noProof/>
        </w:rPr>
        <w:drawing>
          <wp:inline distT="0" distB="0" distL="0" distR="0" wp14:anchorId="4052A079" wp14:editId="729B3FF9">
            <wp:extent cx="2905125" cy="272859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17A6A" w:rsidRPr="00717A6A">
        <w:rPr>
          <w:noProof/>
        </w:rPr>
        <w:drawing>
          <wp:inline distT="0" distB="0" distL="0" distR="0" wp14:anchorId="3551F7A5" wp14:editId="046C38BF">
            <wp:extent cx="3019425" cy="2667000"/>
            <wp:effectExtent l="0" t="0" r="9525"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08E3F2" w14:textId="16189D2E" w:rsidR="0067367E" w:rsidRDefault="00C63F33" w:rsidP="00103AC2">
      <w:pPr>
        <w:spacing w:after="0" w:line="240" w:lineRule="auto"/>
        <w:jc w:val="center"/>
        <w:rPr>
          <w:rFonts w:ascii="Garamond" w:eastAsia="Garamond" w:hAnsi="Garamond" w:cs="Garamond"/>
        </w:rPr>
      </w:pPr>
      <w:r>
        <w:rPr>
          <w:rFonts w:ascii="Garamond" w:eastAsia="Garamond" w:hAnsi="Garamond" w:cs="Garamond"/>
          <w:i/>
        </w:rPr>
        <w:t xml:space="preserve">Figure </w:t>
      </w:r>
      <w:r w:rsidR="00D563E1">
        <w:rPr>
          <w:rFonts w:ascii="Garamond" w:eastAsia="Garamond" w:hAnsi="Garamond" w:cs="Garamond"/>
          <w:i/>
        </w:rPr>
        <w:t>8</w:t>
      </w:r>
      <w:r w:rsidR="008A185A">
        <w:rPr>
          <w:rFonts w:ascii="Garamond" w:eastAsia="Garamond" w:hAnsi="Garamond" w:cs="Garamond"/>
          <w:i/>
        </w:rPr>
        <w:t>.</w:t>
      </w:r>
      <w:r>
        <w:rPr>
          <w:rFonts w:ascii="Garamond" w:eastAsia="Garamond" w:hAnsi="Garamond" w:cs="Garamond"/>
        </w:rPr>
        <w:t xml:space="preserve"> </w:t>
      </w:r>
      <w:r w:rsidR="00192D19">
        <w:rPr>
          <w:rFonts w:ascii="Garamond" w:hAnsi="Garamond"/>
          <w:noProof/>
        </w:rPr>
        <w:t xml:space="preserve">A) </w:t>
      </w:r>
      <w:r w:rsidR="00E658AF">
        <w:rPr>
          <w:rFonts w:ascii="Garamond" w:hAnsi="Garamond"/>
          <w:noProof/>
        </w:rPr>
        <w:t>MOD16</w:t>
      </w:r>
      <w:r w:rsidR="00192D19">
        <w:rPr>
          <w:rFonts w:ascii="Garamond" w:hAnsi="Garamond"/>
          <w:noProof/>
        </w:rPr>
        <w:t xml:space="preserve"> ET time series for the </w:t>
      </w:r>
      <w:r w:rsidR="00413B60">
        <w:rPr>
          <w:rFonts w:ascii="Garamond" w:hAnsi="Garamond"/>
          <w:noProof/>
        </w:rPr>
        <w:t>study period 2015-2017</w:t>
      </w:r>
      <w:r w:rsidR="00192D19">
        <w:rPr>
          <w:rFonts w:ascii="Garamond" w:hAnsi="Garamond"/>
          <w:noProof/>
        </w:rPr>
        <w:t xml:space="preserve">. B) </w:t>
      </w:r>
      <w:r w:rsidR="00E658AF">
        <w:rPr>
          <w:rFonts w:ascii="Garamond" w:hAnsi="Garamond"/>
          <w:noProof/>
        </w:rPr>
        <w:t>MOD16</w:t>
      </w:r>
      <w:r w:rsidR="00192D19">
        <w:rPr>
          <w:rFonts w:ascii="Garamond" w:hAnsi="Garamond"/>
          <w:noProof/>
        </w:rPr>
        <w:t xml:space="preserve"> Modeled ET vs. RCEW ET regression analysis</w:t>
      </w:r>
      <w:r w:rsidR="00FC2C16">
        <w:rPr>
          <w:rFonts w:ascii="Garamond" w:hAnsi="Garamond"/>
          <w:noProof/>
        </w:rPr>
        <w:t xml:space="preserve"> for 2016</w:t>
      </w:r>
      <w:r w:rsidR="00192D19">
        <w:rPr>
          <w:rFonts w:ascii="Garamond" w:hAnsi="Garamond"/>
          <w:noProof/>
        </w:rPr>
        <w:t>.</w:t>
      </w:r>
    </w:p>
    <w:p w14:paraId="71F911B9" w14:textId="7B29E6B5" w:rsidR="00C27287" w:rsidRDefault="00C27287" w:rsidP="00B1669D">
      <w:pPr>
        <w:spacing w:after="0" w:line="240" w:lineRule="auto"/>
        <w:rPr>
          <w:rFonts w:ascii="Garamond" w:eastAsia="Garamond" w:hAnsi="Garamond" w:cs="Garamond"/>
        </w:rPr>
      </w:pPr>
    </w:p>
    <w:p w14:paraId="2F6175A3" w14:textId="77777777" w:rsidR="00410AF5" w:rsidRPr="0052012A" w:rsidRDefault="00410AF5" w:rsidP="00410AF5">
      <w:pPr>
        <w:spacing w:after="0" w:line="240" w:lineRule="auto"/>
        <w:rPr>
          <w:rFonts w:ascii="Garamond" w:eastAsia="Garamond" w:hAnsi="Garamond" w:cs="Garamond"/>
          <w:b/>
          <w:i/>
        </w:rPr>
      </w:pPr>
      <w:bookmarkStart w:id="5" w:name="_tyjcwt" w:colFirst="0" w:colLast="0"/>
      <w:bookmarkStart w:id="6" w:name="_3dy6vkm" w:colFirst="0" w:colLast="0"/>
      <w:bookmarkEnd w:id="5"/>
      <w:bookmarkEnd w:id="6"/>
      <w:r w:rsidRPr="0052012A">
        <w:rPr>
          <w:rFonts w:ascii="Garamond" w:eastAsia="Garamond" w:hAnsi="Garamond" w:cs="Garamond"/>
          <w:b/>
          <w:i/>
        </w:rPr>
        <w:t>4.1.5 Environmental Factors</w:t>
      </w:r>
    </w:p>
    <w:p w14:paraId="4B038826" w14:textId="22086EC9" w:rsidR="00410AF5" w:rsidRDefault="00410AF5" w:rsidP="00AD7E97">
      <w:pPr>
        <w:spacing w:after="0" w:line="240" w:lineRule="auto"/>
        <w:rPr>
          <w:rFonts w:ascii="Garamond" w:eastAsia="Garamond" w:hAnsi="Garamond" w:cs="Garamond"/>
        </w:rPr>
      </w:pPr>
      <w:r>
        <w:rPr>
          <w:rFonts w:ascii="Garamond" w:eastAsia="Garamond" w:hAnsi="Garamond" w:cs="Garamond"/>
        </w:rPr>
        <w:t>Each of the ET models reached yearly highs in early summer, decreased in mid-summer, and had a second, but lower magnitude peak beginning in early autumn, which corresponded to expected periods of vegetation growth and decline. Despite similar patterns between models, exact timing and magnitude varied between sampling sites and ET models. There was a strong relationship between elevation and ET for EEFlux (</w:t>
      </w:r>
      <w:r w:rsidRPr="00A8346B">
        <w:rPr>
          <w:rFonts w:ascii="Garamond" w:eastAsia="Garamond" w:hAnsi="Garamond" w:cs="Garamond"/>
        </w:rPr>
        <w:t>r</w:t>
      </w:r>
      <w:r>
        <w:rPr>
          <w:rFonts w:ascii="Garamond" w:eastAsia="Garamond" w:hAnsi="Garamond" w:cs="Garamond"/>
          <w:vertAlign w:val="superscript"/>
        </w:rPr>
        <w:t>2</w:t>
      </w:r>
      <w:r>
        <w:rPr>
          <w:rFonts w:ascii="Garamond" w:eastAsia="Garamond" w:hAnsi="Garamond" w:cs="Garamond"/>
        </w:rPr>
        <w:t xml:space="preserve"> = </w:t>
      </w:r>
      <w:r w:rsidRPr="00A8346B">
        <w:rPr>
          <w:rFonts w:ascii="Garamond" w:eastAsia="Garamond" w:hAnsi="Garamond" w:cs="Garamond"/>
        </w:rPr>
        <w:t>0</w:t>
      </w:r>
      <w:r>
        <w:rPr>
          <w:rFonts w:ascii="Garamond" w:eastAsia="Garamond" w:hAnsi="Garamond" w:cs="Garamond"/>
        </w:rPr>
        <w:t>.73) and RCEW (</w:t>
      </w:r>
      <w:r w:rsidRPr="00A8346B">
        <w:rPr>
          <w:rFonts w:ascii="Garamond" w:eastAsia="Garamond" w:hAnsi="Garamond" w:cs="Garamond"/>
        </w:rPr>
        <w:t>r</w:t>
      </w:r>
      <w:r>
        <w:rPr>
          <w:rFonts w:ascii="Garamond" w:eastAsia="Garamond" w:hAnsi="Garamond" w:cs="Garamond"/>
          <w:vertAlign w:val="superscript"/>
        </w:rPr>
        <w:t>2</w:t>
      </w:r>
      <w:r>
        <w:rPr>
          <w:rFonts w:ascii="Garamond" w:eastAsia="Garamond" w:hAnsi="Garamond" w:cs="Garamond"/>
        </w:rPr>
        <w:t xml:space="preserve"> = </w:t>
      </w:r>
      <w:r w:rsidRPr="00A8346B">
        <w:rPr>
          <w:rFonts w:ascii="Garamond" w:eastAsia="Garamond" w:hAnsi="Garamond" w:cs="Garamond"/>
        </w:rPr>
        <w:t>0</w:t>
      </w:r>
      <w:r>
        <w:rPr>
          <w:rFonts w:ascii="Garamond" w:eastAsia="Garamond" w:hAnsi="Garamond" w:cs="Garamond"/>
        </w:rPr>
        <w:t>.95), and a moderate relationship for SSEBop (</w:t>
      </w:r>
      <w:r w:rsidRPr="00A8346B">
        <w:rPr>
          <w:rFonts w:ascii="Garamond" w:eastAsia="Garamond" w:hAnsi="Garamond" w:cs="Garamond"/>
        </w:rPr>
        <w:t>r</w:t>
      </w:r>
      <w:r>
        <w:rPr>
          <w:rFonts w:ascii="Garamond" w:eastAsia="Garamond" w:hAnsi="Garamond" w:cs="Garamond"/>
          <w:vertAlign w:val="superscript"/>
        </w:rPr>
        <w:t>2</w:t>
      </w:r>
      <w:r>
        <w:rPr>
          <w:rFonts w:ascii="Garamond" w:eastAsia="Garamond" w:hAnsi="Garamond" w:cs="Garamond"/>
        </w:rPr>
        <w:t xml:space="preserve"> = </w:t>
      </w:r>
      <w:r w:rsidRPr="00A8346B">
        <w:rPr>
          <w:rFonts w:ascii="Garamond" w:eastAsia="Garamond" w:hAnsi="Garamond" w:cs="Garamond"/>
        </w:rPr>
        <w:t>0</w:t>
      </w:r>
      <w:r>
        <w:rPr>
          <w:rFonts w:ascii="Garamond" w:eastAsia="Garamond" w:hAnsi="Garamond" w:cs="Garamond"/>
        </w:rPr>
        <w:t xml:space="preserve">.52). In general, ET increases with </w:t>
      </w:r>
      <w:r w:rsidRPr="00103AC2">
        <w:rPr>
          <w:rFonts w:ascii="Garamond" w:eastAsia="Garamond" w:hAnsi="Garamond" w:cs="Garamond"/>
          <w:noProof/>
        </w:rPr>
        <w:t>elevation</w:t>
      </w:r>
      <w:r>
        <w:rPr>
          <w:rFonts w:ascii="Garamond" w:eastAsia="Garamond" w:hAnsi="Garamond" w:cs="Garamond"/>
        </w:rPr>
        <w:t xml:space="preserve"> between all comparable models. Deviation from this trend occurs at both the lowest elevation and the highest elevations in the watershed. Lower reaches of the watershed, comprised of cultivated land and riparian zones, displayed relatively high ET. These areas often have ample water supply and are rarely water limited, unlike the remaining area in the watershed, and therefore have higher ET rates. A trend of decreasing ET at the higher elevation of the watershed was related to a transition from patchy aspen and conifer stands back to sagebrush-dominated landscape</w:t>
      </w:r>
      <w:r w:rsidR="00697257">
        <w:rPr>
          <w:rFonts w:ascii="Garamond" w:eastAsia="Garamond" w:hAnsi="Garamond" w:cs="Garamond"/>
        </w:rPr>
        <w:t>s</w:t>
      </w:r>
      <w:r>
        <w:rPr>
          <w:rFonts w:ascii="Garamond" w:eastAsia="Garamond" w:hAnsi="Garamond" w:cs="Garamond"/>
        </w:rPr>
        <w:t xml:space="preserve">. This vegetation transition </w:t>
      </w:r>
      <w:r w:rsidRPr="00491E89">
        <w:rPr>
          <w:rFonts w:ascii="Garamond" w:eastAsia="Garamond" w:hAnsi="Garamond" w:cs="Garamond"/>
        </w:rPr>
        <w:t>may be due</w:t>
      </w:r>
      <w:r>
        <w:rPr>
          <w:rFonts w:ascii="Garamond" w:eastAsia="Garamond" w:hAnsi="Garamond" w:cs="Garamond"/>
        </w:rPr>
        <w:t xml:space="preserve"> to </w:t>
      </w:r>
      <w:r w:rsidR="00697257">
        <w:rPr>
          <w:rFonts w:ascii="Garamond" w:eastAsia="Garamond" w:hAnsi="Garamond" w:cs="Garamond"/>
        </w:rPr>
        <w:t xml:space="preserve">the </w:t>
      </w:r>
      <w:r>
        <w:rPr>
          <w:rFonts w:ascii="Garamond" w:eastAsia="Garamond" w:hAnsi="Garamond" w:cs="Garamond"/>
        </w:rPr>
        <w:t>low soil thickness</w:t>
      </w:r>
      <w:r w:rsidR="00697257">
        <w:rPr>
          <w:rFonts w:ascii="Garamond" w:eastAsia="Garamond" w:hAnsi="Garamond" w:cs="Garamond"/>
        </w:rPr>
        <w:t xml:space="preserve"> that is</w:t>
      </w:r>
      <w:r>
        <w:rPr>
          <w:rFonts w:ascii="Garamond" w:eastAsia="Garamond" w:hAnsi="Garamond" w:cs="Garamond"/>
        </w:rPr>
        <w:t xml:space="preserve"> common at higher elevations </w:t>
      </w:r>
      <w:r w:rsidR="000A69F7">
        <w:rPr>
          <w:rFonts w:ascii="Garamond" w:eastAsia="Garamond" w:hAnsi="Garamond" w:cs="Garamond"/>
        </w:rPr>
        <w:t>(Pelletier &amp; Rasmussen</w:t>
      </w:r>
      <w:r>
        <w:rPr>
          <w:rFonts w:ascii="Garamond" w:eastAsia="Garamond" w:hAnsi="Garamond" w:cs="Garamond"/>
        </w:rPr>
        <w:t>,</w:t>
      </w:r>
      <w:r w:rsidR="000A69F7">
        <w:rPr>
          <w:rFonts w:ascii="Garamond" w:eastAsia="Garamond" w:hAnsi="Garamond" w:cs="Garamond"/>
        </w:rPr>
        <w:t xml:space="preserve"> 2009)</w:t>
      </w:r>
      <w:r w:rsidR="00697257">
        <w:rPr>
          <w:rFonts w:ascii="Garamond" w:eastAsia="Garamond" w:hAnsi="Garamond" w:cs="Garamond"/>
        </w:rPr>
        <w:t>,</w:t>
      </w:r>
      <w:r>
        <w:rPr>
          <w:rFonts w:ascii="Garamond" w:eastAsia="Garamond" w:hAnsi="Garamond" w:cs="Garamond"/>
        </w:rPr>
        <w:t xml:space="preserve"> lower water storage, and subsequent lower water availability. Vegetation type did not correlate well with ET. However, there are two different groups of vegetation corresponding to </w:t>
      </w:r>
      <w:r w:rsidRPr="00DF61B3">
        <w:rPr>
          <w:rFonts w:ascii="Garamond" w:eastAsia="Garamond" w:hAnsi="Garamond" w:cs="Garamond"/>
          <w:noProof/>
        </w:rPr>
        <w:t>relative</w:t>
      </w:r>
      <w:r w:rsidR="00DF61B3" w:rsidRPr="00103AC2">
        <w:rPr>
          <w:rFonts w:ascii="Garamond" w:eastAsia="Garamond" w:hAnsi="Garamond" w:cs="Garamond"/>
          <w:noProof/>
        </w:rPr>
        <w:t>ly</w:t>
      </w:r>
      <w:r>
        <w:rPr>
          <w:rFonts w:ascii="Garamond" w:eastAsia="Garamond" w:hAnsi="Garamond" w:cs="Garamond"/>
        </w:rPr>
        <w:t xml:space="preserve"> lower and higher elevations. Lower elevation land cover (~1100 m-~1500 m) consisted of greasewood, cultivated</w:t>
      </w:r>
      <w:r w:rsidR="00697257">
        <w:rPr>
          <w:rFonts w:ascii="Garamond" w:eastAsia="Garamond" w:hAnsi="Garamond" w:cs="Garamond"/>
        </w:rPr>
        <w:t xml:space="preserve"> land</w:t>
      </w:r>
      <w:r>
        <w:rPr>
          <w:rFonts w:ascii="Garamond" w:eastAsia="Garamond" w:hAnsi="Garamond" w:cs="Garamond"/>
        </w:rPr>
        <w:t xml:space="preserve">, Wyoming sagebrush, and bitterbrush. This lower elevation group generally had lower ET, with the exception of cultivated </w:t>
      </w:r>
      <w:r w:rsidR="00697257">
        <w:rPr>
          <w:rFonts w:ascii="Garamond" w:eastAsia="Garamond" w:hAnsi="Garamond" w:cs="Garamond"/>
        </w:rPr>
        <w:t xml:space="preserve">land </w:t>
      </w:r>
      <w:r>
        <w:rPr>
          <w:rFonts w:ascii="Garamond" w:eastAsia="Garamond" w:hAnsi="Garamond" w:cs="Garamond"/>
        </w:rPr>
        <w:t xml:space="preserve">and riparian vegetation which had high ET rates. The second, higher elevation vegetation group included mountain sagebrush-snowberry, Wyoming sagebrush-bitterbrush, low sagebrush, conifers, and quaking aspen. ET and MSAVI-2, in relation to vegetation </w:t>
      </w:r>
      <w:r w:rsidRPr="00DF61B3">
        <w:rPr>
          <w:rFonts w:ascii="Garamond" w:eastAsia="Garamond" w:hAnsi="Garamond" w:cs="Garamond"/>
          <w:noProof/>
        </w:rPr>
        <w:t>type</w:t>
      </w:r>
      <w:r w:rsidR="00DF61B3" w:rsidRPr="00103AC2">
        <w:rPr>
          <w:rFonts w:ascii="Garamond" w:eastAsia="Garamond" w:hAnsi="Garamond" w:cs="Garamond"/>
          <w:noProof/>
        </w:rPr>
        <w:t>,</w:t>
      </w:r>
      <w:r>
        <w:rPr>
          <w:rFonts w:ascii="Garamond" w:eastAsia="Garamond" w:hAnsi="Garamond" w:cs="Garamond"/>
        </w:rPr>
        <w:t xml:space="preserve"> have relatively high correlation coefficients. Mountain sage 1, low sage, Mountain sage 2, and Wyoming sage have r</w:t>
      </w:r>
      <w:r>
        <w:rPr>
          <w:rFonts w:ascii="Garamond" w:eastAsia="Garamond" w:hAnsi="Garamond" w:cs="Garamond"/>
          <w:vertAlign w:val="superscript"/>
        </w:rPr>
        <w:t>2</w:t>
      </w:r>
      <w:r>
        <w:rPr>
          <w:rFonts w:ascii="Garamond" w:eastAsia="Garamond" w:hAnsi="Garamond" w:cs="Garamond"/>
        </w:rPr>
        <w:t xml:space="preserve"> values of 0.85, 0.65, 0.80, and 0.63</w:t>
      </w:r>
      <w:r w:rsidR="00952B64">
        <w:rPr>
          <w:rFonts w:ascii="Garamond" w:eastAsia="Garamond" w:hAnsi="Garamond" w:cs="Garamond"/>
        </w:rPr>
        <w:t>,</w:t>
      </w:r>
      <w:r>
        <w:rPr>
          <w:rFonts w:ascii="Garamond" w:eastAsia="Garamond" w:hAnsi="Garamond" w:cs="Garamond"/>
        </w:rPr>
        <w:t xml:space="preserve"> respectively</w:t>
      </w:r>
      <w:r w:rsidR="00952B64">
        <w:rPr>
          <w:rFonts w:ascii="Garamond" w:eastAsia="Garamond" w:hAnsi="Garamond" w:cs="Garamond"/>
        </w:rPr>
        <w:t>,</w:t>
      </w:r>
      <w:r>
        <w:rPr>
          <w:rFonts w:ascii="Garamond" w:eastAsia="Garamond" w:hAnsi="Garamond" w:cs="Garamond"/>
        </w:rPr>
        <w:t xml:space="preserve"> suggesting </w:t>
      </w:r>
      <w:r>
        <w:rPr>
          <w:rFonts w:ascii="Garamond" w:eastAsia="Garamond" w:hAnsi="Garamond" w:cs="Garamond"/>
        </w:rPr>
        <w:lastRenderedPageBreak/>
        <w:t>that the healthier the vegetation is, the more it transpires.</w:t>
      </w:r>
      <w:r w:rsidR="002A4323">
        <w:rPr>
          <w:rFonts w:ascii="Garamond" w:eastAsia="Garamond" w:hAnsi="Garamond" w:cs="Garamond"/>
        </w:rPr>
        <w:t xml:space="preserve"> </w:t>
      </w:r>
      <w:r w:rsidR="00AD7E97">
        <w:rPr>
          <w:rFonts w:ascii="Garamond" w:eastAsia="Garamond" w:hAnsi="Garamond" w:cs="Garamond"/>
        </w:rPr>
        <w:t xml:space="preserve">Precipitation was found to be </w:t>
      </w:r>
      <w:r w:rsidR="002A4323">
        <w:rPr>
          <w:rFonts w:ascii="Garamond" w:eastAsia="Garamond" w:hAnsi="Garamond" w:cs="Garamond"/>
        </w:rPr>
        <w:t>correlated with ET and soil moisture</w:t>
      </w:r>
      <w:r w:rsidR="00AD7E97">
        <w:rPr>
          <w:rFonts w:ascii="Garamond" w:eastAsia="Garamond" w:hAnsi="Garamond" w:cs="Garamond"/>
        </w:rPr>
        <w:t xml:space="preserve"> with a </w:t>
      </w:r>
      <w:r w:rsidR="00AD7E97" w:rsidRPr="007E1296">
        <w:rPr>
          <w:rFonts w:ascii="Garamond" w:eastAsia="Garamond" w:hAnsi="Garamond" w:cs="Garamond"/>
          <w:noProof/>
        </w:rPr>
        <w:t>105</w:t>
      </w:r>
      <w:r w:rsidR="007E1296" w:rsidRPr="00103AC2">
        <w:rPr>
          <w:rFonts w:ascii="Garamond" w:eastAsia="Garamond" w:hAnsi="Garamond" w:cs="Garamond"/>
          <w:noProof/>
        </w:rPr>
        <w:t>-</w:t>
      </w:r>
      <w:r w:rsidR="00AD7E97" w:rsidRPr="007E1296">
        <w:rPr>
          <w:rFonts w:ascii="Garamond" w:eastAsia="Garamond" w:hAnsi="Garamond" w:cs="Garamond"/>
          <w:noProof/>
        </w:rPr>
        <w:t>day</w:t>
      </w:r>
      <w:r w:rsidR="00AD7E97">
        <w:rPr>
          <w:rFonts w:ascii="Garamond" w:eastAsia="Garamond" w:hAnsi="Garamond" w:cs="Garamond"/>
        </w:rPr>
        <w:t xml:space="preserve"> lag</w:t>
      </w:r>
      <w:r w:rsidR="002A4323">
        <w:rPr>
          <w:rFonts w:ascii="Garamond" w:eastAsia="Garamond" w:hAnsi="Garamond" w:cs="Garamond"/>
        </w:rPr>
        <w:t xml:space="preserve">. </w:t>
      </w:r>
      <w:r w:rsidR="00AD7E97">
        <w:rPr>
          <w:rFonts w:ascii="Garamond" w:eastAsia="Garamond" w:hAnsi="Garamond" w:cs="Garamond"/>
        </w:rPr>
        <w:t xml:space="preserve">A lag represents seasonal variation in precipitation, ET, and soil moisture. </w:t>
      </w:r>
    </w:p>
    <w:p w14:paraId="096D168E" w14:textId="77777777" w:rsidR="00AD7E97" w:rsidRDefault="00AD7E97" w:rsidP="00AD7E97">
      <w:pPr>
        <w:spacing w:after="0" w:line="240" w:lineRule="auto"/>
        <w:rPr>
          <w:rFonts w:ascii="Garamond" w:eastAsia="Garamond" w:hAnsi="Garamond" w:cs="Garamond"/>
          <w:b/>
          <w:i/>
          <w:color w:val="000000"/>
        </w:rPr>
      </w:pPr>
    </w:p>
    <w:p w14:paraId="7D0F51F7" w14:textId="3DE310AD" w:rsidR="00410AF5" w:rsidRDefault="00410AF5" w:rsidP="00410AF5">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4.2 Future Work</w:t>
      </w:r>
    </w:p>
    <w:p w14:paraId="4FC87A86" w14:textId="77777777" w:rsidR="00410AF5" w:rsidRDefault="00410AF5" w:rsidP="00410AF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Developing a combined model using the high temporal resolution data from NLDAS-2-Noah to interpolate temporal gaps in the high spatial resolution data from SSEBop is of interest to the team and partners. Currently, there is an ongoing project aimed to develop a model implementing SSEBop into GEE using Landsat 8 imagery to create a high spatiotemporal ET map. Creating a composite model can provide our partners with a higher spatiotemporal model that can be used to better manage our public lands. </w:t>
      </w:r>
    </w:p>
    <w:p w14:paraId="59114204" w14:textId="77777777" w:rsidR="00410AF5" w:rsidRDefault="00410AF5" w:rsidP="00410AF5">
      <w:pPr>
        <w:pBdr>
          <w:top w:val="nil"/>
          <w:left w:val="nil"/>
          <w:bottom w:val="nil"/>
          <w:right w:val="nil"/>
          <w:between w:val="nil"/>
        </w:pBdr>
        <w:spacing w:after="0" w:line="240" w:lineRule="auto"/>
        <w:rPr>
          <w:rFonts w:ascii="Garamond" w:eastAsia="Garamond" w:hAnsi="Garamond" w:cs="Garamond"/>
        </w:rPr>
      </w:pPr>
    </w:p>
    <w:p w14:paraId="061E7D68" w14:textId="2FC58723" w:rsidR="00410AF5" w:rsidRDefault="00410AF5" w:rsidP="00410AF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There is interest in investigating land management concerns in Argentina using methodology from this study. The Patagonia steppe in Argentina is biophysically similar to the semi-arid sagebrush steppe ecosystem present in the RCEW. Keith Weber</w:t>
      </w:r>
      <w:r w:rsidR="00DF61B3">
        <w:rPr>
          <w:rFonts w:ascii="Garamond" w:eastAsia="Garamond" w:hAnsi="Garamond" w:cs="Garamond"/>
        </w:rPr>
        <w:t>, the Idaho Node Science Advisor,</w:t>
      </w:r>
      <w:r>
        <w:rPr>
          <w:rFonts w:ascii="Garamond" w:eastAsia="Garamond" w:hAnsi="Garamond" w:cs="Garamond"/>
        </w:rPr>
        <w:t xml:space="preserve"> </w:t>
      </w:r>
      <w:r w:rsidRPr="00DF61B3">
        <w:rPr>
          <w:rFonts w:ascii="Garamond" w:eastAsia="Garamond" w:hAnsi="Garamond" w:cs="Garamond"/>
          <w:noProof/>
        </w:rPr>
        <w:t>and</w:t>
      </w:r>
      <w:r>
        <w:rPr>
          <w:rFonts w:ascii="Garamond" w:eastAsia="Garamond" w:hAnsi="Garamond" w:cs="Garamond"/>
        </w:rPr>
        <w:t xml:space="preserve"> Dr. Aceñolaza, </w:t>
      </w:r>
      <w:r w:rsidR="00DF61B3">
        <w:rPr>
          <w:rFonts w:ascii="Garamond" w:eastAsia="Garamond" w:hAnsi="Garamond" w:cs="Garamond"/>
        </w:rPr>
        <w:t xml:space="preserve">a researcher at </w:t>
      </w:r>
      <w:r>
        <w:rPr>
          <w:rFonts w:ascii="Garamond" w:eastAsia="Garamond" w:hAnsi="Garamond" w:cs="Garamond"/>
        </w:rPr>
        <w:t xml:space="preserve">the National Scientific and Technical Research Council, began planning for this project during the project development for the spring 2018 term. Though this project’s area of focus would be in a different region, the methodologies used would reference the work performed by in previous DEVELOP terms. There is also interest in using the Spaceborne Thermal Radiometer Experiment on Space Station (ECOSTRESS) to determine ET in semi-arid sagebrush steppe ecosystems. </w:t>
      </w:r>
    </w:p>
    <w:p w14:paraId="46517A0B" w14:textId="77777777" w:rsidR="00410AF5" w:rsidRDefault="00410AF5" w:rsidP="00410AF5">
      <w:pPr>
        <w:pStyle w:val="Heading1"/>
        <w:rPr>
          <w:rFonts w:ascii="Garamond" w:eastAsia="Garamond" w:hAnsi="Garamond" w:cs="Garamond"/>
        </w:rPr>
      </w:pPr>
      <w:r>
        <w:rPr>
          <w:rFonts w:ascii="Garamond" w:eastAsia="Garamond" w:hAnsi="Garamond" w:cs="Garamond"/>
        </w:rPr>
        <w:t>5. Conclusions</w:t>
      </w:r>
    </w:p>
    <w:p w14:paraId="3EC3D954" w14:textId="3582A222" w:rsidR="00410AF5" w:rsidRDefault="00410AF5" w:rsidP="00410AF5">
      <w:pPr>
        <w:spacing w:after="0" w:line="240" w:lineRule="auto"/>
        <w:rPr>
          <w:rFonts w:ascii="Garamond" w:eastAsia="Garamond" w:hAnsi="Garamond" w:cs="Garamond"/>
        </w:rPr>
      </w:pPr>
      <w:r>
        <w:rPr>
          <w:rFonts w:ascii="Garamond" w:eastAsia="Garamond" w:hAnsi="Garamond" w:cs="Garamond"/>
        </w:rPr>
        <w:t xml:space="preserve">Although no single model outperformed the rest, this study provides our partners with </w:t>
      </w:r>
      <w:r w:rsidR="00252ABE">
        <w:rPr>
          <w:rFonts w:ascii="Garamond" w:eastAsia="Garamond" w:hAnsi="Garamond" w:cs="Garamond"/>
        </w:rPr>
        <w:t>advantages</w:t>
      </w:r>
      <w:r>
        <w:rPr>
          <w:rFonts w:ascii="Garamond" w:eastAsia="Garamond" w:hAnsi="Garamond" w:cs="Garamond"/>
        </w:rPr>
        <w:t xml:space="preserve"> and disadvantages for each of the models tested in this study. NLDAS-2-Noah has the best correlations to </w:t>
      </w:r>
      <w:r>
        <w:rPr>
          <w:rFonts w:ascii="Garamond" w:eastAsia="Garamond" w:hAnsi="Garamond" w:cs="Garamond"/>
          <w:i/>
        </w:rPr>
        <w:t xml:space="preserve">in </w:t>
      </w:r>
      <w:r w:rsidRPr="002B36D3">
        <w:rPr>
          <w:rFonts w:ascii="Garamond" w:eastAsia="Garamond" w:hAnsi="Garamond" w:cs="Garamond"/>
          <w:i/>
        </w:rPr>
        <w:t>situ</w:t>
      </w:r>
      <w:r>
        <w:rPr>
          <w:rFonts w:ascii="Garamond" w:eastAsia="Garamond" w:hAnsi="Garamond" w:cs="Garamond"/>
          <w:i/>
        </w:rPr>
        <w:t xml:space="preserve"> </w:t>
      </w:r>
      <w:r>
        <w:rPr>
          <w:rFonts w:ascii="Garamond" w:eastAsia="Garamond" w:hAnsi="Garamond" w:cs="Garamond"/>
        </w:rPr>
        <w:t>data and has high temporal resolution data. However, this model has the lowest spatial resolution of the tested models and NLDAS-2-Noah utilizes some meteorological data collected at RCEW. SSEBop is easy to download and access</w:t>
      </w:r>
      <w:r w:rsidR="00252ABE">
        <w:rPr>
          <w:rFonts w:ascii="Garamond" w:eastAsia="Garamond" w:hAnsi="Garamond" w:cs="Garamond"/>
        </w:rPr>
        <w:t xml:space="preserve"> its</w:t>
      </w:r>
      <w:r>
        <w:rPr>
          <w:rFonts w:ascii="Garamond" w:eastAsia="Garamond" w:hAnsi="Garamond" w:cs="Garamond"/>
        </w:rPr>
        <w:t xml:space="preserve"> data, but it consistently underestimates ET and has highly variable ET correlations depending on vegetation types and elevation. Although </w:t>
      </w:r>
      <w:r w:rsidRPr="002B36D3">
        <w:rPr>
          <w:rFonts w:ascii="Garamond" w:eastAsia="Garamond" w:hAnsi="Garamond" w:cs="Garamond"/>
        </w:rPr>
        <w:t xml:space="preserve">EEFlux </w:t>
      </w:r>
      <w:r>
        <w:rPr>
          <w:rFonts w:ascii="Garamond" w:eastAsia="Garamond" w:hAnsi="Garamond" w:cs="Garamond"/>
        </w:rPr>
        <w:t xml:space="preserve">has the highest spatial resolution of the models tested in this study, the data is difficult to access and download, cloud cover limits usability, and assimilating Landsat 7 ETM+data can be difficult due to scan line issues in the data. MOD16 has </w:t>
      </w:r>
      <w:r w:rsidR="00103AC2">
        <w:rPr>
          <w:rFonts w:ascii="Garamond" w:eastAsia="Garamond" w:hAnsi="Garamond" w:cs="Garamond"/>
        </w:rPr>
        <w:t xml:space="preserve">a </w:t>
      </w:r>
      <w:r w:rsidRPr="00103AC2">
        <w:rPr>
          <w:rFonts w:ascii="Garamond" w:eastAsia="Garamond" w:hAnsi="Garamond" w:cs="Garamond"/>
          <w:noProof/>
        </w:rPr>
        <w:t>relatively</w:t>
      </w:r>
      <w:r>
        <w:rPr>
          <w:rFonts w:ascii="Garamond" w:eastAsia="Garamond" w:hAnsi="Garamond" w:cs="Garamond"/>
        </w:rPr>
        <w:t xml:space="preserve"> high spatial resolution; however, it severely overestimates cumulative ET. </w:t>
      </w:r>
    </w:p>
    <w:p w14:paraId="7A75437A" w14:textId="77777777" w:rsidR="00410AF5" w:rsidRDefault="00410AF5" w:rsidP="00410AF5">
      <w:pPr>
        <w:spacing w:after="0" w:line="240" w:lineRule="auto"/>
        <w:rPr>
          <w:rFonts w:ascii="Garamond" w:eastAsia="Garamond" w:hAnsi="Garamond" w:cs="Garamond"/>
        </w:rPr>
      </w:pPr>
    </w:p>
    <w:p w14:paraId="76A9C691" w14:textId="6A21C122" w:rsidR="00410AF5" w:rsidRDefault="00410AF5" w:rsidP="00410AF5">
      <w:pPr>
        <w:spacing w:after="0" w:line="240" w:lineRule="auto"/>
        <w:rPr>
          <w:rFonts w:ascii="Garamond" w:eastAsia="Garamond" w:hAnsi="Garamond" w:cs="Garamond"/>
        </w:rPr>
      </w:pPr>
      <w:r>
        <w:rPr>
          <w:rFonts w:ascii="Garamond" w:eastAsia="Garamond" w:hAnsi="Garamond" w:cs="Garamond"/>
        </w:rPr>
        <w:t xml:space="preserve">Because the benefits and drawbacks of each model are so variable, those wishing to use satellite-based ET models would need to consider carefully which model would best fit their needs. A common problem across all preprocessed modeled datasets was a general lack of metadata. Specifically, it was oftentimes difficult or impossible to find input datasets used to produce monthly cumulative ET within a dataset, </w:t>
      </w:r>
      <w:r w:rsidR="00252ABE">
        <w:rPr>
          <w:rFonts w:ascii="Garamond" w:eastAsia="Garamond" w:hAnsi="Garamond" w:cs="Garamond"/>
        </w:rPr>
        <w:t xml:space="preserve">which in turn could impede </w:t>
      </w:r>
      <w:r>
        <w:rPr>
          <w:rFonts w:ascii="Garamond" w:eastAsia="Garamond" w:hAnsi="Garamond" w:cs="Garamond"/>
        </w:rPr>
        <w:t>analysis. ET is a complex process driven by many interacting variables, and more work is necessary to create a remote sensing model that can be applied to the sagebrush steppe ecosystem.</w:t>
      </w:r>
    </w:p>
    <w:p w14:paraId="3208DD67" w14:textId="4991BA6D" w:rsidR="0012258B" w:rsidRDefault="004F7961">
      <w:pPr>
        <w:pStyle w:val="Heading1"/>
        <w:rPr>
          <w:rFonts w:ascii="Garamond" w:eastAsia="Garamond" w:hAnsi="Garamond" w:cs="Garamond"/>
        </w:rPr>
      </w:pPr>
      <w:r>
        <w:rPr>
          <w:rFonts w:ascii="Garamond" w:eastAsia="Garamond" w:hAnsi="Garamond" w:cs="Garamond"/>
        </w:rPr>
        <w:t>6. Acknowledgments</w:t>
      </w:r>
    </w:p>
    <w:p w14:paraId="192278A2" w14:textId="77777777" w:rsidR="0012258B" w:rsidRDefault="004F7961">
      <w:pPr>
        <w:spacing w:after="0" w:line="240" w:lineRule="auto"/>
        <w:rPr>
          <w:rFonts w:ascii="Garamond" w:eastAsia="Garamond" w:hAnsi="Garamond" w:cs="Garamond"/>
        </w:rPr>
      </w:pPr>
      <w:r>
        <w:rPr>
          <w:rFonts w:ascii="Garamond" w:eastAsia="Garamond" w:hAnsi="Garamond" w:cs="Garamond"/>
        </w:rPr>
        <w:t>The Idaho Water Resources II team would like to acknowledge and thank advisors and project partners who dedicated their time, resources, and assistance to this project.</w:t>
      </w:r>
    </w:p>
    <w:p w14:paraId="5A7AABE0" w14:textId="77777777" w:rsidR="0012258B" w:rsidRDefault="0012258B">
      <w:pPr>
        <w:spacing w:after="0" w:line="240" w:lineRule="auto"/>
        <w:rPr>
          <w:rFonts w:ascii="Garamond" w:eastAsia="Garamond" w:hAnsi="Garamond" w:cs="Garamond"/>
        </w:rPr>
      </w:pPr>
    </w:p>
    <w:p w14:paraId="2F20A617" w14:textId="77777777" w:rsidR="0012258B" w:rsidRDefault="004F7961">
      <w:pPr>
        <w:spacing w:after="0" w:line="240" w:lineRule="auto"/>
        <w:rPr>
          <w:rFonts w:ascii="Garamond" w:eastAsia="Garamond" w:hAnsi="Garamond" w:cs="Garamond"/>
        </w:rPr>
      </w:pPr>
      <w:r>
        <w:rPr>
          <w:rFonts w:ascii="Garamond" w:eastAsia="Garamond" w:hAnsi="Garamond" w:cs="Garamond"/>
        </w:rPr>
        <w:t>USFW Eastern Idaho Field Office:</w:t>
      </w:r>
    </w:p>
    <w:p w14:paraId="1290818C" w14:textId="77777777" w:rsidR="0012258B" w:rsidRPr="00103AC2" w:rsidRDefault="004F7961" w:rsidP="00103AC2">
      <w:pPr>
        <w:pStyle w:val="ListParagraph"/>
        <w:numPr>
          <w:ilvl w:val="0"/>
          <w:numId w:val="8"/>
        </w:numPr>
        <w:spacing w:after="0" w:line="240" w:lineRule="auto"/>
        <w:rPr>
          <w:rFonts w:ascii="Garamond" w:eastAsia="Garamond" w:hAnsi="Garamond" w:cs="Garamond"/>
        </w:rPr>
      </w:pPr>
      <w:r w:rsidRPr="00103AC2">
        <w:rPr>
          <w:rFonts w:ascii="Garamond" w:eastAsia="Garamond" w:hAnsi="Garamond" w:cs="Garamond"/>
        </w:rPr>
        <w:t>Evan Ohr, Biologist</w:t>
      </w:r>
    </w:p>
    <w:p w14:paraId="4CC68C62" w14:textId="77777777" w:rsidR="0012258B" w:rsidRPr="00103AC2" w:rsidRDefault="004F7961" w:rsidP="00103AC2">
      <w:pPr>
        <w:pStyle w:val="ListParagraph"/>
        <w:numPr>
          <w:ilvl w:val="0"/>
          <w:numId w:val="8"/>
        </w:numPr>
        <w:spacing w:after="0" w:line="240" w:lineRule="auto"/>
        <w:rPr>
          <w:rFonts w:ascii="Garamond" w:eastAsia="Garamond" w:hAnsi="Garamond" w:cs="Garamond"/>
        </w:rPr>
      </w:pPr>
      <w:r w:rsidRPr="00103AC2">
        <w:rPr>
          <w:rFonts w:ascii="Garamond" w:eastAsia="Garamond" w:hAnsi="Garamond" w:cs="Garamond"/>
        </w:rPr>
        <w:t>Lisa Dlugolecki, Biologist</w:t>
      </w:r>
    </w:p>
    <w:p w14:paraId="7804721A" w14:textId="77777777" w:rsidR="0012258B" w:rsidRPr="00103AC2" w:rsidRDefault="004F7961" w:rsidP="00103AC2">
      <w:pPr>
        <w:pStyle w:val="ListParagraph"/>
        <w:numPr>
          <w:ilvl w:val="0"/>
          <w:numId w:val="8"/>
        </w:numPr>
        <w:spacing w:after="0" w:line="240" w:lineRule="auto"/>
        <w:rPr>
          <w:rFonts w:ascii="Garamond" w:eastAsia="Garamond" w:hAnsi="Garamond" w:cs="Garamond"/>
        </w:rPr>
      </w:pPr>
      <w:r w:rsidRPr="00103AC2">
        <w:rPr>
          <w:rFonts w:ascii="Garamond" w:eastAsia="Garamond" w:hAnsi="Garamond" w:cs="Garamond"/>
        </w:rPr>
        <w:t>Matt Bringhurst, Soil Conservation Tech</w:t>
      </w:r>
    </w:p>
    <w:p w14:paraId="5D9A3BDD" w14:textId="77777777" w:rsidR="0012258B" w:rsidRDefault="004F7961">
      <w:pPr>
        <w:spacing w:after="0" w:line="240" w:lineRule="auto"/>
        <w:rPr>
          <w:rFonts w:ascii="Garamond" w:eastAsia="Garamond" w:hAnsi="Garamond" w:cs="Garamond"/>
        </w:rPr>
      </w:pPr>
      <w:r>
        <w:rPr>
          <w:rFonts w:ascii="Garamond" w:eastAsia="Garamond" w:hAnsi="Garamond" w:cs="Garamond"/>
        </w:rPr>
        <w:t>IDFG Southeast Regional Office:</w:t>
      </w:r>
    </w:p>
    <w:p w14:paraId="00F78733" w14:textId="77777777" w:rsidR="0012258B" w:rsidRPr="00103AC2" w:rsidRDefault="004F7961" w:rsidP="00103AC2">
      <w:pPr>
        <w:pStyle w:val="ListParagraph"/>
        <w:numPr>
          <w:ilvl w:val="0"/>
          <w:numId w:val="9"/>
        </w:numPr>
        <w:spacing w:after="0" w:line="240" w:lineRule="auto"/>
        <w:rPr>
          <w:rFonts w:ascii="Garamond" w:eastAsia="Garamond" w:hAnsi="Garamond" w:cs="Garamond"/>
        </w:rPr>
      </w:pPr>
      <w:r w:rsidRPr="00103AC2">
        <w:rPr>
          <w:rFonts w:ascii="Garamond" w:eastAsia="Garamond" w:hAnsi="Garamond" w:cs="Garamond"/>
        </w:rPr>
        <w:t xml:space="preserve">Scott Bergen, Sr. Wildlife Research Biologist </w:t>
      </w:r>
    </w:p>
    <w:p w14:paraId="330A50F2" w14:textId="77777777" w:rsidR="0012258B" w:rsidRDefault="004F7961">
      <w:pPr>
        <w:spacing w:after="0" w:line="240" w:lineRule="auto"/>
        <w:rPr>
          <w:rFonts w:ascii="Garamond" w:eastAsia="Garamond" w:hAnsi="Garamond" w:cs="Garamond"/>
        </w:rPr>
      </w:pPr>
      <w:r>
        <w:rPr>
          <w:rFonts w:ascii="Garamond" w:eastAsia="Garamond" w:hAnsi="Garamond" w:cs="Garamond"/>
        </w:rPr>
        <w:t>USDA NRCS Pocatello Field Office:</w:t>
      </w:r>
    </w:p>
    <w:p w14:paraId="2DD02E35" w14:textId="77777777" w:rsidR="0012258B" w:rsidRPr="00103AC2" w:rsidRDefault="004F7961" w:rsidP="00103AC2">
      <w:pPr>
        <w:pStyle w:val="ListParagraph"/>
        <w:numPr>
          <w:ilvl w:val="0"/>
          <w:numId w:val="9"/>
        </w:numPr>
        <w:spacing w:after="0" w:line="240" w:lineRule="auto"/>
        <w:rPr>
          <w:rFonts w:ascii="Garamond" w:eastAsia="Garamond" w:hAnsi="Garamond" w:cs="Garamond"/>
        </w:rPr>
      </w:pPr>
      <w:r w:rsidRPr="00103AC2">
        <w:rPr>
          <w:rFonts w:ascii="Garamond" w:eastAsia="Garamond" w:hAnsi="Garamond" w:cs="Garamond"/>
        </w:rPr>
        <w:lastRenderedPageBreak/>
        <w:t>Nate Matlack, Soil Conservationist</w:t>
      </w:r>
    </w:p>
    <w:p w14:paraId="26896183" w14:textId="77777777" w:rsidR="0012258B" w:rsidRPr="00103AC2" w:rsidRDefault="004F7961" w:rsidP="00103AC2">
      <w:pPr>
        <w:pStyle w:val="ListParagraph"/>
        <w:numPr>
          <w:ilvl w:val="0"/>
          <w:numId w:val="9"/>
        </w:numPr>
        <w:spacing w:after="0" w:line="240" w:lineRule="auto"/>
        <w:rPr>
          <w:rFonts w:ascii="Garamond" w:eastAsia="Garamond" w:hAnsi="Garamond" w:cs="Garamond"/>
        </w:rPr>
      </w:pPr>
      <w:r w:rsidRPr="00103AC2">
        <w:rPr>
          <w:rFonts w:ascii="Garamond" w:eastAsia="Garamond" w:hAnsi="Garamond" w:cs="Garamond"/>
        </w:rPr>
        <w:t xml:space="preserve">Trudy Pink, Resource Soil Scientist </w:t>
      </w:r>
    </w:p>
    <w:p w14:paraId="7F6EADE6" w14:textId="50D9B09B" w:rsidR="0012258B" w:rsidRDefault="00EE7D76">
      <w:pPr>
        <w:spacing w:after="0" w:line="240" w:lineRule="auto"/>
        <w:rPr>
          <w:rFonts w:ascii="Garamond" w:eastAsia="Garamond" w:hAnsi="Garamond" w:cs="Garamond"/>
        </w:rPr>
      </w:pPr>
      <w:r>
        <w:rPr>
          <w:rFonts w:ascii="Garamond" w:eastAsia="Garamond" w:hAnsi="Garamond" w:cs="Garamond"/>
        </w:rPr>
        <w:t xml:space="preserve">DOE </w:t>
      </w:r>
      <w:r w:rsidR="004F7961">
        <w:rPr>
          <w:rFonts w:ascii="Garamond" w:eastAsia="Garamond" w:hAnsi="Garamond" w:cs="Garamond"/>
        </w:rPr>
        <w:t>Idaho National Lab:</w:t>
      </w:r>
    </w:p>
    <w:p w14:paraId="541247CD" w14:textId="77777777" w:rsidR="0012258B" w:rsidRPr="00103AC2" w:rsidRDefault="004F7961" w:rsidP="00103AC2">
      <w:pPr>
        <w:pStyle w:val="ListParagraph"/>
        <w:numPr>
          <w:ilvl w:val="0"/>
          <w:numId w:val="10"/>
        </w:numPr>
        <w:spacing w:after="0" w:line="240" w:lineRule="auto"/>
        <w:rPr>
          <w:rFonts w:ascii="Garamond" w:eastAsia="Garamond" w:hAnsi="Garamond" w:cs="Garamond"/>
        </w:rPr>
      </w:pPr>
      <w:r w:rsidRPr="00103AC2">
        <w:rPr>
          <w:rFonts w:ascii="Garamond" w:eastAsia="Garamond" w:hAnsi="Garamond" w:cs="Garamond"/>
        </w:rPr>
        <w:t>Tammie Borders, Research Scientist</w:t>
      </w:r>
    </w:p>
    <w:p w14:paraId="5C5973A4" w14:textId="77777777" w:rsidR="0012258B" w:rsidRPr="00103AC2" w:rsidRDefault="004F7961" w:rsidP="00103AC2">
      <w:pPr>
        <w:pStyle w:val="ListParagraph"/>
        <w:numPr>
          <w:ilvl w:val="0"/>
          <w:numId w:val="10"/>
        </w:numPr>
        <w:spacing w:after="0" w:line="240" w:lineRule="auto"/>
        <w:rPr>
          <w:rFonts w:ascii="Garamond" w:eastAsia="Garamond" w:hAnsi="Garamond" w:cs="Garamond"/>
        </w:rPr>
      </w:pPr>
      <w:r w:rsidRPr="00103AC2">
        <w:rPr>
          <w:rFonts w:ascii="Garamond" w:eastAsia="Garamond" w:hAnsi="Garamond" w:cs="Garamond"/>
        </w:rPr>
        <w:t>Trent Armstrong, Research Scientist</w:t>
      </w:r>
    </w:p>
    <w:p w14:paraId="6EB63131" w14:textId="77777777" w:rsidR="0012258B" w:rsidRDefault="004F7961">
      <w:pPr>
        <w:spacing w:after="0" w:line="240" w:lineRule="auto"/>
        <w:rPr>
          <w:rFonts w:ascii="Garamond" w:eastAsia="Garamond" w:hAnsi="Garamond" w:cs="Garamond"/>
        </w:rPr>
      </w:pPr>
      <w:r>
        <w:rPr>
          <w:rFonts w:ascii="Garamond" w:eastAsia="Garamond" w:hAnsi="Garamond" w:cs="Garamond"/>
        </w:rPr>
        <w:t xml:space="preserve">USDA ARS Northwest Watershed Research Center </w:t>
      </w:r>
    </w:p>
    <w:p w14:paraId="5E8A241A" w14:textId="77777777" w:rsidR="0012258B" w:rsidRPr="00103AC2" w:rsidRDefault="004F7961" w:rsidP="00103AC2">
      <w:pPr>
        <w:pStyle w:val="ListParagraph"/>
        <w:numPr>
          <w:ilvl w:val="0"/>
          <w:numId w:val="11"/>
        </w:numPr>
        <w:spacing w:after="0" w:line="240" w:lineRule="auto"/>
        <w:rPr>
          <w:rFonts w:ascii="Garamond" w:eastAsia="Garamond" w:hAnsi="Garamond" w:cs="Garamond"/>
        </w:rPr>
      </w:pPr>
      <w:r w:rsidRPr="00103AC2">
        <w:rPr>
          <w:rFonts w:ascii="Garamond" w:eastAsia="Garamond" w:hAnsi="Garamond" w:cs="Garamond"/>
        </w:rPr>
        <w:t xml:space="preserve">Dr. Patrick E. Clark, Range Scientist </w:t>
      </w:r>
    </w:p>
    <w:p w14:paraId="7497EAA9" w14:textId="0E82A3D7" w:rsidR="0012258B" w:rsidRDefault="00A54144">
      <w:pPr>
        <w:spacing w:after="0" w:line="240" w:lineRule="auto"/>
        <w:rPr>
          <w:rFonts w:ascii="Garamond" w:eastAsia="Garamond" w:hAnsi="Garamond" w:cs="Garamond"/>
        </w:rPr>
      </w:pPr>
      <w:r>
        <w:rPr>
          <w:rFonts w:ascii="Garamond" w:eastAsia="Garamond" w:hAnsi="Garamond" w:cs="Garamond"/>
        </w:rPr>
        <w:t xml:space="preserve">Special </w:t>
      </w:r>
      <w:r w:rsidR="004F7961">
        <w:rPr>
          <w:rFonts w:ascii="Garamond" w:eastAsia="Garamond" w:hAnsi="Garamond" w:cs="Garamond"/>
        </w:rPr>
        <w:t>thank you to our node science advisor:</w:t>
      </w:r>
    </w:p>
    <w:p w14:paraId="031240D9" w14:textId="77777777" w:rsidR="0012258B" w:rsidRPr="00103AC2" w:rsidRDefault="004F7961" w:rsidP="00103AC2">
      <w:pPr>
        <w:pStyle w:val="ListParagraph"/>
        <w:numPr>
          <w:ilvl w:val="0"/>
          <w:numId w:val="11"/>
        </w:numPr>
        <w:spacing w:after="0" w:line="240" w:lineRule="auto"/>
        <w:rPr>
          <w:rFonts w:ascii="Garamond" w:eastAsia="Garamond" w:hAnsi="Garamond" w:cs="Garamond"/>
        </w:rPr>
      </w:pPr>
      <w:r w:rsidRPr="00103AC2">
        <w:rPr>
          <w:rFonts w:ascii="Garamond" w:eastAsia="Garamond" w:hAnsi="Garamond" w:cs="Garamond"/>
        </w:rPr>
        <w:t>Keith T. Weber, GIS Director at Idaho State University, GIS TReC</w:t>
      </w:r>
    </w:p>
    <w:p w14:paraId="3861AEF8" w14:textId="64ADBC1A" w:rsidR="0012258B" w:rsidRDefault="0012258B">
      <w:pPr>
        <w:spacing w:after="0" w:line="240" w:lineRule="auto"/>
        <w:rPr>
          <w:rFonts w:ascii="Garamond" w:eastAsia="Garamond" w:hAnsi="Garamond" w:cs="Garamond"/>
          <w:color w:val="000000"/>
        </w:rPr>
      </w:pPr>
    </w:p>
    <w:p w14:paraId="16823FA1" w14:textId="77777777" w:rsidR="0012258B" w:rsidRDefault="004F7961">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1DCFCDAB" w14:textId="77777777" w:rsidR="0012258B" w:rsidRDefault="0012258B">
      <w:pPr>
        <w:spacing w:after="0" w:line="240" w:lineRule="auto"/>
        <w:rPr>
          <w:rFonts w:ascii="Garamond" w:eastAsia="Garamond" w:hAnsi="Garamond" w:cs="Garamond"/>
        </w:rPr>
      </w:pPr>
    </w:p>
    <w:p w14:paraId="4811EC37" w14:textId="77777777" w:rsidR="0012258B" w:rsidRDefault="004F7961">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729FE4AD" w14:textId="77777777" w:rsidR="0012258B" w:rsidRDefault="004F7961">
      <w:pPr>
        <w:pStyle w:val="Heading1"/>
        <w:spacing w:line="240" w:lineRule="auto"/>
        <w:rPr>
          <w:rFonts w:ascii="Garamond" w:eastAsia="Garamond" w:hAnsi="Garamond" w:cs="Garamond"/>
        </w:rPr>
      </w:pPr>
      <w:bookmarkStart w:id="7" w:name="_1t3h5sf" w:colFirst="0" w:colLast="0"/>
      <w:bookmarkEnd w:id="7"/>
      <w:r>
        <w:rPr>
          <w:rFonts w:ascii="Garamond" w:eastAsia="Garamond" w:hAnsi="Garamond" w:cs="Garamond"/>
        </w:rPr>
        <w:t>7. Glossary</w:t>
      </w:r>
    </w:p>
    <w:p w14:paraId="7B14B3DC" w14:textId="4A62ACCA" w:rsidR="0012258B" w:rsidRDefault="004F7961">
      <w:pPr>
        <w:spacing w:after="0" w:line="240" w:lineRule="auto"/>
        <w:rPr>
          <w:rFonts w:ascii="Garamond" w:eastAsia="Garamond" w:hAnsi="Garamond" w:cs="Garamond"/>
        </w:rPr>
      </w:pPr>
      <w:r w:rsidRPr="00EE7D76">
        <w:rPr>
          <w:rFonts w:ascii="Garamond" w:eastAsia="Garamond" w:hAnsi="Garamond" w:cs="Garamond"/>
          <w:b/>
        </w:rPr>
        <w:t>ARS</w:t>
      </w:r>
      <w:r w:rsidR="00EE7D76">
        <w:rPr>
          <w:rFonts w:ascii="Garamond" w:eastAsia="Garamond" w:hAnsi="Garamond" w:cs="Garamond"/>
          <w:b/>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Agricultural Research Service</w:t>
      </w:r>
    </w:p>
    <w:p w14:paraId="6444F83B" w14:textId="4637A00A" w:rsidR="0012258B" w:rsidRDefault="004F7961">
      <w:pPr>
        <w:spacing w:after="0" w:line="240" w:lineRule="auto"/>
        <w:rPr>
          <w:rFonts w:ascii="Garamond" w:eastAsia="Garamond" w:hAnsi="Garamond" w:cs="Garamond"/>
        </w:rPr>
      </w:pPr>
      <w:r w:rsidRPr="00EE7D76">
        <w:rPr>
          <w:rFonts w:ascii="Garamond" w:eastAsia="Garamond" w:hAnsi="Garamond" w:cs="Garamond"/>
          <w:b/>
        </w:rPr>
        <w:t>CZO</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Critical Zone Observatory</w:t>
      </w:r>
    </w:p>
    <w:p w14:paraId="44F3CC45" w14:textId="5B30AD0F" w:rsidR="0012258B" w:rsidRDefault="004F7961">
      <w:pPr>
        <w:spacing w:after="0" w:line="240" w:lineRule="auto"/>
        <w:rPr>
          <w:rFonts w:ascii="Garamond" w:eastAsia="Garamond" w:hAnsi="Garamond" w:cs="Garamond"/>
        </w:rPr>
      </w:pPr>
      <w:r w:rsidRPr="00EE7D76">
        <w:rPr>
          <w:rFonts w:ascii="Garamond" w:eastAsia="Garamond" w:hAnsi="Garamond" w:cs="Garamond"/>
          <w:b/>
        </w:rPr>
        <w:t>EEFlux</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Google Earth Engine Evapotranspiration Flux</w:t>
      </w:r>
    </w:p>
    <w:p w14:paraId="57F04EED" w14:textId="7C9988BF" w:rsidR="0012258B" w:rsidRDefault="004F7961">
      <w:pPr>
        <w:spacing w:after="0" w:line="240" w:lineRule="auto"/>
        <w:rPr>
          <w:rFonts w:ascii="Garamond" w:eastAsia="Garamond" w:hAnsi="Garamond" w:cs="Garamond"/>
        </w:rPr>
      </w:pPr>
      <w:r w:rsidRPr="00EE7D76">
        <w:rPr>
          <w:rFonts w:ascii="Garamond" w:eastAsia="Garamond" w:hAnsi="Garamond" w:cs="Garamond"/>
          <w:b/>
        </w:rPr>
        <w:t>ET</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Evapotranspiration</w:t>
      </w:r>
    </w:p>
    <w:p w14:paraId="6638719B" w14:textId="2789DE70" w:rsidR="0012258B" w:rsidRDefault="004F7961">
      <w:pPr>
        <w:spacing w:after="0" w:line="240" w:lineRule="auto"/>
        <w:rPr>
          <w:rFonts w:ascii="Garamond" w:eastAsia="Garamond" w:hAnsi="Garamond" w:cs="Garamond"/>
        </w:rPr>
      </w:pPr>
      <w:r w:rsidRPr="00B23E7E">
        <w:rPr>
          <w:rFonts w:ascii="Garamond" w:eastAsia="Garamond" w:hAnsi="Garamond" w:cs="Garamond"/>
          <w:b/>
        </w:rPr>
        <w:t>GIS TReC</w:t>
      </w:r>
      <w:r w:rsidR="00B23E7E">
        <w:rPr>
          <w:rFonts w:ascii="Garamond" w:eastAsia="Garamond" w:hAnsi="Garamond" w:cs="Garamond"/>
        </w:rPr>
        <w:t xml:space="preserve"> </w:t>
      </w:r>
      <w:r>
        <w:rPr>
          <w:rFonts w:ascii="Garamond" w:eastAsia="Garamond" w:hAnsi="Garamond" w:cs="Garamond"/>
        </w:rPr>
        <w:t>-</w:t>
      </w:r>
      <w:r w:rsidR="00B23E7E">
        <w:rPr>
          <w:rFonts w:ascii="Garamond" w:eastAsia="Garamond" w:hAnsi="Garamond" w:cs="Garamond"/>
        </w:rPr>
        <w:t xml:space="preserve"> </w:t>
      </w:r>
      <w:r>
        <w:rPr>
          <w:rFonts w:ascii="Garamond" w:eastAsia="Garamond" w:hAnsi="Garamond" w:cs="Garamond"/>
        </w:rPr>
        <w:t>Geographic Information Systems Training and Research Center</w:t>
      </w:r>
    </w:p>
    <w:p w14:paraId="1E6B2712" w14:textId="5559A3CC" w:rsidR="0012258B" w:rsidRDefault="004F7961">
      <w:pPr>
        <w:spacing w:after="0" w:line="240" w:lineRule="auto"/>
        <w:rPr>
          <w:rFonts w:ascii="Garamond" w:eastAsia="Garamond" w:hAnsi="Garamond" w:cs="Garamond"/>
        </w:rPr>
      </w:pPr>
      <w:r w:rsidRPr="00EE7D76">
        <w:rPr>
          <w:rFonts w:ascii="Garamond" w:eastAsia="Garamond" w:hAnsi="Garamond" w:cs="Garamond"/>
          <w:b/>
        </w:rPr>
        <w:t>GEE</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Google Earth Engine</w:t>
      </w:r>
    </w:p>
    <w:p w14:paraId="507F4F12" w14:textId="2DF2CFD7" w:rsidR="0012258B" w:rsidRDefault="004F7961">
      <w:pPr>
        <w:spacing w:after="0" w:line="240" w:lineRule="auto"/>
        <w:rPr>
          <w:rFonts w:ascii="Garamond" w:eastAsia="Garamond" w:hAnsi="Garamond" w:cs="Garamond"/>
        </w:rPr>
      </w:pPr>
      <w:r w:rsidRPr="00EE7D76">
        <w:rPr>
          <w:rFonts w:ascii="Garamond" w:eastAsia="Garamond" w:hAnsi="Garamond" w:cs="Garamond"/>
          <w:b/>
        </w:rPr>
        <w:t>IDFG</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Idaho Department of Fish and Game</w:t>
      </w:r>
    </w:p>
    <w:p w14:paraId="3F09515C" w14:textId="71522878" w:rsidR="0012258B" w:rsidRDefault="004F7961">
      <w:pPr>
        <w:spacing w:after="0" w:line="240" w:lineRule="auto"/>
        <w:rPr>
          <w:rFonts w:ascii="Garamond" w:eastAsia="Garamond" w:hAnsi="Garamond" w:cs="Garamond"/>
        </w:rPr>
      </w:pPr>
      <w:r w:rsidRPr="00EE7D76">
        <w:rPr>
          <w:rFonts w:ascii="Garamond" w:eastAsia="Garamond" w:hAnsi="Garamond" w:cs="Garamond"/>
          <w:b/>
        </w:rPr>
        <w:t>INL</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Idaho National Lab</w:t>
      </w:r>
    </w:p>
    <w:p w14:paraId="63831EDF" w14:textId="376E0582" w:rsidR="0012258B" w:rsidRDefault="004F7961">
      <w:pPr>
        <w:spacing w:after="0" w:line="240" w:lineRule="auto"/>
        <w:rPr>
          <w:rFonts w:ascii="Garamond" w:eastAsia="Garamond" w:hAnsi="Garamond" w:cs="Garamond"/>
        </w:rPr>
      </w:pPr>
      <w:r w:rsidRPr="00EE7D76">
        <w:rPr>
          <w:rFonts w:ascii="Garamond" w:eastAsia="Garamond" w:hAnsi="Garamond" w:cs="Garamond"/>
          <w:b/>
        </w:rPr>
        <w:t>METRIC</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highlight w:val="white"/>
        </w:rPr>
        <w:t>Mapping Evapotranspiration at High Resolution with Internalized Calibration</w:t>
      </w:r>
    </w:p>
    <w:p w14:paraId="12D62864" w14:textId="2C13A012" w:rsidR="00E5411C" w:rsidRDefault="00E5411C">
      <w:pPr>
        <w:spacing w:after="0" w:line="240" w:lineRule="auto"/>
        <w:rPr>
          <w:rFonts w:ascii="Garamond" w:eastAsia="Garamond" w:hAnsi="Garamond" w:cs="Garamond"/>
        </w:rPr>
      </w:pPr>
      <w:r w:rsidRPr="00E5411C">
        <w:rPr>
          <w:rFonts w:ascii="Garamond" w:eastAsia="Garamond" w:hAnsi="Garamond" w:cs="Garamond"/>
          <w:b/>
        </w:rPr>
        <w:t>MSAVI-2</w:t>
      </w:r>
      <w:r>
        <w:rPr>
          <w:rFonts w:ascii="Garamond" w:eastAsia="Garamond" w:hAnsi="Garamond" w:cs="Garamond"/>
        </w:rPr>
        <w:t xml:space="preserve"> </w:t>
      </w:r>
      <w:r w:rsidR="00B03371">
        <w:rPr>
          <w:rFonts w:ascii="Garamond" w:eastAsia="Garamond" w:hAnsi="Garamond" w:cs="Garamond"/>
        </w:rPr>
        <w:t>-</w:t>
      </w:r>
      <w:r>
        <w:rPr>
          <w:rFonts w:ascii="Garamond" w:eastAsia="Garamond" w:hAnsi="Garamond" w:cs="Garamond"/>
        </w:rPr>
        <w:t xml:space="preserve"> Modified Soil-adjusted Vegetation index</w:t>
      </w:r>
    </w:p>
    <w:p w14:paraId="2B5D7129" w14:textId="31A9FBD2" w:rsidR="0012258B" w:rsidRDefault="004F7961">
      <w:pPr>
        <w:spacing w:after="0" w:line="240" w:lineRule="auto"/>
        <w:rPr>
          <w:rFonts w:ascii="Garamond" w:eastAsia="Garamond" w:hAnsi="Garamond" w:cs="Garamond"/>
        </w:rPr>
      </w:pPr>
      <w:r w:rsidRPr="00EE7D76">
        <w:rPr>
          <w:rFonts w:ascii="Garamond" w:eastAsia="Garamond" w:hAnsi="Garamond" w:cs="Garamond"/>
          <w:b/>
        </w:rPr>
        <w:t>MODIS</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Terra Moderate Resolution Imaging Spectroradiometer</w:t>
      </w:r>
    </w:p>
    <w:p w14:paraId="7E6E00F5" w14:textId="73406B46" w:rsidR="00FD5F5A" w:rsidRDefault="00FD5F5A">
      <w:pPr>
        <w:spacing w:after="0" w:line="240" w:lineRule="auto"/>
        <w:rPr>
          <w:rFonts w:ascii="Garamond" w:eastAsia="Garamond" w:hAnsi="Garamond" w:cs="Garamond"/>
        </w:rPr>
      </w:pPr>
      <w:r w:rsidRPr="00EE7D76">
        <w:rPr>
          <w:rFonts w:ascii="Garamond" w:eastAsia="Garamond" w:hAnsi="Garamond" w:cs="Garamond"/>
          <w:b/>
        </w:rPr>
        <w:t>OLI</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Operational Land Imager</w:t>
      </w:r>
    </w:p>
    <w:p w14:paraId="78736CE8" w14:textId="7335545E" w:rsidR="0012258B" w:rsidRDefault="004F7961">
      <w:pPr>
        <w:spacing w:after="0" w:line="240" w:lineRule="auto"/>
        <w:rPr>
          <w:rFonts w:ascii="Garamond" w:eastAsia="Garamond" w:hAnsi="Garamond" w:cs="Garamond"/>
        </w:rPr>
      </w:pPr>
      <w:r w:rsidRPr="00EE7D76">
        <w:rPr>
          <w:rFonts w:ascii="Garamond" w:eastAsia="Garamond" w:hAnsi="Garamond" w:cs="Garamond"/>
          <w:b/>
        </w:rPr>
        <w:t>RCEW</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Reynolds Creek Experimental Watershed</w:t>
      </w:r>
    </w:p>
    <w:p w14:paraId="6C3E9136" w14:textId="6AE89E14" w:rsidR="0012258B" w:rsidRDefault="004F7961">
      <w:pPr>
        <w:spacing w:after="0" w:line="240" w:lineRule="auto"/>
        <w:rPr>
          <w:rFonts w:ascii="Garamond" w:eastAsia="Garamond" w:hAnsi="Garamond" w:cs="Garamond"/>
        </w:rPr>
      </w:pPr>
      <w:r w:rsidRPr="00EE7D76">
        <w:rPr>
          <w:rFonts w:ascii="Garamond" w:eastAsia="Garamond" w:hAnsi="Garamond" w:cs="Garamond"/>
          <w:b/>
        </w:rPr>
        <w:t>SMAP</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Soil Moisture Active Passive</w:t>
      </w:r>
    </w:p>
    <w:p w14:paraId="3755AE0B" w14:textId="4E699FB6" w:rsidR="0012258B" w:rsidRDefault="004F7961">
      <w:pPr>
        <w:spacing w:after="0" w:line="240" w:lineRule="auto"/>
        <w:rPr>
          <w:rFonts w:ascii="Garamond" w:eastAsia="Garamond" w:hAnsi="Garamond" w:cs="Garamond"/>
        </w:rPr>
      </w:pPr>
      <w:r w:rsidRPr="00EE7D76">
        <w:rPr>
          <w:rFonts w:ascii="Garamond" w:eastAsia="Garamond" w:hAnsi="Garamond" w:cs="Garamond"/>
          <w:b/>
        </w:rPr>
        <w:t>SSEBop</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highlight w:val="white"/>
        </w:rPr>
        <w:t>Operational Simplified Surface Energy Balance</w:t>
      </w:r>
    </w:p>
    <w:p w14:paraId="6D02A559" w14:textId="5EC0074A" w:rsidR="0012258B" w:rsidRDefault="004F7961">
      <w:pPr>
        <w:spacing w:after="0" w:line="240" w:lineRule="auto"/>
        <w:rPr>
          <w:rFonts w:ascii="Garamond" w:eastAsia="Garamond" w:hAnsi="Garamond" w:cs="Garamond"/>
        </w:rPr>
      </w:pPr>
      <w:r w:rsidRPr="00EE7D76">
        <w:rPr>
          <w:rFonts w:ascii="Garamond" w:eastAsia="Garamond" w:hAnsi="Garamond" w:cs="Garamond"/>
          <w:b/>
        </w:rPr>
        <w:t>USDA ARS</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 xml:space="preserve">United States Department of Agriculture, Agricultural Research Service </w:t>
      </w:r>
    </w:p>
    <w:p w14:paraId="198E40DE" w14:textId="440C638B" w:rsidR="0012258B" w:rsidRDefault="004F7961">
      <w:pPr>
        <w:spacing w:after="0" w:line="240" w:lineRule="auto"/>
        <w:rPr>
          <w:rFonts w:ascii="Garamond" w:eastAsia="Garamond" w:hAnsi="Garamond" w:cs="Garamond"/>
        </w:rPr>
      </w:pPr>
      <w:r w:rsidRPr="00EE7D76">
        <w:rPr>
          <w:rFonts w:ascii="Garamond" w:eastAsia="Garamond" w:hAnsi="Garamond" w:cs="Garamond"/>
          <w:b/>
        </w:rPr>
        <w:t>USDA NRCS</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United States Department of Agriculture, Natural Resources Conservation Service</w:t>
      </w:r>
    </w:p>
    <w:p w14:paraId="015B501B" w14:textId="099FF778" w:rsidR="0012258B" w:rsidRDefault="004F7961">
      <w:pPr>
        <w:spacing w:after="0" w:line="240" w:lineRule="auto"/>
        <w:rPr>
          <w:rFonts w:ascii="Garamond" w:eastAsia="Garamond" w:hAnsi="Garamond" w:cs="Garamond"/>
        </w:rPr>
      </w:pPr>
      <w:r w:rsidRPr="00EE7D76">
        <w:rPr>
          <w:rFonts w:ascii="Garamond" w:eastAsia="Garamond" w:hAnsi="Garamond" w:cs="Garamond"/>
          <w:b/>
        </w:rPr>
        <w:t>USFW</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 xml:space="preserve">Department of Interior, United States Fish </w:t>
      </w:r>
      <w:r w:rsidRPr="00103AC2">
        <w:rPr>
          <w:rFonts w:ascii="Garamond" w:eastAsia="Garamond" w:hAnsi="Garamond" w:cs="Garamond"/>
          <w:noProof/>
        </w:rPr>
        <w:t>and</w:t>
      </w:r>
      <w:r>
        <w:rPr>
          <w:rFonts w:ascii="Garamond" w:eastAsia="Garamond" w:hAnsi="Garamond" w:cs="Garamond"/>
        </w:rPr>
        <w:t xml:space="preserve"> Wildlife Service</w:t>
      </w:r>
    </w:p>
    <w:p w14:paraId="271CCBEA" w14:textId="0A3046DD" w:rsidR="0012258B" w:rsidRDefault="004F7961">
      <w:pPr>
        <w:spacing w:after="0" w:line="240" w:lineRule="auto"/>
        <w:rPr>
          <w:rFonts w:ascii="Garamond" w:eastAsia="Garamond" w:hAnsi="Garamond" w:cs="Garamond"/>
        </w:rPr>
      </w:pPr>
      <w:r w:rsidRPr="00EE7D76">
        <w:rPr>
          <w:rFonts w:ascii="Garamond" w:eastAsia="Garamond" w:hAnsi="Garamond" w:cs="Garamond"/>
          <w:b/>
        </w:rPr>
        <w:t>USGS</w:t>
      </w:r>
      <w:r w:rsidR="00EE7D76">
        <w:rPr>
          <w:rFonts w:ascii="Garamond" w:eastAsia="Garamond" w:hAnsi="Garamond" w:cs="Garamond"/>
        </w:rPr>
        <w:t xml:space="preserve"> </w:t>
      </w:r>
      <w:r>
        <w:rPr>
          <w:rFonts w:ascii="Garamond" w:eastAsia="Garamond" w:hAnsi="Garamond" w:cs="Garamond"/>
        </w:rPr>
        <w:t>-</w:t>
      </w:r>
      <w:r w:rsidR="00EE7D76">
        <w:rPr>
          <w:rFonts w:ascii="Garamond" w:eastAsia="Garamond" w:hAnsi="Garamond" w:cs="Garamond"/>
        </w:rPr>
        <w:t xml:space="preserve"> </w:t>
      </w:r>
      <w:r>
        <w:rPr>
          <w:rFonts w:ascii="Garamond" w:eastAsia="Garamond" w:hAnsi="Garamond" w:cs="Garamond"/>
        </w:rPr>
        <w:t xml:space="preserve">United States Geological Survey </w:t>
      </w:r>
    </w:p>
    <w:p w14:paraId="791B3AF6" w14:textId="44FB16ED" w:rsidR="00B03371" w:rsidRDefault="00B03371">
      <w:pPr>
        <w:spacing w:after="0" w:line="240" w:lineRule="auto"/>
        <w:rPr>
          <w:rFonts w:ascii="Garamond" w:eastAsia="Garamond" w:hAnsi="Garamond" w:cs="Garamond"/>
        </w:rPr>
      </w:pPr>
    </w:p>
    <w:p w14:paraId="6FAB5724" w14:textId="70AC3895" w:rsidR="00B03371" w:rsidRDefault="00B03371">
      <w:pPr>
        <w:spacing w:after="0" w:line="240" w:lineRule="auto"/>
        <w:rPr>
          <w:rFonts w:ascii="Garamond" w:eastAsia="Garamond" w:hAnsi="Garamond" w:cs="Garamond"/>
        </w:rPr>
      </w:pPr>
    </w:p>
    <w:p w14:paraId="1A03A78A" w14:textId="66A440DE" w:rsidR="00B03371" w:rsidRDefault="00B03371">
      <w:pPr>
        <w:spacing w:after="0" w:line="240" w:lineRule="auto"/>
        <w:rPr>
          <w:rFonts w:ascii="Garamond" w:eastAsia="Garamond" w:hAnsi="Garamond" w:cs="Garamond"/>
        </w:rPr>
      </w:pPr>
    </w:p>
    <w:p w14:paraId="46596767" w14:textId="3CFB5498" w:rsidR="00B03371" w:rsidRDefault="00B03371">
      <w:pPr>
        <w:spacing w:after="0" w:line="240" w:lineRule="auto"/>
        <w:rPr>
          <w:rFonts w:ascii="Garamond" w:eastAsia="Garamond" w:hAnsi="Garamond" w:cs="Garamond"/>
        </w:rPr>
      </w:pPr>
    </w:p>
    <w:p w14:paraId="10E924D6" w14:textId="4FB697E0" w:rsidR="00B03371" w:rsidRDefault="00B03371">
      <w:pPr>
        <w:spacing w:after="0" w:line="240" w:lineRule="auto"/>
        <w:rPr>
          <w:rFonts w:ascii="Garamond" w:eastAsia="Garamond" w:hAnsi="Garamond" w:cs="Garamond"/>
        </w:rPr>
      </w:pPr>
    </w:p>
    <w:p w14:paraId="2AED44F1" w14:textId="3C2DE883" w:rsidR="00B03371" w:rsidRDefault="00B03371">
      <w:pPr>
        <w:spacing w:after="0" w:line="240" w:lineRule="auto"/>
        <w:rPr>
          <w:rFonts w:ascii="Garamond" w:eastAsia="Garamond" w:hAnsi="Garamond" w:cs="Garamond"/>
        </w:rPr>
      </w:pPr>
    </w:p>
    <w:p w14:paraId="483DD0FE" w14:textId="0D1FF7E9" w:rsidR="00B03371" w:rsidRDefault="00B03371">
      <w:pPr>
        <w:spacing w:after="0" w:line="240" w:lineRule="auto"/>
        <w:rPr>
          <w:rFonts w:ascii="Garamond" w:eastAsia="Garamond" w:hAnsi="Garamond" w:cs="Garamond"/>
        </w:rPr>
      </w:pPr>
    </w:p>
    <w:p w14:paraId="1E7659F2" w14:textId="5E18A288" w:rsidR="00B03371" w:rsidRDefault="00B03371">
      <w:pPr>
        <w:spacing w:after="0" w:line="240" w:lineRule="auto"/>
        <w:rPr>
          <w:rFonts w:ascii="Garamond" w:eastAsia="Garamond" w:hAnsi="Garamond" w:cs="Garamond"/>
        </w:rPr>
      </w:pPr>
    </w:p>
    <w:p w14:paraId="722032D7" w14:textId="5EA4AF0E" w:rsidR="00B03371" w:rsidRDefault="00B03371">
      <w:pPr>
        <w:spacing w:after="0" w:line="240" w:lineRule="auto"/>
        <w:rPr>
          <w:rFonts w:ascii="Garamond" w:eastAsia="Garamond" w:hAnsi="Garamond" w:cs="Garamond"/>
        </w:rPr>
      </w:pPr>
    </w:p>
    <w:p w14:paraId="6EDC9D3A" w14:textId="77777777" w:rsidR="00B03371" w:rsidRDefault="00B03371">
      <w:pPr>
        <w:spacing w:after="0" w:line="240" w:lineRule="auto"/>
        <w:rPr>
          <w:rFonts w:ascii="Garamond" w:eastAsia="Garamond" w:hAnsi="Garamond" w:cs="Garamond"/>
        </w:rPr>
      </w:pPr>
    </w:p>
    <w:p w14:paraId="1719F0A6" w14:textId="65525CBA" w:rsidR="00FE4F8C" w:rsidRPr="00FE4F8C" w:rsidRDefault="004F7961" w:rsidP="00103AC2">
      <w:pPr>
        <w:pStyle w:val="Heading1"/>
        <w:spacing w:line="240" w:lineRule="auto"/>
      </w:pPr>
      <w:r>
        <w:rPr>
          <w:rFonts w:ascii="Garamond" w:eastAsia="Garamond" w:hAnsi="Garamond" w:cs="Garamond"/>
        </w:rPr>
        <w:lastRenderedPageBreak/>
        <w:t>8. References</w:t>
      </w:r>
    </w:p>
    <w:p w14:paraId="7BED5CF4" w14:textId="316C9E1C" w:rsidR="00D030E7" w:rsidRPr="00D030E7" w:rsidRDefault="00D030E7" w:rsidP="00D030E7">
      <w:pPr>
        <w:tabs>
          <w:tab w:val="left" w:pos="720"/>
        </w:tabs>
        <w:spacing w:after="0" w:line="240" w:lineRule="auto"/>
        <w:ind w:left="720" w:hanging="720"/>
        <w:rPr>
          <w:rFonts w:ascii="Times New Roman" w:eastAsia="Times New Roman" w:hAnsi="Times New Roman" w:cs="Times New Roman"/>
          <w:sz w:val="24"/>
          <w:szCs w:val="24"/>
        </w:rPr>
      </w:pPr>
      <w:r w:rsidRPr="00D030E7">
        <w:rPr>
          <w:rFonts w:ascii="Garamond" w:eastAsia="Times New Roman" w:hAnsi="Garamond" w:cs="Times New Roman"/>
          <w:color w:val="000000"/>
        </w:rPr>
        <w:t>Allen, R. G., Masahiro, T., &amp; Trezza, R. (2007). Satellite-</w:t>
      </w:r>
      <w:r w:rsidR="009C0BDF">
        <w:rPr>
          <w:rFonts w:ascii="Garamond" w:eastAsia="Times New Roman" w:hAnsi="Garamond" w:cs="Times New Roman"/>
          <w:color w:val="000000"/>
        </w:rPr>
        <w:t>b</w:t>
      </w:r>
      <w:r w:rsidRPr="00D030E7">
        <w:rPr>
          <w:rFonts w:ascii="Garamond" w:eastAsia="Times New Roman" w:hAnsi="Garamond" w:cs="Times New Roman"/>
          <w:color w:val="000000"/>
        </w:rPr>
        <w:t xml:space="preserve">ased </w:t>
      </w:r>
      <w:r w:rsidR="009C0BDF">
        <w:rPr>
          <w:rFonts w:ascii="Garamond" w:eastAsia="Times New Roman" w:hAnsi="Garamond" w:cs="Times New Roman"/>
          <w:color w:val="000000"/>
        </w:rPr>
        <w:t>e</w:t>
      </w:r>
      <w:r w:rsidRPr="00D030E7">
        <w:rPr>
          <w:rFonts w:ascii="Garamond" w:eastAsia="Times New Roman" w:hAnsi="Garamond" w:cs="Times New Roman"/>
          <w:color w:val="000000"/>
        </w:rPr>
        <w:t xml:space="preserve">nergy </w:t>
      </w:r>
      <w:r w:rsidR="009C0BDF">
        <w:rPr>
          <w:rFonts w:ascii="Garamond" w:eastAsia="Times New Roman" w:hAnsi="Garamond" w:cs="Times New Roman"/>
          <w:color w:val="000000"/>
        </w:rPr>
        <w:t>b</w:t>
      </w:r>
      <w:r w:rsidRPr="00D030E7">
        <w:rPr>
          <w:rFonts w:ascii="Garamond" w:eastAsia="Times New Roman" w:hAnsi="Garamond" w:cs="Times New Roman"/>
          <w:color w:val="000000"/>
        </w:rPr>
        <w:t xml:space="preserve">alance for </w:t>
      </w:r>
      <w:r w:rsidR="009C0BDF">
        <w:rPr>
          <w:rFonts w:ascii="Garamond" w:eastAsia="Times New Roman" w:hAnsi="Garamond" w:cs="Times New Roman"/>
          <w:color w:val="000000"/>
        </w:rPr>
        <w:t>m</w:t>
      </w:r>
      <w:r w:rsidRPr="00D030E7">
        <w:rPr>
          <w:rFonts w:ascii="Garamond" w:eastAsia="Times New Roman" w:hAnsi="Garamond" w:cs="Times New Roman"/>
          <w:color w:val="000000"/>
        </w:rPr>
        <w:t xml:space="preserve">apping </w:t>
      </w:r>
      <w:r w:rsidR="009C0BDF">
        <w:rPr>
          <w:rFonts w:ascii="Garamond" w:eastAsia="Times New Roman" w:hAnsi="Garamond" w:cs="Times New Roman"/>
          <w:color w:val="000000"/>
        </w:rPr>
        <w:t>e</w:t>
      </w:r>
      <w:r w:rsidRPr="00D030E7">
        <w:rPr>
          <w:rFonts w:ascii="Garamond" w:eastAsia="Times New Roman" w:hAnsi="Garamond" w:cs="Times New Roman"/>
          <w:color w:val="000000"/>
        </w:rPr>
        <w:t xml:space="preserve">vapotranspiration with </w:t>
      </w:r>
      <w:r w:rsidR="009C0BDF">
        <w:rPr>
          <w:rFonts w:ascii="Garamond" w:eastAsia="Times New Roman" w:hAnsi="Garamond" w:cs="Times New Roman"/>
          <w:color w:val="000000"/>
        </w:rPr>
        <w:t>i</w:t>
      </w:r>
      <w:r w:rsidRPr="00D030E7">
        <w:rPr>
          <w:rFonts w:ascii="Garamond" w:eastAsia="Times New Roman" w:hAnsi="Garamond" w:cs="Times New Roman"/>
          <w:color w:val="000000"/>
        </w:rPr>
        <w:t xml:space="preserve">nternalized </w:t>
      </w:r>
      <w:r w:rsidR="009C0BDF">
        <w:rPr>
          <w:rFonts w:ascii="Garamond" w:eastAsia="Times New Roman" w:hAnsi="Garamond" w:cs="Times New Roman"/>
          <w:color w:val="000000"/>
        </w:rPr>
        <w:t>c</w:t>
      </w:r>
      <w:r w:rsidRPr="00D030E7">
        <w:rPr>
          <w:rFonts w:ascii="Garamond" w:eastAsia="Times New Roman" w:hAnsi="Garamond" w:cs="Times New Roman"/>
          <w:color w:val="000000"/>
        </w:rPr>
        <w:t xml:space="preserve">alibration (METRIC)— </w:t>
      </w:r>
      <w:r w:rsidR="009C0BDF">
        <w:rPr>
          <w:rFonts w:ascii="Garamond" w:eastAsia="Times New Roman" w:hAnsi="Garamond" w:cs="Times New Roman"/>
          <w:color w:val="000000"/>
        </w:rPr>
        <w:t>m</w:t>
      </w:r>
      <w:r w:rsidRPr="00D030E7">
        <w:rPr>
          <w:rFonts w:ascii="Garamond" w:eastAsia="Times New Roman" w:hAnsi="Garamond" w:cs="Times New Roman"/>
          <w:color w:val="000000"/>
        </w:rPr>
        <w:t xml:space="preserve">odel. </w:t>
      </w:r>
      <w:r w:rsidRPr="00EE7D76">
        <w:rPr>
          <w:rFonts w:ascii="Garamond" w:eastAsia="Times New Roman" w:hAnsi="Garamond" w:cs="Times New Roman"/>
          <w:i/>
          <w:color w:val="000000"/>
        </w:rPr>
        <w:t>Journal of Irrigation and Drainage Engineering, 133</w:t>
      </w:r>
      <w:r w:rsidRPr="00D030E7">
        <w:rPr>
          <w:rFonts w:ascii="Garamond" w:eastAsia="Times New Roman" w:hAnsi="Garamond" w:cs="Times New Roman"/>
          <w:color w:val="000000"/>
        </w:rPr>
        <w:t xml:space="preserve">(4), 380–394. </w:t>
      </w:r>
      <w:hyperlink r:id="rId24" w:history="1">
        <w:r w:rsidRPr="00AC65E5">
          <w:rPr>
            <w:rFonts w:ascii="Garamond" w:eastAsia="Times New Roman" w:hAnsi="Garamond" w:cs="Times New Roman"/>
          </w:rPr>
          <w:t>https://doi.org/10.1061/(ASCE)0733-9437(2007)133</w:t>
        </w:r>
      </w:hyperlink>
    </w:p>
    <w:p w14:paraId="5C13F07A" w14:textId="77777777" w:rsidR="00D030E7" w:rsidRPr="00D030E7" w:rsidRDefault="00D030E7" w:rsidP="00D030E7">
      <w:pPr>
        <w:tabs>
          <w:tab w:val="left" w:pos="720"/>
        </w:tabs>
        <w:spacing w:after="0" w:line="240" w:lineRule="auto"/>
        <w:ind w:left="720" w:hanging="720"/>
        <w:rPr>
          <w:rFonts w:ascii="Times New Roman" w:eastAsia="Times New Roman" w:hAnsi="Times New Roman" w:cs="Times New Roman"/>
          <w:sz w:val="24"/>
          <w:szCs w:val="24"/>
        </w:rPr>
      </w:pPr>
    </w:p>
    <w:p w14:paraId="03FD71A2" w14:textId="77777777" w:rsidR="00D030E7" w:rsidRPr="00D030E7" w:rsidRDefault="00D030E7" w:rsidP="00D030E7">
      <w:pPr>
        <w:tabs>
          <w:tab w:val="left" w:pos="720"/>
        </w:tabs>
        <w:spacing w:after="0" w:line="240" w:lineRule="auto"/>
        <w:ind w:left="720" w:hanging="720"/>
        <w:rPr>
          <w:rFonts w:ascii="Times New Roman" w:eastAsia="Times New Roman" w:hAnsi="Times New Roman" w:cs="Times New Roman"/>
          <w:sz w:val="24"/>
          <w:szCs w:val="24"/>
        </w:rPr>
      </w:pPr>
      <w:r w:rsidRPr="00D030E7">
        <w:rPr>
          <w:rFonts w:ascii="Garamond" w:eastAsia="Times New Roman" w:hAnsi="Garamond" w:cs="Times New Roman"/>
          <w:color w:val="000000"/>
        </w:rPr>
        <w:t xml:space="preserve">Ayenew, T. (2003). Evapotranspiration estimation using thematic mapper spectral satellite data in the Ethiopian rift and adjacent highlands. </w:t>
      </w:r>
      <w:r w:rsidRPr="00D030E7">
        <w:rPr>
          <w:rFonts w:ascii="Garamond" w:eastAsia="Times New Roman" w:hAnsi="Garamond" w:cs="Times New Roman"/>
          <w:i/>
          <w:iCs/>
          <w:color w:val="000000"/>
        </w:rPr>
        <w:t>Journal of Hydrology</w:t>
      </w:r>
      <w:r w:rsidRPr="00D030E7">
        <w:rPr>
          <w:rFonts w:ascii="Garamond" w:eastAsia="Times New Roman" w:hAnsi="Garamond" w:cs="Times New Roman"/>
          <w:color w:val="000000"/>
        </w:rPr>
        <w:t xml:space="preserve">, </w:t>
      </w:r>
      <w:r w:rsidRPr="00D030E7">
        <w:rPr>
          <w:rFonts w:ascii="Garamond" w:eastAsia="Times New Roman" w:hAnsi="Garamond" w:cs="Times New Roman"/>
          <w:i/>
          <w:iCs/>
          <w:color w:val="000000"/>
        </w:rPr>
        <w:t>279</w:t>
      </w:r>
      <w:r w:rsidRPr="00D030E7">
        <w:rPr>
          <w:rFonts w:ascii="Garamond" w:eastAsia="Times New Roman" w:hAnsi="Garamond" w:cs="Times New Roman"/>
          <w:color w:val="000000"/>
        </w:rPr>
        <w:t>(1–4), 83–93. https://doi.org/10.1016/S0022-1694(03)00173-2</w:t>
      </w:r>
    </w:p>
    <w:p w14:paraId="28029BAE"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0F7278AA" w14:textId="54125D45" w:rsidR="00A11CF6" w:rsidRDefault="00A11CF6" w:rsidP="00F4015A">
      <w:pPr>
        <w:spacing w:after="0" w:line="259" w:lineRule="auto"/>
        <w:ind w:left="720" w:hanging="720"/>
        <w:rPr>
          <w:rFonts w:ascii="Garamond" w:hAnsi="Garamond"/>
        </w:rPr>
      </w:pPr>
      <w:r>
        <w:rPr>
          <w:rFonts w:ascii="Garamond" w:hAnsi="Garamond"/>
        </w:rPr>
        <w:t xml:space="preserve">Das, Narendra, N., </w:t>
      </w:r>
      <w:r w:rsidRPr="00A11CF6">
        <w:rPr>
          <w:rFonts w:ascii="Garamond" w:hAnsi="Garamond"/>
        </w:rPr>
        <w:t>Entekhabi,</w:t>
      </w:r>
      <w:r>
        <w:rPr>
          <w:rFonts w:ascii="Garamond" w:hAnsi="Garamond"/>
        </w:rPr>
        <w:t xml:space="preserve"> D., </w:t>
      </w:r>
      <w:r w:rsidRPr="00A11CF6">
        <w:rPr>
          <w:rFonts w:ascii="Garamond" w:hAnsi="Garamond"/>
        </w:rPr>
        <w:t>Dunbar,</w:t>
      </w:r>
      <w:r>
        <w:rPr>
          <w:rFonts w:ascii="Garamond" w:hAnsi="Garamond"/>
        </w:rPr>
        <w:t xml:space="preserve"> S., </w:t>
      </w:r>
      <w:r w:rsidRPr="00A11CF6">
        <w:rPr>
          <w:rFonts w:ascii="Garamond" w:hAnsi="Garamond"/>
        </w:rPr>
        <w:t>Kim,</w:t>
      </w:r>
      <w:r>
        <w:rPr>
          <w:rFonts w:ascii="Garamond" w:hAnsi="Garamond"/>
        </w:rPr>
        <w:t xml:space="preserve"> S., Yueh, S</w:t>
      </w:r>
      <w:r w:rsidRPr="00A11CF6">
        <w:rPr>
          <w:rFonts w:ascii="Garamond" w:hAnsi="Garamond"/>
        </w:rPr>
        <w:t>.,…Lopez-Baeza, E., November 1, 2017. Assessment report for the L2_SM_SP beta release data products, SMAP Project, JPL D-56549, Jet Propulsion Laboratory, Pasadena, CA.</w:t>
      </w:r>
    </w:p>
    <w:p w14:paraId="11DB967D" w14:textId="77777777" w:rsidR="00A11CF6" w:rsidRDefault="00A11CF6" w:rsidP="00F4015A">
      <w:pPr>
        <w:spacing w:after="0" w:line="259" w:lineRule="auto"/>
        <w:ind w:left="720" w:hanging="720"/>
        <w:rPr>
          <w:rFonts w:ascii="Garamond" w:hAnsi="Garamond"/>
        </w:rPr>
      </w:pPr>
    </w:p>
    <w:p w14:paraId="35C9F70F" w14:textId="5150550C" w:rsidR="00F4015A" w:rsidRPr="00E52971" w:rsidRDefault="00F4015A" w:rsidP="00F4015A">
      <w:pPr>
        <w:spacing w:after="0" w:line="259" w:lineRule="auto"/>
        <w:ind w:left="720" w:hanging="720"/>
        <w:rPr>
          <w:rFonts w:ascii="Garamond" w:hAnsi="Garamond"/>
        </w:rPr>
      </w:pPr>
      <w:r w:rsidRPr="00E52971">
        <w:rPr>
          <w:rFonts w:ascii="Garamond" w:hAnsi="Garamond"/>
        </w:rPr>
        <w:t xml:space="preserve">Das, N. N., &amp; Dunbar, R. S. (2017). Level 2 SMAP/Sentinel Active/Passive </w:t>
      </w:r>
      <w:r w:rsidR="00DC6B77">
        <w:rPr>
          <w:rFonts w:ascii="Garamond" w:hAnsi="Garamond"/>
        </w:rPr>
        <w:t>soil moisture product specification d</w:t>
      </w:r>
      <w:r w:rsidRPr="00E52971">
        <w:rPr>
          <w:rFonts w:ascii="Garamond" w:hAnsi="Garamond"/>
        </w:rPr>
        <w:t>ocument (</w:t>
      </w:r>
      <w:r w:rsidR="00DC6B77">
        <w:rPr>
          <w:rFonts w:ascii="Garamond" w:hAnsi="Garamond"/>
        </w:rPr>
        <w:t>i</w:t>
      </w:r>
      <w:r w:rsidRPr="00E52971">
        <w:rPr>
          <w:rFonts w:ascii="Garamond" w:hAnsi="Garamond"/>
        </w:rPr>
        <w:t xml:space="preserve">nitial </w:t>
      </w:r>
      <w:r w:rsidR="00DC6B77">
        <w:rPr>
          <w:rFonts w:ascii="Garamond" w:hAnsi="Garamond"/>
        </w:rPr>
        <w:t>r</w:t>
      </w:r>
      <w:r w:rsidRPr="00E52971">
        <w:rPr>
          <w:rFonts w:ascii="Garamond" w:hAnsi="Garamond"/>
        </w:rPr>
        <w:t>elease), SMAP Project, JPL D-56548. Pasadena, CA: NASA Jet Propulsion Laboratory. Retrieved from https://nsidc.org/sites/nsidc.org/files/technical-references/SMAP%20L2_SM_SP%20PSD_11-01-2017_latest.pdf</w:t>
      </w:r>
    </w:p>
    <w:p w14:paraId="5ECE18B8"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2F1C176B" w14:textId="7395C526" w:rsidR="00D030E7" w:rsidRPr="00D030E7" w:rsidRDefault="00D0316F" w:rsidP="00D030E7">
      <w:pPr>
        <w:tabs>
          <w:tab w:val="left" w:pos="720"/>
        </w:tabs>
        <w:spacing w:after="0" w:line="240" w:lineRule="auto"/>
        <w:ind w:left="720" w:hanging="720"/>
        <w:rPr>
          <w:rFonts w:ascii="Times New Roman" w:eastAsia="Times New Roman" w:hAnsi="Times New Roman" w:cs="Times New Roman"/>
          <w:sz w:val="24"/>
          <w:szCs w:val="24"/>
        </w:rPr>
      </w:pPr>
      <w:r>
        <w:rPr>
          <w:rFonts w:ascii="Garamond" w:hAnsi="Garamond"/>
          <w:color w:val="000000"/>
        </w:rPr>
        <w:t>Fellows, Aaron W.,</w:t>
      </w:r>
      <w:r w:rsidR="004F7961" w:rsidRPr="00AA1C6B">
        <w:rPr>
          <w:rFonts w:ascii="Garamond" w:hAnsi="Garamond"/>
          <w:color w:val="000000"/>
        </w:rPr>
        <w:t xml:space="preserve"> Flerchinger, Gerald N.</w:t>
      </w:r>
      <w:r>
        <w:rPr>
          <w:rFonts w:ascii="Garamond" w:hAnsi="Garamond"/>
          <w:color w:val="000000"/>
        </w:rPr>
        <w:t>, Seyfried, Mark S.,</w:t>
      </w:r>
      <w:r w:rsidR="004F7961" w:rsidRPr="00AA1C6B">
        <w:rPr>
          <w:rFonts w:ascii="Garamond" w:hAnsi="Garamond"/>
          <w:color w:val="000000"/>
        </w:rPr>
        <w:t xml:space="preserve"> </w:t>
      </w:r>
      <w:r>
        <w:rPr>
          <w:rFonts w:ascii="Garamond" w:hAnsi="Garamond"/>
          <w:color w:val="000000"/>
        </w:rPr>
        <w:t>&amp;</w:t>
      </w:r>
      <w:r w:rsidR="004F7961" w:rsidRPr="00AA1C6B">
        <w:rPr>
          <w:rFonts w:ascii="Garamond" w:hAnsi="Garamond"/>
          <w:color w:val="000000"/>
        </w:rPr>
        <w:t xml:space="preserve"> Loh</w:t>
      </w:r>
      <w:r w:rsidR="00DC6B77">
        <w:rPr>
          <w:rFonts w:ascii="Garamond" w:hAnsi="Garamond"/>
          <w:color w:val="000000"/>
        </w:rPr>
        <w:t>se, Kathleen. (2017). Data for p</w:t>
      </w:r>
      <w:r w:rsidR="004F7961" w:rsidRPr="00AA1C6B">
        <w:rPr>
          <w:rFonts w:ascii="Garamond" w:hAnsi="Garamond"/>
          <w:color w:val="000000"/>
        </w:rPr>
        <w:t xml:space="preserve">artitioned </w:t>
      </w:r>
      <w:r w:rsidR="00DC6B77">
        <w:rPr>
          <w:rFonts w:ascii="Garamond" w:hAnsi="Garamond"/>
          <w:color w:val="000000"/>
        </w:rPr>
        <w:t>c</w:t>
      </w:r>
      <w:r w:rsidR="004F7961" w:rsidRPr="00AA1C6B">
        <w:rPr>
          <w:rFonts w:ascii="Garamond" w:hAnsi="Garamond"/>
          <w:color w:val="000000"/>
        </w:rPr>
        <w:t xml:space="preserve">arbon and </w:t>
      </w:r>
      <w:r w:rsidR="00DC6B77">
        <w:rPr>
          <w:rFonts w:ascii="Garamond" w:hAnsi="Garamond"/>
          <w:color w:val="000000"/>
        </w:rPr>
        <w:t>energy f</w:t>
      </w:r>
      <w:r w:rsidR="004F7961" w:rsidRPr="00AA1C6B">
        <w:rPr>
          <w:rFonts w:ascii="Garamond" w:hAnsi="Garamond"/>
          <w:color w:val="000000"/>
        </w:rPr>
        <w:t xml:space="preserve">luxes </w:t>
      </w:r>
      <w:r w:rsidR="00DC6B77">
        <w:rPr>
          <w:rFonts w:ascii="Garamond" w:hAnsi="Garamond"/>
          <w:color w:val="000000"/>
        </w:rPr>
        <w:t>w</w:t>
      </w:r>
      <w:r w:rsidR="004F7961" w:rsidRPr="00AA1C6B">
        <w:rPr>
          <w:rFonts w:ascii="Garamond" w:hAnsi="Garamond"/>
          <w:color w:val="000000"/>
        </w:rPr>
        <w:t xml:space="preserve">ithin the Reynolds Creek Critical Zone Observatory [Data set]. Retrieved from </w:t>
      </w:r>
      <w:hyperlink r:id="rId25" w:history="1">
        <w:r w:rsidR="00D030E7" w:rsidRPr="00AC65E5">
          <w:rPr>
            <w:rFonts w:ascii="Garamond" w:eastAsia="Times New Roman" w:hAnsi="Garamond" w:cs="Times New Roman"/>
            <w:color w:val="000000"/>
          </w:rPr>
          <w:t>https://doi.org/10.18122/B2TD7V</w:t>
        </w:r>
      </w:hyperlink>
    </w:p>
    <w:p w14:paraId="2397322C"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21DC398D" w14:textId="3CD03D17" w:rsidR="00D030E7" w:rsidRPr="00582530" w:rsidRDefault="004F7961" w:rsidP="00D030E7">
      <w:pPr>
        <w:tabs>
          <w:tab w:val="left" w:pos="720"/>
        </w:tabs>
        <w:spacing w:after="0" w:line="240" w:lineRule="auto"/>
        <w:ind w:left="720" w:hanging="720"/>
        <w:rPr>
          <w:rFonts w:ascii="Garamond" w:eastAsia="Times New Roman" w:hAnsi="Garamond" w:cs="Times New Roman"/>
        </w:rPr>
      </w:pPr>
      <w:r w:rsidRPr="00582530">
        <w:rPr>
          <w:rFonts w:ascii="Garamond" w:hAnsi="Garamond"/>
          <w:color w:val="000000"/>
        </w:rPr>
        <w:t xml:space="preserve">Irmak, A., Allen, R. G., Kjaersgaard, J., Huntington, J., Kamble, B., Trezza, R., &amp; Ratcliffe, I. (2012). Operational remote sensing of ET and challenges. </w:t>
      </w:r>
      <w:r w:rsidR="00EE7D76" w:rsidRPr="00582530">
        <w:rPr>
          <w:rFonts w:ascii="Garamond" w:hAnsi="Garamond"/>
          <w:color w:val="000000"/>
        </w:rPr>
        <w:t>In Dr. Ayse Irmak</w:t>
      </w:r>
      <w:r w:rsidR="00AC65E5" w:rsidRPr="00582530">
        <w:rPr>
          <w:rFonts w:ascii="Garamond" w:hAnsi="Garamond"/>
          <w:color w:val="000000"/>
        </w:rPr>
        <w:t xml:space="preserve"> (Ed.)</w:t>
      </w:r>
      <w:r w:rsidR="00EE7D76" w:rsidRPr="00582530">
        <w:rPr>
          <w:rFonts w:ascii="Garamond" w:hAnsi="Garamond"/>
          <w:color w:val="000000"/>
        </w:rPr>
        <w:t>,</w:t>
      </w:r>
      <w:r w:rsidRPr="00582530">
        <w:rPr>
          <w:rFonts w:ascii="Garamond" w:hAnsi="Garamond"/>
          <w:color w:val="000000"/>
        </w:rPr>
        <w:t xml:space="preserve"> </w:t>
      </w:r>
      <w:r w:rsidR="00AC65E5" w:rsidRPr="00582530">
        <w:rPr>
          <w:rFonts w:ascii="Garamond" w:hAnsi="Garamond"/>
          <w:i/>
          <w:color w:val="000000"/>
        </w:rPr>
        <w:t xml:space="preserve">Evapotranspiration </w:t>
      </w:r>
      <w:r w:rsidRPr="00582530">
        <w:rPr>
          <w:rFonts w:ascii="Garamond" w:hAnsi="Garamond"/>
          <w:i/>
          <w:color w:val="000000"/>
        </w:rPr>
        <w:t>Remote Sensing and Modeling</w:t>
      </w:r>
      <w:r w:rsidR="00AC65E5" w:rsidRPr="00582530">
        <w:rPr>
          <w:rFonts w:ascii="Garamond" w:hAnsi="Garamond"/>
          <w:color w:val="000000"/>
        </w:rPr>
        <w:t xml:space="preserve"> (pp. 467-492)</w:t>
      </w:r>
      <w:r w:rsidRPr="00582530">
        <w:rPr>
          <w:rFonts w:ascii="Garamond" w:hAnsi="Garamond"/>
          <w:color w:val="000000"/>
        </w:rPr>
        <w:t>.</w:t>
      </w:r>
      <w:r w:rsidR="00AC65E5" w:rsidRPr="00582530">
        <w:rPr>
          <w:rFonts w:ascii="Garamond" w:hAnsi="Garamond"/>
          <w:color w:val="000000"/>
        </w:rPr>
        <w:t xml:space="preserve"> Rijeka, Croatia: InTech</w:t>
      </w:r>
      <w:r w:rsidRPr="00582530">
        <w:rPr>
          <w:rFonts w:ascii="Garamond" w:hAnsi="Garamond"/>
          <w:color w:val="000000"/>
        </w:rPr>
        <w:t xml:space="preserve"> </w:t>
      </w:r>
      <w:hyperlink r:id="rId26" w:history="1">
        <w:r w:rsidR="00D030E7" w:rsidRPr="00582530">
          <w:rPr>
            <w:rFonts w:ascii="Garamond" w:eastAsia="Times New Roman" w:hAnsi="Garamond" w:cs="Times New Roman"/>
          </w:rPr>
          <w:t>https://doi.org/978-953-307-808-3</w:t>
        </w:r>
      </w:hyperlink>
    </w:p>
    <w:p w14:paraId="1BC468D5" w14:textId="27231A0D" w:rsidR="00582530" w:rsidRPr="00582530" w:rsidRDefault="00582530" w:rsidP="00D030E7">
      <w:pPr>
        <w:tabs>
          <w:tab w:val="left" w:pos="720"/>
        </w:tabs>
        <w:spacing w:after="0" w:line="240" w:lineRule="auto"/>
        <w:ind w:left="720" w:hanging="720"/>
        <w:rPr>
          <w:rFonts w:ascii="Garamond" w:eastAsia="Times New Roman" w:hAnsi="Garamond" w:cs="Times New Roman"/>
        </w:rPr>
      </w:pPr>
    </w:p>
    <w:p w14:paraId="30A90199" w14:textId="61879178" w:rsidR="0012258B" w:rsidRPr="00582530" w:rsidRDefault="004F7961" w:rsidP="00AA1C6B">
      <w:pPr>
        <w:tabs>
          <w:tab w:val="left" w:pos="720"/>
        </w:tabs>
        <w:spacing w:after="0" w:line="240" w:lineRule="auto"/>
        <w:ind w:left="720" w:hanging="720"/>
        <w:rPr>
          <w:rFonts w:ascii="Times New Roman" w:hAnsi="Times New Roman"/>
        </w:rPr>
      </w:pPr>
      <w:r w:rsidRPr="00582530">
        <w:rPr>
          <w:rFonts w:ascii="Garamond" w:hAnsi="Garamond"/>
          <w:color w:val="000000"/>
        </w:rPr>
        <w:t xml:space="preserve">Ke, Y., Im, J., Park, S., &amp; Gong, H. (2016). Downscaling of MODIS </w:t>
      </w:r>
      <w:r w:rsidR="009C0BDF" w:rsidRPr="00582530">
        <w:rPr>
          <w:rFonts w:ascii="Garamond" w:hAnsi="Garamond"/>
          <w:color w:val="000000"/>
        </w:rPr>
        <w:t>o</w:t>
      </w:r>
      <w:r w:rsidRPr="00582530">
        <w:rPr>
          <w:rFonts w:ascii="Garamond" w:hAnsi="Garamond"/>
          <w:color w:val="000000"/>
        </w:rPr>
        <w:t xml:space="preserve">ne kilometer evapotranspiration using Landsat-8 data and machine learning approaches. </w:t>
      </w:r>
      <w:r w:rsidRPr="00582530">
        <w:rPr>
          <w:rFonts w:ascii="Garamond" w:hAnsi="Garamond"/>
          <w:i/>
          <w:color w:val="000000"/>
        </w:rPr>
        <w:t>Remote Sensing</w:t>
      </w:r>
      <w:r w:rsidRPr="00582530">
        <w:rPr>
          <w:rFonts w:ascii="Garamond" w:hAnsi="Garamond"/>
          <w:color w:val="000000"/>
        </w:rPr>
        <w:t xml:space="preserve">, </w:t>
      </w:r>
      <w:r w:rsidRPr="00582530">
        <w:rPr>
          <w:rFonts w:ascii="Garamond" w:hAnsi="Garamond"/>
          <w:i/>
          <w:color w:val="000000"/>
        </w:rPr>
        <w:t>8</w:t>
      </w:r>
      <w:r w:rsidRPr="00582530">
        <w:rPr>
          <w:rFonts w:ascii="Garamond" w:hAnsi="Garamond"/>
          <w:color w:val="000000"/>
        </w:rPr>
        <w:t>(3), 1–26. https://doi.org/10.3390/rs8030215</w:t>
      </w:r>
    </w:p>
    <w:p w14:paraId="5EAF0F97"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7CF5F8DB" w14:textId="40BBDC27" w:rsidR="0012258B" w:rsidRPr="00AA1C6B" w:rsidRDefault="004F7961" w:rsidP="00AA1C6B">
      <w:pPr>
        <w:tabs>
          <w:tab w:val="left" w:pos="720"/>
        </w:tabs>
        <w:spacing w:after="0" w:line="240" w:lineRule="auto"/>
        <w:ind w:left="720" w:hanging="720"/>
        <w:rPr>
          <w:rFonts w:ascii="Times New Roman" w:hAnsi="Times New Roman"/>
          <w:sz w:val="24"/>
        </w:rPr>
      </w:pPr>
      <w:r w:rsidRPr="00AA1C6B">
        <w:rPr>
          <w:rFonts w:ascii="Garamond" w:hAnsi="Garamond"/>
          <w:color w:val="000000"/>
        </w:rPr>
        <w:t xml:space="preserve">Lauer, I., Coats, D., Kucera, L., Sforzo, Z., </w:t>
      </w:r>
      <w:r w:rsidR="00D0316F">
        <w:rPr>
          <w:rFonts w:ascii="Garamond" w:hAnsi="Garamond"/>
          <w:color w:val="000000"/>
        </w:rPr>
        <w:t>&amp;</w:t>
      </w:r>
      <w:r w:rsidRPr="00AA1C6B">
        <w:rPr>
          <w:rFonts w:ascii="Garamond" w:hAnsi="Garamond"/>
          <w:color w:val="000000"/>
        </w:rPr>
        <w:t xml:space="preserve"> Broddle, M. (2018). Idaho Water Resources: Estimating </w:t>
      </w:r>
      <w:r w:rsidR="00DC6B77">
        <w:rPr>
          <w:rFonts w:ascii="Garamond" w:hAnsi="Garamond"/>
          <w:color w:val="000000"/>
        </w:rPr>
        <w:t>s</w:t>
      </w:r>
      <w:r w:rsidRPr="00AA1C6B">
        <w:rPr>
          <w:rFonts w:ascii="Garamond" w:hAnsi="Garamond"/>
          <w:color w:val="000000"/>
        </w:rPr>
        <w:t>oi</w:t>
      </w:r>
      <w:r w:rsidR="00DC6B77">
        <w:rPr>
          <w:rFonts w:ascii="Garamond" w:hAnsi="Garamond"/>
          <w:color w:val="000000"/>
        </w:rPr>
        <w:t>l moisture in semiarid sagebrush steppe utilizing NASA s</w:t>
      </w:r>
      <w:r w:rsidRPr="00AA1C6B">
        <w:rPr>
          <w:rFonts w:ascii="Garamond" w:hAnsi="Garamond"/>
          <w:color w:val="000000"/>
        </w:rPr>
        <w:t xml:space="preserve">atellite </w:t>
      </w:r>
      <w:r w:rsidR="00DC6B77">
        <w:rPr>
          <w:rFonts w:ascii="Garamond" w:hAnsi="Garamond"/>
          <w:color w:val="000000"/>
        </w:rPr>
        <w:t>i</w:t>
      </w:r>
      <w:r w:rsidRPr="00AA1C6B">
        <w:rPr>
          <w:rFonts w:ascii="Garamond" w:hAnsi="Garamond"/>
          <w:color w:val="000000"/>
        </w:rPr>
        <w:t>magery. Unpublished manuscript. NASA DEVELOP National Program: Idaho Node, Pocatello, ID.</w:t>
      </w:r>
    </w:p>
    <w:p w14:paraId="0358E412"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3CCAFAC5" w14:textId="77777777" w:rsidR="00D030E7" w:rsidRPr="00D030E7" w:rsidRDefault="004F7961" w:rsidP="00D030E7">
      <w:pPr>
        <w:tabs>
          <w:tab w:val="left" w:pos="720"/>
        </w:tabs>
        <w:spacing w:after="0" w:line="240" w:lineRule="auto"/>
        <w:ind w:left="720" w:hanging="720"/>
        <w:rPr>
          <w:rFonts w:ascii="Times New Roman" w:eastAsia="Times New Roman" w:hAnsi="Times New Roman" w:cs="Times New Roman"/>
          <w:sz w:val="24"/>
          <w:szCs w:val="24"/>
        </w:rPr>
      </w:pPr>
      <w:r w:rsidRPr="00AA1C6B">
        <w:rPr>
          <w:rFonts w:ascii="Garamond" w:hAnsi="Garamond"/>
          <w:color w:val="000000"/>
        </w:rPr>
        <w:t>Mocko, D., NASA/GSFC/HSL (2012), NLDAS Noah Land Surface Model L4 Monthly 0.125 x 0.125 degree V002, Greenbelt, Maryland, USA, Goddard Earth Sciences Data and Information Services Center (GES DISC). [Dataset]. Accessed: [October, November 2018],</w:t>
      </w:r>
      <w:r w:rsidRPr="00AC65E5">
        <w:rPr>
          <w:rFonts w:ascii="Garamond" w:hAnsi="Garamond"/>
          <w:color w:val="000000"/>
        </w:rPr>
        <w:t xml:space="preserve"> </w:t>
      </w:r>
      <w:hyperlink r:id="rId27" w:history="1">
        <w:r w:rsidR="00D030E7" w:rsidRPr="00AC65E5">
          <w:rPr>
            <w:rFonts w:ascii="Garamond" w:eastAsia="Times New Roman" w:hAnsi="Garamond" w:cs="Times New Roman"/>
            <w:color w:val="000000"/>
          </w:rPr>
          <w:t>10.5067/NOXZSD0Z6JGD</w:t>
        </w:r>
      </w:hyperlink>
    </w:p>
    <w:p w14:paraId="0432396B"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15D17E2A" w14:textId="686F8F4B" w:rsidR="0012258B" w:rsidRDefault="004F7961" w:rsidP="00AA1C6B">
      <w:pPr>
        <w:tabs>
          <w:tab w:val="left" w:pos="720"/>
        </w:tabs>
        <w:spacing w:after="0" w:line="240" w:lineRule="auto"/>
        <w:ind w:left="720" w:hanging="720"/>
        <w:rPr>
          <w:rFonts w:ascii="Garamond" w:hAnsi="Garamond"/>
          <w:shd w:val="clear" w:color="auto" w:fill="FFFFFF"/>
        </w:rPr>
      </w:pPr>
      <w:r w:rsidRPr="00DC6B77">
        <w:rPr>
          <w:rFonts w:ascii="Garamond" w:hAnsi="Garamond"/>
          <w:shd w:val="clear" w:color="auto" w:fill="FFFFFF"/>
        </w:rPr>
        <w:t xml:space="preserve">Mu, Q., Zhao, M., &amp; Running, S. W. (2011). Improvements to a MODIS global terrestrial evapotranspiration algorithm. </w:t>
      </w:r>
      <w:r w:rsidRPr="00DC6B77">
        <w:rPr>
          <w:rFonts w:ascii="Garamond" w:hAnsi="Garamond"/>
          <w:i/>
          <w:shd w:val="clear" w:color="auto" w:fill="FFFFFF"/>
        </w:rPr>
        <w:t>Remote Sensing of Environment</w:t>
      </w:r>
      <w:r w:rsidRPr="00DC6B77">
        <w:rPr>
          <w:rFonts w:ascii="Garamond" w:hAnsi="Garamond"/>
          <w:shd w:val="clear" w:color="auto" w:fill="FFFFFF"/>
        </w:rPr>
        <w:t xml:space="preserve">, </w:t>
      </w:r>
      <w:r w:rsidRPr="00DC6B77">
        <w:rPr>
          <w:rFonts w:ascii="Garamond" w:hAnsi="Garamond"/>
          <w:i/>
          <w:shd w:val="clear" w:color="auto" w:fill="FFFFFF"/>
        </w:rPr>
        <w:t>115</w:t>
      </w:r>
      <w:r w:rsidRPr="00DC6B77">
        <w:rPr>
          <w:rFonts w:ascii="Garamond" w:hAnsi="Garamond"/>
          <w:shd w:val="clear" w:color="auto" w:fill="FFFFFF"/>
        </w:rPr>
        <w:t>(8), 1781-1800.</w:t>
      </w:r>
    </w:p>
    <w:p w14:paraId="1AD90CC9" w14:textId="13CC3B03" w:rsidR="00582530" w:rsidRDefault="00582530" w:rsidP="00AA1C6B">
      <w:pPr>
        <w:tabs>
          <w:tab w:val="left" w:pos="720"/>
        </w:tabs>
        <w:spacing w:after="0" w:line="240" w:lineRule="auto"/>
        <w:ind w:left="720" w:hanging="720"/>
        <w:rPr>
          <w:rFonts w:ascii="Times New Roman" w:hAnsi="Times New Roman"/>
          <w:sz w:val="24"/>
        </w:rPr>
      </w:pPr>
    </w:p>
    <w:p w14:paraId="18701289" w14:textId="23EC1D48" w:rsidR="00582530" w:rsidRPr="00582530" w:rsidRDefault="00582530" w:rsidP="00582530">
      <w:pPr>
        <w:tabs>
          <w:tab w:val="left" w:pos="720"/>
        </w:tabs>
        <w:spacing w:after="0" w:line="240" w:lineRule="auto"/>
        <w:ind w:left="720" w:hanging="720"/>
        <w:rPr>
          <w:rFonts w:ascii="Garamond" w:eastAsia="Times New Roman" w:hAnsi="Garamond" w:cs="Times New Roman"/>
        </w:rPr>
      </w:pPr>
      <w:r w:rsidRPr="00582530">
        <w:rPr>
          <w:rFonts w:ascii="Garamond" w:eastAsia="Times New Roman" w:hAnsi="Garamond" w:cs="Times New Roman"/>
        </w:rPr>
        <w:t>Qi</w:t>
      </w:r>
      <w:r>
        <w:rPr>
          <w:rFonts w:ascii="Garamond" w:eastAsia="Times New Roman" w:hAnsi="Garamond" w:cs="Times New Roman"/>
        </w:rPr>
        <w:t xml:space="preserve"> J.</w:t>
      </w:r>
      <w:r w:rsidRPr="00582530">
        <w:rPr>
          <w:rFonts w:ascii="Garamond" w:eastAsia="Times New Roman" w:hAnsi="Garamond" w:cs="Times New Roman"/>
        </w:rPr>
        <w:t>, Chehbouni</w:t>
      </w:r>
      <w:r>
        <w:rPr>
          <w:rFonts w:ascii="Garamond" w:eastAsia="Times New Roman" w:hAnsi="Garamond" w:cs="Times New Roman"/>
        </w:rPr>
        <w:t xml:space="preserve"> A.</w:t>
      </w:r>
      <w:r w:rsidRPr="00582530">
        <w:rPr>
          <w:rFonts w:ascii="Garamond" w:eastAsia="Times New Roman" w:hAnsi="Garamond" w:cs="Times New Roman"/>
        </w:rPr>
        <w:t>, Huete</w:t>
      </w:r>
      <w:r>
        <w:rPr>
          <w:rFonts w:ascii="Garamond" w:eastAsia="Times New Roman" w:hAnsi="Garamond" w:cs="Times New Roman"/>
        </w:rPr>
        <w:t xml:space="preserve"> </w:t>
      </w:r>
      <w:r w:rsidRPr="00582530">
        <w:rPr>
          <w:rFonts w:ascii="Garamond" w:eastAsia="Times New Roman" w:hAnsi="Garamond" w:cs="Times New Roman"/>
        </w:rPr>
        <w:t>A.R., Kerr</w:t>
      </w:r>
      <w:r>
        <w:rPr>
          <w:rFonts w:ascii="Garamond" w:eastAsia="Times New Roman" w:hAnsi="Garamond" w:cs="Times New Roman"/>
        </w:rPr>
        <w:t xml:space="preserve"> </w:t>
      </w:r>
      <w:r w:rsidRPr="00582530">
        <w:rPr>
          <w:rFonts w:ascii="Garamond" w:eastAsia="Times New Roman" w:hAnsi="Garamond" w:cs="Times New Roman"/>
        </w:rPr>
        <w:t>Y.H., Sorooshian</w:t>
      </w:r>
      <w:r>
        <w:rPr>
          <w:rFonts w:ascii="Garamond" w:eastAsia="Times New Roman" w:hAnsi="Garamond" w:cs="Times New Roman"/>
        </w:rPr>
        <w:t xml:space="preserve"> </w:t>
      </w:r>
      <w:r w:rsidRPr="00582530">
        <w:rPr>
          <w:rFonts w:ascii="Garamond" w:eastAsia="Times New Roman" w:hAnsi="Garamond" w:cs="Times New Roman"/>
        </w:rPr>
        <w:t>S.,</w:t>
      </w:r>
      <w:r>
        <w:rPr>
          <w:rFonts w:ascii="Garamond" w:eastAsia="Times New Roman" w:hAnsi="Garamond" w:cs="Times New Roman"/>
        </w:rPr>
        <w:t xml:space="preserve"> </w:t>
      </w:r>
      <w:r w:rsidRPr="00582530">
        <w:rPr>
          <w:rFonts w:ascii="Garamond" w:eastAsia="Times New Roman" w:hAnsi="Garamond" w:cs="Times New Roman"/>
        </w:rPr>
        <w:t>A modified soil adjusted vegetation index,</w:t>
      </w:r>
      <w:r>
        <w:rPr>
          <w:rFonts w:ascii="Garamond" w:eastAsia="Times New Roman" w:hAnsi="Garamond" w:cs="Times New Roman"/>
        </w:rPr>
        <w:t xml:space="preserve"> </w:t>
      </w:r>
      <w:r w:rsidRPr="00582530">
        <w:rPr>
          <w:rFonts w:ascii="Garamond" w:eastAsia="Times New Roman" w:hAnsi="Garamond" w:cs="Times New Roman"/>
          <w:i/>
        </w:rPr>
        <w:t>Remote Sensing of Environment</w:t>
      </w:r>
      <w:r w:rsidRPr="00582530">
        <w:rPr>
          <w:rFonts w:ascii="Garamond" w:eastAsia="Times New Roman" w:hAnsi="Garamond" w:cs="Times New Roman"/>
        </w:rPr>
        <w:t>,</w:t>
      </w:r>
      <w:r w:rsidRPr="00103AC2">
        <w:rPr>
          <w:rFonts w:ascii="Garamond" w:eastAsia="Times New Roman" w:hAnsi="Garamond" w:cs="Times New Roman"/>
          <w:i/>
        </w:rPr>
        <w:t xml:space="preserve"> 48</w:t>
      </w:r>
      <w:r>
        <w:rPr>
          <w:rFonts w:ascii="Garamond" w:eastAsia="Times New Roman" w:hAnsi="Garamond" w:cs="Times New Roman"/>
        </w:rPr>
        <w:t>(</w:t>
      </w:r>
      <w:r w:rsidRPr="00582530">
        <w:rPr>
          <w:rFonts w:ascii="Garamond" w:eastAsia="Times New Roman" w:hAnsi="Garamond" w:cs="Times New Roman"/>
        </w:rPr>
        <w:t>2</w:t>
      </w:r>
      <w:r>
        <w:rPr>
          <w:rFonts w:ascii="Garamond" w:eastAsia="Times New Roman" w:hAnsi="Garamond" w:cs="Times New Roman"/>
        </w:rPr>
        <w:t>)</w:t>
      </w:r>
      <w:r w:rsidRPr="00582530">
        <w:rPr>
          <w:rFonts w:ascii="Garamond" w:eastAsia="Times New Roman" w:hAnsi="Garamond" w:cs="Times New Roman"/>
        </w:rPr>
        <w:t>,</w:t>
      </w:r>
      <w:r>
        <w:rPr>
          <w:rFonts w:ascii="Garamond" w:eastAsia="Times New Roman" w:hAnsi="Garamond" w:cs="Times New Roman"/>
        </w:rPr>
        <w:t xml:space="preserve"> </w:t>
      </w:r>
      <w:r w:rsidRPr="00582530">
        <w:rPr>
          <w:rFonts w:ascii="Garamond" w:eastAsia="Times New Roman" w:hAnsi="Garamond" w:cs="Times New Roman"/>
        </w:rPr>
        <w:t>119-126</w:t>
      </w:r>
      <w:r>
        <w:rPr>
          <w:rFonts w:ascii="Garamond" w:eastAsia="Times New Roman" w:hAnsi="Garamond" w:cs="Times New Roman"/>
        </w:rPr>
        <w:t xml:space="preserve">. </w:t>
      </w:r>
      <w:r w:rsidRPr="00582530">
        <w:rPr>
          <w:rFonts w:ascii="Garamond" w:eastAsia="Times New Roman" w:hAnsi="Garamond" w:cs="Times New Roman"/>
        </w:rPr>
        <w:t>https://doi.org/10.1016/0034-4257(94)90134-1.</w:t>
      </w:r>
    </w:p>
    <w:p w14:paraId="1D009A37" w14:textId="77777777" w:rsidR="00582530" w:rsidRPr="00DC6B77" w:rsidRDefault="00582530" w:rsidP="00AA1C6B">
      <w:pPr>
        <w:tabs>
          <w:tab w:val="left" w:pos="720"/>
        </w:tabs>
        <w:spacing w:after="0" w:line="240" w:lineRule="auto"/>
        <w:ind w:left="720" w:hanging="720"/>
        <w:rPr>
          <w:rFonts w:ascii="Times New Roman" w:hAnsi="Times New Roman"/>
          <w:sz w:val="24"/>
        </w:rPr>
      </w:pPr>
    </w:p>
    <w:p w14:paraId="20E1BEE4" w14:textId="5EF6BF70" w:rsidR="0012258B" w:rsidRPr="0070266A" w:rsidRDefault="0070266A" w:rsidP="00AA1C6B">
      <w:pPr>
        <w:tabs>
          <w:tab w:val="left" w:pos="720"/>
        </w:tabs>
        <w:spacing w:after="0" w:line="240" w:lineRule="auto"/>
        <w:ind w:left="720" w:hanging="720"/>
        <w:rPr>
          <w:rFonts w:ascii="Garamond" w:hAnsi="Garamond" w:cs="Calibri"/>
          <w:noProof/>
          <w:szCs w:val="24"/>
        </w:rPr>
      </w:pPr>
      <w:r w:rsidRPr="0070266A">
        <w:rPr>
          <w:rFonts w:ascii="Garamond" w:hAnsi="Garamond" w:cs="Calibri"/>
          <w:noProof/>
          <w:szCs w:val="24"/>
        </w:rPr>
        <w:t xml:space="preserve">Pelletier, J. D., &amp; Rasmussen, C. (2009). Geomorphically based predictive mapping of soil thickness in upland watersheds, </w:t>
      </w:r>
      <w:r w:rsidRPr="0070266A">
        <w:rPr>
          <w:rFonts w:ascii="Garamond" w:hAnsi="Garamond" w:cs="Calibri"/>
          <w:i/>
          <w:iCs/>
          <w:noProof/>
          <w:szCs w:val="24"/>
        </w:rPr>
        <w:t>45</w:t>
      </w:r>
      <w:r w:rsidRPr="0070266A">
        <w:rPr>
          <w:rFonts w:ascii="Garamond" w:hAnsi="Garamond" w:cs="Calibri"/>
          <w:noProof/>
          <w:szCs w:val="24"/>
        </w:rPr>
        <w:t>(September), 1–15. https://doi.org/10.1029/2008WR007319</w:t>
      </w:r>
    </w:p>
    <w:p w14:paraId="7CA16650" w14:textId="77777777" w:rsidR="0070266A" w:rsidRPr="00AA1C6B" w:rsidRDefault="0070266A" w:rsidP="00AA1C6B">
      <w:pPr>
        <w:tabs>
          <w:tab w:val="left" w:pos="720"/>
        </w:tabs>
        <w:spacing w:after="0" w:line="240" w:lineRule="auto"/>
        <w:ind w:left="720" w:hanging="720"/>
        <w:rPr>
          <w:rFonts w:ascii="Times New Roman" w:hAnsi="Times New Roman"/>
          <w:sz w:val="24"/>
        </w:rPr>
      </w:pPr>
    </w:p>
    <w:p w14:paraId="0F64FC0F" w14:textId="38FDF6BE" w:rsidR="0012258B" w:rsidRPr="00AA1C6B" w:rsidRDefault="004F7961" w:rsidP="00AA1C6B">
      <w:pPr>
        <w:tabs>
          <w:tab w:val="left" w:pos="720"/>
        </w:tabs>
        <w:spacing w:after="0" w:line="240" w:lineRule="auto"/>
        <w:ind w:left="720" w:hanging="720"/>
        <w:rPr>
          <w:rFonts w:ascii="Times New Roman" w:hAnsi="Times New Roman"/>
          <w:sz w:val="24"/>
        </w:rPr>
      </w:pPr>
      <w:r w:rsidRPr="00AA1C6B">
        <w:rPr>
          <w:rFonts w:ascii="Garamond" w:hAnsi="Garamond"/>
          <w:color w:val="000000"/>
          <w:shd w:val="clear" w:color="auto" w:fill="FFFFFF"/>
        </w:rPr>
        <w:t xml:space="preserve">Running, S., Mu, Q., </w:t>
      </w:r>
      <w:r w:rsidR="00D0316F">
        <w:rPr>
          <w:rFonts w:ascii="Garamond" w:hAnsi="Garamond"/>
          <w:color w:val="000000"/>
          <w:shd w:val="clear" w:color="auto" w:fill="FFFFFF"/>
        </w:rPr>
        <w:t xml:space="preserve">&amp; </w:t>
      </w:r>
      <w:r w:rsidRPr="00AA1C6B">
        <w:rPr>
          <w:rFonts w:ascii="Garamond" w:hAnsi="Garamond"/>
          <w:color w:val="000000"/>
          <w:shd w:val="clear" w:color="auto" w:fill="FFFFFF"/>
        </w:rPr>
        <w:t xml:space="preserve">Zhao, </w:t>
      </w:r>
      <w:r w:rsidR="00DC6B77">
        <w:rPr>
          <w:rFonts w:ascii="Garamond" w:hAnsi="Garamond"/>
          <w:color w:val="000000"/>
          <w:shd w:val="clear" w:color="auto" w:fill="FFFFFF"/>
        </w:rPr>
        <w:t>M. (2017). MOD16A2 MODIS/Terra n</w:t>
      </w:r>
      <w:r w:rsidRPr="00AA1C6B">
        <w:rPr>
          <w:rFonts w:ascii="Garamond" w:hAnsi="Garamond"/>
          <w:color w:val="000000"/>
          <w:shd w:val="clear" w:color="auto" w:fill="FFFFFF"/>
        </w:rPr>
        <w:t xml:space="preserve">et </w:t>
      </w:r>
      <w:r w:rsidR="00DC6B77">
        <w:rPr>
          <w:rFonts w:ascii="Garamond" w:hAnsi="Garamond"/>
          <w:color w:val="000000"/>
          <w:shd w:val="clear" w:color="auto" w:fill="FFFFFF"/>
        </w:rPr>
        <w:t>e</w:t>
      </w:r>
      <w:r w:rsidRPr="00AA1C6B">
        <w:rPr>
          <w:rFonts w:ascii="Garamond" w:hAnsi="Garamond"/>
          <w:color w:val="000000"/>
          <w:shd w:val="clear" w:color="auto" w:fill="FFFFFF"/>
        </w:rPr>
        <w:t xml:space="preserve">vapotranspiration 8-Day L4 </w:t>
      </w:r>
      <w:r w:rsidR="00DC6B77" w:rsidRPr="007E1296">
        <w:rPr>
          <w:rFonts w:ascii="Garamond" w:hAnsi="Garamond"/>
          <w:noProof/>
          <w:color w:val="000000"/>
          <w:shd w:val="clear" w:color="auto" w:fill="FFFFFF"/>
        </w:rPr>
        <w:t>g</w:t>
      </w:r>
      <w:r w:rsidRPr="007E1296">
        <w:rPr>
          <w:rFonts w:ascii="Garamond" w:hAnsi="Garamond"/>
          <w:noProof/>
          <w:color w:val="000000"/>
          <w:shd w:val="clear" w:color="auto" w:fill="FFFFFF"/>
        </w:rPr>
        <w:t>lobal</w:t>
      </w:r>
      <w:r w:rsidRPr="00AA1C6B">
        <w:rPr>
          <w:rFonts w:ascii="Garamond" w:hAnsi="Garamond"/>
          <w:color w:val="000000"/>
          <w:shd w:val="clear" w:color="auto" w:fill="FFFFFF"/>
        </w:rPr>
        <w:t xml:space="preserve"> 500m SIN Grid V006 [Data set]. NASA EOSDIS Land Processes DAAC. </w:t>
      </w:r>
      <w:r w:rsidRPr="007E1296">
        <w:rPr>
          <w:rFonts w:ascii="Garamond" w:hAnsi="Garamond"/>
          <w:noProof/>
          <w:color w:val="000000"/>
          <w:shd w:val="clear" w:color="auto" w:fill="FFFFFF"/>
        </w:rPr>
        <w:t>doi</w:t>
      </w:r>
      <w:r w:rsidRPr="00AA1C6B">
        <w:rPr>
          <w:rFonts w:ascii="Garamond" w:hAnsi="Garamond"/>
          <w:color w:val="000000"/>
          <w:shd w:val="clear" w:color="auto" w:fill="FFFFFF"/>
        </w:rPr>
        <w:t xml:space="preserve">: </w:t>
      </w:r>
      <w:r w:rsidRPr="00AA1C6B">
        <w:rPr>
          <w:rFonts w:ascii="Garamond" w:hAnsi="Garamond"/>
          <w:color w:val="000000"/>
          <w:shd w:val="clear" w:color="auto" w:fill="FFFFFF"/>
        </w:rPr>
        <w:lastRenderedPageBreak/>
        <w:t xml:space="preserve">10.5067/MODIS/MOD16A2.006. Retrieved from </w:t>
      </w:r>
      <w:hyperlink r:id="rId28" w:history="1">
        <w:r w:rsidR="00D030E7" w:rsidRPr="00AC65E5">
          <w:rPr>
            <w:rFonts w:ascii="Garamond" w:eastAsia="Times New Roman" w:hAnsi="Garamond" w:cs="Times New Roman"/>
            <w:shd w:val="clear" w:color="auto" w:fill="FFFFFF"/>
          </w:rPr>
          <w:t>https://lpdaac.usgs.gov/node/1191</w:t>
        </w:r>
      </w:hyperlink>
      <w:r w:rsidR="00D030E7" w:rsidRPr="00D030E7">
        <w:rPr>
          <w:rFonts w:ascii="Garamond" w:eastAsia="Times New Roman" w:hAnsi="Garamond" w:cs="Times New Roman"/>
          <w:color w:val="000000"/>
          <w:shd w:val="clear" w:color="auto" w:fill="FFFFFF"/>
        </w:rPr>
        <w:t>.</w:t>
      </w:r>
      <w:r w:rsidRPr="00AA1C6B">
        <w:rPr>
          <w:rFonts w:ascii="Garamond" w:hAnsi="Garamond"/>
          <w:color w:val="000000"/>
          <w:shd w:val="clear" w:color="auto" w:fill="FFFFFF"/>
        </w:rPr>
        <w:t xml:space="preserve"> Accessed [October/November 2018].</w:t>
      </w:r>
    </w:p>
    <w:p w14:paraId="30268D03"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699B3AA0" w14:textId="77777777" w:rsidR="00D030E7" w:rsidRPr="00D030E7" w:rsidRDefault="004F7961" w:rsidP="00D030E7">
      <w:pPr>
        <w:tabs>
          <w:tab w:val="left" w:pos="720"/>
        </w:tabs>
        <w:spacing w:after="0" w:line="240" w:lineRule="auto"/>
        <w:ind w:left="720" w:hanging="720"/>
        <w:rPr>
          <w:rFonts w:ascii="Times New Roman" w:eastAsia="Times New Roman" w:hAnsi="Times New Roman" w:cs="Times New Roman"/>
          <w:sz w:val="24"/>
          <w:szCs w:val="24"/>
        </w:rPr>
      </w:pPr>
      <w:r w:rsidRPr="00AA1C6B">
        <w:rPr>
          <w:rFonts w:ascii="Garamond" w:hAnsi="Garamond"/>
          <w:color w:val="000000"/>
        </w:rPr>
        <w:t xml:space="preserve">Senay, G. B., Bohms, S., Singh, R. K., Gowda, P. H., Velpuri, N. M., Alemu, H., &amp; Verdin, J. P. (2013). Operational evapotranspiration mapping using remote sensing and weather datasets: A new parameterization for the SSEB approach. </w:t>
      </w:r>
      <w:r w:rsidRPr="00AA1C6B">
        <w:rPr>
          <w:rFonts w:ascii="Garamond" w:hAnsi="Garamond"/>
          <w:i/>
          <w:color w:val="000000"/>
        </w:rPr>
        <w:t>Journal of the American Water Resources Association</w:t>
      </w:r>
      <w:r w:rsidRPr="00AA1C6B">
        <w:rPr>
          <w:rFonts w:ascii="Garamond" w:hAnsi="Garamond"/>
          <w:color w:val="000000"/>
        </w:rPr>
        <w:t xml:space="preserve">, </w:t>
      </w:r>
      <w:r w:rsidRPr="00AA1C6B">
        <w:rPr>
          <w:rFonts w:ascii="Garamond" w:hAnsi="Garamond"/>
          <w:i/>
          <w:color w:val="000000"/>
        </w:rPr>
        <w:t>49</w:t>
      </w:r>
      <w:r w:rsidRPr="00AA1C6B">
        <w:rPr>
          <w:rFonts w:ascii="Garamond" w:hAnsi="Garamond"/>
          <w:color w:val="000000"/>
        </w:rPr>
        <w:t xml:space="preserve">(3), 577–591. </w:t>
      </w:r>
      <w:hyperlink r:id="rId29" w:history="1">
        <w:r w:rsidR="00D030E7" w:rsidRPr="00AC65E5">
          <w:rPr>
            <w:rFonts w:ascii="Garamond" w:eastAsia="Times New Roman" w:hAnsi="Garamond" w:cs="Times New Roman"/>
          </w:rPr>
          <w:t>https://doi.org/10.1111/jawr.12057</w:t>
        </w:r>
      </w:hyperlink>
    </w:p>
    <w:p w14:paraId="51FC8375"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5F4BF166" w14:textId="2D447C59" w:rsidR="0012258B" w:rsidRPr="00AA1C6B" w:rsidRDefault="004F7961" w:rsidP="00AA1C6B">
      <w:pPr>
        <w:tabs>
          <w:tab w:val="left" w:pos="720"/>
        </w:tabs>
        <w:spacing w:after="0" w:line="240" w:lineRule="auto"/>
        <w:ind w:left="720" w:hanging="720"/>
        <w:rPr>
          <w:rFonts w:ascii="Times New Roman" w:hAnsi="Times New Roman"/>
          <w:sz w:val="24"/>
        </w:rPr>
      </w:pPr>
      <w:r w:rsidRPr="00AA1C6B">
        <w:rPr>
          <w:rFonts w:ascii="Garamond" w:hAnsi="Garamond"/>
          <w:color w:val="000000"/>
        </w:rPr>
        <w:t xml:space="preserve">Seyfried, M. S., Reynolds Creek Experimental Watershed </w:t>
      </w:r>
      <w:r w:rsidR="00DC6B77">
        <w:rPr>
          <w:rFonts w:ascii="Garamond" w:hAnsi="Garamond"/>
          <w:color w:val="000000"/>
        </w:rPr>
        <w:t>soil m</w:t>
      </w:r>
      <w:r w:rsidRPr="00AA1C6B">
        <w:rPr>
          <w:rFonts w:ascii="Garamond" w:hAnsi="Garamond"/>
          <w:color w:val="000000"/>
        </w:rPr>
        <w:t>oisture (2015-2018). Boise, ID: USDA-ARS, Accessed [June/July/August 2018].</w:t>
      </w:r>
    </w:p>
    <w:p w14:paraId="7F78C458"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5711728E" w14:textId="05813547" w:rsidR="0012258B" w:rsidRPr="00AA1C6B" w:rsidRDefault="004F7961" w:rsidP="00AA1C6B">
      <w:pPr>
        <w:tabs>
          <w:tab w:val="left" w:pos="720"/>
        </w:tabs>
        <w:spacing w:after="0" w:line="240" w:lineRule="auto"/>
        <w:ind w:left="720" w:hanging="720"/>
        <w:rPr>
          <w:rFonts w:ascii="Times New Roman" w:hAnsi="Times New Roman"/>
          <w:sz w:val="24"/>
        </w:rPr>
      </w:pPr>
      <w:r w:rsidRPr="00AA1C6B">
        <w:rPr>
          <w:rFonts w:ascii="Garamond" w:hAnsi="Garamond"/>
          <w:color w:val="000000"/>
        </w:rPr>
        <w:t>Slaughter, C. W., Marks, D., Flerchinger, G. N., Vactor, S. S.</w:t>
      </w:r>
      <w:r w:rsidR="00D0316F">
        <w:rPr>
          <w:rFonts w:ascii="Garamond" w:hAnsi="Garamond"/>
          <w:color w:val="000000"/>
        </w:rPr>
        <w:t>,</w:t>
      </w:r>
      <w:r w:rsidRPr="00AA1C6B">
        <w:rPr>
          <w:rFonts w:ascii="Garamond" w:hAnsi="Garamond"/>
          <w:color w:val="000000"/>
        </w:rPr>
        <w:t xml:space="preserve"> Van, &amp; Burgess, M. (2001). Thirty-five years of research data collection at the Reynolds Creek Experimental Watershed, Idaho, United States, </w:t>
      </w:r>
      <w:r w:rsidRPr="00AA1C6B">
        <w:rPr>
          <w:rFonts w:ascii="Garamond" w:hAnsi="Garamond"/>
          <w:i/>
          <w:color w:val="000000"/>
        </w:rPr>
        <w:t>37</w:t>
      </w:r>
      <w:r w:rsidRPr="00AA1C6B">
        <w:rPr>
          <w:rFonts w:ascii="Garamond" w:hAnsi="Garamond"/>
          <w:color w:val="000000"/>
        </w:rPr>
        <w:t>(11), 2819–2823.</w:t>
      </w:r>
    </w:p>
    <w:p w14:paraId="5364A4E6"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62A30C23" w14:textId="77777777" w:rsidR="00D030E7" w:rsidRPr="00AC65E5" w:rsidRDefault="004F7961" w:rsidP="00D030E7">
      <w:pPr>
        <w:tabs>
          <w:tab w:val="left" w:pos="720"/>
        </w:tabs>
        <w:spacing w:after="0" w:line="240" w:lineRule="auto"/>
        <w:ind w:left="720" w:hanging="720"/>
        <w:rPr>
          <w:rFonts w:ascii="Times New Roman" w:eastAsia="Times New Roman" w:hAnsi="Times New Roman" w:cs="Times New Roman"/>
          <w:sz w:val="24"/>
          <w:szCs w:val="24"/>
        </w:rPr>
      </w:pPr>
      <w:r w:rsidRPr="00AA1C6B">
        <w:rPr>
          <w:rFonts w:ascii="Garamond" w:hAnsi="Garamond"/>
          <w:color w:val="000000"/>
        </w:rPr>
        <w:t xml:space="preserve">Sridhar, V., &amp; Nayak, A. (2010). Implications of climate-driven variability and trends for the hydrologic assessment of the Reynolds Creek Experimental Watershed, Idaho. </w:t>
      </w:r>
      <w:r w:rsidRPr="00AA1C6B">
        <w:rPr>
          <w:rFonts w:ascii="Garamond" w:hAnsi="Garamond"/>
          <w:i/>
          <w:color w:val="000000"/>
        </w:rPr>
        <w:t>Journal of Hydrology</w:t>
      </w:r>
      <w:r w:rsidRPr="00AA1C6B">
        <w:rPr>
          <w:rFonts w:ascii="Garamond" w:hAnsi="Garamond"/>
          <w:color w:val="000000"/>
        </w:rPr>
        <w:t xml:space="preserve">, </w:t>
      </w:r>
      <w:r w:rsidRPr="00AA1C6B">
        <w:rPr>
          <w:rFonts w:ascii="Garamond" w:hAnsi="Garamond"/>
          <w:i/>
          <w:color w:val="000000"/>
        </w:rPr>
        <w:t>385</w:t>
      </w:r>
      <w:r w:rsidRPr="00AA1C6B">
        <w:rPr>
          <w:rFonts w:ascii="Garamond" w:hAnsi="Garamond"/>
          <w:color w:val="000000"/>
        </w:rPr>
        <w:t xml:space="preserve">(1–4), 183–202. </w:t>
      </w:r>
      <w:hyperlink r:id="rId30" w:history="1">
        <w:r w:rsidR="00D030E7" w:rsidRPr="00AC65E5">
          <w:rPr>
            <w:rFonts w:ascii="Garamond" w:eastAsia="Times New Roman" w:hAnsi="Garamond" w:cs="Times New Roman"/>
          </w:rPr>
          <w:t>https://doi.org/10.1016/j.jhydrol.2010.02.020</w:t>
        </w:r>
      </w:hyperlink>
    </w:p>
    <w:p w14:paraId="5716FA4C" w14:textId="164202C5" w:rsidR="0012258B" w:rsidRDefault="0012258B" w:rsidP="00AA1C6B">
      <w:pPr>
        <w:tabs>
          <w:tab w:val="left" w:pos="720"/>
        </w:tabs>
        <w:spacing w:after="0" w:line="240" w:lineRule="auto"/>
        <w:ind w:left="720" w:hanging="720"/>
        <w:rPr>
          <w:rFonts w:ascii="Times New Roman" w:hAnsi="Times New Roman"/>
          <w:sz w:val="24"/>
        </w:rPr>
      </w:pPr>
    </w:p>
    <w:p w14:paraId="7D70EB65" w14:textId="1D7F8922" w:rsidR="00665B19" w:rsidRDefault="00665B19" w:rsidP="00AA1C6B">
      <w:pPr>
        <w:tabs>
          <w:tab w:val="left" w:pos="720"/>
        </w:tabs>
        <w:spacing w:after="0" w:line="240" w:lineRule="auto"/>
        <w:ind w:left="720" w:hanging="720"/>
        <w:rPr>
          <w:rFonts w:ascii="Times New Roman" w:hAnsi="Times New Roman"/>
          <w:sz w:val="24"/>
        </w:rPr>
      </w:pPr>
      <w:r w:rsidRPr="00E52971">
        <w:rPr>
          <w:rFonts w:ascii="Garamond" w:hAnsi="Garamond"/>
        </w:rPr>
        <w:t>U.S. Geological Survey, Department of the Interior. 1/3rd arc-second Digital Elevation Models (DEMs) - USGS National Map 3DEP Downloadable Data Collection. USGS NED n44w117 1/3 arc-second 2013 1 x 1 degree ArcGrid (2013). Reston, VA: U.S. Geological Survey. Accessed [June/July/August 2018]. Retrieved from https://catalog.data.gov/dataset/national-elevation-dataset-ned-1-3-arc-second-downloadable-data-collection-national-geospatial</w:t>
      </w:r>
    </w:p>
    <w:p w14:paraId="53194EA9" w14:textId="77777777" w:rsidR="00665B19" w:rsidRPr="00AA1C6B" w:rsidRDefault="00665B19" w:rsidP="00AA1C6B">
      <w:pPr>
        <w:tabs>
          <w:tab w:val="left" w:pos="720"/>
        </w:tabs>
        <w:spacing w:after="0" w:line="240" w:lineRule="auto"/>
        <w:ind w:left="720" w:hanging="720"/>
        <w:rPr>
          <w:rFonts w:ascii="Times New Roman" w:hAnsi="Times New Roman"/>
          <w:sz w:val="24"/>
        </w:rPr>
      </w:pPr>
    </w:p>
    <w:p w14:paraId="278D2148" w14:textId="77777777" w:rsidR="0012258B" w:rsidRPr="00AA1C6B" w:rsidRDefault="004F7961" w:rsidP="00AA1C6B">
      <w:pPr>
        <w:tabs>
          <w:tab w:val="left" w:pos="720"/>
        </w:tabs>
        <w:spacing w:after="0" w:line="240" w:lineRule="auto"/>
        <w:ind w:left="720" w:hanging="720"/>
        <w:rPr>
          <w:rFonts w:ascii="Times New Roman" w:hAnsi="Times New Roman"/>
          <w:sz w:val="24"/>
        </w:rPr>
      </w:pPr>
      <w:r w:rsidRPr="00AA1C6B">
        <w:rPr>
          <w:rFonts w:ascii="Garamond" w:hAnsi="Garamond"/>
          <w:color w:val="000000"/>
        </w:rPr>
        <w:t xml:space="preserve">University of Nebraska-Lincoln, Desert Research Institute, and </w:t>
      </w:r>
      <w:r w:rsidRPr="00103AC2">
        <w:rPr>
          <w:rFonts w:ascii="Garamond" w:hAnsi="Garamond"/>
          <w:noProof/>
          <w:color w:val="000000"/>
        </w:rPr>
        <w:t>University</w:t>
      </w:r>
      <w:r w:rsidRPr="00AA1C6B">
        <w:rPr>
          <w:rFonts w:ascii="Garamond" w:hAnsi="Garamond"/>
          <w:color w:val="000000"/>
        </w:rPr>
        <w:t xml:space="preserve"> of Idaho. Earth Engine Evapotranspiration Flux based on METRIC. [Dataset]. Retrieved from </w:t>
      </w:r>
      <w:hyperlink r:id="rId31" w:history="1">
        <w:r w:rsidR="00D030E7" w:rsidRPr="00AC65E5">
          <w:rPr>
            <w:rFonts w:ascii="Garamond" w:eastAsia="Times New Roman" w:hAnsi="Garamond" w:cs="Times New Roman"/>
          </w:rPr>
          <w:t>https://eeflux-level1.appspot.com/</w:t>
        </w:r>
      </w:hyperlink>
      <w:r w:rsidR="00D030E7" w:rsidRPr="00D030E7">
        <w:rPr>
          <w:rFonts w:ascii="Garamond" w:eastAsia="Times New Roman" w:hAnsi="Garamond" w:cs="Times New Roman"/>
          <w:color w:val="000000"/>
        </w:rPr>
        <w:t>.</w:t>
      </w:r>
      <w:r w:rsidRPr="00AA1C6B">
        <w:rPr>
          <w:rFonts w:ascii="Garamond" w:hAnsi="Garamond"/>
          <w:color w:val="000000"/>
        </w:rPr>
        <w:t xml:space="preserve"> Accessed: [October 1, 2018].</w:t>
      </w:r>
    </w:p>
    <w:p w14:paraId="6C42A1AB"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53410725" w14:textId="77777777" w:rsidR="0012258B" w:rsidRPr="00DC6B77" w:rsidRDefault="004F7961" w:rsidP="00AA1C6B">
      <w:pPr>
        <w:tabs>
          <w:tab w:val="left" w:pos="720"/>
        </w:tabs>
        <w:spacing w:after="0" w:line="240" w:lineRule="auto"/>
        <w:ind w:left="720" w:hanging="720"/>
        <w:rPr>
          <w:rFonts w:ascii="Times New Roman" w:hAnsi="Times New Roman"/>
          <w:sz w:val="24"/>
        </w:rPr>
      </w:pPr>
      <w:r w:rsidRPr="00DC6B77">
        <w:rPr>
          <w:rFonts w:ascii="Garamond" w:hAnsi="Garamond"/>
          <w:shd w:val="clear" w:color="auto" w:fill="FFFFFF"/>
        </w:rPr>
        <w:t xml:space="preserve">Velpuri, N. M., Senay, G. B., Singh, R. K., Bohms, S., &amp; Verdin, J. P. (2013). A comprehensive evaluation of two MODIS evapotranspiration products over the conterminous United States: Using point and gridded FLUXNET and water balance ET. </w:t>
      </w:r>
      <w:r w:rsidRPr="00DC6B77">
        <w:rPr>
          <w:rFonts w:ascii="Garamond" w:hAnsi="Garamond"/>
          <w:i/>
          <w:shd w:val="clear" w:color="auto" w:fill="FFFFFF"/>
        </w:rPr>
        <w:t>Remote Sensing of Environment</w:t>
      </w:r>
      <w:r w:rsidRPr="00DC6B77">
        <w:rPr>
          <w:rFonts w:ascii="Garamond" w:hAnsi="Garamond"/>
          <w:shd w:val="clear" w:color="auto" w:fill="FFFFFF"/>
        </w:rPr>
        <w:t xml:space="preserve">, </w:t>
      </w:r>
      <w:r w:rsidRPr="00DC6B77">
        <w:rPr>
          <w:rFonts w:ascii="Garamond" w:hAnsi="Garamond"/>
          <w:i/>
          <w:shd w:val="clear" w:color="auto" w:fill="FFFFFF"/>
        </w:rPr>
        <w:t>139</w:t>
      </w:r>
      <w:r w:rsidRPr="00DC6B77">
        <w:rPr>
          <w:rFonts w:ascii="Garamond" w:hAnsi="Garamond"/>
          <w:shd w:val="clear" w:color="auto" w:fill="FFFFFF"/>
        </w:rPr>
        <w:t>, 35-49.</w:t>
      </w:r>
    </w:p>
    <w:p w14:paraId="00BBF12F"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74253BB0" w14:textId="3901B20A" w:rsidR="00D030E7" w:rsidRPr="00D030E7" w:rsidRDefault="004F7961" w:rsidP="00D030E7">
      <w:pPr>
        <w:tabs>
          <w:tab w:val="left" w:pos="720"/>
        </w:tabs>
        <w:spacing w:after="0" w:line="240" w:lineRule="auto"/>
        <w:ind w:left="720" w:hanging="720"/>
        <w:rPr>
          <w:rFonts w:ascii="Times New Roman" w:eastAsia="Times New Roman" w:hAnsi="Times New Roman" w:cs="Times New Roman"/>
          <w:sz w:val="24"/>
          <w:szCs w:val="24"/>
        </w:rPr>
      </w:pPr>
      <w:r w:rsidRPr="00AA1C6B">
        <w:rPr>
          <w:rFonts w:ascii="Garamond" w:hAnsi="Garamond"/>
          <w:color w:val="000000"/>
        </w:rPr>
        <w:t xml:space="preserve">Vincent, C. H., Hanson, L. A., </w:t>
      </w:r>
      <w:r w:rsidR="00D0316F">
        <w:rPr>
          <w:rFonts w:ascii="Garamond" w:hAnsi="Garamond"/>
          <w:color w:val="000000"/>
        </w:rPr>
        <w:t>&amp;</w:t>
      </w:r>
      <w:r w:rsidRPr="00AA1C6B">
        <w:rPr>
          <w:rFonts w:ascii="Garamond" w:hAnsi="Garamond"/>
          <w:color w:val="000000"/>
        </w:rPr>
        <w:t xml:space="preserve"> Argueta, C. N. (2017). </w:t>
      </w:r>
      <w:r w:rsidRPr="00AA1C6B">
        <w:rPr>
          <w:rFonts w:ascii="Garamond" w:hAnsi="Garamond"/>
          <w:i/>
          <w:color w:val="000000"/>
        </w:rPr>
        <w:t xml:space="preserve">Federal Land Ownership: Overview and Data </w:t>
      </w:r>
      <w:r w:rsidRPr="00AA1C6B">
        <w:rPr>
          <w:rFonts w:ascii="Garamond" w:hAnsi="Garamond"/>
          <w:color w:val="000000"/>
        </w:rPr>
        <w:t xml:space="preserve">(CRS Report No. R42346). </w:t>
      </w:r>
      <w:r w:rsidRPr="00AA1C6B">
        <w:rPr>
          <w:rFonts w:ascii="Garamond" w:hAnsi="Garamond"/>
          <w:color w:val="000000"/>
          <w:shd w:val="clear" w:color="auto" w:fill="FFFFFF"/>
        </w:rPr>
        <w:t xml:space="preserve">Retrieved from Congressional Research Service website: </w:t>
      </w:r>
      <w:hyperlink r:id="rId32" w:history="1">
        <w:r w:rsidR="00D030E7" w:rsidRPr="00AC65E5">
          <w:rPr>
            <w:rFonts w:ascii="Garamond" w:eastAsia="Times New Roman" w:hAnsi="Garamond" w:cs="Times New Roman"/>
            <w:shd w:val="clear" w:color="auto" w:fill="FFFFFF"/>
          </w:rPr>
          <w:t>https://fas.org/sgp/crs/misc/R42346.pdf</w:t>
        </w:r>
      </w:hyperlink>
    </w:p>
    <w:p w14:paraId="45204A47" w14:textId="77777777" w:rsidR="0012258B" w:rsidRPr="00AA1C6B" w:rsidRDefault="0012258B" w:rsidP="00AA1C6B">
      <w:pPr>
        <w:tabs>
          <w:tab w:val="left" w:pos="720"/>
        </w:tabs>
        <w:spacing w:after="0" w:line="240" w:lineRule="auto"/>
        <w:ind w:left="720" w:hanging="720"/>
        <w:rPr>
          <w:rFonts w:ascii="Times New Roman" w:hAnsi="Times New Roman"/>
          <w:sz w:val="24"/>
        </w:rPr>
      </w:pPr>
    </w:p>
    <w:p w14:paraId="040E4262" w14:textId="32FEAC46" w:rsidR="00D030E7" w:rsidRDefault="00A11CF6" w:rsidP="00D030E7">
      <w:pPr>
        <w:tabs>
          <w:tab w:val="left" w:pos="720"/>
        </w:tabs>
        <w:spacing w:line="240" w:lineRule="auto"/>
        <w:ind w:left="720" w:hanging="720"/>
        <w:rPr>
          <w:rFonts w:ascii="Garamond" w:eastAsia="Times New Roman" w:hAnsi="Garamond" w:cs="Times New Roman"/>
        </w:rPr>
      </w:pPr>
      <w:r>
        <w:rPr>
          <w:rFonts w:ascii="Garamond" w:hAnsi="Garamond"/>
          <w:color w:val="000000"/>
        </w:rPr>
        <w:t xml:space="preserve">Xia, Y., Mitchell, K., Ek, M., </w:t>
      </w:r>
      <w:r w:rsidR="004F7961" w:rsidRPr="00AA1C6B">
        <w:rPr>
          <w:rFonts w:ascii="Garamond" w:hAnsi="Garamond"/>
          <w:color w:val="000000"/>
        </w:rPr>
        <w:t>Sheffield</w:t>
      </w:r>
      <w:r>
        <w:rPr>
          <w:rFonts w:ascii="Garamond" w:hAnsi="Garamond"/>
          <w:color w:val="000000"/>
        </w:rPr>
        <w:t xml:space="preserve">, J., Cosgrove, B., Wood, E., Luo, L.,… </w:t>
      </w:r>
      <w:r w:rsidR="004F7961" w:rsidRPr="00AA1C6B">
        <w:rPr>
          <w:rFonts w:ascii="Garamond" w:hAnsi="Garamond"/>
          <w:color w:val="000000"/>
        </w:rPr>
        <w:t>Mocko,</w:t>
      </w:r>
      <w:r>
        <w:rPr>
          <w:rFonts w:ascii="Garamond" w:hAnsi="Garamond"/>
          <w:color w:val="000000"/>
        </w:rPr>
        <w:t xml:space="preserve"> D. </w:t>
      </w:r>
      <w:r w:rsidR="004F7961" w:rsidRPr="00AA1C6B">
        <w:rPr>
          <w:rFonts w:ascii="Garamond" w:hAnsi="Garamond"/>
          <w:color w:val="000000"/>
        </w:rPr>
        <w:t xml:space="preserve">(2012), Continental-scale water and energy flux analysis and validation for the North American Land Data Assimilation System project phase 2 (NLDAS-2): 1. Intercomparison and application of model products, J. Geophys. Res., 117, D03109, [Dataset]. Accessed: [October, November 2018] </w:t>
      </w:r>
      <w:r w:rsidR="004F7961" w:rsidRPr="007E1296">
        <w:rPr>
          <w:rFonts w:ascii="Garamond" w:hAnsi="Garamond"/>
          <w:noProof/>
          <w:color w:val="000000"/>
        </w:rPr>
        <w:t>doi</w:t>
      </w:r>
      <w:r w:rsidR="004F7961" w:rsidRPr="00AA1C6B">
        <w:rPr>
          <w:rFonts w:ascii="Garamond" w:hAnsi="Garamond"/>
          <w:color w:val="000000"/>
        </w:rPr>
        <w:t>:</w:t>
      </w:r>
      <w:hyperlink r:id="rId33" w:history="1">
        <w:r w:rsidR="00D030E7" w:rsidRPr="00AC65E5">
          <w:rPr>
            <w:rFonts w:ascii="Garamond" w:eastAsia="Times New Roman" w:hAnsi="Garamond" w:cs="Times New Roman"/>
          </w:rPr>
          <w:t>10.1029/2011JD016048</w:t>
        </w:r>
      </w:hyperlink>
      <w:r w:rsidR="00D030E7" w:rsidRPr="00AC65E5">
        <w:rPr>
          <w:rFonts w:ascii="Garamond" w:eastAsia="Times New Roman" w:hAnsi="Garamond" w:cs="Times New Roman"/>
        </w:rPr>
        <w:t>.</w:t>
      </w:r>
    </w:p>
    <w:p w14:paraId="6F23D19E" w14:textId="75C977F0" w:rsidR="00B03371" w:rsidRDefault="00B03371" w:rsidP="00D030E7">
      <w:pPr>
        <w:tabs>
          <w:tab w:val="left" w:pos="720"/>
        </w:tabs>
        <w:spacing w:line="240" w:lineRule="auto"/>
        <w:ind w:left="720" w:hanging="720"/>
        <w:rPr>
          <w:rFonts w:ascii="Garamond" w:eastAsia="Times New Roman" w:hAnsi="Garamond" w:cs="Times New Roman"/>
        </w:rPr>
      </w:pPr>
    </w:p>
    <w:p w14:paraId="4D0B3696" w14:textId="27DAB503" w:rsidR="00B03371" w:rsidRDefault="00B03371" w:rsidP="00D030E7">
      <w:pPr>
        <w:tabs>
          <w:tab w:val="left" w:pos="720"/>
        </w:tabs>
        <w:spacing w:line="240" w:lineRule="auto"/>
        <w:ind w:left="720" w:hanging="720"/>
        <w:rPr>
          <w:rFonts w:ascii="Garamond" w:eastAsia="Times New Roman" w:hAnsi="Garamond" w:cs="Times New Roman"/>
        </w:rPr>
      </w:pPr>
    </w:p>
    <w:p w14:paraId="0C5EFA87" w14:textId="77777777" w:rsidR="00B03371" w:rsidRPr="00D030E7" w:rsidRDefault="00B03371" w:rsidP="00D030E7">
      <w:pPr>
        <w:tabs>
          <w:tab w:val="left" w:pos="720"/>
        </w:tabs>
        <w:spacing w:line="240" w:lineRule="auto"/>
        <w:ind w:left="720" w:hanging="720"/>
        <w:rPr>
          <w:rFonts w:ascii="Times New Roman" w:eastAsia="Times New Roman" w:hAnsi="Times New Roman" w:cs="Times New Roman"/>
          <w:sz w:val="24"/>
          <w:szCs w:val="24"/>
        </w:rPr>
      </w:pPr>
    </w:p>
    <w:p w14:paraId="70756F80" w14:textId="0FA2C3F0" w:rsidR="0012258B" w:rsidRDefault="004F7961" w:rsidP="00103AC2">
      <w:pPr>
        <w:pStyle w:val="Heading1"/>
      </w:pPr>
      <w:r>
        <w:rPr>
          <w:rFonts w:ascii="Garamond" w:eastAsia="Garamond" w:hAnsi="Garamond" w:cs="Garamond"/>
        </w:rPr>
        <w:lastRenderedPageBreak/>
        <w:t>9. Appendix A.</w:t>
      </w:r>
      <w:bookmarkStart w:id="8" w:name="_gx0da0ucsvbe" w:colFirst="0" w:colLast="0"/>
      <w:bookmarkEnd w:id="8"/>
    </w:p>
    <w:p w14:paraId="088F5949" w14:textId="6377CFE4" w:rsidR="0012258B" w:rsidRDefault="004F7961">
      <w:pPr>
        <w:spacing w:after="0" w:line="240" w:lineRule="auto"/>
        <w:rPr>
          <w:rFonts w:ascii="Garamond" w:eastAsia="Garamond" w:hAnsi="Garamond" w:cs="Garamond"/>
        </w:rPr>
      </w:pPr>
      <w:bookmarkStart w:id="9" w:name="_knb7k8rs1wbu" w:colFirst="0" w:colLast="0"/>
      <w:bookmarkEnd w:id="9"/>
      <w:r>
        <w:rPr>
          <w:rFonts w:ascii="Garamond" w:eastAsia="Garamond" w:hAnsi="Garamond" w:cs="Garamond"/>
          <w:i/>
        </w:rPr>
        <w:t>Table 1.</w:t>
      </w:r>
      <w:r>
        <w:rPr>
          <w:rFonts w:ascii="Garamond" w:eastAsia="Garamond" w:hAnsi="Garamond" w:cs="Garamond"/>
        </w:rPr>
        <w:t xml:space="preserve"> Primary Datasets</w:t>
      </w:r>
    </w:p>
    <w:tbl>
      <w:tblPr>
        <w:tblW w:w="936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16"/>
        <w:gridCol w:w="1384"/>
        <w:gridCol w:w="1395"/>
        <w:gridCol w:w="2926"/>
        <w:gridCol w:w="1442"/>
      </w:tblGrid>
      <w:tr w:rsidR="00410AF5" w:rsidRPr="00224343" w14:paraId="755615C4" w14:textId="77777777" w:rsidTr="00F9370A">
        <w:trPr>
          <w:trHeight w:val="80"/>
        </w:trPr>
        <w:tc>
          <w:tcPr>
            <w:tcW w:w="2216" w:type="dxa"/>
            <w:shd w:val="clear" w:color="auto" w:fill="auto"/>
            <w:tcMar>
              <w:top w:w="100" w:type="dxa"/>
              <w:left w:w="100" w:type="dxa"/>
              <w:bottom w:w="100" w:type="dxa"/>
              <w:right w:w="100" w:type="dxa"/>
            </w:tcMar>
          </w:tcPr>
          <w:p w14:paraId="3B89B2F2" w14:textId="77777777" w:rsidR="00410AF5" w:rsidRPr="00103AC2" w:rsidRDefault="00410AF5" w:rsidP="00F9370A">
            <w:pPr>
              <w:widowControl w:val="0"/>
              <w:spacing w:after="0" w:line="240" w:lineRule="auto"/>
              <w:rPr>
                <w:rFonts w:ascii="Garamond" w:eastAsia="Garamond" w:hAnsi="Garamond" w:cs="Garamond"/>
                <w:b/>
              </w:rPr>
            </w:pPr>
            <w:r w:rsidRPr="00103AC2">
              <w:rPr>
                <w:rFonts w:ascii="Garamond" w:eastAsia="Garamond" w:hAnsi="Garamond" w:cs="Garamond"/>
                <w:b/>
              </w:rPr>
              <w:t>ET Model</w:t>
            </w:r>
          </w:p>
        </w:tc>
        <w:tc>
          <w:tcPr>
            <w:tcW w:w="1384" w:type="dxa"/>
            <w:shd w:val="clear" w:color="auto" w:fill="auto"/>
            <w:tcMar>
              <w:top w:w="100" w:type="dxa"/>
              <w:left w:w="100" w:type="dxa"/>
              <w:bottom w:w="100" w:type="dxa"/>
              <w:right w:w="100" w:type="dxa"/>
            </w:tcMar>
          </w:tcPr>
          <w:p w14:paraId="2CA2B360" w14:textId="77777777" w:rsidR="00410AF5" w:rsidRPr="00103AC2" w:rsidRDefault="00410AF5" w:rsidP="00F9370A">
            <w:pPr>
              <w:widowControl w:val="0"/>
              <w:spacing w:after="0" w:line="240" w:lineRule="auto"/>
              <w:rPr>
                <w:rFonts w:ascii="Garamond" w:eastAsia="Garamond" w:hAnsi="Garamond" w:cs="Garamond"/>
                <w:b/>
              </w:rPr>
            </w:pPr>
            <w:r w:rsidRPr="00103AC2">
              <w:rPr>
                <w:rFonts w:ascii="Garamond" w:eastAsia="Garamond" w:hAnsi="Garamond" w:cs="Garamond"/>
                <w:b/>
              </w:rPr>
              <w:t>Model Type</w:t>
            </w:r>
          </w:p>
        </w:tc>
        <w:tc>
          <w:tcPr>
            <w:tcW w:w="1395" w:type="dxa"/>
            <w:shd w:val="clear" w:color="auto" w:fill="auto"/>
            <w:tcMar>
              <w:top w:w="100" w:type="dxa"/>
              <w:left w:w="100" w:type="dxa"/>
              <w:bottom w:w="100" w:type="dxa"/>
              <w:right w:w="100" w:type="dxa"/>
            </w:tcMar>
          </w:tcPr>
          <w:p w14:paraId="78C82BF5" w14:textId="77777777" w:rsidR="00410AF5" w:rsidRPr="00103AC2" w:rsidRDefault="00410AF5" w:rsidP="00F9370A">
            <w:pPr>
              <w:widowControl w:val="0"/>
              <w:spacing w:after="0" w:line="240" w:lineRule="auto"/>
              <w:rPr>
                <w:rFonts w:ascii="Garamond" w:eastAsia="Garamond" w:hAnsi="Garamond" w:cs="Garamond"/>
                <w:b/>
              </w:rPr>
            </w:pPr>
            <w:r w:rsidRPr="00103AC2">
              <w:rPr>
                <w:rFonts w:ascii="Garamond" w:eastAsia="Garamond" w:hAnsi="Garamond" w:cs="Garamond"/>
                <w:b/>
              </w:rPr>
              <w:t>Date</w:t>
            </w:r>
          </w:p>
        </w:tc>
        <w:tc>
          <w:tcPr>
            <w:tcW w:w="2926" w:type="dxa"/>
            <w:shd w:val="clear" w:color="auto" w:fill="auto"/>
            <w:tcMar>
              <w:top w:w="100" w:type="dxa"/>
              <w:left w:w="100" w:type="dxa"/>
              <w:bottom w:w="100" w:type="dxa"/>
              <w:right w:w="100" w:type="dxa"/>
            </w:tcMar>
          </w:tcPr>
          <w:p w14:paraId="324B5E26" w14:textId="77777777" w:rsidR="00410AF5" w:rsidRPr="00103AC2" w:rsidRDefault="00410AF5" w:rsidP="00F9370A">
            <w:pPr>
              <w:widowControl w:val="0"/>
              <w:spacing w:after="0" w:line="240" w:lineRule="auto"/>
              <w:rPr>
                <w:rFonts w:ascii="Garamond" w:eastAsia="Garamond" w:hAnsi="Garamond" w:cs="Garamond"/>
                <w:b/>
              </w:rPr>
            </w:pPr>
            <w:r w:rsidRPr="00103AC2">
              <w:rPr>
                <w:rFonts w:ascii="Garamond" w:eastAsia="Garamond" w:hAnsi="Garamond" w:cs="Garamond"/>
                <w:b/>
              </w:rPr>
              <w:t>Source</w:t>
            </w:r>
          </w:p>
        </w:tc>
        <w:tc>
          <w:tcPr>
            <w:tcW w:w="1442" w:type="dxa"/>
            <w:shd w:val="clear" w:color="auto" w:fill="auto"/>
            <w:tcMar>
              <w:top w:w="100" w:type="dxa"/>
              <w:left w:w="100" w:type="dxa"/>
              <w:bottom w:w="100" w:type="dxa"/>
              <w:right w:w="100" w:type="dxa"/>
            </w:tcMar>
          </w:tcPr>
          <w:p w14:paraId="1067B34C" w14:textId="77777777" w:rsidR="00410AF5" w:rsidRPr="00103AC2" w:rsidRDefault="00410AF5" w:rsidP="00F9370A">
            <w:pPr>
              <w:widowControl w:val="0"/>
              <w:spacing w:after="0" w:line="240" w:lineRule="auto"/>
              <w:rPr>
                <w:rFonts w:ascii="Garamond" w:eastAsia="Garamond" w:hAnsi="Garamond" w:cs="Garamond"/>
                <w:b/>
              </w:rPr>
            </w:pPr>
            <w:r w:rsidRPr="00103AC2">
              <w:rPr>
                <w:rFonts w:ascii="Garamond" w:eastAsia="Garamond" w:hAnsi="Garamond" w:cs="Garamond"/>
                <w:b/>
              </w:rPr>
              <w:t>Satellite</w:t>
            </w:r>
          </w:p>
        </w:tc>
      </w:tr>
      <w:tr w:rsidR="00410AF5" w:rsidRPr="00224343" w14:paraId="2A2E5B21" w14:textId="77777777" w:rsidTr="00103AC2">
        <w:trPr>
          <w:trHeight w:val="681"/>
        </w:trPr>
        <w:tc>
          <w:tcPr>
            <w:tcW w:w="2216" w:type="dxa"/>
            <w:shd w:val="clear" w:color="auto" w:fill="auto"/>
            <w:tcMar>
              <w:top w:w="100" w:type="dxa"/>
              <w:left w:w="100" w:type="dxa"/>
              <w:bottom w:w="100" w:type="dxa"/>
              <w:right w:w="100" w:type="dxa"/>
            </w:tcMar>
          </w:tcPr>
          <w:p w14:paraId="028DF206"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Operational Simplified Surface Energy Balance (SSEBop)</w:t>
            </w:r>
          </w:p>
        </w:tc>
        <w:tc>
          <w:tcPr>
            <w:tcW w:w="1384" w:type="dxa"/>
            <w:shd w:val="clear" w:color="auto" w:fill="auto"/>
            <w:tcMar>
              <w:top w:w="100" w:type="dxa"/>
              <w:left w:w="100" w:type="dxa"/>
              <w:bottom w:w="100" w:type="dxa"/>
              <w:right w:w="100" w:type="dxa"/>
            </w:tcMar>
          </w:tcPr>
          <w:p w14:paraId="1A8A805C"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Surface Energy Balance</w:t>
            </w:r>
          </w:p>
        </w:tc>
        <w:tc>
          <w:tcPr>
            <w:tcW w:w="1395" w:type="dxa"/>
            <w:shd w:val="clear" w:color="auto" w:fill="auto"/>
            <w:tcMar>
              <w:top w:w="100" w:type="dxa"/>
              <w:left w:w="100" w:type="dxa"/>
              <w:bottom w:w="100" w:type="dxa"/>
              <w:right w:w="100" w:type="dxa"/>
            </w:tcMar>
          </w:tcPr>
          <w:p w14:paraId="4E6B1B65"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2000 to 2015</w:t>
            </w:r>
          </w:p>
        </w:tc>
        <w:tc>
          <w:tcPr>
            <w:tcW w:w="2926" w:type="dxa"/>
            <w:shd w:val="clear" w:color="auto" w:fill="auto"/>
            <w:tcMar>
              <w:top w:w="100" w:type="dxa"/>
              <w:left w:w="100" w:type="dxa"/>
              <w:bottom w:w="100" w:type="dxa"/>
              <w:right w:w="100" w:type="dxa"/>
            </w:tcMar>
          </w:tcPr>
          <w:p w14:paraId="7E06D797" w14:textId="77777777" w:rsidR="00410AF5" w:rsidRPr="00224343" w:rsidRDefault="00F9370A" w:rsidP="00F9370A">
            <w:pPr>
              <w:widowControl w:val="0"/>
              <w:spacing w:after="0" w:line="240" w:lineRule="auto"/>
              <w:rPr>
                <w:rFonts w:ascii="Garamond" w:eastAsia="Garamond" w:hAnsi="Garamond" w:cs="Garamond"/>
              </w:rPr>
            </w:pPr>
            <w:hyperlink r:id="rId34">
              <w:r w:rsidR="00410AF5" w:rsidRPr="00224343">
                <w:rPr>
                  <w:rFonts w:ascii="Garamond" w:eastAsia="Garamond" w:hAnsi="Garamond" w:cs="Garamond"/>
                </w:rPr>
                <w:t>https://cida.usgs.gov/gdp/</w:t>
              </w:r>
            </w:hyperlink>
          </w:p>
        </w:tc>
        <w:tc>
          <w:tcPr>
            <w:tcW w:w="1442" w:type="dxa"/>
            <w:shd w:val="clear" w:color="auto" w:fill="auto"/>
            <w:tcMar>
              <w:top w:w="100" w:type="dxa"/>
              <w:left w:w="100" w:type="dxa"/>
              <w:bottom w:w="100" w:type="dxa"/>
              <w:right w:w="100" w:type="dxa"/>
            </w:tcMar>
          </w:tcPr>
          <w:p w14:paraId="6789BD41"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PRISM, TERRA MODIS, SRTM</w:t>
            </w:r>
          </w:p>
        </w:tc>
      </w:tr>
      <w:tr w:rsidR="00410AF5" w:rsidRPr="00224343" w14:paraId="54530DAE" w14:textId="77777777" w:rsidTr="00103AC2">
        <w:trPr>
          <w:trHeight w:val="1104"/>
        </w:trPr>
        <w:tc>
          <w:tcPr>
            <w:tcW w:w="2216" w:type="dxa"/>
            <w:shd w:val="clear" w:color="auto" w:fill="auto"/>
            <w:tcMar>
              <w:top w:w="100" w:type="dxa"/>
              <w:left w:w="100" w:type="dxa"/>
              <w:bottom w:w="100" w:type="dxa"/>
              <w:right w:w="100" w:type="dxa"/>
            </w:tcMar>
          </w:tcPr>
          <w:p w14:paraId="4F6AC5C6"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Mapping Evapotranspiration at High Resolution with Internalized Calibration (METRIC)</w:t>
            </w:r>
          </w:p>
        </w:tc>
        <w:tc>
          <w:tcPr>
            <w:tcW w:w="1384" w:type="dxa"/>
            <w:shd w:val="clear" w:color="auto" w:fill="auto"/>
            <w:tcMar>
              <w:top w:w="100" w:type="dxa"/>
              <w:left w:w="100" w:type="dxa"/>
              <w:bottom w:w="100" w:type="dxa"/>
              <w:right w:w="100" w:type="dxa"/>
            </w:tcMar>
          </w:tcPr>
          <w:p w14:paraId="4E320D07"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Surface Energy Balance</w:t>
            </w:r>
          </w:p>
        </w:tc>
        <w:tc>
          <w:tcPr>
            <w:tcW w:w="1395" w:type="dxa"/>
            <w:shd w:val="clear" w:color="auto" w:fill="auto"/>
            <w:tcMar>
              <w:top w:w="100" w:type="dxa"/>
              <w:left w:w="100" w:type="dxa"/>
              <w:bottom w:w="100" w:type="dxa"/>
              <w:right w:w="100" w:type="dxa"/>
            </w:tcMar>
          </w:tcPr>
          <w:p w14:paraId="712AA60C" w14:textId="77777777" w:rsidR="00410AF5" w:rsidRPr="00224343" w:rsidRDefault="00410AF5" w:rsidP="00F9370A">
            <w:pPr>
              <w:widowControl w:val="0"/>
              <w:spacing w:after="0" w:line="240" w:lineRule="auto"/>
              <w:rPr>
                <w:rFonts w:ascii="Garamond" w:eastAsia="Garamond" w:hAnsi="Garamond" w:cs="Garamond"/>
                <w:highlight w:val="white"/>
              </w:rPr>
            </w:pPr>
            <w:r w:rsidRPr="00224343">
              <w:rPr>
                <w:rFonts w:ascii="Garamond" w:eastAsia="Garamond" w:hAnsi="Garamond" w:cs="Garamond"/>
                <w:highlight w:val="white"/>
              </w:rPr>
              <w:t>2000 to 2014</w:t>
            </w:r>
          </w:p>
          <w:p w14:paraId="0C3118C4" w14:textId="77777777" w:rsidR="00410AF5" w:rsidRPr="00224343" w:rsidRDefault="00410AF5" w:rsidP="00F9370A">
            <w:pPr>
              <w:widowControl w:val="0"/>
              <w:spacing w:after="0" w:line="240" w:lineRule="auto"/>
              <w:rPr>
                <w:rFonts w:ascii="Garamond" w:eastAsia="Garamond" w:hAnsi="Garamond" w:cs="Garamond"/>
                <w:highlight w:val="white"/>
              </w:rPr>
            </w:pPr>
          </w:p>
        </w:tc>
        <w:tc>
          <w:tcPr>
            <w:tcW w:w="2926" w:type="dxa"/>
            <w:shd w:val="clear" w:color="auto" w:fill="auto"/>
            <w:tcMar>
              <w:top w:w="100" w:type="dxa"/>
              <w:left w:w="100" w:type="dxa"/>
              <w:bottom w:w="100" w:type="dxa"/>
              <w:right w:w="100" w:type="dxa"/>
            </w:tcMar>
          </w:tcPr>
          <w:p w14:paraId="528FDB2A" w14:textId="77777777" w:rsidR="00410AF5" w:rsidRPr="00224343" w:rsidRDefault="00F9370A" w:rsidP="00F9370A">
            <w:pPr>
              <w:widowControl w:val="0"/>
              <w:spacing w:after="0" w:line="240" w:lineRule="auto"/>
              <w:rPr>
                <w:rFonts w:ascii="Garamond" w:eastAsia="Garamond" w:hAnsi="Garamond" w:cs="Garamond"/>
                <w:highlight w:val="white"/>
              </w:rPr>
            </w:pPr>
            <w:hyperlink r:id="rId35">
              <w:r w:rsidR="00410AF5" w:rsidRPr="00224343">
                <w:rPr>
                  <w:rFonts w:ascii="Garamond" w:eastAsia="Garamond" w:hAnsi="Garamond" w:cs="Garamond"/>
                  <w:highlight w:val="white"/>
                </w:rPr>
                <w:t>https://eeflux-level1.appspot.com/</w:t>
              </w:r>
            </w:hyperlink>
          </w:p>
          <w:p w14:paraId="73D7AA6E" w14:textId="77777777" w:rsidR="00410AF5" w:rsidRPr="00224343" w:rsidRDefault="00410AF5" w:rsidP="00F9370A">
            <w:pPr>
              <w:widowControl w:val="0"/>
              <w:spacing w:after="0" w:line="240" w:lineRule="auto"/>
              <w:rPr>
                <w:rFonts w:ascii="Garamond" w:eastAsia="Garamond" w:hAnsi="Garamond" w:cs="Garamond"/>
                <w:highlight w:val="white"/>
              </w:rPr>
            </w:pPr>
          </w:p>
        </w:tc>
        <w:tc>
          <w:tcPr>
            <w:tcW w:w="1442" w:type="dxa"/>
            <w:shd w:val="clear" w:color="auto" w:fill="auto"/>
            <w:tcMar>
              <w:top w:w="100" w:type="dxa"/>
              <w:left w:w="100" w:type="dxa"/>
              <w:bottom w:w="100" w:type="dxa"/>
              <w:right w:w="100" w:type="dxa"/>
            </w:tcMar>
          </w:tcPr>
          <w:p w14:paraId="33B22570"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LANDSAT</w:t>
            </w:r>
          </w:p>
        </w:tc>
      </w:tr>
      <w:tr w:rsidR="00410AF5" w:rsidRPr="00224343" w14:paraId="4B718829" w14:textId="77777777" w:rsidTr="00103AC2">
        <w:trPr>
          <w:trHeight w:val="1347"/>
        </w:trPr>
        <w:tc>
          <w:tcPr>
            <w:tcW w:w="2216" w:type="dxa"/>
            <w:shd w:val="clear" w:color="auto" w:fill="auto"/>
            <w:tcMar>
              <w:top w:w="100" w:type="dxa"/>
              <w:left w:w="100" w:type="dxa"/>
              <w:bottom w:w="100" w:type="dxa"/>
              <w:right w:w="100" w:type="dxa"/>
            </w:tcMar>
          </w:tcPr>
          <w:p w14:paraId="1140BDCE"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North American Land Data Assimilation System (NLDAS-2) Noah</w:t>
            </w:r>
          </w:p>
        </w:tc>
        <w:tc>
          <w:tcPr>
            <w:tcW w:w="1384" w:type="dxa"/>
            <w:shd w:val="clear" w:color="auto" w:fill="auto"/>
            <w:tcMar>
              <w:top w:w="100" w:type="dxa"/>
              <w:left w:w="100" w:type="dxa"/>
              <w:bottom w:w="100" w:type="dxa"/>
              <w:right w:w="100" w:type="dxa"/>
            </w:tcMar>
          </w:tcPr>
          <w:p w14:paraId="7BBE4965"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Land Surface Model</w:t>
            </w:r>
          </w:p>
        </w:tc>
        <w:tc>
          <w:tcPr>
            <w:tcW w:w="1395" w:type="dxa"/>
            <w:shd w:val="clear" w:color="auto" w:fill="auto"/>
            <w:tcMar>
              <w:top w:w="100" w:type="dxa"/>
              <w:left w:w="100" w:type="dxa"/>
              <w:bottom w:w="100" w:type="dxa"/>
              <w:right w:w="100" w:type="dxa"/>
            </w:tcMar>
          </w:tcPr>
          <w:p w14:paraId="4E12A56C"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2014 to 2016</w:t>
            </w:r>
          </w:p>
        </w:tc>
        <w:tc>
          <w:tcPr>
            <w:tcW w:w="2926" w:type="dxa"/>
            <w:shd w:val="clear" w:color="auto" w:fill="auto"/>
            <w:tcMar>
              <w:top w:w="100" w:type="dxa"/>
              <w:left w:w="100" w:type="dxa"/>
              <w:bottom w:w="100" w:type="dxa"/>
              <w:right w:w="100" w:type="dxa"/>
            </w:tcMar>
          </w:tcPr>
          <w:p w14:paraId="3C60F248" w14:textId="77777777" w:rsidR="00410AF5" w:rsidRPr="00224343" w:rsidRDefault="00F9370A" w:rsidP="00F9370A">
            <w:pPr>
              <w:widowControl w:val="0"/>
              <w:spacing w:after="0" w:line="240" w:lineRule="auto"/>
              <w:rPr>
                <w:rFonts w:ascii="Garamond" w:eastAsia="Garamond" w:hAnsi="Garamond" w:cs="Garamond"/>
              </w:rPr>
            </w:pPr>
            <w:hyperlink r:id="rId36">
              <w:r w:rsidR="00410AF5" w:rsidRPr="00224343">
                <w:rPr>
                  <w:rFonts w:ascii="Garamond" w:eastAsia="Garamond" w:hAnsi="Garamond" w:cs="Garamond"/>
                </w:rPr>
                <w:t>https://giovanni.gsfc.nasa.gov/giovanni/</w:t>
              </w:r>
            </w:hyperlink>
          </w:p>
        </w:tc>
        <w:tc>
          <w:tcPr>
            <w:tcW w:w="1442" w:type="dxa"/>
            <w:shd w:val="clear" w:color="auto" w:fill="auto"/>
            <w:tcMar>
              <w:top w:w="100" w:type="dxa"/>
              <w:left w:w="100" w:type="dxa"/>
              <w:bottom w:w="100" w:type="dxa"/>
              <w:right w:w="100" w:type="dxa"/>
            </w:tcMar>
          </w:tcPr>
          <w:p w14:paraId="6E3B8A06"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AQUA AMSR-E,</w:t>
            </w:r>
          </w:p>
          <w:p w14:paraId="7D2AE829"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TRMM TMI,</w:t>
            </w:r>
          </w:p>
          <w:p w14:paraId="721960F5"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DMSP,</w:t>
            </w:r>
          </w:p>
          <w:p w14:paraId="52A97EC7"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NOAA-18, GOES</w:t>
            </w:r>
          </w:p>
        </w:tc>
      </w:tr>
      <w:tr w:rsidR="00410AF5" w:rsidRPr="00224343" w14:paraId="5F322484" w14:textId="77777777" w:rsidTr="00F9370A">
        <w:tc>
          <w:tcPr>
            <w:tcW w:w="2216" w:type="dxa"/>
            <w:shd w:val="clear" w:color="auto" w:fill="auto"/>
            <w:tcMar>
              <w:top w:w="100" w:type="dxa"/>
              <w:left w:w="100" w:type="dxa"/>
              <w:bottom w:w="100" w:type="dxa"/>
              <w:right w:w="100" w:type="dxa"/>
            </w:tcMar>
          </w:tcPr>
          <w:p w14:paraId="5D816E00"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Penman-Montieth MOD 16</w:t>
            </w:r>
          </w:p>
        </w:tc>
        <w:tc>
          <w:tcPr>
            <w:tcW w:w="1384" w:type="dxa"/>
            <w:shd w:val="clear" w:color="auto" w:fill="auto"/>
            <w:tcMar>
              <w:top w:w="100" w:type="dxa"/>
              <w:left w:w="100" w:type="dxa"/>
              <w:bottom w:w="100" w:type="dxa"/>
              <w:right w:w="100" w:type="dxa"/>
            </w:tcMar>
          </w:tcPr>
          <w:p w14:paraId="4965DF6D"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Penman-Montieth</w:t>
            </w:r>
          </w:p>
        </w:tc>
        <w:tc>
          <w:tcPr>
            <w:tcW w:w="1395" w:type="dxa"/>
            <w:shd w:val="clear" w:color="auto" w:fill="auto"/>
            <w:tcMar>
              <w:top w:w="100" w:type="dxa"/>
              <w:left w:w="100" w:type="dxa"/>
              <w:bottom w:w="100" w:type="dxa"/>
              <w:right w:w="100" w:type="dxa"/>
            </w:tcMar>
          </w:tcPr>
          <w:p w14:paraId="643921E0"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2001-2016</w:t>
            </w:r>
          </w:p>
        </w:tc>
        <w:tc>
          <w:tcPr>
            <w:tcW w:w="2926" w:type="dxa"/>
            <w:shd w:val="clear" w:color="auto" w:fill="auto"/>
            <w:tcMar>
              <w:top w:w="100" w:type="dxa"/>
              <w:left w:w="100" w:type="dxa"/>
              <w:bottom w:w="100" w:type="dxa"/>
              <w:right w:w="100" w:type="dxa"/>
            </w:tcMar>
          </w:tcPr>
          <w:p w14:paraId="7ED580F0" w14:textId="77777777" w:rsidR="00410AF5" w:rsidRPr="00224343" w:rsidRDefault="00F9370A" w:rsidP="00F9370A">
            <w:pPr>
              <w:widowControl w:val="0"/>
              <w:spacing w:after="0" w:line="240" w:lineRule="auto"/>
              <w:rPr>
                <w:rFonts w:ascii="Garamond" w:eastAsia="Garamond" w:hAnsi="Garamond" w:cs="Garamond"/>
              </w:rPr>
            </w:pPr>
            <w:hyperlink r:id="rId37">
              <w:r w:rsidR="00410AF5" w:rsidRPr="00224343">
                <w:rPr>
                  <w:rFonts w:ascii="Garamond" w:eastAsia="Garamond" w:hAnsi="Garamond" w:cs="Garamond"/>
                </w:rPr>
                <w:t>https://lpdaac.usgs.gov/node/1191</w:t>
              </w:r>
            </w:hyperlink>
          </w:p>
          <w:p w14:paraId="5FC06CF9" w14:textId="77777777" w:rsidR="00410AF5" w:rsidRPr="00224343" w:rsidRDefault="00410AF5" w:rsidP="00F9370A">
            <w:pPr>
              <w:widowControl w:val="0"/>
              <w:spacing w:after="0" w:line="240" w:lineRule="auto"/>
              <w:rPr>
                <w:rFonts w:ascii="Garamond" w:eastAsia="Garamond" w:hAnsi="Garamond" w:cs="Garamond"/>
              </w:rPr>
            </w:pPr>
          </w:p>
        </w:tc>
        <w:tc>
          <w:tcPr>
            <w:tcW w:w="1442" w:type="dxa"/>
            <w:shd w:val="clear" w:color="auto" w:fill="auto"/>
            <w:tcMar>
              <w:top w:w="100" w:type="dxa"/>
              <w:left w:w="100" w:type="dxa"/>
              <w:bottom w:w="100" w:type="dxa"/>
              <w:right w:w="100" w:type="dxa"/>
            </w:tcMar>
          </w:tcPr>
          <w:p w14:paraId="74217AF9" w14:textId="77777777" w:rsidR="00410AF5" w:rsidRPr="00224343" w:rsidRDefault="00410AF5" w:rsidP="00F9370A">
            <w:pPr>
              <w:widowControl w:val="0"/>
              <w:spacing w:after="0" w:line="240" w:lineRule="auto"/>
              <w:rPr>
                <w:rFonts w:ascii="Garamond" w:eastAsia="Garamond" w:hAnsi="Garamond" w:cs="Garamond"/>
              </w:rPr>
            </w:pPr>
            <w:r w:rsidRPr="00224343">
              <w:rPr>
                <w:rFonts w:ascii="Garamond" w:eastAsia="Garamond" w:hAnsi="Garamond" w:cs="Garamond"/>
              </w:rPr>
              <w:t>TERRA MODIS</w:t>
            </w:r>
          </w:p>
          <w:p w14:paraId="43779F96" w14:textId="77777777" w:rsidR="00410AF5" w:rsidRPr="00224343" w:rsidRDefault="00410AF5" w:rsidP="00F9370A">
            <w:pPr>
              <w:widowControl w:val="0"/>
              <w:spacing w:after="0" w:line="240" w:lineRule="auto"/>
              <w:rPr>
                <w:rFonts w:ascii="Garamond" w:eastAsia="Garamond" w:hAnsi="Garamond" w:cs="Garamond"/>
              </w:rPr>
            </w:pPr>
          </w:p>
        </w:tc>
      </w:tr>
    </w:tbl>
    <w:p w14:paraId="7BAD0634" w14:textId="1BFBBE03" w:rsidR="00410AF5" w:rsidRPr="00103AC2" w:rsidRDefault="00410AF5" w:rsidP="00AA2D1C">
      <w:pPr>
        <w:spacing w:after="0" w:line="240" w:lineRule="auto"/>
        <w:rPr>
          <w:rFonts w:ascii="Garamond" w:eastAsia="Times New Roman" w:hAnsi="Garamond" w:cs="Times New Roman"/>
        </w:rPr>
      </w:pPr>
    </w:p>
    <w:p w14:paraId="3FE27385" w14:textId="5E4F1A40" w:rsidR="00AA2D1C" w:rsidRPr="00103AC2" w:rsidRDefault="00AA2D1C" w:rsidP="00AA2D1C">
      <w:pPr>
        <w:spacing w:after="0" w:line="240" w:lineRule="auto"/>
        <w:rPr>
          <w:rFonts w:ascii="Garamond" w:eastAsia="Times New Roman" w:hAnsi="Garamond" w:cs="Times New Roman"/>
        </w:rPr>
      </w:pPr>
      <w:r w:rsidRPr="00224343">
        <w:rPr>
          <w:rFonts w:ascii="Garamond" w:eastAsia="Garamond" w:hAnsi="Garamond" w:cs="Garamond"/>
          <w:i/>
        </w:rPr>
        <w:t xml:space="preserve">Table 2. </w:t>
      </w:r>
      <w:r w:rsidRPr="00224343">
        <w:rPr>
          <w:rFonts w:ascii="Garamond" w:eastAsia="Times New Roman" w:hAnsi="Garamond" w:cs="Times New Roman"/>
          <w:iCs/>
          <w:color w:val="000000"/>
        </w:rPr>
        <w:t>Ancillary Datasets</w:t>
      </w:r>
    </w:p>
    <w:tbl>
      <w:tblPr>
        <w:tblW w:w="9270" w:type="dxa"/>
        <w:tblInd w:w="175" w:type="dxa"/>
        <w:tblLayout w:type="fixed"/>
        <w:tblCellMar>
          <w:top w:w="15" w:type="dxa"/>
          <w:left w:w="15" w:type="dxa"/>
          <w:bottom w:w="15" w:type="dxa"/>
          <w:right w:w="15" w:type="dxa"/>
        </w:tblCellMar>
        <w:tblLook w:val="04A0" w:firstRow="1" w:lastRow="0" w:firstColumn="1" w:lastColumn="0" w:noHBand="0" w:noVBand="1"/>
      </w:tblPr>
      <w:tblGrid>
        <w:gridCol w:w="1710"/>
        <w:gridCol w:w="720"/>
        <w:gridCol w:w="1350"/>
        <w:gridCol w:w="1710"/>
        <w:gridCol w:w="810"/>
        <w:gridCol w:w="2970"/>
      </w:tblGrid>
      <w:tr w:rsidR="00410AF5" w:rsidRPr="00224343" w14:paraId="02A718A1" w14:textId="77777777" w:rsidTr="00103AC2">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C8AC8"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b/>
                <w:bCs/>
                <w:color w:val="000000"/>
              </w:rPr>
              <w:t>Dataset</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4EE0D"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b/>
                <w:bCs/>
                <w:color w:val="000000"/>
              </w:rPr>
              <w:t>Date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D48EE"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b/>
                <w:bCs/>
                <w:color w:val="000000"/>
              </w:rPr>
              <w:t>Use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3B4FE"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b/>
                <w:bCs/>
                <w:color w:val="000000"/>
              </w:rPr>
              <w:t>Acquired From</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348A5"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b/>
                <w:bCs/>
                <w:color w:val="000000"/>
              </w:rPr>
              <w:t>Level</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6A9A7"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b/>
                <w:bCs/>
                <w:color w:val="000000"/>
              </w:rPr>
              <w:t>DOI</w:t>
            </w:r>
          </w:p>
        </w:tc>
      </w:tr>
      <w:tr w:rsidR="00835D5E" w:rsidRPr="00224343" w14:paraId="17662F4A" w14:textId="77777777" w:rsidTr="00103AC2">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2D4B3" w14:textId="020BD551" w:rsidR="00835D5E" w:rsidRPr="00224343" w:rsidRDefault="00835D5E" w:rsidP="00F9370A">
            <w:pPr>
              <w:spacing w:after="0" w:line="240" w:lineRule="auto"/>
              <w:rPr>
                <w:rFonts w:ascii="Garamond" w:eastAsia="Times New Roman" w:hAnsi="Garamond" w:cs="Times New Roman"/>
                <w:color w:val="000000"/>
              </w:rPr>
            </w:pPr>
            <w:r w:rsidRPr="00224343">
              <w:rPr>
                <w:rFonts w:ascii="Garamond" w:eastAsia="Times New Roman" w:hAnsi="Garamond" w:cs="Times New Roman"/>
                <w:color w:val="000000"/>
              </w:rPr>
              <w:t>MSAVI-2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69E6F" w14:textId="43E4C6A6" w:rsidR="00835D5E" w:rsidRPr="00224343" w:rsidRDefault="00835D5E" w:rsidP="00F9370A">
            <w:pPr>
              <w:spacing w:after="0" w:line="240" w:lineRule="auto"/>
              <w:rPr>
                <w:rFonts w:ascii="Garamond" w:eastAsia="Times New Roman" w:hAnsi="Garamond" w:cs="Times New Roman"/>
                <w:color w:val="000000"/>
              </w:rPr>
            </w:pPr>
            <w:r w:rsidRPr="00224343">
              <w:rPr>
                <w:rFonts w:ascii="Garamond" w:eastAsia="Times New Roman" w:hAnsi="Garamond" w:cs="Times New Roman"/>
                <w:color w:val="000000"/>
              </w:rPr>
              <w:t>2015-2017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8E623" w14:textId="2ECA13AB" w:rsidR="00835D5E" w:rsidRPr="00224343" w:rsidRDefault="00835D5E" w:rsidP="00F9370A">
            <w:pPr>
              <w:spacing w:after="0" w:line="240" w:lineRule="auto"/>
              <w:rPr>
                <w:rFonts w:ascii="Garamond" w:eastAsia="Times New Roman" w:hAnsi="Garamond" w:cs="Times New Roman"/>
                <w:color w:val="000000"/>
              </w:rPr>
            </w:pPr>
            <w:r w:rsidRPr="00224343">
              <w:rPr>
                <w:rFonts w:ascii="Garamond" w:eastAsia="Times New Roman" w:hAnsi="Garamond" w:cs="Times New Roman"/>
                <w:color w:val="000000"/>
              </w:rPr>
              <w:t>Vegetation Health</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19012" w14:textId="5A209EC1" w:rsidR="00835D5E" w:rsidRPr="00224343" w:rsidRDefault="00835D5E" w:rsidP="00F9370A">
            <w:pPr>
              <w:spacing w:after="0" w:line="240" w:lineRule="auto"/>
              <w:rPr>
                <w:rFonts w:ascii="Garamond" w:eastAsia="Times New Roman" w:hAnsi="Garamond" w:cs="Times New Roman"/>
                <w:color w:val="000000"/>
              </w:rPr>
            </w:pPr>
            <w:r w:rsidRPr="00224343">
              <w:rPr>
                <w:rFonts w:ascii="Garamond" w:eastAsia="Times New Roman" w:hAnsi="Garamond" w:cs="Times New Roman"/>
                <w:color w:val="000000"/>
              </w:rPr>
              <w:t>Landsat 8 OLI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10E0F" w14:textId="3895044C" w:rsidR="00835D5E" w:rsidRPr="00224343" w:rsidRDefault="00835D5E" w:rsidP="00F9370A">
            <w:pPr>
              <w:spacing w:after="0" w:line="240" w:lineRule="auto"/>
              <w:rPr>
                <w:rFonts w:ascii="Garamond" w:eastAsia="Times New Roman" w:hAnsi="Garamond" w:cs="Times New Roman"/>
                <w:color w:val="000000"/>
              </w:rPr>
            </w:pPr>
            <w:r w:rsidRPr="00224343">
              <w:rPr>
                <w:rFonts w:ascii="Garamond" w:eastAsia="Times New Roman" w:hAnsi="Garamond" w:cs="Times New Roman"/>
                <w:color w:val="000000"/>
              </w:rPr>
              <w:t>NA</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51152" w14:textId="656659F7" w:rsidR="00835D5E" w:rsidRPr="00103AC2" w:rsidRDefault="00835D5E" w:rsidP="00F9370A">
            <w:pPr>
              <w:spacing w:after="0" w:line="240" w:lineRule="auto"/>
              <w:rPr>
                <w:rFonts w:ascii="Garamond" w:eastAsia="Times New Roman" w:hAnsi="Garamond" w:cs="Times New Roman"/>
                <w:color w:val="000000"/>
              </w:rPr>
            </w:pPr>
            <w:r w:rsidRPr="00103AC2">
              <w:rPr>
                <w:rFonts w:ascii="Garamond" w:eastAsia="Times New Roman" w:hAnsi="Garamond" w:cs="Times New Roman"/>
                <w:color w:val="000000"/>
              </w:rPr>
              <w:t>NA</w:t>
            </w:r>
          </w:p>
        </w:tc>
      </w:tr>
      <w:tr w:rsidR="00410AF5" w:rsidRPr="00224343" w14:paraId="1450A86A" w14:textId="77777777" w:rsidTr="00103AC2">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88B5D"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RCEW Soil Moisture</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75570"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2015-2018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594B0"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Soil Moisture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5E61A"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USDA-ARS</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935D5"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NA</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303AD" w14:textId="77777777" w:rsidR="00410AF5" w:rsidRPr="00103AC2" w:rsidRDefault="00410AF5" w:rsidP="00F9370A">
            <w:pPr>
              <w:spacing w:after="0" w:line="240" w:lineRule="auto"/>
              <w:rPr>
                <w:rFonts w:ascii="Garamond" w:eastAsia="Times New Roman" w:hAnsi="Garamond" w:cs="Times New Roman"/>
              </w:rPr>
            </w:pPr>
            <w:r w:rsidRPr="00103AC2">
              <w:rPr>
                <w:rFonts w:ascii="Garamond" w:eastAsia="Times New Roman" w:hAnsi="Garamond" w:cs="Times New Roman"/>
                <w:color w:val="000000"/>
              </w:rPr>
              <w:t>NA</w:t>
            </w:r>
          </w:p>
        </w:tc>
      </w:tr>
      <w:tr w:rsidR="00410AF5" w:rsidRPr="00224343" w14:paraId="61B57C29" w14:textId="77777777" w:rsidTr="00103AC2">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9B68F"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RCEW Precipitation</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D8ACE"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2017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2C83E"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Precipitation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8D056"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USDA-ARS</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D369A"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NA</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49719" w14:textId="77777777" w:rsidR="00410AF5" w:rsidRPr="00103AC2" w:rsidRDefault="00410AF5" w:rsidP="00F9370A">
            <w:pPr>
              <w:spacing w:after="0" w:line="240" w:lineRule="auto"/>
              <w:rPr>
                <w:rFonts w:ascii="Garamond" w:eastAsia="Times New Roman" w:hAnsi="Garamond" w:cs="Times New Roman"/>
              </w:rPr>
            </w:pPr>
            <w:r w:rsidRPr="00103AC2">
              <w:rPr>
                <w:rFonts w:ascii="Garamond" w:eastAsia="Times New Roman" w:hAnsi="Garamond" w:cs="Times New Roman"/>
                <w:color w:val="000000"/>
              </w:rPr>
              <w:t>NA</w:t>
            </w:r>
          </w:p>
        </w:tc>
      </w:tr>
      <w:tr w:rsidR="00410AF5" w:rsidRPr="00224343" w14:paraId="65ED71B6" w14:textId="77777777" w:rsidTr="00103AC2">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9282F"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Reynolds Creek - Soils, Vegetation, and Geology</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74D24"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1960-1970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75585"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Vegetation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8711C"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Critical Zone Observatory - Reynolds Creek Experimental Watershed</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815F0"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NA</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E7F11"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 xml:space="preserve">http://criticalzone.org/reynolds/data/dataset/3722/#policy </w:t>
            </w:r>
            <w:r w:rsidRPr="00224343">
              <w:rPr>
                <w:rFonts w:ascii="Garamond" w:eastAsia="Times New Roman" w:hAnsi="Garamond" w:cs="Times New Roman"/>
                <w:color w:val="000000"/>
              </w:rPr>
              <w:br/>
            </w:r>
            <w:r w:rsidRPr="00224343">
              <w:rPr>
                <w:rFonts w:ascii="Garamond" w:eastAsia="Times New Roman" w:hAnsi="Garamond" w:cs="Times New Roman"/>
                <w:color w:val="000000"/>
              </w:rPr>
              <w:br/>
            </w:r>
          </w:p>
        </w:tc>
      </w:tr>
      <w:tr w:rsidR="00410AF5" w:rsidRPr="00224343" w14:paraId="79A993A5" w14:textId="77777777" w:rsidTr="00103AC2">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03858"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Reynolds Creek - Instrumentation, Regions, and Boundaries</w:t>
            </w:r>
            <w:r w:rsidRPr="00224343">
              <w:rPr>
                <w:rFonts w:ascii="Garamond" w:eastAsia="Times New Roman" w:hAnsi="Garamond" w:cs="Times New Roman"/>
                <w:color w:val="000000"/>
              </w:rPr>
              <w:br/>
            </w:r>
            <w:r w:rsidRPr="00224343">
              <w:rPr>
                <w:rFonts w:ascii="Garamond" w:eastAsia="Times New Roman" w:hAnsi="Garamond" w:cs="Times New Roman"/>
                <w:color w:val="000000"/>
              </w:rPr>
              <w:br/>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E7105"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2014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2999F"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Boundaries and Instrument Locations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C2334"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Critical Zone Observatory - Reynolds Creek Experimental Watershed</w:t>
            </w:r>
            <w:r w:rsidRPr="00224343">
              <w:rPr>
                <w:rFonts w:ascii="Garamond" w:eastAsia="Times New Roman" w:hAnsi="Garamond" w:cs="Times New Roman"/>
                <w:color w:val="000000"/>
              </w:rPr>
              <w:br/>
            </w:r>
            <w:r w:rsidRPr="00224343">
              <w:rPr>
                <w:rFonts w:ascii="Garamond" w:eastAsia="Times New Roman" w:hAnsi="Garamond" w:cs="Times New Roman"/>
                <w:color w:val="000000"/>
              </w:rPr>
              <w:br/>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F75CE"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NA</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73999"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http://criticalzone.org/reynolds/data/dataset/3934/#citation</w:t>
            </w:r>
          </w:p>
        </w:tc>
      </w:tr>
      <w:tr w:rsidR="00410AF5" w:rsidRPr="00224343" w14:paraId="56A0528F" w14:textId="77777777" w:rsidTr="00103AC2">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224E3"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 xml:space="preserve">USGS NED n44w117 1/3 arc-second 2013 1 x 1 degree </w:t>
            </w:r>
            <w:r w:rsidRPr="00224343">
              <w:rPr>
                <w:rFonts w:ascii="Garamond" w:eastAsia="Times New Roman" w:hAnsi="Garamond" w:cs="Times New Roman"/>
                <w:color w:val="000000"/>
              </w:rPr>
              <w:br/>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E13B8"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2013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77268"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Elevation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CBD4D" w14:textId="77777777" w:rsidR="00410AF5" w:rsidRPr="00103AC2" w:rsidRDefault="00410AF5" w:rsidP="00F9370A">
            <w:pPr>
              <w:spacing w:after="0" w:line="240" w:lineRule="auto"/>
              <w:ind w:hanging="720"/>
              <w:rPr>
                <w:rFonts w:ascii="Garamond" w:eastAsia="Times New Roman" w:hAnsi="Garamond" w:cs="Times New Roman"/>
              </w:rPr>
            </w:pPr>
            <w:r w:rsidRPr="00224343">
              <w:rPr>
                <w:rFonts w:ascii="Garamond" w:eastAsia="Times New Roman" w:hAnsi="Garamond" w:cs="Times New Roman"/>
                <w:color w:val="000000"/>
                <w:shd w:val="clear" w:color="auto" w:fill="FFFFFF"/>
              </w:rPr>
              <w:t>U.S. G  US Geological Survey</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6EB52"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NA</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E730B" w14:textId="77777777" w:rsidR="00410AF5" w:rsidRPr="00103AC2" w:rsidRDefault="00410AF5" w:rsidP="00F9370A">
            <w:pPr>
              <w:spacing w:after="0" w:line="240" w:lineRule="auto"/>
              <w:rPr>
                <w:rFonts w:ascii="Garamond" w:eastAsia="Times New Roman" w:hAnsi="Garamond" w:cs="Times New Roman"/>
              </w:rPr>
            </w:pPr>
            <w:r w:rsidRPr="00224343">
              <w:rPr>
                <w:rFonts w:ascii="Garamond" w:eastAsia="Times New Roman" w:hAnsi="Garamond" w:cs="Times New Roman"/>
                <w:color w:val="000000"/>
              </w:rPr>
              <w:t>https://catalog.data.gov/dataset/national-elevation-dataset-ned-1-3-arc-second-downloadable-data-collection-national-geospatial  </w:t>
            </w:r>
          </w:p>
        </w:tc>
      </w:tr>
    </w:tbl>
    <w:p w14:paraId="5CE6D449" w14:textId="77777777" w:rsidR="0012258B" w:rsidRDefault="0012258B">
      <w:pPr>
        <w:spacing w:after="0" w:line="240" w:lineRule="auto"/>
        <w:rPr>
          <w:rFonts w:ascii="Garamond" w:eastAsia="Garamond" w:hAnsi="Garamond" w:cs="Garamond"/>
        </w:rPr>
      </w:pPr>
    </w:p>
    <w:sectPr w:rsidR="0012258B">
      <w:headerReference w:type="default" r:id="rId38"/>
      <w:footerReference w:type="default" r:id="rId39"/>
      <w:headerReference w:type="first" r:id="rId40"/>
      <w:footerReference w:type="first" r:id="rId41"/>
      <w:pgSz w:w="12240" w:h="15840"/>
      <w:pgMar w:top="1440" w:right="1440" w:bottom="1440" w:left="1440" w:header="720" w:footer="720"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5DB941" w16cid:durableId="1F5E837A"/>
  <w16cid:commentId w16cid:paraId="5E3DB596" w16cid:durableId="1F90271B"/>
  <w16cid:commentId w16cid:paraId="2D3688B3" w16cid:durableId="1F9016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574BD" w14:textId="77777777" w:rsidR="00621DBB" w:rsidRDefault="00621DBB">
      <w:pPr>
        <w:spacing w:after="0" w:line="240" w:lineRule="auto"/>
      </w:pPr>
      <w:r>
        <w:separator/>
      </w:r>
    </w:p>
  </w:endnote>
  <w:endnote w:type="continuationSeparator" w:id="0">
    <w:p w14:paraId="354095EB" w14:textId="77777777" w:rsidR="00621DBB" w:rsidRDefault="00621DBB">
      <w:pPr>
        <w:spacing w:after="0" w:line="240" w:lineRule="auto"/>
      </w:pPr>
      <w:r>
        <w:continuationSeparator/>
      </w:r>
    </w:p>
  </w:endnote>
  <w:endnote w:type="continuationNotice" w:id="1">
    <w:p w14:paraId="47D26743" w14:textId="77777777" w:rsidR="00621DBB" w:rsidRDefault="00621D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4DFE7" w14:textId="1D0B1FAF" w:rsidR="00F9370A" w:rsidRDefault="00F9370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03AC2">
      <w:rPr>
        <w:noProof/>
        <w:color w:val="000000"/>
      </w:rPr>
      <w:t>4</w:t>
    </w:r>
    <w:r>
      <w:rPr>
        <w:color w:val="000000"/>
      </w:rPr>
      <w:fldChar w:fldCharType="end"/>
    </w:r>
  </w:p>
  <w:p w14:paraId="66FE8339" w14:textId="77777777" w:rsidR="00F9370A" w:rsidRDefault="00F9370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4A0E" w14:textId="77777777" w:rsidR="00F9370A" w:rsidRDefault="00F9370A">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F996C" w14:textId="77777777" w:rsidR="00621DBB" w:rsidRDefault="00621DBB">
      <w:pPr>
        <w:spacing w:after="0" w:line="240" w:lineRule="auto"/>
      </w:pPr>
      <w:r>
        <w:separator/>
      </w:r>
    </w:p>
  </w:footnote>
  <w:footnote w:type="continuationSeparator" w:id="0">
    <w:p w14:paraId="014469C8" w14:textId="77777777" w:rsidR="00621DBB" w:rsidRDefault="00621DBB">
      <w:pPr>
        <w:spacing w:after="0" w:line="240" w:lineRule="auto"/>
      </w:pPr>
      <w:r>
        <w:continuationSeparator/>
      </w:r>
    </w:p>
  </w:footnote>
  <w:footnote w:type="continuationNotice" w:id="1">
    <w:p w14:paraId="24F726CE" w14:textId="77777777" w:rsidR="00621DBB" w:rsidRDefault="00621D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1949E" w14:textId="77777777" w:rsidR="00F9370A" w:rsidRDefault="00F93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95F23" w14:textId="77777777" w:rsidR="00F9370A" w:rsidRDefault="00F9370A">
    <w:pPr>
      <w:spacing w:after="0" w:line="240" w:lineRule="auto"/>
      <w:jc w:val="right"/>
      <w:rPr>
        <w:rFonts w:ascii="Garamond" w:eastAsia="Garamond" w:hAnsi="Garamond" w:cs="Garamond"/>
        <w:b/>
        <w:sz w:val="32"/>
        <w:szCs w:val="32"/>
      </w:rPr>
    </w:pPr>
  </w:p>
  <w:p w14:paraId="221394BD" w14:textId="77777777" w:rsidR="00F9370A" w:rsidRDefault="00F9370A">
    <w:pPr>
      <w:spacing w:after="0" w:line="240" w:lineRule="auto"/>
      <w:jc w:val="right"/>
      <w:rPr>
        <w:rFonts w:ascii="Garamond" w:eastAsia="Garamond" w:hAnsi="Garamond" w:cs="Garamond"/>
        <w:b/>
        <w:sz w:val="32"/>
        <w:szCs w:val="32"/>
      </w:rPr>
    </w:pPr>
  </w:p>
  <w:p w14:paraId="643DD406" w14:textId="77777777" w:rsidR="00F9370A" w:rsidRDefault="00F9370A">
    <w:pPr>
      <w:spacing w:after="0" w:line="240" w:lineRule="auto"/>
      <w:jc w:val="right"/>
      <w:rPr>
        <w:rFonts w:ascii="Garamond" w:eastAsia="Garamond" w:hAnsi="Garamond" w:cs="Garamond"/>
        <w:b/>
        <w:sz w:val="32"/>
        <w:szCs w:val="32"/>
      </w:rPr>
    </w:pPr>
  </w:p>
  <w:p w14:paraId="32FBE151" w14:textId="77777777" w:rsidR="00F9370A" w:rsidRDefault="00F9370A">
    <w:pPr>
      <w:spacing w:after="0" w:line="240" w:lineRule="auto"/>
      <w:jc w:val="right"/>
      <w:rPr>
        <w:rFonts w:ascii="Garamond" w:eastAsia="Garamond" w:hAnsi="Garamond" w:cs="Garamond"/>
        <w:b/>
        <w:sz w:val="32"/>
        <w:szCs w:val="32"/>
      </w:rPr>
    </w:pPr>
    <w:r w:rsidRPr="000B6E68">
      <w:rPr>
        <w:rFonts w:ascii="Garamond" w:hAnsi="Garamond"/>
        <w:b/>
        <w:noProof/>
        <w:sz w:val="32"/>
        <w:szCs w:val="32"/>
      </w:rPr>
      <w:drawing>
        <wp:anchor distT="0" distB="0" distL="114300" distR="114300" simplePos="0" relativeHeight="251660800" behindDoc="1" locked="0" layoutInCell="1" allowOverlap="1" wp14:anchorId="62653E85" wp14:editId="611C5100">
          <wp:simplePos x="0" y="0"/>
          <wp:positionH relativeFrom="margin">
            <wp:posOffset>19050</wp:posOffset>
          </wp:positionH>
          <wp:positionV relativeFrom="page">
            <wp:posOffset>1295400</wp:posOffset>
          </wp:positionV>
          <wp:extent cx="5924550" cy="6419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b/>
        <w:sz w:val="32"/>
        <w:szCs w:val="32"/>
      </w:rPr>
      <w:t>NASA DEVELOP National Program</w:t>
    </w:r>
  </w:p>
  <w:p w14:paraId="03FFB2ED" w14:textId="1B22B936" w:rsidR="00F9370A" w:rsidRDefault="00F9370A">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Idaho – Pocatello</w:t>
    </w:r>
  </w:p>
  <w:p w14:paraId="037FE10E" w14:textId="77777777" w:rsidR="00F9370A" w:rsidRDefault="00F9370A">
    <w:pPr>
      <w:pBdr>
        <w:top w:val="nil"/>
        <w:left w:val="nil"/>
        <w:bottom w:val="nil"/>
        <w:right w:val="nil"/>
        <w:between w:val="nil"/>
      </w:pBdr>
      <w:tabs>
        <w:tab w:val="center" w:pos="4680"/>
        <w:tab w:val="right" w:pos="9360"/>
      </w:tabs>
      <w:spacing w:after="0" w:line="240" w:lineRule="auto"/>
      <w:rPr>
        <w:rFonts w:ascii="Garamond" w:eastAsia="Garamond" w:hAnsi="Garamond" w:cs="Garamond"/>
        <w:b/>
        <w:color w:val="000000"/>
        <w:sz w:val="32"/>
        <w:szCs w:val="32"/>
      </w:rPr>
    </w:pPr>
  </w:p>
  <w:p w14:paraId="5BE976FA" w14:textId="77777777" w:rsidR="00F9370A" w:rsidRDefault="00F9370A">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Fall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338EC"/>
    <w:multiLevelType w:val="hybridMultilevel"/>
    <w:tmpl w:val="0ACEF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E9776E"/>
    <w:multiLevelType w:val="hybridMultilevel"/>
    <w:tmpl w:val="BB1A8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2A62A2"/>
    <w:multiLevelType w:val="multilevel"/>
    <w:tmpl w:val="74348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7C7814"/>
    <w:multiLevelType w:val="multilevel"/>
    <w:tmpl w:val="BD0E7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5E348B"/>
    <w:multiLevelType w:val="multilevel"/>
    <w:tmpl w:val="CFA45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C83DA7"/>
    <w:multiLevelType w:val="multilevel"/>
    <w:tmpl w:val="E6469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795BF8"/>
    <w:multiLevelType w:val="multilevel"/>
    <w:tmpl w:val="EC922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452B28"/>
    <w:multiLevelType w:val="multilevel"/>
    <w:tmpl w:val="A40E34A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6F99236B"/>
    <w:multiLevelType w:val="hybridMultilevel"/>
    <w:tmpl w:val="49409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05A6974"/>
    <w:multiLevelType w:val="hybridMultilevel"/>
    <w:tmpl w:val="A15A8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4B75BB5"/>
    <w:multiLevelType w:val="multilevel"/>
    <w:tmpl w:val="EE9C6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4"/>
  </w:num>
  <w:num w:numId="4">
    <w:abstractNumId w:val="3"/>
  </w:num>
  <w:num w:numId="5">
    <w:abstractNumId w:val="10"/>
  </w:num>
  <w:num w:numId="6">
    <w:abstractNumId w:val="2"/>
  </w:num>
  <w:num w:numId="7">
    <w:abstractNumId w:val="6"/>
  </w:num>
  <w:num w:numId="8">
    <w:abstractNumId w:val="9"/>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2NzA3NzMyMwVicyUdpeDU4uLM/DyQAtNaAComHissAAAA"/>
  </w:docVars>
  <w:rsids>
    <w:rsidRoot w:val="0012258B"/>
    <w:rsid w:val="00006324"/>
    <w:rsid w:val="0004624D"/>
    <w:rsid w:val="00050BCE"/>
    <w:rsid w:val="00057FCA"/>
    <w:rsid w:val="000606F0"/>
    <w:rsid w:val="00074646"/>
    <w:rsid w:val="000754CF"/>
    <w:rsid w:val="000901C7"/>
    <w:rsid w:val="000941DE"/>
    <w:rsid w:val="00097D2D"/>
    <w:rsid w:val="000A1F23"/>
    <w:rsid w:val="000A46F0"/>
    <w:rsid w:val="000A69F7"/>
    <w:rsid w:val="000B4BC3"/>
    <w:rsid w:val="000C0FC0"/>
    <w:rsid w:val="000C7D62"/>
    <w:rsid w:val="000D5CFA"/>
    <w:rsid w:val="000F7841"/>
    <w:rsid w:val="00100D02"/>
    <w:rsid w:val="00103AC2"/>
    <w:rsid w:val="001064C9"/>
    <w:rsid w:val="001071CE"/>
    <w:rsid w:val="001139EB"/>
    <w:rsid w:val="0012258B"/>
    <w:rsid w:val="00122F69"/>
    <w:rsid w:val="001248CF"/>
    <w:rsid w:val="00131C12"/>
    <w:rsid w:val="00132A32"/>
    <w:rsid w:val="00136B70"/>
    <w:rsid w:val="001408D2"/>
    <w:rsid w:val="00170A08"/>
    <w:rsid w:val="00171A0F"/>
    <w:rsid w:val="00190DF3"/>
    <w:rsid w:val="00192D19"/>
    <w:rsid w:val="001A1404"/>
    <w:rsid w:val="001A27F9"/>
    <w:rsid w:val="001A51BC"/>
    <w:rsid w:val="001B553B"/>
    <w:rsid w:val="001C0A1A"/>
    <w:rsid w:val="001C33F7"/>
    <w:rsid w:val="001C3925"/>
    <w:rsid w:val="001D47A5"/>
    <w:rsid w:val="001D7F28"/>
    <w:rsid w:val="001E57C6"/>
    <w:rsid w:val="001F2A97"/>
    <w:rsid w:val="001F2EB5"/>
    <w:rsid w:val="001F5277"/>
    <w:rsid w:val="00207870"/>
    <w:rsid w:val="00224343"/>
    <w:rsid w:val="002244BD"/>
    <w:rsid w:val="002277B8"/>
    <w:rsid w:val="00237474"/>
    <w:rsid w:val="00250D0F"/>
    <w:rsid w:val="00252ABE"/>
    <w:rsid w:val="00253B65"/>
    <w:rsid w:val="00275D02"/>
    <w:rsid w:val="0028141C"/>
    <w:rsid w:val="00284EDC"/>
    <w:rsid w:val="002853DC"/>
    <w:rsid w:val="002A1010"/>
    <w:rsid w:val="002A4323"/>
    <w:rsid w:val="002A682C"/>
    <w:rsid w:val="002B28FA"/>
    <w:rsid w:val="002B36D3"/>
    <w:rsid w:val="002C576B"/>
    <w:rsid w:val="002E4C75"/>
    <w:rsid w:val="002F1C84"/>
    <w:rsid w:val="002F74A7"/>
    <w:rsid w:val="00305AF9"/>
    <w:rsid w:val="0033141E"/>
    <w:rsid w:val="00331DBB"/>
    <w:rsid w:val="00343121"/>
    <w:rsid w:val="0034738D"/>
    <w:rsid w:val="003479B0"/>
    <w:rsid w:val="00347BF0"/>
    <w:rsid w:val="00351FB5"/>
    <w:rsid w:val="00364E33"/>
    <w:rsid w:val="003767FF"/>
    <w:rsid w:val="00377D28"/>
    <w:rsid w:val="0039296C"/>
    <w:rsid w:val="003B4AD9"/>
    <w:rsid w:val="003C459A"/>
    <w:rsid w:val="003D0CBA"/>
    <w:rsid w:val="003E0733"/>
    <w:rsid w:val="003E702F"/>
    <w:rsid w:val="003F4997"/>
    <w:rsid w:val="00410AF5"/>
    <w:rsid w:val="00413B60"/>
    <w:rsid w:val="00416A09"/>
    <w:rsid w:val="004202D2"/>
    <w:rsid w:val="004263AC"/>
    <w:rsid w:val="0043298B"/>
    <w:rsid w:val="004439F4"/>
    <w:rsid w:val="00447E20"/>
    <w:rsid w:val="00450F69"/>
    <w:rsid w:val="00456147"/>
    <w:rsid w:val="00457A33"/>
    <w:rsid w:val="00473FAB"/>
    <w:rsid w:val="00475514"/>
    <w:rsid w:val="00475797"/>
    <w:rsid w:val="00482A6A"/>
    <w:rsid w:val="004846D6"/>
    <w:rsid w:val="00491E89"/>
    <w:rsid w:val="004A075B"/>
    <w:rsid w:val="004A3B1C"/>
    <w:rsid w:val="004B3713"/>
    <w:rsid w:val="004C259C"/>
    <w:rsid w:val="004C359F"/>
    <w:rsid w:val="004C414B"/>
    <w:rsid w:val="004C48F5"/>
    <w:rsid w:val="004C6EBD"/>
    <w:rsid w:val="004E2E05"/>
    <w:rsid w:val="004E4E9D"/>
    <w:rsid w:val="004F37B0"/>
    <w:rsid w:val="004F7961"/>
    <w:rsid w:val="00505A83"/>
    <w:rsid w:val="00512AC8"/>
    <w:rsid w:val="00525C23"/>
    <w:rsid w:val="00532D47"/>
    <w:rsid w:val="00535858"/>
    <w:rsid w:val="00547DF5"/>
    <w:rsid w:val="005504A8"/>
    <w:rsid w:val="00550F40"/>
    <w:rsid w:val="005545C2"/>
    <w:rsid w:val="0056686B"/>
    <w:rsid w:val="00571C94"/>
    <w:rsid w:val="005779CF"/>
    <w:rsid w:val="00582530"/>
    <w:rsid w:val="00585981"/>
    <w:rsid w:val="00585A26"/>
    <w:rsid w:val="005929F5"/>
    <w:rsid w:val="005A16D6"/>
    <w:rsid w:val="005B2B54"/>
    <w:rsid w:val="005C07BC"/>
    <w:rsid w:val="005C0AC8"/>
    <w:rsid w:val="005D286B"/>
    <w:rsid w:val="005D434F"/>
    <w:rsid w:val="005D4F92"/>
    <w:rsid w:val="005D74F0"/>
    <w:rsid w:val="005E3A3C"/>
    <w:rsid w:val="005F4A0F"/>
    <w:rsid w:val="005F6710"/>
    <w:rsid w:val="006012AD"/>
    <w:rsid w:val="00603DD2"/>
    <w:rsid w:val="00605479"/>
    <w:rsid w:val="00621DBB"/>
    <w:rsid w:val="006311F4"/>
    <w:rsid w:val="00660E28"/>
    <w:rsid w:val="00662E06"/>
    <w:rsid w:val="00665B19"/>
    <w:rsid w:val="0067080B"/>
    <w:rsid w:val="0067367E"/>
    <w:rsid w:val="00676845"/>
    <w:rsid w:val="00680DFB"/>
    <w:rsid w:val="00697257"/>
    <w:rsid w:val="006A7E36"/>
    <w:rsid w:val="006C7FD3"/>
    <w:rsid w:val="006D4545"/>
    <w:rsid w:val="006E0DA6"/>
    <w:rsid w:val="006E1DCE"/>
    <w:rsid w:val="0070266A"/>
    <w:rsid w:val="00704074"/>
    <w:rsid w:val="00706431"/>
    <w:rsid w:val="0070729F"/>
    <w:rsid w:val="007178C0"/>
    <w:rsid w:val="00717A6A"/>
    <w:rsid w:val="00723933"/>
    <w:rsid w:val="0072751C"/>
    <w:rsid w:val="007308B0"/>
    <w:rsid w:val="00735AE2"/>
    <w:rsid w:val="00735FED"/>
    <w:rsid w:val="0075464F"/>
    <w:rsid w:val="00757602"/>
    <w:rsid w:val="00757731"/>
    <w:rsid w:val="0076656A"/>
    <w:rsid w:val="0077172F"/>
    <w:rsid w:val="0077365A"/>
    <w:rsid w:val="00774350"/>
    <w:rsid w:val="0078146F"/>
    <w:rsid w:val="007842E2"/>
    <w:rsid w:val="00793600"/>
    <w:rsid w:val="007A0FC3"/>
    <w:rsid w:val="007A1846"/>
    <w:rsid w:val="007A58BB"/>
    <w:rsid w:val="007A68C1"/>
    <w:rsid w:val="007A749F"/>
    <w:rsid w:val="007B0652"/>
    <w:rsid w:val="007B5916"/>
    <w:rsid w:val="007C2D00"/>
    <w:rsid w:val="007C6C95"/>
    <w:rsid w:val="007D4604"/>
    <w:rsid w:val="007D52AD"/>
    <w:rsid w:val="007E0695"/>
    <w:rsid w:val="007E1296"/>
    <w:rsid w:val="007E752C"/>
    <w:rsid w:val="00812CF4"/>
    <w:rsid w:val="008165EA"/>
    <w:rsid w:val="008173E9"/>
    <w:rsid w:val="00826F7D"/>
    <w:rsid w:val="0082766C"/>
    <w:rsid w:val="00835D5E"/>
    <w:rsid w:val="00835E87"/>
    <w:rsid w:val="008448C8"/>
    <w:rsid w:val="00847400"/>
    <w:rsid w:val="0085014A"/>
    <w:rsid w:val="0085078F"/>
    <w:rsid w:val="008573E9"/>
    <w:rsid w:val="00865AFF"/>
    <w:rsid w:val="008832F2"/>
    <w:rsid w:val="00886272"/>
    <w:rsid w:val="00886A40"/>
    <w:rsid w:val="00887F61"/>
    <w:rsid w:val="008A185A"/>
    <w:rsid w:val="008B5266"/>
    <w:rsid w:val="008B55C5"/>
    <w:rsid w:val="008C6703"/>
    <w:rsid w:val="008C7C77"/>
    <w:rsid w:val="008D7635"/>
    <w:rsid w:val="008E02EE"/>
    <w:rsid w:val="008E03BD"/>
    <w:rsid w:val="008F1356"/>
    <w:rsid w:val="008F24D6"/>
    <w:rsid w:val="008F2556"/>
    <w:rsid w:val="008F4E3A"/>
    <w:rsid w:val="008F61A6"/>
    <w:rsid w:val="008F635C"/>
    <w:rsid w:val="009051EA"/>
    <w:rsid w:val="0091313A"/>
    <w:rsid w:val="00914535"/>
    <w:rsid w:val="009153D6"/>
    <w:rsid w:val="00925DD9"/>
    <w:rsid w:val="00934A51"/>
    <w:rsid w:val="00944E31"/>
    <w:rsid w:val="009479C0"/>
    <w:rsid w:val="00952B64"/>
    <w:rsid w:val="00952BE1"/>
    <w:rsid w:val="009609DE"/>
    <w:rsid w:val="0096501C"/>
    <w:rsid w:val="00966E90"/>
    <w:rsid w:val="00995524"/>
    <w:rsid w:val="009A11C5"/>
    <w:rsid w:val="009B6CC6"/>
    <w:rsid w:val="009C0BDF"/>
    <w:rsid w:val="009C76E0"/>
    <w:rsid w:val="009D2153"/>
    <w:rsid w:val="009E0AC7"/>
    <w:rsid w:val="009E6D4B"/>
    <w:rsid w:val="00A00F60"/>
    <w:rsid w:val="00A024A6"/>
    <w:rsid w:val="00A04356"/>
    <w:rsid w:val="00A07E5D"/>
    <w:rsid w:val="00A11CF6"/>
    <w:rsid w:val="00A43B1E"/>
    <w:rsid w:val="00A536DD"/>
    <w:rsid w:val="00A54144"/>
    <w:rsid w:val="00A56112"/>
    <w:rsid w:val="00A67079"/>
    <w:rsid w:val="00A8346B"/>
    <w:rsid w:val="00A92BB4"/>
    <w:rsid w:val="00AA1C6B"/>
    <w:rsid w:val="00AA26D9"/>
    <w:rsid w:val="00AA2D1C"/>
    <w:rsid w:val="00AB33C6"/>
    <w:rsid w:val="00AB3996"/>
    <w:rsid w:val="00AC04D9"/>
    <w:rsid w:val="00AC2108"/>
    <w:rsid w:val="00AC2526"/>
    <w:rsid w:val="00AC4295"/>
    <w:rsid w:val="00AC65E5"/>
    <w:rsid w:val="00AD7E97"/>
    <w:rsid w:val="00B006DC"/>
    <w:rsid w:val="00B03371"/>
    <w:rsid w:val="00B15D8B"/>
    <w:rsid w:val="00B1669D"/>
    <w:rsid w:val="00B23E7E"/>
    <w:rsid w:val="00B41392"/>
    <w:rsid w:val="00B43614"/>
    <w:rsid w:val="00B5668B"/>
    <w:rsid w:val="00B833D5"/>
    <w:rsid w:val="00B839C7"/>
    <w:rsid w:val="00B93787"/>
    <w:rsid w:val="00B94E29"/>
    <w:rsid w:val="00BA248D"/>
    <w:rsid w:val="00BB0936"/>
    <w:rsid w:val="00BB3E25"/>
    <w:rsid w:val="00BD7551"/>
    <w:rsid w:val="00BD76EF"/>
    <w:rsid w:val="00BE6A3E"/>
    <w:rsid w:val="00BF0D95"/>
    <w:rsid w:val="00BF6C76"/>
    <w:rsid w:val="00BF7B84"/>
    <w:rsid w:val="00C01EB3"/>
    <w:rsid w:val="00C10DDE"/>
    <w:rsid w:val="00C11A5E"/>
    <w:rsid w:val="00C160DF"/>
    <w:rsid w:val="00C22115"/>
    <w:rsid w:val="00C27287"/>
    <w:rsid w:val="00C5278C"/>
    <w:rsid w:val="00C63F33"/>
    <w:rsid w:val="00C67B28"/>
    <w:rsid w:val="00C74A45"/>
    <w:rsid w:val="00C7538F"/>
    <w:rsid w:val="00C83E89"/>
    <w:rsid w:val="00C864BE"/>
    <w:rsid w:val="00C86A6F"/>
    <w:rsid w:val="00CB47F1"/>
    <w:rsid w:val="00CB4BD7"/>
    <w:rsid w:val="00CB707D"/>
    <w:rsid w:val="00CC1D97"/>
    <w:rsid w:val="00CC7494"/>
    <w:rsid w:val="00CD55ED"/>
    <w:rsid w:val="00D030E7"/>
    <w:rsid w:val="00D0316F"/>
    <w:rsid w:val="00D04B0B"/>
    <w:rsid w:val="00D13B47"/>
    <w:rsid w:val="00D20196"/>
    <w:rsid w:val="00D22674"/>
    <w:rsid w:val="00D24FB2"/>
    <w:rsid w:val="00D402CC"/>
    <w:rsid w:val="00D4344E"/>
    <w:rsid w:val="00D4346C"/>
    <w:rsid w:val="00D52869"/>
    <w:rsid w:val="00D54E5B"/>
    <w:rsid w:val="00D563E1"/>
    <w:rsid w:val="00D57959"/>
    <w:rsid w:val="00D6244F"/>
    <w:rsid w:val="00D653D0"/>
    <w:rsid w:val="00D72828"/>
    <w:rsid w:val="00D85798"/>
    <w:rsid w:val="00D91357"/>
    <w:rsid w:val="00D918E7"/>
    <w:rsid w:val="00D97FC5"/>
    <w:rsid w:val="00DA5C08"/>
    <w:rsid w:val="00DB33EA"/>
    <w:rsid w:val="00DB510A"/>
    <w:rsid w:val="00DC1C7C"/>
    <w:rsid w:val="00DC6B77"/>
    <w:rsid w:val="00DD4059"/>
    <w:rsid w:val="00DE2277"/>
    <w:rsid w:val="00DF61B3"/>
    <w:rsid w:val="00DF6D62"/>
    <w:rsid w:val="00E008CC"/>
    <w:rsid w:val="00E04514"/>
    <w:rsid w:val="00E05EB7"/>
    <w:rsid w:val="00E06C03"/>
    <w:rsid w:val="00E164F8"/>
    <w:rsid w:val="00E27D4C"/>
    <w:rsid w:val="00E5411C"/>
    <w:rsid w:val="00E658AF"/>
    <w:rsid w:val="00E7550E"/>
    <w:rsid w:val="00E83648"/>
    <w:rsid w:val="00E83D18"/>
    <w:rsid w:val="00E97F7F"/>
    <w:rsid w:val="00EB0151"/>
    <w:rsid w:val="00EB3065"/>
    <w:rsid w:val="00EB4A14"/>
    <w:rsid w:val="00EC1EAB"/>
    <w:rsid w:val="00EC501C"/>
    <w:rsid w:val="00ED1E1B"/>
    <w:rsid w:val="00ED588A"/>
    <w:rsid w:val="00ED72B1"/>
    <w:rsid w:val="00EE31DB"/>
    <w:rsid w:val="00EE3B4E"/>
    <w:rsid w:val="00EE7D76"/>
    <w:rsid w:val="00EF1BEF"/>
    <w:rsid w:val="00EF51CE"/>
    <w:rsid w:val="00EF736C"/>
    <w:rsid w:val="00F014DB"/>
    <w:rsid w:val="00F0337A"/>
    <w:rsid w:val="00F05097"/>
    <w:rsid w:val="00F059E2"/>
    <w:rsid w:val="00F15E51"/>
    <w:rsid w:val="00F4015A"/>
    <w:rsid w:val="00F417E3"/>
    <w:rsid w:val="00F42DD1"/>
    <w:rsid w:val="00F454E2"/>
    <w:rsid w:val="00F523D2"/>
    <w:rsid w:val="00F52FA8"/>
    <w:rsid w:val="00F66051"/>
    <w:rsid w:val="00F86EDA"/>
    <w:rsid w:val="00F936D0"/>
    <w:rsid w:val="00F9370A"/>
    <w:rsid w:val="00F93EB5"/>
    <w:rsid w:val="00FA1FC0"/>
    <w:rsid w:val="00FA5A2D"/>
    <w:rsid w:val="00FA7323"/>
    <w:rsid w:val="00FC1BF7"/>
    <w:rsid w:val="00FC25BB"/>
    <w:rsid w:val="00FC2AFE"/>
    <w:rsid w:val="00FC2C16"/>
    <w:rsid w:val="00FC4188"/>
    <w:rsid w:val="00FD5BE3"/>
    <w:rsid w:val="00FD5F5A"/>
    <w:rsid w:val="00FE2F53"/>
    <w:rsid w:val="00FE4491"/>
    <w:rsid w:val="00FE4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083CD"/>
  <w15:docId w15:val="{C8DFBE8A-0FA2-4F41-9F3A-6E6064FD3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C3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59F"/>
    <w:rPr>
      <w:rFonts w:ascii="Segoe UI" w:hAnsi="Segoe UI" w:cs="Segoe UI"/>
      <w:sz w:val="18"/>
      <w:szCs w:val="18"/>
    </w:rPr>
  </w:style>
  <w:style w:type="paragraph" w:styleId="Header">
    <w:name w:val="header"/>
    <w:basedOn w:val="Normal"/>
    <w:link w:val="HeaderChar"/>
    <w:uiPriority w:val="99"/>
    <w:unhideWhenUsed/>
    <w:rsid w:val="004C3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59F"/>
  </w:style>
  <w:style w:type="paragraph" w:styleId="Footer">
    <w:name w:val="footer"/>
    <w:basedOn w:val="Normal"/>
    <w:link w:val="FooterChar"/>
    <w:uiPriority w:val="99"/>
    <w:unhideWhenUsed/>
    <w:rsid w:val="004C3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59F"/>
  </w:style>
  <w:style w:type="paragraph" w:styleId="CommentSubject">
    <w:name w:val="annotation subject"/>
    <w:basedOn w:val="CommentText"/>
    <w:next w:val="CommentText"/>
    <w:link w:val="CommentSubjectChar"/>
    <w:uiPriority w:val="99"/>
    <w:semiHidden/>
    <w:unhideWhenUsed/>
    <w:rsid w:val="00934A51"/>
    <w:rPr>
      <w:b/>
      <w:bCs/>
    </w:rPr>
  </w:style>
  <w:style w:type="character" w:customStyle="1" w:styleId="CommentSubjectChar">
    <w:name w:val="Comment Subject Char"/>
    <w:basedOn w:val="CommentTextChar"/>
    <w:link w:val="CommentSubject"/>
    <w:uiPriority w:val="99"/>
    <w:semiHidden/>
    <w:rsid w:val="00934A51"/>
    <w:rPr>
      <w:b/>
      <w:bCs/>
      <w:sz w:val="20"/>
      <w:szCs w:val="20"/>
    </w:rPr>
  </w:style>
  <w:style w:type="paragraph" w:styleId="NormalWeb">
    <w:name w:val="Normal (Web)"/>
    <w:basedOn w:val="Normal"/>
    <w:uiPriority w:val="99"/>
    <w:semiHidden/>
    <w:unhideWhenUsed/>
    <w:rsid w:val="0070729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0729F"/>
    <w:rPr>
      <w:color w:val="0000FF"/>
      <w:u w:val="single"/>
    </w:rPr>
  </w:style>
  <w:style w:type="paragraph" w:styleId="Revision">
    <w:name w:val="Revision"/>
    <w:hidden/>
    <w:uiPriority w:val="99"/>
    <w:semiHidden/>
    <w:rsid w:val="0070729F"/>
    <w:pPr>
      <w:spacing w:after="0" w:line="240" w:lineRule="auto"/>
    </w:pPr>
  </w:style>
  <w:style w:type="character" w:customStyle="1" w:styleId="w8qarf">
    <w:name w:val="w8qarf"/>
    <w:basedOn w:val="DefaultParagraphFont"/>
    <w:rsid w:val="004439F4"/>
  </w:style>
  <w:style w:type="character" w:customStyle="1" w:styleId="lrzxr">
    <w:name w:val="lrzxr"/>
    <w:basedOn w:val="DefaultParagraphFont"/>
    <w:rsid w:val="004439F4"/>
  </w:style>
  <w:style w:type="character" w:styleId="PlaceholderText">
    <w:name w:val="Placeholder Text"/>
    <w:basedOn w:val="DefaultParagraphFont"/>
    <w:uiPriority w:val="99"/>
    <w:semiHidden/>
    <w:rsid w:val="00835D5E"/>
    <w:rPr>
      <w:color w:val="808080"/>
    </w:rPr>
  </w:style>
  <w:style w:type="paragraph" w:styleId="ListParagraph">
    <w:name w:val="List Paragraph"/>
    <w:basedOn w:val="Normal"/>
    <w:uiPriority w:val="34"/>
    <w:qFormat/>
    <w:rsid w:val="00B033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722680">
      <w:bodyDiv w:val="1"/>
      <w:marLeft w:val="0"/>
      <w:marRight w:val="0"/>
      <w:marTop w:val="0"/>
      <w:marBottom w:val="0"/>
      <w:divBdr>
        <w:top w:val="none" w:sz="0" w:space="0" w:color="auto"/>
        <w:left w:val="none" w:sz="0" w:space="0" w:color="auto"/>
        <w:bottom w:val="none" w:sz="0" w:space="0" w:color="auto"/>
        <w:right w:val="none" w:sz="0" w:space="0" w:color="auto"/>
      </w:divBdr>
    </w:div>
    <w:div w:id="538014415">
      <w:bodyDiv w:val="1"/>
      <w:marLeft w:val="0"/>
      <w:marRight w:val="0"/>
      <w:marTop w:val="0"/>
      <w:marBottom w:val="0"/>
      <w:divBdr>
        <w:top w:val="none" w:sz="0" w:space="0" w:color="auto"/>
        <w:left w:val="none" w:sz="0" w:space="0" w:color="auto"/>
        <w:bottom w:val="none" w:sz="0" w:space="0" w:color="auto"/>
        <w:right w:val="none" w:sz="0" w:space="0" w:color="auto"/>
      </w:divBdr>
    </w:div>
    <w:div w:id="892737459">
      <w:bodyDiv w:val="1"/>
      <w:marLeft w:val="0"/>
      <w:marRight w:val="0"/>
      <w:marTop w:val="0"/>
      <w:marBottom w:val="0"/>
      <w:divBdr>
        <w:top w:val="none" w:sz="0" w:space="0" w:color="auto"/>
        <w:left w:val="none" w:sz="0" w:space="0" w:color="auto"/>
        <w:bottom w:val="none" w:sz="0" w:space="0" w:color="auto"/>
        <w:right w:val="none" w:sz="0" w:space="0" w:color="auto"/>
      </w:divBdr>
    </w:div>
    <w:div w:id="1128158527">
      <w:bodyDiv w:val="1"/>
      <w:marLeft w:val="0"/>
      <w:marRight w:val="0"/>
      <w:marTop w:val="0"/>
      <w:marBottom w:val="0"/>
      <w:divBdr>
        <w:top w:val="none" w:sz="0" w:space="0" w:color="auto"/>
        <w:left w:val="none" w:sz="0" w:space="0" w:color="auto"/>
        <w:bottom w:val="none" w:sz="0" w:space="0" w:color="auto"/>
        <w:right w:val="none" w:sz="0" w:space="0" w:color="auto"/>
      </w:divBdr>
    </w:div>
    <w:div w:id="1283850407">
      <w:bodyDiv w:val="1"/>
      <w:marLeft w:val="0"/>
      <w:marRight w:val="0"/>
      <w:marTop w:val="0"/>
      <w:marBottom w:val="0"/>
      <w:divBdr>
        <w:top w:val="none" w:sz="0" w:space="0" w:color="auto"/>
        <w:left w:val="none" w:sz="0" w:space="0" w:color="auto"/>
        <w:bottom w:val="none" w:sz="0" w:space="0" w:color="auto"/>
        <w:right w:val="none" w:sz="0" w:space="0" w:color="auto"/>
      </w:divBdr>
    </w:div>
    <w:div w:id="1307123943">
      <w:bodyDiv w:val="1"/>
      <w:marLeft w:val="0"/>
      <w:marRight w:val="0"/>
      <w:marTop w:val="0"/>
      <w:marBottom w:val="0"/>
      <w:divBdr>
        <w:top w:val="none" w:sz="0" w:space="0" w:color="auto"/>
        <w:left w:val="none" w:sz="0" w:space="0" w:color="auto"/>
        <w:bottom w:val="none" w:sz="0" w:space="0" w:color="auto"/>
        <w:right w:val="none" w:sz="0" w:space="0" w:color="auto"/>
      </w:divBdr>
    </w:div>
    <w:div w:id="1417894454">
      <w:bodyDiv w:val="1"/>
      <w:marLeft w:val="0"/>
      <w:marRight w:val="0"/>
      <w:marTop w:val="0"/>
      <w:marBottom w:val="0"/>
      <w:divBdr>
        <w:top w:val="none" w:sz="0" w:space="0" w:color="auto"/>
        <w:left w:val="none" w:sz="0" w:space="0" w:color="auto"/>
        <w:bottom w:val="none" w:sz="0" w:space="0" w:color="auto"/>
        <w:right w:val="none" w:sz="0" w:space="0" w:color="auto"/>
      </w:divBdr>
    </w:div>
    <w:div w:id="1616013975">
      <w:bodyDiv w:val="1"/>
      <w:marLeft w:val="0"/>
      <w:marRight w:val="0"/>
      <w:marTop w:val="0"/>
      <w:marBottom w:val="0"/>
      <w:divBdr>
        <w:top w:val="none" w:sz="0" w:space="0" w:color="auto"/>
        <w:left w:val="none" w:sz="0" w:space="0" w:color="auto"/>
        <w:bottom w:val="none" w:sz="0" w:space="0" w:color="auto"/>
        <w:right w:val="none" w:sz="0" w:space="0" w:color="auto"/>
      </w:divBdr>
    </w:div>
    <w:div w:id="1702779506">
      <w:bodyDiv w:val="1"/>
      <w:marLeft w:val="0"/>
      <w:marRight w:val="0"/>
      <w:marTop w:val="0"/>
      <w:marBottom w:val="0"/>
      <w:divBdr>
        <w:top w:val="none" w:sz="0" w:space="0" w:color="auto"/>
        <w:left w:val="none" w:sz="0" w:space="0" w:color="auto"/>
        <w:bottom w:val="none" w:sz="0" w:space="0" w:color="auto"/>
        <w:right w:val="none" w:sz="0" w:space="0" w:color="auto"/>
      </w:divBdr>
    </w:div>
    <w:div w:id="1760952715">
      <w:bodyDiv w:val="1"/>
      <w:marLeft w:val="0"/>
      <w:marRight w:val="0"/>
      <w:marTop w:val="0"/>
      <w:marBottom w:val="0"/>
      <w:divBdr>
        <w:top w:val="none" w:sz="0" w:space="0" w:color="auto"/>
        <w:left w:val="none" w:sz="0" w:space="0" w:color="auto"/>
        <w:bottom w:val="none" w:sz="0" w:space="0" w:color="auto"/>
        <w:right w:val="none" w:sz="0" w:space="0" w:color="auto"/>
      </w:divBdr>
    </w:div>
    <w:div w:id="2110999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hyperlink" Target="https://doi.org/978-953-307-808-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cida.usgs.gov/gdp/" TargetMode="External"/><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yperlink" Target="https://doi.org/10.18122/B2TD7V" TargetMode="External"/><Relationship Id="rId33" Type="http://schemas.openxmlformats.org/officeDocument/2006/relationships/hyperlink" Target="https://doi.org/10.1029/2011JD016048"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doi.org/10.1111/jawr.12057"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61/(ASCE)0733-9437(2007)133" TargetMode="External"/><Relationship Id="rId32" Type="http://schemas.openxmlformats.org/officeDocument/2006/relationships/hyperlink" Target="https://fas.org/sgp/crs/misc/R42346.pdf" TargetMode="External"/><Relationship Id="rId37" Type="http://schemas.openxmlformats.org/officeDocument/2006/relationships/hyperlink" Target="https://lpdaac.usgs.gov/node/1191"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lpdaac.usgs.gov/node/1191" TargetMode="External"/><Relationship Id="rId36" Type="http://schemas.openxmlformats.org/officeDocument/2006/relationships/hyperlink" Target="https://giovanni.gsfc.nasa.gov/giovanni/" TargetMode="Externa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yperlink" Target="https://eeflux-level1.appspo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hyperlink" Target="https://doi.org/10.5067/NOXZSD0Z6JGD" TargetMode="External"/><Relationship Id="rId30" Type="http://schemas.openxmlformats.org/officeDocument/2006/relationships/hyperlink" Target="https://doi.org/10.1016/j.jhydrol.2010.02.020" TargetMode="External"/><Relationship Id="rId35" Type="http://schemas.openxmlformats.org/officeDocument/2006/relationships/hyperlink" Target="https://eeflux-level1.appspot.com/"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naip.giscenter.isu.edu\DEVELOP\2018\fall\Data\Reynolds%20Ck\ET\DailyFluxes_Combined_2014-201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naip.giscenter.isu.edu\DEVELOP\2018\fall\Data\1_Correlations\NLDAS-2-Noah\NLDAS2Noah_ETtoET_Monthly_correlations_for_presentation.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naip.giscenter.isu.edu\DEVELOP\2018\fall\Data\1_Correlations\Correllations_SSEBop_ETtoET_Monthly.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naip.giscenter.isu.edu\DEVELOP\2018\fall\Data\1_Correlations\SSEBop.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naip.giscenter.isu.edu\DEVELOP\2018\fall\Data\1_Correlations\EEFlux\EEflux_correlations_poster.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naip.giscenter.isu.edu\DEVELOP\2018\fall\Data\METRIC\EEFlux\EEflux.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naip.giscenter.isu.edu\DEVELOP\2018\fall\Data\MOD16\GEE-Mod16Data.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naip.giscenter.isu.edu\DEVELOP\2018\fall\Data\MOD16\GEE-Mod16Data.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0637997173431"/>
          <c:y val="5.6967292507287243E-2"/>
          <c:w val="0.81852261255804559"/>
          <c:h val="0.76694695356678944"/>
        </c:manualLayout>
      </c:layout>
      <c:scatterChart>
        <c:scatterStyle val="lineMarker"/>
        <c:varyColors val="0"/>
        <c:ser>
          <c:idx val="4"/>
          <c:order val="0"/>
          <c:tx>
            <c:strRef>
              <c:f>'[DailyFluxes_Combined_2014-2017.xlsx]MonthlyFluxes_bysite'!$E$1:$E$2</c:f>
              <c:strCache>
                <c:ptCount val="2"/>
                <c:pt idx="0">
                  <c:v>ETwbsec</c:v>
                </c:pt>
                <c:pt idx="1">
                  <c:v>Site 9</c:v>
                </c:pt>
              </c:strCache>
            </c:strRef>
          </c:tx>
          <c:spPr>
            <a:ln w="38100" cap="rnd">
              <a:solidFill>
                <a:srgbClr val="7030A0"/>
              </a:solidFill>
              <a:round/>
            </a:ln>
            <a:effectLst/>
          </c:spPr>
          <c:marker>
            <c:symbol val="none"/>
          </c:marker>
          <c:yVal>
            <c:numRef>
              <c:f>'[DailyFluxes_Combined_2014-2017.xlsx]MonthlyFluxes_bysite'!$E$28:$E$39</c:f>
              <c:numCache>
                <c:formatCode>General</c:formatCode>
                <c:ptCount val="12"/>
                <c:pt idx="0">
                  <c:v>12.75</c:v>
                </c:pt>
                <c:pt idx="1">
                  <c:v>19.520000000000003</c:v>
                </c:pt>
                <c:pt idx="2">
                  <c:v>44.67</c:v>
                </c:pt>
                <c:pt idx="3">
                  <c:v>46.79</c:v>
                </c:pt>
                <c:pt idx="4">
                  <c:v>48.959999999999994</c:v>
                </c:pt>
                <c:pt idx="5">
                  <c:v>22.789999999999996</c:v>
                </c:pt>
                <c:pt idx="6">
                  <c:v>10.86</c:v>
                </c:pt>
                <c:pt idx="7">
                  <c:v>6.08</c:v>
                </c:pt>
                <c:pt idx="8">
                  <c:v>7.9899999999999993</c:v>
                </c:pt>
                <c:pt idx="9">
                  <c:v>21.140000000000004</c:v>
                </c:pt>
                <c:pt idx="10">
                  <c:v>11.31</c:v>
                </c:pt>
                <c:pt idx="11">
                  <c:v>11.22</c:v>
                </c:pt>
              </c:numCache>
            </c:numRef>
          </c:yVal>
          <c:smooth val="0"/>
          <c:extLst>
            <c:ext xmlns:c16="http://schemas.microsoft.com/office/drawing/2014/chart" uri="{C3380CC4-5D6E-409C-BE32-E72D297353CC}">
              <c16:uniqueId val="{00000000-82BD-411B-8620-8CB21DF9033A}"/>
            </c:ext>
          </c:extLst>
        </c:ser>
        <c:ser>
          <c:idx val="1"/>
          <c:order val="1"/>
          <c:tx>
            <c:strRef>
              <c:f>'[DailyFluxes_Combined_2014-2017.xlsx]MonthlyFluxes_bysite'!$F$1:$F$2</c:f>
              <c:strCache>
                <c:ptCount val="2"/>
                <c:pt idx="0">
                  <c:v>ETlosec</c:v>
                </c:pt>
                <c:pt idx="1">
                  <c:v>Site 6</c:v>
                </c:pt>
              </c:strCache>
            </c:strRef>
          </c:tx>
          <c:spPr>
            <a:ln w="38100" cap="rnd">
              <a:solidFill>
                <a:schemeClr val="accent3"/>
              </a:solidFill>
              <a:round/>
            </a:ln>
            <a:effectLst/>
          </c:spPr>
          <c:marker>
            <c:symbol val="none"/>
          </c:marker>
          <c:xVal>
            <c:numRef>
              <c:f>'[DailyFluxes_Combined_2014-2017.xlsx]MonthlyFluxes_bysite'!$B$16:$B$27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'[DailyFluxes_Combined_2014-2017.xlsx]MonthlyFluxes_bysite'!$F$28:$F$39</c:f>
              <c:numCache>
                <c:formatCode>General</c:formatCode>
                <c:ptCount val="12"/>
                <c:pt idx="0">
                  <c:v>16.059999999999999</c:v>
                </c:pt>
                <c:pt idx="1">
                  <c:v>23.64</c:v>
                </c:pt>
                <c:pt idx="2">
                  <c:v>49.919999999999995</c:v>
                </c:pt>
                <c:pt idx="3">
                  <c:v>56.629999999999995</c:v>
                </c:pt>
                <c:pt idx="4">
                  <c:v>78.569999999999979</c:v>
                </c:pt>
                <c:pt idx="5">
                  <c:v>51.279999999999994</c:v>
                </c:pt>
                <c:pt idx="6">
                  <c:v>23.580000000000005</c:v>
                </c:pt>
                <c:pt idx="7">
                  <c:v>14.260000000000002</c:v>
                </c:pt>
                <c:pt idx="8">
                  <c:v>13.08</c:v>
                </c:pt>
                <c:pt idx="9">
                  <c:v>26.900000000000002</c:v>
                </c:pt>
                <c:pt idx="10">
                  <c:v>13.629999999999997</c:v>
                </c:pt>
                <c:pt idx="11">
                  <c:v>14.959999999999997</c:v>
                </c:pt>
              </c:numCache>
            </c:numRef>
          </c:yVal>
          <c:smooth val="0"/>
          <c:extLst>
            <c:ext xmlns:c16="http://schemas.microsoft.com/office/drawing/2014/chart" uri="{C3380CC4-5D6E-409C-BE32-E72D297353CC}">
              <c16:uniqueId val="{00000001-82BD-411B-8620-8CB21DF9033A}"/>
            </c:ext>
          </c:extLst>
        </c:ser>
        <c:ser>
          <c:idx val="2"/>
          <c:order val="2"/>
          <c:tx>
            <c:strRef>
              <c:f>'[DailyFluxes_Combined_2014-2017.xlsx]MonthlyFluxes_bysite'!$G$1:$G$2</c:f>
              <c:strCache>
                <c:ptCount val="2"/>
                <c:pt idx="0">
                  <c:v>ET138h08ec</c:v>
                </c:pt>
                <c:pt idx="1">
                  <c:v>Sites 1, 2, 3</c:v>
                </c:pt>
              </c:strCache>
            </c:strRef>
          </c:tx>
          <c:spPr>
            <a:ln w="38100" cap="rnd">
              <a:solidFill>
                <a:schemeClr val="accent5"/>
              </a:solidFill>
              <a:round/>
            </a:ln>
            <a:effectLst/>
          </c:spPr>
          <c:marker>
            <c:symbol val="none"/>
          </c:marker>
          <c:xVal>
            <c:numRef>
              <c:f>'[DailyFluxes_Combined_2014-2017.xlsx]MonthlyFluxes_bysite'!$B$16:$B$27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'[DailyFluxes_Combined_2014-2017.xlsx]MonthlyFluxes_bysite'!$G$28:$G$39</c:f>
              <c:numCache>
                <c:formatCode>General</c:formatCode>
                <c:ptCount val="12"/>
                <c:pt idx="0">
                  <c:v>6.0999999999999988</c:v>
                </c:pt>
                <c:pt idx="1">
                  <c:v>10.96</c:v>
                </c:pt>
                <c:pt idx="2">
                  <c:v>26.71</c:v>
                </c:pt>
                <c:pt idx="3">
                  <c:v>36.22</c:v>
                </c:pt>
                <c:pt idx="4">
                  <c:v>74.92</c:v>
                </c:pt>
                <c:pt idx="5">
                  <c:v>114.52</c:v>
                </c:pt>
                <c:pt idx="6">
                  <c:v>100.24000000000001</c:v>
                </c:pt>
                <c:pt idx="7">
                  <c:v>53.21</c:v>
                </c:pt>
                <c:pt idx="8">
                  <c:v>20.679999999999996</c:v>
                </c:pt>
                <c:pt idx="9">
                  <c:v>25.97</c:v>
                </c:pt>
                <c:pt idx="10">
                  <c:v>12.479999999999997</c:v>
                </c:pt>
                <c:pt idx="11">
                  <c:v>6.6000000000000005</c:v>
                </c:pt>
              </c:numCache>
            </c:numRef>
          </c:yVal>
          <c:smooth val="0"/>
          <c:extLst>
            <c:ext xmlns:c16="http://schemas.microsoft.com/office/drawing/2014/chart" uri="{C3380CC4-5D6E-409C-BE32-E72D297353CC}">
              <c16:uniqueId val="{00000002-82BD-411B-8620-8CB21DF9033A}"/>
            </c:ext>
          </c:extLst>
        </c:ser>
        <c:ser>
          <c:idx val="3"/>
          <c:order val="3"/>
          <c:tx>
            <c:strRef>
              <c:f>'[DailyFluxes_Combined_2014-2017.xlsx]MonthlyFluxes_bysite'!$H$1:$H$2</c:f>
              <c:strCache>
                <c:ptCount val="2"/>
                <c:pt idx="0">
                  <c:v>ETmbsec</c:v>
                </c:pt>
                <c:pt idx="1">
                  <c:v>Sites 7, 8</c:v>
                </c:pt>
              </c:strCache>
            </c:strRef>
          </c:tx>
          <c:spPr>
            <a:ln w="38100" cap="rnd">
              <a:solidFill>
                <a:srgbClr val="00B0F0"/>
              </a:solidFill>
              <a:round/>
            </a:ln>
            <a:effectLst/>
          </c:spPr>
          <c:marker>
            <c:symbol val="none"/>
          </c:marker>
          <c:xVal>
            <c:numRef>
              <c:f>'[DailyFluxes_Combined_2014-2017.xlsx]MonthlyFluxes_bysite'!$B$16:$B$27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'[DailyFluxes_Combined_2014-2017.xlsx]MonthlyFluxes_bysite'!$H$28:$H$39</c:f>
              <c:numCache>
                <c:formatCode>General</c:formatCode>
                <c:ptCount val="12"/>
                <c:pt idx="0">
                  <c:v>3.7100000000000004</c:v>
                </c:pt>
                <c:pt idx="1">
                  <c:v>8.48</c:v>
                </c:pt>
                <c:pt idx="2">
                  <c:v>10.470000000000002</c:v>
                </c:pt>
                <c:pt idx="3">
                  <c:v>16.519999999999996</c:v>
                </c:pt>
                <c:pt idx="4">
                  <c:v>67.61</c:v>
                </c:pt>
                <c:pt idx="5">
                  <c:v>114.72999999999999</c:v>
                </c:pt>
                <c:pt idx="6">
                  <c:v>111.68999999999997</c:v>
                </c:pt>
                <c:pt idx="7">
                  <c:v>50.34</c:v>
                </c:pt>
                <c:pt idx="8">
                  <c:v>26.130000000000003</c:v>
                </c:pt>
                <c:pt idx="9">
                  <c:v>25.32</c:v>
                </c:pt>
                <c:pt idx="10">
                  <c:v>13.290000000000001</c:v>
                </c:pt>
                <c:pt idx="11">
                  <c:v>8.1800000000000015</c:v>
                </c:pt>
              </c:numCache>
            </c:numRef>
          </c:yVal>
          <c:smooth val="0"/>
          <c:extLst>
            <c:ext xmlns:c16="http://schemas.microsoft.com/office/drawing/2014/chart" uri="{C3380CC4-5D6E-409C-BE32-E72D297353CC}">
              <c16:uniqueId val="{00000003-82BD-411B-8620-8CB21DF9033A}"/>
            </c:ext>
          </c:extLst>
        </c:ser>
        <c:dLbls>
          <c:showLegendKey val="0"/>
          <c:showVal val="0"/>
          <c:showCatName val="0"/>
          <c:showSerName val="0"/>
          <c:showPercent val="0"/>
          <c:showBubbleSize val="0"/>
        </c:dLbls>
        <c:axId val="533557312"/>
        <c:axId val="533559936"/>
      </c:scatterChart>
      <c:valAx>
        <c:axId val="533557312"/>
        <c:scaling>
          <c:orientation val="minMax"/>
          <c:max val="12"/>
          <c:min val="1"/>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sz="1100">
                    <a:latin typeface="Century Gothic" panose="020B0502020202020204" pitchFamily="34" charset="0"/>
                  </a:rPr>
                  <a:t>Month</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33559936"/>
        <c:crosses val="autoZero"/>
        <c:crossBetween val="midCat"/>
        <c:majorUnit val="1"/>
      </c:valAx>
      <c:valAx>
        <c:axId val="533559936"/>
        <c:scaling>
          <c:orientation val="minMax"/>
        </c:scaling>
        <c:delete val="0"/>
        <c:axPos val="l"/>
        <c:title>
          <c:tx>
            <c:rich>
              <a:bodyPr rot="-5400000" spcFirstLastPara="1" vertOverflow="ellipsis" vert="horz" wrap="square" anchor="ctr" anchorCtr="1"/>
              <a:lstStyle/>
              <a:p>
                <a:pPr>
                  <a:defRPr sz="1800" b="0" i="0" u="none" strike="noStrike" kern="1200" baseline="0">
                    <a:solidFill>
                      <a:schemeClr val="tx1">
                        <a:lumMod val="65000"/>
                        <a:lumOff val="35000"/>
                      </a:schemeClr>
                    </a:solidFill>
                    <a:latin typeface="+mj-lt"/>
                    <a:ea typeface="+mn-ea"/>
                    <a:cs typeface="+mn-cs"/>
                  </a:defRPr>
                </a:pPr>
                <a:r>
                  <a:rPr lang="en-US" sz="1100">
                    <a:latin typeface="Century Gothic" panose="020B0502020202020204" pitchFamily="34" charset="0"/>
                  </a:rPr>
                  <a:t>ET (mm/month)</a:t>
                </a:r>
              </a:p>
            </c:rich>
          </c:tx>
          <c:overlay val="0"/>
          <c:spPr>
            <a:noFill/>
            <a:ln>
              <a:noFill/>
            </a:ln>
            <a:effectLst/>
          </c:spPr>
          <c:txPr>
            <a:bodyPr rot="-5400000" spcFirstLastPara="1" vertOverflow="ellipsis" vert="horz" wrap="square" anchor="ctr" anchorCtr="1"/>
            <a:lstStyle/>
            <a:p>
              <a:pPr>
                <a:defRPr sz="18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33557312"/>
        <c:crosses val="autoZero"/>
        <c:crossBetween val="midCat"/>
      </c:valAx>
      <c:spPr>
        <a:noFill/>
        <a:ln w="317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800">
          <a:latin typeface="+mj-lt"/>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90040502125732"/>
          <c:y val="3.4532383056860974E-2"/>
          <c:w val="0.68659471879114153"/>
          <c:h val="0.79570010270455327"/>
        </c:manualLayout>
      </c:layout>
      <c:scatterChart>
        <c:scatterStyle val="lineMarker"/>
        <c:varyColors val="0"/>
        <c:ser>
          <c:idx val="0"/>
          <c:order val="0"/>
          <c:tx>
            <c:v>ETwbsec</c:v>
          </c:tx>
          <c:spPr>
            <a:ln w="28575" cap="rnd">
              <a:noFill/>
              <a:round/>
            </a:ln>
            <a:effectLst/>
          </c:spPr>
          <c:marker>
            <c:symbol val="circle"/>
            <c:size val="5"/>
            <c:spPr>
              <a:solidFill>
                <a:srgbClr val="7030A0"/>
              </a:solidFill>
              <a:ln w="9525">
                <a:solidFill>
                  <a:srgbClr val="7030A0"/>
                </a:solidFill>
              </a:ln>
              <a:effectLst/>
            </c:spPr>
          </c:marker>
          <c:trendline>
            <c:spPr>
              <a:ln w="28575" cap="rnd">
                <a:solidFill>
                  <a:srgbClr val="7030A0"/>
                </a:solidFill>
                <a:prstDash val="sysDot"/>
              </a:ln>
              <a:effectLst/>
            </c:spPr>
            <c:trendlineType val="linear"/>
            <c:dispRSqr val="1"/>
            <c:dispEq val="0"/>
            <c:trendlineLbl>
              <c:layout>
                <c:manualLayout>
                  <c:x val="0.49209603607241403"/>
                  <c:y val="0.39544033280424928"/>
                </c:manualLayout>
              </c:layout>
              <c:numFmt formatCode="General" sourceLinked="0"/>
              <c:spPr>
                <a:solidFill>
                  <a:srgbClr val="7030A0"/>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'Monthly ET Comparison'!$G$17:$G$49</c:f>
              <c:numCache>
                <c:formatCode>General</c:formatCode>
                <c:ptCount val="33"/>
                <c:pt idx="0">
                  <c:v>10.870000000000003</c:v>
                </c:pt>
                <c:pt idx="1">
                  <c:v>21.36</c:v>
                </c:pt>
                <c:pt idx="2">
                  <c:v>28.729999999999997</c:v>
                </c:pt>
                <c:pt idx="3">
                  <c:v>43.88</c:v>
                </c:pt>
                <c:pt idx="4">
                  <c:v>53.690000000000005</c:v>
                </c:pt>
                <c:pt idx="5">
                  <c:v>39.199999999999996</c:v>
                </c:pt>
                <c:pt idx="6">
                  <c:v>39.159999999999997</c:v>
                </c:pt>
                <c:pt idx="7">
                  <c:v>19.709999999999997</c:v>
                </c:pt>
                <c:pt idx="8">
                  <c:v>15.66</c:v>
                </c:pt>
                <c:pt idx="9">
                  <c:v>16.770000000000003</c:v>
                </c:pt>
                <c:pt idx="10">
                  <c:v>14.430000000000001</c:v>
                </c:pt>
                <c:pt idx="11">
                  <c:v>12.670000000000002</c:v>
                </c:pt>
                <c:pt idx="12">
                  <c:v>12.75</c:v>
                </c:pt>
                <c:pt idx="13">
                  <c:v>19.520000000000003</c:v>
                </c:pt>
                <c:pt idx="14">
                  <c:v>44.67</c:v>
                </c:pt>
                <c:pt idx="15">
                  <c:v>46.79</c:v>
                </c:pt>
                <c:pt idx="16">
                  <c:v>48.959999999999994</c:v>
                </c:pt>
                <c:pt idx="17">
                  <c:v>22.789999999999996</c:v>
                </c:pt>
                <c:pt idx="18">
                  <c:v>10.86</c:v>
                </c:pt>
                <c:pt idx="19">
                  <c:v>6.08</c:v>
                </c:pt>
                <c:pt idx="20">
                  <c:v>8.16</c:v>
                </c:pt>
                <c:pt idx="21">
                  <c:v>21.140000000000004</c:v>
                </c:pt>
                <c:pt idx="22">
                  <c:v>11.31</c:v>
                </c:pt>
                <c:pt idx="23">
                  <c:v>11.22</c:v>
                </c:pt>
                <c:pt idx="24">
                  <c:v>8.9999999999999982</c:v>
                </c:pt>
                <c:pt idx="25">
                  <c:v>26.06</c:v>
                </c:pt>
                <c:pt idx="26">
                  <c:v>42.330000000000005</c:v>
                </c:pt>
                <c:pt idx="27">
                  <c:v>49.04999999999999</c:v>
                </c:pt>
                <c:pt idx="28">
                  <c:v>48.750000000000007</c:v>
                </c:pt>
                <c:pt idx="29">
                  <c:v>60.070000000000007</c:v>
                </c:pt>
                <c:pt idx="30">
                  <c:v>31.03</c:v>
                </c:pt>
                <c:pt idx="31">
                  <c:v>13.410000000000004</c:v>
                </c:pt>
                <c:pt idx="32">
                  <c:v>12.929999999999998</c:v>
                </c:pt>
              </c:numCache>
            </c:numRef>
          </c:xVal>
          <c:yVal>
            <c:numRef>
              <c:f>'Monthly ET Comparison'!$E$17:$E$49</c:f>
              <c:numCache>
                <c:formatCode>0.0</c:formatCode>
                <c:ptCount val="33"/>
                <c:pt idx="0">
                  <c:v>1.1064000129699709</c:v>
                </c:pt>
                <c:pt idx="1">
                  <c:v>8.1303997039794922</c:v>
                </c:pt>
                <c:pt idx="2">
                  <c:v>20.13019943237305</c:v>
                </c:pt>
                <c:pt idx="3">
                  <c:v>29.244098663330082</c:v>
                </c:pt>
                <c:pt idx="4">
                  <c:v>38.902198791503913</c:v>
                </c:pt>
                <c:pt idx="5">
                  <c:v>36.719497680664063</c:v>
                </c:pt>
                <c:pt idx="6">
                  <c:v>34.545398712158203</c:v>
                </c:pt>
                <c:pt idx="7">
                  <c:v>16.005899429321289</c:v>
                </c:pt>
                <c:pt idx="8">
                  <c:v>12.996700286865231</c:v>
                </c:pt>
                <c:pt idx="9">
                  <c:v>14.03359985351562</c:v>
                </c:pt>
                <c:pt idx="10">
                  <c:v>7.9492998123168954</c:v>
                </c:pt>
                <c:pt idx="11">
                  <c:v>4.6117992401123047</c:v>
                </c:pt>
                <c:pt idx="12" formatCode="0">
                  <c:v>1.170799732208252</c:v>
                </c:pt>
                <c:pt idx="13" formatCode="0">
                  <c:v>7.4464998245239258</c:v>
                </c:pt>
                <c:pt idx="14" formatCode="0">
                  <c:v>25.496700286865231</c:v>
                </c:pt>
                <c:pt idx="15" formatCode="0">
                  <c:v>29.590299606323239</c:v>
                </c:pt>
                <c:pt idx="16" formatCode="0">
                  <c:v>43.955600738525391</c:v>
                </c:pt>
                <c:pt idx="17" formatCode="0">
                  <c:v>34.350700378417969</c:v>
                </c:pt>
                <c:pt idx="18" formatCode="0">
                  <c:v>25.313600540161129</c:v>
                </c:pt>
                <c:pt idx="19" formatCode="0">
                  <c:v>12.88229942321777</c:v>
                </c:pt>
                <c:pt idx="20" formatCode="0">
                  <c:v>12.45189952850342</c:v>
                </c:pt>
                <c:pt idx="21" formatCode="0">
                  <c:v>12.089199066162109</c:v>
                </c:pt>
                <c:pt idx="22" formatCode="0">
                  <c:v>5.5305995941162109</c:v>
                </c:pt>
                <c:pt idx="23" formatCode="0">
                  <c:v>3.725500106811523</c:v>
                </c:pt>
                <c:pt idx="24">
                  <c:v>4.5753993988037109</c:v>
                </c:pt>
                <c:pt idx="25">
                  <c:v>7.219599723815918</c:v>
                </c:pt>
                <c:pt idx="26">
                  <c:v>24.604598999023441</c:v>
                </c:pt>
                <c:pt idx="27">
                  <c:v>31.813299179077148</c:v>
                </c:pt>
                <c:pt idx="28">
                  <c:v>33.609298706054688</c:v>
                </c:pt>
                <c:pt idx="29">
                  <c:v>46.768798828125</c:v>
                </c:pt>
                <c:pt idx="30">
                  <c:v>29.549200057983398</c:v>
                </c:pt>
                <c:pt idx="31">
                  <c:v>20.71719932556152</c:v>
                </c:pt>
                <c:pt idx="32">
                  <c:v>18.700998306274411</c:v>
                </c:pt>
              </c:numCache>
            </c:numRef>
          </c:yVal>
          <c:smooth val="0"/>
          <c:extLst>
            <c:ext xmlns:c16="http://schemas.microsoft.com/office/drawing/2014/chart" uri="{C3380CC4-5D6E-409C-BE32-E72D297353CC}">
              <c16:uniqueId val="{00000000-7A6F-4F94-9DC6-6B6C00C2FCDF}"/>
            </c:ext>
          </c:extLst>
        </c:ser>
        <c:ser>
          <c:idx val="1"/>
          <c:order val="1"/>
          <c:tx>
            <c:v>ETlosec</c:v>
          </c:tx>
          <c:spPr>
            <a:ln w="25400" cap="rnd">
              <a:noFill/>
              <a:round/>
            </a:ln>
            <a:effectLst/>
          </c:spPr>
          <c:marker>
            <c:symbol val="circle"/>
            <c:size val="5"/>
            <c:spPr>
              <a:solidFill>
                <a:schemeClr val="accent3"/>
              </a:solidFill>
              <a:ln w="9525">
                <a:solidFill>
                  <a:schemeClr val="accent3"/>
                </a:solidFill>
              </a:ln>
              <a:effectLst/>
            </c:spPr>
          </c:marker>
          <c:trendline>
            <c:spPr>
              <a:ln w="28575" cap="rnd">
                <a:solidFill>
                  <a:schemeClr val="accent3"/>
                </a:solidFill>
                <a:prstDash val="sysDot"/>
              </a:ln>
              <a:effectLst/>
            </c:spPr>
            <c:trendlineType val="linear"/>
            <c:dispRSqr val="1"/>
            <c:dispEq val="0"/>
            <c:trendlineLbl>
              <c:layout>
                <c:manualLayout>
                  <c:x val="0.37632864582023096"/>
                  <c:y val="0.35583391186877827"/>
                </c:manualLayout>
              </c:layout>
              <c:numFmt formatCode="General" sourceLinked="0"/>
              <c:spPr>
                <a:solidFill>
                  <a:schemeClr val="accent3"/>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'Monthly ET Comparison'!$H$17:$H$49</c:f>
              <c:numCache>
                <c:formatCode>General</c:formatCode>
                <c:ptCount val="33"/>
                <c:pt idx="0">
                  <c:v>12.330000000000002</c:v>
                </c:pt>
                <c:pt idx="1">
                  <c:v>16.07</c:v>
                </c:pt>
                <c:pt idx="2">
                  <c:v>33.529999999999987</c:v>
                </c:pt>
                <c:pt idx="3">
                  <c:v>47</c:v>
                </c:pt>
                <c:pt idx="4">
                  <c:v>82.779999999999987</c:v>
                </c:pt>
                <c:pt idx="5">
                  <c:v>75.749999999999986</c:v>
                </c:pt>
                <c:pt idx="6">
                  <c:v>58.279999999999994</c:v>
                </c:pt>
                <c:pt idx="7">
                  <c:v>29.689999999999998</c:v>
                </c:pt>
                <c:pt idx="8">
                  <c:v>19.920000000000002</c:v>
                </c:pt>
                <c:pt idx="9">
                  <c:v>19.439999999999998</c:v>
                </c:pt>
                <c:pt idx="10">
                  <c:v>17.149999999999999</c:v>
                </c:pt>
                <c:pt idx="11">
                  <c:v>18.999999999999993</c:v>
                </c:pt>
                <c:pt idx="12">
                  <c:v>16.059999999999999</c:v>
                </c:pt>
                <c:pt idx="13">
                  <c:v>23.64</c:v>
                </c:pt>
                <c:pt idx="14">
                  <c:v>49.919999999999995</c:v>
                </c:pt>
                <c:pt idx="15">
                  <c:v>56.629999999999995</c:v>
                </c:pt>
                <c:pt idx="16">
                  <c:v>78.569999999999979</c:v>
                </c:pt>
                <c:pt idx="17">
                  <c:v>51.279999999999994</c:v>
                </c:pt>
                <c:pt idx="18">
                  <c:v>23.580000000000005</c:v>
                </c:pt>
                <c:pt idx="19">
                  <c:v>14.260000000000002</c:v>
                </c:pt>
                <c:pt idx="20">
                  <c:v>13.540000000000001</c:v>
                </c:pt>
                <c:pt idx="21">
                  <c:v>26.900000000000002</c:v>
                </c:pt>
                <c:pt idx="22">
                  <c:v>13.629999999999997</c:v>
                </c:pt>
                <c:pt idx="23">
                  <c:v>14.959999999999997</c:v>
                </c:pt>
                <c:pt idx="24">
                  <c:v>9.5200000000000014</c:v>
                </c:pt>
                <c:pt idx="25">
                  <c:v>34.650000000000006</c:v>
                </c:pt>
                <c:pt idx="26">
                  <c:v>47.949999999999996</c:v>
                </c:pt>
                <c:pt idx="27">
                  <c:v>58.3</c:v>
                </c:pt>
                <c:pt idx="28">
                  <c:v>80.500000000000014</c:v>
                </c:pt>
                <c:pt idx="29">
                  <c:v>95.449999999999989</c:v>
                </c:pt>
                <c:pt idx="30">
                  <c:v>41.78</c:v>
                </c:pt>
                <c:pt idx="31">
                  <c:v>18.420000000000002</c:v>
                </c:pt>
                <c:pt idx="32">
                  <c:v>18.040000000000003</c:v>
                </c:pt>
              </c:numCache>
            </c:numRef>
          </c:xVal>
          <c:yVal>
            <c:numRef>
              <c:f>'Monthly ET Comparison'!$E$17:$E$49</c:f>
              <c:numCache>
                <c:formatCode>0.0</c:formatCode>
                <c:ptCount val="33"/>
                <c:pt idx="0">
                  <c:v>1.1064000129699709</c:v>
                </c:pt>
                <c:pt idx="1">
                  <c:v>8.1303997039794922</c:v>
                </c:pt>
                <c:pt idx="2">
                  <c:v>20.13019943237305</c:v>
                </c:pt>
                <c:pt idx="3">
                  <c:v>29.244098663330082</c:v>
                </c:pt>
                <c:pt idx="4">
                  <c:v>38.902198791503913</c:v>
                </c:pt>
                <c:pt idx="5">
                  <c:v>36.719497680664063</c:v>
                </c:pt>
                <c:pt idx="6">
                  <c:v>34.545398712158203</c:v>
                </c:pt>
                <c:pt idx="7">
                  <c:v>16.005899429321289</c:v>
                </c:pt>
                <c:pt idx="8">
                  <c:v>12.996700286865231</c:v>
                </c:pt>
                <c:pt idx="9">
                  <c:v>14.03359985351562</c:v>
                </c:pt>
                <c:pt idx="10">
                  <c:v>7.9492998123168954</c:v>
                </c:pt>
                <c:pt idx="11">
                  <c:v>4.6117992401123047</c:v>
                </c:pt>
                <c:pt idx="12" formatCode="0">
                  <c:v>1.170799732208252</c:v>
                </c:pt>
                <c:pt idx="13" formatCode="0">
                  <c:v>7.4464998245239258</c:v>
                </c:pt>
                <c:pt idx="14" formatCode="0">
                  <c:v>25.496700286865231</c:v>
                </c:pt>
                <c:pt idx="15" formatCode="0">
                  <c:v>29.590299606323239</c:v>
                </c:pt>
                <c:pt idx="16" formatCode="0">
                  <c:v>43.955600738525391</c:v>
                </c:pt>
                <c:pt idx="17" formatCode="0">
                  <c:v>34.350700378417969</c:v>
                </c:pt>
                <c:pt idx="18" formatCode="0">
                  <c:v>25.313600540161129</c:v>
                </c:pt>
                <c:pt idx="19" formatCode="0">
                  <c:v>12.88229942321777</c:v>
                </c:pt>
                <c:pt idx="20" formatCode="0">
                  <c:v>12.45189952850342</c:v>
                </c:pt>
                <c:pt idx="21" formatCode="0">
                  <c:v>12.089199066162109</c:v>
                </c:pt>
                <c:pt idx="22" formatCode="0">
                  <c:v>5.5305995941162109</c:v>
                </c:pt>
                <c:pt idx="23" formatCode="0">
                  <c:v>3.725500106811523</c:v>
                </c:pt>
                <c:pt idx="24">
                  <c:v>4.5753993988037109</c:v>
                </c:pt>
                <c:pt idx="25">
                  <c:v>7.219599723815918</c:v>
                </c:pt>
                <c:pt idx="26">
                  <c:v>24.604598999023441</c:v>
                </c:pt>
                <c:pt idx="27">
                  <c:v>31.813299179077148</c:v>
                </c:pt>
                <c:pt idx="28">
                  <c:v>33.609298706054688</c:v>
                </c:pt>
                <c:pt idx="29">
                  <c:v>46.768798828125</c:v>
                </c:pt>
                <c:pt idx="30">
                  <c:v>29.549200057983398</c:v>
                </c:pt>
                <c:pt idx="31">
                  <c:v>20.71719932556152</c:v>
                </c:pt>
                <c:pt idx="32">
                  <c:v>18.700998306274411</c:v>
                </c:pt>
              </c:numCache>
            </c:numRef>
          </c:yVal>
          <c:smooth val="0"/>
          <c:extLst>
            <c:ext xmlns:c16="http://schemas.microsoft.com/office/drawing/2014/chart" uri="{C3380CC4-5D6E-409C-BE32-E72D297353CC}">
              <c16:uniqueId val="{00000001-7A6F-4F94-9DC6-6B6C00C2FCDF}"/>
            </c:ext>
          </c:extLst>
        </c:ser>
        <c:ser>
          <c:idx val="2"/>
          <c:order val="2"/>
          <c:tx>
            <c:v>ET138h08ec</c:v>
          </c:tx>
          <c:spPr>
            <a:ln w="25400" cap="rnd">
              <a:noFill/>
              <a:round/>
            </a:ln>
            <a:effectLst/>
          </c:spPr>
          <c:marker>
            <c:symbol val="circle"/>
            <c:size val="5"/>
            <c:spPr>
              <a:solidFill>
                <a:schemeClr val="accent5"/>
              </a:solidFill>
              <a:ln w="9525">
                <a:solidFill>
                  <a:schemeClr val="accent5"/>
                </a:solidFill>
              </a:ln>
              <a:effectLst/>
            </c:spPr>
          </c:marker>
          <c:trendline>
            <c:spPr>
              <a:ln w="28575" cap="rnd">
                <a:solidFill>
                  <a:schemeClr val="accent5"/>
                </a:solidFill>
                <a:prstDash val="sysDot"/>
              </a:ln>
              <a:effectLst/>
            </c:spPr>
            <c:trendlineType val="linear"/>
            <c:dispRSqr val="1"/>
            <c:dispEq val="0"/>
            <c:trendlineLbl>
              <c:layout>
                <c:manualLayout>
                  <c:x val="0.2455341165421415"/>
                  <c:y val="0.35356961314274299"/>
                </c:manualLayout>
              </c:layout>
              <c:numFmt formatCode="General" sourceLinked="0"/>
              <c:spPr>
                <a:solidFill>
                  <a:schemeClr val="accent5"/>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'Monthly ET Comparison'!$I$17:$I$49</c:f>
              <c:numCache>
                <c:formatCode>General</c:formatCode>
                <c:ptCount val="33"/>
                <c:pt idx="0">
                  <c:v>9.9499999999999993</c:v>
                </c:pt>
                <c:pt idx="1">
                  <c:v>12.469999999999995</c:v>
                </c:pt>
                <c:pt idx="2">
                  <c:v>22.959999999999997</c:v>
                </c:pt>
                <c:pt idx="3">
                  <c:v>33.269999999999989</c:v>
                </c:pt>
                <c:pt idx="4" formatCode="0.00">
                  <c:v>51.34011572517457</c:v>
                </c:pt>
                <c:pt idx="5">
                  <c:v>129.77000000000001</c:v>
                </c:pt>
                <c:pt idx="6">
                  <c:v>102.14</c:v>
                </c:pt>
                <c:pt idx="7">
                  <c:v>55.009999999999991</c:v>
                </c:pt>
                <c:pt idx="8">
                  <c:v>26.569999999999997</c:v>
                </c:pt>
                <c:pt idx="9">
                  <c:v>16.909999999999997</c:v>
                </c:pt>
                <c:pt idx="10">
                  <c:v>16.599999999999998</c:v>
                </c:pt>
                <c:pt idx="11">
                  <c:v>4.9299999999999988</c:v>
                </c:pt>
                <c:pt idx="12">
                  <c:v>6.0999999999999988</c:v>
                </c:pt>
                <c:pt idx="13">
                  <c:v>10.96</c:v>
                </c:pt>
                <c:pt idx="14">
                  <c:v>26.71</c:v>
                </c:pt>
                <c:pt idx="15">
                  <c:v>36.22</c:v>
                </c:pt>
                <c:pt idx="16">
                  <c:v>74.92</c:v>
                </c:pt>
                <c:pt idx="17">
                  <c:v>114.52</c:v>
                </c:pt>
                <c:pt idx="18">
                  <c:v>100.24000000000001</c:v>
                </c:pt>
                <c:pt idx="19">
                  <c:v>53.21</c:v>
                </c:pt>
                <c:pt idx="20">
                  <c:v>21.199999999999996</c:v>
                </c:pt>
                <c:pt idx="21">
                  <c:v>25.97</c:v>
                </c:pt>
                <c:pt idx="22">
                  <c:v>12.479999999999997</c:v>
                </c:pt>
                <c:pt idx="23">
                  <c:v>6.6000000000000005</c:v>
                </c:pt>
                <c:pt idx="24">
                  <c:v>2.84</c:v>
                </c:pt>
                <c:pt idx="25">
                  <c:v>5.98</c:v>
                </c:pt>
                <c:pt idx="26">
                  <c:v>19.53</c:v>
                </c:pt>
                <c:pt idx="27">
                  <c:v>36.000000000000007</c:v>
                </c:pt>
                <c:pt idx="28">
                  <c:v>63.830000000000013</c:v>
                </c:pt>
                <c:pt idx="29">
                  <c:v>124.65999999999998</c:v>
                </c:pt>
                <c:pt idx="30">
                  <c:v>130.20999999999995</c:v>
                </c:pt>
                <c:pt idx="31">
                  <c:v>60.989999999999995</c:v>
                </c:pt>
                <c:pt idx="32">
                  <c:v>30.020000000000007</c:v>
                </c:pt>
              </c:numCache>
            </c:numRef>
          </c:xVal>
          <c:yVal>
            <c:numRef>
              <c:f>'Monthly ET Comparison'!$F$17:$F$49</c:f>
              <c:numCache>
                <c:formatCode>0.0</c:formatCode>
                <c:ptCount val="33"/>
                <c:pt idx="0">
                  <c:v>4.2399883270263672E-2</c:v>
                </c:pt>
                <c:pt idx="1">
                  <c:v>5.2055997848510742</c:v>
                </c:pt>
                <c:pt idx="2">
                  <c:v>18.350997924804691</c:v>
                </c:pt>
                <c:pt idx="3">
                  <c:v>26.040899276733398</c:v>
                </c:pt>
                <c:pt idx="4">
                  <c:v>40.65899658203125</c:v>
                </c:pt>
                <c:pt idx="5">
                  <c:v>53.714694976806641</c:v>
                </c:pt>
                <c:pt idx="6">
                  <c:v>53.16619873046875</c:v>
                </c:pt>
                <c:pt idx="7">
                  <c:v>29.62189865112305</c:v>
                </c:pt>
                <c:pt idx="8">
                  <c:v>16.542299270629879</c:v>
                </c:pt>
                <c:pt idx="9">
                  <c:v>13.60799980163574</c:v>
                </c:pt>
                <c:pt idx="10">
                  <c:v>7.8372993469238281</c:v>
                </c:pt>
                <c:pt idx="11">
                  <c:v>3.4485998153686519</c:v>
                </c:pt>
                <c:pt idx="12" formatCode="0">
                  <c:v>2.4828000068664551</c:v>
                </c:pt>
                <c:pt idx="13" formatCode="0">
                  <c:v>3.0625</c:v>
                </c:pt>
                <c:pt idx="14" formatCode="0">
                  <c:v>22.533500671386719</c:v>
                </c:pt>
                <c:pt idx="15" formatCode="0">
                  <c:v>29.96149826049805</c:v>
                </c:pt>
                <c:pt idx="16" formatCode="0">
                  <c:v>42.179599761962891</c:v>
                </c:pt>
                <c:pt idx="17" formatCode="0">
                  <c:v>46.827499389648438</c:v>
                </c:pt>
                <c:pt idx="18" formatCode="0">
                  <c:v>40.513599395751953</c:v>
                </c:pt>
                <c:pt idx="19" formatCode="0">
                  <c:v>23.76869964599609</c:v>
                </c:pt>
                <c:pt idx="20" formatCode="0">
                  <c:v>14.8838996887207</c:v>
                </c:pt>
                <c:pt idx="21" formatCode="0">
                  <c:v>10.722799301147459</c:v>
                </c:pt>
                <c:pt idx="22" formatCode="0">
                  <c:v>4.2601995468139648</c:v>
                </c:pt>
                <c:pt idx="23" formatCode="0">
                  <c:v>2.9815001487731929</c:v>
                </c:pt>
                <c:pt idx="24">
                  <c:v>5.5209999084472656</c:v>
                </c:pt>
                <c:pt idx="25">
                  <c:v>6.7363996505737296</c:v>
                </c:pt>
                <c:pt idx="26">
                  <c:v>17.687801361083981</c:v>
                </c:pt>
                <c:pt idx="27">
                  <c:v>30.552497863769531</c:v>
                </c:pt>
                <c:pt idx="28">
                  <c:v>34.783699035644531</c:v>
                </c:pt>
                <c:pt idx="29">
                  <c:v>51.469600677490227</c:v>
                </c:pt>
                <c:pt idx="30">
                  <c:v>49.043598175048828</c:v>
                </c:pt>
                <c:pt idx="31">
                  <c:v>33.398799896240227</c:v>
                </c:pt>
                <c:pt idx="32">
                  <c:v>22.384199142456051</c:v>
                </c:pt>
              </c:numCache>
            </c:numRef>
          </c:yVal>
          <c:smooth val="0"/>
          <c:extLst>
            <c:ext xmlns:c16="http://schemas.microsoft.com/office/drawing/2014/chart" uri="{C3380CC4-5D6E-409C-BE32-E72D297353CC}">
              <c16:uniqueId val="{00000002-7A6F-4F94-9DC6-6B6C00C2FCDF}"/>
            </c:ext>
          </c:extLst>
        </c:ser>
        <c:ser>
          <c:idx val="3"/>
          <c:order val="3"/>
          <c:tx>
            <c:v>ETmbsec</c:v>
          </c:tx>
          <c:spPr>
            <a:ln w="25400" cap="rnd">
              <a:noFill/>
              <a:round/>
            </a:ln>
            <a:effectLst/>
          </c:spPr>
          <c:marker>
            <c:symbol val="circle"/>
            <c:size val="5"/>
            <c:spPr>
              <a:solidFill>
                <a:srgbClr val="00B0F0"/>
              </a:solidFill>
              <a:ln w="9525">
                <a:solidFill>
                  <a:srgbClr val="00B0F0"/>
                </a:solidFill>
              </a:ln>
              <a:effectLst/>
            </c:spPr>
          </c:marker>
          <c:trendline>
            <c:spPr>
              <a:ln w="28575" cap="rnd">
                <a:solidFill>
                  <a:srgbClr val="00B0F0"/>
                </a:solidFill>
                <a:prstDash val="sysDot"/>
              </a:ln>
              <a:effectLst/>
            </c:spPr>
            <c:trendlineType val="linear"/>
            <c:dispRSqr val="1"/>
            <c:dispEq val="0"/>
            <c:trendlineLbl>
              <c:layout>
                <c:manualLayout>
                  <c:x val="0.17323270693399753"/>
                  <c:y val="0.28456427874925583"/>
                </c:manualLayout>
              </c:layout>
              <c:numFmt formatCode="General" sourceLinked="0"/>
              <c:spPr>
                <a:solidFill>
                  <a:srgbClr val="00B0F0"/>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'Monthly ET Comparison'!$J$17:$J$49</c:f>
              <c:numCache>
                <c:formatCode>General</c:formatCode>
                <c:ptCount val="33"/>
                <c:pt idx="0">
                  <c:v>7.0000000000000018</c:v>
                </c:pt>
                <c:pt idx="1">
                  <c:v>14.11</c:v>
                </c:pt>
                <c:pt idx="2">
                  <c:v>24.64</c:v>
                </c:pt>
                <c:pt idx="3">
                  <c:v>32.49</c:v>
                </c:pt>
                <c:pt idx="4">
                  <c:v>62.390000000000008</c:v>
                </c:pt>
                <c:pt idx="5">
                  <c:v>141.46999999999997</c:v>
                </c:pt>
                <c:pt idx="6">
                  <c:v>107.80999999999999</c:v>
                </c:pt>
                <c:pt idx="7">
                  <c:v>52.499999999999979</c:v>
                </c:pt>
                <c:pt idx="8">
                  <c:v>28.42</c:v>
                </c:pt>
                <c:pt idx="9">
                  <c:v>23.390000000000004</c:v>
                </c:pt>
                <c:pt idx="10">
                  <c:v>15.460000000000003</c:v>
                </c:pt>
                <c:pt idx="11">
                  <c:v>8.4300000000000033</c:v>
                </c:pt>
                <c:pt idx="12">
                  <c:v>3.7100000000000004</c:v>
                </c:pt>
                <c:pt idx="13">
                  <c:v>8.48</c:v>
                </c:pt>
                <c:pt idx="14">
                  <c:v>10.470000000000002</c:v>
                </c:pt>
                <c:pt idx="15">
                  <c:v>16.519999999999996</c:v>
                </c:pt>
                <c:pt idx="16">
                  <c:v>67.61</c:v>
                </c:pt>
                <c:pt idx="17">
                  <c:v>114.72999999999999</c:v>
                </c:pt>
                <c:pt idx="18">
                  <c:v>111.68999999999997</c:v>
                </c:pt>
                <c:pt idx="19">
                  <c:v>50.34</c:v>
                </c:pt>
                <c:pt idx="20">
                  <c:v>26.840000000000003</c:v>
                </c:pt>
                <c:pt idx="21">
                  <c:v>25.32</c:v>
                </c:pt>
                <c:pt idx="22">
                  <c:v>13.290000000000001</c:v>
                </c:pt>
                <c:pt idx="23">
                  <c:v>8.1800000000000015</c:v>
                </c:pt>
                <c:pt idx="24">
                  <c:v>12.99</c:v>
                </c:pt>
                <c:pt idx="25">
                  <c:v>11.360000000000003</c:v>
                </c:pt>
                <c:pt idx="26">
                  <c:v>16.379999999999995</c:v>
                </c:pt>
                <c:pt idx="27">
                  <c:v>25.809999999999995</c:v>
                </c:pt>
                <c:pt idx="28">
                  <c:v>47.63</c:v>
                </c:pt>
                <c:pt idx="29">
                  <c:v>116.13000000000001</c:v>
                </c:pt>
                <c:pt idx="30">
                  <c:v>147.97</c:v>
                </c:pt>
                <c:pt idx="31">
                  <c:v>59.359999999999992</c:v>
                </c:pt>
                <c:pt idx="32">
                  <c:v>31.08</c:v>
                </c:pt>
              </c:numCache>
            </c:numRef>
          </c:xVal>
          <c:yVal>
            <c:numRef>
              <c:f>'Monthly ET Comparison'!$F$17:$F$49</c:f>
              <c:numCache>
                <c:formatCode>0.0</c:formatCode>
                <c:ptCount val="33"/>
                <c:pt idx="0">
                  <c:v>4.2399883270263672E-2</c:v>
                </c:pt>
                <c:pt idx="1">
                  <c:v>5.2055997848510742</c:v>
                </c:pt>
                <c:pt idx="2">
                  <c:v>18.350997924804691</c:v>
                </c:pt>
                <c:pt idx="3">
                  <c:v>26.040899276733398</c:v>
                </c:pt>
                <c:pt idx="4">
                  <c:v>40.65899658203125</c:v>
                </c:pt>
                <c:pt idx="5">
                  <c:v>53.714694976806641</c:v>
                </c:pt>
                <c:pt idx="6">
                  <c:v>53.16619873046875</c:v>
                </c:pt>
                <c:pt idx="7">
                  <c:v>29.62189865112305</c:v>
                </c:pt>
                <c:pt idx="8">
                  <c:v>16.542299270629879</c:v>
                </c:pt>
                <c:pt idx="9">
                  <c:v>13.60799980163574</c:v>
                </c:pt>
                <c:pt idx="10">
                  <c:v>7.8372993469238281</c:v>
                </c:pt>
                <c:pt idx="11">
                  <c:v>3.4485998153686519</c:v>
                </c:pt>
                <c:pt idx="12" formatCode="0">
                  <c:v>2.4828000068664551</c:v>
                </c:pt>
                <c:pt idx="13" formatCode="0">
                  <c:v>3.0625</c:v>
                </c:pt>
                <c:pt idx="14" formatCode="0">
                  <c:v>22.533500671386719</c:v>
                </c:pt>
                <c:pt idx="15" formatCode="0">
                  <c:v>29.96149826049805</c:v>
                </c:pt>
                <c:pt idx="16" formatCode="0">
                  <c:v>42.179599761962891</c:v>
                </c:pt>
                <c:pt idx="17" formatCode="0">
                  <c:v>46.827499389648438</c:v>
                </c:pt>
                <c:pt idx="18" formatCode="0">
                  <c:v>40.513599395751953</c:v>
                </c:pt>
                <c:pt idx="19" formatCode="0">
                  <c:v>23.76869964599609</c:v>
                </c:pt>
                <c:pt idx="20" formatCode="0">
                  <c:v>14.8838996887207</c:v>
                </c:pt>
                <c:pt idx="21" formatCode="0">
                  <c:v>10.722799301147459</c:v>
                </c:pt>
                <c:pt idx="22" formatCode="0">
                  <c:v>4.2601995468139648</c:v>
                </c:pt>
                <c:pt idx="23" formatCode="0">
                  <c:v>2.9815001487731929</c:v>
                </c:pt>
                <c:pt idx="24">
                  <c:v>5.5209999084472656</c:v>
                </c:pt>
                <c:pt idx="25">
                  <c:v>6.7363996505737296</c:v>
                </c:pt>
                <c:pt idx="26">
                  <c:v>17.687801361083981</c:v>
                </c:pt>
                <c:pt idx="27">
                  <c:v>30.552497863769531</c:v>
                </c:pt>
                <c:pt idx="28">
                  <c:v>34.783699035644531</c:v>
                </c:pt>
                <c:pt idx="29">
                  <c:v>51.469600677490227</c:v>
                </c:pt>
                <c:pt idx="30">
                  <c:v>49.043598175048828</c:v>
                </c:pt>
                <c:pt idx="31">
                  <c:v>33.398799896240227</c:v>
                </c:pt>
                <c:pt idx="32">
                  <c:v>22.384199142456051</c:v>
                </c:pt>
              </c:numCache>
            </c:numRef>
          </c:yVal>
          <c:smooth val="0"/>
          <c:extLst>
            <c:ext xmlns:c16="http://schemas.microsoft.com/office/drawing/2014/chart" uri="{C3380CC4-5D6E-409C-BE32-E72D297353CC}">
              <c16:uniqueId val="{00000003-7A6F-4F94-9DC6-6B6C00C2FCDF}"/>
            </c:ext>
          </c:extLst>
        </c:ser>
        <c:dLbls>
          <c:showLegendKey val="0"/>
          <c:showVal val="0"/>
          <c:showCatName val="0"/>
          <c:showSerName val="0"/>
          <c:showPercent val="0"/>
          <c:showBubbleSize val="0"/>
        </c:dLbls>
        <c:axId val="625480376"/>
        <c:axId val="625484640"/>
      </c:scatterChart>
      <c:valAx>
        <c:axId val="625480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RCEW</a:t>
                </a:r>
                <a:r>
                  <a:rPr lang="en-US" baseline="0"/>
                  <a:t> ET</a:t>
                </a:r>
                <a:endParaRPr lang="en-US"/>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25484640"/>
        <c:crosses val="autoZero"/>
        <c:crossBetween val="midCat"/>
      </c:valAx>
      <c:valAx>
        <c:axId val="62548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NLDAS-2-Noah ET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0.0"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25480376"/>
        <c:crosses val="autoZero"/>
        <c:crossBetween val="midCat"/>
      </c:valAx>
      <c:spPr>
        <a:noFill/>
        <a:ln w="31750">
          <a:solidFill>
            <a:schemeClr val="tx1"/>
          </a:solidFill>
        </a:ln>
        <a:effectLst/>
      </c:spPr>
    </c:plotArea>
    <c:plotVisOnly val="1"/>
    <c:dispBlanksAs val="gap"/>
    <c:showDLblsOverMax val="0"/>
  </c:chart>
  <c:spPr>
    <a:noFill/>
    <a:ln w="9525" cap="flat" cmpd="sng" algn="ctr">
      <a:noFill/>
      <a:round/>
    </a:ln>
    <a:effectLst/>
  </c:spPr>
  <c:txPr>
    <a:bodyPr/>
    <a:lstStyle/>
    <a:p>
      <a:pPr>
        <a:defRPr sz="1100">
          <a:latin typeface="Century Gothic" panose="020B0502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22400508917906"/>
          <c:y val="3.2867917532613256E-2"/>
          <c:w val="0.74779936994338969"/>
          <c:h val="0.7820187240374481"/>
        </c:manualLayout>
      </c:layout>
      <c:scatterChart>
        <c:scatterStyle val="lineMarker"/>
        <c:varyColors val="0"/>
        <c:ser>
          <c:idx val="0"/>
          <c:order val="0"/>
          <c:tx>
            <c:v>losec</c:v>
          </c:tx>
          <c:spPr>
            <a:ln w="38100" cap="rnd">
              <a:solidFill>
                <a:schemeClr val="accent3"/>
              </a:solidFill>
              <a:round/>
            </a:ln>
            <a:effectLst/>
          </c:spPr>
          <c:marker>
            <c:symbol val="none"/>
          </c:marker>
          <c:xVal>
            <c:numRef>
              <c:f>'[NLDAS2Noah_ETtoET_Monthly.xlsx]Monthly ET Comparison'!$B$29:$B$40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'[NLDAS2Noah_ETtoET_Monthly.xlsx]Monthly ET Comparison'!$E$29:$E$40</c:f>
              <c:numCache>
                <c:formatCode>0</c:formatCode>
                <c:ptCount val="12"/>
                <c:pt idx="0">
                  <c:v>1.170799732208252</c:v>
                </c:pt>
                <c:pt idx="1">
                  <c:v>7.4464998245239258</c:v>
                </c:pt>
                <c:pt idx="2">
                  <c:v>25.496700286865231</c:v>
                </c:pt>
                <c:pt idx="3">
                  <c:v>29.590299606323239</c:v>
                </c:pt>
                <c:pt idx="4">
                  <c:v>43.955600738525391</c:v>
                </c:pt>
                <c:pt idx="5">
                  <c:v>34.350700378417969</c:v>
                </c:pt>
                <c:pt idx="6">
                  <c:v>25.313600540161129</c:v>
                </c:pt>
                <c:pt idx="7">
                  <c:v>12.88229942321777</c:v>
                </c:pt>
                <c:pt idx="8">
                  <c:v>12.45189952850342</c:v>
                </c:pt>
                <c:pt idx="9">
                  <c:v>12.089199066162109</c:v>
                </c:pt>
                <c:pt idx="10">
                  <c:v>5.5305995941162109</c:v>
                </c:pt>
                <c:pt idx="11">
                  <c:v>3.725500106811523</c:v>
                </c:pt>
              </c:numCache>
            </c:numRef>
          </c:yVal>
          <c:smooth val="0"/>
          <c:extLst>
            <c:ext xmlns:c16="http://schemas.microsoft.com/office/drawing/2014/chart" uri="{C3380CC4-5D6E-409C-BE32-E72D297353CC}">
              <c16:uniqueId val="{00000000-3E8A-490A-B3C0-E4B4F6CD7EC6}"/>
            </c:ext>
          </c:extLst>
        </c:ser>
        <c:ser>
          <c:idx val="1"/>
          <c:order val="1"/>
          <c:tx>
            <c:v>138h08ec</c:v>
          </c:tx>
          <c:spPr>
            <a:ln w="38100" cap="rnd">
              <a:solidFill>
                <a:schemeClr val="accent5"/>
              </a:solidFill>
              <a:round/>
            </a:ln>
            <a:effectLst/>
          </c:spPr>
          <c:marker>
            <c:symbol val="none"/>
          </c:marker>
          <c:xVal>
            <c:numRef>
              <c:f>'[NLDAS2Noah_ETtoET_Monthly.xlsx]Monthly ET Comparison'!$B$29:$B$40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'[NLDAS2Noah_ETtoET_Monthly.xlsx]Monthly ET Comparison'!$F$29:$F$40</c:f>
              <c:numCache>
                <c:formatCode>0</c:formatCode>
                <c:ptCount val="12"/>
                <c:pt idx="0">
                  <c:v>2.4828000068664551</c:v>
                </c:pt>
                <c:pt idx="1">
                  <c:v>3.0625</c:v>
                </c:pt>
                <c:pt idx="2">
                  <c:v>22.533500671386719</c:v>
                </c:pt>
                <c:pt idx="3">
                  <c:v>29.96149826049805</c:v>
                </c:pt>
                <c:pt idx="4">
                  <c:v>42.179599761962891</c:v>
                </c:pt>
                <c:pt idx="5">
                  <c:v>46.827499389648438</c:v>
                </c:pt>
                <c:pt idx="6">
                  <c:v>40.513599395751953</c:v>
                </c:pt>
                <c:pt idx="7">
                  <c:v>23.76869964599609</c:v>
                </c:pt>
                <c:pt idx="8">
                  <c:v>14.8838996887207</c:v>
                </c:pt>
                <c:pt idx="9">
                  <c:v>10.722799301147459</c:v>
                </c:pt>
                <c:pt idx="10">
                  <c:v>4.2601995468139648</c:v>
                </c:pt>
                <c:pt idx="11">
                  <c:v>2.9815001487731929</c:v>
                </c:pt>
              </c:numCache>
            </c:numRef>
          </c:yVal>
          <c:smooth val="0"/>
          <c:extLst>
            <c:ext xmlns:c16="http://schemas.microsoft.com/office/drawing/2014/chart" uri="{C3380CC4-5D6E-409C-BE32-E72D297353CC}">
              <c16:uniqueId val="{00000001-3E8A-490A-B3C0-E4B4F6CD7EC6}"/>
            </c:ext>
          </c:extLst>
        </c:ser>
        <c:ser>
          <c:idx val="2"/>
          <c:order val="2"/>
          <c:tx>
            <c:v>wbsec</c:v>
          </c:tx>
          <c:spPr>
            <a:ln w="38100" cap="rnd">
              <a:solidFill>
                <a:srgbClr val="7030A0"/>
              </a:solidFill>
              <a:prstDash val="dash"/>
              <a:round/>
            </a:ln>
            <a:effectLst/>
          </c:spPr>
          <c:marker>
            <c:symbol val="none"/>
          </c:marker>
          <c:xVal>
            <c:numRef>
              <c:f>'[NLDAS2Noah_ETtoET_Monthly.xlsx]Monthly ET Comparison'!$B$29:$B$40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'[NLDAS2Noah_ETtoET_Monthly.xlsx]Monthly ET Comparison'!$E$29:$E$40</c:f>
              <c:numCache>
                <c:formatCode>0</c:formatCode>
                <c:ptCount val="12"/>
                <c:pt idx="0">
                  <c:v>1.170799732208252</c:v>
                </c:pt>
                <c:pt idx="1">
                  <c:v>7.4464998245239258</c:v>
                </c:pt>
                <c:pt idx="2">
                  <c:v>25.496700286865231</c:v>
                </c:pt>
                <c:pt idx="3">
                  <c:v>29.590299606323239</c:v>
                </c:pt>
                <c:pt idx="4">
                  <c:v>43.955600738525391</c:v>
                </c:pt>
                <c:pt idx="5">
                  <c:v>34.350700378417969</c:v>
                </c:pt>
                <c:pt idx="6">
                  <c:v>25.313600540161129</c:v>
                </c:pt>
                <c:pt idx="7">
                  <c:v>12.88229942321777</c:v>
                </c:pt>
                <c:pt idx="8">
                  <c:v>12.45189952850342</c:v>
                </c:pt>
                <c:pt idx="9">
                  <c:v>12.089199066162109</c:v>
                </c:pt>
                <c:pt idx="10">
                  <c:v>5.5305995941162109</c:v>
                </c:pt>
                <c:pt idx="11">
                  <c:v>3.725500106811523</c:v>
                </c:pt>
              </c:numCache>
            </c:numRef>
          </c:yVal>
          <c:smooth val="0"/>
          <c:extLst>
            <c:ext xmlns:c16="http://schemas.microsoft.com/office/drawing/2014/chart" uri="{C3380CC4-5D6E-409C-BE32-E72D297353CC}">
              <c16:uniqueId val="{00000002-3E8A-490A-B3C0-E4B4F6CD7EC6}"/>
            </c:ext>
          </c:extLst>
        </c:ser>
        <c:ser>
          <c:idx val="3"/>
          <c:order val="3"/>
          <c:tx>
            <c:v>mbsec</c:v>
          </c:tx>
          <c:spPr>
            <a:ln w="38100" cap="rnd">
              <a:solidFill>
                <a:srgbClr val="00B0F0"/>
              </a:solidFill>
              <a:prstDash val="dash"/>
              <a:round/>
            </a:ln>
            <a:effectLst/>
          </c:spPr>
          <c:marker>
            <c:symbol val="none"/>
          </c:marker>
          <c:xVal>
            <c:numRef>
              <c:f>'[NLDAS2Noah_ETtoET_Monthly.xlsx]Monthly ET Comparison'!$B$29:$B$40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'[NLDAS2Noah_ETtoET_Monthly.xlsx]Monthly ET Comparison'!$F$29:$F$40</c:f>
              <c:numCache>
                <c:formatCode>0</c:formatCode>
                <c:ptCount val="12"/>
                <c:pt idx="0">
                  <c:v>2.4828000068664551</c:v>
                </c:pt>
                <c:pt idx="1">
                  <c:v>3.0625</c:v>
                </c:pt>
                <c:pt idx="2">
                  <c:v>22.533500671386719</c:v>
                </c:pt>
                <c:pt idx="3">
                  <c:v>29.96149826049805</c:v>
                </c:pt>
                <c:pt idx="4">
                  <c:v>42.179599761962891</c:v>
                </c:pt>
                <c:pt idx="5">
                  <c:v>46.827499389648438</c:v>
                </c:pt>
                <c:pt idx="6">
                  <c:v>40.513599395751953</c:v>
                </c:pt>
                <c:pt idx="7">
                  <c:v>23.76869964599609</c:v>
                </c:pt>
                <c:pt idx="8">
                  <c:v>14.8838996887207</c:v>
                </c:pt>
                <c:pt idx="9">
                  <c:v>10.722799301147459</c:v>
                </c:pt>
                <c:pt idx="10">
                  <c:v>4.2601995468139648</c:v>
                </c:pt>
                <c:pt idx="11">
                  <c:v>2.9815001487731929</c:v>
                </c:pt>
              </c:numCache>
            </c:numRef>
          </c:yVal>
          <c:smooth val="0"/>
          <c:extLst>
            <c:ext xmlns:c16="http://schemas.microsoft.com/office/drawing/2014/chart" uri="{C3380CC4-5D6E-409C-BE32-E72D297353CC}">
              <c16:uniqueId val="{00000003-3E8A-490A-B3C0-E4B4F6CD7EC6}"/>
            </c:ext>
          </c:extLst>
        </c:ser>
        <c:dLbls>
          <c:showLegendKey val="0"/>
          <c:showVal val="0"/>
          <c:showCatName val="0"/>
          <c:showSerName val="0"/>
          <c:showPercent val="0"/>
          <c:showBubbleSize val="0"/>
        </c:dLbls>
        <c:axId val="657972360"/>
        <c:axId val="657964160"/>
      </c:scatterChart>
      <c:valAx>
        <c:axId val="657972360"/>
        <c:scaling>
          <c:orientation val="minMax"/>
          <c:max val="12"/>
          <c:min val="1"/>
        </c:scaling>
        <c:delete val="0"/>
        <c:axPos val="b"/>
        <c:title>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r>
                  <a:rPr lang="en-US"/>
                  <a:t>Month</a:t>
                </a:r>
              </a:p>
            </c:rich>
          </c:tx>
          <c:layout>
            <c:manualLayout>
              <c:xMode val="edge"/>
              <c:yMode val="edge"/>
              <c:x val="0.46505520608806583"/>
              <c:y val="0.9082150164300328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crossAx val="657964160"/>
        <c:crosses val="autoZero"/>
        <c:crossBetween val="midCat"/>
        <c:majorUnit val="1"/>
      </c:valAx>
      <c:valAx>
        <c:axId val="657964160"/>
        <c:scaling>
          <c:orientation val="minMax"/>
          <c:max val="140"/>
        </c:scaling>
        <c:delete val="0"/>
        <c:axPos val="l"/>
        <c:title>
          <c:tx>
            <c:rich>
              <a:bodyPr rot="-54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r>
                  <a:rPr lang="en-US"/>
                  <a:t>ET (mm/month)</a:t>
                </a:r>
              </a:p>
            </c:rich>
          </c:tx>
          <c:layout>
            <c:manualLayout>
              <c:xMode val="edge"/>
              <c:yMode val="edge"/>
              <c:x val="0"/>
              <c:y val="0.1772298344596688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numFmt formatCode="0"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crossAx val="657972360"/>
        <c:crosses val="autoZero"/>
        <c:crossBetween val="midCat"/>
      </c:valAx>
      <c:spPr>
        <a:noFill/>
        <a:ln w="317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75000"/>
              <a:lumOff val="25000"/>
            </a:schemeClr>
          </a:solidFill>
          <a:latin typeface="Century Gothic" panose="020B0502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5525445682922"/>
          <c:y val="6.9165968084787879E-2"/>
          <c:w val="0.74739271227460202"/>
          <c:h val="0.76822288254842663"/>
        </c:manualLayout>
      </c:layout>
      <c:scatterChart>
        <c:scatterStyle val="lineMarker"/>
        <c:varyColors val="0"/>
        <c:ser>
          <c:idx val="0"/>
          <c:order val="0"/>
          <c:tx>
            <c:v>ETwbsec</c:v>
          </c:tx>
          <c:spPr>
            <a:ln w="28575" cap="rnd">
              <a:noFill/>
              <a:round/>
            </a:ln>
            <a:effectLst/>
          </c:spPr>
          <c:marker>
            <c:symbol val="circle"/>
            <c:size val="5"/>
            <c:spPr>
              <a:solidFill>
                <a:srgbClr val="7030A0"/>
              </a:solidFill>
              <a:ln w="9525">
                <a:solidFill>
                  <a:srgbClr val="7030A0"/>
                </a:solidFill>
              </a:ln>
              <a:effectLst/>
            </c:spPr>
          </c:marker>
          <c:trendline>
            <c:spPr>
              <a:ln w="28575" cap="rnd">
                <a:solidFill>
                  <a:srgbClr val="7030A0"/>
                </a:solidFill>
                <a:prstDash val="sysDot"/>
              </a:ln>
              <a:effectLst/>
            </c:spPr>
            <c:trendlineType val="linear"/>
            <c:dispRSqr val="1"/>
            <c:dispEq val="0"/>
            <c:trendlineLbl>
              <c:layout>
                <c:manualLayout>
                  <c:x val="0.49950063060299282"/>
                  <c:y val="2.2454043292117004E-2"/>
                </c:manualLayout>
              </c:layout>
              <c:numFmt formatCode="General" sourceLinked="0"/>
              <c:spPr>
                <a:solidFill>
                  <a:srgbClr val="7030A0"/>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'[Correllations_SSEBop_ETtoET_Monthly.xlsx]Monthly ET Comparison'!$I$4,'[Correllations_SSEBop_ETtoET_Monthly.xlsx]Monthly ET Comparison'!$I$6:$I$11,'[Correllations_SSEBop_ETtoET_Monthly.xlsx]Monthly ET Comparison'!$I$14:$I$23,'[Correllations_SSEBop_ETtoET_Monthly.xlsx]Monthly ET Comparison'!$I$27:$I$36</c:f>
              <c:numCache>
                <c:formatCode>General</c:formatCode>
                <c:ptCount val="27"/>
                <c:pt idx="0">
                  <c:v>10.870000000000003</c:v>
                </c:pt>
                <c:pt idx="1">
                  <c:v>28.729999999999997</c:v>
                </c:pt>
                <c:pt idx="2">
                  <c:v>43.88</c:v>
                </c:pt>
                <c:pt idx="3">
                  <c:v>53.690000000000005</c:v>
                </c:pt>
                <c:pt idx="4">
                  <c:v>39.199999999999996</c:v>
                </c:pt>
                <c:pt idx="5">
                  <c:v>39.159999999999997</c:v>
                </c:pt>
                <c:pt idx="6">
                  <c:v>19.709999999999997</c:v>
                </c:pt>
                <c:pt idx="7">
                  <c:v>14.430000000000001</c:v>
                </c:pt>
                <c:pt idx="8">
                  <c:v>12.670000000000002</c:v>
                </c:pt>
                <c:pt idx="9">
                  <c:v>12.75</c:v>
                </c:pt>
                <c:pt idx="10">
                  <c:v>19.520000000000003</c:v>
                </c:pt>
                <c:pt idx="11">
                  <c:v>44.67</c:v>
                </c:pt>
                <c:pt idx="12">
                  <c:v>46.79</c:v>
                </c:pt>
                <c:pt idx="13">
                  <c:v>48.959999999999994</c:v>
                </c:pt>
                <c:pt idx="14">
                  <c:v>22.789999999999996</c:v>
                </c:pt>
                <c:pt idx="15">
                  <c:v>10.86</c:v>
                </c:pt>
                <c:pt idx="16">
                  <c:v>6.08</c:v>
                </c:pt>
                <c:pt idx="17">
                  <c:v>11.22</c:v>
                </c:pt>
                <c:pt idx="18">
                  <c:v>8.9999999999999982</c:v>
                </c:pt>
                <c:pt idx="19">
                  <c:v>26.06</c:v>
                </c:pt>
                <c:pt idx="20">
                  <c:v>42.330000000000005</c:v>
                </c:pt>
                <c:pt idx="21">
                  <c:v>49.04999999999999</c:v>
                </c:pt>
                <c:pt idx="22">
                  <c:v>48.750000000000007</c:v>
                </c:pt>
                <c:pt idx="23">
                  <c:v>60.070000000000007</c:v>
                </c:pt>
                <c:pt idx="24">
                  <c:v>31.03</c:v>
                </c:pt>
                <c:pt idx="25">
                  <c:v>13.410000000000004</c:v>
                </c:pt>
                <c:pt idx="26">
                  <c:v>12.929999999999998</c:v>
                </c:pt>
              </c:numCache>
            </c:numRef>
          </c:xVal>
          <c:yVal>
            <c:numRef>
              <c:f>'[Correllations_SSEBop_ETtoET_Monthly.xlsx]Monthly ET Comparison'!$E$4,'[Correllations_SSEBop_ETtoET_Monthly.xlsx]Monthly ET Comparison'!$E$6:$E$11,'[Correllations_SSEBop_ETtoET_Monthly.xlsx]Monthly ET Comparison'!$E$14:$E$23,'[Correllations_SSEBop_ETtoET_Monthly.xlsx]Monthly ET Comparison'!$E$27:$E$36</c:f>
              <c:numCache>
                <c:formatCode>0.00</c:formatCode>
                <c:ptCount val="27"/>
                <c:pt idx="0">
                  <c:v>1</c:v>
                </c:pt>
                <c:pt idx="1">
                  <c:v>7</c:v>
                </c:pt>
                <c:pt idx="2">
                  <c:v>40</c:v>
                </c:pt>
                <c:pt idx="3">
                  <c:v>83</c:v>
                </c:pt>
                <c:pt idx="4">
                  <c:v>46</c:v>
                </c:pt>
                <c:pt idx="5">
                  <c:v>75</c:v>
                </c:pt>
                <c:pt idx="6">
                  <c:v>33</c:v>
                </c:pt>
                <c:pt idx="7">
                  <c:v>13</c:v>
                </c:pt>
                <c:pt idx="8">
                  <c:v>4</c:v>
                </c:pt>
                <c:pt idx="9">
                  <c:v>2</c:v>
                </c:pt>
                <c:pt idx="10">
                  <c:v>4</c:v>
                </c:pt>
                <c:pt idx="11">
                  <c:v>4</c:v>
                </c:pt>
                <c:pt idx="12">
                  <c:v>20</c:v>
                </c:pt>
                <c:pt idx="13">
                  <c:v>50</c:v>
                </c:pt>
                <c:pt idx="14">
                  <c:v>31</c:v>
                </c:pt>
                <c:pt idx="15">
                  <c:v>35</c:v>
                </c:pt>
                <c:pt idx="16">
                  <c:v>7</c:v>
                </c:pt>
                <c:pt idx="17">
                  <c:v>1</c:v>
                </c:pt>
                <c:pt idx="18">
                  <c:v>2</c:v>
                </c:pt>
                <c:pt idx="19">
                  <c:v>2</c:v>
                </c:pt>
                <c:pt idx="20">
                  <c:v>3</c:v>
                </c:pt>
                <c:pt idx="21">
                  <c:v>22</c:v>
                </c:pt>
                <c:pt idx="22">
                  <c:v>35</c:v>
                </c:pt>
                <c:pt idx="23">
                  <c:v>73</c:v>
                </c:pt>
                <c:pt idx="24">
                  <c:v>59</c:v>
                </c:pt>
                <c:pt idx="25">
                  <c:v>19</c:v>
                </c:pt>
                <c:pt idx="26">
                  <c:v>11</c:v>
                </c:pt>
              </c:numCache>
            </c:numRef>
          </c:yVal>
          <c:smooth val="0"/>
          <c:extLst>
            <c:ext xmlns:c16="http://schemas.microsoft.com/office/drawing/2014/chart" uri="{C3380CC4-5D6E-409C-BE32-E72D297353CC}">
              <c16:uniqueId val="{00000000-5437-4BD8-BCD9-8EDCC7720395}"/>
            </c:ext>
          </c:extLst>
        </c:ser>
        <c:ser>
          <c:idx val="1"/>
          <c:order val="1"/>
          <c:tx>
            <c:strRef>
              <c:f>'[Correllations_SSEBop_ETtoET_Monthly.xlsx]Monthly ET Comparison'!$F$2</c:f>
              <c:strCache>
                <c:ptCount val="1"/>
                <c:pt idx="0">
                  <c:v>ETlosec</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28575" cap="rnd">
                <a:solidFill>
                  <a:schemeClr val="accent3"/>
                </a:solidFill>
                <a:prstDash val="sysDot"/>
              </a:ln>
              <a:effectLst/>
            </c:spPr>
            <c:trendlineType val="linear"/>
            <c:dispRSqr val="1"/>
            <c:dispEq val="0"/>
            <c:trendlineLbl>
              <c:layout>
                <c:manualLayout>
                  <c:x val="0.34395507379759349"/>
                  <c:y val="-0.16532701116733031"/>
                </c:manualLayout>
              </c:layout>
              <c:numFmt formatCode="General" sourceLinked="0"/>
              <c:spPr>
                <a:solidFill>
                  <a:schemeClr val="accent3"/>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'[Correllations_SSEBop_ETtoET_Monthly.xlsx]Monthly ET Comparison'!$J$4:$J$5,'[Correllations_SSEBop_ETtoET_Monthly.xlsx]Monthly ET Comparison'!$J$7:$J$11,'[Correllations_SSEBop_ETtoET_Monthly.xlsx]Monthly ET Comparison'!$J$14:$J$16,'[Correllations_SSEBop_ETtoET_Monthly.xlsx]Monthly ET Comparison'!$J$19:$J$23,'[Correllations_SSEBop_ETtoET_Monthly.xlsx]Monthly ET Comparison'!$J$26,'[Correllations_SSEBop_ETtoET_Monthly.xlsx]Monthly ET Comparison'!$J$28:$J$36</c:f>
              <c:numCache>
                <c:formatCode>General</c:formatCode>
                <c:ptCount val="25"/>
                <c:pt idx="0">
                  <c:v>12.330000000000002</c:v>
                </c:pt>
                <c:pt idx="1">
                  <c:v>16.07</c:v>
                </c:pt>
                <c:pt idx="2">
                  <c:v>47</c:v>
                </c:pt>
                <c:pt idx="3">
                  <c:v>82.779999999999987</c:v>
                </c:pt>
                <c:pt idx="4">
                  <c:v>75.749999999999986</c:v>
                </c:pt>
                <c:pt idx="5">
                  <c:v>58.279999999999994</c:v>
                </c:pt>
                <c:pt idx="6">
                  <c:v>29.689999999999998</c:v>
                </c:pt>
                <c:pt idx="7">
                  <c:v>17.149999999999999</c:v>
                </c:pt>
                <c:pt idx="8">
                  <c:v>18.999999999999993</c:v>
                </c:pt>
                <c:pt idx="9">
                  <c:v>16.059999999999999</c:v>
                </c:pt>
                <c:pt idx="10">
                  <c:v>56.629999999999995</c:v>
                </c:pt>
                <c:pt idx="11">
                  <c:v>78.569999999999979</c:v>
                </c:pt>
                <c:pt idx="12">
                  <c:v>51.279999999999994</c:v>
                </c:pt>
                <c:pt idx="13">
                  <c:v>23.580000000000005</c:v>
                </c:pt>
                <c:pt idx="14">
                  <c:v>14.260000000000002</c:v>
                </c:pt>
                <c:pt idx="15">
                  <c:v>13.629999999999997</c:v>
                </c:pt>
                <c:pt idx="16">
                  <c:v>9.5200000000000014</c:v>
                </c:pt>
                <c:pt idx="17">
                  <c:v>34.650000000000006</c:v>
                </c:pt>
                <c:pt idx="18">
                  <c:v>47.949999999999996</c:v>
                </c:pt>
                <c:pt idx="19">
                  <c:v>58.3</c:v>
                </c:pt>
                <c:pt idx="20">
                  <c:v>80.500000000000014</c:v>
                </c:pt>
                <c:pt idx="21">
                  <c:v>95.449999999999989</c:v>
                </c:pt>
                <c:pt idx="22">
                  <c:v>41.78</c:v>
                </c:pt>
                <c:pt idx="23">
                  <c:v>18.420000000000002</c:v>
                </c:pt>
                <c:pt idx="24">
                  <c:v>18.040000000000003</c:v>
                </c:pt>
              </c:numCache>
            </c:numRef>
          </c:xVal>
          <c:yVal>
            <c:numRef>
              <c:f>'[Correllations_SSEBop_ETtoET_Monthly.xlsx]Monthly ET Comparison'!$F$4:$F$5,'[Correllations_SSEBop_ETtoET_Monthly.xlsx]Monthly ET Comparison'!$F$7:$F$11,'[Correllations_SSEBop_ETtoET_Monthly.xlsx]Monthly ET Comparison'!$F$14:$F$16,'[Correllations_SSEBop_ETtoET_Monthly.xlsx]Monthly ET Comparison'!$F$19:$F$23,'[Correllations_SSEBop_ETtoET_Monthly.xlsx]Monthly ET Comparison'!$F$26,'[Correllations_SSEBop_ETtoET_Monthly.xlsx]Monthly ET Comparison'!$F$28:$F$36</c:f>
              <c:numCache>
                <c:formatCode>0.00</c:formatCode>
                <c:ptCount val="25"/>
                <c:pt idx="0">
                  <c:v>1</c:v>
                </c:pt>
                <c:pt idx="1">
                  <c:v>1</c:v>
                </c:pt>
                <c:pt idx="2">
                  <c:v>19</c:v>
                </c:pt>
                <c:pt idx="3">
                  <c:v>43</c:v>
                </c:pt>
                <c:pt idx="4">
                  <c:v>27</c:v>
                </c:pt>
                <c:pt idx="5">
                  <c:v>42</c:v>
                </c:pt>
                <c:pt idx="6">
                  <c:v>33</c:v>
                </c:pt>
                <c:pt idx="7">
                  <c:v>16</c:v>
                </c:pt>
                <c:pt idx="8">
                  <c:v>1</c:v>
                </c:pt>
                <c:pt idx="9">
                  <c:v>1</c:v>
                </c:pt>
                <c:pt idx="10">
                  <c:v>1</c:v>
                </c:pt>
                <c:pt idx="11">
                  <c:v>20</c:v>
                </c:pt>
                <c:pt idx="12">
                  <c:v>10</c:v>
                </c:pt>
                <c:pt idx="13">
                  <c:v>17</c:v>
                </c:pt>
                <c:pt idx="14">
                  <c:v>8</c:v>
                </c:pt>
                <c:pt idx="15">
                  <c:v>7</c:v>
                </c:pt>
                <c:pt idx="16">
                  <c:v>1</c:v>
                </c:pt>
                <c:pt idx="17">
                  <c:v>10</c:v>
                </c:pt>
                <c:pt idx="18">
                  <c:v>10</c:v>
                </c:pt>
                <c:pt idx="19">
                  <c:v>16</c:v>
                </c:pt>
                <c:pt idx="20">
                  <c:v>26</c:v>
                </c:pt>
                <c:pt idx="21">
                  <c:v>50</c:v>
                </c:pt>
                <c:pt idx="22">
                  <c:v>35</c:v>
                </c:pt>
                <c:pt idx="23">
                  <c:v>4</c:v>
                </c:pt>
                <c:pt idx="24">
                  <c:v>4</c:v>
                </c:pt>
              </c:numCache>
            </c:numRef>
          </c:yVal>
          <c:smooth val="0"/>
          <c:extLst>
            <c:ext xmlns:c16="http://schemas.microsoft.com/office/drawing/2014/chart" uri="{C3380CC4-5D6E-409C-BE32-E72D297353CC}">
              <c16:uniqueId val="{00000001-5437-4BD8-BCD9-8EDCC7720395}"/>
            </c:ext>
          </c:extLst>
        </c:ser>
        <c:ser>
          <c:idx val="2"/>
          <c:order val="2"/>
          <c:tx>
            <c:strRef>
              <c:f>'[Correllations_SSEBop_ETtoET_Monthly.xlsx]Monthly ET Comparison'!$G$2</c:f>
              <c:strCache>
                <c:ptCount val="1"/>
                <c:pt idx="0">
                  <c:v>ET138h08ec</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28575" cap="rnd">
                <a:solidFill>
                  <a:schemeClr val="accent5"/>
                </a:solidFill>
                <a:prstDash val="sysDot"/>
              </a:ln>
              <a:effectLst/>
            </c:spPr>
            <c:trendlineType val="linear"/>
            <c:dispRSqr val="1"/>
            <c:dispEq val="0"/>
            <c:trendlineLbl>
              <c:layout>
                <c:manualLayout>
                  <c:x val="-0.25908136482939631"/>
                  <c:y val="-1.7212433759468279E-2"/>
                </c:manualLayout>
              </c:layout>
              <c:numFmt formatCode="General" sourceLinked="0"/>
              <c:spPr>
                <a:solidFill>
                  <a:schemeClr val="accent5"/>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'[Correllations_SSEBop_ETtoET_Monthly.xlsx]Monthly ET Comparison'!$K$4:$K$12,'[Correllations_SSEBop_ETtoET_Monthly.xlsx]Monthly ET Comparison'!$K$14:$K$25,'[Correllations_SSEBop_ETtoET_Monthly.xlsx]Monthly ET Comparison'!$K$28:$K$36</c:f>
              <c:numCache>
                <c:formatCode>General</c:formatCode>
                <c:ptCount val="30"/>
                <c:pt idx="0">
                  <c:v>9.9499999999999993</c:v>
                </c:pt>
                <c:pt idx="1">
                  <c:v>12.469999999999995</c:v>
                </c:pt>
                <c:pt idx="2">
                  <c:v>22.959999999999997</c:v>
                </c:pt>
                <c:pt idx="3">
                  <c:v>33.269999999999989</c:v>
                </c:pt>
                <c:pt idx="4" formatCode="0.00">
                  <c:v>51.34011572517457</c:v>
                </c:pt>
                <c:pt idx="5">
                  <c:v>129.77000000000001</c:v>
                </c:pt>
                <c:pt idx="6">
                  <c:v>102.14</c:v>
                </c:pt>
                <c:pt idx="7">
                  <c:v>55.009999999999991</c:v>
                </c:pt>
                <c:pt idx="8">
                  <c:v>26.569999999999997</c:v>
                </c:pt>
                <c:pt idx="9">
                  <c:v>16.599999999999998</c:v>
                </c:pt>
                <c:pt idx="10">
                  <c:v>4.9299999999999988</c:v>
                </c:pt>
                <c:pt idx="11">
                  <c:v>6.0999999999999988</c:v>
                </c:pt>
                <c:pt idx="12">
                  <c:v>10.96</c:v>
                </c:pt>
                <c:pt idx="13">
                  <c:v>26.71</c:v>
                </c:pt>
                <c:pt idx="14">
                  <c:v>36.22</c:v>
                </c:pt>
                <c:pt idx="15">
                  <c:v>74.92</c:v>
                </c:pt>
                <c:pt idx="16">
                  <c:v>114.52</c:v>
                </c:pt>
                <c:pt idx="17">
                  <c:v>100.24000000000001</c:v>
                </c:pt>
                <c:pt idx="18">
                  <c:v>53.21</c:v>
                </c:pt>
                <c:pt idx="19">
                  <c:v>21.199999999999996</c:v>
                </c:pt>
                <c:pt idx="20">
                  <c:v>25.97</c:v>
                </c:pt>
                <c:pt idx="21">
                  <c:v>2.84</c:v>
                </c:pt>
                <c:pt idx="22">
                  <c:v>5.98</c:v>
                </c:pt>
                <c:pt idx="23">
                  <c:v>19.53</c:v>
                </c:pt>
                <c:pt idx="24">
                  <c:v>36.000000000000007</c:v>
                </c:pt>
                <c:pt idx="25">
                  <c:v>63.830000000000013</c:v>
                </c:pt>
                <c:pt idx="26">
                  <c:v>124.65999999999998</c:v>
                </c:pt>
                <c:pt idx="27">
                  <c:v>130.20999999999995</c:v>
                </c:pt>
                <c:pt idx="28">
                  <c:v>60.989999999999995</c:v>
                </c:pt>
                <c:pt idx="29">
                  <c:v>30.020000000000007</c:v>
                </c:pt>
              </c:numCache>
            </c:numRef>
          </c:xVal>
          <c:yVal>
            <c:numRef>
              <c:f>'[Correllations_SSEBop_ETtoET_Monthly.xlsx]Monthly ET Comparison'!$G$4:$G$12,'[Correllations_SSEBop_ETtoET_Monthly.xlsx]Monthly ET Comparison'!$G$14:$G$25,'[Correllations_SSEBop_ETtoET_Monthly.xlsx]Monthly ET Comparison'!$G$28:$G$36</c:f>
              <c:numCache>
                <c:formatCode>0.00</c:formatCode>
                <c:ptCount val="30"/>
                <c:pt idx="0">
                  <c:v>5</c:v>
                </c:pt>
                <c:pt idx="1">
                  <c:v>9</c:v>
                </c:pt>
                <c:pt idx="2">
                  <c:v>4</c:v>
                </c:pt>
                <c:pt idx="3">
                  <c:v>29</c:v>
                </c:pt>
                <c:pt idx="4">
                  <c:v>50</c:v>
                </c:pt>
                <c:pt idx="5">
                  <c:v>95</c:v>
                </c:pt>
                <c:pt idx="6">
                  <c:v>99</c:v>
                </c:pt>
                <c:pt idx="7">
                  <c:v>41</c:v>
                </c:pt>
                <c:pt idx="8">
                  <c:v>1</c:v>
                </c:pt>
                <c:pt idx="9">
                  <c:v>9</c:v>
                </c:pt>
                <c:pt idx="10">
                  <c:v>4</c:v>
                </c:pt>
                <c:pt idx="11">
                  <c:v>5</c:v>
                </c:pt>
                <c:pt idx="12">
                  <c:v>11</c:v>
                </c:pt>
                <c:pt idx="13">
                  <c:v>44</c:v>
                </c:pt>
                <c:pt idx="14">
                  <c:v>38</c:v>
                </c:pt>
                <c:pt idx="15">
                  <c:v>72</c:v>
                </c:pt>
                <c:pt idx="16">
                  <c:v>79</c:v>
                </c:pt>
                <c:pt idx="17">
                  <c:v>96</c:v>
                </c:pt>
                <c:pt idx="18">
                  <c:v>37</c:v>
                </c:pt>
                <c:pt idx="19">
                  <c:v>5</c:v>
                </c:pt>
                <c:pt idx="20">
                  <c:v>9</c:v>
                </c:pt>
                <c:pt idx="21">
                  <c:v>2</c:v>
                </c:pt>
                <c:pt idx="22">
                  <c:v>4</c:v>
                </c:pt>
                <c:pt idx="23">
                  <c:v>41</c:v>
                </c:pt>
                <c:pt idx="24">
                  <c:v>72</c:v>
                </c:pt>
                <c:pt idx="25">
                  <c:v>70</c:v>
                </c:pt>
                <c:pt idx="26">
                  <c:v>86</c:v>
                </c:pt>
                <c:pt idx="27">
                  <c:v>115</c:v>
                </c:pt>
                <c:pt idx="28">
                  <c:v>50</c:v>
                </c:pt>
                <c:pt idx="29">
                  <c:v>34</c:v>
                </c:pt>
              </c:numCache>
            </c:numRef>
          </c:yVal>
          <c:smooth val="0"/>
          <c:extLst>
            <c:ext xmlns:c16="http://schemas.microsoft.com/office/drawing/2014/chart" uri="{C3380CC4-5D6E-409C-BE32-E72D297353CC}">
              <c16:uniqueId val="{00000002-5437-4BD8-BCD9-8EDCC7720395}"/>
            </c:ext>
          </c:extLst>
        </c:ser>
        <c:ser>
          <c:idx val="3"/>
          <c:order val="3"/>
          <c:tx>
            <c:strRef>
              <c:f>'[Correllations_SSEBop_ETtoET_Monthly.xlsx]Monthly ET Comparison'!$H$2</c:f>
              <c:strCache>
                <c:ptCount val="1"/>
                <c:pt idx="0">
                  <c:v>ETmbsec</c:v>
                </c:pt>
              </c:strCache>
            </c:strRef>
          </c:tx>
          <c:spPr>
            <a:ln w="25400" cap="rnd">
              <a:noFill/>
              <a:round/>
            </a:ln>
            <a:effectLst/>
          </c:spPr>
          <c:marker>
            <c:symbol val="circle"/>
            <c:size val="5"/>
            <c:spPr>
              <a:solidFill>
                <a:srgbClr val="00B0F0"/>
              </a:solidFill>
              <a:ln w="9525">
                <a:solidFill>
                  <a:srgbClr val="00B0F0"/>
                </a:solidFill>
              </a:ln>
              <a:effectLst/>
            </c:spPr>
          </c:marker>
          <c:trendline>
            <c:spPr>
              <a:ln w="28575" cap="rnd">
                <a:solidFill>
                  <a:srgbClr val="00B0F0"/>
                </a:solidFill>
                <a:prstDash val="sysDot"/>
              </a:ln>
              <a:effectLst/>
            </c:spPr>
            <c:trendlineType val="linear"/>
            <c:dispRSqr val="1"/>
            <c:dispEq val="0"/>
            <c:trendlineLbl>
              <c:layout>
                <c:manualLayout>
                  <c:x val="-0.33283260047039576"/>
                  <c:y val="-0.62052184066345317"/>
                </c:manualLayout>
              </c:layout>
              <c:numFmt formatCode="General" sourceLinked="0"/>
              <c:spPr>
                <a:solidFill>
                  <a:srgbClr val="00B0F0"/>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'[Correllations_SSEBop_ETtoET_Monthly.xlsx]Monthly ET Comparison'!$L$7:$L$11,'[Correllations_SSEBop_ETtoET_Monthly.xlsx]Monthly ET Comparison'!$L$14:$L$15,'[Correllations_SSEBop_ETtoET_Monthly.xlsx]Monthly ET Comparison'!$L$17,'[Correllations_SSEBop_ETtoET_Monthly.xlsx]Monthly ET Comparison'!$L$20:$L$21,'[Correllations_SSEBop_ETtoET_Monthly.xlsx]Monthly ET Comparison'!$L$26:$L$27,'[Correllations_SSEBop_ETtoET_Monthly.xlsx]Monthly ET Comparison'!$L$29:$L$34</c:f>
              <c:numCache>
                <c:formatCode>General</c:formatCode>
                <c:ptCount val="18"/>
                <c:pt idx="0">
                  <c:v>32.49</c:v>
                </c:pt>
                <c:pt idx="1">
                  <c:v>62.390000000000008</c:v>
                </c:pt>
                <c:pt idx="2">
                  <c:v>141.46999999999997</c:v>
                </c:pt>
                <c:pt idx="3">
                  <c:v>107.80999999999999</c:v>
                </c:pt>
                <c:pt idx="4">
                  <c:v>52.499999999999979</c:v>
                </c:pt>
                <c:pt idx="5">
                  <c:v>15.460000000000003</c:v>
                </c:pt>
                <c:pt idx="6">
                  <c:v>8.4300000000000033</c:v>
                </c:pt>
                <c:pt idx="7">
                  <c:v>8.48</c:v>
                </c:pt>
                <c:pt idx="8">
                  <c:v>67.61</c:v>
                </c:pt>
                <c:pt idx="9">
                  <c:v>114.72999999999999</c:v>
                </c:pt>
                <c:pt idx="10">
                  <c:v>13.290000000000001</c:v>
                </c:pt>
                <c:pt idx="11">
                  <c:v>8.1800000000000015</c:v>
                </c:pt>
                <c:pt idx="12">
                  <c:v>11.360000000000003</c:v>
                </c:pt>
                <c:pt idx="13">
                  <c:v>16.379999999999995</c:v>
                </c:pt>
                <c:pt idx="14">
                  <c:v>25.809999999999995</c:v>
                </c:pt>
                <c:pt idx="15">
                  <c:v>47.63</c:v>
                </c:pt>
                <c:pt idx="16">
                  <c:v>116.13000000000001</c:v>
                </c:pt>
                <c:pt idx="17">
                  <c:v>147.97</c:v>
                </c:pt>
              </c:numCache>
            </c:numRef>
          </c:xVal>
          <c:yVal>
            <c:numRef>
              <c:f>'[Correllations_SSEBop_ETtoET_Monthly.xlsx]Monthly ET Comparison'!$H$7:$H$11,'[Correllations_SSEBop_ETtoET_Monthly.xlsx]Monthly ET Comparison'!$H$14:$H$15,'[Correllations_SSEBop_ETtoET_Monthly.xlsx]Monthly ET Comparison'!$H$17,'[Correllations_SSEBop_ETtoET_Monthly.xlsx]Monthly ET Comparison'!$H$20:$H$21,'[Correllations_SSEBop_ETtoET_Monthly.xlsx]Monthly ET Comparison'!$H$26:$H$27,'[Correllations_SSEBop_ETtoET_Monthly.xlsx]Monthly ET Comparison'!$H$29:$H$34</c:f>
              <c:numCache>
                <c:formatCode>0.00</c:formatCode>
                <c:ptCount val="18"/>
                <c:pt idx="0">
                  <c:v>1</c:v>
                </c:pt>
                <c:pt idx="1">
                  <c:v>16</c:v>
                </c:pt>
                <c:pt idx="2">
                  <c:v>1</c:v>
                </c:pt>
                <c:pt idx="3">
                  <c:v>11</c:v>
                </c:pt>
                <c:pt idx="4">
                  <c:v>1</c:v>
                </c:pt>
                <c:pt idx="5">
                  <c:v>3</c:v>
                </c:pt>
                <c:pt idx="6">
                  <c:v>2</c:v>
                </c:pt>
                <c:pt idx="7">
                  <c:v>1</c:v>
                </c:pt>
                <c:pt idx="8">
                  <c:v>11</c:v>
                </c:pt>
                <c:pt idx="9">
                  <c:v>2</c:v>
                </c:pt>
                <c:pt idx="10">
                  <c:v>1</c:v>
                </c:pt>
                <c:pt idx="11">
                  <c:v>1</c:v>
                </c:pt>
                <c:pt idx="12">
                  <c:v>4</c:v>
                </c:pt>
                <c:pt idx="13">
                  <c:v>4</c:v>
                </c:pt>
                <c:pt idx="14">
                  <c:v>4</c:v>
                </c:pt>
                <c:pt idx="15">
                  <c:v>1</c:v>
                </c:pt>
                <c:pt idx="16">
                  <c:v>38</c:v>
                </c:pt>
                <c:pt idx="17">
                  <c:v>11</c:v>
                </c:pt>
              </c:numCache>
            </c:numRef>
          </c:yVal>
          <c:smooth val="0"/>
          <c:extLst>
            <c:ext xmlns:c16="http://schemas.microsoft.com/office/drawing/2014/chart" uri="{C3380CC4-5D6E-409C-BE32-E72D297353CC}">
              <c16:uniqueId val="{00000003-5437-4BD8-BCD9-8EDCC7720395}"/>
            </c:ext>
          </c:extLst>
        </c:ser>
        <c:dLbls>
          <c:showLegendKey val="0"/>
          <c:showVal val="0"/>
          <c:showCatName val="0"/>
          <c:showSerName val="0"/>
          <c:showPercent val="0"/>
          <c:showBubbleSize val="0"/>
        </c:dLbls>
        <c:axId val="625480376"/>
        <c:axId val="625484640"/>
      </c:scatterChart>
      <c:valAx>
        <c:axId val="625480376"/>
        <c:scaling>
          <c:orientation val="minMax"/>
          <c:max val="1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RCEW ET</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25484640"/>
        <c:crosses val="autoZero"/>
        <c:crossBetween val="midCat"/>
      </c:valAx>
      <c:valAx>
        <c:axId val="62548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SSEBop ET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0" sourceLinked="0"/>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25480376"/>
        <c:crosses val="autoZero"/>
        <c:crossBetween val="midCat"/>
      </c:valAx>
      <c:spPr>
        <a:noFill/>
        <a:ln w="31750">
          <a:solidFill>
            <a:schemeClr val="tx1"/>
          </a:solidFill>
        </a:ln>
        <a:effectLst/>
      </c:spPr>
    </c:plotArea>
    <c:plotVisOnly val="1"/>
    <c:dispBlanksAs val="gap"/>
    <c:showDLblsOverMax val="0"/>
  </c:chart>
  <c:spPr>
    <a:noFill/>
    <a:ln w="9525" cap="flat" cmpd="sng" algn="ctr">
      <a:solidFill>
        <a:schemeClr val="bg1"/>
      </a:solidFill>
      <a:round/>
    </a:ln>
    <a:effectLst/>
  </c:spPr>
  <c:txPr>
    <a:bodyPr/>
    <a:lstStyle/>
    <a:p>
      <a:pPr>
        <a:defRPr sz="1100">
          <a:latin typeface="Century Gothic" panose="020B0502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65187511208714"/>
          <c:y val="7.6500496756472441E-2"/>
          <c:w val="0.75937149992048159"/>
          <c:h val="0.7282134337433932"/>
        </c:manualLayout>
      </c:layout>
      <c:scatterChart>
        <c:scatterStyle val="lineMarker"/>
        <c:varyColors val="0"/>
        <c:ser>
          <c:idx val="0"/>
          <c:order val="0"/>
          <c:tx>
            <c:strRef>
              <c:f>TimeSeries!$C$1</c:f>
              <c:strCache>
                <c:ptCount val="1"/>
                <c:pt idx="0">
                  <c:v>138h08ec</c:v>
                </c:pt>
              </c:strCache>
            </c:strRef>
          </c:tx>
          <c:spPr>
            <a:ln w="38100" cap="rnd">
              <a:solidFill>
                <a:schemeClr val="accent5"/>
              </a:solidFill>
              <a:round/>
            </a:ln>
            <a:effectLst/>
          </c:spPr>
          <c:marker>
            <c:symbol val="none"/>
          </c:marker>
          <c:xVal>
            <c:strRef>
              <c:f>TimeSeries!$N$15:$N$26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TimeSeries!$O$15:$O$26</c:f>
              <c:numCache>
                <c:formatCode>General</c:formatCode>
                <c:ptCount val="12"/>
                <c:pt idx="0">
                  <c:v>3.8181818181818183</c:v>
                </c:pt>
                <c:pt idx="1">
                  <c:v>2.1818181818181817</c:v>
                </c:pt>
                <c:pt idx="2">
                  <c:v>4</c:v>
                </c:pt>
                <c:pt idx="3">
                  <c:v>29</c:v>
                </c:pt>
                <c:pt idx="4">
                  <c:v>47.36363636363636</c:v>
                </c:pt>
                <c:pt idx="5">
                  <c:v>39.936363636363637</c:v>
                </c:pt>
                <c:pt idx="6">
                  <c:v>21.518181818181816</c:v>
                </c:pt>
                <c:pt idx="7">
                  <c:v>5.1818181818181817</c:v>
                </c:pt>
                <c:pt idx="8">
                  <c:v>0</c:v>
                </c:pt>
                <c:pt idx="9">
                  <c:v>0</c:v>
                </c:pt>
                <c:pt idx="10">
                  <c:v>0</c:v>
                </c:pt>
                <c:pt idx="11">
                  <c:v>1.9090909090909092</c:v>
                </c:pt>
              </c:numCache>
            </c:numRef>
          </c:yVal>
          <c:smooth val="0"/>
          <c:extLst>
            <c:ext xmlns:c16="http://schemas.microsoft.com/office/drawing/2014/chart" uri="{C3380CC4-5D6E-409C-BE32-E72D297353CC}">
              <c16:uniqueId val="{00000000-A176-4BCB-A22D-3DD5C057B2B1}"/>
            </c:ext>
          </c:extLst>
        </c:ser>
        <c:ser>
          <c:idx val="1"/>
          <c:order val="1"/>
          <c:tx>
            <c:strRef>
              <c:f>TimeSeries!$D$1</c:f>
              <c:strCache>
                <c:ptCount val="1"/>
                <c:pt idx="0">
                  <c:v>losec</c:v>
                </c:pt>
              </c:strCache>
            </c:strRef>
          </c:tx>
          <c:spPr>
            <a:ln w="38100" cap="rnd">
              <a:solidFill>
                <a:schemeClr val="accent3"/>
              </a:solidFill>
              <a:round/>
            </a:ln>
            <a:effectLst/>
          </c:spPr>
          <c:marker>
            <c:symbol val="none"/>
          </c:marker>
          <c:xVal>
            <c:strRef>
              <c:f>TimeSeries!$N$15:$N$26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TimeSeries!$P$15:$P$26</c:f>
              <c:numCache>
                <c:formatCode>General</c:formatCode>
                <c:ptCount val="12"/>
                <c:pt idx="0">
                  <c:v>1</c:v>
                </c:pt>
                <c:pt idx="1">
                  <c:v>0</c:v>
                </c:pt>
                <c:pt idx="2">
                  <c:v>0</c:v>
                </c:pt>
                <c:pt idx="3">
                  <c:v>4.5999999999999996</c:v>
                </c:pt>
                <c:pt idx="4">
                  <c:v>20.036363636363635</c:v>
                </c:pt>
                <c:pt idx="5">
                  <c:v>16.263636363636365</c:v>
                </c:pt>
                <c:pt idx="6">
                  <c:v>14.372727272727273</c:v>
                </c:pt>
                <c:pt idx="7">
                  <c:v>0.72727272727272729</c:v>
                </c:pt>
                <c:pt idx="8">
                  <c:v>0</c:v>
                </c:pt>
                <c:pt idx="9">
                  <c:v>0</c:v>
                </c:pt>
                <c:pt idx="10">
                  <c:v>7</c:v>
                </c:pt>
                <c:pt idx="11">
                  <c:v>0</c:v>
                </c:pt>
              </c:numCache>
            </c:numRef>
          </c:yVal>
          <c:smooth val="0"/>
          <c:extLst>
            <c:ext xmlns:c16="http://schemas.microsoft.com/office/drawing/2014/chart" uri="{C3380CC4-5D6E-409C-BE32-E72D297353CC}">
              <c16:uniqueId val="{00000001-A176-4BCB-A22D-3DD5C057B2B1}"/>
            </c:ext>
          </c:extLst>
        </c:ser>
        <c:ser>
          <c:idx val="2"/>
          <c:order val="2"/>
          <c:tx>
            <c:strRef>
              <c:f>TimeSeries!$E$1</c:f>
              <c:strCache>
                <c:ptCount val="1"/>
                <c:pt idx="0">
                  <c:v>mbsec</c:v>
                </c:pt>
              </c:strCache>
            </c:strRef>
          </c:tx>
          <c:spPr>
            <a:ln w="38100" cap="rnd">
              <a:solidFill>
                <a:srgbClr val="00B0F0"/>
              </a:solidFill>
              <a:round/>
            </a:ln>
            <a:effectLst/>
          </c:spPr>
          <c:marker>
            <c:symbol val="none"/>
          </c:marker>
          <c:xVal>
            <c:strRef>
              <c:f>TimeSeries!$N$15:$N$26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TimeSeries!$Q$15:$Q$26</c:f>
              <c:numCache>
                <c:formatCode>General</c:formatCode>
                <c:ptCount val="12"/>
                <c:pt idx="0">
                  <c:v>4.0999999999999996</c:v>
                </c:pt>
                <c:pt idx="1">
                  <c:v>18.111111111111111</c:v>
                </c:pt>
                <c:pt idx="2">
                  <c:v>43.252525252525245</c:v>
                </c:pt>
                <c:pt idx="3">
                  <c:v>53.236363636363635</c:v>
                </c:pt>
                <c:pt idx="4">
                  <c:v>67.672727272727272</c:v>
                </c:pt>
                <c:pt idx="5">
                  <c:v>88.72727272727272</c:v>
                </c:pt>
                <c:pt idx="6">
                  <c:v>84.454545454545453</c:v>
                </c:pt>
                <c:pt idx="7">
                  <c:v>25.181818181818183</c:v>
                </c:pt>
                <c:pt idx="8">
                  <c:v>3.163636363636364</c:v>
                </c:pt>
                <c:pt idx="9">
                  <c:v>8.8000000000000007</c:v>
                </c:pt>
                <c:pt idx="10">
                  <c:v>0</c:v>
                </c:pt>
                <c:pt idx="11">
                  <c:v>0.90909090909090917</c:v>
                </c:pt>
              </c:numCache>
            </c:numRef>
          </c:yVal>
          <c:smooth val="0"/>
          <c:extLst>
            <c:ext xmlns:c16="http://schemas.microsoft.com/office/drawing/2014/chart" uri="{C3380CC4-5D6E-409C-BE32-E72D297353CC}">
              <c16:uniqueId val="{00000002-A176-4BCB-A22D-3DD5C057B2B1}"/>
            </c:ext>
          </c:extLst>
        </c:ser>
        <c:ser>
          <c:idx val="3"/>
          <c:order val="3"/>
          <c:tx>
            <c:strRef>
              <c:f>TimeSeries!$F$1</c:f>
              <c:strCache>
                <c:ptCount val="1"/>
                <c:pt idx="0">
                  <c:v>wbsec</c:v>
                </c:pt>
              </c:strCache>
            </c:strRef>
          </c:tx>
          <c:spPr>
            <a:ln w="38100" cap="rnd">
              <a:solidFill>
                <a:srgbClr val="7030A0"/>
              </a:solidFill>
              <a:round/>
            </a:ln>
            <a:effectLst/>
          </c:spPr>
          <c:marker>
            <c:symbol val="none"/>
          </c:marker>
          <c:xVal>
            <c:strRef>
              <c:f>TimeSeries!$N$15:$N$26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TimeSeries!$R$15:$R$26</c:f>
              <c:numCache>
                <c:formatCode>General</c:formatCode>
                <c:ptCount val="12"/>
                <c:pt idx="0">
                  <c:v>0.90909090909090917</c:v>
                </c:pt>
                <c:pt idx="1">
                  <c:v>9.0909090909090912E-2</c:v>
                </c:pt>
                <c:pt idx="2">
                  <c:v>0</c:v>
                </c:pt>
                <c:pt idx="3">
                  <c:v>0</c:v>
                </c:pt>
                <c:pt idx="4">
                  <c:v>11.90909090909091</c:v>
                </c:pt>
                <c:pt idx="5">
                  <c:v>1.0909090909090908</c:v>
                </c:pt>
                <c:pt idx="6">
                  <c:v>0</c:v>
                </c:pt>
                <c:pt idx="7">
                  <c:v>0</c:v>
                </c:pt>
                <c:pt idx="8">
                  <c:v>0</c:v>
                </c:pt>
                <c:pt idx="9">
                  <c:v>0</c:v>
                </c:pt>
                <c:pt idx="10">
                  <c:v>1</c:v>
                </c:pt>
                <c:pt idx="11">
                  <c:v>1</c:v>
                </c:pt>
              </c:numCache>
            </c:numRef>
          </c:yVal>
          <c:smooth val="0"/>
          <c:extLst>
            <c:ext xmlns:c16="http://schemas.microsoft.com/office/drawing/2014/chart" uri="{C3380CC4-5D6E-409C-BE32-E72D297353CC}">
              <c16:uniqueId val="{00000003-A176-4BCB-A22D-3DD5C057B2B1}"/>
            </c:ext>
          </c:extLst>
        </c:ser>
        <c:dLbls>
          <c:showLegendKey val="0"/>
          <c:showVal val="0"/>
          <c:showCatName val="0"/>
          <c:showSerName val="0"/>
          <c:showPercent val="0"/>
          <c:showBubbleSize val="0"/>
        </c:dLbls>
        <c:axId val="581756584"/>
        <c:axId val="581757240"/>
      </c:scatterChart>
      <c:valAx>
        <c:axId val="581756584"/>
        <c:scaling>
          <c:orientation val="minMax"/>
          <c:max val="12"/>
          <c:min val="1"/>
        </c:scaling>
        <c:delete val="0"/>
        <c:axPos val="b"/>
        <c:title>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crossAx val="581757240"/>
        <c:crosses val="autoZero"/>
        <c:crossBetween val="midCat"/>
        <c:majorUnit val="1"/>
      </c:valAx>
      <c:valAx>
        <c:axId val="581757240"/>
        <c:scaling>
          <c:orientation val="minMax"/>
          <c:max val="140"/>
        </c:scaling>
        <c:delete val="0"/>
        <c:axPos val="l"/>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crossAx val="581756584"/>
        <c:crosses val="autoZero"/>
        <c:crossBetween val="midCat"/>
      </c:valAx>
      <c:spPr>
        <a:noFill/>
        <a:ln w="317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75000"/>
              <a:lumOff val="25000"/>
            </a:schemeClr>
          </a:solidFill>
          <a:latin typeface="Century Gothic" panose="020B0502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127734033246"/>
          <c:y val="6.7753659505433092E-2"/>
          <c:w val="0.78785231846019266"/>
          <c:h val="0.73701604131166776"/>
        </c:manualLayout>
      </c:layout>
      <c:scatterChart>
        <c:scatterStyle val="lineMarker"/>
        <c:varyColors val="0"/>
        <c:ser>
          <c:idx val="0"/>
          <c:order val="0"/>
          <c:tx>
            <c:v>Mtn Sage 1</c:v>
          </c:tx>
          <c:spPr>
            <a:ln w="28575" cap="rnd">
              <a:noFill/>
              <a:round/>
            </a:ln>
            <a:effectLst/>
          </c:spPr>
          <c:marker>
            <c:symbol val="circle"/>
            <c:size val="5"/>
            <c:spPr>
              <a:solidFill>
                <a:schemeClr val="accent5"/>
              </a:solidFill>
              <a:ln w="9525">
                <a:solidFill>
                  <a:schemeClr val="accent5"/>
                </a:solidFill>
              </a:ln>
              <a:effectLst/>
            </c:spPr>
          </c:marker>
          <c:trendline>
            <c:spPr>
              <a:ln w="28575" cap="rnd">
                <a:solidFill>
                  <a:schemeClr val="accent5"/>
                </a:solidFill>
                <a:prstDash val="sysDot"/>
              </a:ln>
              <a:effectLst/>
            </c:spPr>
            <c:trendlineType val="linear"/>
            <c:dispRSqr val="1"/>
            <c:dispEq val="0"/>
            <c:trendlineLbl>
              <c:layout>
                <c:manualLayout>
                  <c:x val="0.39304979854106864"/>
                  <c:y val="0.11909885026747895"/>
                </c:manualLayout>
              </c:layout>
              <c:numFmt formatCode="General" sourceLinked="0"/>
              <c:spPr>
                <a:solidFill>
                  <a:schemeClr val="accent5"/>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Daily!$B$3:$B$61</c:f>
              <c:numCache>
                <c:formatCode>General</c:formatCode>
                <c:ptCount val="59"/>
                <c:pt idx="0">
                  <c:v>5.0213828682899482E-2</c:v>
                </c:pt>
                <c:pt idx="1">
                  <c:v>0.207043781876564</c:v>
                </c:pt>
                <c:pt idx="2">
                  <c:v>2.1839652061462398</c:v>
                </c:pt>
                <c:pt idx="3">
                  <c:v>2.4895915985107422</c:v>
                </c:pt>
                <c:pt idx="4">
                  <c:v>2.8951179981231689</c:v>
                </c:pt>
                <c:pt idx="5">
                  <c:v>3.9032754898071289</c:v>
                </c:pt>
                <c:pt idx="6">
                  <c:v>2.285840749740601</c:v>
                </c:pt>
                <c:pt idx="7">
                  <c:v>4.9244341850280762</c:v>
                </c:pt>
                <c:pt idx="8">
                  <c:v>4.4926843643188477</c:v>
                </c:pt>
                <c:pt idx="9">
                  <c:v>4.3230276107788086</c:v>
                </c:pt>
                <c:pt idx="10">
                  <c:v>3.240160226821899</c:v>
                </c:pt>
                <c:pt idx="11">
                  <c:v>1.1423943042755129</c:v>
                </c:pt>
                <c:pt idx="12">
                  <c:v>2.6196556091308589</c:v>
                </c:pt>
                <c:pt idx="13">
                  <c:v>3.3771085739135742</c:v>
                </c:pt>
                <c:pt idx="14">
                  <c:v>#N/A</c:v>
                </c:pt>
                <c:pt idx="15">
                  <c:v>#N/A</c:v>
                </c:pt>
                <c:pt idx="16">
                  <c:v>#N/A</c:v>
                </c:pt>
                <c:pt idx="17">
                  <c:v>0</c:v>
                </c:pt>
                <c:pt idx="18">
                  <c:v>0</c:v>
                </c:pt>
                <c:pt idx="19">
                  <c:v>0</c:v>
                </c:pt>
                <c:pt idx="20">
                  <c:v>1.977916359901428</c:v>
                </c:pt>
                <c:pt idx="21">
                  <c:v>2.1210966110229492</c:v>
                </c:pt>
                <c:pt idx="22">
                  <c:v>2.727925062179565</c:v>
                </c:pt>
                <c:pt idx="23">
                  <c:v>1.305535554885864</c:v>
                </c:pt>
                <c:pt idx="24">
                  <c:v>1.017004251480103</c:v>
                </c:pt>
                <c:pt idx="25">
                  <c:v>3.841117143630981</c:v>
                </c:pt>
                <c:pt idx="26">
                  <c:v>2.6701161861419682</c:v>
                </c:pt>
                <c:pt idx="27">
                  <c:v>2.8862183094024658</c:v>
                </c:pt>
                <c:pt idx="28">
                  <c:v>4.1558704376220703</c:v>
                </c:pt>
                <c:pt idx="29">
                  <c:v>2.7160599231719971</c:v>
                </c:pt>
                <c:pt idx="30">
                  <c:v>1.5302867889404299</c:v>
                </c:pt>
                <c:pt idx="31">
                  <c:v>1.889670252799988</c:v>
                </c:pt>
                <c:pt idx="32">
                  <c:v>2.9694278240203862</c:v>
                </c:pt>
                <c:pt idx="33">
                  <c:v>3.1091845035552979</c:v>
                </c:pt>
                <c:pt idx="34">
                  <c:v>2.434179544448853</c:v>
                </c:pt>
                <c:pt idx="35">
                  <c:v>2.241308450698853</c:v>
                </c:pt>
                <c:pt idx="36">
                  <c:v>2.3329496383666992</c:v>
                </c:pt>
                <c:pt idx="37">
                  <c:v>2.1521954536437988</c:v>
                </c:pt>
                <c:pt idx="38">
                  <c:v>1.9738005399703979</c:v>
                </c:pt>
                <c:pt idx="39">
                  <c:v>1.5702377557754521</c:v>
                </c:pt>
                <c:pt idx="40">
                  <c:v>0</c:v>
                </c:pt>
                <c:pt idx="41">
                  <c:v>0.20274277031421661</c:v>
                </c:pt>
                <c:pt idx="42">
                  <c:v>0</c:v>
                </c:pt>
                <c:pt idx="43">
                  <c:v>0</c:v>
                </c:pt>
                <c:pt idx="44">
                  <c:v>1.468264579772949</c:v>
                </c:pt>
                <c:pt idx="45">
                  <c:v>1.303615808486938</c:v>
                </c:pt>
                <c:pt idx="46">
                  <c:v>2.7228560447692871</c:v>
                </c:pt>
                <c:pt idx="47">
                  <c:v>2.8019428253173828</c:v>
                </c:pt>
                <c:pt idx="48">
                  <c:v>#N/A</c:v>
                </c:pt>
                <c:pt idx="49">
                  <c:v>4.2511954307556152</c:v>
                </c:pt>
                <c:pt idx="50">
                  <c:v>3.2005679607391362</c:v>
                </c:pt>
                <c:pt idx="51">
                  <c:v>3.170620441436768</c:v>
                </c:pt>
                <c:pt idx="52">
                  <c:v>#N/A</c:v>
                </c:pt>
                <c:pt idx="53">
                  <c:v>2.405399084091187</c:v>
                </c:pt>
                <c:pt idx="54">
                  <c:v>#N/A</c:v>
                </c:pt>
                <c:pt idx="55">
                  <c:v>2.143065214157104</c:v>
                </c:pt>
                <c:pt idx="56">
                  <c:v>1.7974230051040649</c:v>
                </c:pt>
                <c:pt idx="57">
                  <c:v>1.1323753595352171</c:v>
                </c:pt>
                <c:pt idx="58">
                  <c:v>2.0831882953643799</c:v>
                </c:pt>
              </c:numCache>
            </c:numRef>
          </c:xVal>
          <c:yVal>
            <c:numRef>
              <c:f>Daily!$I$3:$I$61</c:f>
              <c:numCache>
                <c:formatCode>General</c:formatCode>
                <c:ptCount val="59"/>
                <c:pt idx="0">
                  <c:v>0</c:v>
                </c:pt>
                <c:pt idx="1">
                  <c:v>0.37</c:v>
                </c:pt>
                <c:pt idx="2">
                  <c:v>0.53</c:v>
                </c:pt>
                <c:pt idx="3">
                  <c:v>0.96</c:v>
                </c:pt>
                <c:pt idx="4">
                  <c:v>1.78</c:v>
                </c:pt>
                <c:pt idx="5">
                  <c:v>1.71</c:v>
                </c:pt>
                <c:pt idx="6">
                  <c:v>2.3199999999999998</c:v>
                </c:pt>
                <c:pt idx="7">
                  <c:v>5.07</c:v>
                </c:pt>
                <c:pt idx="8">
                  <c:v>5.52</c:v>
                </c:pt>
                <c:pt idx="9">
                  <c:v>3.14</c:v>
                </c:pt>
                <c:pt idx="10">
                  <c:v>1.9</c:v>
                </c:pt>
                <c:pt idx="11">
                  <c:v>2.42</c:v>
                </c:pt>
                <c:pt idx="12">
                  <c:v>1.1299999999999999</c:v>
                </c:pt>
                <c:pt idx="13">
                  <c:v>0.9</c:v>
                </c:pt>
                <c:pt idx="14">
                  <c:v>0.66</c:v>
                </c:pt>
                <c:pt idx="15">
                  <c:v>1.17</c:v>
                </c:pt>
                <c:pt idx="16">
                  <c:v>0.82</c:v>
                </c:pt>
                <c:pt idx="17">
                  <c:v>0.69</c:v>
                </c:pt>
                <c:pt idx="18">
                  <c:v>0.01</c:v>
                </c:pt>
                <c:pt idx="19">
                  <c:v>0.64</c:v>
                </c:pt>
                <c:pt idx="20">
                  <c:v>0.93</c:v>
                </c:pt>
                <c:pt idx="21">
                  <c:v>0.94</c:v>
                </c:pt>
                <c:pt idx="22">
                  <c:v>1.41</c:v>
                </c:pt>
                <c:pt idx="23">
                  <c:v>1.19</c:v>
                </c:pt>
                <c:pt idx="24">
                  <c:v>3.74</c:v>
                </c:pt>
                <c:pt idx="25">
                  <c:v>2.4500000000000002</c:v>
                </c:pt>
                <c:pt idx="26">
                  <c:v>4.97</c:v>
                </c:pt>
                <c:pt idx="27">
                  <c:v>3.87</c:v>
                </c:pt>
                <c:pt idx="28">
                  <c:v>3.84</c:v>
                </c:pt>
                <c:pt idx="29">
                  <c:v>4.03</c:v>
                </c:pt>
                <c:pt idx="30">
                  <c:v>3.81</c:v>
                </c:pt>
                <c:pt idx="31">
                  <c:v>2.82</c:v>
                </c:pt>
                <c:pt idx="32">
                  <c:v>1.97</c:v>
                </c:pt>
                <c:pt idx="33">
                  <c:v>1.41</c:v>
                </c:pt>
                <c:pt idx="34">
                  <c:v>1.79</c:v>
                </c:pt>
                <c:pt idx="35">
                  <c:v>2.0299999999999998</c:v>
                </c:pt>
                <c:pt idx="36">
                  <c:v>0.9</c:v>
                </c:pt>
                <c:pt idx="37">
                  <c:v>0.6</c:v>
                </c:pt>
                <c:pt idx="38">
                  <c:v>0.39</c:v>
                </c:pt>
                <c:pt idx="39">
                  <c:v>0.13</c:v>
                </c:pt>
                <c:pt idx="40">
                  <c:v>0.89</c:v>
                </c:pt>
                <c:pt idx="41">
                  <c:v>0.56999999999999995</c:v>
                </c:pt>
                <c:pt idx="42">
                  <c:v>-0.04</c:v>
                </c:pt>
                <c:pt idx="43">
                  <c:v>0.59</c:v>
                </c:pt>
                <c:pt idx="44">
                  <c:v>1.04</c:v>
                </c:pt>
                <c:pt idx="45">
                  <c:v>1.39</c:v>
                </c:pt>
                <c:pt idx="46">
                  <c:v>1.52</c:v>
                </c:pt>
                <c:pt idx="47">
                  <c:v>3.44</c:v>
                </c:pt>
                <c:pt idx="48">
                  <c:v>4.42</c:v>
                </c:pt>
                <c:pt idx="49">
                  <c:v>4.6900000000000004</c:v>
                </c:pt>
                <c:pt idx="50">
                  <c:v>6.39</c:v>
                </c:pt>
                <c:pt idx="51">
                  <c:v>4.5</c:v>
                </c:pt>
                <c:pt idx="52">
                  <c:v>3.78</c:v>
                </c:pt>
                <c:pt idx="53">
                  <c:v>2.84</c:v>
                </c:pt>
                <c:pt idx="54">
                  <c:v>2.4900000000000002</c:v>
                </c:pt>
                <c:pt idx="55">
                  <c:v>1.62</c:v>
                </c:pt>
                <c:pt idx="56">
                  <c:v>1.24</c:v>
                </c:pt>
                <c:pt idx="57">
                  <c:v>0.96</c:v>
                </c:pt>
                <c:pt idx="58">
                  <c:v>0.76</c:v>
                </c:pt>
              </c:numCache>
            </c:numRef>
          </c:yVal>
          <c:smooth val="0"/>
          <c:extLst>
            <c:ext xmlns:c16="http://schemas.microsoft.com/office/drawing/2014/chart" uri="{C3380CC4-5D6E-409C-BE32-E72D297353CC}">
              <c16:uniqueId val="{00000000-F545-4CB3-B2ED-851F1931EF50}"/>
            </c:ext>
          </c:extLst>
        </c:ser>
        <c:ser>
          <c:idx val="1"/>
          <c:order val="1"/>
          <c:tx>
            <c:v>Mtn Sage 2</c:v>
          </c:tx>
          <c:spPr>
            <a:ln w="25400" cap="rnd">
              <a:noFill/>
              <a:round/>
            </a:ln>
            <a:effectLst/>
          </c:spPr>
          <c:marker>
            <c:symbol val="circle"/>
            <c:size val="5"/>
            <c:spPr>
              <a:solidFill>
                <a:srgbClr val="00B0F0"/>
              </a:solidFill>
              <a:ln w="9525">
                <a:solidFill>
                  <a:srgbClr val="00B0F0"/>
                </a:solidFill>
              </a:ln>
              <a:effectLst/>
            </c:spPr>
          </c:marker>
          <c:trendline>
            <c:spPr>
              <a:ln w="28575" cap="rnd">
                <a:solidFill>
                  <a:srgbClr val="00B0F0"/>
                </a:solidFill>
                <a:prstDash val="sysDot"/>
              </a:ln>
              <a:effectLst/>
            </c:spPr>
            <c:trendlineType val="linear"/>
            <c:dispRSqr val="1"/>
            <c:dispEq val="0"/>
            <c:trendlineLbl>
              <c:layout>
                <c:manualLayout>
                  <c:x val="0.315073692711488"/>
                  <c:y val="5.3650966896464675E-2"/>
                </c:manualLayout>
              </c:layout>
              <c:numFmt formatCode="General" sourceLinked="0"/>
              <c:spPr>
                <a:solidFill>
                  <a:srgbClr val="00B0F0"/>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Daily!$C$3:$C$61</c:f>
              <c:numCache>
                <c:formatCode>General</c:formatCode>
                <c:ptCount val="59"/>
                <c:pt idx="0">
                  <c:v>9.9061548709869385E-2</c:v>
                </c:pt>
                <c:pt idx="1">
                  <c:v>1.157687902450562</c:v>
                </c:pt>
                <c:pt idx="2">
                  <c:v>1.613865971565247</c:v>
                </c:pt>
                <c:pt idx="3">
                  <c:v>2.2982304096221919</c:v>
                </c:pt>
                <c:pt idx="4">
                  <c:v>3.1258285045623779</c:v>
                </c:pt>
                <c:pt idx="5">
                  <c:v>4.1270966529846191</c:v>
                </c:pt>
                <c:pt idx="6">
                  <c:v>4.6780157089233398</c:v>
                </c:pt>
                <c:pt idx="7">
                  <c:v>5.8870663642883301</c:v>
                </c:pt>
                <c:pt idx="8">
                  <c:v>5.6359972953796387</c:v>
                </c:pt>
                <c:pt idx="9">
                  <c:v>4.6959304809570313</c:v>
                </c:pt>
                <c:pt idx="10">
                  <c:v>3.9021260738372798</c:v>
                </c:pt>
                <c:pt idx="11">
                  <c:v>3.7941005229949951</c:v>
                </c:pt>
                <c:pt idx="12">
                  <c:v>2.790351390838623</c:v>
                </c:pt>
                <c:pt idx="13">
                  <c:v>3.6769061088562012</c:v>
                </c:pt>
                <c:pt idx="14">
                  <c:v>2.861574649810791</c:v>
                </c:pt>
                <c:pt idx="15">
                  <c:v>1.3893617391586299</c:v>
                </c:pt>
                <c:pt idx="16">
                  <c:v>0.38032692670822138</c:v>
                </c:pt>
                <c:pt idx="17">
                  <c:v>0.1514589041471481</c:v>
                </c:pt>
                <c:pt idx="18">
                  <c:v>0</c:v>
                </c:pt>
                <c:pt idx="19">
                  <c:v>#N/A</c:v>
                </c:pt>
                <c:pt idx="20">
                  <c:v>0.31636345386505133</c:v>
                </c:pt>
                <c:pt idx="21">
                  <c:v>4.0269179344177246</c:v>
                </c:pt>
                <c:pt idx="22">
                  <c:v>1.6502336263656621</c:v>
                </c:pt>
                <c:pt idx="23">
                  <c:v>1.103141188621521</c:v>
                </c:pt>
                <c:pt idx="24">
                  <c:v>2.7711997032165532</c:v>
                </c:pt>
                <c:pt idx="25">
                  <c:v>4.1794633865356454</c:v>
                </c:pt>
                <c:pt idx="26">
                  <c:v>5.4568080902099609</c:v>
                </c:pt>
                <c:pt idx="27">
                  <c:v>5.0401644706726074</c:v>
                </c:pt>
                <c:pt idx="28">
                  <c:v>5.3032045364379883</c:v>
                </c:pt>
                <c:pt idx="29">
                  <c:v>3.8597357273101811</c:v>
                </c:pt>
                <c:pt idx="30">
                  <c:v>3.3710696697235112</c:v>
                </c:pt>
                <c:pt idx="31">
                  <c:v>3.6639325618743901</c:v>
                </c:pt>
                <c:pt idx="32">
                  <c:v>4.2582764625549316</c:v>
                </c:pt>
                <c:pt idx="33">
                  <c:v>3.489214420318604</c:v>
                </c:pt>
                <c:pt idx="34">
                  <c:v>3.2587490081787109</c:v>
                </c:pt>
                <c:pt idx="35">
                  <c:v>0</c:v>
                </c:pt>
                <c:pt idx="36">
                  <c:v>2.6357614994049068</c:v>
                </c:pt>
                <c:pt idx="37">
                  <c:v>2.4496529102325439</c:v>
                </c:pt>
                <c:pt idx="38">
                  <c:v>2.0898573398590088</c:v>
                </c:pt>
                <c:pt idx="39">
                  <c:v>0</c:v>
                </c:pt>
                <c:pt idx="40">
                  <c:v>0.8270689845085144</c:v>
                </c:pt>
                <c:pt idx="41">
                  <c:v>0.29240003228187561</c:v>
                </c:pt>
                <c:pt idx="42">
                  <c:v>0</c:v>
                </c:pt>
                <c:pt idx="43">
                  <c:v>0</c:v>
                </c:pt>
                <c:pt idx="44">
                  <c:v>2.1165649890899658</c:v>
                </c:pt>
                <c:pt idx="45">
                  <c:v>2.2694685459136958</c:v>
                </c:pt>
                <c:pt idx="46">
                  <c:v>3.1680037975311279</c:v>
                </c:pt>
                <c:pt idx="47">
                  <c:v>#N/A</c:v>
                </c:pt>
                <c:pt idx="48">
                  <c:v>4.832005500793457</c:v>
                </c:pt>
                <c:pt idx="49">
                  <c:v>5.3335599899291992</c:v>
                </c:pt>
                <c:pt idx="50">
                  <c:v>4.3332076072692871</c:v>
                </c:pt>
                <c:pt idx="51">
                  <c:v>4.1307244300842294</c:v>
                </c:pt>
                <c:pt idx="52">
                  <c:v>5.1646523475646973</c:v>
                </c:pt>
                <c:pt idx="53">
                  <c:v>3.718477725982666</c:v>
                </c:pt>
                <c:pt idx="54">
                  <c:v>3.183316707611084</c:v>
                </c:pt>
                <c:pt idx="55">
                  <c:v>2.8225831985473628</c:v>
                </c:pt>
                <c:pt idx="56">
                  <c:v>#N/A</c:v>
                </c:pt>
                <c:pt idx="57">
                  <c:v>1.342255830764771</c:v>
                </c:pt>
                <c:pt idx="58">
                  <c:v>#N/A</c:v>
                </c:pt>
              </c:numCache>
            </c:numRef>
          </c:xVal>
          <c:yVal>
            <c:numRef>
              <c:f>Daily!$J$3:$J$61</c:f>
              <c:numCache>
                <c:formatCode>General</c:formatCode>
                <c:ptCount val="59"/>
                <c:pt idx="0">
                  <c:v>7.0000000000000007E-2</c:v>
                </c:pt>
                <c:pt idx="1">
                  <c:v>1.06</c:v>
                </c:pt>
                <c:pt idx="2">
                  <c:v>0.57999999999999996</c:v>
                </c:pt>
                <c:pt idx="3">
                  <c:v>1.1399999999999999</c:v>
                </c:pt>
                <c:pt idx="4">
                  <c:v>1.81</c:v>
                </c:pt>
                <c:pt idx="5">
                  <c:v>1.65</c:v>
                </c:pt>
                <c:pt idx="6">
                  <c:v>2.84</c:v>
                </c:pt>
                <c:pt idx="7">
                  <c:v>5.48</c:v>
                </c:pt>
                <c:pt idx="8">
                  <c:v>5.86</c:v>
                </c:pt>
                <c:pt idx="9">
                  <c:v>2.42</c:v>
                </c:pt>
                <c:pt idx="10">
                  <c:v>2.14</c:v>
                </c:pt>
                <c:pt idx="11">
                  <c:v>1.99</c:v>
                </c:pt>
                <c:pt idx="12">
                  <c:v>1.19</c:v>
                </c:pt>
                <c:pt idx="13">
                  <c:v>0.97</c:v>
                </c:pt>
                <c:pt idx="14">
                  <c:v>0.83</c:v>
                </c:pt>
                <c:pt idx="15">
                  <c:v>1.0900000000000001</c:v>
                </c:pt>
                <c:pt idx="16">
                  <c:v>0.95</c:v>
                </c:pt>
                <c:pt idx="17">
                  <c:v>0.35</c:v>
                </c:pt>
                <c:pt idx="18">
                  <c:v>0.26</c:v>
                </c:pt>
                <c:pt idx="19">
                  <c:v>0.13</c:v>
                </c:pt>
                <c:pt idx="20">
                  <c:v>0.08</c:v>
                </c:pt>
                <c:pt idx="21">
                  <c:v>0.18</c:v>
                </c:pt>
                <c:pt idx="22">
                  <c:v>0.6</c:v>
                </c:pt>
                <c:pt idx="23">
                  <c:v>0.92</c:v>
                </c:pt>
                <c:pt idx="24">
                  <c:v>2.0699999999999998</c:v>
                </c:pt>
                <c:pt idx="25">
                  <c:v>3.16</c:v>
                </c:pt>
                <c:pt idx="26">
                  <c:v>4.1399999999999997</c:v>
                </c:pt>
                <c:pt idx="27">
                  <c:v>4.87</c:v>
                </c:pt>
                <c:pt idx="28">
                  <c:v>4.0999999999999996</c:v>
                </c:pt>
                <c:pt idx="29">
                  <c:v>4.01</c:v>
                </c:pt>
                <c:pt idx="30">
                  <c:v>4.41</c:v>
                </c:pt>
                <c:pt idx="31">
                  <c:v>3.11</c:v>
                </c:pt>
                <c:pt idx="32">
                  <c:v>2.91</c:v>
                </c:pt>
                <c:pt idx="33">
                  <c:v>1.81</c:v>
                </c:pt>
                <c:pt idx="34">
                  <c:v>1.59</c:v>
                </c:pt>
                <c:pt idx="35">
                  <c:v>0.99</c:v>
                </c:pt>
                <c:pt idx="36">
                  <c:v>1.32</c:v>
                </c:pt>
                <c:pt idx="37">
                  <c:v>0.67</c:v>
                </c:pt>
                <c:pt idx="38">
                  <c:v>0.68</c:v>
                </c:pt>
                <c:pt idx="39">
                  <c:v>0.28999999999999998</c:v>
                </c:pt>
                <c:pt idx="40">
                  <c:v>0.38</c:v>
                </c:pt>
                <c:pt idx="41">
                  <c:v>0.55000000000000004</c:v>
                </c:pt>
                <c:pt idx="42">
                  <c:v>-7.0000000000000007E-2</c:v>
                </c:pt>
                <c:pt idx="43">
                  <c:v>0.52</c:v>
                </c:pt>
                <c:pt idx="44">
                  <c:v>0.39</c:v>
                </c:pt>
                <c:pt idx="45">
                  <c:v>1.01</c:v>
                </c:pt>
                <c:pt idx="46">
                  <c:v>1.65</c:v>
                </c:pt>
                <c:pt idx="47">
                  <c:v>2.36</c:v>
                </c:pt>
                <c:pt idx="48">
                  <c:v>4.59</c:v>
                </c:pt>
                <c:pt idx="49">
                  <c:v>5.35</c:v>
                </c:pt>
                <c:pt idx="50">
                  <c:v>6.15</c:v>
                </c:pt>
                <c:pt idx="51">
                  <c:v>5.07</c:v>
                </c:pt>
                <c:pt idx="52">
                  <c:v>3.87</c:v>
                </c:pt>
                <c:pt idx="53">
                  <c:v>3.04</c:v>
                </c:pt>
                <c:pt idx="54">
                  <c:v>1.77</c:v>
                </c:pt>
                <c:pt idx="55">
                  <c:v>1.55</c:v>
                </c:pt>
                <c:pt idx="56">
                  <c:v>1.34</c:v>
                </c:pt>
                <c:pt idx="57">
                  <c:v>1.3</c:v>
                </c:pt>
                <c:pt idx="58">
                  <c:v>0.63</c:v>
                </c:pt>
              </c:numCache>
            </c:numRef>
          </c:yVal>
          <c:smooth val="0"/>
          <c:extLst>
            <c:ext xmlns:c16="http://schemas.microsoft.com/office/drawing/2014/chart" uri="{C3380CC4-5D6E-409C-BE32-E72D297353CC}">
              <c16:uniqueId val="{00000001-F545-4CB3-B2ED-851F1931EF50}"/>
            </c:ext>
          </c:extLst>
        </c:ser>
        <c:ser>
          <c:idx val="2"/>
          <c:order val="2"/>
          <c:tx>
            <c:v>WY Sage</c:v>
          </c:tx>
          <c:spPr>
            <a:ln w="25400" cap="rnd">
              <a:noFill/>
              <a:round/>
            </a:ln>
            <a:effectLst/>
          </c:spPr>
          <c:marker>
            <c:symbol val="circle"/>
            <c:size val="5"/>
            <c:spPr>
              <a:solidFill>
                <a:srgbClr val="7030A0"/>
              </a:solidFill>
              <a:ln w="9525">
                <a:solidFill>
                  <a:srgbClr val="7030A0"/>
                </a:solidFill>
              </a:ln>
              <a:effectLst/>
            </c:spPr>
          </c:marker>
          <c:trendline>
            <c:spPr>
              <a:ln w="28575" cap="rnd">
                <a:solidFill>
                  <a:srgbClr val="7030A0"/>
                </a:solidFill>
                <a:prstDash val="sysDot"/>
              </a:ln>
              <a:effectLst/>
            </c:spPr>
            <c:trendlineType val="linear"/>
            <c:dispRSqr val="1"/>
            <c:dispEq val="0"/>
            <c:trendlineLbl>
              <c:layout>
                <c:manualLayout>
                  <c:x val="0.47782617473819117"/>
                  <c:y val="4.6015658933722392E-2"/>
                </c:manualLayout>
              </c:layout>
              <c:numFmt formatCode="General" sourceLinked="0"/>
              <c:spPr>
                <a:solidFill>
                  <a:srgbClr val="7030A0"/>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Daily!$D$3:$D$61</c:f>
              <c:numCache>
                <c:formatCode>General</c:formatCode>
                <c:ptCount val="59"/>
                <c:pt idx="0">
                  <c:v>0</c:v>
                </c:pt>
                <c:pt idx="1">
                  <c:v>0.42278188467025762</c:v>
                </c:pt>
                <c:pt idx="2">
                  <c:v>1.4038321971893311</c:v>
                </c:pt>
                <c:pt idx="3">
                  <c:v>2.1860320568084721</c:v>
                </c:pt>
                <c:pt idx="4">
                  <c:v>#N/A</c:v>
                </c:pt>
                <c:pt idx="5">
                  <c:v>3.5505952835083008</c:v>
                </c:pt>
                <c:pt idx="6">
                  <c:v>0</c:v>
                </c:pt>
                <c:pt idx="7">
                  <c:v>2.0560014247894292</c:v>
                </c:pt>
                <c:pt idx="8">
                  <c:v>0</c:v>
                </c:pt>
                <c:pt idx="9">
                  <c:v>2.6115624904632568</c:v>
                </c:pt>
                <c:pt idx="10">
                  <c:v>1.5767842531204219</c:v>
                </c:pt>
                <c:pt idx="11">
                  <c:v>0</c:v>
                </c:pt>
                <c:pt idx="12">
                  <c:v>#N/A</c:v>
                </c:pt>
                <c:pt idx="13">
                  <c:v>1.906144857406616</c:v>
                </c:pt>
                <c:pt idx="14">
                  <c:v>2.6079170703887939</c:v>
                </c:pt>
                <c:pt idx="15">
                  <c:v>1.264306902885437</c:v>
                </c:pt>
                <c:pt idx="16">
                  <c:v>0</c:v>
                </c:pt>
                <c:pt idx="17">
                  <c:v>1.1360559146851299E-3</c:v>
                </c:pt>
                <c:pt idx="18">
                  <c:v>8.2244277000427246E-2</c:v>
                </c:pt>
                <c:pt idx="19">
                  <c:v>0.91024142503738403</c:v>
                </c:pt>
                <c:pt idx="20">
                  <c:v>#N/A</c:v>
                </c:pt>
                <c:pt idx="21">
                  <c:v>1.2165588140487671</c:v>
                </c:pt>
                <c:pt idx="22">
                  <c:v>#N/A</c:v>
                </c:pt>
                <c:pt idx="23">
                  <c:v>1.9802330732345581</c:v>
                </c:pt>
                <c:pt idx="24">
                  <c:v>0</c:v>
                </c:pt>
                <c:pt idx="25">
                  <c:v>2.448370218276978</c:v>
                </c:pt>
                <c:pt idx="26">
                  <c:v>1.561078667640686</c:v>
                </c:pt>
                <c:pt idx="27">
                  <c:v>0</c:v>
                </c:pt>
                <c:pt idx="28">
                  <c:v>1.089183449745178</c:v>
                </c:pt>
                <c:pt idx="29">
                  <c:v>0.2016456127166748</c:v>
                </c:pt>
                <c:pt idx="30">
                  <c:v>0</c:v>
                </c:pt>
                <c:pt idx="31">
                  <c:v>0</c:v>
                </c:pt>
                <c:pt idx="32">
                  <c:v>0</c:v>
                </c:pt>
                <c:pt idx="33">
                  <c:v>2.0281379222869869</c:v>
                </c:pt>
                <c:pt idx="34">
                  <c:v>0.77460527420043945</c:v>
                </c:pt>
                <c:pt idx="35">
                  <c:v>0.38565635681152338</c:v>
                </c:pt>
                <c:pt idx="36">
                  <c:v>1.055766224861145</c:v>
                </c:pt>
                <c:pt idx="37">
                  <c:v>0.70048767328262329</c:v>
                </c:pt>
                <c:pt idx="38">
                  <c:v>1.6575784683227539</c:v>
                </c:pt>
                <c:pt idx="39">
                  <c:v>1.160569906234741</c:v>
                </c:pt>
                <c:pt idx="40">
                  <c:v>0.26451259851455688</c:v>
                </c:pt>
                <c:pt idx="41">
                  <c:v>0.33514237403869629</c:v>
                </c:pt>
                <c:pt idx="42">
                  <c:v>0.38634678721427917</c:v>
                </c:pt>
                <c:pt idx="43">
                  <c:v>1.1655271053314209</c:v>
                </c:pt>
                <c:pt idx="44">
                  <c:v>0.20328783988952639</c:v>
                </c:pt>
                <c:pt idx="45">
                  <c:v>2.188437700271606</c:v>
                </c:pt>
                <c:pt idx="46">
                  <c:v>3.8103678226470952</c:v>
                </c:pt>
                <c:pt idx="47">
                  <c:v>0.95542436838150024</c:v>
                </c:pt>
                <c:pt idx="48">
                  <c:v>1.45580530166626</c:v>
                </c:pt>
                <c:pt idx="49">
                  <c:v>4.3999976478517064E-3</c:v>
                </c:pt>
                <c:pt idx="50">
                  <c:v>0</c:v>
                </c:pt>
                <c:pt idx="51">
                  <c:v>0.26569843292236328</c:v>
                </c:pt>
                <c:pt idx="52">
                  <c:v>3.9828402996063228</c:v>
                </c:pt>
                <c:pt idx="53">
                  <c:v>0.87458133697509766</c:v>
                </c:pt>
                <c:pt idx="54">
                  <c:v>3.6995503902435298</c:v>
                </c:pt>
                <c:pt idx="55">
                  <c:v>0</c:v>
                </c:pt>
                <c:pt idx="56">
                  <c:v>0.80457830429077148</c:v>
                </c:pt>
                <c:pt idx="57">
                  <c:v>0</c:v>
                </c:pt>
                <c:pt idx="58">
                  <c:v>#N/A</c:v>
                </c:pt>
              </c:numCache>
            </c:numRef>
          </c:xVal>
          <c:yVal>
            <c:numRef>
              <c:f>Daily!$K$3:$K$61</c:f>
              <c:numCache>
                <c:formatCode>General</c:formatCode>
                <c:ptCount val="59"/>
                <c:pt idx="0">
                  <c:v>0.24</c:v>
                </c:pt>
                <c:pt idx="1">
                  <c:v>0.8</c:v>
                </c:pt>
                <c:pt idx="2">
                  <c:v>0.96</c:v>
                </c:pt>
                <c:pt idx="3">
                  <c:v>1.7</c:v>
                </c:pt>
                <c:pt idx="4">
                  <c:v>1.58</c:v>
                </c:pt>
                <c:pt idx="5">
                  <c:v>1.58</c:v>
                </c:pt>
                <c:pt idx="6">
                  <c:v>2.25</c:v>
                </c:pt>
                <c:pt idx="7">
                  <c:v>2.8</c:v>
                </c:pt>
                <c:pt idx="8">
                  <c:v>0.91</c:v>
                </c:pt>
                <c:pt idx="9">
                  <c:v>0.84</c:v>
                </c:pt>
                <c:pt idx="10">
                  <c:v>0.69</c:v>
                </c:pt>
                <c:pt idx="11">
                  <c:v>0.84</c:v>
                </c:pt>
                <c:pt idx="12">
                  <c:v>0.49</c:v>
                </c:pt>
                <c:pt idx="13">
                  <c:v>0.64</c:v>
                </c:pt>
                <c:pt idx="14">
                  <c:v>0.26</c:v>
                </c:pt>
                <c:pt idx="15">
                  <c:v>0.51</c:v>
                </c:pt>
                <c:pt idx="16">
                  <c:v>0.18</c:v>
                </c:pt>
                <c:pt idx="17">
                  <c:v>0.3</c:v>
                </c:pt>
                <c:pt idx="18">
                  <c:v>0.26</c:v>
                </c:pt>
                <c:pt idx="19">
                  <c:v>1.6</c:v>
                </c:pt>
                <c:pt idx="20">
                  <c:v>1.22</c:v>
                </c:pt>
                <c:pt idx="21">
                  <c:v>1.74</c:v>
                </c:pt>
                <c:pt idx="22">
                  <c:v>1.83</c:v>
                </c:pt>
                <c:pt idx="23">
                  <c:v>2.09</c:v>
                </c:pt>
                <c:pt idx="24">
                  <c:v>1.83</c:v>
                </c:pt>
                <c:pt idx="25">
                  <c:v>0.99</c:v>
                </c:pt>
                <c:pt idx="26">
                  <c:v>0.86</c:v>
                </c:pt>
                <c:pt idx="27">
                  <c:v>0.68</c:v>
                </c:pt>
                <c:pt idx="28">
                  <c:v>0.54</c:v>
                </c:pt>
                <c:pt idx="29">
                  <c:v>0.35</c:v>
                </c:pt>
                <c:pt idx="30">
                  <c:v>0.4</c:v>
                </c:pt>
                <c:pt idx="31">
                  <c:v>0.2</c:v>
                </c:pt>
                <c:pt idx="32">
                  <c:v>0.3</c:v>
                </c:pt>
                <c:pt idx="33">
                  <c:v>0.17</c:v>
                </c:pt>
                <c:pt idx="34">
                  <c:v>0.2</c:v>
                </c:pt>
                <c:pt idx="35">
                  <c:v>0.19</c:v>
                </c:pt>
                <c:pt idx="36">
                  <c:v>0.06</c:v>
                </c:pt>
                <c:pt idx="37">
                  <c:v>0.22</c:v>
                </c:pt>
                <c:pt idx="38">
                  <c:v>0.22</c:v>
                </c:pt>
                <c:pt idx="39">
                  <c:v>0</c:v>
                </c:pt>
                <c:pt idx="40">
                  <c:v>0.68</c:v>
                </c:pt>
                <c:pt idx="41">
                  <c:v>0.44</c:v>
                </c:pt>
                <c:pt idx="42">
                  <c:v>0.49</c:v>
                </c:pt>
                <c:pt idx="43">
                  <c:v>1.18</c:v>
                </c:pt>
                <c:pt idx="44">
                  <c:v>1.66</c:v>
                </c:pt>
                <c:pt idx="45">
                  <c:v>1.55</c:v>
                </c:pt>
                <c:pt idx="46">
                  <c:v>1.08</c:v>
                </c:pt>
                <c:pt idx="47">
                  <c:v>2.08</c:v>
                </c:pt>
                <c:pt idx="48">
                  <c:v>1.91</c:v>
                </c:pt>
                <c:pt idx="49">
                  <c:v>1.5</c:v>
                </c:pt>
                <c:pt idx="50">
                  <c:v>1.42</c:v>
                </c:pt>
                <c:pt idx="51">
                  <c:v>0.65</c:v>
                </c:pt>
                <c:pt idx="52">
                  <c:v>0.91</c:v>
                </c:pt>
                <c:pt idx="53">
                  <c:v>0.55000000000000004</c:v>
                </c:pt>
                <c:pt idx="54">
                  <c:v>0.51</c:v>
                </c:pt>
                <c:pt idx="55">
                  <c:v>0.25</c:v>
                </c:pt>
                <c:pt idx="56">
                  <c:v>0.38</c:v>
                </c:pt>
                <c:pt idx="57">
                  <c:v>0.28000000000000003</c:v>
                </c:pt>
                <c:pt idx="58">
                  <c:v>0.36</c:v>
                </c:pt>
              </c:numCache>
            </c:numRef>
          </c:yVal>
          <c:smooth val="0"/>
          <c:extLst>
            <c:ext xmlns:c16="http://schemas.microsoft.com/office/drawing/2014/chart" uri="{C3380CC4-5D6E-409C-BE32-E72D297353CC}">
              <c16:uniqueId val="{00000002-F545-4CB3-B2ED-851F1931EF50}"/>
            </c:ext>
          </c:extLst>
        </c:ser>
        <c:ser>
          <c:idx val="3"/>
          <c:order val="3"/>
          <c:tx>
            <c:v>Low Sage</c:v>
          </c:tx>
          <c:spPr>
            <a:ln w="25400" cap="rnd">
              <a:noFill/>
              <a:round/>
            </a:ln>
            <a:effectLst/>
          </c:spPr>
          <c:marker>
            <c:symbol val="circle"/>
            <c:size val="5"/>
            <c:spPr>
              <a:solidFill>
                <a:schemeClr val="accent3"/>
              </a:solidFill>
              <a:ln w="9525">
                <a:solidFill>
                  <a:schemeClr val="accent3"/>
                </a:solidFill>
              </a:ln>
              <a:effectLst/>
            </c:spPr>
          </c:marker>
          <c:trendline>
            <c:spPr>
              <a:ln w="28575" cap="rnd">
                <a:solidFill>
                  <a:schemeClr val="accent3"/>
                </a:solidFill>
                <a:prstDash val="sysDot"/>
              </a:ln>
              <a:effectLst/>
            </c:spPr>
            <c:trendlineType val="linear"/>
            <c:dispRSqr val="1"/>
            <c:dispEq val="0"/>
            <c:trendlineLbl>
              <c:layout>
                <c:manualLayout>
                  <c:x val="0.48850042574109676"/>
                  <c:y val="7.3089502426058134E-2"/>
                </c:manualLayout>
              </c:layout>
              <c:numFmt formatCode="General" sourceLinked="0"/>
              <c:spPr>
                <a:solidFill>
                  <a:schemeClr val="accent3"/>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Daily!$E$3:$E$61</c:f>
              <c:numCache>
                <c:formatCode>General</c:formatCode>
                <c:ptCount val="59"/>
                <c:pt idx="0">
                  <c:v>0</c:v>
                </c:pt>
                <c:pt idx="1">
                  <c:v>0.31545159220695501</c:v>
                </c:pt>
                <c:pt idx="2">
                  <c:v>1.330979704856873</c:v>
                </c:pt>
                <c:pt idx="3">
                  <c:v>2.4705462455749512</c:v>
                </c:pt>
                <c:pt idx="4">
                  <c:v>#N/A</c:v>
                </c:pt>
                <c:pt idx="5">
                  <c:v>3.8503425121307369</c:v>
                </c:pt>
                <c:pt idx="6">
                  <c:v>1.201534748077393</c:v>
                </c:pt>
                <c:pt idx="7">
                  <c:v>3.763921737670898</c:v>
                </c:pt>
                <c:pt idx="8">
                  <c:v>0.41341254115104681</c:v>
                </c:pt>
                <c:pt idx="9">
                  <c:v>3.230140209197998</c:v>
                </c:pt>
                <c:pt idx="10">
                  <c:v>2.1230242252349849</c:v>
                </c:pt>
                <c:pt idx="11">
                  <c:v>0</c:v>
                </c:pt>
                <c:pt idx="12">
                  <c:v>#N/A</c:v>
                </c:pt>
                <c:pt idx="13">
                  <c:v>2.9841382503509521</c:v>
                </c:pt>
                <c:pt idx="14">
                  <c:v>2.746352910995483</c:v>
                </c:pt>
                <c:pt idx="15">
                  <c:v>1.3757921457290649</c:v>
                </c:pt>
                <c:pt idx="16">
                  <c:v>0</c:v>
                </c:pt>
                <c:pt idx="17">
                  <c:v>0</c:v>
                </c:pt>
                <c:pt idx="18">
                  <c:v>3.860569791868329E-3</c:v>
                </c:pt>
                <c:pt idx="19">
                  <c:v>1.6176309585571289</c:v>
                </c:pt>
                <c:pt idx="20">
                  <c:v>1.747442245483398</c:v>
                </c:pt>
                <c:pt idx="21">
                  <c:v>1.854683518409729</c:v>
                </c:pt>
                <c:pt idx="22">
                  <c:v>#N/A</c:v>
                </c:pt>
                <c:pt idx="23">
                  <c:v>2.5903828144073491</c:v>
                </c:pt>
                <c:pt idx="24">
                  <c:v>0.97924566268920898</c:v>
                </c:pt>
                <c:pt idx="25">
                  <c:v>3.2839033603668208</c:v>
                </c:pt>
                <c:pt idx="26">
                  <c:v>1.9181283712387081</c:v>
                </c:pt>
                <c:pt idx="27">
                  <c:v>0.113872304558754</c:v>
                </c:pt>
                <c:pt idx="28">
                  <c:v>1.7852687835693359</c:v>
                </c:pt>
                <c:pt idx="29">
                  <c:v>0.48228082060813898</c:v>
                </c:pt>
                <c:pt idx="30">
                  <c:v>0</c:v>
                </c:pt>
                <c:pt idx="31">
                  <c:v>0</c:v>
                </c:pt>
                <c:pt idx="32">
                  <c:v>0</c:v>
                </c:pt>
                <c:pt idx="33">
                  <c:v>2.138310432434082</c:v>
                </c:pt>
                <c:pt idx="34">
                  <c:v>0.78911298513412476</c:v>
                </c:pt>
                <c:pt idx="35">
                  <c:v>0.27991175651550287</c:v>
                </c:pt>
                <c:pt idx="36">
                  <c:v>#N/A</c:v>
                </c:pt>
                <c:pt idx="37">
                  <c:v>0.91020530462265015</c:v>
                </c:pt>
                <c:pt idx="38">
                  <c:v>1.5990204811096189</c:v>
                </c:pt>
                <c:pt idx="39">
                  <c:v>1.4099739789962771</c:v>
                </c:pt>
                <c:pt idx="40">
                  <c:v>0.17776428163051611</c:v>
                </c:pt>
                <c:pt idx="41">
                  <c:v>0.25787228345870972</c:v>
                </c:pt>
                <c:pt idx="42">
                  <c:v>0</c:v>
                </c:pt>
                <c:pt idx="43">
                  <c:v>1.1037695407867429</c:v>
                </c:pt>
                <c:pt idx="44">
                  <c:v>1.594517707824707</c:v>
                </c:pt>
                <c:pt idx="45">
                  <c:v>2.5141274929046631</c:v>
                </c:pt>
                <c:pt idx="46">
                  <c:v>1.5869907140731809</c:v>
                </c:pt>
                <c:pt idx="47">
                  <c:v>2.366644144058228</c:v>
                </c:pt>
                <c:pt idx="48">
                  <c:v>2.7369353771209721</c:v>
                </c:pt>
                <c:pt idx="49">
                  <c:v>1.9149118661880491</c:v>
                </c:pt>
                <c:pt idx="50">
                  <c:v>0</c:v>
                </c:pt>
                <c:pt idx="51">
                  <c:v>0.83339345455169678</c:v>
                </c:pt>
                <c:pt idx="52">
                  <c:v>3.2168302536010742</c:v>
                </c:pt>
                <c:pt idx="53">
                  <c:v>0.58085387945175171</c:v>
                </c:pt>
                <c:pt idx="54">
                  <c:v>0</c:v>
                </c:pt>
                <c:pt idx="55">
                  <c:v>0.31086817383766169</c:v>
                </c:pt>
                <c:pt idx="56">
                  <c:v>0.32427379488945007</c:v>
                </c:pt>
                <c:pt idx="57">
                  <c:v>0.26370280981063843</c:v>
                </c:pt>
                <c:pt idx="58">
                  <c:v>#N/A</c:v>
                </c:pt>
              </c:numCache>
            </c:numRef>
          </c:xVal>
          <c:yVal>
            <c:numRef>
              <c:f>Daily!$L$3:$L$61</c:f>
              <c:numCache>
                <c:formatCode>General</c:formatCode>
                <c:ptCount val="59"/>
                <c:pt idx="0">
                  <c:v>0.27</c:v>
                </c:pt>
                <c:pt idx="1">
                  <c:v>0.84</c:v>
                </c:pt>
                <c:pt idx="2">
                  <c:v>1.1200000000000001</c:v>
                </c:pt>
                <c:pt idx="3">
                  <c:v>1.48</c:v>
                </c:pt>
                <c:pt idx="4">
                  <c:v>2.42</c:v>
                </c:pt>
                <c:pt idx="5">
                  <c:v>3.64</c:v>
                </c:pt>
                <c:pt idx="6">
                  <c:v>2.91</c:v>
                </c:pt>
                <c:pt idx="7">
                  <c:v>4.54</c:v>
                </c:pt>
                <c:pt idx="8">
                  <c:v>2.1800000000000002</c:v>
                </c:pt>
                <c:pt idx="9">
                  <c:v>1.39</c:v>
                </c:pt>
                <c:pt idx="10">
                  <c:v>1.1000000000000001</c:v>
                </c:pt>
                <c:pt idx="11">
                  <c:v>1.08</c:v>
                </c:pt>
                <c:pt idx="12">
                  <c:v>0.54</c:v>
                </c:pt>
                <c:pt idx="13">
                  <c:v>0.73</c:v>
                </c:pt>
                <c:pt idx="14">
                  <c:v>0.36</c:v>
                </c:pt>
                <c:pt idx="15">
                  <c:v>0.76</c:v>
                </c:pt>
                <c:pt idx="16">
                  <c:v>0.47</c:v>
                </c:pt>
                <c:pt idx="17">
                  <c:v>0.82</c:v>
                </c:pt>
                <c:pt idx="18">
                  <c:v>0.26</c:v>
                </c:pt>
                <c:pt idx="19">
                  <c:v>1.81</c:v>
                </c:pt>
                <c:pt idx="20">
                  <c:v>1.55</c:v>
                </c:pt>
                <c:pt idx="21">
                  <c:v>2.15</c:v>
                </c:pt>
                <c:pt idx="22">
                  <c:v>2.4</c:v>
                </c:pt>
                <c:pt idx="23">
                  <c:v>2.21</c:v>
                </c:pt>
                <c:pt idx="24">
                  <c:v>3.83</c:v>
                </c:pt>
                <c:pt idx="25">
                  <c:v>2.13</c:v>
                </c:pt>
                <c:pt idx="26">
                  <c:v>1.75</c:v>
                </c:pt>
                <c:pt idx="27">
                  <c:v>1.57</c:v>
                </c:pt>
                <c:pt idx="28">
                  <c:v>1.21</c:v>
                </c:pt>
                <c:pt idx="29">
                  <c:v>0.91</c:v>
                </c:pt>
                <c:pt idx="30">
                  <c:v>0.95</c:v>
                </c:pt>
                <c:pt idx="31">
                  <c:v>0.51</c:v>
                </c:pt>
                <c:pt idx="32">
                  <c:v>0.54</c:v>
                </c:pt>
                <c:pt idx="33">
                  <c:v>0.37</c:v>
                </c:pt>
                <c:pt idx="34">
                  <c:v>0.46</c:v>
                </c:pt>
                <c:pt idx="35">
                  <c:v>0.36</c:v>
                </c:pt>
                <c:pt idx="36">
                  <c:v>0.21</c:v>
                </c:pt>
                <c:pt idx="37">
                  <c:v>0.19</c:v>
                </c:pt>
                <c:pt idx="38">
                  <c:v>0.28999999999999998</c:v>
                </c:pt>
                <c:pt idx="39">
                  <c:v>0.02</c:v>
                </c:pt>
                <c:pt idx="40">
                  <c:v>0.78</c:v>
                </c:pt>
                <c:pt idx="41">
                  <c:v>0.51</c:v>
                </c:pt>
                <c:pt idx="42">
                  <c:v>0.57999999999999996</c:v>
                </c:pt>
                <c:pt idx="43">
                  <c:v>1.38</c:v>
                </c:pt>
                <c:pt idx="44">
                  <c:v>1.76</c:v>
                </c:pt>
                <c:pt idx="45">
                  <c:v>1.99</c:v>
                </c:pt>
                <c:pt idx="46">
                  <c:v>2.0299999999999998</c:v>
                </c:pt>
                <c:pt idx="47">
                  <c:v>4.05</c:v>
                </c:pt>
                <c:pt idx="48">
                  <c:v>3.69</c:v>
                </c:pt>
                <c:pt idx="49">
                  <c:v>2.2999999999999998</c:v>
                </c:pt>
                <c:pt idx="50">
                  <c:v>1.73</c:v>
                </c:pt>
                <c:pt idx="51">
                  <c:v>1.03</c:v>
                </c:pt>
                <c:pt idx="52">
                  <c:v>1.03</c:v>
                </c:pt>
                <c:pt idx="53">
                  <c:v>0.73</c:v>
                </c:pt>
                <c:pt idx="54">
                  <c:v>0.43</c:v>
                </c:pt>
                <c:pt idx="55">
                  <c:v>0.66</c:v>
                </c:pt>
                <c:pt idx="56">
                  <c:v>0.44</c:v>
                </c:pt>
                <c:pt idx="57">
                  <c:v>0.42</c:v>
                </c:pt>
                <c:pt idx="58">
                  <c:v>0.42</c:v>
                </c:pt>
              </c:numCache>
            </c:numRef>
          </c:yVal>
          <c:smooth val="0"/>
          <c:extLst>
            <c:ext xmlns:c16="http://schemas.microsoft.com/office/drawing/2014/chart" uri="{C3380CC4-5D6E-409C-BE32-E72D297353CC}">
              <c16:uniqueId val="{00000003-F545-4CB3-B2ED-851F1931EF50}"/>
            </c:ext>
          </c:extLst>
        </c:ser>
        <c:dLbls>
          <c:showLegendKey val="0"/>
          <c:showVal val="0"/>
          <c:showCatName val="0"/>
          <c:showSerName val="0"/>
          <c:showPercent val="0"/>
          <c:showBubbleSize val="0"/>
        </c:dLbls>
        <c:axId val="727525536"/>
        <c:axId val="727519304"/>
      </c:scatterChart>
      <c:valAx>
        <c:axId val="727525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RCEW ET</a:t>
                </a:r>
              </a:p>
            </c:rich>
          </c:tx>
          <c:layout>
            <c:manualLayout>
              <c:xMode val="edge"/>
              <c:yMode val="edge"/>
              <c:x val="0.42977132875113028"/>
              <c:y val="0.8836397925506834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27519304"/>
        <c:crosses val="autoZero"/>
        <c:crossBetween val="midCat"/>
      </c:valAx>
      <c:valAx>
        <c:axId val="72751930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EEFlux ET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27525536"/>
        <c:crosses val="autoZero"/>
        <c:crossBetween val="midCat"/>
      </c:valAx>
      <c:spPr>
        <a:noFill/>
        <a:ln w="317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Century Gothic" panose="020B0502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3072456851983"/>
          <c:y val="5.6055272594155124E-2"/>
          <c:w val="0.75785699514833371"/>
          <c:h val="0.71363345551688639"/>
        </c:manualLayout>
      </c:layout>
      <c:scatterChart>
        <c:scatterStyle val="lineMarker"/>
        <c:varyColors val="0"/>
        <c:ser>
          <c:idx val="0"/>
          <c:order val="0"/>
          <c:tx>
            <c:v>EEFlux 138h08ec</c:v>
          </c:tx>
          <c:spPr>
            <a:ln w="38100" cap="rnd">
              <a:solidFill>
                <a:schemeClr val="accent5"/>
              </a:solidFill>
              <a:round/>
            </a:ln>
            <a:effectLst/>
          </c:spPr>
          <c:marker>
            <c:symbol val="none"/>
          </c:marker>
          <c:xVal>
            <c:numRef>
              <c:f>[EEflux.xlsx]Monthly!$F$31:$N$31</c:f>
              <c:numCache>
                <c:formatCode>General</c:formatCode>
                <c:ptCount val="9"/>
                <c:pt idx="0">
                  <c:v>3</c:v>
                </c:pt>
                <c:pt idx="1">
                  <c:v>4</c:v>
                </c:pt>
                <c:pt idx="2">
                  <c:v>5</c:v>
                </c:pt>
                <c:pt idx="3">
                  <c:v>6</c:v>
                </c:pt>
                <c:pt idx="4">
                  <c:v>7</c:v>
                </c:pt>
                <c:pt idx="5">
                  <c:v>8</c:v>
                </c:pt>
                <c:pt idx="6">
                  <c:v>9</c:v>
                </c:pt>
                <c:pt idx="7">
                  <c:v>10</c:v>
                </c:pt>
                <c:pt idx="8">
                  <c:v>11</c:v>
                </c:pt>
              </c:numCache>
            </c:numRef>
          </c:xVal>
          <c:yVal>
            <c:numRef>
              <c:f>[EEflux.xlsx]Monthly!$F$38:$N$38</c:f>
              <c:numCache>
                <c:formatCode>General</c:formatCode>
                <c:ptCount val="9"/>
                <c:pt idx="0">
                  <c:v>0</c:v>
                </c:pt>
                <c:pt idx="1">
                  <c:v>60.993551909923553</c:v>
                </c:pt>
                <c:pt idx="2">
                  <c:v>75.300881624221802</c:v>
                </c:pt>
                <c:pt idx="3">
                  <c:v>97.122049331665039</c:v>
                </c:pt>
                <c:pt idx="4">
                  <c:v>70.567197114229202</c:v>
                </c:pt>
                <c:pt idx="5">
                  <c:v>80.44161581993103</c:v>
                </c:pt>
                <c:pt idx="6">
                  <c:v>64.58945631980896</c:v>
                </c:pt>
                <c:pt idx="7">
                  <c:v>24.338685214519508</c:v>
                </c:pt>
                <c:pt idx="8">
                  <c:v>6.0822831094264984</c:v>
                </c:pt>
              </c:numCache>
            </c:numRef>
          </c:yVal>
          <c:smooth val="0"/>
          <c:extLst>
            <c:ext xmlns:c16="http://schemas.microsoft.com/office/drawing/2014/chart" uri="{C3380CC4-5D6E-409C-BE32-E72D297353CC}">
              <c16:uniqueId val="{00000000-3D4C-4E15-B8A8-18D0EC4154E5}"/>
            </c:ext>
          </c:extLst>
        </c:ser>
        <c:ser>
          <c:idx val="2"/>
          <c:order val="1"/>
          <c:tx>
            <c:v>EEFlux losec</c:v>
          </c:tx>
          <c:spPr>
            <a:ln w="38100" cap="rnd">
              <a:solidFill>
                <a:schemeClr val="accent3"/>
              </a:solidFill>
              <a:round/>
            </a:ln>
            <a:effectLst/>
          </c:spPr>
          <c:marker>
            <c:symbol val="none"/>
          </c:marker>
          <c:xVal>
            <c:numRef>
              <c:f>[EEflux.xlsx]Monthly!$F$31:$N$31</c:f>
              <c:numCache>
                <c:formatCode>General</c:formatCode>
                <c:ptCount val="9"/>
                <c:pt idx="0">
                  <c:v>3</c:v>
                </c:pt>
                <c:pt idx="1">
                  <c:v>4</c:v>
                </c:pt>
                <c:pt idx="2">
                  <c:v>5</c:v>
                </c:pt>
                <c:pt idx="3">
                  <c:v>6</c:v>
                </c:pt>
                <c:pt idx="4">
                  <c:v>7</c:v>
                </c:pt>
                <c:pt idx="5">
                  <c:v>8</c:v>
                </c:pt>
                <c:pt idx="6">
                  <c:v>9</c:v>
                </c:pt>
                <c:pt idx="7">
                  <c:v>10</c:v>
                </c:pt>
                <c:pt idx="8">
                  <c:v>11</c:v>
                </c:pt>
              </c:numCache>
            </c:numRef>
          </c:xVal>
          <c:yVal>
            <c:numRef>
              <c:f>[EEflux.xlsx]Monthly!$F$41:$N$41</c:f>
              <c:numCache>
                <c:formatCode>General</c:formatCode>
                <c:ptCount val="9"/>
                <c:pt idx="0">
                  <c:v>50.146559715270996</c:v>
                </c:pt>
                <c:pt idx="1">
                  <c:v>61.925085783004761</c:v>
                </c:pt>
                <c:pt idx="2">
                  <c:v>66.078809857368469</c:v>
                </c:pt>
                <c:pt idx="3">
                  <c:v>38.172694593667984</c:v>
                </c:pt>
                <c:pt idx="4">
                  <c:v>3.7376763597130771</c:v>
                </c:pt>
                <c:pt idx="5">
                  <c:v>33.142463465531662</c:v>
                </c:pt>
                <c:pt idx="6">
                  <c:v>37.638386785984039</c:v>
                </c:pt>
                <c:pt idx="7">
                  <c:v>24.609943039715294</c:v>
                </c:pt>
                <c:pt idx="8">
                  <c:v>7.7361685037612915</c:v>
                </c:pt>
              </c:numCache>
            </c:numRef>
          </c:yVal>
          <c:smooth val="0"/>
          <c:extLst>
            <c:ext xmlns:c16="http://schemas.microsoft.com/office/drawing/2014/chart" uri="{C3380CC4-5D6E-409C-BE32-E72D297353CC}">
              <c16:uniqueId val="{00000001-3D4C-4E15-B8A8-18D0EC4154E5}"/>
            </c:ext>
          </c:extLst>
        </c:ser>
        <c:ser>
          <c:idx val="4"/>
          <c:order val="2"/>
          <c:tx>
            <c:v>EEFlux mbsec</c:v>
          </c:tx>
          <c:spPr>
            <a:ln w="38100" cap="rnd">
              <a:solidFill>
                <a:srgbClr val="00B0F0"/>
              </a:solidFill>
              <a:round/>
            </a:ln>
            <a:effectLst/>
          </c:spPr>
          <c:marker>
            <c:symbol val="none"/>
          </c:marker>
          <c:xVal>
            <c:numRef>
              <c:f>[EEflux.xlsx]Monthly!$F$31:$N$31</c:f>
              <c:numCache>
                <c:formatCode>General</c:formatCode>
                <c:ptCount val="9"/>
                <c:pt idx="0">
                  <c:v>3</c:v>
                </c:pt>
                <c:pt idx="1">
                  <c:v>4</c:v>
                </c:pt>
                <c:pt idx="2">
                  <c:v>5</c:v>
                </c:pt>
                <c:pt idx="3">
                  <c:v>6</c:v>
                </c:pt>
                <c:pt idx="4">
                  <c:v>7</c:v>
                </c:pt>
                <c:pt idx="5">
                  <c:v>8</c:v>
                </c:pt>
                <c:pt idx="6">
                  <c:v>9</c:v>
                </c:pt>
                <c:pt idx="7">
                  <c:v>10</c:v>
                </c:pt>
                <c:pt idx="8">
                  <c:v>11</c:v>
                </c:pt>
              </c:numCache>
            </c:numRef>
          </c:xVal>
          <c:yVal>
            <c:numRef>
              <c:f>[EEflux.xlsx]Monthly!$F$42:$N$42</c:f>
              <c:numCache>
                <c:formatCode>General</c:formatCode>
                <c:ptCount val="9"/>
                <c:pt idx="0">
                  <c:v>0</c:v>
                </c:pt>
                <c:pt idx="1">
                  <c:v>53.224921524524689</c:v>
                </c:pt>
                <c:pt idx="2">
                  <c:v>107.73527789115909</c:v>
                </c:pt>
                <c:pt idx="3">
                  <c:v>158.00177097320557</c:v>
                </c:pt>
                <c:pt idx="4">
                  <c:v>117.43586176633836</c:v>
                </c:pt>
                <c:pt idx="5">
                  <c:v>69.728955427805573</c:v>
                </c:pt>
                <c:pt idx="6">
                  <c:v>71.7527174949646</c:v>
                </c:pt>
                <c:pt idx="7">
                  <c:v>12.819569259881973</c:v>
                </c:pt>
                <c:pt idx="8">
                  <c:v>8.7720009684562683</c:v>
                </c:pt>
              </c:numCache>
            </c:numRef>
          </c:yVal>
          <c:smooth val="0"/>
          <c:extLst>
            <c:ext xmlns:c16="http://schemas.microsoft.com/office/drawing/2014/chart" uri="{C3380CC4-5D6E-409C-BE32-E72D297353CC}">
              <c16:uniqueId val="{00000002-3D4C-4E15-B8A8-18D0EC4154E5}"/>
            </c:ext>
          </c:extLst>
        </c:ser>
        <c:ser>
          <c:idx val="6"/>
          <c:order val="3"/>
          <c:tx>
            <c:v>EEFlux wbsec</c:v>
          </c:tx>
          <c:spPr>
            <a:ln w="38100" cap="rnd">
              <a:solidFill>
                <a:srgbClr val="7030A0"/>
              </a:solidFill>
              <a:round/>
            </a:ln>
            <a:effectLst/>
          </c:spPr>
          <c:marker>
            <c:symbol val="none"/>
          </c:marker>
          <c:xVal>
            <c:numRef>
              <c:f>[EEflux.xlsx]Monthly!$F$31:$N$31</c:f>
              <c:numCache>
                <c:formatCode>General</c:formatCode>
                <c:ptCount val="9"/>
                <c:pt idx="0">
                  <c:v>3</c:v>
                </c:pt>
                <c:pt idx="1">
                  <c:v>4</c:v>
                </c:pt>
                <c:pt idx="2">
                  <c:v>5</c:v>
                </c:pt>
                <c:pt idx="3">
                  <c:v>6</c:v>
                </c:pt>
                <c:pt idx="4">
                  <c:v>7</c:v>
                </c:pt>
                <c:pt idx="5">
                  <c:v>8</c:v>
                </c:pt>
                <c:pt idx="6">
                  <c:v>9</c:v>
                </c:pt>
                <c:pt idx="7">
                  <c:v>10</c:v>
                </c:pt>
                <c:pt idx="8">
                  <c:v>11</c:v>
                </c:pt>
              </c:numCache>
            </c:numRef>
          </c:xVal>
          <c:yVal>
            <c:numRef>
              <c:f>[EEflux.xlsx]Monthly!$F$43:$N$43</c:f>
              <c:numCache>
                <c:formatCode>General</c:formatCode>
                <c:ptCount val="9"/>
                <c:pt idx="0">
                  <c:v>28.217484176158905</c:v>
                </c:pt>
                <c:pt idx="1">
                  <c:v>47.951878309249878</c:v>
                </c:pt>
                <c:pt idx="2">
                  <c:v>37.949738383293159</c:v>
                </c:pt>
                <c:pt idx="3">
                  <c:v>26.502621173858643</c:v>
                </c:pt>
                <c:pt idx="4">
                  <c:v>1.5627534985542297</c:v>
                </c:pt>
                <c:pt idx="5">
                  <c:v>32.94679538408915</c:v>
                </c:pt>
                <c:pt idx="6">
                  <c:v>34.138323664665222</c:v>
                </c:pt>
                <c:pt idx="7">
                  <c:v>22.088778823614117</c:v>
                </c:pt>
                <c:pt idx="8">
                  <c:v>10.054271221160889</c:v>
                </c:pt>
              </c:numCache>
            </c:numRef>
          </c:yVal>
          <c:smooth val="0"/>
          <c:extLst>
            <c:ext xmlns:c16="http://schemas.microsoft.com/office/drawing/2014/chart" uri="{C3380CC4-5D6E-409C-BE32-E72D297353CC}">
              <c16:uniqueId val="{00000003-3D4C-4E15-B8A8-18D0EC4154E5}"/>
            </c:ext>
          </c:extLst>
        </c:ser>
        <c:dLbls>
          <c:showLegendKey val="0"/>
          <c:showVal val="0"/>
          <c:showCatName val="0"/>
          <c:showSerName val="0"/>
          <c:showPercent val="0"/>
          <c:showBubbleSize val="0"/>
        </c:dLbls>
        <c:axId val="723128960"/>
        <c:axId val="723130600"/>
      </c:scatterChart>
      <c:valAx>
        <c:axId val="723128960"/>
        <c:scaling>
          <c:orientation val="minMax"/>
          <c:max val="12"/>
          <c:min val="1"/>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Month</a:t>
                </a:r>
              </a:p>
            </c:rich>
          </c:tx>
          <c:layout>
            <c:manualLayout>
              <c:xMode val="edge"/>
              <c:yMode val="edge"/>
              <c:x val="0.49007964866420878"/>
              <c:y val="0.8645191482504694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23130600"/>
        <c:crosses val="autoZero"/>
        <c:crossBetween val="midCat"/>
        <c:majorUnit val="1"/>
      </c:valAx>
      <c:valAx>
        <c:axId val="72313060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ET (mm/month)</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23128960"/>
        <c:crosses val="autoZero"/>
        <c:crossBetween val="midCat"/>
        <c:majorUnit val="30"/>
      </c:valAx>
      <c:spPr>
        <a:noFill/>
        <a:ln w="31750">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Century Gothic" panose="020B0502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9595112086399"/>
          <c:y val="0.10031426430085813"/>
          <c:w val="0.71584871563185759"/>
          <c:h val="0.73113378863481027"/>
        </c:manualLayout>
      </c:layout>
      <c:scatterChart>
        <c:scatterStyle val="lineMarker"/>
        <c:varyColors val="0"/>
        <c:ser>
          <c:idx val="0"/>
          <c:order val="0"/>
          <c:tx>
            <c:strRef>
              <c:f>Correlations!$K$2</c:f>
              <c:strCache>
                <c:ptCount val="1"/>
                <c:pt idx="0">
                  <c:v>138h08ec</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28575" cap="rnd">
                <a:solidFill>
                  <a:schemeClr val="accent5"/>
                </a:solidFill>
                <a:prstDash val="sysDot"/>
              </a:ln>
              <a:effectLst/>
            </c:spPr>
            <c:trendlineType val="linear"/>
            <c:dispRSqr val="1"/>
            <c:dispEq val="0"/>
            <c:trendlineLbl>
              <c:layout>
                <c:manualLayout>
                  <c:x val="8.1346929994406431E-2"/>
                  <c:y val="-0.29299181446861844"/>
                </c:manualLayout>
              </c:layout>
              <c:numFmt formatCode="General" sourceLinked="0"/>
              <c:spPr>
                <a:solidFill>
                  <a:schemeClr val="accent5"/>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(Correlations!$K$15:$K$25,Correlations!$K$29:$K$37,Correlations!$K$41:$K$47)</c:f>
              <c:numCache>
                <c:formatCode>General</c:formatCode>
                <c:ptCount val="27"/>
                <c:pt idx="0">
                  <c:v>10.870000000000003</c:v>
                </c:pt>
                <c:pt idx="1">
                  <c:v>21.36</c:v>
                </c:pt>
                <c:pt idx="2">
                  <c:v>28.729999999999997</c:v>
                </c:pt>
                <c:pt idx="3">
                  <c:v>43.88</c:v>
                </c:pt>
                <c:pt idx="4">
                  <c:v>53.690000000000005</c:v>
                </c:pt>
                <c:pt idx="5">
                  <c:v>39.199999999999996</c:v>
                </c:pt>
                <c:pt idx="6">
                  <c:v>39.159999999999997</c:v>
                </c:pt>
                <c:pt idx="7">
                  <c:v>19.709999999999997</c:v>
                </c:pt>
                <c:pt idx="8">
                  <c:v>15.66</c:v>
                </c:pt>
                <c:pt idx="9">
                  <c:v>16.770000000000003</c:v>
                </c:pt>
                <c:pt idx="10">
                  <c:v>14.430000000000001</c:v>
                </c:pt>
                <c:pt idx="11">
                  <c:v>44.67</c:v>
                </c:pt>
                <c:pt idx="12">
                  <c:v>46.79</c:v>
                </c:pt>
                <c:pt idx="13">
                  <c:v>48.959999999999994</c:v>
                </c:pt>
                <c:pt idx="14">
                  <c:v>22.789999999999996</c:v>
                </c:pt>
                <c:pt idx="15">
                  <c:v>10.86</c:v>
                </c:pt>
                <c:pt idx="16">
                  <c:v>6.08</c:v>
                </c:pt>
                <c:pt idx="17">
                  <c:v>8.16</c:v>
                </c:pt>
                <c:pt idx="18">
                  <c:v>21.140000000000004</c:v>
                </c:pt>
                <c:pt idx="19">
                  <c:v>11.31</c:v>
                </c:pt>
                <c:pt idx="20">
                  <c:v>42.330000000000005</c:v>
                </c:pt>
                <c:pt idx="21">
                  <c:v>49.04999999999999</c:v>
                </c:pt>
                <c:pt idx="22">
                  <c:v>48.750000000000007</c:v>
                </c:pt>
                <c:pt idx="23">
                  <c:v>60.070000000000007</c:v>
                </c:pt>
                <c:pt idx="24">
                  <c:v>31.03</c:v>
                </c:pt>
                <c:pt idx="25">
                  <c:v>13.410000000000004</c:v>
                </c:pt>
                <c:pt idx="26">
                  <c:v>12.929999999999998</c:v>
                </c:pt>
              </c:numCache>
            </c:numRef>
          </c:xVal>
          <c:yVal>
            <c:numRef>
              <c:f>(Correlations!$G$15:$G$25,Correlations!$G$29:$G$37,Correlations!$G$42:$G$47)</c:f>
              <c:numCache>
                <c:formatCode>General</c:formatCode>
                <c:ptCount val="26"/>
                <c:pt idx="0">
                  <c:v>82</c:v>
                </c:pt>
                <c:pt idx="1">
                  <c:v>59</c:v>
                </c:pt>
                <c:pt idx="2">
                  <c:v>181</c:v>
                </c:pt>
                <c:pt idx="3">
                  <c:v>108.25</c:v>
                </c:pt>
                <c:pt idx="4">
                  <c:v>199.375</c:v>
                </c:pt>
                <c:pt idx="5">
                  <c:v>272.25</c:v>
                </c:pt>
                <c:pt idx="6">
                  <c:v>161.5</c:v>
                </c:pt>
                <c:pt idx="7">
                  <c:v>76</c:v>
                </c:pt>
                <c:pt idx="8">
                  <c:v>62</c:v>
                </c:pt>
                <c:pt idx="9">
                  <c:v>133.5</c:v>
                </c:pt>
                <c:pt idx="10">
                  <c:v>149.5</c:v>
                </c:pt>
                <c:pt idx="11">
                  <c:v>75.5</c:v>
                </c:pt>
                <c:pt idx="12">
                  <c:v>148.5</c:v>
                </c:pt>
                <c:pt idx="13">
                  <c:v>374.5</c:v>
                </c:pt>
                <c:pt idx="14">
                  <c:v>275.875</c:v>
                </c:pt>
                <c:pt idx="15">
                  <c:v>142.625</c:v>
                </c:pt>
                <c:pt idx="16">
                  <c:v>98.625</c:v>
                </c:pt>
                <c:pt idx="17">
                  <c:v>126.375</c:v>
                </c:pt>
                <c:pt idx="18">
                  <c:v>128</c:v>
                </c:pt>
                <c:pt idx="19">
                  <c:v>99</c:v>
                </c:pt>
                <c:pt idx="20">
                  <c:v>120.5</c:v>
                </c:pt>
                <c:pt idx="21">
                  <c:v>348.25</c:v>
                </c:pt>
                <c:pt idx="22">
                  <c:v>390</c:v>
                </c:pt>
                <c:pt idx="23">
                  <c:v>189.25</c:v>
                </c:pt>
                <c:pt idx="24">
                  <c:v>114.25</c:v>
                </c:pt>
                <c:pt idx="25">
                  <c:v>128</c:v>
                </c:pt>
              </c:numCache>
            </c:numRef>
          </c:yVal>
          <c:smooth val="0"/>
          <c:extLst>
            <c:ext xmlns:c16="http://schemas.microsoft.com/office/drawing/2014/chart" uri="{C3380CC4-5D6E-409C-BE32-E72D297353CC}">
              <c16:uniqueId val="{00000000-0ACD-44BE-82D8-8FAB68D04FFC}"/>
            </c:ext>
          </c:extLst>
        </c:ser>
        <c:ser>
          <c:idx val="1"/>
          <c:order val="1"/>
          <c:tx>
            <c:strRef>
              <c:f>Correlations!$L$2</c:f>
              <c:strCache>
                <c:ptCount val="1"/>
                <c:pt idx="0">
                  <c:v>losec</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28575" cap="rnd">
                <a:solidFill>
                  <a:schemeClr val="accent3"/>
                </a:solidFill>
                <a:prstDash val="sysDot"/>
              </a:ln>
              <a:effectLst/>
            </c:spPr>
            <c:trendlineType val="linear"/>
            <c:dispRSqr val="1"/>
            <c:dispEq val="0"/>
            <c:trendlineLbl>
              <c:layout>
                <c:manualLayout>
                  <c:x val="0.38354390947033262"/>
                  <c:y val="-0.1036185289498808"/>
                </c:manualLayout>
              </c:layout>
              <c:numFmt formatCode="General" sourceLinked="0"/>
              <c:spPr>
                <a:solidFill>
                  <a:schemeClr val="accent3"/>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(Correlations!$L$15:$L$25,Correlations!$L$27:$L$37,Correlations!$L$41:$L$47)</c:f>
              <c:numCache>
                <c:formatCode>General</c:formatCode>
                <c:ptCount val="29"/>
                <c:pt idx="0">
                  <c:v>12.330000000000002</c:v>
                </c:pt>
                <c:pt idx="1">
                  <c:v>16.07</c:v>
                </c:pt>
                <c:pt idx="2">
                  <c:v>33.529999999999987</c:v>
                </c:pt>
                <c:pt idx="3">
                  <c:v>47</c:v>
                </c:pt>
                <c:pt idx="4">
                  <c:v>82.779999999999987</c:v>
                </c:pt>
                <c:pt idx="5">
                  <c:v>75.749999999999986</c:v>
                </c:pt>
                <c:pt idx="6">
                  <c:v>58.279999999999994</c:v>
                </c:pt>
                <c:pt idx="7">
                  <c:v>29.689999999999998</c:v>
                </c:pt>
                <c:pt idx="8">
                  <c:v>19.920000000000002</c:v>
                </c:pt>
                <c:pt idx="9">
                  <c:v>19.439999999999998</c:v>
                </c:pt>
                <c:pt idx="10">
                  <c:v>17.149999999999999</c:v>
                </c:pt>
                <c:pt idx="11">
                  <c:v>16.059999999999999</c:v>
                </c:pt>
                <c:pt idx="12">
                  <c:v>23.64</c:v>
                </c:pt>
                <c:pt idx="13">
                  <c:v>49.919999999999995</c:v>
                </c:pt>
                <c:pt idx="14">
                  <c:v>56.629999999999995</c:v>
                </c:pt>
                <c:pt idx="15">
                  <c:v>78.569999999999979</c:v>
                </c:pt>
                <c:pt idx="16">
                  <c:v>51.279999999999994</c:v>
                </c:pt>
                <c:pt idx="17">
                  <c:v>23.580000000000005</c:v>
                </c:pt>
                <c:pt idx="18">
                  <c:v>14.260000000000002</c:v>
                </c:pt>
                <c:pt idx="19">
                  <c:v>13.540000000000001</c:v>
                </c:pt>
                <c:pt idx="20">
                  <c:v>26.900000000000002</c:v>
                </c:pt>
                <c:pt idx="21">
                  <c:v>13.629999999999997</c:v>
                </c:pt>
                <c:pt idx="22">
                  <c:v>47.949999999999996</c:v>
                </c:pt>
                <c:pt idx="23">
                  <c:v>58.3</c:v>
                </c:pt>
                <c:pt idx="24">
                  <c:v>80.500000000000014</c:v>
                </c:pt>
                <c:pt idx="25">
                  <c:v>95.449999999999989</c:v>
                </c:pt>
                <c:pt idx="26">
                  <c:v>41.78</c:v>
                </c:pt>
                <c:pt idx="27">
                  <c:v>18.420000000000002</c:v>
                </c:pt>
                <c:pt idx="28">
                  <c:v>18.040000000000003</c:v>
                </c:pt>
              </c:numCache>
            </c:numRef>
          </c:xVal>
          <c:yVal>
            <c:numRef>
              <c:f>(Correlations!$H$15:$H$25,Correlations!$H$27:$H$37,Correlations!$H$41:$H$47)</c:f>
              <c:numCache>
                <c:formatCode>General</c:formatCode>
                <c:ptCount val="29"/>
                <c:pt idx="0">
                  <c:v>80</c:v>
                </c:pt>
                <c:pt idx="1">
                  <c:v>73.25</c:v>
                </c:pt>
                <c:pt idx="2">
                  <c:v>217</c:v>
                </c:pt>
                <c:pt idx="3">
                  <c:v>219.875</c:v>
                </c:pt>
                <c:pt idx="4">
                  <c:v>140.5</c:v>
                </c:pt>
                <c:pt idx="5">
                  <c:v>117.75</c:v>
                </c:pt>
                <c:pt idx="6">
                  <c:v>146.625</c:v>
                </c:pt>
                <c:pt idx="7">
                  <c:v>43.875</c:v>
                </c:pt>
                <c:pt idx="8">
                  <c:v>93</c:v>
                </c:pt>
                <c:pt idx="9">
                  <c:v>79.5</c:v>
                </c:pt>
                <c:pt idx="10">
                  <c:v>147.5</c:v>
                </c:pt>
                <c:pt idx="11">
                  <c:v>86.25</c:v>
                </c:pt>
                <c:pt idx="12">
                  <c:v>155.25</c:v>
                </c:pt>
                <c:pt idx="13">
                  <c:v>205.625</c:v>
                </c:pt>
                <c:pt idx="14">
                  <c:v>271.25</c:v>
                </c:pt>
                <c:pt idx="15">
                  <c:v>281.375</c:v>
                </c:pt>
                <c:pt idx="16">
                  <c:v>162.125</c:v>
                </c:pt>
                <c:pt idx="17">
                  <c:v>85</c:v>
                </c:pt>
                <c:pt idx="18">
                  <c:v>52.25</c:v>
                </c:pt>
                <c:pt idx="19">
                  <c:v>107.25</c:v>
                </c:pt>
                <c:pt idx="20">
                  <c:v>160</c:v>
                </c:pt>
                <c:pt idx="21">
                  <c:v>99</c:v>
                </c:pt>
                <c:pt idx="22">
                  <c:v>243.875</c:v>
                </c:pt>
                <c:pt idx="23">
                  <c:v>230.625</c:v>
                </c:pt>
                <c:pt idx="24">
                  <c:v>331.375</c:v>
                </c:pt>
                <c:pt idx="25">
                  <c:v>255</c:v>
                </c:pt>
                <c:pt idx="26">
                  <c:v>92.875</c:v>
                </c:pt>
                <c:pt idx="27">
                  <c:v>54.125</c:v>
                </c:pt>
                <c:pt idx="28">
                  <c:v>169.5</c:v>
                </c:pt>
              </c:numCache>
            </c:numRef>
          </c:yVal>
          <c:smooth val="0"/>
          <c:extLst>
            <c:ext xmlns:c16="http://schemas.microsoft.com/office/drawing/2014/chart" uri="{C3380CC4-5D6E-409C-BE32-E72D297353CC}">
              <c16:uniqueId val="{00000001-0ACD-44BE-82D8-8FAB68D04FFC}"/>
            </c:ext>
          </c:extLst>
        </c:ser>
        <c:ser>
          <c:idx val="2"/>
          <c:order val="2"/>
          <c:tx>
            <c:strRef>
              <c:f>Correlations!$M$2</c:f>
              <c:strCache>
                <c:ptCount val="1"/>
                <c:pt idx="0">
                  <c:v>mbsec</c:v>
                </c:pt>
              </c:strCache>
            </c:strRef>
          </c:tx>
          <c:spPr>
            <a:ln w="25400" cap="rnd">
              <a:noFill/>
              <a:round/>
            </a:ln>
            <a:effectLst/>
          </c:spPr>
          <c:marker>
            <c:symbol val="circle"/>
            <c:size val="5"/>
            <c:spPr>
              <a:solidFill>
                <a:srgbClr val="00B0F0"/>
              </a:solidFill>
              <a:ln w="9525">
                <a:solidFill>
                  <a:srgbClr val="00B0F0"/>
                </a:solidFill>
              </a:ln>
              <a:effectLst/>
            </c:spPr>
          </c:marker>
          <c:trendline>
            <c:spPr>
              <a:ln w="28575" cap="rnd">
                <a:solidFill>
                  <a:srgbClr val="00B0F0"/>
                </a:solidFill>
                <a:prstDash val="sysDot"/>
              </a:ln>
              <a:effectLst/>
            </c:spPr>
            <c:trendlineType val="linear"/>
            <c:dispRSqr val="1"/>
            <c:dispEq val="0"/>
            <c:trendlineLbl>
              <c:layout>
                <c:manualLayout>
                  <c:x val="-0.14742807968676047"/>
                  <c:y val="-0.21352014498304073"/>
                </c:manualLayout>
              </c:layout>
              <c:numFmt formatCode="General" sourceLinked="0"/>
              <c:spPr>
                <a:solidFill>
                  <a:srgbClr val="00B0F0"/>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(Correlations!$M$16:$M$24,Correlations!$M$30:$M$37,Correlations!$M$41:$M$47)</c:f>
              <c:numCache>
                <c:formatCode>General</c:formatCode>
                <c:ptCount val="24"/>
                <c:pt idx="0">
                  <c:v>12.469999999999995</c:v>
                </c:pt>
                <c:pt idx="1">
                  <c:v>22.959999999999997</c:v>
                </c:pt>
                <c:pt idx="2">
                  <c:v>33.269999999999989</c:v>
                </c:pt>
                <c:pt idx="3" formatCode="0.00">
                  <c:v>51.34011572517457</c:v>
                </c:pt>
                <c:pt idx="4">
                  <c:v>129.77000000000001</c:v>
                </c:pt>
                <c:pt idx="5">
                  <c:v>102.14</c:v>
                </c:pt>
                <c:pt idx="6">
                  <c:v>55.009999999999991</c:v>
                </c:pt>
                <c:pt idx="7">
                  <c:v>26.569999999999997</c:v>
                </c:pt>
                <c:pt idx="8">
                  <c:v>16.909999999999997</c:v>
                </c:pt>
                <c:pt idx="9">
                  <c:v>36.22</c:v>
                </c:pt>
                <c:pt idx="10">
                  <c:v>74.92</c:v>
                </c:pt>
                <c:pt idx="11">
                  <c:v>114.52</c:v>
                </c:pt>
                <c:pt idx="12">
                  <c:v>100.24000000000001</c:v>
                </c:pt>
                <c:pt idx="13">
                  <c:v>53.21</c:v>
                </c:pt>
                <c:pt idx="14">
                  <c:v>21.199999999999996</c:v>
                </c:pt>
                <c:pt idx="15">
                  <c:v>25.97</c:v>
                </c:pt>
                <c:pt idx="16">
                  <c:v>12.479999999999997</c:v>
                </c:pt>
                <c:pt idx="17">
                  <c:v>19.53</c:v>
                </c:pt>
                <c:pt idx="18">
                  <c:v>36.000000000000007</c:v>
                </c:pt>
                <c:pt idx="19">
                  <c:v>63.830000000000013</c:v>
                </c:pt>
                <c:pt idx="20">
                  <c:v>124.65999999999998</c:v>
                </c:pt>
                <c:pt idx="21">
                  <c:v>130.20999999999995</c:v>
                </c:pt>
                <c:pt idx="22">
                  <c:v>60.989999999999995</c:v>
                </c:pt>
                <c:pt idx="23">
                  <c:v>30.020000000000007</c:v>
                </c:pt>
              </c:numCache>
            </c:numRef>
          </c:xVal>
          <c:yVal>
            <c:numRef>
              <c:f>(Correlations!$I$16:$I$24,Correlations!$I$30:$I$37,Correlations!$I$42:$I$49)</c:f>
              <c:numCache>
                <c:formatCode>General</c:formatCode>
                <c:ptCount val="25"/>
                <c:pt idx="0">
                  <c:v>8</c:v>
                </c:pt>
                <c:pt idx="1">
                  <c:v>142</c:v>
                </c:pt>
                <c:pt idx="2">
                  <c:v>55</c:v>
                </c:pt>
                <c:pt idx="3">
                  <c:v>263.5</c:v>
                </c:pt>
                <c:pt idx="4">
                  <c:v>526</c:v>
                </c:pt>
                <c:pt idx="5">
                  <c:v>330.25</c:v>
                </c:pt>
                <c:pt idx="6">
                  <c:v>121.5</c:v>
                </c:pt>
                <c:pt idx="7">
                  <c:v>89.25</c:v>
                </c:pt>
                <c:pt idx="8">
                  <c:v>101</c:v>
                </c:pt>
                <c:pt idx="9">
                  <c:v>58</c:v>
                </c:pt>
                <c:pt idx="10">
                  <c:v>250.125</c:v>
                </c:pt>
                <c:pt idx="11">
                  <c:v>476.75</c:v>
                </c:pt>
                <c:pt idx="12">
                  <c:v>360.125</c:v>
                </c:pt>
                <c:pt idx="13">
                  <c:v>166.125</c:v>
                </c:pt>
                <c:pt idx="14">
                  <c:v>148.875</c:v>
                </c:pt>
                <c:pt idx="15">
                  <c:v>154</c:v>
                </c:pt>
                <c:pt idx="16">
                  <c:v>95</c:v>
                </c:pt>
                <c:pt idx="17">
                  <c:v>52.5</c:v>
                </c:pt>
                <c:pt idx="18">
                  <c:v>209.25</c:v>
                </c:pt>
                <c:pt idx="19">
                  <c:v>596</c:v>
                </c:pt>
                <c:pt idx="20">
                  <c:v>427.5</c:v>
                </c:pt>
                <c:pt idx="21">
                  <c:v>236</c:v>
                </c:pt>
                <c:pt idx="22">
                  <c:v>204</c:v>
                </c:pt>
                <c:pt idx="23">
                  <c:v>85</c:v>
                </c:pt>
                <c:pt idx="24">
                  <c:v>64</c:v>
                </c:pt>
              </c:numCache>
            </c:numRef>
          </c:yVal>
          <c:smooth val="0"/>
          <c:extLst>
            <c:ext xmlns:c16="http://schemas.microsoft.com/office/drawing/2014/chart" uri="{C3380CC4-5D6E-409C-BE32-E72D297353CC}">
              <c16:uniqueId val="{00000002-0ACD-44BE-82D8-8FAB68D04FFC}"/>
            </c:ext>
          </c:extLst>
        </c:ser>
        <c:ser>
          <c:idx val="3"/>
          <c:order val="3"/>
          <c:tx>
            <c:strRef>
              <c:f>Correlations!$N$2</c:f>
              <c:strCache>
                <c:ptCount val="1"/>
                <c:pt idx="0">
                  <c:v>wbsec</c:v>
                </c:pt>
              </c:strCache>
            </c:strRef>
          </c:tx>
          <c:spPr>
            <a:ln w="25400" cap="rnd">
              <a:noFill/>
              <a:round/>
            </a:ln>
            <a:effectLst/>
          </c:spPr>
          <c:marker>
            <c:symbol val="circle"/>
            <c:size val="5"/>
            <c:spPr>
              <a:solidFill>
                <a:srgbClr val="7030A0"/>
              </a:solidFill>
              <a:ln w="9525">
                <a:solidFill>
                  <a:srgbClr val="7030A0"/>
                </a:solidFill>
              </a:ln>
              <a:effectLst/>
            </c:spPr>
          </c:marker>
          <c:trendline>
            <c:spPr>
              <a:ln w="28575" cap="rnd">
                <a:solidFill>
                  <a:srgbClr val="7030A0"/>
                </a:solidFill>
                <a:prstDash val="sysDot"/>
              </a:ln>
              <a:effectLst/>
            </c:spPr>
            <c:trendlineType val="linear"/>
            <c:dispRSqr val="1"/>
            <c:dispEq val="0"/>
            <c:trendlineLbl>
              <c:layout>
                <c:manualLayout>
                  <c:x val="0.19993356568133894"/>
                  <c:y val="-0.22897425231666846"/>
                </c:manualLayout>
              </c:layout>
              <c:numFmt formatCode="General" sourceLinked="0"/>
              <c:spPr>
                <a:solidFill>
                  <a:srgbClr val="7030A0"/>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xVal>
            <c:numRef>
              <c:f>(Correlations!$N$16:$N$38,Correlations!$N$41:$N$47)</c:f>
              <c:numCache>
                <c:formatCode>General</c:formatCode>
                <c:ptCount val="30"/>
                <c:pt idx="0">
                  <c:v>14.11</c:v>
                </c:pt>
                <c:pt idx="1">
                  <c:v>24.64</c:v>
                </c:pt>
                <c:pt idx="2">
                  <c:v>32.49</c:v>
                </c:pt>
                <c:pt idx="3">
                  <c:v>62.390000000000008</c:v>
                </c:pt>
                <c:pt idx="4">
                  <c:v>141.46999999999997</c:v>
                </c:pt>
                <c:pt idx="5">
                  <c:v>107.80999999999999</c:v>
                </c:pt>
                <c:pt idx="6">
                  <c:v>52.499999999999979</c:v>
                </c:pt>
                <c:pt idx="7">
                  <c:v>28.42</c:v>
                </c:pt>
                <c:pt idx="8">
                  <c:v>23.390000000000004</c:v>
                </c:pt>
                <c:pt idx="9">
                  <c:v>15.460000000000003</c:v>
                </c:pt>
                <c:pt idx="10">
                  <c:v>8.4300000000000033</c:v>
                </c:pt>
                <c:pt idx="11">
                  <c:v>3.7100000000000004</c:v>
                </c:pt>
                <c:pt idx="12">
                  <c:v>8.48</c:v>
                </c:pt>
                <c:pt idx="13">
                  <c:v>10.470000000000002</c:v>
                </c:pt>
                <c:pt idx="14">
                  <c:v>16.519999999999996</c:v>
                </c:pt>
                <c:pt idx="15">
                  <c:v>67.61</c:v>
                </c:pt>
                <c:pt idx="16">
                  <c:v>114.72999999999999</c:v>
                </c:pt>
                <c:pt idx="17">
                  <c:v>111.68999999999997</c:v>
                </c:pt>
                <c:pt idx="18">
                  <c:v>50.34</c:v>
                </c:pt>
                <c:pt idx="19">
                  <c:v>26.840000000000003</c:v>
                </c:pt>
                <c:pt idx="20">
                  <c:v>25.32</c:v>
                </c:pt>
                <c:pt idx="21">
                  <c:v>13.290000000000001</c:v>
                </c:pt>
                <c:pt idx="22">
                  <c:v>8.1800000000000015</c:v>
                </c:pt>
                <c:pt idx="23">
                  <c:v>16.379999999999995</c:v>
                </c:pt>
                <c:pt idx="24">
                  <c:v>25.809999999999995</c:v>
                </c:pt>
                <c:pt idx="25">
                  <c:v>47.63</c:v>
                </c:pt>
                <c:pt idx="26">
                  <c:v>116.13000000000001</c:v>
                </c:pt>
                <c:pt idx="27">
                  <c:v>147.97</c:v>
                </c:pt>
                <c:pt idx="28">
                  <c:v>59.359999999999992</c:v>
                </c:pt>
                <c:pt idx="29">
                  <c:v>31.08</c:v>
                </c:pt>
              </c:numCache>
            </c:numRef>
          </c:xVal>
          <c:yVal>
            <c:numRef>
              <c:f>(Correlations!$J$16:$J$38,Correlations!$J$41:$J$47)</c:f>
              <c:numCache>
                <c:formatCode>General</c:formatCode>
                <c:ptCount val="30"/>
                <c:pt idx="0">
                  <c:v>146.5</c:v>
                </c:pt>
                <c:pt idx="1">
                  <c:v>213.625</c:v>
                </c:pt>
                <c:pt idx="2">
                  <c:v>147.125</c:v>
                </c:pt>
                <c:pt idx="3">
                  <c:v>101.125</c:v>
                </c:pt>
                <c:pt idx="4">
                  <c:v>62</c:v>
                </c:pt>
                <c:pt idx="5">
                  <c:v>58</c:v>
                </c:pt>
                <c:pt idx="6">
                  <c:v>45.75</c:v>
                </c:pt>
                <c:pt idx="7">
                  <c:v>75.25</c:v>
                </c:pt>
                <c:pt idx="8">
                  <c:v>12</c:v>
                </c:pt>
                <c:pt idx="9">
                  <c:v>64</c:v>
                </c:pt>
                <c:pt idx="10">
                  <c:v>35</c:v>
                </c:pt>
                <c:pt idx="11">
                  <c:v>5</c:v>
                </c:pt>
                <c:pt idx="12">
                  <c:v>235</c:v>
                </c:pt>
                <c:pt idx="13">
                  <c:v>198</c:v>
                </c:pt>
                <c:pt idx="14">
                  <c:v>244.25</c:v>
                </c:pt>
                <c:pt idx="15">
                  <c:v>221.375</c:v>
                </c:pt>
                <c:pt idx="16">
                  <c:v>89</c:v>
                </c:pt>
                <c:pt idx="17">
                  <c:v>48.625</c:v>
                </c:pt>
                <c:pt idx="18">
                  <c:v>42</c:v>
                </c:pt>
                <c:pt idx="19">
                  <c:v>102.75</c:v>
                </c:pt>
                <c:pt idx="20">
                  <c:v>74.25</c:v>
                </c:pt>
                <c:pt idx="21">
                  <c:v>171</c:v>
                </c:pt>
                <c:pt idx="22">
                  <c:v>42</c:v>
                </c:pt>
                <c:pt idx="23">
                  <c:v>240.625</c:v>
                </c:pt>
                <c:pt idx="24">
                  <c:v>285.25</c:v>
                </c:pt>
                <c:pt idx="25">
                  <c:v>231.5</c:v>
                </c:pt>
                <c:pt idx="26">
                  <c:v>153</c:v>
                </c:pt>
                <c:pt idx="27">
                  <c:v>43.5</c:v>
                </c:pt>
                <c:pt idx="28">
                  <c:v>45.25</c:v>
                </c:pt>
                <c:pt idx="29">
                  <c:v>101.25</c:v>
                </c:pt>
              </c:numCache>
            </c:numRef>
          </c:yVal>
          <c:smooth val="0"/>
          <c:extLst>
            <c:ext xmlns:c16="http://schemas.microsoft.com/office/drawing/2014/chart" uri="{C3380CC4-5D6E-409C-BE32-E72D297353CC}">
              <c16:uniqueId val="{00000003-0ACD-44BE-82D8-8FAB68D04FFC}"/>
            </c:ext>
          </c:extLst>
        </c:ser>
        <c:dLbls>
          <c:showLegendKey val="0"/>
          <c:showVal val="0"/>
          <c:showCatName val="0"/>
          <c:showSerName val="0"/>
          <c:showPercent val="0"/>
          <c:showBubbleSize val="0"/>
        </c:dLbls>
        <c:axId val="561939408"/>
        <c:axId val="561939736"/>
      </c:scatterChart>
      <c:valAx>
        <c:axId val="561939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RCEW ET</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61939736"/>
        <c:crosses val="autoZero"/>
        <c:crossBetween val="midCat"/>
      </c:valAx>
      <c:valAx>
        <c:axId val="561939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MOD16 ET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61939408"/>
        <c:crosses val="autoZero"/>
        <c:crossBetween val="midCat"/>
      </c:valAx>
      <c:spPr>
        <a:noFill/>
        <a:ln w="317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Century Gothic" panose="020B0502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08436240551895"/>
          <c:y val="3.7498760835802482E-2"/>
          <c:w val="0.76907792263671959"/>
          <c:h val="0.77855474902794453"/>
        </c:manualLayout>
      </c:layout>
      <c:scatterChart>
        <c:scatterStyle val="lineMarker"/>
        <c:varyColors val="0"/>
        <c:ser>
          <c:idx val="0"/>
          <c:order val="0"/>
          <c:tx>
            <c:strRef>
              <c:f>TimeSeries!$C$1</c:f>
              <c:strCache>
                <c:ptCount val="1"/>
                <c:pt idx="0">
                  <c:v>138h08</c:v>
                </c:pt>
              </c:strCache>
            </c:strRef>
          </c:tx>
          <c:spPr>
            <a:ln w="38100" cap="rnd">
              <a:solidFill>
                <a:schemeClr val="accent5"/>
              </a:solidFill>
              <a:round/>
            </a:ln>
            <a:effectLst/>
          </c:spPr>
          <c:marker>
            <c:symbol val="none"/>
          </c:marker>
          <c:xVal>
            <c:strRef>
              <c:f>TimeSeries!$O$15:$O$26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TimeSeries!$T$27:$T$38</c:f>
              <c:numCache>
                <c:formatCode>General</c:formatCode>
                <c:ptCount val="12"/>
                <c:pt idx="0">
                  <c:v>0</c:v>
                </c:pt>
                <c:pt idx="1">
                  <c:v>0</c:v>
                </c:pt>
                <c:pt idx="2">
                  <c:v>75.5</c:v>
                </c:pt>
                <c:pt idx="3">
                  <c:v>148.5</c:v>
                </c:pt>
                <c:pt idx="4">
                  <c:v>374.5</c:v>
                </c:pt>
                <c:pt idx="5">
                  <c:v>275.875</c:v>
                </c:pt>
                <c:pt idx="6">
                  <c:v>142.625</c:v>
                </c:pt>
                <c:pt idx="7">
                  <c:v>98.625</c:v>
                </c:pt>
                <c:pt idx="8">
                  <c:v>126.375</c:v>
                </c:pt>
                <c:pt idx="9">
                  <c:v>128</c:v>
                </c:pt>
                <c:pt idx="10">
                  <c:v>99</c:v>
                </c:pt>
                <c:pt idx="11">
                  <c:v>0</c:v>
                </c:pt>
              </c:numCache>
            </c:numRef>
          </c:yVal>
          <c:smooth val="0"/>
          <c:extLst>
            <c:ext xmlns:c16="http://schemas.microsoft.com/office/drawing/2014/chart" uri="{C3380CC4-5D6E-409C-BE32-E72D297353CC}">
              <c16:uniqueId val="{00000000-1251-433B-90BE-9A2D528C7647}"/>
            </c:ext>
          </c:extLst>
        </c:ser>
        <c:ser>
          <c:idx val="1"/>
          <c:order val="1"/>
          <c:tx>
            <c:strRef>
              <c:f>TimeSeries!$D$1</c:f>
              <c:strCache>
                <c:ptCount val="1"/>
                <c:pt idx="0">
                  <c:v>losec</c:v>
                </c:pt>
              </c:strCache>
            </c:strRef>
          </c:tx>
          <c:spPr>
            <a:ln w="38100" cap="rnd">
              <a:solidFill>
                <a:schemeClr val="accent3"/>
              </a:solidFill>
              <a:round/>
            </a:ln>
            <a:effectLst/>
          </c:spPr>
          <c:marker>
            <c:symbol val="none"/>
          </c:marker>
          <c:xVal>
            <c:strRef>
              <c:f>TimeSeries!$O$15:$O$26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TimeSeries!$U$27:$U$38</c:f>
              <c:numCache>
                <c:formatCode>General</c:formatCode>
                <c:ptCount val="12"/>
                <c:pt idx="0">
                  <c:v>86.25</c:v>
                </c:pt>
                <c:pt idx="1">
                  <c:v>155.25</c:v>
                </c:pt>
                <c:pt idx="2">
                  <c:v>205.625</c:v>
                </c:pt>
                <c:pt idx="3">
                  <c:v>271.25</c:v>
                </c:pt>
                <c:pt idx="4">
                  <c:v>281.375</c:v>
                </c:pt>
                <c:pt idx="5">
                  <c:v>162.125</c:v>
                </c:pt>
                <c:pt idx="6">
                  <c:v>85</c:v>
                </c:pt>
                <c:pt idx="7">
                  <c:v>52.25</c:v>
                </c:pt>
                <c:pt idx="8">
                  <c:v>107.25</c:v>
                </c:pt>
                <c:pt idx="9">
                  <c:v>160</c:v>
                </c:pt>
                <c:pt idx="10">
                  <c:v>99</c:v>
                </c:pt>
                <c:pt idx="11">
                  <c:v>0</c:v>
                </c:pt>
              </c:numCache>
            </c:numRef>
          </c:yVal>
          <c:smooth val="0"/>
          <c:extLst>
            <c:ext xmlns:c16="http://schemas.microsoft.com/office/drawing/2014/chart" uri="{C3380CC4-5D6E-409C-BE32-E72D297353CC}">
              <c16:uniqueId val="{00000001-1251-433B-90BE-9A2D528C7647}"/>
            </c:ext>
          </c:extLst>
        </c:ser>
        <c:ser>
          <c:idx val="2"/>
          <c:order val="2"/>
          <c:tx>
            <c:strRef>
              <c:f>TimeSeries!$E$1</c:f>
              <c:strCache>
                <c:ptCount val="1"/>
                <c:pt idx="0">
                  <c:v>mbsec</c:v>
                </c:pt>
              </c:strCache>
            </c:strRef>
          </c:tx>
          <c:spPr>
            <a:ln w="38100" cap="rnd">
              <a:solidFill>
                <a:srgbClr val="00B0F0"/>
              </a:solidFill>
              <a:round/>
            </a:ln>
            <a:effectLst/>
          </c:spPr>
          <c:marker>
            <c:symbol val="none"/>
          </c:marker>
          <c:xVal>
            <c:strRef>
              <c:f>TimeSeries!$O$15:$O$26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TimeSeries!$V$27:$V$38</c:f>
              <c:numCache>
                <c:formatCode>General</c:formatCode>
                <c:ptCount val="12"/>
                <c:pt idx="0">
                  <c:v>0</c:v>
                </c:pt>
                <c:pt idx="1">
                  <c:v>0</c:v>
                </c:pt>
                <c:pt idx="2">
                  <c:v>0</c:v>
                </c:pt>
                <c:pt idx="3">
                  <c:v>58</c:v>
                </c:pt>
                <c:pt idx="4">
                  <c:v>250.125</c:v>
                </c:pt>
                <c:pt idx="5">
                  <c:v>476.75</c:v>
                </c:pt>
                <c:pt idx="6">
                  <c:v>360.125</c:v>
                </c:pt>
                <c:pt idx="7">
                  <c:v>166.125</c:v>
                </c:pt>
                <c:pt idx="8">
                  <c:v>148.875</c:v>
                </c:pt>
                <c:pt idx="9">
                  <c:v>154</c:v>
                </c:pt>
                <c:pt idx="10">
                  <c:v>95</c:v>
                </c:pt>
                <c:pt idx="11">
                  <c:v>0</c:v>
                </c:pt>
              </c:numCache>
            </c:numRef>
          </c:yVal>
          <c:smooth val="0"/>
          <c:extLst>
            <c:ext xmlns:c16="http://schemas.microsoft.com/office/drawing/2014/chart" uri="{C3380CC4-5D6E-409C-BE32-E72D297353CC}">
              <c16:uniqueId val="{00000002-1251-433B-90BE-9A2D528C7647}"/>
            </c:ext>
          </c:extLst>
        </c:ser>
        <c:ser>
          <c:idx val="3"/>
          <c:order val="3"/>
          <c:tx>
            <c:strRef>
              <c:f>TimeSeries!$F$1</c:f>
              <c:strCache>
                <c:ptCount val="1"/>
                <c:pt idx="0">
                  <c:v>wbsec</c:v>
                </c:pt>
              </c:strCache>
            </c:strRef>
          </c:tx>
          <c:spPr>
            <a:ln w="38100" cap="rnd">
              <a:solidFill>
                <a:srgbClr val="7030A0"/>
              </a:solidFill>
              <a:round/>
            </a:ln>
            <a:effectLst/>
          </c:spPr>
          <c:marker>
            <c:symbol val="none"/>
          </c:marker>
          <c:xVal>
            <c:strRef>
              <c:f>TimeSeries!$O$15:$O$26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TimeSeries!$W$27:$W$38</c:f>
              <c:numCache>
                <c:formatCode>General</c:formatCode>
                <c:ptCount val="12"/>
                <c:pt idx="0">
                  <c:v>5</c:v>
                </c:pt>
                <c:pt idx="1">
                  <c:v>235</c:v>
                </c:pt>
                <c:pt idx="2">
                  <c:v>198</c:v>
                </c:pt>
                <c:pt idx="3">
                  <c:v>244.25</c:v>
                </c:pt>
                <c:pt idx="4">
                  <c:v>221.375</c:v>
                </c:pt>
                <c:pt idx="5">
                  <c:v>89</c:v>
                </c:pt>
                <c:pt idx="6">
                  <c:v>48.625</c:v>
                </c:pt>
                <c:pt idx="7">
                  <c:v>42</c:v>
                </c:pt>
                <c:pt idx="8">
                  <c:v>102.75</c:v>
                </c:pt>
                <c:pt idx="9">
                  <c:v>74.25</c:v>
                </c:pt>
                <c:pt idx="10">
                  <c:v>171</c:v>
                </c:pt>
                <c:pt idx="11">
                  <c:v>42</c:v>
                </c:pt>
              </c:numCache>
            </c:numRef>
          </c:yVal>
          <c:smooth val="0"/>
          <c:extLst>
            <c:ext xmlns:c16="http://schemas.microsoft.com/office/drawing/2014/chart" uri="{C3380CC4-5D6E-409C-BE32-E72D297353CC}">
              <c16:uniqueId val="{00000003-1251-433B-90BE-9A2D528C7647}"/>
            </c:ext>
          </c:extLst>
        </c:ser>
        <c:dLbls>
          <c:showLegendKey val="0"/>
          <c:showVal val="0"/>
          <c:showCatName val="0"/>
          <c:showSerName val="0"/>
          <c:showPercent val="0"/>
          <c:showBubbleSize val="0"/>
        </c:dLbls>
        <c:axId val="574736152"/>
        <c:axId val="574735168"/>
      </c:scatterChart>
      <c:valAx>
        <c:axId val="574736152"/>
        <c:scaling>
          <c:orientation val="minMax"/>
          <c:max val="12"/>
          <c:min val="1"/>
        </c:scaling>
        <c:delete val="0"/>
        <c:axPos val="b"/>
        <c:title>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r>
                  <a:rPr lang="en-US"/>
                  <a:t>Month</a:t>
                </a:r>
              </a:p>
            </c:rich>
          </c:tx>
          <c:layout>
            <c:manualLayout>
              <c:xMode val="edge"/>
              <c:yMode val="edge"/>
              <c:x val="0.47747031476187618"/>
              <c:y val="0.9053308843777191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crossAx val="574735168"/>
        <c:crosses val="autoZero"/>
        <c:crossBetween val="midCat"/>
        <c:majorUnit val="1"/>
      </c:valAx>
      <c:valAx>
        <c:axId val="57473516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r>
                  <a:rPr lang="en-US"/>
                  <a:t>ET (mm/month)</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crossAx val="574736152"/>
        <c:crosses val="autoZero"/>
        <c:crossBetween val="midCat"/>
      </c:valAx>
      <c:spPr>
        <a:noFill/>
        <a:ln w="317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75000"/>
              <a:lumOff val="25000"/>
            </a:schemeClr>
          </a:solidFill>
          <a:latin typeface="Century Gothic" panose="020B0502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0.14089</cdr:x>
      <cdr:y>0.06722</cdr:y>
    </cdr:from>
    <cdr:to>
      <cdr:x>0.51436</cdr:x>
      <cdr:y>0.24415</cdr:y>
    </cdr:to>
    <cdr:sp macro="" textlink="">
      <cdr:nvSpPr>
        <cdr:cNvPr id="2" name="TextBox 1"/>
        <cdr:cNvSpPr txBox="1"/>
      </cdr:nvSpPr>
      <cdr:spPr>
        <a:xfrm xmlns:a="http://schemas.openxmlformats.org/drawingml/2006/main">
          <a:off x="573732" y="196124"/>
          <a:ext cx="1520882" cy="516257"/>
        </a:xfrm>
        <a:prstGeom xmlns:a="http://schemas.openxmlformats.org/drawingml/2006/main" prst="rect">
          <a:avLst/>
        </a:prstGeom>
      </cdr:spPr>
      <cdr:txBody>
        <a:bodyPr xmlns:a="http://schemas.openxmlformats.org/drawingml/2006/main" vertOverflow="clip" wrap="square" numCol="1" spcCol="640080" rtlCol="0"/>
        <a:lstStyle xmlns:a="http://schemas.openxmlformats.org/drawingml/2006/main"/>
        <a:p xmlns:a="http://schemas.openxmlformats.org/drawingml/2006/main">
          <a:pPr algn="just"/>
          <a:r>
            <a:rPr lang="en-US" sz="1100" b="1" dirty="0">
              <a:solidFill>
                <a:schemeClr val="tx1">
                  <a:lumMod val="75000"/>
                  <a:lumOff val="25000"/>
                </a:schemeClr>
              </a:solidFill>
              <a:latin typeface="Century Gothic" panose="020B0502020202020204" pitchFamily="34" charset="0"/>
            </a:rPr>
            <a:t>RCEW Monthly ET</a:t>
          </a:r>
        </a:p>
        <a:p xmlns:a="http://schemas.openxmlformats.org/drawingml/2006/main">
          <a:pPr algn="just"/>
          <a:r>
            <a:rPr lang="en-US" sz="1100" b="1" dirty="0">
              <a:solidFill>
                <a:schemeClr val="tx1">
                  <a:lumMod val="75000"/>
                  <a:lumOff val="25000"/>
                </a:schemeClr>
              </a:solidFill>
              <a:latin typeface="Century Gothic" panose="020B0502020202020204" pitchFamily="34" charset="0"/>
            </a:rPr>
            <a:t>2016</a:t>
          </a:r>
        </a:p>
      </cdr:txBody>
    </cdr:sp>
  </cdr:relSizeAnchor>
  <cdr:relSizeAnchor xmlns:cdr="http://schemas.openxmlformats.org/drawingml/2006/chartDrawing">
    <cdr:from>
      <cdr:x>0.75334</cdr:x>
      <cdr:y>0.14848</cdr:y>
    </cdr:from>
    <cdr:to>
      <cdr:x>0.96065</cdr:x>
      <cdr:y>0.4769</cdr:y>
    </cdr:to>
    <cdr:sp macro="" textlink="">
      <cdr:nvSpPr>
        <cdr:cNvPr id="8" name="TextBox 8"/>
        <cdr:cNvSpPr txBox="1"/>
      </cdr:nvSpPr>
      <cdr:spPr>
        <a:xfrm xmlns:a="http://schemas.openxmlformats.org/drawingml/2006/main">
          <a:off x="3099833" y="375729"/>
          <a:ext cx="853042" cy="83106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US" sz="900" dirty="0">
              <a:solidFill>
                <a:schemeClr val="tx1">
                  <a:lumMod val="75000"/>
                  <a:lumOff val="25000"/>
                </a:schemeClr>
              </a:solidFill>
              <a:latin typeface="Century Gothic" panose="020B0502020202020204" pitchFamily="34" charset="0"/>
            </a:rPr>
            <a:t>Low Sage</a:t>
          </a:r>
        </a:p>
        <a:p xmlns:a="http://schemas.openxmlformats.org/drawingml/2006/main">
          <a:r>
            <a:rPr lang="en-US" sz="900" dirty="0">
              <a:solidFill>
                <a:schemeClr val="tx1">
                  <a:lumMod val="75000"/>
                  <a:lumOff val="25000"/>
                </a:schemeClr>
              </a:solidFill>
              <a:latin typeface="Century Gothic" panose="020B0502020202020204" pitchFamily="34" charset="0"/>
            </a:rPr>
            <a:t>Mtn. Sage 1</a:t>
          </a:r>
        </a:p>
        <a:p xmlns:a="http://schemas.openxmlformats.org/drawingml/2006/main">
          <a:r>
            <a:rPr lang="en-US" sz="900" dirty="0">
              <a:solidFill>
                <a:schemeClr val="tx1">
                  <a:lumMod val="75000"/>
                  <a:lumOff val="25000"/>
                </a:schemeClr>
              </a:solidFill>
              <a:latin typeface="Century Gothic" panose="020B0502020202020204" pitchFamily="34" charset="0"/>
            </a:rPr>
            <a:t>Mtn. Sage 2</a:t>
          </a:r>
        </a:p>
        <a:p xmlns:a="http://schemas.openxmlformats.org/drawingml/2006/main">
          <a:r>
            <a:rPr lang="en-US" sz="900" dirty="0">
              <a:solidFill>
                <a:schemeClr val="tx1">
                  <a:lumMod val="75000"/>
                  <a:lumOff val="25000"/>
                </a:schemeClr>
              </a:solidFill>
              <a:latin typeface="Century Gothic" panose="020B0502020202020204" pitchFamily="34" charset="0"/>
            </a:rPr>
            <a:t>WY Sage</a:t>
          </a:r>
        </a:p>
        <a:p xmlns:a="http://schemas.openxmlformats.org/drawingml/2006/main">
          <a:endParaRPr lang="en-US" sz="1100" dirty="0">
            <a:solidFill>
              <a:schemeClr val="tx1">
                <a:lumMod val="75000"/>
                <a:lumOff val="25000"/>
              </a:schemeClr>
            </a:solidFill>
            <a:latin typeface="Century Gothic" panose="020B0502020202020204" pitchFamily="34" charset="0"/>
          </a:endParaRPr>
        </a:p>
      </cdr:txBody>
    </cdr:sp>
  </cdr:relSizeAnchor>
  <cdr:relSizeAnchor xmlns:cdr="http://schemas.openxmlformats.org/drawingml/2006/chartDrawing">
    <cdr:from>
      <cdr:x>0.70537</cdr:x>
      <cdr:y>0.25683</cdr:y>
    </cdr:from>
    <cdr:to>
      <cdr:x>0.74981</cdr:x>
      <cdr:y>0.25729</cdr:y>
    </cdr:to>
    <cdr:cxnSp macro="">
      <cdr:nvCxnSpPr>
        <cdr:cNvPr id="9" name="Straight Connector 8"/>
        <cdr:cNvCxnSpPr/>
      </cdr:nvCxnSpPr>
      <cdr:spPr>
        <a:xfrm xmlns:a="http://schemas.openxmlformats.org/drawingml/2006/main">
          <a:off x="2902465" y="649914"/>
          <a:ext cx="182862" cy="1164"/>
        </a:xfrm>
        <a:prstGeom xmlns:a="http://schemas.openxmlformats.org/drawingml/2006/main" prst="line">
          <a:avLst/>
        </a:prstGeom>
        <a:ln xmlns:a="http://schemas.openxmlformats.org/drawingml/2006/main" w="3810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0.70529</cdr:x>
      <cdr:y>0.19736</cdr:y>
    </cdr:from>
    <cdr:to>
      <cdr:x>0.74974</cdr:x>
      <cdr:y>0.19822</cdr:y>
    </cdr:to>
    <cdr:cxnSp macro="">
      <cdr:nvCxnSpPr>
        <cdr:cNvPr id="10" name="Straight Connector 9"/>
        <cdr:cNvCxnSpPr/>
      </cdr:nvCxnSpPr>
      <cdr:spPr>
        <a:xfrm xmlns:a="http://schemas.openxmlformats.org/drawingml/2006/main" flipV="1">
          <a:off x="2902137" y="499415"/>
          <a:ext cx="182903" cy="2176"/>
        </a:xfrm>
        <a:prstGeom xmlns:a="http://schemas.openxmlformats.org/drawingml/2006/main" prst="line">
          <a:avLst/>
        </a:prstGeom>
        <a:ln xmlns:a="http://schemas.openxmlformats.org/drawingml/2006/main" w="38100">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0.70627</cdr:x>
      <cdr:y>0.30822</cdr:y>
    </cdr:from>
    <cdr:to>
      <cdr:x>0.75072</cdr:x>
      <cdr:y>0.30822</cdr:y>
    </cdr:to>
    <cdr:cxnSp macro="">
      <cdr:nvCxnSpPr>
        <cdr:cNvPr id="11" name="Straight Connector 10"/>
        <cdr:cNvCxnSpPr/>
      </cdr:nvCxnSpPr>
      <cdr:spPr>
        <a:xfrm xmlns:a="http://schemas.openxmlformats.org/drawingml/2006/main">
          <a:off x="2906165" y="779948"/>
          <a:ext cx="182903" cy="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0.70773</cdr:x>
      <cdr:y>0.36576</cdr:y>
    </cdr:from>
    <cdr:to>
      <cdr:x>0.75218</cdr:x>
      <cdr:y>0.36576</cdr:y>
    </cdr:to>
    <cdr:cxnSp macro="">
      <cdr:nvCxnSpPr>
        <cdr:cNvPr id="12" name="Straight Connector 11"/>
        <cdr:cNvCxnSpPr/>
      </cdr:nvCxnSpPr>
      <cdr:spPr>
        <a:xfrm xmlns:a="http://schemas.openxmlformats.org/drawingml/2006/main" flipV="1">
          <a:off x="2912158" y="925536"/>
          <a:ext cx="182903" cy="0"/>
        </a:xfrm>
        <a:prstGeom xmlns:a="http://schemas.openxmlformats.org/drawingml/2006/main" prst="line">
          <a:avLst/>
        </a:prstGeom>
        <a:ln xmlns:a="http://schemas.openxmlformats.org/drawingml/2006/main" w="381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0.66133</cdr:x>
      <cdr:y>0.07383</cdr:y>
    </cdr:from>
    <cdr:to>
      <cdr:x>1</cdr:x>
      <cdr:y>0.16624</cdr:y>
    </cdr:to>
    <cdr:sp macro="" textlink="">
      <cdr:nvSpPr>
        <cdr:cNvPr id="29" name="TextBox 39"/>
        <cdr:cNvSpPr txBox="1"/>
      </cdr:nvSpPr>
      <cdr:spPr>
        <a:xfrm xmlns:a="http://schemas.openxmlformats.org/drawingml/2006/main">
          <a:off x="2721241" y="186825"/>
          <a:ext cx="1393559" cy="23384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US" sz="900" b="1" dirty="0">
              <a:solidFill>
                <a:schemeClr val="tx1">
                  <a:lumMod val="75000"/>
                  <a:lumOff val="25000"/>
                </a:schemeClr>
              </a:solidFill>
              <a:latin typeface="Century Gothic" panose="020B0502020202020204" pitchFamily="34" charset="0"/>
            </a:rPr>
            <a:t>E.C. Flux Towers</a:t>
          </a:r>
        </a:p>
      </cdr:txBody>
    </cdr:sp>
  </cdr:relSizeAnchor>
</c:userShapes>
</file>

<file path=word/drawings/drawing2.xml><?xml version="1.0" encoding="utf-8"?>
<c:userShapes xmlns:c="http://schemas.openxmlformats.org/drawingml/2006/chart">
  <cdr:relSizeAnchor xmlns:cdr="http://schemas.openxmlformats.org/drawingml/2006/chartDrawing">
    <cdr:from>
      <cdr:x>0.84092</cdr:x>
      <cdr:y>0.02163</cdr:y>
    </cdr:from>
    <cdr:to>
      <cdr:x>0.964</cdr:x>
      <cdr:y>0.14073</cdr:y>
    </cdr:to>
    <cdr:sp macro="" textlink="">
      <cdr:nvSpPr>
        <cdr:cNvPr id="2" name="Text Box 206"/>
        <cdr:cNvSpPr txBox="1"/>
      </cdr:nvSpPr>
      <cdr:spPr>
        <a:xfrm xmlns:a="http://schemas.openxmlformats.org/drawingml/2006/main">
          <a:off x="2499056" y="52126"/>
          <a:ext cx="365747" cy="28700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1000"/>
            </a:spcAft>
          </a:pPr>
          <a:r>
            <a:rPr lang="en-US" sz="1100">
              <a:effectLst/>
              <a:latin typeface="Century Gothic" panose="020B0502020202020204" pitchFamily="34" charset="0"/>
              <a:ea typeface="Arial" panose="020B0604020202020204" pitchFamily="34" charset="0"/>
            </a:rPr>
            <a:t>A)</a:t>
          </a:r>
          <a:endParaRPr lang="en-US" sz="1100">
            <a:effectLst/>
            <a:latin typeface="Arial" panose="020B0604020202020204" pitchFamily="34" charset="0"/>
            <a:ea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0.65102</cdr:x>
      <cdr:y>0.21798</cdr:y>
    </cdr:from>
    <cdr:to>
      <cdr:x>1</cdr:x>
      <cdr:y>0.56148</cdr:y>
    </cdr:to>
    <cdr:sp macro="" textlink="">
      <cdr:nvSpPr>
        <cdr:cNvPr id="3" name="TextBox 8"/>
        <cdr:cNvSpPr txBox="1"/>
      </cdr:nvSpPr>
      <cdr:spPr>
        <a:xfrm xmlns:a="http://schemas.openxmlformats.org/drawingml/2006/main">
          <a:off x="1923953" y="527360"/>
          <a:ext cx="1031337" cy="83106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dirty="0">
              <a:solidFill>
                <a:schemeClr val="tx1">
                  <a:lumMod val="75000"/>
                  <a:lumOff val="25000"/>
                </a:schemeClr>
              </a:solidFill>
              <a:latin typeface="Century Gothic" panose="020B0502020202020204" pitchFamily="34" charset="0"/>
            </a:rPr>
            <a:t>Low Sage</a:t>
          </a:r>
        </a:p>
        <a:p xmlns:a="http://schemas.openxmlformats.org/drawingml/2006/main">
          <a:r>
            <a:rPr lang="en-US" sz="900" dirty="0">
              <a:solidFill>
                <a:schemeClr val="tx1">
                  <a:lumMod val="75000"/>
                  <a:lumOff val="25000"/>
                </a:schemeClr>
              </a:solidFill>
              <a:latin typeface="Century Gothic" panose="020B0502020202020204" pitchFamily="34" charset="0"/>
            </a:rPr>
            <a:t>Mtn. Sage 1</a:t>
          </a:r>
        </a:p>
        <a:p xmlns:a="http://schemas.openxmlformats.org/drawingml/2006/main">
          <a:r>
            <a:rPr lang="en-US" sz="900" dirty="0">
              <a:solidFill>
                <a:schemeClr val="tx1">
                  <a:lumMod val="75000"/>
                  <a:lumOff val="25000"/>
                </a:schemeClr>
              </a:solidFill>
              <a:latin typeface="Century Gothic" panose="020B0502020202020204" pitchFamily="34" charset="0"/>
            </a:rPr>
            <a:t>Mtn. Sage 2</a:t>
          </a:r>
        </a:p>
        <a:p xmlns:a="http://schemas.openxmlformats.org/drawingml/2006/main">
          <a:r>
            <a:rPr lang="en-US" sz="900" dirty="0">
              <a:solidFill>
                <a:schemeClr val="tx1">
                  <a:lumMod val="75000"/>
                  <a:lumOff val="25000"/>
                </a:schemeClr>
              </a:solidFill>
              <a:latin typeface="Century Gothic" panose="020B0502020202020204" pitchFamily="34" charset="0"/>
            </a:rPr>
            <a:t>WY Sage</a:t>
          </a:r>
        </a:p>
        <a:p xmlns:a="http://schemas.openxmlformats.org/drawingml/2006/main">
          <a:endParaRPr lang="en-US" sz="1100" dirty="0">
            <a:solidFill>
              <a:schemeClr val="tx1">
                <a:lumMod val="75000"/>
                <a:lumOff val="25000"/>
              </a:schemeClr>
            </a:solidFill>
            <a:latin typeface="Century Gothic" panose="020B0502020202020204" pitchFamily="34" charset="0"/>
          </a:endParaRPr>
        </a:p>
      </cdr:txBody>
    </cdr:sp>
  </cdr:relSizeAnchor>
  <cdr:relSizeAnchor xmlns:cdr="http://schemas.openxmlformats.org/drawingml/2006/chartDrawing">
    <cdr:from>
      <cdr:x>0.6089</cdr:x>
      <cdr:y>0.3244</cdr:y>
    </cdr:from>
    <cdr:to>
      <cdr:x>0.67078</cdr:x>
      <cdr:y>0.32488</cdr:y>
    </cdr:to>
    <cdr:cxnSp macro="">
      <cdr:nvCxnSpPr>
        <cdr:cNvPr id="4" name="Straight Connector 3"/>
        <cdr:cNvCxnSpPr/>
      </cdr:nvCxnSpPr>
      <cdr:spPr>
        <a:xfrm xmlns:a="http://schemas.openxmlformats.org/drawingml/2006/main">
          <a:off x="1799485" y="784835"/>
          <a:ext cx="182873" cy="1162"/>
        </a:xfrm>
        <a:prstGeom xmlns:a="http://schemas.openxmlformats.org/drawingml/2006/main" prst="line">
          <a:avLst/>
        </a:prstGeom>
        <a:ln xmlns:a="http://schemas.openxmlformats.org/drawingml/2006/main" w="3810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0.60767</cdr:x>
      <cdr:y>0.26976</cdr:y>
    </cdr:from>
    <cdr:to>
      <cdr:x>0.66955</cdr:x>
      <cdr:y>0.27065</cdr:y>
    </cdr:to>
    <cdr:cxnSp macro="">
      <cdr:nvCxnSpPr>
        <cdr:cNvPr id="5" name="Straight Connector 4"/>
        <cdr:cNvCxnSpPr/>
      </cdr:nvCxnSpPr>
      <cdr:spPr>
        <a:xfrm xmlns:a="http://schemas.openxmlformats.org/drawingml/2006/main" flipV="1">
          <a:off x="1795841" y="652632"/>
          <a:ext cx="182873" cy="2177"/>
        </a:xfrm>
        <a:prstGeom xmlns:a="http://schemas.openxmlformats.org/drawingml/2006/main" prst="line">
          <a:avLst/>
        </a:prstGeom>
        <a:ln xmlns:a="http://schemas.openxmlformats.org/drawingml/2006/main" w="38100">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0.61015</cdr:x>
      <cdr:y>0.38268</cdr:y>
    </cdr:from>
    <cdr:to>
      <cdr:x>0.67203</cdr:x>
      <cdr:y>0.38268</cdr:y>
    </cdr:to>
    <cdr:cxnSp macro="">
      <cdr:nvCxnSpPr>
        <cdr:cNvPr id="6" name="Straight Connector 5"/>
        <cdr:cNvCxnSpPr/>
      </cdr:nvCxnSpPr>
      <cdr:spPr>
        <a:xfrm xmlns:a="http://schemas.openxmlformats.org/drawingml/2006/main">
          <a:off x="1803156" y="925826"/>
          <a:ext cx="182873" cy="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0.61014</cdr:x>
      <cdr:y>0.44135</cdr:y>
    </cdr:from>
    <cdr:to>
      <cdr:x>0.67202</cdr:x>
      <cdr:y>0.44135</cdr:y>
    </cdr:to>
    <cdr:cxnSp macro="">
      <cdr:nvCxnSpPr>
        <cdr:cNvPr id="7" name="Straight Connector 6"/>
        <cdr:cNvCxnSpPr/>
      </cdr:nvCxnSpPr>
      <cdr:spPr>
        <a:xfrm xmlns:a="http://schemas.openxmlformats.org/drawingml/2006/main" flipV="1">
          <a:off x="1803143" y="1067772"/>
          <a:ext cx="182873" cy="0"/>
        </a:xfrm>
        <a:prstGeom xmlns:a="http://schemas.openxmlformats.org/drawingml/2006/main" prst="line">
          <a:avLst/>
        </a:prstGeom>
        <a:ln xmlns:a="http://schemas.openxmlformats.org/drawingml/2006/main" w="381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0.59255</cdr:x>
      <cdr:y>0.15697</cdr:y>
    </cdr:from>
    <cdr:to>
      <cdr:x>1</cdr:x>
      <cdr:y>0.25363</cdr:y>
    </cdr:to>
    <cdr:sp macro="" textlink="">
      <cdr:nvSpPr>
        <cdr:cNvPr id="8" name="TextBox 39"/>
        <cdr:cNvSpPr txBox="1"/>
      </cdr:nvSpPr>
      <cdr:spPr>
        <a:xfrm xmlns:a="http://schemas.openxmlformats.org/drawingml/2006/main">
          <a:off x="1751162" y="379777"/>
          <a:ext cx="1204128" cy="23384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dirty="0">
              <a:solidFill>
                <a:schemeClr val="tx1">
                  <a:lumMod val="75000"/>
                  <a:lumOff val="25000"/>
                </a:schemeClr>
              </a:solidFill>
              <a:latin typeface="Century Gothic" panose="020B0502020202020204" pitchFamily="34" charset="0"/>
            </a:rPr>
            <a:t>E.C. Flux Towers</a:t>
          </a:r>
        </a:p>
      </cdr:txBody>
    </cdr:sp>
  </cdr:relSizeAnchor>
  <cdr:relSizeAnchor xmlns:cdr="http://schemas.openxmlformats.org/drawingml/2006/chartDrawing">
    <cdr:from>
      <cdr:x>0.84777</cdr:x>
      <cdr:y>0.02417</cdr:y>
    </cdr:from>
    <cdr:to>
      <cdr:x>0.97153</cdr:x>
      <cdr:y>0.1428</cdr:y>
    </cdr:to>
    <cdr:sp macro="" textlink="">
      <cdr:nvSpPr>
        <cdr:cNvPr id="9" name="Text Box 206"/>
        <cdr:cNvSpPr txBox="1"/>
      </cdr:nvSpPr>
      <cdr:spPr>
        <a:xfrm xmlns:a="http://schemas.openxmlformats.org/drawingml/2006/main">
          <a:off x="2505405" y="58471"/>
          <a:ext cx="365760" cy="2870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a:effectLst/>
              <a:latin typeface="Century Gothic" panose="020B0502020202020204" pitchFamily="34" charset="0"/>
              <a:ea typeface="Arial" panose="020B0604020202020204" pitchFamily="34" charset="0"/>
            </a:rPr>
            <a:t>B)</a:t>
          </a:r>
          <a:endParaRPr lang="en-US" sz="1100">
            <a:effectLst/>
            <a:latin typeface="Arial" panose="020B0604020202020204" pitchFamily="34" charset="0"/>
            <a:ea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0.83226</cdr:x>
      <cdr:y>0.05269</cdr:y>
    </cdr:from>
    <cdr:to>
      <cdr:x>0.96256</cdr:x>
      <cdr:y>0.1601</cdr:y>
    </cdr:to>
    <cdr:sp macro="" textlink="">
      <cdr:nvSpPr>
        <cdr:cNvPr id="2" name="Text Box 206"/>
        <cdr:cNvSpPr txBox="1"/>
      </cdr:nvSpPr>
      <cdr:spPr>
        <a:xfrm xmlns:a="http://schemas.openxmlformats.org/drawingml/2006/main">
          <a:off x="2441613" y="140795"/>
          <a:ext cx="382256" cy="28701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1000"/>
            </a:spcAft>
          </a:pPr>
          <a:r>
            <a:rPr lang="en-US" sz="1100">
              <a:effectLst/>
              <a:latin typeface="Century Gothic" panose="020B0502020202020204" pitchFamily="34" charset="0"/>
              <a:ea typeface="Arial" panose="020B0604020202020204" pitchFamily="34" charset="0"/>
            </a:rPr>
            <a:t>A)</a:t>
          </a:r>
          <a:endParaRPr lang="en-US" sz="1100">
            <a:effectLst/>
            <a:latin typeface="Arial" panose="020B0604020202020204" pitchFamily="34" charset="0"/>
            <a:ea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0.84074</cdr:x>
      <cdr:y>0.06848</cdr:y>
    </cdr:from>
    <cdr:to>
      <cdr:x>0.97101</cdr:x>
      <cdr:y>0.17458</cdr:y>
    </cdr:to>
    <cdr:sp macro="" textlink="">
      <cdr:nvSpPr>
        <cdr:cNvPr id="3" name="Text Box 206"/>
        <cdr:cNvSpPr txBox="1"/>
      </cdr:nvSpPr>
      <cdr:spPr>
        <a:xfrm xmlns:a="http://schemas.openxmlformats.org/drawingml/2006/main">
          <a:off x="2467004" y="185243"/>
          <a:ext cx="382270" cy="2870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a:effectLst/>
              <a:latin typeface="Century Gothic" panose="020B0502020202020204" pitchFamily="34" charset="0"/>
              <a:ea typeface="Arial" panose="020B0604020202020204" pitchFamily="34" charset="0"/>
            </a:rPr>
            <a:t>B)</a:t>
          </a:r>
          <a:endParaRPr lang="en-US" sz="1100">
            <a:effectLst/>
            <a:latin typeface="Arial" panose="020B0604020202020204" pitchFamily="34" charset="0"/>
            <a:ea typeface="Arial" panose="020B0604020202020204" pitchFamily="34" charset="0"/>
          </a:endParaRPr>
        </a:p>
      </cdr:txBody>
    </cdr:sp>
  </cdr:relSizeAnchor>
  <cdr:relSizeAnchor xmlns:cdr="http://schemas.openxmlformats.org/drawingml/2006/chartDrawing">
    <cdr:from>
      <cdr:x>0.62984</cdr:x>
      <cdr:y>0.31019</cdr:y>
    </cdr:from>
    <cdr:to>
      <cdr:x>0.69217</cdr:x>
      <cdr:y>0.31062</cdr:y>
    </cdr:to>
    <cdr:cxnSp macro="">
      <cdr:nvCxnSpPr>
        <cdr:cNvPr id="5" name="Straight Connector 4"/>
        <cdr:cNvCxnSpPr/>
      </cdr:nvCxnSpPr>
      <cdr:spPr>
        <a:xfrm xmlns:a="http://schemas.openxmlformats.org/drawingml/2006/main">
          <a:off x="1848169" y="839085"/>
          <a:ext cx="182897" cy="1163"/>
        </a:xfrm>
        <a:prstGeom xmlns:a="http://schemas.openxmlformats.org/drawingml/2006/main" prst="line">
          <a:avLst/>
        </a:prstGeom>
        <a:ln xmlns:a="http://schemas.openxmlformats.org/drawingml/2006/main" w="3810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0.62984</cdr:x>
      <cdr:y>0.25737</cdr:y>
    </cdr:from>
    <cdr:to>
      <cdr:x>0.69217</cdr:x>
      <cdr:y>0.25818</cdr:y>
    </cdr:to>
    <cdr:cxnSp macro="">
      <cdr:nvCxnSpPr>
        <cdr:cNvPr id="6" name="Straight Connector 5"/>
        <cdr:cNvCxnSpPr/>
      </cdr:nvCxnSpPr>
      <cdr:spPr>
        <a:xfrm xmlns:a="http://schemas.openxmlformats.org/drawingml/2006/main" flipV="1">
          <a:off x="1848169" y="696201"/>
          <a:ext cx="182897" cy="2191"/>
        </a:xfrm>
        <a:prstGeom xmlns:a="http://schemas.openxmlformats.org/drawingml/2006/main" prst="line">
          <a:avLst/>
        </a:prstGeom>
        <a:ln xmlns:a="http://schemas.openxmlformats.org/drawingml/2006/main" w="38100">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0.62984</cdr:x>
      <cdr:y>0.36361</cdr:y>
    </cdr:from>
    <cdr:to>
      <cdr:x>0.69217</cdr:x>
      <cdr:y>0.36361</cdr:y>
    </cdr:to>
    <cdr:cxnSp macro="">
      <cdr:nvCxnSpPr>
        <cdr:cNvPr id="7" name="Straight Connector 6"/>
        <cdr:cNvCxnSpPr/>
      </cdr:nvCxnSpPr>
      <cdr:spPr>
        <a:xfrm xmlns:a="http://schemas.openxmlformats.org/drawingml/2006/main">
          <a:off x="1848169" y="983588"/>
          <a:ext cx="182897" cy="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0.62973</cdr:x>
      <cdr:y>0.41309</cdr:y>
    </cdr:from>
    <cdr:to>
      <cdr:x>0.69206</cdr:x>
      <cdr:y>0.41309</cdr:y>
    </cdr:to>
    <cdr:cxnSp macro="">
      <cdr:nvCxnSpPr>
        <cdr:cNvPr id="8" name="Straight Connector 7"/>
        <cdr:cNvCxnSpPr/>
      </cdr:nvCxnSpPr>
      <cdr:spPr>
        <a:xfrm xmlns:a="http://schemas.openxmlformats.org/drawingml/2006/main" flipV="1">
          <a:off x="1847838" y="1117449"/>
          <a:ext cx="182897" cy="0"/>
        </a:xfrm>
        <a:prstGeom xmlns:a="http://schemas.openxmlformats.org/drawingml/2006/main" prst="line">
          <a:avLst/>
        </a:prstGeom>
        <a:ln xmlns:a="http://schemas.openxmlformats.org/drawingml/2006/main" w="381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0.58429</cdr:x>
      <cdr:y>0.15494</cdr:y>
    </cdr:from>
    <cdr:to>
      <cdr:x>1</cdr:x>
      <cdr:y>0.24138</cdr:y>
    </cdr:to>
    <cdr:sp macro="" textlink="">
      <cdr:nvSpPr>
        <cdr:cNvPr id="9" name="TextBox 39"/>
        <cdr:cNvSpPr txBox="1"/>
      </cdr:nvSpPr>
      <cdr:spPr>
        <a:xfrm xmlns:a="http://schemas.openxmlformats.org/drawingml/2006/main">
          <a:off x="1714500" y="419119"/>
          <a:ext cx="1219835" cy="23384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dirty="0">
              <a:solidFill>
                <a:schemeClr val="tx1">
                  <a:lumMod val="75000"/>
                  <a:lumOff val="25000"/>
                </a:schemeClr>
              </a:solidFill>
              <a:latin typeface="Century Gothic" panose="020B0502020202020204" pitchFamily="34" charset="0"/>
            </a:rPr>
            <a:t>E.C. Flux Towers</a:t>
          </a:r>
        </a:p>
      </cdr:txBody>
    </cdr:sp>
  </cdr:relSizeAnchor>
  <cdr:relSizeAnchor xmlns:cdr="http://schemas.openxmlformats.org/drawingml/2006/chartDrawing">
    <cdr:from>
      <cdr:x>0.67518</cdr:x>
      <cdr:y>0.21373</cdr:y>
    </cdr:from>
    <cdr:to>
      <cdr:x>1</cdr:x>
      <cdr:y>0.52095</cdr:y>
    </cdr:to>
    <cdr:sp macro="" textlink="">
      <cdr:nvSpPr>
        <cdr:cNvPr id="10" name="TextBox 8"/>
        <cdr:cNvSpPr txBox="1"/>
      </cdr:nvSpPr>
      <cdr:spPr>
        <a:xfrm xmlns:a="http://schemas.openxmlformats.org/drawingml/2006/main">
          <a:off x="1981200" y="578160"/>
          <a:ext cx="953135" cy="83106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dirty="0">
              <a:solidFill>
                <a:schemeClr val="tx1">
                  <a:lumMod val="75000"/>
                  <a:lumOff val="25000"/>
                </a:schemeClr>
              </a:solidFill>
              <a:latin typeface="Century Gothic" panose="020B0502020202020204" pitchFamily="34" charset="0"/>
            </a:rPr>
            <a:t>Low Sage</a:t>
          </a:r>
        </a:p>
        <a:p xmlns:a="http://schemas.openxmlformats.org/drawingml/2006/main">
          <a:r>
            <a:rPr lang="en-US" sz="900" dirty="0">
              <a:solidFill>
                <a:schemeClr val="tx1">
                  <a:lumMod val="75000"/>
                  <a:lumOff val="25000"/>
                </a:schemeClr>
              </a:solidFill>
              <a:latin typeface="Century Gothic" panose="020B0502020202020204" pitchFamily="34" charset="0"/>
            </a:rPr>
            <a:t>Mtn. Sage 1</a:t>
          </a:r>
        </a:p>
        <a:p xmlns:a="http://schemas.openxmlformats.org/drawingml/2006/main">
          <a:r>
            <a:rPr lang="en-US" sz="900" dirty="0">
              <a:solidFill>
                <a:schemeClr val="tx1">
                  <a:lumMod val="75000"/>
                  <a:lumOff val="25000"/>
                </a:schemeClr>
              </a:solidFill>
              <a:latin typeface="Century Gothic" panose="020B0502020202020204" pitchFamily="34" charset="0"/>
            </a:rPr>
            <a:t>Mtn. Sage 2</a:t>
          </a:r>
        </a:p>
        <a:p xmlns:a="http://schemas.openxmlformats.org/drawingml/2006/main">
          <a:r>
            <a:rPr lang="en-US" sz="900" dirty="0">
              <a:solidFill>
                <a:schemeClr val="tx1">
                  <a:lumMod val="75000"/>
                  <a:lumOff val="25000"/>
                </a:schemeClr>
              </a:solidFill>
              <a:latin typeface="Century Gothic" panose="020B0502020202020204" pitchFamily="34" charset="0"/>
            </a:rPr>
            <a:t>WY Sage</a:t>
          </a:r>
        </a:p>
        <a:p xmlns:a="http://schemas.openxmlformats.org/drawingml/2006/main">
          <a:endParaRPr lang="en-US" sz="1100" dirty="0">
            <a:solidFill>
              <a:schemeClr val="tx1">
                <a:lumMod val="75000"/>
                <a:lumOff val="25000"/>
              </a:schemeClr>
            </a:solidFill>
            <a:latin typeface="Century Gothic" panose="020B0502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0.83956</cdr:x>
      <cdr:y>0.06682</cdr:y>
    </cdr:from>
    <cdr:to>
      <cdr:x>0.97333</cdr:x>
      <cdr:y>0.17337</cdr:y>
    </cdr:to>
    <cdr:sp macro="" textlink="">
      <cdr:nvSpPr>
        <cdr:cNvPr id="2" name="Text Box 206"/>
        <cdr:cNvSpPr txBox="1"/>
      </cdr:nvSpPr>
      <cdr:spPr>
        <a:xfrm xmlns:a="http://schemas.openxmlformats.org/drawingml/2006/main">
          <a:off x="2399043" y="180004"/>
          <a:ext cx="382257" cy="28700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1000"/>
            </a:spcAft>
          </a:pPr>
          <a:r>
            <a:rPr lang="en-US" sz="1100">
              <a:effectLst/>
              <a:latin typeface="Century Gothic" panose="020B0502020202020204" pitchFamily="34" charset="0"/>
              <a:ea typeface="Arial" panose="020B0604020202020204" pitchFamily="34" charset="0"/>
            </a:rPr>
            <a:t>A)</a:t>
          </a:r>
          <a:endParaRPr lang="en-US" sz="1100">
            <a:effectLst/>
            <a:latin typeface="Arial" panose="020B0604020202020204" pitchFamily="34" charset="0"/>
            <a:ea typeface="Arial" panose="020B0604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0.84474</cdr:x>
      <cdr:y>0.04897</cdr:y>
    </cdr:from>
    <cdr:to>
      <cdr:x>0.97174</cdr:x>
      <cdr:y>0.15775</cdr:y>
    </cdr:to>
    <cdr:sp macro="" textlink="">
      <cdr:nvSpPr>
        <cdr:cNvPr id="3" name="Text Box 206"/>
        <cdr:cNvSpPr txBox="1"/>
      </cdr:nvSpPr>
      <cdr:spPr>
        <a:xfrm xmlns:a="http://schemas.openxmlformats.org/drawingml/2006/main">
          <a:off x="2542569" y="129200"/>
          <a:ext cx="382270" cy="2870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a:effectLst/>
              <a:latin typeface="Century Gothic" panose="020B0502020202020204" pitchFamily="34" charset="0"/>
              <a:ea typeface="Arial" panose="020B0604020202020204" pitchFamily="34" charset="0"/>
            </a:rPr>
            <a:t>B)</a:t>
          </a:r>
          <a:endParaRPr lang="en-US" sz="1100">
            <a:effectLst/>
            <a:latin typeface="Arial" panose="020B0604020202020204" pitchFamily="34" charset="0"/>
            <a:ea typeface="Arial" panose="020B0604020202020204" pitchFamily="34" charset="0"/>
          </a:endParaRPr>
        </a:p>
      </cdr:txBody>
    </cdr:sp>
  </cdr:relSizeAnchor>
  <cdr:relSizeAnchor xmlns:cdr="http://schemas.openxmlformats.org/drawingml/2006/chartDrawing">
    <cdr:from>
      <cdr:x>0.6394</cdr:x>
      <cdr:y>0.28031</cdr:y>
    </cdr:from>
    <cdr:to>
      <cdr:x>0.70016</cdr:x>
      <cdr:y>0.28075</cdr:y>
    </cdr:to>
    <cdr:cxnSp macro="">
      <cdr:nvCxnSpPr>
        <cdr:cNvPr id="5" name="Straight Connector 4"/>
        <cdr:cNvCxnSpPr/>
      </cdr:nvCxnSpPr>
      <cdr:spPr>
        <a:xfrm xmlns:a="http://schemas.openxmlformats.org/drawingml/2006/main">
          <a:off x="1924525" y="739570"/>
          <a:ext cx="182882" cy="1161"/>
        </a:xfrm>
        <a:prstGeom xmlns:a="http://schemas.openxmlformats.org/drawingml/2006/main" prst="line">
          <a:avLst/>
        </a:prstGeom>
        <a:ln xmlns:a="http://schemas.openxmlformats.org/drawingml/2006/main" w="3810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0.6394</cdr:x>
      <cdr:y>0.22984</cdr:y>
    </cdr:from>
    <cdr:to>
      <cdr:x>0.70016</cdr:x>
      <cdr:y>0.23067</cdr:y>
    </cdr:to>
    <cdr:cxnSp macro="">
      <cdr:nvCxnSpPr>
        <cdr:cNvPr id="6" name="Straight Connector 5"/>
        <cdr:cNvCxnSpPr/>
      </cdr:nvCxnSpPr>
      <cdr:spPr>
        <a:xfrm xmlns:a="http://schemas.openxmlformats.org/drawingml/2006/main" flipV="1">
          <a:off x="1924526" y="606403"/>
          <a:ext cx="182882" cy="2190"/>
        </a:xfrm>
        <a:prstGeom xmlns:a="http://schemas.openxmlformats.org/drawingml/2006/main" prst="line">
          <a:avLst/>
        </a:prstGeom>
        <a:ln xmlns:a="http://schemas.openxmlformats.org/drawingml/2006/main" w="38100">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0.64053</cdr:x>
      <cdr:y>0.33381</cdr:y>
    </cdr:from>
    <cdr:to>
      <cdr:x>0.70129</cdr:x>
      <cdr:y>0.33381</cdr:y>
    </cdr:to>
    <cdr:cxnSp macro="">
      <cdr:nvCxnSpPr>
        <cdr:cNvPr id="7" name="Straight Connector 6"/>
        <cdr:cNvCxnSpPr/>
      </cdr:nvCxnSpPr>
      <cdr:spPr>
        <a:xfrm xmlns:a="http://schemas.openxmlformats.org/drawingml/2006/main">
          <a:off x="1927925" y="880745"/>
          <a:ext cx="182882" cy="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0.64166</cdr:x>
      <cdr:y>0.3852</cdr:y>
    </cdr:from>
    <cdr:to>
      <cdr:x>0.70242</cdr:x>
      <cdr:y>0.3852</cdr:y>
    </cdr:to>
    <cdr:cxnSp macro="">
      <cdr:nvCxnSpPr>
        <cdr:cNvPr id="8" name="Straight Connector 7"/>
        <cdr:cNvCxnSpPr/>
      </cdr:nvCxnSpPr>
      <cdr:spPr>
        <a:xfrm xmlns:a="http://schemas.openxmlformats.org/drawingml/2006/main" flipV="1">
          <a:off x="1931324" y="1016314"/>
          <a:ext cx="182882" cy="0"/>
        </a:xfrm>
        <a:prstGeom xmlns:a="http://schemas.openxmlformats.org/drawingml/2006/main" prst="line">
          <a:avLst/>
        </a:prstGeom>
        <a:ln xmlns:a="http://schemas.openxmlformats.org/drawingml/2006/main" w="381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0.61076</cdr:x>
      <cdr:y>0.12512</cdr:y>
    </cdr:from>
    <cdr:to>
      <cdr:x>0.96806</cdr:x>
      <cdr:y>0.21375</cdr:y>
    </cdr:to>
    <cdr:sp macro="" textlink="">
      <cdr:nvSpPr>
        <cdr:cNvPr id="9" name="TextBox 39"/>
        <cdr:cNvSpPr txBox="1"/>
      </cdr:nvSpPr>
      <cdr:spPr>
        <a:xfrm xmlns:a="http://schemas.openxmlformats.org/drawingml/2006/main">
          <a:off x="1838325" y="330123"/>
          <a:ext cx="1075437" cy="23384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dirty="0">
              <a:solidFill>
                <a:schemeClr val="tx1">
                  <a:lumMod val="75000"/>
                  <a:lumOff val="25000"/>
                </a:schemeClr>
              </a:solidFill>
              <a:latin typeface="Century Gothic" panose="020B0502020202020204" pitchFamily="34" charset="0"/>
            </a:rPr>
            <a:t>E.C. Flux Towers</a:t>
          </a:r>
        </a:p>
      </cdr:txBody>
    </cdr:sp>
  </cdr:relSizeAnchor>
  <cdr:relSizeAnchor xmlns:cdr="http://schemas.openxmlformats.org/drawingml/2006/chartDrawing">
    <cdr:from>
      <cdr:x>0.67722</cdr:x>
      <cdr:y>0.18303</cdr:y>
    </cdr:from>
    <cdr:to>
      <cdr:x>0.9769</cdr:x>
      <cdr:y>0.49801</cdr:y>
    </cdr:to>
    <cdr:sp macro="" textlink="">
      <cdr:nvSpPr>
        <cdr:cNvPr id="10" name="TextBox 8"/>
        <cdr:cNvSpPr txBox="1"/>
      </cdr:nvSpPr>
      <cdr:spPr>
        <a:xfrm xmlns:a="http://schemas.openxmlformats.org/drawingml/2006/main">
          <a:off x="2038350" y="482910"/>
          <a:ext cx="902007" cy="83106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dirty="0">
              <a:solidFill>
                <a:schemeClr val="tx1">
                  <a:lumMod val="75000"/>
                  <a:lumOff val="25000"/>
                </a:schemeClr>
              </a:solidFill>
              <a:latin typeface="Century Gothic" panose="020B0502020202020204" pitchFamily="34" charset="0"/>
            </a:rPr>
            <a:t>Low Sage</a:t>
          </a:r>
        </a:p>
        <a:p xmlns:a="http://schemas.openxmlformats.org/drawingml/2006/main">
          <a:r>
            <a:rPr lang="en-US" sz="900" dirty="0">
              <a:solidFill>
                <a:schemeClr val="tx1">
                  <a:lumMod val="75000"/>
                  <a:lumOff val="25000"/>
                </a:schemeClr>
              </a:solidFill>
              <a:latin typeface="Century Gothic" panose="020B0502020202020204" pitchFamily="34" charset="0"/>
            </a:rPr>
            <a:t>Mtn. Sage 1</a:t>
          </a:r>
        </a:p>
        <a:p xmlns:a="http://schemas.openxmlformats.org/drawingml/2006/main">
          <a:r>
            <a:rPr lang="en-US" sz="900" dirty="0">
              <a:solidFill>
                <a:schemeClr val="tx1">
                  <a:lumMod val="75000"/>
                  <a:lumOff val="25000"/>
                </a:schemeClr>
              </a:solidFill>
              <a:latin typeface="Century Gothic" panose="020B0502020202020204" pitchFamily="34" charset="0"/>
            </a:rPr>
            <a:t>Mtn. Sage 2</a:t>
          </a:r>
        </a:p>
        <a:p xmlns:a="http://schemas.openxmlformats.org/drawingml/2006/main">
          <a:r>
            <a:rPr lang="en-US" sz="900" dirty="0">
              <a:solidFill>
                <a:schemeClr val="tx1">
                  <a:lumMod val="75000"/>
                  <a:lumOff val="25000"/>
                </a:schemeClr>
              </a:solidFill>
              <a:latin typeface="Century Gothic" panose="020B0502020202020204" pitchFamily="34" charset="0"/>
            </a:rPr>
            <a:t>WY Sage</a:t>
          </a:r>
        </a:p>
        <a:p xmlns:a="http://schemas.openxmlformats.org/drawingml/2006/main">
          <a:endParaRPr lang="en-US" sz="1100" dirty="0">
            <a:solidFill>
              <a:schemeClr val="tx1">
                <a:lumMod val="75000"/>
                <a:lumOff val="25000"/>
              </a:schemeClr>
            </a:solidFill>
            <a:latin typeface="Century Gothic" panose="020B050202020202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0.81596</cdr:x>
      <cdr:y>0.08878</cdr:y>
    </cdr:from>
    <cdr:to>
      <cdr:x>0.94754</cdr:x>
      <cdr:y>0.19397</cdr:y>
    </cdr:to>
    <cdr:sp macro="" textlink="">
      <cdr:nvSpPr>
        <cdr:cNvPr id="2" name="Text Box 206"/>
        <cdr:cNvSpPr txBox="1"/>
      </cdr:nvSpPr>
      <cdr:spPr>
        <a:xfrm xmlns:a="http://schemas.openxmlformats.org/drawingml/2006/main">
          <a:off x="2370466" y="242241"/>
          <a:ext cx="382259" cy="28702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1000"/>
            </a:spcAft>
          </a:pPr>
          <a:r>
            <a:rPr lang="en-US" sz="1100">
              <a:effectLst/>
              <a:latin typeface="Century Gothic" panose="020B0502020202020204" pitchFamily="34" charset="0"/>
              <a:ea typeface="Arial" panose="020B0604020202020204" pitchFamily="34" charset="0"/>
            </a:rPr>
            <a:t>A)</a:t>
          </a:r>
          <a:endParaRPr lang="en-US" sz="1100">
            <a:effectLst/>
            <a:latin typeface="Arial" panose="020B0604020202020204" pitchFamily="34" charset="0"/>
            <a:ea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0.84523</cdr:x>
      <cdr:y>0.04321</cdr:y>
    </cdr:from>
    <cdr:to>
      <cdr:x>0.97183</cdr:x>
      <cdr:y>0.15083</cdr:y>
    </cdr:to>
    <cdr:sp macro="" textlink="">
      <cdr:nvSpPr>
        <cdr:cNvPr id="3" name="Text Box 206"/>
        <cdr:cNvSpPr txBox="1"/>
      </cdr:nvSpPr>
      <cdr:spPr>
        <a:xfrm xmlns:a="http://schemas.openxmlformats.org/drawingml/2006/main">
          <a:off x="2552094" y="115246"/>
          <a:ext cx="382270" cy="2870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a:effectLst/>
              <a:latin typeface="Century Gothic" panose="020B0502020202020204" pitchFamily="34" charset="0"/>
              <a:ea typeface="Arial" panose="020B0604020202020204" pitchFamily="34" charset="0"/>
            </a:rPr>
            <a:t>B)</a:t>
          </a:r>
          <a:endParaRPr lang="en-US" sz="1100">
            <a:effectLst/>
            <a:latin typeface="Arial" panose="020B0604020202020204" pitchFamily="34" charset="0"/>
            <a:ea typeface="Arial" panose="020B0604020202020204" pitchFamily="34" charset="0"/>
          </a:endParaRPr>
        </a:p>
      </cdr:txBody>
    </cdr:sp>
  </cdr:relSizeAnchor>
  <cdr:relSizeAnchor xmlns:cdr="http://schemas.openxmlformats.org/drawingml/2006/chartDrawing">
    <cdr:from>
      <cdr:x>0.6409</cdr:x>
      <cdr:y>0.26824</cdr:y>
    </cdr:from>
    <cdr:to>
      <cdr:x>0.70147</cdr:x>
      <cdr:y>0.26867</cdr:y>
    </cdr:to>
    <cdr:cxnSp macro="">
      <cdr:nvCxnSpPr>
        <cdr:cNvPr id="5" name="Straight Connector 4"/>
        <cdr:cNvCxnSpPr/>
      </cdr:nvCxnSpPr>
      <cdr:spPr>
        <a:xfrm xmlns:a="http://schemas.openxmlformats.org/drawingml/2006/main">
          <a:off x="1935139" y="715388"/>
          <a:ext cx="182887" cy="1147"/>
        </a:xfrm>
        <a:prstGeom xmlns:a="http://schemas.openxmlformats.org/drawingml/2006/main" prst="line">
          <a:avLst/>
        </a:prstGeom>
        <a:ln xmlns:a="http://schemas.openxmlformats.org/drawingml/2006/main" w="38100">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0.63946</cdr:x>
      <cdr:y>0.21652</cdr:y>
    </cdr:from>
    <cdr:to>
      <cdr:x>0.70003</cdr:x>
      <cdr:y>0.21734</cdr:y>
    </cdr:to>
    <cdr:cxnSp macro="">
      <cdr:nvCxnSpPr>
        <cdr:cNvPr id="6" name="Straight Connector 5"/>
        <cdr:cNvCxnSpPr/>
      </cdr:nvCxnSpPr>
      <cdr:spPr>
        <a:xfrm xmlns:a="http://schemas.openxmlformats.org/drawingml/2006/main" flipV="1">
          <a:off x="1930805" y="577446"/>
          <a:ext cx="182887" cy="2187"/>
        </a:xfrm>
        <a:prstGeom xmlns:a="http://schemas.openxmlformats.org/drawingml/2006/main" prst="line">
          <a:avLst/>
        </a:prstGeom>
        <a:ln xmlns:a="http://schemas.openxmlformats.org/drawingml/2006/main" w="38100">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0.6409</cdr:x>
      <cdr:y>0.3175</cdr:y>
    </cdr:from>
    <cdr:to>
      <cdr:x>0.70147</cdr:x>
      <cdr:y>0.3175</cdr:y>
    </cdr:to>
    <cdr:cxnSp macro="">
      <cdr:nvCxnSpPr>
        <cdr:cNvPr id="7" name="Straight Connector 6"/>
        <cdr:cNvCxnSpPr/>
      </cdr:nvCxnSpPr>
      <cdr:spPr>
        <a:xfrm xmlns:a="http://schemas.openxmlformats.org/drawingml/2006/main">
          <a:off x="1935139" y="846784"/>
          <a:ext cx="182887" cy="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0.6409</cdr:x>
      <cdr:y>0.37013</cdr:y>
    </cdr:from>
    <cdr:to>
      <cdr:x>0.70147</cdr:x>
      <cdr:y>0.37013</cdr:y>
    </cdr:to>
    <cdr:cxnSp macro="">
      <cdr:nvCxnSpPr>
        <cdr:cNvPr id="8" name="Straight Connector 7"/>
        <cdr:cNvCxnSpPr/>
      </cdr:nvCxnSpPr>
      <cdr:spPr>
        <a:xfrm xmlns:a="http://schemas.openxmlformats.org/drawingml/2006/main" flipV="1">
          <a:off x="1935138" y="987127"/>
          <a:ext cx="182887" cy="0"/>
        </a:xfrm>
        <a:prstGeom xmlns:a="http://schemas.openxmlformats.org/drawingml/2006/main" prst="line">
          <a:avLst/>
        </a:prstGeom>
        <a:ln xmlns:a="http://schemas.openxmlformats.org/drawingml/2006/main" w="381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0.61425</cdr:x>
      <cdr:y>0.10635</cdr:y>
    </cdr:from>
    <cdr:to>
      <cdr:x>1</cdr:x>
      <cdr:y>0.19403</cdr:y>
    </cdr:to>
    <cdr:sp macro="" textlink="">
      <cdr:nvSpPr>
        <cdr:cNvPr id="9" name="TextBox 39"/>
        <cdr:cNvSpPr txBox="1"/>
      </cdr:nvSpPr>
      <cdr:spPr>
        <a:xfrm xmlns:a="http://schemas.openxmlformats.org/drawingml/2006/main">
          <a:off x="1854679" y="283644"/>
          <a:ext cx="1164746" cy="23384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dirty="0">
              <a:solidFill>
                <a:schemeClr val="tx1">
                  <a:lumMod val="75000"/>
                  <a:lumOff val="25000"/>
                </a:schemeClr>
              </a:solidFill>
              <a:latin typeface="Century Gothic" panose="020B0502020202020204" pitchFamily="34" charset="0"/>
            </a:rPr>
            <a:t>E.C. Flux Towers</a:t>
          </a:r>
        </a:p>
      </cdr:txBody>
    </cdr:sp>
  </cdr:relSizeAnchor>
  <cdr:relSizeAnchor xmlns:cdr="http://schemas.openxmlformats.org/drawingml/2006/chartDrawing">
    <cdr:from>
      <cdr:x>0.68278</cdr:x>
      <cdr:y>0.17129</cdr:y>
    </cdr:from>
    <cdr:to>
      <cdr:x>0.98697</cdr:x>
      <cdr:y>0.48289</cdr:y>
    </cdr:to>
    <cdr:sp macro="" textlink="">
      <cdr:nvSpPr>
        <cdr:cNvPr id="10" name="TextBox 8"/>
        <cdr:cNvSpPr txBox="1"/>
      </cdr:nvSpPr>
      <cdr:spPr>
        <a:xfrm xmlns:a="http://schemas.openxmlformats.org/drawingml/2006/main">
          <a:off x="2061589" y="456818"/>
          <a:ext cx="918498" cy="83106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dirty="0">
              <a:solidFill>
                <a:schemeClr val="tx1">
                  <a:lumMod val="75000"/>
                  <a:lumOff val="25000"/>
                </a:schemeClr>
              </a:solidFill>
              <a:latin typeface="Century Gothic" panose="020B0502020202020204" pitchFamily="34" charset="0"/>
            </a:rPr>
            <a:t>Low Sage</a:t>
          </a:r>
        </a:p>
        <a:p xmlns:a="http://schemas.openxmlformats.org/drawingml/2006/main">
          <a:r>
            <a:rPr lang="en-US" sz="900" dirty="0">
              <a:solidFill>
                <a:schemeClr val="tx1">
                  <a:lumMod val="75000"/>
                  <a:lumOff val="25000"/>
                </a:schemeClr>
              </a:solidFill>
              <a:latin typeface="Century Gothic" panose="020B0502020202020204" pitchFamily="34" charset="0"/>
            </a:rPr>
            <a:t>Mtn. Sage 1</a:t>
          </a:r>
        </a:p>
        <a:p xmlns:a="http://schemas.openxmlformats.org/drawingml/2006/main">
          <a:r>
            <a:rPr lang="en-US" sz="900" dirty="0">
              <a:solidFill>
                <a:schemeClr val="tx1">
                  <a:lumMod val="75000"/>
                  <a:lumOff val="25000"/>
                </a:schemeClr>
              </a:solidFill>
              <a:latin typeface="Century Gothic" panose="020B0502020202020204" pitchFamily="34" charset="0"/>
            </a:rPr>
            <a:t>Mtn. Sage 2</a:t>
          </a:r>
        </a:p>
        <a:p xmlns:a="http://schemas.openxmlformats.org/drawingml/2006/main">
          <a:r>
            <a:rPr lang="en-US" sz="900" dirty="0">
              <a:solidFill>
                <a:schemeClr val="tx1">
                  <a:lumMod val="75000"/>
                  <a:lumOff val="25000"/>
                </a:schemeClr>
              </a:solidFill>
              <a:latin typeface="Century Gothic" panose="020B0502020202020204" pitchFamily="34" charset="0"/>
            </a:rPr>
            <a:t>WY Sage</a:t>
          </a:r>
        </a:p>
        <a:p xmlns:a="http://schemas.openxmlformats.org/drawingml/2006/main">
          <a:endParaRPr lang="en-US" sz="1100" dirty="0">
            <a:solidFill>
              <a:schemeClr val="tx1">
                <a:lumMod val="75000"/>
                <a:lumOff val="25000"/>
              </a:schemeClr>
            </a:solidFill>
            <a:latin typeface="Century Gothic" panose="020B0502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BF972-B611-48FB-BD8E-BE1B63483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5495</Words>
  <Characters>31326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Keith Weber</dc:creator>
  <cp:lastModifiedBy>Clayton, Amanda L. (LARC-E3)[SSAI DEVELOP]</cp:lastModifiedBy>
  <cp:revision>2</cp:revision>
  <cp:lastPrinted>2018-10-23T19:43:00Z</cp:lastPrinted>
  <dcterms:created xsi:type="dcterms:W3CDTF">2019-02-06T21:22:00Z</dcterms:created>
  <dcterms:modified xsi:type="dcterms:W3CDTF">2019-02-06T21:22:00Z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