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EE3339" w14:textId="77777777" w:rsidR="00D61A67" w:rsidRDefault="006D6BA7">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6F2FB765" w14:textId="77777777" w:rsidR="00D61A67" w:rsidRDefault="006D6BA7">
      <w:pPr>
        <w:spacing w:after="0" w:line="240" w:lineRule="auto"/>
        <w:jc w:val="right"/>
      </w:pPr>
      <w:r>
        <w:rPr>
          <w:noProof/>
        </w:rPr>
        <w:drawing>
          <wp:inline distT="0" distB="0" distL="0" distR="0" wp14:anchorId="1410D660" wp14:editId="64FCDE5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 Hampton, VA</w:t>
      </w:r>
    </w:p>
    <w:p w14:paraId="149B858C" w14:textId="77777777" w:rsidR="00D61A67" w:rsidRDefault="006D6BA7">
      <w:pPr>
        <w:spacing w:after="0" w:line="240" w:lineRule="auto"/>
        <w:jc w:val="right"/>
      </w:pPr>
      <w:r>
        <w:rPr>
          <w:rFonts w:ascii="Century Gothic" w:eastAsia="Century Gothic" w:hAnsi="Century Gothic" w:cs="Century Gothic"/>
          <w:b/>
        </w:rPr>
        <w:t>Summer 2015</w:t>
      </w:r>
    </w:p>
    <w:p w14:paraId="2D5EF60C" w14:textId="77777777" w:rsidR="00D61A67" w:rsidRDefault="006D6BA7" w:rsidP="00A81CBF">
      <w:pPr>
        <w:spacing w:before="240" w:after="120" w:line="240" w:lineRule="auto"/>
      </w:pPr>
      <w:r>
        <w:rPr>
          <w:rFonts w:ascii="Century Gothic" w:eastAsia="Century Gothic" w:hAnsi="Century Gothic" w:cs="Century Gothic"/>
          <w:b/>
          <w:sz w:val="24"/>
          <w:szCs w:val="24"/>
        </w:rPr>
        <w:t>Short Title: Heat-Health &amp; Spatial Variation in Maricopa County, Arizona</w:t>
      </w:r>
    </w:p>
    <w:p w14:paraId="2F11E7F4" w14:textId="77777777" w:rsidR="00D61A67" w:rsidRDefault="006D6BA7">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Enhancing Extreme Heat Intervention and Preparedness Activities Using Remote Sensing and Spatial Analysis of Heat-Related Health Risks and Mortality</w:t>
      </w:r>
    </w:p>
    <w:p w14:paraId="5CFC3AF4" w14:textId="77777777" w:rsidR="00D61A67" w:rsidRDefault="006D6BA7">
      <w:pPr>
        <w:spacing w:after="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Beat the Heat: Remote Sensing of Surface Temperature in the Valley of the Sun </w:t>
      </w:r>
    </w:p>
    <w:p w14:paraId="536E8F23" w14:textId="77777777" w:rsidR="00D61A67" w:rsidRDefault="00D61A67">
      <w:pPr>
        <w:spacing w:after="0" w:line="240" w:lineRule="auto"/>
      </w:pPr>
    </w:p>
    <w:p w14:paraId="53760C27" w14:textId="77777777" w:rsidR="00D61A67" w:rsidRDefault="006D6BA7" w:rsidP="00A81CBF">
      <w:pPr>
        <w:spacing w:before="240" w:after="0" w:line="240" w:lineRule="auto"/>
      </w:pPr>
      <w:r>
        <w:rPr>
          <w:rFonts w:ascii="Century Gothic" w:eastAsia="Century Gothic" w:hAnsi="Century Gothic" w:cs="Century Gothic"/>
          <w:b/>
        </w:rPr>
        <w:t>Project Team &amp;</w:t>
      </w:r>
      <w:r>
        <w:rPr>
          <w:rFonts w:ascii="Century Gothic" w:eastAsia="Century Gothic" w:hAnsi="Century Gothic" w:cs="Century Gothic"/>
          <w:b/>
        </w:rPr>
        <w:t xml:space="preserve"> Partners</w:t>
      </w:r>
    </w:p>
    <w:p w14:paraId="72BD1738" w14:textId="77777777" w:rsidR="00D61A67" w:rsidRDefault="006D6BA7">
      <w:pPr>
        <w:spacing w:after="0" w:line="240" w:lineRule="auto"/>
      </w:pPr>
      <w:r>
        <w:rPr>
          <w:rFonts w:ascii="Century Gothic" w:eastAsia="Century Gothic" w:hAnsi="Century Gothic" w:cs="Century Gothic"/>
          <w:b/>
          <w:sz w:val="20"/>
          <w:szCs w:val="20"/>
        </w:rPr>
        <w:t>Project Team:</w:t>
      </w:r>
    </w:p>
    <w:p w14:paraId="5B30C47D" w14:textId="77777777" w:rsidR="00D61A67" w:rsidRDefault="006D6BA7">
      <w:pPr>
        <w:spacing w:after="0" w:line="240" w:lineRule="auto"/>
      </w:pPr>
      <w:r>
        <w:rPr>
          <w:rFonts w:ascii="Century Gothic" w:eastAsia="Century Gothic" w:hAnsi="Century Gothic" w:cs="Century Gothic"/>
          <w:sz w:val="20"/>
          <w:szCs w:val="20"/>
        </w:rPr>
        <w:t xml:space="preserve">Amy Stuyvesant (Project Lead), </w:t>
      </w:r>
      <w:hyperlink r:id="rId8">
        <w:r>
          <w:rPr>
            <w:rFonts w:ascii="Century Gothic" w:eastAsia="Century Gothic" w:hAnsi="Century Gothic" w:cs="Century Gothic"/>
            <w:color w:val="1155CC"/>
            <w:sz w:val="20"/>
            <w:szCs w:val="20"/>
            <w:u w:val="single"/>
          </w:rPr>
          <w:t>astuyvesant@bren.ucsb.edu</w:t>
        </w:r>
      </w:hyperlink>
      <w:r>
        <w:rPr>
          <w:rFonts w:ascii="Century Gothic" w:eastAsia="Century Gothic" w:hAnsi="Century Gothic" w:cs="Century Gothic"/>
          <w:sz w:val="20"/>
          <w:szCs w:val="20"/>
        </w:rPr>
        <w:t xml:space="preserve"> </w:t>
      </w:r>
    </w:p>
    <w:p w14:paraId="78EEE711" w14:textId="77777777" w:rsidR="00D61A67" w:rsidRDefault="006D6BA7">
      <w:pPr>
        <w:spacing w:after="0" w:line="240" w:lineRule="auto"/>
      </w:pPr>
      <w:proofErr w:type="spellStart"/>
      <w:r>
        <w:rPr>
          <w:rFonts w:ascii="Century Gothic" w:eastAsia="Century Gothic" w:hAnsi="Century Gothic" w:cs="Century Gothic"/>
          <w:sz w:val="20"/>
          <w:szCs w:val="20"/>
        </w:rPr>
        <w:t>Geordi</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Alm</w:t>
      </w:r>
      <w:proofErr w:type="spellEnd"/>
      <w:r>
        <w:rPr>
          <w:rFonts w:ascii="Century Gothic" w:eastAsia="Century Gothic" w:hAnsi="Century Gothic" w:cs="Century Gothic"/>
          <w:sz w:val="20"/>
          <w:szCs w:val="20"/>
        </w:rPr>
        <w:t xml:space="preserve"> </w:t>
      </w:r>
    </w:p>
    <w:p w14:paraId="00237A74" w14:textId="77777777" w:rsidR="00D61A67" w:rsidRDefault="006D6BA7">
      <w:pPr>
        <w:spacing w:after="0" w:line="240" w:lineRule="auto"/>
      </w:pPr>
      <w:r>
        <w:rPr>
          <w:rFonts w:ascii="Century Gothic" w:eastAsia="Century Gothic" w:hAnsi="Century Gothic" w:cs="Century Gothic"/>
          <w:sz w:val="20"/>
          <w:szCs w:val="20"/>
        </w:rPr>
        <w:t xml:space="preserve">Rocky Garcia </w:t>
      </w:r>
    </w:p>
    <w:p w14:paraId="6C1D709B" w14:textId="77777777" w:rsidR="00D61A67" w:rsidRDefault="006D6BA7">
      <w:pPr>
        <w:spacing w:after="0" w:line="240" w:lineRule="auto"/>
      </w:pPr>
      <w:r>
        <w:rPr>
          <w:rFonts w:ascii="Century Gothic" w:eastAsia="Century Gothic" w:hAnsi="Century Gothic" w:cs="Century Gothic"/>
          <w:sz w:val="20"/>
          <w:szCs w:val="20"/>
        </w:rPr>
        <w:t xml:space="preserve">Emma </w:t>
      </w:r>
      <w:proofErr w:type="spellStart"/>
      <w:r>
        <w:rPr>
          <w:rFonts w:ascii="Century Gothic" w:eastAsia="Century Gothic" w:hAnsi="Century Gothic" w:cs="Century Gothic"/>
          <w:sz w:val="20"/>
          <w:szCs w:val="20"/>
        </w:rPr>
        <w:t>Baghel</w:t>
      </w:r>
      <w:proofErr w:type="spellEnd"/>
    </w:p>
    <w:p w14:paraId="4075DA8E" w14:textId="77777777" w:rsidR="00D61A67" w:rsidRDefault="006D6BA7">
      <w:pPr>
        <w:spacing w:after="0" w:line="240" w:lineRule="auto"/>
      </w:pPr>
      <w:r>
        <w:rPr>
          <w:rFonts w:ascii="Century Gothic" w:eastAsia="Century Gothic" w:hAnsi="Century Gothic" w:cs="Century Gothic"/>
          <w:sz w:val="20"/>
          <w:szCs w:val="20"/>
        </w:rPr>
        <w:t xml:space="preserve">April </w:t>
      </w:r>
      <w:proofErr w:type="spellStart"/>
      <w:r>
        <w:rPr>
          <w:rFonts w:ascii="Century Gothic" w:eastAsia="Century Gothic" w:hAnsi="Century Gothic" w:cs="Century Gothic"/>
          <w:sz w:val="20"/>
          <w:szCs w:val="20"/>
        </w:rPr>
        <w:t>Rascon</w:t>
      </w:r>
      <w:proofErr w:type="spellEnd"/>
    </w:p>
    <w:p w14:paraId="044E3F33" w14:textId="77777777" w:rsidR="00D61A67" w:rsidRDefault="006D6BA7">
      <w:pPr>
        <w:spacing w:after="0" w:line="240" w:lineRule="auto"/>
      </w:pPr>
      <w:r>
        <w:rPr>
          <w:rFonts w:ascii="Century Gothic" w:eastAsia="Century Gothic" w:hAnsi="Century Gothic" w:cs="Century Gothic"/>
          <w:sz w:val="20"/>
          <w:szCs w:val="20"/>
        </w:rPr>
        <w:t xml:space="preserve">Bernardo </w:t>
      </w:r>
      <w:proofErr w:type="spellStart"/>
      <w:r>
        <w:rPr>
          <w:rFonts w:ascii="Century Gothic" w:eastAsia="Century Gothic" w:hAnsi="Century Gothic" w:cs="Century Gothic"/>
          <w:sz w:val="20"/>
          <w:szCs w:val="20"/>
        </w:rPr>
        <w:t>Gracia</w:t>
      </w:r>
      <w:proofErr w:type="spellEnd"/>
    </w:p>
    <w:p w14:paraId="48DB3130" w14:textId="77777777" w:rsidR="00D61A67" w:rsidRDefault="00D61A67">
      <w:pPr>
        <w:spacing w:after="0" w:line="240" w:lineRule="auto"/>
      </w:pPr>
    </w:p>
    <w:p w14:paraId="1BFAD7FB" w14:textId="77777777" w:rsidR="00D61A67" w:rsidRDefault="006D6BA7">
      <w:pPr>
        <w:spacing w:after="0" w:line="240" w:lineRule="auto"/>
      </w:pPr>
      <w:r>
        <w:rPr>
          <w:rFonts w:ascii="Century Gothic" w:eastAsia="Century Gothic" w:hAnsi="Century Gothic" w:cs="Century Gothic"/>
          <w:b/>
          <w:sz w:val="20"/>
          <w:szCs w:val="20"/>
        </w:rPr>
        <w:t>Advisors &amp; Mentors:</w:t>
      </w:r>
    </w:p>
    <w:p w14:paraId="013C6DFC" w14:textId="77777777" w:rsidR="00D61A67" w:rsidRDefault="006D6BA7">
      <w:pPr>
        <w:spacing w:after="0" w:line="240" w:lineRule="auto"/>
      </w:pPr>
      <w:r>
        <w:rPr>
          <w:rFonts w:ascii="Century Gothic" w:eastAsia="Century Gothic" w:hAnsi="Century Gothic" w:cs="Century Gothic"/>
          <w:sz w:val="20"/>
          <w:szCs w:val="20"/>
        </w:rPr>
        <w:t xml:space="preserve">David </w:t>
      </w:r>
      <w:proofErr w:type="spellStart"/>
      <w:r>
        <w:rPr>
          <w:rFonts w:ascii="Century Gothic" w:eastAsia="Century Gothic" w:hAnsi="Century Gothic" w:cs="Century Gothic"/>
          <w:sz w:val="20"/>
          <w:szCs w:val="20"/>
        </w:rPr>
        <w:t>Hondula</w:t>
      </w:r>
      <w:proofErr w:type="spellEnd"/>
      <w:r>
        <w:rPr>
          <w:rFonts w:ascii="Century Gothic" w:eastAsia="Century Gothic" w:hAnsi="Century Gothic" w:cs="Century Gothic"/>
          <w:sz w:val="20"/>
          <w:szCs w:val="20"/>
        </w:rPr>
        <w:t xml:space="preserve"> (Arizona State Unive</w:t>
      </w:r>
      <w:r>
        <w:rPr>
          <w:rFonts w:ascii="Century Gothic" w:eastAsia="Century Gothic" w:hAnsi="Century Gothic" w:cs="Century Gothic"/>
          <w:sz w:val="20"/>
          <w:szCs w:val="20"/>
        </w:rPr>
        <w:t>rsity)</w:t>
      </w:r>
    </w:p>
    <w:p w14:paraId="06542010" w14:textId="77777777" w:rsidR="00D61A67" w:rsidRDefault="006D6BA7">
      <w:pPr>
        <w:spacing w:after="0" w:line="240" w:lineRule="auto"/>
      </w:pPr>
      <w:r>
        <w:rPr>
          <w:rFonts w:ascii="Century Gothic" w:eastAsia="Century Gothic" w:hAnsi="Century Gothic" w:cs="Century Gothic"/>
          <w:sz w:val="20"/>
          <w:szCs w:val="20"/>
        </w:rPr>
        <w:t>Dr. Kenton Ross (NASA DEVELOP)</w:t>
      </w:r>
    </w:p>
    <w:p w14:paraId="645EAC2D" w14:textId="77777777" w:rsidR="00D61A67" w:rsidRDefault="00D61A67">
      <w:pPr>
        <w:spacing w:after="0" w:line="240" w:lineRule="auto"/>
      </w:pPr>
    </w:p>
    <w:p w14:paraId="1F001FB0" w14:textId="77777777" w:rsidR="00D61A67" w:rsidRDefault="006D6BA7">
      <w:pPr>
        <w:spacing w:after="0" w:line="240" w:lineRule="auto"/>
      </w:pPr>
      <w:r>
        <w:rPr>
          <w:rFonts w:ascii="Century Gothic" w:eastAsia="Century Gothic" w:hAnsi="Century Gothic" w:cs="Century Gothic"/>
          <w:b/>
          <w:sz w:val="20"/>
          <w:szCs w:val="20"/>
        </w:rPr>
        <w:t>Partner Organizations</w:t>
      </w:r>
    </w:p>
    <w:p w14:paraId="62CC554A" w14:textId="77777777" w:rsidR="00D61A67" w:rsidRDefault="006D6BA7">
      <w:pPr>
        <w:spacing w:after="0" w:line="240" w:lineRule="auto"/>
        <w:ind w:left="720" w:hanging="720"/>
      </w:pPr>
      <w:r>
        <w:rPr>
          <w:rFonts w:ascii="Century Gothic" w:eastAsia="Century Gothic" w:hAnsi="Century Gothic" w:cs="Century Gothic"/>
          <w:sz w:val="20"/>
          <w:szCs w:val="20"/>
        </w:rPr>
        <w:t>Arizona Department of Health Services (ADHS), End-user/Partner/Boundary Organization, POC: Matthew Roach, Climate and Health Program Manager</w:t>
      </w:r>
    </w:p>
    <w:p w14:paraId="53F0D41E" w14:textId="77777777" w:rsidR="00D61A67" w:rsidRDefault="006D6BA7">
      <w:pPr>
        <w:spacing w:after="0" w:line="240" w:lineRule="auto"/>
        <w:ind w:left="720" w:hanging="720"/>
      </w:pPr>
      <w:r>
        <w:rPr>
          <w:rFonts w:ascii="Century Gothic" w:eastAsia="Century Gothic" w:hAnsi="Century Gothic" w:cs="Century Gothic"/>
          <w:sz w:val="20"/>
          <w:szCs w:val="20"/>
        </w:rPr>
        <w:t>Environmental Remote Sensing and Informatics lab (ERSL</w:t>
      </w:r>
      <w:r>
        <w:rPr>
          <w:rFonts w:ascii="Century Gothic" w:eastAsia="Century Gothic" w:hAnsi="Century Gothic" w:cs="Century Gothic"/>
          <w:sz w:val="20"/>
          <w:szCs w:val="20"/>
        </w:rPr>
        <w:t>) at Arizona State University, Partner, POC: Billie L. Turner II, Professor</w:t>
      </w:r>
    </w:p>
    <w:p w14:paraId="590673BD" w14:textId="77777777" w:rsidR="00D61A67" w:rsidRDefault="006D6BA7">
      <w:pPr>
        <w:spacing w:after="0" w:line="240" w:lineRule="auto"/>
        <w:ind w:left="720" w:hanging="720"/>
      </w:pPr>
      <w:r>
        <w:rPr>
          <w:rFonts w:ascii="Century Gothic" w:eastAsia="Century Gothic" w:hAnsi="Century Gothic" w:cs="Century Gothic"/>
          <w:sz w:val="20"/>
          <w:szCs w:val="20"/>
        </w:rPr>
        <w:t>Center for Policy Informatics (CPI) at Arizona State University, Partner, POC: Erik W. Johnston, Associate Professor</w:t>
      </w:r>
    </w:p>
    <w:p w14:paraId="679308A0" w14:textId="77777777" w:rsidR="00D61A67" w:rsidRDefault="00D61A67">
      <w:pPr>
        <w:spacing w:after="0" w:line="240" w:lineRule="auto"/>
      </w:pPr>
    </w:p>
    <w:p w14:paraId="0EBEE2B5" w14:textId="77777777" w:rsidR="00D61A67" w:rsidRDefault="006D6BA7" w:rsidP="00A81CBF">
      <w:pPr>
        <w:spacing w:before="240" w:after="0" w:line="240" w:lineRule="auto"/>
      </w:pPr>
      <w:r>
        <w:rPr>
          <w:rFonts w:ascii="Century Gothic" w:eastAsia="Century Gothic" w:hAnsi="Century Gothic" w:cs="Century Gothic"/>
          <w:b/>
        </w:rPr>
        <w:t>Project Details</w:t>
      </w:r>
    </w:p>
    <w:p w14:paraId="4C0BE18A" w14:textId="77777777" w:rsidR="00D61A67" w:rsidRDefault="006D6BA7">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7ED85647" w14:textId="77777777" w:rsidR="00D61A67" w:rsidRDefault="006D6BA7">
      <w:pPr>
        <w:spacing w:after="0" w:line="240" w:lineRule="auto"/>
      </w:pPr>
      <w:r>
        <w:rPr>
          <w:rFonts w:ascii="Century Gothic" w:eastAsia="Century Gothic" w:hAnsi="Century Gothic" w:cs="Century Gothic"/>
          <w:sz w:val="20"/>
          <w:szCs w:val="20"/>
        </w:rPr>
        <w:t>Health &amp; Air Quality and Climate</w:t>
      </w:r>
    </w:p>
    <w:p w14:paraId="4C72D841" w14:textId="77777777" w:rsidR="00D61A67" w:rsidRDefault="00D61A67">
      <w:pPr>
        <w:spacing w:after="0" w:line="240" w:lineRule="auto"/>
      </w:pPr>
    </w:p>
    <w:p w14:paraId="6CDF1632" w14:textId="77777777" w:rsidR="00D61A67" w:rsidRDefault="006D6BA7">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Maricopa County, Arizona </w:t>
      </w:r>
    </w:p>
    <w:p w14:paraId="45635B2C" w14:textId="77777777" w:rsidR="00D61A67" w:rsidRDefault="00D61A67">
      <w:pPr>
        <w:spacing w:after="0" w:line="240" w:lineRule="auto"/>
      </w:pPr>
    </w:p>
    <w:p w14:paraId="0FAD8D1D" w14:textId="77777777" w:rsidR="00D61A67" w:rsidRDefault="006D6BA7">
      <w:pPr>
        <w:spacing w:line="240" w:lineRule="auto"/>
        <w:jc w:val="both"/>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A81CBF">
        <w:rPr>
          <w:rFonts w:ascii="Century Gothic" w:eastAsia="Century Gothic" w:hAnsi="Century Gothic" w:cs="Century Gothic"/>
          <w:sz w:val="20"/>
          <w:szCs w:val="20"/>
        </w:rPr>
        <w:t xml:space="preserve">May – September months from 2006 – </w:t>
      </w:r>
      <w:r>
        <w:rPr>
          <w:rFonts w:ascii="Century Gothic" w:eastAsia="Century Gothic" w:hAnsi="Century Gothic" w:cs="Century Gothic"/>
          <w:sz w:val="20"/>
          <w:szCs w:val="20"/>
        </w:rPr>
        <w:t>2014</w:t>
      </w:r>
      <w:r w:rsidR="00A81CBF">
        <w:rPr>
          <w:rFonts w:ascii="Century Gothic" w:eastAsia="Century Gothic" w:hAnsi="Century Gothic" w:cs="Century Gothic"/>
          <w:sz w:val="20"/>
          <w:szCs w:val="20"/>
        </w:rPr>
        <w:t xml:space="preserve"> </w:t>
      </w:r>
    </w:p>
    <w:p w14:paraId="100B5B1E" w14:textId="77777777" w:rsidR="00D61A67" w:rsidRDefault="006D6BA7">
      <w:pPr>
        <w:spacing w:after="0" w:line="240" w:lineRule="auto"/>
      </w:pPr>
      <w:r>
        <w:rPr>
          <w:rFonts w:ascii="Century Gothic" w:eastAsia="Century Gothic" w:hAnsi="Century Gothic" w:cs="Century Gothic"/>
          <w:b/>
          <w:sz w:val="20"/>
          <w:szCs w:val="20"/>
        </w:rPr>
        <w:t>Earth Observations &amp; Parameters</w:t>
      </w:r>
    </w:p>
    <w:p w14:paraId="1EB34F9D"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Landsat 7 &amp; 8, Enhanced Thematic Mapper </w:t>
      </w:r>
      <w:proofErr w:type="gramStart"/>
      <w:r>
        <w:rPr>
          <w:rFonts w:ascii="Century Gothic" w:eastAsia="Century Gothic" w:hAnsi="Century Gothic" w:cs="Century Gothic"/>
          <w:i/>
          <w:sz w:val="20"/>
          <w:szCs w:val="20"/>
        </w:rPr>
        <w:t>Plus</w:t>
      </w:r>
      <w:proofErr w:type="gramEnd"/>
      <w:r>
        <w:rPr>
          <w:rFonts w:ascii="Century Gothic" w:eastAsia="Century Gothic" w:hAnsi="Century Gothic" w:cs="Century Gothic"/>
          <w:i/>
          <w:sz w:val="20"/>
          <w:szCs w:val="20"/>
        </w:rPr>
        <w:t>, Operational Land</w:t>
      </w:r>
      <w:r>
        <w:rPr>
          <w:rFonts w:ascii="Century Gothic" w:eastAsia="Century Gothic" w:hAnsi="Century Gothic" w:cs="Century Gothic"/>
          <w:i/>
          <w:sz w:val="20"/>
          <w:szCs w:val="20"/>
        </w:rPr>
        <w:t xml:space="preserve"> Manager, Thermal Infrared Sensor</w:t>
      </w:r>
      <w:r>
        <w:rPr>
          <w:rFonts w:ascii="Century Gothic" w:eastAsia="Century Gothic" w:hAnsi="Century Gothic" w:cs="Century Gothic"/>
          <w:sz w:val="20"/>
          <w:szCs w:val="20"/>
        </w:rPr>
        <w:t xml:space="preserve"> - Land Surface Temperature</w:t>
      </w:r>
    </w:p>
    <w:p w14:paraId="6001F8F9" w14:textId="77777777" w:rsidR="00D61A67" w:rsidRDefault="006D6BA7">
      <w:pPr>
        <w:spacing w:after="0" w:line="240" w:lineRule="auto"/>
      </w:pPr>
      <w:r>
        <w:rPr>
          <w:rFonts w:ascii="Century Gothic" w:eastAsia="Century Gothic" w:hAnsi="Century Gothic" w:cs="Century Gothic"/>
          <w:i/>
          <w:sz w:val="20"/>
          <w:szCs w:val="20"/>
        </w:rPr>
        <w:t>Terra, MODIS, ASTER</w:t>
      </w:r>
      <w:r>
        <w:rPr>
          <w:rFonts w:ascii="Century Gothic" w:eastAsia="Century Gothic" w:hAnsi="Century Gothic" w:cs="Century Gothic"/>
          <w:sz w:val="20"/>
          <w:szCs w:val="20"/>
        </w:rPr>
        <w:t xml:space="preserve"> - Land Surface Temperature, Digital Elevation Model</w:t>
      </w:r>
    </w:p>
    <w:p w14:paraId="46B9587A" w14:textId="77777777" w:rsidR="00D61A67" w:rsidRDefault="006D6BA7">
      <w:pPr>
        <w:spacing w:after="0" w:line="240" w:lineRule="auto"/>
      </w:pPr>
      <w:r>
        <w:rPr>
          <w:rFonts w:ascii="Century Gothic" w:eastAsia="Century Gothic" w:hAnsi="Century Gothic" w:cs="Century Gothic"/>
          <w:i/>
          <w:sz w:val="20"/>
          <w:szCs w:val="20"/>
        </w:rPr>
        <w:t>Aqua, MODIS</w:t>
      </w:r>
      <w:r>
        <w:rPr>
          <w:rFonts w:ascii="Century Gothic" w:eastAsia="Century Gothic" w:hAnsi="Century Gothic" w:cs="Century Gothic"/>
          <w:sz w:val="20"/>
          <w:szCs w:val="20"/>
        </w:rPr>
        <w:t xml:space="preserve"> - Land Surface Temperature</w:t>
      </w:r>
    </w:p>
    <w:p w14:paraId="4F840900" w14:textId="77777777" w:rsidR="00D61A67" w:rsidRDefault="006D6BA7">
      <w:pPr>
        <w:spacing w:after="0" w:line="240" w:lineRule="auto"/>
      </w:pPr>
      <w:r>
        <w:rPr>
          <w:rFonts w:ascii="Century Gothic" w:eastAsia="Century Gothic" w:hAnsi="Century Gothic" w:cs="Century Gothic"/>
          <w:i/>
          <w:sz w:val="20"/>
          <w:szCs w:val="20"/>
        </w:rPr>
        <w:lastRenderedPageBreak/>
        <w:t>Suomi NPP, VIIRS</w:t>
      </w:r>
      <w:r>
        <w:rPr>
          <w:rFonts w:ascii="Century Gothic" w:eastAsia="Century Gothic" w:hAnsi="Century Gothic" w:cs="Century Gothic"/>
          <w:sz w:val="20"/>
          <w:szCs w:val="20"/>
        </w:rPr>
        <w:t xml:space="preserve"> - Day/Night Band Reflectance</w:t>
      </w:r>
    </w:p>
    <w:p w14:paraId="175A262F" w14:textId="77777777" w:rsidR="00D61A67" w:rsidRDefault="00D61A67">
      <w:pPr>
        <w:spacing w:after="0" w:line="240" w:lineRule="auto"/>
      </w:pPr>
    </w:p>
    <w:p w14:paraId="7877A31A" w14:textId="77777777" w:rsidR="00D61A67" w:rsidRDefault="006D6BA7">
      <w:pPr>
        <w:spacing w:after="0" w:line="240" w:lineRule="auto"/>
      </w:pPr>
      <w:r>
        <w:rPr>
          <w:rFonts w:ascii="Century Gothic" w:eastAsia="Century Gothic" w:hAnsi="Century Gothic" w:cs="Century Gothic"/>
          <w:b/>
          <w:sz w:val="20"/>
          <w:szCs w:val="20"/>
        </w:rPr>
        <w:t>Ancillary Datasets Utilized</w:t>
      </w:r>
    </w:p>
    <w:p w14:paraId="20B907F8" w14:textId="77777777" w:rsidR="00D61A67" w:rsidRDefault="006D6BA7">
      <w:pPr>
        <w:numPr>
          <w:ilvl w:val="0"/>
          <w:numId w:val="1"/>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AZMet</w:t>
      </w:r>
      <w:proofErr w:type="spellEnd"/>
      <w:r>
        <w:rPr>
          <w:rFonts w:ascii="Century Gothic" w:eastAsia="Century Gothic" w:hAnsi="Century Gothic" w:cs="Century Gothic"/>
          <w:sz w:val="20"/>
          <w:szCs w:val="20"/>
        </w:rPr>
        <w:t xml:space="preserve"> and</w:t>
      </w:r>
      <w:r>
        <w:rPr>
          <w:rFonts w:ascii="Century Gothic" w:eastAsia="Century Gothic" w:hAnsi="Century Gothic" w:cs="Century Gothic"/>
          <w:sz w:val="20"/>
          <w:szCs w:val="20"/>
        </w:rPr>
        <w:t xml:space="preserve"> Weather Underground - Ground-based meteorological observations</w:t>
      </w:r>
    </w:p>
    <w:p w14:paraId="757381BE"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Maricopa County Health Department - Locations of Heat Relief Network cooling centers</w:t>
      </w:r>
    </w:p>
    <w:p w14:paraId="6B454F41"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ASU-GIS spatial data repository and U.S. Census/TIGER - Geospatial boundary files and demographic indicator</w:t>
      </w:r>
      <w:r>
        <w:rPr>
          <w:rFonts w:ascii="Century Gothic" w:eastAsia="Century Gothic" w:hAnsi="Century Gothic" w:cs="Century Gothic"/>
          <w:sz w:val="20"/>
          <w:szCs w:val="20"/>
        </w:rPr>
        <w:t>s</w:t>
      </w:r>
    </w:p>
    <w:p w14:paraId="5CFE6CEB"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 Urban Vulnerability to Climate Change Project - Maricopa County heat vulnerability maps</w:t>
      </w:r>
    </w:p>
    <w:p w14:paraId="27A55A66"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 xml:space="preserve">Maricopa County Department of Health and David </w:t>
      </w:r>
      <w:proofErr w:type="spellStart"/>
      <w:r>
        <w:rPr>
          <w:rFonts w:ascii="Century Gothic" w:eastAsia="Century Gothic" w:hAnsi="Century Gothic" w:cs="Century Gothic"/>
          <w:sz w:val="20"/>
          <w:szCs w:val="20"/>
        </w:rPr>
        <w:t>Hondula’s</w:t>
      </w:r>
      <w:proofErr w:type="spellEnd"/>
      <w:r>
        <w:rPr>
          <w:rFonts w:ascii="Century Gothic" w:eastAsia="Century Gothic" w:hAnsi="Century Gothic" w:cs="Century Gothic"/>
          <w:sz w:val="20"/>
          <w:szCs w:val="20"/>
        </w:rPr>
        <w:t xml:space="preserve"> dissertation research - Maps of spatial variability in heat-health outcomes</w:t>
      </w:r>
    </w:p>
    <w:p w14:paraId="0D89CB8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MCDPH, ASU, and ADHS intervie</w:t>
      </w:r>
      <w:r>
        <w:rPr>
          <w:rFonts w:ascii="Century Gothic" w:eastAsia="Century Gothic" w:hAnsi="Century Gothic" w:cs="Century Gothic"/>
          <w:sz w:val="20"/>
          <w:szCs w:val="20"/>
        </w:rPr>
        <w:t>ws, surveys, and observations - Responses from summer 2014 cooling center evaluation</w:t>
      </w:r>
    </w:p>
    <w:p w14:paraId="7A51D707"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NOAA National Centers for Environmental Information (NCEI) (Formerly National Climatic Data Centers) - Teleconnection Indices</w:t>
      </w:r>
    </w:p>
    <w:p w14:paraId="30B3115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National Land Cover Dataset - 2011 impervious surface estimates</w:t>
      </w:r>
    </w:p>
    <w:p w14:paraId="60AD22BA"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Mesowest</w:t>
      </w:r>
      <w:proofErr w:type="spellEnd"/>
      <w:r>
        <w:rPr>
          <w:rFonts w:ascii="Century Gothic" w:eastAsia="Century Gothic" w:hAnsi="Century Gothic" w:cs="Century Gothic"/>
          <w:sz w:val="20"/>
          <w:szCs w:val="20"/>
        </w:rPr>
        <w:t xml:space="preserve"> Automated Weather Observation Network</w:t>
      </w:r>
    </w:p>
    <w:p w14:paraId="6D1A1787" w14:textId="77777777" w:rsidR="00D61A67" w:rsidRDefault="00D61A67">
      <w:pPr>
        <w:spacing w:after="0" w:line="240" w:lineRule="auto"/>
      </w:pPr>
    </w:p>
    <w:p w14:paraId="1D058DB5" w14:textId="77777777" w:rsidR="00D61A67" w:rsidRDefault="006D6BA7">
      <w:pPr>
        <w:spacing w:after="0" w:line="240" w:lineRule="auto"/>
      </w:pPr>
      <w:r>
        <w:rPr>
          <w:rFonts w:ascii="Century Gothic" w:eastAsia="Century Gothic" w:hAnsi="Century Gothic" w:cs="Century Gothic"/>
          <w:b/>
          <w:sz w:val="20"/>
          <w:szCs w:val="20"/>
        </w:rPr>
        <w:t>Software Utilized</w:t>
      </w:r>
    </w:p>
    <w:p w14:paraId="791A0F60" w14:textId="77777777" w:rsidR="00D61A67" w:rsidRDefault="006D6BA7">
      <w:pPr>
        <w:spacing w:after="0" w:line="240" w:lineRule="auto"/>
        <w:ind w:left="720" w:hanging="720"/>
      </w:pPr>
      <w:r>
        <w:rPr>
          <w:rFonts w:ascii="Century Gothic" w:eastAsia="Century Gothic" w:hAnsi="Century Gothic" w:cs="Century Gothic"/>
          <w:i/>
          <w:sz w:val="20"/>
          <w:szCs w:val="20"/>
        </w:rPr>
        <w:t>ArcGIS</w:t>
      </w:r>
      <w:r>
        <w:rPr>
          <w:rFonts w:ascii="Century Gothic" w:eastAsia="Century Gothic" w:hAnsi="Century Gothic" w:cs="Century Gothic"/>
          <w:sz w:val="20"/>
          <w:szCs w:val="20"/>
        </w:rPr>
        <w:t xml:space="preserve"> - Raster Manipulation/Analysis, Image Enhancement &amp; Map Creation of Landsat 7 ETM+, Landsat 8 OLI/TIRS, Spatial Statist</w:t>
      </w:r>
      <w:r>
        <w:rPr>
          <w:rFonts w:ascii="Century Gothic" w:eastAsia="Century Gothic" w:hAnsi="Century Gothic" w:cs="Century Gothic"/>
          <w:sz w:val="20"/>
          <w:szCs w:val="20"/>
        </w:rPr>
        <w:t>ics, Terra MODIS/Aster, Aqua MODIS</w:t>
      </w:r>
    </w:p>
    <w:p w14:paraId="77CCBFAC" w14:textId="77777777" w:rsidR="00D61A67" w:rsidRDefault="006D6BA7">
      <w:pPr>
        <w:spacing w:after="0" w:line="240" w:lineRule="auto"/>
        <w:ind w:left="720" w:hanging="720"/>
      </w:pPr>
      <w:proofErr w:type="spellStart"/>
      <w:r>
        <w:rPr>
          <w:rFonts w:ascii="Century Gothic" w:eastAsia="Century Gothic" w:hAnsi="Century Gothic" w:cs="Century Gothic"/>
          <w:i/>
          <w:sz w:val="20"/>
          <w:szCs w:val="20"/>
        </w:rPr>
        <w:t>Qualtrics</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Survey and interview development and response recording</w:t>
      </w:r>
    </w:p>
    <w:p w14:paraId="04E2159C"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R </w:t>
      </w:r>
      <w:r>
        <w:rPr>
          <w:rFonts w:ascii="Century Gothic" w:eastAsia="Century Gothic" w:hAnsi="Century Gothic" w:cs="Century Gothic"/>
          <w:sz w:val="20"/>
          <w:szCs w:val="20"/>
        </w:rPr>
        <w:t>- Statistical analysis of teleconnection indices and heat wave magnitudes and duration</w:t>
      </w:r>
    </w:p>
    <w:p w14:paraId="7063B957" w14:textId="77777777" w:rsidR="00D61A67" w:rsidRDefault="006D6BA7">
      <w:pPr>
        <w:spacing w:after="0" w:line="240" w:lineRule="auto"/>
        <w:ind w:left="720" w:hanging="720"/>
      </w:pPr>
      <w:r>
        <w:rPr>
          <w:rFonts w:ascii="Century Gothic" w:eastAsia="Century Gothic" w:hAnsi="Century Gothic" w:cs="Century Gothic"/>
          <w:i/>
          <w:sz w:val="20"/>
          <w:szCs w:val="20"/>
        </w:rPr>
        <w:t>ENVI/ENVI for ArcGIS</w:t>
      </w:r>
      <w:r>
        <w:rPr>
          <w:rFonts w:ascii="Century Gothic" w:eastAsia="Century Gothic" w:hAnsi="Century Gothic" w:cs="Century Gothic"/>
          <w:sz w:val="20"/>
          <w:szCs w:val="20"/>
        </w:rPr>
        <w:t xml:space="preserve"> - Imagery analysis and processing </w:t>
      </w:r>
    </w:p>
    <w:p w14:paraId="3CCA3D3C" w14:textId="77777777" w:rsidR="00D61A67" w:rsidRDefault="00D61A67">
      <w:pPr>
        <w:spacing w:after="0" w:line="240" w:lineRule="auto"/>
      </w:pPr>
    </w:p>
    <w:p w14:paraId="359BFFBD" w14:textId="77777777" w:rsidR="00D61A67" w:rsidRDefault="006D6BA7" w:rsidP="00A81CBF">
      <w:pPr>
        <w:spacing w:before="240" w:after="0" w:line="240" w:lineRule="auto"/>
      </w:pPr>
      <w:r>
        <w:rPr>
          <w:rFonts w:ascii="Century Gothic" w:eastAsia="Century Gothic" w:hAnsi="Century Gothic" w:cs="Century Gothic"/>
          <w:b/>
        </w:rPr>
        <w:t>Projec</w:t>
      </w:r>
      <w:r>
        <w:rPr>
          <w:rFonts w:ascii="Century Gothic" w:eastAsia="Century Gothic" w:hAnsi="Century Gothic" w:cs="Century Gothic"/>
          <w:b/>
        </w:rPr>
        <w:t>t Overview</w:t>
      </w:r>
    </w:p>
    <w:p w14:paraId="3CAEC070" w14:textId="77777777" w:rsidR="00D61A67" w:rsidRDefault="006D6BA7">
      <w:pPr>
        <w:spacing w:after="0" w:line="240" w:lineRule="auto"/>
      </w:pPr>
      <w:r>
        <w:rPr>
          <w:rFonts w:ascii="Century Gothic" w:eastAsia="Century Gothic" w:hAnsi="Century Gothic" w:cs="Century Gothic"/>
          <w:b/>
          <w:sz w:val="20"/>
          <w:szCs w:val="20"/>
        </w:rPr>
        <w:t>80-100 Word Objectives Overview</w:t>
      </w:r>
    </w:p>
    <w:p w14:paraId="17196D2B" w14:textId="77777777" w:rsidR="00D61A67" w:rsidRDefault="006D6BA7">
      <w:pPr>
        <w:spacing w:after="0" w:line="240" w:lineRule="auto"/>
      </w:pPr>
      <w:r>
        <w:rPr>
          <w:rFonts w:ascii="Century Gothic" w:eastAsia="Century Gothic" w:hAnsi="Century Gothic" w:cs="Century Gothic"/>
          <w:sz w:val="20"/>
          <w:szCs w:val="20"/>
        </w:rPr>
        <w:t>Human exposure to excessive heat, especially in cities, accounts for more fatalities in the United States than any other weather hazard. An unbalanced vulnerability of the poor, homeless, elderly, and ethnic minor</w:t>
      </w:r>
      <w:r>
        <w:rPr>
          <w:rFonts w:ascii="Century Gothic" w:eastAsia="Century Gothic" w:hAnsi="Century Gothic" w:cs="Century Gothic"/>
          <w:sz w:val="20"/>
          <w:szCs w:val="20"/>
        </w:rPr>
        <w:t>ities highlights the necessity for understanding these spatial discrepancies in order to enact effective and meaningful change. Remote sensing will help produce visual aids outlining potential heat islands, communities at higher risk, and zones of greatest</w:t>
      </w:r>
      <w:r>
        <w:rPr>
          <w:rFonts w:ascii="Century Gothic" w:eastAsia="Century Gothic" w:hAnsi="Century Gothic" w:cs="Century Gothic"/>
          <w:sz w:val="20"/>
          <w:szCs w:val="20"/>
        </w:rPr>
        <w:t xml:space="preserve"> incidence. This in turn will provide more appropriate locations for cooling centers and assist officials in delivering proper aid.</w:t>
      </w:r>
    </w:p>
    <w:p w14:paraId="457DD45A" w14:textId="77777777" w:rsidR="00D61A67" w:rsidRDefault="00D61A67">
      <w:pPr>
        <w:spacing w:after="0" w:line="240" w:lineRule="auto"/>
      </w:pPr>
    </w:p>
    <w:p w14:paraId="07485059" w14:textId="77777777" w:rsidR="00D61A67" w:rsidRDefault="006D6BA7">
      <w:pPr>
        <w:spacing w:after="0" w:line="240" w:lineRule="auto"/>
      </w:pPr>
      <w:r>
        <w:rPr>
          <w:rFonts w:ascii="Century Gothic" w:eastAsia="Century Gothic" w:hAnsi="Century Gothic" w:cs="Century Gothic"/>
          <w:b/>
          <w:sz w:val="20"/>
          <w:szCs w:val="20"/>
        </w:rPr>
        <w:t>Abstract</w:t>
      </w:r>
    </w:p>
    <w:p w14:paraId="7C3F1D07" w14:textId="77777777" w:rsidR="00D61A67" w:rsidRDefault="006D6BA7">
      <w:pPr>
        <w:spacing w:after="0" w:line="240" w:lineRule="auto"/>
      </w:pPr>
      <w:r>
        <w:rPr>
          <w:rFonts w:ascii="Century Gothic" w:eastAsia="Century Gothic" w:hAnsi="Century Gothic" w:cs="Century Gothic"/>
          <w:sz w:val="20"/>
          <w:szCs w:val="20"/>
        </w:rPr>
        <w:t xml:space="preserve">Extreme heat causes more human fatalities in the United States compared to other natural disasters, elevating the </w:t>
      </w:r>
      <w:r>
        <w:rPr>
          <w:rFonts w:ascii="Century Gothic" w:eastAsia="Century Gothic" w:hAnsi="Century Gothic" w:cs="Century Gothic"/>
          <w:sz w:val="20"/>
          <w:szCs w:val="20"/>
        </w:rPr>
        <w:t>concern of heat-related mortality in the public health arena. Hotter climates and urban sprawl create conditions where localized regions in the southwest portion of the country take the hardest blow from this phenomenon. Maricopa County, Arizona is specifi</w:t>
      </w:r>
      <w:r>
        <w:rPr>
          <w:rFonts w:ascii="Century Gothic" w:eastAsia="Century Gothic" w:hAnsi="Century Gothic" w:cs="Century Gothic"/>
          <w:sz w:val="20"/>
          <w:szCs w:val="20"/>
        </w:rPr>
        <w:t>cally known for its high heat index and is the leading megapolitan area in the U.S. for population growth and urbanization. As Phoenix expands, the increase in a built environment raises the nighttime temperatures and induces a positive feedback loop by fu</w:t>
      </w:r>
      <w:r>
        <w:rPr>
          <w:rFonts w:ascii="Century Gothic" w:eastAsia="Century Gothic" w:hAnsi="Century Gothic" w:cs="Century Gothic"/>
          <w:sz w:val="20"/>
          <w:szCs w:val="20"/>
        </w:rPr>
        <w:t>rther raising the daytime temperatures, creating an urban heat island effect. Most vulnerable to this hazard are unequally distributed between the poor, homeless, non-native speakers, elderly, and those who have no social communication within their communi</w:t>
      </w:r>
      <w:r>
        <w:rPr>
          <w:rFonts w:ascii="Century Gothic" w:eastAsia="Century Gothic" w:hAnsi="Century Gothic" w:cs="Century Gothic"/>
          <w:sz w:val="20"/>
          <w:szCs w:val="20"/>
        </w:rPr>
        <w:t>ty. While this is a devastating incidence, it can be prevented. The Arizona Department of Health Services and the Phoenix Heat Relief Network, among others, are working to create more effectively placed cooling centers and heat warning systems to aid those</w:t>
      </w:r>
      <w:r>
        <w:rPr>
          <w:rFonts w:ascii="Century Gothic" w:eastAsia="Century Gothic" w:hAnsi="Century Gothic" w:cs="Century Gothic"/>
          <w:sz w:val="20"/>
          <w:szCs w:val="20"/>
        </w:rPr>
        <w:t xml:space="preserve"> with the highest exposure. Using Earth observation technology </w:t>
      </w:r>
      <w:r>
        <w:rPr>
          <w:rFonts w:ascii="Century Gothic" w:eastAsia="Century Gothic" w:hAnsi="Century Gothic" w:cs="Century Gothic"/>
          <w:sz w:val="20"/>
          <w:szCs w:val="20"/>
        </w:rPr>
        <w:lastRenderedPageBreak/>
        <w:t>from thermal wavelength bands of Landsat 7 and 8, ASTER, and MODIS imagery, a spatial perspective can be created and analyzed. Not only will spatial analyses containing information on revised h</w:t>
      </w:r>
      <w:r>
        <w:rPr>
          <w:rFonts w:ascii="Century Gothic" w:eastAsia="Century Gothic" w:hAnsi="Century Gothic" w:cs="Century Gothic"/>
          <w:sz w:val="20"/>
          <w:szCs w:val="20"/>
        </w:rPr>
        <w:t>eat vulnerability, heat duration, and heat incident recurrences prove beneficial for those suffering from heat-caused and heat-related injuries, but they will also provide essential components for future policy decision-making regarding appropriate locatio</w:t>
      </w:r>
      <w:r>
        <w:rPr>
          <w:rFonts w:ascii="Century Gothic" w:eastAsia="Century Gothic" w:hAnsi="Century Gothic" w:cs="Century Gothic"/>
          <w:sz w:val="20"/>
          <w:szCs w:val="20"/>
        </w:rPr>
        <w:t>ns for cooling centers and efficient warning systems.</w:t>
      </w:r>
    </w:p>
    <w:p w14:paraId="1C498650" w14:textId="77777777" w:rsidR="00D61A67" w:rsidRDefault="00D61A67">
      <w:pPr>
        <w:spacing w:after="0" w:line="240" w:lineRule="auto"/>
        <w:jc w:val="both"/>
      </w:pPr>
    </w:p>
    <w:p w14:paraId="4BB26CC6" w14:textId="77777777" w:rsidR="00D61A67" w:rsidRDefault="006D6BA7">
      <w:pPr>
        <w:spacing w:after="0" w:line="240" w:lineRule="auto"/>
      </w:pPr>
      <w:commentRangeStart w:id="1"/>
      <w:commentRangeStart w:id="2"/>
      <w:r>
        <w:rPr>
          <w:rFonts w:ascii="Century Gothic" w:eastAsia="Century Gothic" w:hAnsi="Century Gothic" w:cs="Century Gothic"/>
          <w:b/>
          <w:sz w:val="20"/>
          <w:szCs w:val="20"/>
        </w:rPr>
        <w:t>Community Concerns</w:t>
      </w:r>
      <w:commentRangeEnd w:id="1"/>
      <w:r>
        <w:commentReference w:id="1"/>
      </w:r>
      <w:commentRangeEnd w:id="2"/>
      <w:r>
        <w:commentReference w:id="2"/>
      </w:r>
    </w:p>
    <w:p w14:paraId="1703CD3C" w14:textId="77777777" w:rsidR="00D61A67" w:rsidRDefault="006D6BA7">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Extreme heat is a chronic health hazard and is expected to become more dangerous with time and individuals’ vulnerability.</w:t>
      </w:r>
    </w:p>
    <w:p w14:paraId="07E54075" w14:textId="77777777" w:rsidR="00D61A67" w:rsidRDefault="006D6BA7">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Expanding urban landscapes with impervious surfaces slow down cooling rates at nighttime, resulting in elevated nighttime and daily average temperatures. </w:t>
      </w:r>
    </w:p>
    <w:p w14:paraId="00E66AD3" w14:textId="77777777" w:rsidR="00D61A67" w:rsidRDefault="006D6BA7">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Civilians most affected include those without air conditioning, proper insulation, low-income, newcomers, homeless, minorities, and socially isolated.</w:t>
      </w:r>
    </w:p>
    <w:p w14:paraId="229CDB79" w14:textId="77777777" w:rsidR="00D61A67" w:rsidRDefault="006D6BA7">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Area types most affected were dependent on housing type, location and distance from the nearby urban heat</w:t>
      </w:r>
      <w:r>
        <w:rPr>
          <w:rFonts w:ascii="Century Gothic" w:eastAsia="Century Gothic" w:hAnsi="Century Gothic" w:cs="Century Gothic"/>
          <w:sz w:val="20"/>
          <w:szCs w:val="20"/>
        </w:rPr>
        <w:t xml:space="preserve"> island(s), land use/cover, and crime rate.</w:t>
      </w:r>
    </w:p>
    <w:p w14:paraId="769C7AFC" w14:textId="77777777" w:rsidR="00D61A67" w:rsidRDefault="00D61A67">
      <w:pPr>
        <w:spacing w:after="0" w:line="240" w:lineRule="auto"/>
      </w:pPr>
    </w:p>
    <w:p w14:paraId="6C270C91" w14:textId="77777777" w:rsidR="00D61A67" w:rsidRDefault="006D6BA7">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11A1861" w14:textId="77777777" w:rsidR="00D61A67" w:rsidRDefault="006D6BA7">
      <w:pPr>
        <w:spacing w:after="0" w:line="240" w:lineRule="auto"/>
      </w:pPr>
      <w:r>
        <w:rPr>
          <w:rFonts w:ascii="Century Gothic" w:eastAsia="Century Gothic" w:hAnsi="Century Gothic" w:cs="Century Gothic"/>
          <w:sz w:val="20"/>
          <w:szCs w:val="20"/>
        </w:rPr>
        <w:t>There are currently no state laws with regard to heat surveillance or heat monitoring policies in Arizona. Subsequently, there are no guidelines for governing entities to</w:t>
      </w:r>
      <w:r>
        <w:rPr>
          <w:rFonts w:ascii="Century Gothic" w:eastAsia="Century Gothic" w:hAnsi="Century Gothic" w:cs="Century Gothic"/>
          <w:sz w:val="20"/>
          <w:szCs w:val="20"/>
        </w:rPr>
        <w:t xml:space="preserve"> follow in such situations. While laws do not explicitly cover heat surveillance or heat monitoring, the Federal HIPAA Health Insurance Portability and Accountability Act, where Public Health is an exempt entity, does allow for data collection regarding re</w:t>
      </w:r>
      <w:r>
        <w:rPr>
          <w:rFonts w:ascii="Century Gothic" w:eastAsia="Century Gothic" w:hAnsi="Century Gothic" w:cs="Century Gothic"/>
          <w:sz w:val="20"/>
          <w:szCs w:val="20"/>
        </w:rPr>
        <w:t>levant fatalities. This allows the Maricopa County Department of Public Health (MCDPH) to obtain information on a patient without violating the patient’s confidentiality. MCDPH primarily collects data through preliminary reports of death from the office of</w:t>
      </w:r>
      <w:r>
        <w:rPr>
          <w:rFonts w:ascii="Century Gothic" w:eastAsia="Century Gothic" w:hAnsi="Century Gothic" w:cs="Century Gothic"/>
          <w:sz w:val="20"/>
          <w:szCs w:val="20"/>
        </w:rPr>
        <w:t xml:space="preserve"> the medical examiner and by obtaining death certificates from the MCDPH office of Vital Registration. This data is then classified into heat-caused and heat-related deaths, and is evaluated to obtain the demographics of heat related deaths and the risk fa</w:t>
      </w:r>
      <w:r>
        <w:rPr>
          <w:rFonts w:ascii="Century Gothic" w:eastAsia="Century Gothic" w:hAnsi="Century Gothic" w:cs="Century Gothic"/>
          <w:sz w:val="20"/>
          <w:szCs w:val="20"/>
        </w:rPr>
        <w:t>ctors for mortality in order to inform relief efforts. Presently, policy formation does not employ information gathered from NASA Earth Observations.</w:t>
      </w:r>
    </w:p>
    <w:p w14:paraId="512604E6" w14:textId="77777777" w:rsidR="00D61A67" w:rsidRDefault="00D61A67">
      <w:pPr>
        <w:spacing w:after="0" w:line="240" w:lineRule="auto"/>
      </w:pPr>
    </w:p>
    <w:p w14:paraId="3A96C638" w14:textId="77777777" w:rsidR="00D61A67" w:rsidRDefault="006D6BA7">
      <w:pPr>
        <w:spacing w:after="0" w:line="240" w:lineRule="auto"/>
      </w:pPr>
      <w:commentRangeStart w:id="3"/>
      <w:commentRangeStart w:id="4"/>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commentRangeEnd w:id="3"/>
      <w:r>
        <w:commentReference w:id="3"/>
      </w:r>
      <w:commentRangeEnd w:id="4"/>
      <w:r>
        <w:commentReference w:id="4"/>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D61A67" w14:paraId="3EE05A37" w14:textId="77777777">
        <w:tc>
          <w:tcPr>
            <w:tcW w:w="2790" w:type="dxa"/>
            <w:shd w:val="clear" w:color="auto" w:fill="1F497D"/>
          </w:tcPr>
          <w:p w14:paraId="453F23F1"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14:paraId="2252A6F9"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57DC70CD"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Benefit &amp; Impact</w:t>
            </w:r>
          </w:p>
        </w:tc>
      </w:tr>
      <w:tr w:rsidR="00D61A67" w14:paraId="648500B8" w14:textId="77777777">
        <w:tc>
          <w:tcPr>
            <w:tcW w:w="2790" w:type="dxa"/>
          </w:tcPr>
          <w:p w14:paraId="3FF1BF7B" w14:textId="77777777" w:rsidR="00D61A67" w:rsidRDefault="006D6BA7">
            <w:pPr>
              <w:spacing w:after="0" w:line="240" w:lineRule="auto"/>
              <w:contextualSpacing w:val="0"/>
            </w:pPr>
            <w:r>
              <w:rPr>
                <w:rFonts w:ascii="Century Gothic" w:eastAsia="Century Gothic" w:hAnsi="Century Gothic" w:cs="Century Gothic"/>
                <w:sz w:val="20"/>
                <w:szCs w:val="20"/>
              </w:rPr>
              <w:t>Remote Sensing Climatology of Maricopa County Surface Temperatures</w:t>
            </w:r>
            <w:bookmarkStart w:id="5" w:name="_GoBack"/>
            <w:bookmarkEnd w:id="5"/>
            <w:r>
              <w:rPr>
                <w:rFonts w:ascii="Century Gothic" w:eastAsia="Century Gothic" w:hAnsi="Century Gothic" w:cs="Century Gothic"/>
                <w:sz w:val="20"/>
                <w:szCs w:val="20"/>
              </w:rPr>
              <w:t xml:space="preserve"> on Extreme Heat Days and Nights</w:t>
            </w:r>
          </w:p>
        </w:tc>
        <w:tc>
          <w:tcPr>
            <w:tcW w:w="2880" w:type="dxa"/>
          </w:tcPr>
          <w:p w14:paraId="384BA0CF"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 Suomi NPP VIIRS</w:t>
            </w:r>
          </w:p>
        </w:tc>
        <w:tc>
          <w:tcPr>
            <w:tcW w:w="3798" w:type="dxa"/>
          </w:tcPr>
          <w:p w14:paraId="4864F7D8" w14:textId="77777777" w:rsidR="00D61A67" w:rsidRDefault="006D6BA7">
            <w:pPr>
              <w:spacing w:after="0" w:line="240" w:lineRule="auto"/>
              <w:contextualSpacing w:val="0"/>
            </w:pPr>
            <w:r>
              <w:rPr>
                <w:rFonts w:ascii="Century Gothic" w:eastAsia="Century Gothic" w:hAnsi="Century Gothic" w:cs="Century Gothic"/>
                <w:sz w:val="20"/>
                <w:szCs w:val="20"/>
              </w:rPr>
              <w:t>Suitable candidate communities found for heat warning messages and cooling</w:t>
            </w:r>
            <w:r>
              <w:rPr>
                <w:rFonts w:ascii="Century Gothic" w:eastAsia="Century Gothic" w:hAnsi="Century Gothic" w:cs="Century Gothic"/>
                <w:sz w:val="20"/>
                <w:szCs w:val="20"/>
              </w:rPr>
              <w:t xml:space="preserve"> station locations. </w:t>
            </w:r>
          </w:p>
        </w:tc>
      </w:tr>
      <w:tr w:rsidR="00D61A67" w14:paraId="4A9A523E" w14:textId="77777777">
        <w:tc>
          <w:tcPr>
            <w:tcW w:w="2790" w:type="dxa"/>
          </w:tcPr>
          <w:p w14:paraId="5D797838" w14:textId="77777777" w:rsidR="00D61A67" w:rsidRDefault="006D6BA7">
            <w:pPr>
              <w:spacing w:after="0" w:line="240" w:lineRule="auto"/>
              <w:contextualSpacing w:val="0"/>
            </w:pPr>
            <w:r>
              <w:rPr>
                <w:rFonts w:ascii="Century Gothic" w:eastAsia="Century Gothic" w:hAnsi="Century Gothic" w:cs="Century Gothic"/>
                <w:sz w:val="20"/>
                <w:szCs w:val="20"/>
              </w:rPr>
              <w:t>Maps of correlations with teleconnection indices</w:t>
            </w:r>
          </w:p>
        </w:tc>
        <w:tc>
          <w:tcPr>
            <w:tcW w:w="2880" w:type="dxa"/>
          </w:tcPr>
          <w:p w14:paraId="1805F355"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3754C870" w14:textId="77777777" w:rsidR="00D61A67" w:rsidRDefault="006D6BA7">
            <w:pPr>
              <w:spacing w:after="0" w:line="240" w:lineRule="auto"/>
              <w:contextualSpacing w:val="0"/>
            </w:pPr>
            <w:r>
              <w:rPr>
                <w:rFonts w:ascii="Century Gothic" w:eastAsia="Century Gothic" w:hAnsi="Century Gothic" w:cs="Century Gothic"/>
                <w:sz w:val="20"/>
                <w:szCs w:val="20"/>
              </w:rPr>
              <w:t>Seasonal heat preparedness and awareness campaigns.</w:t>
            </w:r>
          </w:p>
        </w:tc>
      </w:tr>
      <w:tr w:rsidR="00D61A67" w14:paraId="035E1F00" w14:textId="77777777">
        <w:tc>
          <w:tcPr>
            <w:tcW w:w="2790" w:type="dxa"/>
          </w:tcPr>
          <w:p w14:paraId="1D520166" w14:textId="77777777" w:rsidR="00D61A67" w:rsidRDefault="006D6BA7">
            <w:pPr>
              <w:spacing w:after="0" w:line="240" w:lineRule="auto"/>
              <w:contextualSpacing w:val="0"/>
            </w:pPr>
            <w:r>
              <w:rPr>
                <w:rFonts w:ascii="Century Gothic" w:eastAsia="Century Gothic" w:hAnsi="Century Gothic" w:cs="Century Gothic"/>
                <w:sz w:val="20"/>
                <w:szCs w:val="20"/>
              </w:rPr>
              <w:t xml:space="preserve">Maps of heat duration and recurrence (including definitions based </w:t>
            </w:r>
            <w:r>
              <w:rPr>
                <w:rFonts w:ascii="Century Gothic" w:eastAsia="Century Gothic" w:hAnsi="Century Gothic" w:cs="Century Gothic"/>
                <w:sz w:val="20"/>
                <w:szCs w:val="20"/>
              </w:rPr>
              <w:t>on temp and temp-humidity metrics)</w:t>
            </w:r>
          </w:p>
        </w:tc>
        <w:tc>
          <w:tcPr>
            <w:tcW w:w="2880" w:type="dxa"/>
          </w:tcPr>
          <w:p w14:paraId="6E0C569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6A636D1F" w14:textId="77777777" w:rsidR="00D61A67" w:rsidRDefault="006D6BA7">
            <w:pPr>
              <w:spacing w:after="0" w:line="240" w:lineRule="auto"/>
              <w:contextualSpacing w:val="0"/>
            </w:pPr>
            <w:r>
              <w:rPr>
                <w:rFonts w:ascii="Century Gothic" w:eastAsia="Century Gothic" w:hAnsi="Century Gothic" w:cs="Century Gothic"/>
                <w:sz w:val="20"/>
                <w:szCs w:val="20"/>
              </w:rPr>
              <w:t>Understanding how various vegetation cover vs. urban landscapes affect temperature and its implementation for future construction projects.</w:t>
            </w:r>
          </w:p>
        </w:tc>
      </w:tr>
      <w:tr w:rsidR="00D61A67" w14:paraId="1DE5D7E0" w14:textId="77777777">
        <w:tc>
          <w:tcPr>
            <w:tcW w:w="2790" w:type="dxa"/>
          </w:tcPr>
          <w:p w14:paraId="4CD7E338" w14:textId="77777777" w:rsidR="00D61A67" w:rsidRDefault="006D6BA7">
            <w:pPr>
              <w:spacing w:after="0" w:line="240" w:lineRule="auto"/>
              <w:contextualSpacing w:val="0"/>
            </w:pPr>
            <w:r>
              <w:rPr>
                <w:rFonts w:ascii="Century Gothic" w:eastAsia="Century Gothic" w:hAnsi="Century Gothic" w:cs="Century Gothic"/>
                <w:sz w:val="20"/>
                <w:szCs w:val="20"/>
              </w:rPr>
              <w:t>Revised heat v</w:t>
            </w:r>
            <w:r>
              <w:rPr>
                <w:rFonts w:ascii="Century Gothic" w:eastAsia="Century Gothic" w:hAnsi="Century Gothic" w:cs="Century Gothic"/>
                <w:sz w:val="20"/>
                <w:szCs w:val="20"/>
              </w:rPr>
              <w:t>ulnerability maps</w:t>
            </w:r>
          </w:p>
        </w:tc>
        <w:tc>
          <w:tcPr>
            <w:tcW w:w="2880" w:type="dxa"/>
          </w:tcPr>
          <w:p w14:paraId="1134B93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2EB2D6C4" w14:textId="77777777" w:rsidR="00D61A67" w:rsidRDefault="00A81CBF">
            <w:pPr>
              <w:spacing w:after="0" w:line="240" w:lineRule="auto"/>
              <w:contextualSpacing w:val="0"/>
            </w:pPr>
            <w:r>
              <w:rPr>
                <w:rFonts w:ascii="Century Gothic" w:eastAsia="Century Gothic" w:hAnsi="Century Gothic" w:cs="Century Gothic"/>
                <w:sz w:val="20"/>
                <w:szCs w:val="20"/>
              </w:rPr>
              <w:t xml:space="preserve">Updated knowledge of </w:t>
            </w:r>
            <w:r w:rsidR="006D6BA7">
              <w:rPr>
                <w:rFonts w:ascii="Century Gothic" w:eastAsia="Century Gothic" w:hAnsi="Century Gothic" w:cs="Century Gothic"/>
                <w:sz w:val="20"/>
                <w:szCs w:val="20"/>
              </w:rPr>
              <w:t>social-economic reasons for vulnerability locations and densities.</w:t>
            </w:r>
          </w:p>
        </w:tc>
      </w:tr>
    </w:tbl>
    <w:p w14:paraId="15976878" w14:textId="77777777" w:rsidR="00D61A67" w:rsidRDefault="00D61A67">
      <w:pPr>
        <w:spacing w:after="0" w:line="240" w:lineRule="auto"/>
      </w:pPr>
    </w:p>
    <w:p w14:paraId="6C8F90FE" w14:textId="77777777" w:rsidR="00D61A67" w:rsidRDefault="006D6BA7" w:rsidP="00A81CBF">
      <w:pPr>
        <w:spacing w:before="240" w:after="0" w:line="240" w:lineRule="auto"/>
      </w:pPr>
      <w:r>
        <w:rPr>
          <w:rFonts w:ascii="Century Gothic" w:eastAsia="Century Gothic" w:hAnsi="Century Gothic" w:cs="Century Gothic"/>
          <w:b/>
        </w:rPr>
        <w:lastRenderedPageBreak/>
        <w:t>Project Imagery</w:t>
      </w:r>
    </w:p>
    <w:p w14:paraId="5ABA5276" w14:textId="77777777" w:rsidR="00D61A67" w:rsidRDefault="006D6BA7">
      <w:pPr>
        <w:spacing w:after="0" w:line="240" w:lineRule="auto"/>
        <w:ind w:left="720" w:hanging="720"/>
      </w:pPr>
      <w:r>
        <w:rPr>
          <w:rFonts w:ascii="Century Gothic" w:eastAsia="Century Gothic" w:hAnsi="Century Gothic" w:cs="Century Gothic"/>
          <w:b/>
          <w:sz w:val="20"/>
          <w:szCs w:val="20"/>
        </w:rPr>
        <w:t>[</w:t>
      </w:r>
      <w:commentRangeStart w:id="6"/>
      <w:r>
        <w:rPr>
          <w:rFonts w:ascii="Century Gothic" w:eastAsia="Century Gothic" w:hAnsi="Century Gothic" w:cs="Century Gothic"/>
          <w:b/>
          <w:sz w:val="20"/>
          <w:szCs w:val="20"/>
        </w:rPr>
        <w:t>Insert image here</w:t>
      </w:r>
      <w:commentRangeEnd w:id="6"/>
      <w:r>
        <w:commentReference w:id="6"/>
      </w:r>
      <w:r>
        <w:rPr>
          <w:rFonts w:ascii="Century Gothic" w:eastAsia="Century Gothic" w:hAnsi="Century Gothic" w:cs="Century Gothic"/>
          <w:b/>
          <w:sz w:val="20"/>
          <w:szCs w:val="20"/>
        </w:rPr>
        <w:t xml:space="preserve">] </w:t>
      </w:r>
    </w:p>
    <w:p w14:paraId="38FA722D" w14:textId="77777777" w:rsidR="00D61A67" w:rsidRDefault="00D61A67">
      <w:pPr>
        <w:spacing w:after="0" w:line="240" w:lineRule="auto"/>
        <w:ind w:left="720" w:hanging="720"/>
      </w:pPr>
    </w:p>
    <w:p w14:paraId="7AFB051B" w14:textId="77777777" w:rsidR="00D61A67" w:rsidRDefault="006D6BA7">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0AFFD812" w14:textId="77777777" w:rsidR="00D61A67" w:rsidRDefault="006D6BA7">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sectPr w:rsidR="00D61A67">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35:00Z" w:initials="">
    <w:p w14:paraId="2B355783" w14:textId="77777777" w:rsidR="00D61A67" w:rsidRDefault="006D6BA7">
      <w:pPr>
        <w:spacing w:after="0" w:line="240" w:lineRule="auto"/>
      </w:pPr>
      <w:r>
        <w:rPr>
          <w:rFonts w:ascii="Arial" w:eastAsia="Arial" w:hAnsi="Arial" w:cs="Arial"/>
        </w:rPr>
        <w:t>What is the issue at hand? Why is this topic important?</w:t>
      </w:r>
    </w:p>
  </w:comment>
  <w:comment w:id="2" w:author="Childs, Lauren M. (LARC-E3)[DEVELOP]" w:date="2015-05-11T15:35:00Z" w:initials="">
    <w:p w14:paraId="386B1049" w14:textId="77777777" w:rsidR="00D61A67" w:rsidRDefault="006D6BA7">
      <w:pPr>
        <w:spacing w:after="0" w:line="240" w:lineRule="auto"/>
      </w:pPr>
      <w:r>
        <w:rPr>
          <w:rFonts w:ascii="Arial" w:eastAsia="Arial" w:hAnsi="Arial" w:cs="Arial"/>
        </w:rPr>
        <w:t>Community Concern Notes &amp; Tips:</w:t>
      </w:r>
    </w:p>
    <w:p w14:paraId="7E5C963C" w14:textId="77777777" w:rsidR="00D61A67" w:rsidRDefault="006D6BA7">
      <w:pPr>
        <w:spacing w:after="0" w:line="240" w:lineRule="auto"/>
      </w:pPr>
      <w:r>
        <w:rPr>
          <w:rFonts w:ascii="Arial" w:eastAsia="Arial" w:hAnsi="Arial" w:cs="Arial"/>
        </w:rPr>
        <w:t xml:space="preserve"> These bullets should demonstrate the “w</w:t>
      </w:r>
      <w:r>
        <w:rPr>
          <w:rFonts w:ascii="Arial" w:eastAsia="Arial" w:hAnsi="Arial" w:cs="Arial"/>
        </w:rPr>
        <w:t>hy” and the importance of the issues at hand</w:t>
      </w:r>
    </w:p>
    <w:p w14:paraId="40FC7435" w14:textId="77777777" w:rsidR="00D61A67" w:rsidRDefault="006D6BA7">
      <w:pPr>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structures”</w:t>
      </w:r>
    </w:p>
    <w:p w14:paraId="3002EB33" w14:textId="77777777" w:rsidR="00D61A67" w:rsidRDefault="006D6BA7">
      <w:pPr>
        <w:spacing w:after="0" w:line="240" w:lineRule="auto"/>
      </w:pPr>
      <w:r>
        <w:rPr>
          <w:rFonts w:ascii="Arial" w:eastAsia="Arial" w:hAnsi="Arial" w:cs="Arial"/>
        </w:rPr>
        <w:t xml:space="preserve"> Stay concise and clear</w:t>
      </w:r>
    </w:p>
    <w:p w14:paraId="7B05C41D" w14:textId="77777777" w:rsidR="00D61A67" w:rsidRDefault="006D6BA7">
      <w:pPr>
        <w:spacing w:after="0" w:line="240" w:lineRule="auto"/>
      </w:pPr>
      <w:r>
        <w:rPr>
          <w:rFonts w:ascii="Arial" w:eastAsia="Arial" w:hAnsi="Arial" w:cs="Arial"/>
        </w:rPr>
        <w:t xml:space="preserve"> There is no set nu</w:t>
      </w:r>
      <w:r>
        <w:rPr>
          <w:rFonts w:ascii="Arial" w:eastAsia="Arial" w:hAnsi="Arial" w:cs="Arial"/>
        </w:rPr>
        <w:t>mber required, if you have one major one and it’s a good one that is fine!</w:t>
      </w:r>
    </w:p>
  </w:comment>
  <w:comment w:id="3" w:author="Childs, Lauren M. (LARC-E3)[DEVELOP]" w:date="2015-05-07T11:31:00Z" w:initials="">
    <w:p w14:paraId="27417C68" w14:textId="77777777" w:rsidR="00D61A67" w:rsidRDefault="006D6BA7">
      <w:pPr>
        <w:spacing w:after="0" w:line="240" w:lineRule="auto"/>
      </w:pPr>
      <w:r>
        <w:rPr>
          <w:rFonts w:ascii="Arial" w:eastAsia="Arial" w:hAnsi="Arial" w:cs="Arial"/>
        </w:rPr>
        <w:t>What did you do/create to address the issue?</w:t>
      </w:r>
    </w:p>
  </w:comment>
  <w:comment w:id="4" w:author="Childs, Lauren M. (LARC-E3)[DEVELOP]" w:date="2015-05-07T11:31:00Z" w:initials="">
    <w:p w14:paraId="164E5C9A" w14:textId="77777777" w:rsidR="00D61A67" w:rsidRDefault="006D6BA7">
      <w:pPr>
        <w:spacing w:after="0" w:line="240" w:lineRule="auto"/>
      </w:pPr>
      <w:r>
        <w:rPr>
          <w:rFonts w:ascii="Arial" w:eastAsia="Arial" w:hAnsi="Arial" w:cs="Arial"/>
        </w:rPr>
        <w:t>End-products: These are what your project created that will be given to the end-user to assist with making informed decisions (Ex</w:t>
      </w:r>
      <w:r>
        <w:rPr>
          <w:rFonts w:ascii="Arial" w:eastAsia="Arial" w:hAnsi="Arial" w:cs="Arial"/>
        </w:rPr>
        <w:t>. Risk maps, change detections, habitat loss calculations, etc.)</w:t>
      </w:r>
    </w:p>
    <w:p w14:paraId="574349F9" w14:textId="77777777" w:rsidR="00D61A67" w:rsidRDefault="006D6BA7">
      <w:pPr>
        <w:spacing w:after="0" w:line="240" w:lineRule="auto"/>
      </w:pPr>
      <w:r>
        <w:rPr>
          <w:rFonts w:ascii="Arial" w:eastAsia="Arial" w:hAnsi="Arial" w:cs="Arial"/>
        </w:rPr>
        <w:t>Tip: Refer to the original proposal for originally planned tools for reference.</w:t>
      </w:r>
    </w:p>
    <w:p w14:paraId="4B79C0FB" w14:textId="77777777" w:rsidR="00D61A67" w:rsidRDefault="00D61A67">
      <w:pPr>
        <w:spacing w:after="0" w:line="240" w:lineRule="auto"/>
      </w:pPr>
    </w:p>
    <w:p w14:paraId="18ED29C3" w14:textId="77777777" w:rsidR="00D61A67" w:rsidRDefault="006D6BA7">
      <w:pPr>
        <w:spacing w:after="0" w:line="240" w:lineRule="auto"/>
      </w:pPr>
      <w:r>
        <w:rPr>
          <w:rFonts w:ascii="Arial" w:eastAsia="Arial" w:hAnsi="Arial" w:cs="Arial"/>
        </w:rPr>
        <w:t>EO Used: What EO were used to derive these products?</w:t>
      </w:r>
    </w:p>
    <w:p w14:paraId="5D67E9BE" w14:textId="77777777" w:rsidR="00D61A67" w:rsidRDefault="00D61A67">
      <w:pPr>
        <w:spacing w:after="0" w:line="240" w:lineRule="auto"/>
      </w:pPr>
    </w:p>
    <w:p w14:paraId="767EF7EF" w14:textId="77777777" w:rsidR="00D61A67" w:rsidRDefault="006D6BA7">
      <w:pPr>
        <w:spacing w:after="0" w:line="240" w:lineRule="auto"/>
      </w:pPr>
      <w:r>
        <w:rPr>
          <w:rFonts w:ascii="Arial" w:eastAsia="Arial" w:hAnsi="Arial" w:cs="Arial"/>
        </w:rPr>
        <w:t>Benefit: What is the actual/potential benefit to the end-user – how can this end-product improve their decision making process?</w:t>
      </w:r>
    </w:p>
  </w:comment>
  <w:comment w:id="6" w:author="Childs, Lauren M. (LARC-E3)[DEVELOP]" w:date="2015-05-07T11:21:00Z" w:initials="">
    <w:p w14:paraId="7FFA8AD3" w14:textId="77777777" w:rsidR="00D61A67" w:rsidRDefault="006D6BA7">
      <w:pPr>
        <w:spacing w:after="0" w:line="240" w:lineRule="auto"/>
      </w:pPr>
      <w:r>
        <w:rPr>
          <w:rFonts w:ascii="Arial" w:eastAsia="Arial" w:hAnsi="Arial" w:cs="Arial"/>
        </w:rPr>
        <w:t>Only submit an image in the final draft. Do not submit an image in the rough draft.</w:t>
      </w:r>
    </w:p>
    <w:p w14:paraId="49ACBC5C" w14:textId="77777777" w:rsidR="00D61A67" w:rsidRDefault="00D61A67">
      <w:pPr>
        <w:spacing w:after="0" w:line="240" w:lineRule="auto"/>
      </w:pPr>
    </w:p>
    <w:p w14:paraId="02C2EB12" w14:textId="77777777" w:rsidR="00D61A67" w:rsidRDefault="006D6BA7">
      <w:pPr>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w:t>
      </w:r>
      <w:r>
        <w:rPr>
          <w:rFonts w:ascii="Arial" w:eastAsia="Arial" w:hAnsi="Arial" w:cs="Arial"/>
        </w:rPr>
        <w:t>Q Showcase and summer booklet. It needs to be an image of processed data (processed by the team and not from any outside source) and include NASA Earth observations. No photographs. 300 dpi minimum.</w:t>
      </w:r>
    </w:p>
    <w:p w14:paraId="0AC0B642" w14:textId="77777777" w:rsidR="00D61A67" w:rsidRDefault="00D61A67">
      <w:pPr>
        <w:spacing w:after="0" w:line="240" w:lineRule="auto"/>
      </w:pPr>
    </w:p>
    <w:p w14:paraId="1E1CB59B" w14:textId="77777777" w:rsidR="00D61A67" w:rsidRDefault="006D6BA7">
      <w:pPr>
        <w:spacing w:after="0" w:line="240" w:lineRule="auto"/>
      </w:pPr>
      <w:r>
        <w:rPr>
          <w:rFonts w:ascii="Arial" w:eastAsia="Arial" w:hAnsi="Arial" w:cs="Arial"/>
        </w:rPr>
        <w:t>How to check dpi on a PC - right click on the image file</w:t>
      </w:r>
      <w:r>
        <w:rPr>
          <w:rFonts w:ascii="Arial" w:eastAsia="Arial" w:hAnsi="Arial" w:cs="Arial"/>
        </w:rPr>
        <w:t>, go to Properties, and click on the Details tab. The dpi should be listed there.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355783" w15:done="0"/>
  <w15:commentEx w15:paraId="7B05C41D" w15:done="0"/>
  <w15:commentEx w15:paraId="27417C68" w15:done="0"/>
  <w15:commentEx w15:paraId="767EF7EF" w15:done="0"/>
  <w15:commentEx w15:paraId="1E1CB5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B945" w14:textId="77777777" w:rsidR="006D6BA7" w:rsidRDefault="006D6BA7">
      <w:pPr>
        <w:spacing w:after="0" w:line="240" w:lineRule="auto"/>
      </w:pPr>
      <w:r>
        <w:separator/>
      </w:r>
    </w:p>
  </w:endnote>
  <w:endnote w:type="continuationSeparator" w:id="0">
    <w:p w14:paraId="1469481B" w14:textId="77777777" w:rsidR="006D6BA7" w:rsidRDefault="006D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B502" w14:textId="77777777" w:rsidR="00D61A67" w:rsidRDefault="006D6BA7">
    <w:pPr>
      <w:tabs>
        <w:tab w:val="center" w:pos="4680"/>
        <w:tab w:val="right" w:pos="9360"/>
      </w:tabs>
      <w:spacing w:after="720"/>
      <w:jc w:val="center"/>
    </w:pPr>
    <w:r>
      <w:rPr>
        <w:noProof/>
      </w:rPr>
      <w:drawing>
        <wp:inline distT="0" distB="0" distL="0" distR="0" wp14:anchorId="1E9D1EEA" wp14:editId="0CB7C1A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70DA" w14:textId="77777777" w:rsidR="006D6BA7" w:rsidRDefault="006D6BA7">
      <w:pPr>
        <w:spacing w:after="0" w:line="240" w:lineRule="auto"/>
      </w:pPr>
      <w:r>
        <w:separator/>
      </w:r>
    </w:p>
  </w:footnote>
  <w:footnote w:type="continuationSeparator" w:id="0">
    <w:p w14:paraId="1EC74CCB" w14:textId="77777777" w:rsidR="006D6BA7" w:rsidRDefault="006D6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9597C"/>
    <w:multiLevelType w:val="multilevel"/>
    <w:tmpl w:val="529EE0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C2C6819"/>
    <w:multiLevelType w:val="multilevel"/>
    <w:tmpl w:val="8344603C"/>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7"/>
    <w:rsid w:val="006D6BA7"/>
    <w:rsid w:val="00A81CBF"/>
    <w:rsid w:val="00D6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C473"/>
  <w15:docId w15:val="{AFD0DCDC-4C70-42B7-84A6-A4A6F7D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1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tuyvesant@bren.ucsb.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Baghel, Emma S. (LARC-E3)[SSAI DEVELOP]</dc:creator>
  <cp:lastModifiedBy>Baghel, Emma S. (LARC-E3)[SSAI DEVELOP]</cp:lastModifiedBy>
  <cp:revision>2</cp:revision>
  <dcterms:created xsi:type="dcterms:W3CDTF">2015-06-10T17:00:00Z</dcterms:created>
  <dcterms:modified xsi:type="dcterms:W3CDTF">2015-06-10T17:00:00Z</dcterms:modified>
</cp:coreProperties>
</file>