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05CEF" w14:textId="77777777" w:rsidR="00C82473" w:rsidRDefault="007B73F9">
      <w:pPr>
        <w:rPr>
          <w:b/>
          <w:sz w:val="28"/>
        </w:rPr>
      </w:pPr>
      <w:bookmarkStart w:id="0" w:name="_GoBack"/>
      <w:bookmarkEnd w:id="0"/>
      <w:r>
        <w:rPr>
          <w:b/>
          <w:sz w:val="28"/>
        </w:rPr>
        <w:t>NASA DEVELOP National Program</w:t>
      </w:r>
    </w:p>
    <w:p w14:paraId="5BBA164A" w14:textId="299C71A8" w:rsidR="007B73F9" w:rsidRPr="00A44DD0" w:rsidRDefault="008D7444">
      <w:pPr>
        <w:rPr>
          <w:b/>
          <w:sz w:val="24"/>
        </w:rPr>
      </w:pPr>
      <w:r>
        <w:rPr>
          <w:b/>
          <w:sz w:val="24"/>
        </w:rPr>
        <w:t>2019</w:t>
      </w:r>
      <w:r w:rsidR="00BB1A3F">
        <w:rPr>
          <w:b/>
          <w:sz w:val="24"/>
        </w:rPr>
        <w:t xml:space="preserve"> </w:t>
      </w:r>
      <w:r w:rsidR="00936A45">
        <w:rPr>
          <w:b/>
          <w:sz w:val="24"/>
        </w:rPr>
        <w:t>Summer</w:t>
      </w:r>
      <w:r w:rsidR="007B73F9" w:rsidRPr="00A44DD0">
        <w:rPr>
          <w:b/>
          <w:sz w:val="24"/>
        </w:rPr>
        <w:t xml:space="preserve"> Project Proposal</w:t>
      </w:r>
    </w:p>
    <w:p w14:paraId="0CF5EA14" w14:textId="77777777" w:rsidR="00A44DD0" w:rsidRDefault="00A44DD0" w:rsidP="00A44DD0">
      <w:pPr>
        <w:rPr>
          <w:b/>
          <w:sz w:val="24"/>
        </w:rPr>
      </w:pPr>
    </w:p>
    <w:p w14:paraId="5121C8E5" w14:textId="45CB6033" w:rsidR="00A44DD0" w:rsidRPr="008B3821" w:rsidRDefault="00544C88" w:rsidP="00A44DD0">
      <w:pPr>
        <w:rPr>
          <w:b/>
          <w:szCs w:val="20"/>
        </w:rPr>
      </w:pPr>
      <w:r>
        <w:rPr>
          <w:b/>
          <w:szCs w:val="20"/>
        </w:rPr>
        <w:t>Virginia –</w:t>
      </w:r>
      <w:r w:rsidR="006452A4" w:rsidRPr="008B3821">
        <w:rPr>
          <w:b/>
          <w:szCs w:val="20"/>
        </w:rPr>
        <w:t xml:space="preserve"> Langley</w:t>
      </w:r>
      <w:r>
        <w:rPr>
          <w:b/>
          <w:szCs w:val="20"/>
        </w:rPr>
        <w:t xml:space="preserve"> </w:t>
      </w:r>
    </w:p>
    <w:p w14:paraId="7441A918" w14:textId="11F9B22D" w:rsidR="00D147F3" w:rsidRPr="008B3821" w:rsidRDefault="00D147F3" w:rsidP="00D147F3">
      <w:pPr>
        <w:rPr>
          <w:b/>
          <w:sz w:val="20"/>
          <w:szCs w:val="20"/>
        </w:rPr>
      </w:pPr>
      <w:r>
        <w:rPr>
          <w:b/>
          <w:sz w:val="20"/>
          <w:szCs w:val="20"/>
        </w:rPr>
        <w:t xml:space="preserve">Hampton </w:t>
      </w:r>
      <w:r w:rsidR="009D417B">
        <w:rPr>
          <w:b/>
          <w:sz w:val="20"/>
          <w:szCs w:val="20"/>
        </w:rPr>
        <w:t xml:space="preserve">Roads </w:t>
      </w:r>
      <w:r>
        <w:rPr>
          <w:b/>
          <w:sz w:val="20"/>
          <w:szCs w:val="20"/>
        </w:rPr>
        <w:t>Urban Development</w:t>
      </w:r>
      <w:r w:rsidR="00C26CDC">
        <w:rPr>
          <w:b/>
          <w:sz w:val="20"/>
          <w:szCs w:val="20"/>
        </w:rPr>
        <w:t xml:space="preserve"> II</w:t>
      </w:r>
    </w:p>
    <w:p w14:paraId="5B7B00A4" w14:textId="3B322465" w:rsidR="007B73F9" w:rsidRPr="008B3821" w:rsidRDefault="0086051E">
      <w:pPr>
        <w:rPr>
          <w:i/>
          <w:sz w:val="20"/>
          <w:szCs w:val="20"/>
        </w:rPr>
      </w:pPr>
      <w:r>
        <w:rPr>
          <w:i/>
          <w:sz w:val="20"/>
          <w:szCs w:val="20"/>
        </w:rPr>
        <w:t xml:space="preserve">Assessing </w:t>
      </w:r>
      <w:r w:rsidR="0042112A">
        <w:rPr>
          <w:i/>
          <w:sz w:val="20"/>
          <w:szCs w:val="20"/>
        </w:rPr>
        <w:t>Urban Tree Canopy and Impervious Surface Distribution to Inform Urban Planning</w:t>
      </w:r>
      <w:r w:rsidR="00FC5AA3">
        <w:rPr>
          <w:i/>
          <w:sz w:val="20"/>
          <w:szCs w:val="20"/>
        </w:rPr>
        <w:t xml:space="preserve"> in Hampton, V</w:t>
      </w:r>
      <w:r w:rsidR="00EF1593">
        <w:rPr>
          <w:i/>
          <w:sz w:val="20"/>
          <w:szCs w:val="20"/>
        </w:rPr>
        <w:t>irginia</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5C5116FA" w14:textId="3BD747A5" w:rsidR="0042112A" w:rsidRDefault="008B3821" w:rsidP="0042112A">
      <w:pPr>
        <w:rPr>
          <w:rFonts w:ascii="Garamond" w:hAnsi="Garamond"/>
        </w:rPr>
      </w:pPr>
      <w:r w:rsidRPr="00F268BE">
        <w:rPr>
          <w:b/>
          <w:i/>
          <w:sz w:val="20"/>
          <w:szCs w:val="20"/>
        </w:rPr>
        <w:t>Project Synopsis</w:t>
      </w:r>
      <w:r>
        <w:rPr>
          <w:b/>
          <w:sz w:val="20"/>
          <w:szCs w:val="20"/>
        </w:rPr>
        <w:t xml:space="preserve">: </w:t>
      </w:r>
      <w:r w:rsidR="0042112A" w:rsidRPr="005C6FC1">
        <w:rPr>
          <w:rFonts w:ascii="Garamond" w:hAnsi="Garamond"/>
        </w:rPr>
        <w:t>This</w:t>
      </w:r>
      <w:r w:rsidR="0042112A">
        <w:rPr>
          <w:rFonts w:ascii="Garamond" w:hAnsi="Garamond"/>
        </w:rPr>
        <w:t xml:space="preserve"> project will support the City of Hampton’s urban management </w:t>
      </w:r>
      <w:r w:rsidR="009E490D">
        <w:rPr>
          <w:rFonts w:ascii="Garamond" w:hAnsi="Garamond"/>
        </w:rPr>
        <w:t xml:space="preserve">initiatives </w:t>
      </w:r>
      <w:r w:rsidR="0042112A">
        <w:rPr>
          <w:rFonts w:ascii="Garamond" w:hAnsi="Garamond"/>
        </w:rPr>
        <w:t xml:space="preserve">through the application of Landsat and Sentinel data to assess urban tree canopy and impervious surface distribution. The project will create a series of tree canopy </w:t>
      </w:r>
      <w:r w:rsidR="00E46663">
        <w:rPr>
          <w:rFonts w:ascii="Garamond" w:hAnsi="Garamond"/>
        </w:rPr>
        <w:t xml:space="preserve">and impervious surface </w:t>
      </w:r>
      <w:r w:rsidR="0042112A">
        <w:rPr>
          <w:rFonts w:ascii="Garamond" w:hAnsi="Garamond"/>
        </w:rPr>
        <w:t xml:space="preserve">distribution maps for Hampton for select years from 2000 </w:t>
      </w:r>
      <w:r w:rsidR="00FC5AA3">
        <w:rPr>
          <w:rFonts w:ascii="Garamond" w:hAnsi="Garamond"/>
        </w:rPr>
        <w:t>to</w:t>
      </w:r>
      <w:r w:rsidR="0042112A">
        <w:rPr>
          <w:rFonts w:ascii="Garamond" w:hAnsi="Garamond"/>
        </w:rPr>
        <w:t xml:space="preserve"> 2019 </w:t>
      </w:r>
      <w:r w:rsidR="00561C87">
        <w:rPr>
          <w:rFonts w:ascii="Garamond" w:hAnsi="Garamond"/>
        </w:rPr>
        <w:t xml:space="preserve">that </w:t>
      </w:r>
      <w:proofErr w:type="gramStart"/>
      <w:r w:rsidR="00561C87">
        <w:rPr>
          <w:rFonts w:ascii="Garamond" w:hAnsi="Garamond"/>
        </w:rPr>
        <w:t>can be used</w:t>
      </w:r>
      <w:proofErr w:type="gramEnd"/>
      <w:r w:rsidR="00561C87">
        <w:rPr>
          <w:rFonts w:ascii="Garamond" w:hAnsi="Garamond"/>
        </w:rPr>
        <w:t xml:space="preserve"> to analyze </w:t>
      </w:r>
      <w:r w:rsidR="00A14C59">
        <w:rPr>
          <w:rFonts w:ascii="Garamond" w:hAnsi="Garamond"/>
        </w:rPr>
        <w:t xml:space="preserve">infiltration </w:t>
      </w:r>
      <w:r w:rsidR="00561C87">
        <w:rPr>
          <w:rFonts w:ascii="Garamond" w:hAnsi="Garamond"/>
        </w:rPr>
        <w:t>and inundation</w:t>
      </w:r>
      <w:r w:rsidR="009D7AFD">
        <w:rPr>
          <w:rFonts w:ascii="Garamond" w:hAnsi="Garamond"/>
        </w:rPr>
        <w:t xml:space="preserve"> in </w:t>
      </w:r>
      <w:r w:rsidR="007C4617">
        <w:rPr>
          <w:rFonts w:ascii="Garamond" w:hAnsi="Garamond"/>
        </w:rPr>
        <w:t>the</w:t>
      </w:r>
      <w:r w:rsidR="009D7AFD">
        <w:rPr>
          <w:rFonts w:ascii="Garamond" w:hAnsi="Garamond"/>
        </w:rPr>
        <w:t xml:space="preserve"> urban environment.</w:t>
      </w:r>
      <w:r w:rsidR="00AE0DA9">
        <w:rPr>
          <w:rFonts w:ascii="Garamond" w:hAnsi="Garamond"/>
        </w:rPr>
        <w:t xml:space="preserve"> </w:t>
      </w:r>
      <w:r w:rsidR="0042112A">
        <w:rPr>
          <w:rFonts w:ascii="Garamond" w:hAnsi="Garamond"/>
        </w:rPr>
        <w:t xml:space="preserve">These products will support the City of Hampton’s management </w:t>
      </w:r>
      <w:r w:rsidR="00E668C4">
        <w:rPr>
          <w:rFonts w:ascii="Garamond" w:hAnsi="Garamond"/>
        </w:rPr>
        <w:t>strategies, which</w:t>
      </w:r>
      <w:r w:rsidR="0042112A">
        <w:rPr>
          <w:rFonts w:ascii="Garamond" w:hAnsi="Garamond"/>
        </w:rPr>
        <w:t xml:space="preserve"> prioritize</w:t>
      </w:r>
      <w:r w:rsidR="00E668C4">
        <w:rPr>
          <w:rFonts w:ascii="Garamond" w:hAnsi="Garamond"/>
        </w:rPr>
        <w:t xml:space="preserve"> nature-based solutions to help </w:t>
      </w:r>
      <w:r w:rsidR="001F45A3">
        <w:rPr>
          <w:rFonts w:ascii="Garamond" w:hAnsi="Garamond"/>
        </w:rPr>
        <w:t>the community build environmental resilience</w:t>
      </w:r>
      <w:r w:rsidR="0042112A">
        <w:rPr>
          <w:rFonts w:ascii="Garamond" w:hAnsi="Garamond"/>
        </w:rPr>
        <w:t>.</w:t>
      </w:r>
    </w:p>
    <w:p w14:paraId="1E7BF85A" w14:textId="2C12FC24" w:rsidR="008B3821" w:rsidRPr="00936A45" w:rsidRDefault="008B3821" w:rsidP="008B3821">
      <w:pPr>
        <w:rPr>
          <w:b/>
        </w:rPr>
      </w:pPr>
    </w:p>
    <w:p w14:paraId="61B4ADB8" w14:textId="4DACDE31" w:rsidR="00353F4B" w:rsidRPr="00EC3694" w:rsidRDefault="00353F4B" w:rsidP="008B3821">
      <w:pPr>
        <w:rPr>
          <w:sz w:val="20"/>
          <w:szCs w:val="20"/>
        </w:rPr>
      </w:pPr>
      <w:r w:rsidRPr="00EC3694">
        <w:rPr>
          <w:b/>
          <w:i/>
          <w:sz w:val="20"/>
          <w:szCs w:val="20"/>
        </w:rPr>
        <w:t>Community Concern:</w:t>
      </w:r>
      <w:r w:rsidRPr="00EC3694">
        <w:rPr>
          <w:sz w:val="20"/>
          <w:szCs w:val="20"/>
        </w:rPr>
        <w:t xml:space="preserve"> </w:t>
      </w:r>
      <w:r w:rsidR="00AE0DA9">
        <w:rPr>
          <w:rFonts w:ascii="Garamond" w:hAnsi="Garamond"/>
        </w:rPr>
        <w:t xml:space="preserve">The City of Hampton is </w:t>
      </w:r>
      <w:r w:rsidR="00E668C4">
        <w:rPr>
          <w:rFonts w:ascii="Garamond" w:hAnsi="Garamond"/>
        </w:rPr>
        <w:t>a low-lying coastal community situated near the mouth of the Chesapeake Bay</w:t>
      </w:r>
      <w:r w:rsidR="00975FF7">
        <w:rPr>
          <w:rFonts w:ascii="Garamond" w:hAnsi="Garamond"/>
        </w:rPr>
        <w:t xml:space="preserve"> in Virginia</w:t>
      </w:r>
      <w:r w:rsidR="00E668C4">
        <w:rPr>
          <w:rFonts w:ascii="Garamond" w:hAnsi="Garamond"/>
        </w:rPr>
        <w:t xml:space="preserve">. </w:t>
      </w:r>
      <w:r w:rsidR="00381572">
        <w:rPr>
          <w:rFonts w:ascii="Garamond" w:hAnsi="Garamond"/>
        </w:rPr>
        <w:t>Hampton city officials</w:t>
      </w:r>
      <w:r w:rsidR="00E668C4">
        <w:rPr>
          <w:rFonts w:ascii="Garamond" w:hAnsi="Garamond"/>
        </w:rPr>
        <w:t xml:space="preserve"> </w:t>
      </w:r>
      <w:proofErr w:type="gramStart"/>
      <w:r w:rsidR="00E668C4">
        <w:rPr>
          <w:rFonts w:ascii="Garamond" w:hAnsi="Garamond"/>
        </w:rPr>
        <w:t>are focused</w:t>
      </w:r>
      <w:proofErr w:type="gramEnd"/>
      <w:r w:rsidR="00E668C4">
        <w:rPr>
          <w:rFonts w:ascii="Garamond" w:hAnsi="Garamond"/>
        </w:rPr>
        <w:t xml:space="preserve"> on managing their landscape in ways that</w:t>
      </w:r>
      <w:r w:rsidR="00381572">
        <w:rPr>
          <w:rFonts w:ascii="Garamond" w:hAnsi="Garamond"/>
        </w:rPr>
        <w:t xml:space="preserve"> make their local environment safer and more resilient to the effects of extreme weather. One aspect of that is to design urban landscapes that slow, store, and divert water during high flow events, thus limiting flooding and infrastructure damage. Green infrastructure and urban forestry initiatives can help accomplish that</w:t>
      </w:r>
      <w:r w:rsidR="001F45A3">
        <w:rPr>
          <w:rFonts w:ascii="Garamond" w:hAnsi="Garamond"/>
        </w:rPr>
        <w:t xml:space="preserve"> objective</w:t>
      </w:r>
      <w:r w:rsidR="00381572">
        <w:rPr>
          <w:rFonts w:ascii="Garamond" w:hAnsi="Garamond"/>
        </w:rPr>
        <w:t>; however, impervious surfaces (e.g. concrete, cement, metal) facil</w:t>
      </w:r>
      <w:r w:rsidR="001F45A3">
        <w:rPr>
          <w:rFonts w:ascii="Garamond" w:hAnsi="Garamond"/>
        </w:rPr>
        <w:t>itate the flow of water over</w:t>
      </w:r>
      <w:r w:rsidR="00381572">
        <w:rPr>
          <w:rFonts w:ascii="Garamond" w:hAnsi="Garamond"/>
        </w:rPr>
        <w:t xml:space="preserve"> land surface</w:t>
      </w:r>
      <w:r w:rsidR="001F45A3">
        <w:rPr>
          <w:rFonts w:ascii="Garamond" w:hAnsi="Garamond"/>
        </w:rPr>
        <w:t>s</w:t>
      </w:r>
      <w:r w:rsidR="00381572">
        <w:rPr>
          <w:rFonts w:ascii="Garamond" w:hAnsi="Garamond"/>
        </w:rPr>
        <w:t xml:space="preserve"> and prevent infiltration. This project will quantify the distribution of impervious surfaces</w:t>
      </w:r>
      <w:r w:rsidR="001F45A3">
        <w:rPr>
          <w:rFonts w:ascii="Garamond" w:hAnsi="Garamond"/>
        </w:rPr>
        <w:t xml:space="preserve"> and urban tree canopies within the City of Hampton to help city </w:t>
      </w:r>
      <w:r w:rsidR="001D3314">
        <w:rPr>
          <w:rFonts w:ascii="Garamond" w:hAnsi="Garamond"/>
        </w:rPr>
        <w:t>staff</w:t>
      </w:r>
      <w:r w:rsidR="001F45A3">
        <w:rPr>
          <w:rFonts w:ascii="Garamond" w:hAnsi="Garamond"/>
        </w:rPr>
        <w:t xml:space="preserve"> integrate spatial data into their decision making.  </w:t>
      </w:r>
    </w:p>
    <w:p w14:paraId="6B794CB9" w14:textId="77777777" w:rsidR="00353F4B" w:rsidRPr="00936A45" w:rsidRDefault="00353F4B" w:rsidP="008B3821">
      <w:pPr>
        <w:rPr>
          <w:b/>
        </w:rPr>
      </w:pPr>
    </w:p>
    <w:p w14:paraId="14F3574F" w14:textId="60DAD994" w:rsidR="008B3821" w:rsidRPr="00EC3694" w:rsidRDefault="008B3821" w:rsidP="008B3821">
      <w:pPr>
        <w:rPr>
          <w:sz w:val="20"/>
          <w:szCs w:val="20"/>
        </w:rPr>
      </w:pPr>
      <w:r w:rsidRPr="00EC3694">
        <w:rPr>
          <w:b/>
          <w:i/>
          <w:sz w:val="20"/>
          <w:szCs w:val="20"/>
        </w:rPr>
        <w:t>Source of Project Idea</w:t>
      </w:r>
      <w:r w:rsidR="00D76994" w:rsidRPr="00EC3694">
        <w:rPr>
          <w:b/>
          <w:i/>
          <w:sz w:val="20"/>
          <w:szCs w:val="20"/>
        </w:rPr>
        <w:t>:</w:t>
      </w:r>
      <w:r w:rsidR="001F45A3">
        <w:rPr>
          <w:rFonts w:ascii="Garamond" w:hAnsi="Garamond"/>
        </w:rPr>
        <w:t xml:space="preserve"> T</w:t>
      </w:r>
      <w:r w:rsidR="00FC5AA3">
        <w:rPr>
          <w:rFonts w:ascii="Garamond" w:hAnsi="Garamond"/>
        </w:rPr>
        <w:t>his</w:t>
      </w:r>
      <w:r w:rsidR="001F45A3">
        <w:rPr>
          <w:rFonts w:ascii="Garamond" w:hAnsi="Garamond"/>
        </w:rPr>
        <w:t xml:space="preserve"> project </w:t>
      </w:r>
      <w:r w:rsidR="001D3314">
        <w:rPr>
          <w:rFonts w:ascii="Garamond" w:hAnsi="Garamond"/>
        </w:rPr>
        <w:t xml:space="preserve">builds on </w:t>
      </w:r>
      <w:r w:rsidR="00E46663">
        <w:rPr>
          <w:rFonts w:ascii="Garamond" w:hAnsi="Garamond"/>
        </w:rPr>
        <w:t xml:space="preserve">a DEVELOP project conduced in the fall 2018 term </w:t>
      </w:r>
      <w:r w:rsidR="001D3314">
        <w:rPr>
          <w:rFonts w:ascii="Garamond" w:hAnsi="Garamond"/>
        </w:rPr>
        <w:t xml:space="preserve">and </w:t>
      </w:r>
      <w:r w:rsidR="001F45A3">
        <w:rPr>
          <w:rFonts w:ascii="Garamond" w:hAnsi="Garamond"/>
        </w:rPr>
        <w:t xml:space="preserve">was formulated </w:t>
      </w:r>
      <w:r w:rsidR="001D3314">
        <w:rPr>
          <w:rFonts w:ascii="Garamond" w:hAnsi="Garamond"/>
        </w:rPr>
        <w:t>through</w:t>
      </w:r>
      <w:r w:rsidR="001F45A3">
        <w:rPr>
          <w:rFonts w:ascii="Garamond" w:hAnsi="Garamond"/>
        </w:rPr>
        <w:t xml:space="preserve"> conversations between </w:t>
      </w:r>
      <w:r w:rsidR="00E46663">
        <w:rPr>
          <w:rFonts w:ascii="Garamond" w:hAnsi="Garamond"/>
        </w:rPr>
        <w:t>C</w:t>
      </w:r>
      <w:r w:rsidR="001F45A3">
        <w:rPr>
          <w:rFonts w:ascii="Garamond" w:hAnsi="Garamond"/>
        </w:rPr>
        <w:t xml:space="preserve">ity </w:t>
      </w:r>
      <w:r w:rsidR="00E46663">
        <w:rPr>
          <w:rFonts w:ascii="Garamond" w:hAnsi="Garamond"/>
        </w:rPr>
        <w:t xml:space="preserve">of Hampton </w:t>
      </w:r>
      <w:r w:rsidR="00F310B1">
        <w:rPr>
          <w:rFonts w:ascii="Garamond" w:hAnsi="Garamond"/>
        </w:rPr>
        <w:t>officials</w:t>
      </w:r>
      <w:r w:rsidR="001F45A3">
        <w:rPr>
          <w:rFonts w:ascii="Garamond" w:hAnsi="Garamond"/>
        </w:rPr>
        <w:t xml:space="preserve"> and the </w:t>
      </w:r>
      <w:proofErr w:type="spellStart"/>
      <w:r w:rsidR="001F45A3">
        <w:rPr>
          <w:rFonts w:ascii="Garamond" w:hAnsi="Garamond"/>
        </w:rPr>
        <w:t>LaRC</w:t>
      </w:r>
      <w:proofErr w:type="spellEnd"/>
      <w:r w:rsidR="001F45A3">
        <w:rPr>
          <w:rFonts w:ascii="Garamond" w:hAnsi="Garamond"/>
        </w:rPr>
        <w:t xml:space="preserve"> Center Lead. This is a particularly apt collaboration because DEVELOP’s National Program Office and Langley Research Center node are both locate</w:t>
      </w:r>
      <w:r w:rsidR="00FC5AA3">
        <w:rPr>
          <w:rFonts w:ascii="Garamond" w:hAnsi="Garamond"/>
        </w:rPr>
        <w:t>d</w:t>
      </w:r>
      <w:r w:rsidR="001F45A3">
        <w:rPr>
          <w:rFonts w:ascii="Garamond" w:hAnsi="Garamond"/>
        </w:rPr>
        <w:t xml:space="preserve"> within the City of Hampton. </w:t>
      </w:r>
    </w:p>
    <w:p w14:paraId="56693788" w14:textId="77777777" w:rsidR="008B3821" w:rsidRPr="00936A45" w:rsidRDefault="008B3821" w:rsidP="00276572">
      <w:pPr>
        <w:rPr>
          <w:b/>
        </w:rPr>
      </w:pPr>
    </w:p>
    <w:p w14:paraId="1D844156" w14:textId="7C2EB718" w:rsidR="00276572" w:rsidRPr="00EC3694" w:rsidRDefault="004F57AF" w:rsidP="00DC6974">
      <w:pPr>
        <w:ind w:left="720" w:hanging="720"/>
        <w:rPr>
          <w:sz w:val="20"/>
          <w:szCs w:val="20"/>
        </w:rPr>
      </w:pPr>
      <w:r>
        <w:rPr>
          <w:b/>
          <w:i/>
          <w:sz w:val="20"/>
          <w:szCs w:val="20"/>
        </w:rPr>
        <w:t>National Application Areas</w:t>
      </w:r>
      <w:r w:rsidR="00276572" w:rsidRPr="00EC3694">
        <w:rPr>
          <w:b/>
          <w:i/>
          <w:sz w:val="20"/>
          <w:szCs w:val="20"/>
        </w:rPr>
        <w:t xml:space="preserve"> Addressed:</w:t>
      </w:r>
      <w:r w:rsidR="00276572" w:rsidRPr="00EC3694">
        <w:rPr>
          <w:sz w:val="20"/>
          <w:szCs w:val="20"/>
        </w:rPr>
        <w:t xml:space="preserve"> </w:t>
      </w:r>
      <w:r w:rsidRPr="00EE26B8">
        <w:rPr>
          <w:rFonts w:ascii="Garamond" w:hAnsi="Garamond"/>
        </w:rPr>
        <w:t xml:space="preserve">Urban Development, </w:t>
      </w:r>
      <w:r>
        <w:rPr>
          <w:rFonts w:ascii="Garamond" w:hAnsi="Garamond"/>
        </w:rPr>
        <w:t>Water Resources</w:t>
      </w:r>
      <w:r w:rsidRPr="00EE26B8">
        <w:rPr>
          <w:rFonts w:ascii="Garamond" w:hAnsi="Garamond"/>
        </w:rPr>
        <w:t>, Disasters</w:t>
      </w:r>
    </w:p>
    <w:p w14:paraId="75CB4D6A" w14:textId="7F65AA80"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F310B1">
        <w:rPr>
          <w:rFonts w:ascii="Garamond" w:hAnsi="Garamond"/>
        </w:rPr>
        <w:t xml:space="preserve">Hampton, VA </w:t>
      </w:r>
    </w:p>
    <w:p w14:paraId="0C393C51" w14:textId="7E2372D5" w:rsidR="00916099" w:rsidRPr="00EC3694" w:rsidRDefault="00276572" w:rsidP="00DC6974">
      <w:pPr>
        <w:ind w:left="720" w:hanging="720"/>
        <w:rPr>
          <w:rFonts w:ascii="Garamond" w:hAnsi="Garamond"/>
        </w:rPr>
      </w:pPr>
      <w:r w:rsidRPr="00EC3694">
        <w:rPr>
          <w:b/>
          <w:i/>
          <w:sz w:val="20"/>
          <w:szCs w:val="20"/>
        </w:rPr>
        <w:t>Study Period:</w:t>
      </w:r>
      <w:r w:rsidRPr="00EC3694">
        <w:rPr>
          <w:b/>
          <w:sz w:val="20"/>
          <w:szCs w:val="20"/>
        </w:rPr>
        <w:t xml:space="preserve"> </w:t>
      </w:r>
      <w:r w:rsidR="00F310B1">
        <w:rPr>
          <w:rFonts w:ascii="Garamond" w:hAnsi="Garamond"/>
        </w:rPr>
        <w:t>January 2000</w:t>
      </w:r>
      <w:r w:rsidRPr="00EC3694">
        <w:rPr>
          <w:rFonts w:ascii="Garamond" w:hAnsi="Garamond"/>
        </w:rPr>
        <w:t xml:space="preserve"> </w:t>
      </w:r>
      <w:r w:rsidR="00916099" w:rsidRPr="00EC3694">
        <w:rPr>
          <w:rFonts w:ascii="Garamond" w:hAnsi="Garamond"/>
        </w:rPr>
        <w:t xml:space="preserve">– </w:t>
      </w:r>
      <w:r w:rsidR="00F310B1">
        <w:rPr>
          <w:rFonts w:ascii="Garamond" w:hAnsi="Garamond"/>
        </w:rPr>
        <w:t>June 2019</w:t>
      </w:r>
    </w:p>
    <w:p w14:paraId="462EE0EA" w14:textId="77777777" w:rsidR="00276572" w:rsidRPr="00936A45" w:rsidRDefault="00276572" w:rsidP="00276572">
      <w:pPr>
        <w:rPr>
          <w:b/>
        </w:rPr>
      </w:pPr>
    </w:p>
    <w:p w14:paraId="6FCF895F" w14:textId="0920D693" w:rsidR="00272CD9" w:rsidRDefault="0076465D" w:rsidP="00D12F5B">
      <w:pPr>
        <w:rPr>
          <w:rFonts w:ascii="Garamond" w:hAnsi="Garamond"/>
        </w:rPr>
      </w:pPr>
      <w:r>
        <w:rPr>
          <w:b/>
          <w:i/>
          <w:sz w:val="20"/>
          <w:szCs w:val="20"/>
        </w:rPr>
        <w:t>Advisor</w:t>
      </w:r>
      <w:r w:rsidR="00276572" w:rsidRPr="00EC3694">
        <w:rPr>
          <w:b/>
          <w:i/>
          <w:sz w:val="20"/>
          <w:szCs w:val="20"/>
        </w:rPr>
        <w:t>:</w:t>
      </w:r>
      <w:r w:rsidR="00276572" w:rsidRPr="00EC3694">
        <w:rPr>
          <w:sz w:val="20"/>
          <w:szCs w:val="20"/>
        </w:rPr>
        <w:t xml:space="preserve"> </w:t>
      </w:r>
      <w:r w:rsidR="00AE0DA9" w:rsidRPr="00EE26B8">
        <w:rPr>
          <w:rFonts w:ascii="Garamond" w:hAnsi="Garamond"/>
        </w:rPr>
        <w:t>Dr. Kent</w:t>
      </w:r>
      <w:r w:rsidR="00AE0DA9">
        <w:rPr>
          <w:rFonts w:ascii="Garamond" w:hAnsi="Garamond"/>
        </w:rPr>
        <w:t>on</w:t>
      </w:r>
      <w:r w:rsidR="00AE0DA9" w:rsidRPr="00EE26B8">
        <w:rPr>
          <w:rFonts w:ascii="Garamond" w:hAnsi="Garamond"/>
        </w:rPr>
        <w:t xml:space="preserve"> Ross (NASA Langley Research Center)</w:t>
      </w:r>
    </w:p>
    <w:p w14:paraId="066463EB" w14:textId="77777777" w:rsidR="00AE0DA9" w:rsidRPr="00936A45" w:rsidRDefault="00AE0DA9" w:rsidP="00D12F5B">
      <w:pPr>
        <w:rPr>
          <w:b/>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10296085"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w:t>
      </w:r>
      <w:r w:rsidR="00D12F5B" w:rsidRPr="00EC3694">
        <w:rPr>
          <w:b/>
          <w:i/>
          <w:sz w:val="20"/>
          <w:szCs w:val="20"/>
        </w:rPr>
        <w:t>:</w:t>
      </w:r>
    </w:p>
    <w:tbl>
      <w:tblPr>
        <w:tblStyle w:val="TableGrid"/>
        <w:tblW w:w="9360" w:type="dxa"/>
        <w:tblInd w:w="-5" w:type="dxa"/>
        <w:tblLayout w:type="fixed"/>
        <w:tblLook w:val="04A0" w:firstRow="1" w:lastRow="0" w:firstColumn="1" w:lastColumn="0" w:noHBand="0" w:noVBand="1"/>
      </w:tblPr>
      <w:tblGrid>
        <w:gridCol w:w="3240"/>
        <w:gridCol w:w="3456"/>
        <w:gridCol w:w="1584"/>
        <w:gridCol w:w="1080"/>
      </w:tblGrid>
      <w:tr w:rsidR="00636FAE" w:rsidRPr="00EC3694" w14:paraId="4EEA7B0E" w14:textId="77777777" w:rsidTr="00936A45">
        <w:tc>
          <w:tcPr>
            <w:tcW w:w="324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456" w:type="dxa"/>
            <w:shd w:val="clear" w:color="auto" w:fill="31849B" w:themeFill="accent5" w:themeFillShade="BF"/>
            <w:vAlign w:val="center"/>
          </w:tcPr>
          <w:p w14:paraId="358B03BC" w14:textId="5F0440A7" w:rsidR="006804AC" w:rsidRPr="00EC3694" w:rsidRDefault="006804AC" w:rsidP="00A44DD0">
            <w:pPr>
              <w:rPr>
                <w:b/>
                <w:color w:val="FFFFFF" w:themeColor="background1"/>
                <w:szCs w:val="20"/>
              </w:rPr>
            </w:pPr>
            <w:r w:rsidRPr="00EC3694">
              <w:rPr>
                <w:b/>
                <w:color w:val="FFFFFF" w:themeColor="background1"/>
                <w:szCs w:val="20"/>
              </w:rPr>
              <w:t>POC</w:t>
            </w:r>
            <w:r w:rsidR="004F57AF">
              <w:rPr>
                <w:b/>
                <w:color w:val="FFFFFF" w:themeColor="background1"/>
                <w:szCs w:val="20"/>
              </w:rPr>
              <w:t>s</w:t>
            </w:r>
            <w:r w:rsidRPr="00EC3694">
              <w:rPr>
                <w:b/>
                <w:color w:val="FFFFFF" w:themeColor="background1"/>
                <w:szCs w:val="20"/>
              </w:rPr>
              <w:t xml:space="preserve"> (Name, Position/Title)</w:t>
            </w:r>
          </w:p>
        </w:tc>
        <w:tc>
          <w:tcPr>
            <w:tcW w:w="1584"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42112A" w:rsidRPr="00EC3694" w14:paraId="5D470CD2" w14:textId="77777777" w:rsidTr="00936A45">
        <w:tc>
          <w:tcPr>
            <w:tcW w:w="3240" w:type="dxa"/>
          </w:tcPr>
          <w:p w14:paraId="147FACB8" w14:textId="7521C029" w:rsidR="0042112A" w:rsidRPr="008A4B10" w:rsidRDefault="0042112A" w:rsidP="0042112A">
            <w:pPr>
              <w:rPr>
                <w:rFonts w:ascii="Garamond" w:hAnsi="Garamond"/>
                <w:b/>
              </w:rPr>
            </w:pPr>
            <w:r w:rsidRPr="00EE26B8">
              <w:rPr>
                <w:rFonts w:ascii="Garamond" w:hAnsi="Garamond"/>
                <w:b/>
              </w:rPr>
              <w:t>City of Hampton</w:t>
            </w:r>
          </w:p>
        </w:tc>
        <w:tc>
          <w:tcPr>
            <w:tcW w:w="3456" w:type="dxa"/>
          </w:tcPr>
          <w:p w14:paraId="0111C027" w14:textId="4671EFB5" w:rsidR="0042112A" w:rsidRPr="00EC3694" w:rsidRDefault="0042112A" w:rsidP="0042112A">
            <w:pPr>
              <w:rPr>
                <w:rFonts w:ascii="Garamond" w:hAnsi="Garamond"/>
              </w:rPr>
            </w:pPr>
            <w:r w:rsidRPr="00EE26B8">
              <w:rPr>
                <w:rFonts w:ascii="Garamond" w:hAnsi="Garamond"/>
              </w:rPr>
              <w:t xml:space="preserve">Bruce </w:t>
            </w:r>
            <w:proofErr w:type="spellStart"/>
            <w:r w:rsidRPr="00EE26B8">
              <w:rPr>
                <w:rFonts w:ascii="Garamond" w:hAnsi="Garamond"/>
              </w:rPr>
              <w:t>St</w:t>
            </w:r>
            <w:r>
              <w:rPr>
                <w:rFonts w:ascii="Garamond" w:hAnsi="Garamond"/>
              </w:rPr>
              <w:t>u</w:t>
            </w:r>
            <w:r w:rsidRPr="00EE26B8">
              <w:rPr>
                <w:rFonts w:ascii="Garamond" w:hAnsi="Garamond"/>
              </w:rPr>
              <w:t>rk</w:t>
            </w:r>
            <w:proofErr w:type="spellEnd"/>
            <w:r w:rsidRPr="00EE26B8">
              <w:rPr>
                <w:rFonts w:ascii="Garamond" w:hAnsi="Garamond"/>
              </w:rPr>
              <w:t>, Director</w:t>
            </w:r>
            <w:r w:rsidR="00FC5AA3">
              <w:rPr>
                <w:rFonts w:ascii="Garamond" w:hAnsi="Garamond"/>
              </w:rPr>
              <w:t xml:space="preserve"> of</w:t>
            </w:r>
            <w:r w:rsidRPr="00EE26B8">
              <w:rPr>
                <w:rFonts w:ascii="Garamond" w:hAnsi="Garamond"/>
              </w:rPr>
              <w:t xml:space="preserve"> Federal Facilities Support</w:t>
            </w:r>
            <w:r w:rsidR="00E46663">
              <w:rPr>
                <w:rFonts w:ascii="Garamond" w:hAnsi="Garamond"/>
              </w:rPr>
              <w:t>;</w:t>
            </w:r>
            <w:r w:rsidRPr="00EE26B8">
              <w:rPr>
                <w:rFonts w:ascii="Garamond" w:hAnsi="Garamond"/>
              </w:rPr>
              <w:t xml:space="preserve"> Lucy Stoll, </w:t>
            </w:r>
            <w:r w:rsidR="004F57AF">
              <w:rPr>
                <w:rFonts w:ascii="Garamond" w:hAnsi="Garamond"/>
              </w:rPr>
              <w:t xml:space="preserve">Senior </w:t>
            </w:r>
            <w:r w:rsidRPr="00EE26B8">
              <w:rPr>
                <w:rFonts w:ascii="Garamond" w:hAnsi="Garamond"/>
              </w:rPr>
              <w:t>City Planner</w:t>
            </w:r>
            <w:r w:rsidR="00E46663">
              <w:rPr>
                <w:rFonts w:ascii="Garamond" w:hAnsi="Garamond"/>
              </w:rPr>
              <w:t xml:space="preserve">; </w:t>
            </w:r>
            <w:r w:rsidRPr="00EE26B8">
              <w:rPr>
                <w:rFonts w:ascii="Garamond" w:hAnsi="Garamond"/>
              </w:rPr>
              <w:t xml:space="preserve">David </w:t>
            </w:r>
            <w:proofErr w:type="spellStart"/>
            <w:r w:rsidRPr="00EE26B8">
              <w:rPr>
                <w:rFonts w:ascii="Garamond" w:hAnsi="Garamond"/>
              </w:rPr>
              <w:t>Imburgia</w:t>
            </w:r>
            <w:proofErr w:type="spellEnd"/>
            <w:r w:rsidRPr="00EE26B8">
              <w:rPr>
                <w:rFonts w:ascii="Garamond" w:hAnsi="Garamond"/>
              </w:rPr>
              <w:t>, Environmental &amp; Sustainability Manager</w:t>
            </w:r>
            <w:r w:rsidR="00E46663">
              <w:rPr>
                <w:rFonts w:ascii="Garamond" w:hAnsi="Garamond"/>
              </w:rPr>
              <w:t xml:space="preserve">; </w:t>
            </w:r>
            <w:r w:rsidRPr="00EE26B8">
              <w:rPr>
                <w:rFonts w:ascii="Garamond" w:hAnsi="Garamond"/>
              </w:rPr>
              <w:t>Allan Lambert, GIS Manager</w:t>
            </w:r>
          </w:p>
        </w:tc>
        <w:tc>
          <w:tcPr>
            <w:tcW w:w="1584" w:type="dxa"/>
          </w:tcPr>
          <w:p w14:paraId="21053937" w14:textId="08B51748" w:rsidR="0042112A" w:rsidRPr="00EC3694" w:rsidRDefault="0042112A" w:rsidP="0042112A">
            <w:pPr>
              <w:rPr>
                <w:rFonts w:ascii="Garamond" w:hAnsi="Garamond"/>
              </w:rPr>
            </w:pPr>
            <w:r>
              <w:rPr>
                <w:rFonts w:ascii="Garamond" w:hAnsi="Garamond"/>
              </w:rPr>
              <w:t xml:space="preserve">End </w:t>
            </w:r>
            <w:r w:rsidRPr="00EC3694">
              <w:rPr>
                <w:rFonts w:ascii="Garamond" w:hAnsi="Garamond"/>
              </w:rPr>
              <w:t>User</w:t>
            </w:r>
          </w:p>
        </w:tc>
        <w:tc>
          <w:tcPr>
            <w:tcW w:w="1080" w:type="dxa"/>
          </w:tcPr>
          <w:p w14:paraId="6070AA6D" w14:textId="3E760551" w:rsidR="0042112A" w:rsidRPr="00EC3694" w:rsidRDefault="004525F5" w:rsidP="0042112A">
            <w:pPr>
              <w:jc w:val="center"/>
              <w:rPr>
                <w:rFonts w:ascii="Garamond" w:hAnsi="Garamond"/>
              </w:rPr>
            </w:pPr>
            <w:r>
              <w:rPr>
                <w:rFonts w:ascii="Garamond" w:hAnsi="Garamond"/>
              </w:rPr>
              <w:t>No</w:t>
            </w:r>
          </w:p>
        </w:tc>
      </w:tr>
    </w:tbl>
    <w:p w14:paraId="03B25C26" w14:textId="77777777" w:rsidR="00FC5AA3" w:rsidRDefault="00FC5AA3" w:rsidP="00CD0433">
      <w:pPr>
        <w:rPr>
          <w:b/>
          <w:i/>
          <w:sz w:val="20"/>
          <w:szCs w:val="20"/>
          <w:u w:val="single"/>
        </w:rPr>
      </w:pPr>
    </w:p>
    <w:p w14:paraId="375999FE" w14:textId="5C26C36F" w:rsidR="00C057E9" w:rsidRPr="00EC3694" w:rsidRDefault="00F52113" w:rsidP="00CD0433">
      <w:pPr>
        <w:rPr>
          <w:b/>
          <w:i/>
          <w:sz w:val="20"/>
          <w:szCs w:val="20"/>
          <w:u w:val="single"/>
        </w:rPr>
      </w:pPr>
      <w:r w:rsidRPr="00EC3694">
        <w:rPr>
          <w:b/>
          <w:i/>
          <w:sz w:val="20"/>
          <w:szCs w:val="20"/>
          <w:u w:val="single"/>
        </w:rPr>
        <w:t>End-</w:t>
      </w:r>
      <w:r w:rsidR="00C057E9" w:rsidRPr="00EC3694">
        <w:rPr>
          <w:b/>
          <w:i/>
          <w:sz w:val="20"/>
          <w:szCs w:val="20"/>
          <w:u w:val="single"/>
        </w:rPr>
        <w:t>User Overview</w:t>
      </w:r>
    </w:p>
    <w:p w14:paraId="03757E84" w14:textId="230692B6" w:rsidR="00CD0433" w:rsidRPr="00EC3694" w:rsidRDefault="00544C88" w:rsidP="00CD0433">
      <w:pPr>
        <w:rPr>
          <w:sz w:val="20"/>
          <w:szCs w:val="20"/>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A01EE7">
        <w:rPr>
          <w:rFonts w:ascii="Garamond" w:hAnsi="Garamond"/>
        </w:rPr>
        <w:t xml:space="preserve">The City of Hampton is actively engaged in several </w:t>
      </w:r>
      <w:r w:rsidR="00243A58">
        <w:rPr>
          <w:rFonts w:ascii="Garamond" w:hAnsi="Garamond"/>
        </w:rPr>
        <w:t>initiatives</w:t>
      </w:r>
      <w:r w:rsidR="00A01EE7">
        <w:rPr>
          <w:rFonts w:ascii="Garamond" w:hAnsi="Garamond"/>
        </w:rPr>
        <w:t xml:space="preserve"> focused on responding to and planning for environmental stressors. </w:t>
      </w:r>
      <w:r w:rsidR="009E490D">
        <w:rPr>
          <w:rFonts w:ascii="Garamond" w:hAnsi="Garamond"/>
        </w:rPr>
        <w:t>Its</w:t>
      </w:r>
      <w:r w:rsidR="00243A58">
        <w:rPr>
          <w:rFonts w:ascii="Garamond" w:hAnsi="Garamond"/>
        </w:rPr>
        <w:t xml:space="preserve"> </w:t>
      </w:r>
      <w:r w:rsidR="00243A58">
        <w:rPr>
          <w:rFonts w:ascii="Garamond" w:hAnsi="Garamond"/>
          <w:i/>
        </w:rPr>
        <w:t xml:space="preserve">Resilient Hampton </w:t>
      </w:r>
      <w:r w:rsidR="00243A58">
        <w:rPr>
          <w:rFonts w:ascii="Garamond" w:hAnsi="Garamond"/>
        </w:rPr>
        <w:t xml:space="preserve">campaign </w:t>
      </w:r>
      <w:r w:rsidR="00243A58">
        <w:rPr>
          <w:rFonts w:ascii="Garamond" w:hAnsi="Garamond"/>
        </w:rPr>
        <w:lastRenderedPageBreak/>
        <w:t xml:space="preserve">is a multi-faceted approach to addressing changes in their local environment. </w:t>
      </w:r>
      <w:r w:rsidR="009E490D">
        <w:rPr>
          <w:rFonts w:ascii="Garamond" w:hAnsi="Garamond"/>
        </w:rPr>
        <w:t>The city</w:t>
      </w:r>
      <w:r w:rsidR="009D417B">
        <w:rPr>
          <w:rFonts w:ascii="Garamond" w:hAnsi="Garamond"/>
        </w:rPr>
        <w:t xml:space="preserve"> </w:t>
      </w:r>
      <w:r w:rsidR="00243A58">
        <w:rPr>
          <w:rFonts w:ascii="Garamond" w:hAnsi="Garamond"/>
        </w:rPr>
        <w:t>currently use</w:t>
      </w:r>
      <w:r w:rsidR="009E490D">
        <w:rPr>
          <w:rFonts w:ascii="Garamond" w:hAnsi="Garamond"/>
        </w:rPr>
        <w:t>s</w:t>
      </w:r>
      <w:r w:rsidR="00243A58">
        <w:rPr>
          <w:rFonts w:ascii="Garamond" w:hAnsi="Garamond"/>
        </w:rPr>
        <w:t xml:space="preserve"> a variety of spatial data and regularly seek collaboration with federal partners and</w:t>
      </w:r>
      <w:r w:rsidR="00E310DC">
        <w:rPr>
          <w:rFonts w:ascii="Garamond" w:hAnsi="Garamond"/>
        </w:rPr>
        <w:t xml:space="preserve"> other organizations. City officials aggregate information and present it to </w:t>
      </w:r>
      <w:r w:rsidR="00FC5AA3">
        <w:rPr>
          <w:rFonts w:ascii="Garamond" w:hAnsi="Garamond"/>
        </w:rPr>
        <w:t xml:space="preserve">the </w:t>
      </w:r>
      <w:r w:rsidR="00E310DC">
        <w:rPr>
          <w:rFonts w:ascii="Garamond" w:hAnsi="Garamond"/>
        </w:rPr>
        <w:t xml:space="preserve">city council, which then sets policy. They </w:t>
      </w:r>
      <w:proofErr w:type="gramStart"/>
      <w:r w:rsidR="00E310DC">
        <w:rPr>
          <w:rFonts w:ascii="Garamond" w:hAnsi="Garamond"/>
        </w:rPr>
        <w:t>are already focused</w:t>
      </w:r>
      <w:proofErr w:type="gramEnd"/>
      <w:r w:rsidR="00E310DC">
        <w:rPr>
          <w:rFonts w:ascii="Garamond" w:hAnsi="Garamond"/>
        </w:rPr>
        <w:t xml:space="preserve"> on a variety of efforts related to urban hydrology, flooding, an</w:t>
      </w:r>
      <w:r w:rsidR="00A85C3A">
        <w:rPr>
          <w:rFonts w:ascii="Garamond" w:hAnsi="Garamond"/>
        </w:rPr>
        <w:t>d urban landscape planning. City staff</w:t>
      </w:r>
      <w:r w:rsidR="00E310DC">
        <w:rPr>
          <w:rFonts w:ascii="Garamond" w:hAnsi="Garamond"/>
        </w:rPr>
        <w:t xml:space="preserve"> hope </w:t>
      </w:r>
      <w:proofErr w:type="gramStart"/>
      <w:r w:rsidR="00E310DC">
        <w:rPr>
          <w:rFonts w:ascii="Garamond" w:hAnsi="Garamond"/>
        </w:rPr>
        <w:t>to further explore</w:t>
      </w:r>
      <w:proofErr w:type="gramEnd"/>
      <w:r w:rsidR="00E310DC">
        <w:rPr>
          <w:rFonts w:ascii="Garamond" w:hAnsi="Garamond"/>
        </w:rPr>
        <w:t xml:space="preserve"> ways of making the community more holistically resilient.</w:t>
      </w:r>
      <w:r w:rsidR="00A85C3A">
        <w:rPr>
          <w:rFonts w:ascii="Garamond" w:hAnsi="Garamond"/>
        </w:rPr>
        <w:t xml:space="preserve"> </w:t>
      </w:r>
    </w:p>
    <w:p w14:paraId="4D834E3E" w14:textId="77777777" w:rsidR="002E2D9E" w:rsidRPr="00936A45" w:rsidRDefault="002E2D9E" w:rsidP="002E2D9E">
      <w:pPr>
        <w:ind w:left="720" w:hanging="720"/>
        <w:rPr>
          <w:b/>
          <w:i/>
        </w:rPr>
      </w:pPr>
    </w:p>
    <w:p w14:paraId="415D7485" w14:textId="2E8FB322" w:rsidR="002E2D9E" w:rsidRPr="00EC3694" w:rsidRDefault="00544C88"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394BDD8C" w14:textId="1402313D" w:rsidR="002E2D9E" w:rsidRPr="00EC3694" w:rsidRDefault="00A85C3A" w:rsidP="00C72F1A">
      <w:pPr>
        <w:ind w:left="720" w:hanging="720"/>
        <w:rPr>
          <w:rFonts w:ascii="Garamond" w:hAnsi="Garamond"/>
        </w:rPr>
      </w:pPr>
      <w:r>
        <w:rPr>
          <w:rFonts w:ascii="Garamond" w:hAnsi="Garamond"/>
          <w:i/>
        </w:rPr>
        <w:t>City of Hampton</w:t>
      </w:r>
      <w:r w:rsidR="002E2D9E" w:rsidRPr="00EC3694">
        <w:rPr>
          <w:rFonts w:ascii="Garamond" w:hAnsi="Garamond"/>
        </w:rPr>
        <w:t xml:space="preserve"> – </w:t>
      </w:r>
      <w:r>
        <w:rPr>
          <w:rFonts w:ascii="Garamond" w:hAnsi="Garamond"/>
        </w:rPr>
        <w:t xml:space="preserve">The City of Hampton already uses some remotely sensed datasets and has numerous officials who regularly utilize GIS in their work. </w:t>
      </w:r>
      <w:r w:rsidR="009E490D">
        <w:rPr>
          <w:rFonts w:ascii="Garamond" w:hAnsi="Garamond"/>
        </w:rPr>
        <w:t xml:space="preserve">It </w:t>
      </w:r>
      <w:r>
        <w:rPr>
          <w:rFonts w:ascii="Garamond" w:hAnsi="Garamond"/>
        </w:rPr>
        <w:t>ha</w:t>
      </w:r>
      <w:r w:rsidR="009E490D">
        <w:rPr>
          <w:rFonts w:ascii="Garamond" w:hAnsi="Garamond"/>
        </w:rPr>
        <w:t>s</w:t>
      </w:r>
      <w:r>
        <w:rPr>
          <w:rFonts w:ascii="Garamond" w:hAnsi="Garamond"/>
        </w:rPr>
        <w:t xml:space="preserve"> previously used NASA Earth observations during the </w:t>
      </w:r>
      <w:r w:rsidR="009E490D">
        <w:rPr>
          <w:rFonts w:ascii="Garamond" w:hAnsi="Garamond"/>
        </w:rPr>
        <w:t>initial</w:t>
      </w:r>
      <w:r>
        <w:rPr>
          <w:rFonts w:ascii="Garamond" w:hAnsi="Garamond"/>
        </w:rPr>
        <w:t xml:space="preserve"> DEVELOP partnership but do</w:t>
      </w:r>
      <w:r w:rsidR="009E490D">
        <w:rPr>
          <w:rFonts w:ascii="Garamond" w:hAnsi="Garamond"/>
        </w:rPr>
        <w:t>es</w:t>
      </w:r>
      <w:r>
        <w:rPr>
          <w:rFonts w:ascii="Garamond" w:hAnsi="Garamond"/>
        </w:rPr>
        <w:t xml:space="preserve"> not regularly utilize NASA data outside the context of that project. Th</w:t>
      </w:r>
      <w:r w:rsidR="009E490D">
        <w:rPr>
          <w:rFonts w:ascii="Garamond" w:hAnsi="Garamond"/>
        </w:rPr>
        <w:t>e second term</w:t>
      </w:r>
      <w:r>
        <w:rPr>
          <w:rFonts w:ascii="Garamond" w:hAnsi="Garamond"/>
        </w:rPr>
        <w:t xml:space="preserve"> project will build their capacity to use Earth observations in a manner that they have not previously explored and </w:t>
      </w:r>
      <w:r w:rsidR="00FC5AA3">
        <w:rPr>
          <w:rFonts w:ascii="Garamond" w:hAnsi="Garamond"/>
        </w:rPr>
        <w:t>will</w:t>
      </w:r>
      <w:r>
        <w:rPr>
          <w:rFonts w:ascii="Garamond" w:hAnsi="Garamond"/>
        </w:rPr>
        <w:t xml:space="preserve"> use some of their preexisting data </w:t>
      </w:r>
      <w:r w:rsidR="00975FF7">
        <w:rPr>
          <w:rFonts w:ascii="Garamond" w:hAnsi="Garamond"/>
        </w:rPr>
        <w:t>re</w:t>
      </w:r>
      <w:r>
        <w:rPr>
          <w:rFonts w:ascii="Garamond" w:hAnsi="Garamond"/>
        </w:rPr>
        <w:t xml:space="preserve">sources as well. </w:t>
      </w:r>
    </w:p>
    <w:p w14:paraId="1242BC45" w14:textId="2449D7BB" w:rsidR="00C057E9" w:rsidRPr="00936A45" w:rsidRDefault="00C057E9" w:rsidP="00726B5B"/>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3D0A091E"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005201">
        <w:rPr>
          <w:rFonts w:ascii="Garamond" w:hAnsi="Garamond"/>
        </w:rPr>
        <w:t xml:space="preserve">The Langley Center Lead and Science Advisor have maintained contact with Hampton officials since the completion of the </w:t>
      </w:r>
      <w:r w:rsidR="004F3153">
        <w:rPr>
          <w:rFonts w:ascii="Garamond" w:hAnsi="Garamond"/>
        </w:rPr>
        <w:t>f</w:t>
      </w:r>
      <w:r w:rsidR="00005201">
        <w:rPr>
          <w:rFonts w:ascii="Garamond" w:hAnsi="Garamond"/>
        </w:rPr>
        <w:t xml:space="preserve">all 2018 project and will coordinate an introductory meeting between the new DEVELOP team and city staff the first week of the term. The DEVELOP team will maintain contact with city officials throughout the term with periodic emails and approximately bi-weekly </w:t>
      </w:r>
      <w:r w:rsidR="00FC5AA3">
        <w:rPr>
          <w:rFonts w:ascii="Garamond" w:hAnsi="Garamond"/>
        </w:rPr>
        <w:t>in-</w:t>
      </w:r>
      <w:r w:rsidR="00005201">
        <w:rPr>
          <w:rFonts w:ascii="Garamond" w:hAnsi="Garamond"/>
        </w:rPr>
        <w:t xml:space="preserve">person updates. </w:t>
      </w:r>
    </w:p>
    <w:p w14:paraId="7D7547C5" w14:textId="77777777" w:rsidR="00C057E9" w:rsidRPr="00936A45" w:rsidRDefault="00C057E9" w:rsidP="00C72F1A"/>
    <w:p w14:paraId="18B34B4E" w14:textId="0EF31217" w:rsidR="00005201" w:rsidRDefault="00C057E9" w:rsidP="00C72F1A">
      <w:pPr>
        <w:rPr>
          <w:rFonts w:ascii="Garamond" w:hAnsi="Garamond"/>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9E490D">
        <w:rPr>
          <w:rFonts w:ascii="Garamond" w:hAnsi="Garamond"/>
        </w:rPr>
        <w:t>T</w:t>
      </w:r>
      <w:r w:rsidR="00005201">
        <w:rPr>
          <w:rFonts w:ascii="Garamond" w:hAnsi="Garamond"/>
        </w:rPr>
        <w:t xml:space="preserve">he Project Lead will coordinate with the city officials to schedule an </w:t>
      </w:r>
      <w:r w:rsidR="00FC5AA3">
        <w:rPr>
          <w:rFonts w:ascii="Garamond" w:hAnsi="Garamond"/>
        </w:rPr>
        <w:t>in-</w:t>
      </w:r>
      <w:r w:rsidR="00005201">
        <w:rPr>
          <w:rFonts w:ascii="Garamond" w:hAnsi="Garamond"/>
        </w:rPr>
        <w:t xml:space="preserve">person project handoff meeting. The project team will package all results and data files onto flash drives and/or DVDs for direct transfer to the project partners. At this meeting, the project team will discuss the project methodology and explain all file structures and the organization of data files.  </w:t>
      </w:r>
    </w:p>
    <w:p w14:paraId="65AD80DB" w14:textId="7DA90ECB" w:rsidR="00CD0433" w:rsidRPr="00936A45" w:rsidRDefault="00CD0433" w:rsidP="00C72F1A"/>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73702A">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685B7637" w:rsidR="00B76BDC" w:rsidRPr="00636FAE" w:rsidRDefault="00D3192F" w:rsidP="00736CD7">
            <w:pPr>
              <w:jc w:val="center"/>
              <w:rPr>
                <w:b/>
                <w:bCs/>
                <w:color w:val="FFFFFF"/>
                <w:szCs w:val="20"/>
              </w:rPr>
            </w:pPr>
            <w:r w:rsidRPr="00636FAE">
              <w:rPr>
                <w:b/>
                <w:bCs/>
                <w:color w:val="FFFFFF"/>
                <w:szCs w:val="20"/>
              </w:rPr>
              <w:t>Parameter</w:t>
            </w:r>
            <w:r w:rsidR="00736CD7">
              <w:rPr>
                <w:b/>
                <w:bCs/>
                <w:color w:val="FFFFFF"/>
                <w:szCs w:val="20"/>
              </w:rPr>
              <w:t>s</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936A45">
        <w:tc>
          <w:tcPr>
            <w:tcW w:w="2347" w:type="dxa"/>
            <w:vAlign w:val="center"/>
          </w:tcPr>
          <w:p w14:paraId="6FE1A73B" w14:textId="5DFE4A6D" w:rsidR="00B76BDC" w:rsidRPr="005C6FC1" w:rsidRDefault="00693B7B" w:rsidP="00936A45">
            <w:pPr>
              <w:rPr>
                <w:rFonts w:ascii="Garamond" w:hAnsi="Garamond"/>
                <w:b/>
                <w:bCs/>
              </w:rPr>
            </w:pPr>
            <w:r>
              <w:rPr>
                <w:rFonts w:ascii="Garamond" w:hAnsi="Garamond"/>
                <w:b/>
                <w:bCs/>
              </w:rPr>
              <w:t xml:space="preserve">Landsat 8 OLI </w:t>
            </w:r>
          </w:p>
        </w:tc>
        <w:tc>
          <w:tcPr>
            <w:tcW w:w="2411" w:type="dxa"/>
            <w:vAlign w:val="center"/>
          </w:tcPr>
          <w:p w14:paraId="3ED984CF" w14:textId="4AA2AA3F" w:rsidR="00B76BDC" w:rsidRPr="005C6FC1" w:rsidRDefault="00693B7B" w:rsidP="00936A45">
            <w:pPr>
              <w:rPr>
                <w:rFonts w:ascii="Garamond" w:hAnsi="Garamond"/>
              </w:rPr>
            </w:pPr>
            <w:r>
              <w:rPr>
                <w:rFonts w:ascii="Garamond" w:hAnsi="Garamond"/>
              </w:rPr>
              <w:t xml:space="preserve">Surface Reflectance </w:t>
            </w:r>
          </w:p>
        </w:tc>
        <w:tc>
          <w:tcPr>
            <w:tcW w:w="4597" w:type="dxa"/>
            <w:vAlign w:val="center"/>
          </w:tcPr>
          <w:p w14:paraId="39C8D523" w14:textId="11F15742" w:rsidR="00B76BDC" w:rsidRPr="005C6FC1" w:rsidRDefault="00E46663" w:rsidP="00E46663">
            <w:pPr>
              <w:rPr>
                <w:rFonts w:ascii="Garamond" w:hAnsi="Garamond"/>
              </w:rPr>
            </w:pPr>
            <w:r>
              <w:rPr>
                <w:rFonts w:ascii="Garamond" w:hAnsi="Garamond"/>
              </w:rPr>
              <w:t xml:space="preserve">Surface reflectance data </w:t>
            </w:r>
            <w:proofErr w:type="gramStart"/>
            <w:r>
              <w:rPr>
                <w:rFonts w:ascii="Garamond" w:hAnsi="Garamond"/>
              </w:rPr>
              <w:t>will be u</w:t>
            </w:r>
            <w:r w:rsidR="009D45FD">
              <w:rPr>
                <w:rFonts w:ascii="Garamond" w:hAnsi="Garamond"/>
              </w:rPr>
              <w:t>sed</w:t>
            </w:r>
            <w:proofErr w:type="gramEnd"/>
            <w:r w:rsidR="009D45FD">
              <w:rPr>
                <w:rFonts w:ascii="Garamond" w:hAnsi="Garamond"/>
              </w:rPr>
              <w:t xml:space="preserve"> to create the percent impervious and percent tree </w:t>
            </w:r>
            <w:r w:rsidR="00736CD7">
              <w:rPr>
                <w:rFonts w:ascii="Garamond" w:hAnsi="Garamond"/>
              </w:rPr>
              <w:t>canopy products</w:t>
            </w:r>
            <w:r>
              <w:rPr>
                <w:rFonts w:ascii="Garamond" w:hAnsi="Garamond"/>
              </w:rPr>
              <w:t>.</w:t>
            </w:r>
          </w:p>
        </w:tc>
      </w:tr>
      <w:tr w:rsidR="00B76BDC" w:rsidRPr="005C6FC1" w14:paraId="3D3DFEA5" w14:textId="77777777" w:rsidTr="00936A45">
        <w:tc>
          <w:tcPr>
            <w:tcW w:w="2347" w:type="dxa"/>
            <w:tcBorders>
              <w:bottom w:val="single" w:sz="4" w:space="0" w:color="auto"/>
            </w:tcBorders>
            <w:vAlign w:val="center"/>
          </w:tcPr>
          <w:p w14:paraId="2E7A36AA" w14:textId="53E7B9EE" w:rsidR="00B76BDC" w:rsidRPr="005C6FC1" w:rsidRDefault="00736CD7" w:rsidP="00936A45">
            <w:pPr>
              <w:rPr>
                <w:rFonts w:ascii="Garamond" w:hAnsi="Garamond"/>
                <w:b/>
                <w:bCs/>
              </w:rPr>
            </w:pPr>
            <w:r>
              <w:rPr>
                <w:rFonts w:ascii="Garamond" w:hAnsi="Garamond"/>
                <w:b/>
                <w:bCs/>
              </w:rPr>
              <w:t>Landsat 5 TM</w:t>
            </w:r>
          </w:p>
        </w:tc>
        <w:tc>
          <w:tcPr>
            <w:tcW w:w="2411" w:type="dxa"/>
            <w:tcBorders>
              <w:bottom w:val="single" w:sz="4" w:space="0" w:color="auto"/>
            </w:tcBorders>
            <w:vAlign w:val="center"/>
          </w:tcPr>
          <w:p w14:paraId="218FF07A" w14:textId="089748F6" w:rsidR="00B76BDC" w:rsidRPr="005C6FC1" w:rsidRDefault="00736CD7" w:rsidP="00936A45">
            <w:pPr>
              <w:rPr>
                <w:rFonts w:ascii="Garamond" w:hAnsi="Garamond"/>
              </w:rPr>
            </w:pPr>
            <w:r>
              <w:rPr>
                <w:rFonts w:ascii="Garamond" w:hAnsi="Garamond"/>
              </w:rPr>
              <w:t xml:space="preserve">Surface Reflectance </w:t>
            </w:r>
          </w:p>
        </w:tc>
        <w:tc>
          <w:tcPr>
            <w:tcW w:w="4597" w:type="dxa"/>
            <w:tcBorders>
              <w:bottom w:val="single" w:sz="4" w:space="0" w:color="auto"/>
            </w:tcBorders>
            <w:vAlign w:val="center"/>
          </w:tcPr>
          <w:p w14:paraId="2A092E32" w14:textId="72AD3226" w:rsidR="00B76BDC" w:rsidRPr="005C6FC1" w:rsidRDefault="00E46663" w:rsidP="00E46663">
            <w:pPr>
              <w:rPr>
                <w:rFonts w:ascii="Garamond" w:hAnsi="Garamond"/>
              </w:rPr>
            </w:pPr>
            <w:r>
              <w:rPr>
                <w:rFonts w:ascii="Garamond" w:hAnsi="Garamond"/>
              </w:rPr>
              <w:t xml:space="preserve">Surface reflectance data </w:t>
            </w:r>
            <w:proofErr w:type="gramStart"/>
            <w:r>
              <w:rPr>
                <w:rFonts w:ascii="Garamond" w:hAnsi="Garamond"/>
              </w:rPr>
              <w:t>will be u</w:t>
            </w:r>
            <w:r w:rsidR="00736CD7">
              <w:rPr>
                <w:rFonts w:ascii="Garamond" w:hAnsi="Garamond"/>
              </w:rPr>
              <w:t>sed</w:t>
            </w:r>
            <w:proofErr w:type="gramEnd"/>
            <w:r w:rsidR="00736CD7">
              <w:rPr>
                <w:rFonts w:ascii="Garamond" w:hAnsi="Garamond"/>
              </w:rPr>
              <w:t xml:space="preserve"> to create the percent impervious and percent tree canopy products</w:t>
            </w:r>
            <w:r>
              <w:rPr>
                <w:rFonts w:ascii="Garamond" w:hAnsi="Garamond"/>
              </w:rPr>
              <w:t>.</w:t>
            </w:r>
          </w:p>
        </w:tc>
      </w:tr>
      <w:tr w:rsidR="00B76BDC" w:rsidRPr="005C6FC1" w14:paraId="2173ADDF" w14:textId="77777777" w:rsidTr="00936A45">
        <w:tc>
          <w:tcPr>
            <w:tcW w:w="2347" w:type="dxa"/>
            <w:tcBorders>
              <w:top w:val="single" w:sz="4" w:space="0" w:color="auto"/>
              <w:left w:val="single" w:sz="4" w:space="0" w:color="auto"/>
              <w:bottom w:val="single" w:sz="4" w:space="0" w:color="auto"/>
            </w:tcBorders>
            <w:vAlign w:val="center"/>
          </w:tcPr>
          <w:p w14:paraId="0E5EC88D" w14:textId="422FD4FF" w:rsidR="00B76BDC" w:rsidRPr="005C6FC1" w:rsidRDefault="00736CD7" w:rsidP="00936A45">
            <w:pPr>
              <w:rPr>
                <w:rFonts w:ascii="Garamond" w:hAnsi="Garamond"/>
                <w:b/>
                <w:bCs/>
              </w:rPr>
            </w:pPr>
            <w:r>
              <w:rPr>
                <w:rFonts w:ascii="Garamond" w:hAnsi="Garamond"/>
                <w:b/>
                <w:bCs/>
              </w:rPr>
              <w:t>Sentinel-2 MSI</w:t>
            </w:r>
          </w:p>
        </w:tc>
        <w:tc>
          <w:tcPr>
            <w:tcW w:w="2411" w:type="dxa"/>
            <w:tcBorders>
              <w:top w:val="single" w:sz="4" w:space="0" w:color="auto"/>
              <w:bottom w:val="single" w:sz="4" w:space="0" w:color="auto"/>
            </w:tcBorders>
            <w:vAlign w:val="center"/>
          </w:tcPr>
          <w:p w14:paraId="65407D12" w14:textId="711CB1EB" w:rsidR="00B76BDC" w:rsidRPr="005C6FC1" w:rsidRDefault="00736CD7" w:rsidP="00936A45">
            <w:pPr>
              <w:rPr>
                <w:rFonts w:ascii="Garamond" w:hAnsi="Garamond"/>
              </w:rPr>
            </w:pPr>
            <w:r>
              <w:rPr>
                <w:rFonts w:ascii="Garamond" w:hAnsi="Garamond"/>
              </w:rPr>
              <w:t>Surface Reflectance</w:t>
            </w:r>
          </w:p>
        </w:tc>
        <w:tc>
          <w:tcPr>
            <w:tcW w:w="4597" w:type="dxa"/>
            <w:tcBorders>
              <w:top w:val="single" w:sz="4" w:space="0" w:color="auto"/>
              <w:bottom w:val="single" w:sz="4" w:space="0" w:color="auto"/>
              <w:right w:val="single" w:sz="4" w:space="0" w:color="auto"/>
            </w:tcBorders>
            <w:vAlign w:val="center"/>
          </w:tcPr>
          <w:p w14:paraId="760B100D" w14:textId="7969DE54" w:rsidR="00B76BDC" w:rsidRPr="005C6FC1" w:rsidRDefault="00E46663" w:rsidP="00E46663">
            <w:pPr>
              <w:rPr>
                <w:rFonts w:ascii="Garamond" w:hAnsi="Garamond"/>
              </w:rPr>
            </w:pPr>
            <w:r>
              <w:rPr>
                <w:rFonts w:ascii="Garamond" w:hAnsi="Garamond"/>
              </w:rPr>
              <w:t xml:space="preserve">Surface reflectance data from Sentinel-2 </w:t>
            </w:r>
            <w:proofErr w:type="gramStart"/>
            <w:r>
              <w:rPr>
                <w:rFonts w:ascii="Garamond" w:hAnsi="Garamond"/>
              </w:rPr>
              <w:t>will be u</w:t>
            </w:r>
            <w:r w:rsidR="00736CD7">
              <w:rPr>
                <w:rFonts w:ascii="Garamond" w:hAnsi="Garamond"/>
              </w:rPr>
              <w:t>sed</w:t>
            </w:r>
            <w:proofErr w:type="gramEnd"/>
            <w:r w:rsidR="00736CD7">
              <w:rPr>
                <w:rFonts w:ascii="Garamond" w:hAnsi="Garamond"/>
              </w:rPr>
              <w:t xml:space="preserve"> to </w:t>
            </w:r>
            <w:r>
              <w:rPr>
                <w:rFonts w:ascii="Garamond" w:hAnsi="Garamond"/>
              </w:rPr>
              <w:t xml:space="preserve">supplement Landsat data to </w:t>
            </w:r>
            <w:r w:rsidR="00736CD7">
              <w:rPr>
                <w:rFonts w:ascii="Garamond" w:hAnsi="Garamond"/>
              </w:rPr>
              <w:t>create the percent impervious and percent tree canopy products.</w:t>
            </w:r>
          </w:p>
        </w:tc>
      </w:tr>
    </w:tbl>
    <w:p w14:paraId="6DE21442" w14:textId="77777777" w:rsidR="007A4F2A" w:rsidRPr="00936A45" w:rsidRDefault="007A4F2A" w:rsidP="007A4F2A"/>
    <w:p w14:paraId="1530166C" w14:textId="39A1222D" w:rsidR="00B9614C" w:rsidRPr="00276572" w:rsidRDefault="007A4F2A" w:rsidP="007A4F2A">
      <w:pPr>
        <w:rPr>
          <w:i/>
          <w:sz w:val="20"/>
          <w:szCs w:val="20"/>
        </w:rPr>
      </w:pPr>
      <w:r w:rsidRPr="00276572">
        <w:rPr>
          <w:b/>
          <w:i/>
          <w:sz w:val="20"/>
          <w:szCs w:val="20"/>
        </w:rPr>
        <w:t>Ancillary Datasets:</w:t>
      </w:r>
    </w:p>
    <w:p w14:paraId="269296F7" w14:textId="78EA86D1" w:rsidR="00503012" w:rsidRDefault="00503012" w:rsidP="00503012">
      <w:pPr>
        <w:ind w:left="720" w:hanging="720"/>
        <w:rPr>
          <w:rFonts w:ascii="Garamond" w:hAnsi="Garamond"/>
        </w:rPr>
      </w:pPr>
      <w:r w:rsidRPr="00EE26B8">
        <w:rPr>
          <w:rFonts w:ascii="Garamond" w:hAnsi="Garamond"/>
        </w:rPr>
        <w:t xml:space="preserve">City of Hampton </w:t>
      </w:r>
      <w:r>
        <w:rPr>
          <w:rFonts w:ascii="Garamond" w:hAnsi="Garamond"/>
        </w:rPr>
        <w:t>fine resolution commercial imagery</w:t>
      </w:r>
      <w:r w:rsidRPr="00EE26B8">
        <w:rPr>
          <w:rFonts w:ascii="Garamond" w:hAnsi="Garamond"/>
        </w:rPr>
        <w:t xml:space="preserve"> – </w:t>
      </w:r>
      <w:r w:rsidR="00187936">
        <w:rPr>
          <w:rFonts w:ascii="Garamond" w:hAnsi="Garamond"/>
        </w:rPr>
        <w:t xml:space="preserve">used to define impervious surfaces and urban tree locations and inform an algorithm which can be applied </w:t>
      </w:r>
      <w:r w:rsidR="00975FF7">
        <w:rPr>
          <w:rFonts w:ascii="Garamond" w:hAnsi="Garamond"/>
        </w:rPr>
        <w:t>to Landsat and Sentinel imagery</w:t>
      </w:r>
      <w:r w:rsidR="00187936">
        <w:rPr>
          <w:rFonts w:ascii="Garamond" w:hAnsi="Garamond"/>
        </w:rPr>
        <w:t xml:space="preserve"> </w:t>
      </w:r>
    </w:p>
    <w:p w14:paraId="72F944FE" w14:textId="6D832689" w:rsidR="00503012" w:rsidRPr="00EE26B8" w:rsidRDefault="00503012" w:rsidP="00503012">
      <w:pPr>
        <w:ind w:left="720" w:hanging="720"/>
        <w:rPr>
          <w:rFonts w:ascii="Garamond" w:hAnsi="Garamond"/>
        </w:rPr>
      </w:pPr>
      <w:r w:rsidRPr="00EE26B8">
        <w:rPr>
          <w:rFonts w:ascii="Garamond" w:hAnsi="Garamond"/>
        </w:rPr>
        <w:t xml:space="preserve">City of Hampton maps &amp; </w:t>
      </w:r>
      <w:proofErr w:type="spellStart"/>
      <w:r w:rsidRPr="00EE26B8">
        <w:rPr>
          <w:rFonts w:ascii="Garamond" w:hAnsi="Garamond"/>
        </w:rPr>
        <w:t>shapefiles</w:t>
      </w:r>
      <w:proofErr w:type="spellEnd"/>
      <w:r w:rsidRPr="00EE26B8">
        <w:rPr>
          <w:rFonts w:ascii="Garamond" w:hAnsi="Garamond"/>
        </w:rPr>
        <w:t xml:space="preserve"> – </w:t>
      </w:r>
      <w:r w:rsidR="00187936">
        <w:rPr>
          <w:rFonts w:ascii="Garamond" w:hAnsi="Garamond"/>
        </w:rPr>
        <w:t>used to define</w:t>
      </w:r>
      <w:r w:rsidR="00975FF7">
        <w:rPr>
          <w:rFonts w:ascii="Garamond" w:hAnsi="Garamond"/>
        </w:rPr>
        <w:t xml:space="preserve"> the bounds of the study and overlay</w:t>
      </w:r>
      <w:r w:rsidR="00187936">
        <w:rPr>
          <w:rFonts w:ascii="Garamond" w:hAnsi="Garamond"/>
        </w:rPr>
        <w:t xml:space="preserve"> areas of interest</w:t>
      </w:r>
      <w:r w:rsidR="00975FF7">
        <w:rPr>
          <w:rFonts w:ascii="Garamond" w:hAnsi="Garamond"/>
        </w:rPr>
        <w:t xml:space="preserve"> onto the </w:t>
      </w:r>
      <w:r w:rsidR="00FC5AA3">
        <w:rPr>
          <w:rFonts w:ascii="Garamond" w:hAnsi="Garamond"/>
        </w:rPr>
        <w:t>results of the project</w:t>
      </w:r>
    </w:p>
    <w:p w14:paraId="5FD8C0A7" w14:textId="02D79236" w:rsidR="00503012" w:rsidRDefault="00503012" w:rsidP="00503012">
      <w:pPr>
        <w:ind w:left="720" w:hanging="720"/>
        <w:rPr>
          <w:rFonts w:ascii="Garamond" w:hAnsi="Garamond"/>
        </w:rPr>
      </w:pPr>
      <w:r w:rsidRPr="00EE26B8">
        <w:rPr>
          <w:rFonts w:ascii="Garamond" w:hAnsi="Garamond"/>
        </w:rPr>
        <w:t xml:space="preserve">USDA National Agriculture Imagery Program (NAIP) – </w:t>
      </w:r>
      <w:r w:rsidR="00975FF7">
        <w:rPr>
          <w:rFonts w:ascii="Garamond" w:hAnsi="Garamond"/>
        </w:rPr>
        <w:t>used alongside commercial imagery to help train and define impervious surfaces and urban vegetation</w:t>
      </w:r>
    </w:p>
    <w:p w14:paraId="2310D53F" w14:textId="72FBE66F" w:rsidR="003141F9" w:rsidRPr="00EE26B8" w:rsidRDefault="003141F9" w:rsidP="00503012">
      <w:pPr>
        <w:ind w:left="720" w:hanging="720"/>
        <w:rPr>
          <w:rFonts w:ascii="Garamond" w:hAnsi="Garamond"/>
        </w:rPr>
      </w:pPr>
      <w:r>
        <w:rPr>
          <w:rFonts w:ascii="Garamond" w:hAnsi="Garamond"/>
        </w:rPr>
        <w:t xml:space="preserve">United States Geological Survey National Land Cover Database (NLCD) Imperviousness product – comparison to the team’s own percent impervious product </w:t>
      </w:r>
    </w:p>
    <w:p w14:paraId="65465646" w14:textId="0D236EB7" w:rsidR="00503012" w:rsidRPr="00936A45" w:rsidRDefault="003141F9" w:rsidP="003141F9">
      <w:pPr>
        <w:ind w:left="720" w:hanging="720"/>
        <w:rPr>
          <w:b/>
        </w:rPr>
      </w:pPr>
      <w:r>
        <w:rPr>
          <w:rFonts w:ascii="Garamond" w:hAnsi="Garamond"/>
        </w:rPr>
        <w:t xml:space="preserve">United States Geological Survey National Land Cover Database (NLCD) Canopy Cover product – comparison to the team’s own percent canopy cover product </w:t>
      </w:r>
    </w:p>
    <w:p w14:paraId="38D9816F" w14:textId="079121D5" w:rsidR="00276572" w:rsidRPr="005C6FC1" w:rsidRDefault="00276572" w:rsidP="00752AC5">
      <w:pPr>
        <w:rPr>
          <w:rFonts w:ascii="Garamond" w:hAnsi="Garamond"/>
          <w:i/>
        </w:rPr>
      </w:pPr>
    </w:p>
    <w:p w14:paraId="0CBC9B56" w14:textId="77777777" w:rsidR="006A2A26" w:rsidRPr="00272CD9" w:rsidRDefault="006A2A26" w:rsidP="006A2A26">
      <w:pPr>
        <w:rPr>
          <w:i/>
          <w:sz w:val="20"/>
          <w:szCs w:val="20"/>
        </w:rPr>
      </w:pPr>
      <w:r w:rsidRPr="00272CD9">
        <w:rPr>
          <w:b/>
          <w:bCs/>
          <w:i/>
          <w:sz w:val="20"/>
          <w:szCs w:val="20"/>
        </w:rPr>
        <w:t>Software &amp; Scripting:</w:t>
      </w:r>
    </w:p>
    <w:p w14:paraId="0ACDFFC7" w14:textId="5B6A56DF" w:rsidR="00504363" w:rsidRDefault="00504363" w:rsidP="006A2A26">
      <w:pPr>
        <w:ind w:left="720" w:hanging="720"/>
        <w:rPr>
          <w:rFonts w:ascii="Garamond" w:hAnsi="Garamond"/>
        </w:rPr>
      </w:pPr>
      <w:proofErr w:type="spellStart"/>
      <w:r>
        <w:rPr>
          <w:rFonts w:ascii="Garamond" w:hAnsi="Garamond"/>
        </w:rPr>
        <w:t>Esri</w:t>
      </w:r>
      <w:proofErr w:type="spellEnd"/>
      <w:r>
        <w:rPr>
          <w:rFonts w:ascii="Garamond" w:hAnsi="Garamond"/>
        </w:rPr>
        <w:t xml:space="preserve"> ArcGIS Pro </w:t>
      </w:r>
      <w:r w:rsidR="00A07D83">
        <w:rPr>
          <w:rFonts w:ascii="Garamond" w:hAnsi="Garamond"/>
        </w:rPr>
        <w:t>–</w:t>
      </w:r>
      <w:r>
        <w:rPr>
          <w:rFonts w:ascii="Garamond" w:hAnsi="Garamond"/>
        </w:rPr>
        <w:t xml:space="preserve"> </w:t>
      </w:r>
      <w:r w:rsidR="00A07D83">
        <w:rPr>
          <w:rFonts w:ascii="Garamond" w:hAnsi="Garamond"/>
        </w:rPr>
        <w:t>data visualization,</w:t>
      </w:r>
      <w:r w:rsidR="003805D6">
        <w:rPr>
          <w:rFonts w:ascii="Garamond" w:hAnsi="Garamond"/>
        </w:rPr>
        <w:t xml:space="preserve"> data processing, and map creation</w:t>
      </w:r>
    </w:p>
    <w:p w14:paraId="57D17C2E" w14:textId="55293DB4" w:rsidR="00504363" w:rsidRDefault="00504363" w:rsidP="006A2A26">
      <w:pPr>
        <w:ind w:left="720" w:hanging="720"/>
        <w:rPr>
          <w:rFonts w:ascii="Garamond" w:hAnsi="Garamond"/>
        </w:rPr>
      </w:pPr>
      <w:proofErr w:type="spellStart"/>
      <w:r>
        <w:rPr>
          <w:rFonts w:ascii="Garamond" w:hAnsi="Garamond"/>
        </w:rPr>
        <w:t>Esri</w:t>
      </w:r>
      <w:proofErr w:type="spellEnd"/>
      <w:r>
        <w:rPr>
          <w:rFonts w:ascii="Garamond" w:hAnsi="Garamond"/>
        </w:rPr>
        <w:t xml:space="preserve"> ArcMap – data visualization,</w:t>
      </w:r>
      <w:r w:rsidR="003805D6">
        <w:rPr>
          <w:rFonts w:ascii="Garamond" w:hAnsi="Garamond"/>
        </w:rPr>
        <w:t xml:space="preserve"> data processing,</w:t>
      </w:r>
      <w:r>
        <w:rPr>
          <w:rFonts w:ascii="Garamond" w:hAnsi="Garamond"/>
        </w:rPr>
        <w:t xml:space="preserve"> map creation</w:t>
      </w:r>
      <w:r w:rsidR="00A07D83">
        <w:rPr>
          <w:rFonts w:ascii="Garamond" w:hAnsi="Garamond"/>
        </w:rPr>
        <w:t xml:space="preserve"> </w:t>
      </w:r>
    </w:p>
    <w:p w14:paraId="0D6EE256" w14:textId="43576182" w:rsidR="00504363" w:rsidRDefault="00504363" w:rsidP="006A2A26">
      <w:pPr>
        <w:ind w:left="720" w:hanging="720"/>
        <w:rPr>
          <w:rFonts w:ascii="Garamond" w:hAnsi="Garamond"/>
        </w:rPr>
      </w:pPr>
      <w:r>
        <w:rPr>
          <w:rFonts w:ascii="Garamond" w:hAnsi="Garamond"/>
        </w:rPr>
        <w:t>Python – data manipulation</w:t>
      </w:r>
      <w:r w:rsidR="003805D6">
        <w:rPr>
          <w:rFonts w:ascii="Garamond" w:hAnsi="Garamond"/>
        </w:rPr>
        <w:t xml:space="preserve">, data </w:t>
      </w:r>
      <w:r>
        <w:rPr>
          <w:rFonts w:ascii="Garamond" w:hAnsi="Garamond"/>
        </w:rPr>
        <w:t xml:space="preserve">management, </w:t>
      </w:r>
      <w:r w:rsidR="003805D6">
        <w:rPr>
          <w:rFonts w:ascii="Garamond" w:hAnsi="Garamond"/>
        </w:rPr>
        <w:t>process automation</w:t>
      </w:r>
      <w:r>
        <w:rPr>
          <w:rFonts w:ascii="Garamond" w:hAnsi="Garamond"/>
        </w:rPr>
        <w:t xml:space="preserve">  </w:t>
      </w:r>
    </w:p>
    <w:p w14:paraId="600FA1B9" w14:textId="77777777" w:rsidR="00272CD9" w:rsidRPr="00936A45" w:rsidRDefault="00272CD9" w:rsidP="00DC6974">
      <w:pPr>
        <w:ind w:left="720" w:hanging="720"/>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1538F2" w:rsidRPr="001538F2" w14:paraId="2A0027C9" w14:textId="77777777" w:rsidTr="00D8099F">
        <w:tc>
          <w:tcPr>
            <w:tcW w:w="2160" w:type="dxa"/>
            <w:shd w:val="clear" w:color="auto" w:fill="31849B" w:themeFill="accent5" w:themeFillShade="BF"/>
            <w:vAlign w:val="center"/>
          </w:tcPr>
          <w:p w14:paraId="67DE7A20" w14:textId="36E31C2D" w:rsidR="001538F2" w:rsidRPr="00636FAE" w:rsidRDefault="001538F2" w:rsidP="00B560ED">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D8099F">
        <w:tc>
          <w:tcPr>
            <w:tcW w:w="2160" w:type="dxa"/>
            <w:vAlign w:val="center"/>
          </w:tcPr>
          <w:p w14:paraId="6303043D" w14:textId="5CA0BB46" w:rsidR="001538F2" w:rsidRPr="008A4B10" w:rsidRDefault="003141F9" w:rsidP="003141F9">
            <w:pPr>
              <w:rPr>
                <w:rFonts w:ascii="Garamond" w:hAnsi="Garamond"/>
                <w:b/>
                <w:bCs/>
              </w:rPr>
            </w:pPr>
            <w:r>
              <w:rPr>
                <w:rFonts w:ascii="Garamond" w:hAnsi="Garamond"/>
                <w:b/>
                <w:bCs/>
              </w:rPr>
              <w:t xml:space="preserve">Percent Impervious Surface Maps </w:t>
            </w:r>
          </w:p>
        </w:tc>
        <w:tc>
          <w:tcPr>
            <w:tcW w:w="3240" w:type="dxa"/>
            <w:vAlign w:val="center"/>
          </w:tcPr>
          <w:p w14:paraId="05C6772C" w14:textId="13DC1589" w:rsidR="001538F2" w:rsidRPr="00EC3694" w:rsidRDefault="00956257" w:rsidP="004F4D56">
            <w:pPr>
              <w:rPr>
                <w:rFonts w:ascii="Garamond" w:hAnsi="Garamond"/>
              </w:rPr>
            </w:pPr>
            <w:r>
              <w:rPr>
                <w:rFonts w:ascii="Garamond" w:hAnsi="Garamond"/>
              </w:rPr>
              <w:t>The partner will use these maps to understand the spatial distribution of impervious surfaces</w:t>
            </w:r>
            <w:r w:rsidR="00D8099F">
              <w:rPr>
                <w:rFonts w:ascii="Garamond" w:hAnsi="Garamond"/>
              </w:rPr>
              <w:t xml:space="preserve">, which they can use </w:t>
            </w:r>
            <w:r w:rsidR="004F4D56">
              <w:rPr>
                <w:rFonts w:ascii="Garamond" w:hAnsi="Garamond"/>
              </w:rPr>
              <w:t>to analyze</w:t>
            </w:r>
            <w:r w:rsidR="00BB5CDE">
              <w:rPr>
                <w:rFonts w:ascii="Garamond" w:hAnsi="Garamond"/>
              </w:rPr>
              <w:t xml:space="preserve"> hydrology </w:t>
            </w:r>
            <w:r w:rsidR="004F4D56">
              <w:rPr>
                <w:rFonts w:ascii="Garamond" w:hAnsi="Garamond"/>
              </w:rPr>
              <w:t xml:space="preserve">across the city </w:t>
            </w:r>
            <w:r w:rsidR="00BB5CDE">
              <w:rPr>
                <w:rFonts w:ascii="Garamond" w:hAnsi="Garamond"/>
              </w:rPr>
              <w:t>and</w:t>
            </w:r>
            <w:r w:rsidR="004F4D56">
              <w:rPr>
                <w:rFonts w:ascii="Garamond" w:hAnsi="Garamond"/>
              </w:rPr>
              <w:t xml:space="preserve"> make decisions about</w:t>
            </w:r>
            <w:r w:rsidR="00BB5CDE">
              <w:rPr>
                <w:rFonts w:ascii="Garamond" w:hAnsi="Garamond"/>
              </w:rPr>
              <w:t xml:space="preserve"> urban planning</w:t>
            </w:r>
            <w:r w:rsidR="00D8099F">
              <w:rPr>
                <w:rFonts w:ascii="Garamond" w:hAnsi="Garamond"/>
              </w:rPr>
              <w:t xml:space="preserve">. </w:t>
            </w:r>
          </w:p>
        </w:tc>
        <w:tc>
          <w:tcPr>
            <w:tcW w:w="2880" w:type="dxa"/>
            <w:vAlign w:val="center"/>
          </w:tcPr>
          <w:p w14:paraId="29D692C0" w14:textId="36DA8BE2" w:rsidR="001538F2" w:rsidRPr="005C6FC1" w:rsidRDefault="00956257" w:rsidP="00936A45">
            <w:pPr>
              <w:rPr>
                <w:rFonts w:ascii="Garamond" w:hAnsi="Garamond"/>
              </w:rPr>
            </w:pPr>
            <w:r>
              <w:rPr>
                <w:rFonts w:ascii="Garamond" w:hAnsi="Garamond"/>
              </w:rPr>
              <w:t xml:space="preserve">Landsat and Sentinel data will be used in conjunction with </w:t>
            </w:r>
            <w:proofErr w:type="gramStart"/>
            <w:r>
              <w:rPr>
                <w:rFonts w:ascii="Garamond" w:hAnsi="Garamond"/>
              </w:rPr>
              <w:t>high resolution</w:t>
            </w:r>
            <w:proofErr w:type="gramEnd"/>
            <w:r>
              <w:rPr>
                <w:rFonts w:ascii="Garamond" w:hAnsi="Garamond"/>
              </w:rPr>
              <w:t xml:space="preserve"> data from the partner to generate these distribution maps.</w:t>
            </w:r>
          </w:p>
        </w:tc>
        <w:tc>
          <w:tcPr>
            <w:tcW w:w="1080" w:type="dxa"/>
            <w:vAlign w:val="center"/>
          </w:tcPr>
          <w:p w14:paraId="33182638" w14:textId="052D3E5B" w:rsidR="001538F2" w:rsidRPr="005C6FC1" w:rsidRDefault="00C83576" w:rsidP="00936A45">
            <w:pPr>
              <w:rPr>
                <w:rFonts w:ascii="Garamond" w:hAnsi="Garamond"/>
              </w:rPr>
            </w:pPr>
            <w:r w:rsidRPr="005C6FC1">
              <w:rPr>
                <w:rFonts w:ascii="Garamond" w:hAnsi="Garamond"/>
              </w:rPr>
              <w:t>N/A</w:t>
            </w:r>
          </w:p>
        </w:tc>
      </w:tr>
      <w:tr w:rsidR="00D8099F" w:rsidRPr="00CD0433" w14:paraId="45769195" w14:textId="77777777" w:rsidTr="00D8099F">
        <w:tc>
          <w:tcPr>
            <w:tcW w:w="2160" w:type="dxa"/>
            <w:vAlign w:val="center"/>
          </w:tcPr>
          <w:p w14:paraId="1022D2CA" w14:textId="78E41C7D" w:rsidR="00D8099F" w:rsidRDefault="00D8099F" w:rsidP="00D8099F">
            <w:pPr>
              <w:rPr>
                <w:rFonts w:ascii="Garamond" w:hAnsi="Garamond"/>
                <w:b/>
                <w:bCs/>
              </w:rPr>
            </w:pPr>
            <w:r>
              <w:rPr>
                <w:rFonts w:ascii="Garamond" w:hAnsi="Garamond"/>
                <w:b/>
                <w:bCs/>
              </w:rPr>
              <w:t>Impervious Surface Change Maps</w:t>
            </w:r>
          </w:p>
        </w:tc>
        <w:tc>
          <w:tcPr>
            <w:tcW w:w="3240" w:type="dxa"/>
            <w:vAlign w:val="center"/>
          </w:tcPr>
          <w:p w14:paraId="22FD3FCA" w14:textId="5FC116CA" w:rsidR="00D8099F" w:rsidRDefault="00D8099F" w:rsidP="00D8099F">
            <w:pPr>
              <w:rPr>
                <w:rFonts w:ascii="Garamond" w:hAnsi="Garamond"/>
              </w:rPr>
            </w:pPr>
            <w:r>
              <w:rPr>
                <w:rFonts w:ascii="Garamond" w:hAnsi="Garamond"/>
              </w:rPr>
              <w:t xml:space="preserve">The partner will use these to visualize changes in impervious surface distribution through time. </w:t>
            </w:r>
          </w:p>
        </w:tc>
        <w:tc>
          <w:tcPr>
            <w:tcW w:w="2880" w:type="dxa"/>
            <w:vAlign w:val="center"/>
          </w:tcPr>
          <w:p w14:paraId="6884E8E5" w14:textId="77F37B30" w:rsidR="00D8099F" w:rsidRDefault="00D8099F" w:rsidP="00D8099F">
            <w:pPr>
              <w:rPr>
                <w:rFonts w:ascii="Garamond" w:hAnsi="Garamond"/>
              </w:rPr>
            </w:pPr>
            <w:r>
              <w:rPr>
                <w:rFonts w:ascii="Garamond" w:hAnsi="Garamond"/>
              </w:rPr>
              <w:t xml:space="preserve">These maps will be based on an assessment of the Percent Impervious Surface Maps, which themselves are based on Landsat and Sentinel data. </w:t>
            </w:r>
          </w:p>
        </w:tc>
        <w:tc>
          <w:tcPr>
            <w:tcW w:w="1080" w:type="dxa"/>
            <w:vAlign w:val="center"/>
          </w:tcPr>
          <w:p w14:paraId="4DE78217" w14:textId="4EAADDDE" w:rsidR="00D8099F" w:rsidRPr="005C6FC1" w:rsidRDefault="00D8099F" w:rsidP="00D8099F">
            <w:pPr>
              <w:rPr>
                <w:rFonts w:ascii="Garamond" w:hAnsi="Garamond"/>
              </w:rPr>
            </w:pPr>
            <w:r>
              <w:rPr>
                <w:rFonts w:ascii="Garamond" w:hAnsi="Garamond"/>
              </w:rPr>
              <w:t>N/A</w:t>
            </w:r>
          </w:p>
        </w:tc>
      </w:tr>
      <w:tr w:rsidR="00D8099F" w:rsidRPr="00CD0433" w14:paraId="113EDCF9" w14:textId="77777777" w:rsidTr="00D8099F">
        <w:tc>
          <w:tcPr>
            <w:tcW w:w="2160" w:type="dxa"/>
            <w:vAlign w:val="center"/>
          </w:tcPr>
          <w:p w14:paraId="013EBC12" w14:textId="389FC9C6" w:rsidR="00D8099F" w:rsidRDefault="00D8099F" w:rsidP="00D8099F">
            <w:pPr>
              <w:rPr>
                <w:rFonts w:ascii="Garamond" w:hAnsi="Garamond"/>
                <w:b/>
                <w:bCs/>
              </w:rPr>
            </w:pPr>
            <w:r>
              <w:rPr>
                <w:rFonts w:ascii="Garamond" w:hAnsi="Garamond"/>
                <w:b/>
                <w:bCs/>
              </w:rPr>
              <w:t xml:space="preserve">Percent Urban Canopy Maps </w:t>
            </w:r>
          </w:p>
        </w:tc>
        <w:tc>
          <w:tcPr>
            <w:tcW w:w="3240" w:type="dxa"/>
            <w:vAlign w:val="center"/>
          </w:tcPr>
          <w:p w14:paraId="5EC19E75" w14:textId="02B141AE" w:rsidR="00D8099F" w:rsidRPr="00EC3694" w:rsidRDefault="00D8099F" w:rsidP="00D8099F">
            <w:pPr>
              <w:rPr>
                <w:rFonts w:ascii="Garamond" w:hAnsi="Garamond"/>
              </w:rPr>
            </w:pPr>
            <w:r>
              <w:rPr>
                <w:rFonts w:ascii="Garamond" w:hAnsi="Garamond"/>
              </w:rPr>
              <w:t xml:space="preserve">The partner will use these maps to understand the spatial distribution of trees and vegetation, which they can </w:t>
            </w:r>
            <w:r w:rsidR="00EE3E48">
              <w:rPr>
                <w:rFonts w:ascii="Garamond" w:hAnsi="Garamond"/>
              </w:rPr>
              <w:t>use to analyze hydrology across the city and make decisions about urban planning.</w:t>
            </w:r>
          </w:p>
        </w:tc>
        <w:tc>
          <w:tcPr>
            <w:tcW w:w="2880" w:type="dxa"/>
            <w:vAlign w:val="center"/>
          </w:tcPr>
          <w:p w14:paraId="44E8D6E1" w14:textId="4DA0705A" w:rsidR="00D8099F" w:rsidRPr="005C6FC1" w:rsidRDefault="00D8099F" w:rsidP="00D8099F">
            <w:pPr>
              <w:rPr>
                <w:rFonts w:ascii="Garamond" w:hAnsi="Garamond"/>
              </w:rPr>
            </w:pPr>
            <w:r>
              <w:rPr>
                <w:rFonts w:ascii="Garamond" w:hAnsi="Garamond"/>
              </w:rPr>
              <w:t xml:space="preserve">Landsat and Sentinel data </w:t>
            </w:r>
            <w:proofErr w:type="gramStart"/>
            <w:r>
              <w:rPr>
                <w:rFonts w:ascii="Garamond" w:hAnsi="Garamond"/>
              </w:rPr>
              <w:t>will be used</w:t>
            </w:r>
            <w:proofErr w:type="gramEnd"/>
            <w:r>
              <w:rPr>
                <w:rFonts w:ascii="Garamond" w:hAnsi="Garamond"/>
              </w:rPr>
              <w:t xml:space="preserve"> in conjunction with </w:t>
            </w:r>
            <w:r w:rsidR="009D7AFD">
              <w:rPr>
                <w:rFonts w:ascii="Garamond" w:hAnsi="Garamond"/>
              </w:rPr>
              <w:t>high-resolution</w:t>
            </w:r>
            <w:r>
              <w:rPr>
                <w:rFonts w:ascii="Garamond" w:hAnsi="Garamond"/>
              </w:rPr>
              <w:t xml:space="preserve"> data from the partner to generate these distribution maps. </w:t>
            </w:r>
          </w:p>
        </w:tc>
        <w:tc>
          <w:tcPr>
            <w:tcW w:w="1080" w:type="dxa"/>
            <w:vAlign w:val="center"/>
          </w:tcPr>
          <w:p w14:paraId="33885C04" w14:textId="3D8EED5C" w:rsidR="00D8099F" w:rsidRPr="005C6FC1" w:rsidRDefault="00D8099F" w:rsidP="00D8099F">
            <w:pPr>
              <w:rPr>
                <w:rFonts w:ascii="Garamond" w:hAnsi="Garamond"/>
              </w:rPr>
            </w:pPr>
            <w:r>
              <w:rPr>
                <w:rFonts w:ascii="Garamond" w:hAnsi="Garamond"/>
              </w:rPr>
              <w:t>N/A</w:t>
            </w:r>
          </w:p>
        </w:tc>
      </w:tr>
      <w:tr w:rsidR="00D8099F" w:rsidRPr="00CD0433" w14:paraId="42922742" w14:textId="77777777" w:rsidTr="00D8099F">
        <w:tc>
          <w:tcPr>
            <w:tcW w:w="2160" w:type="dxa"/>
            <w:vAlign w:val="center"/>
          </w:tcPr>
          <w:p w14:paraId="2238AC9F" w14:textId="311E0718" w:rsidR="00D8099F" w:rsidRDefault="00D8099F" w:rsidP="00D8099F">
            <w:pPr>
              <w:rPr>
                <w:rFonts w:ascii="Garamond" w:hAnsi="Garamond"/>
                <w:b/>
                <w:bCs/>
              </w:rPr>
            </w:pPr>
            <w:r>
              <w:rPr>
                <w:rFonts w:ascii="Garamond" w:hAnsi="Garamond"/>
                <w:b/>
                <w:bCs/>
              </w:rPr>
              <w:t>Urban Canopy Change Maps</w:t>
            </w:r>
          </w:p>
        </w:tc>
        <w:tc>
          <w:tcPr>
            <w:tcW w:w="3240" w:type="dxa"/>
            <w:vAlign w:val="center"/>
          </w:tcPr>
          <w:p w14:paraId="73431C30" w14:textId="287EDB4B" w:rsidR="00D8099F" w:rsidRPr="00EC3694" w:rsidRDefault="00D8099F" w:rsidP="00D8099F">
            <w:pPr>
              <w:rPr>
                <w:rFonts w:ascii="Garamond" w:hAnsi="Garamond"/>
              </w:rPr>
            </w:pPr>
            <w:r>
              <w:rPr>
                <w:rFonts w:ascii="Garamond" w:hAnsi="Garamond"/>
              </w:rPr>
              <w:t xml:space="preserve">The partner will use these to visualize changes in urban canopy distribution through time. </w:t>
            </w:r>
          </w:p>
        </w:tc>
        <w:tc>
          <w:tcPr>
            <w:tcW w:w="2880" w:type="dxa"/>
            <w:vAlign w:val="center"/>
          </w:tcPr>
          <w:p w14:paraId="709D41C4" w14:textId="161856C7" w:rsidR="00D8099F" w:rsidRPr="005C6FC1" w:rsidRDefault="00D8099F" w:rsidP="00D8099F">
            <w:pPr>
              <w:rPr>
                <w:rFonts w:ascii="Garamond" w:hAnsi="Garamond"/>
              </w:rPr>
            </w:pPr>
            <w:r>
              <w:rPr>
                <w:rFonts w:ascii="Garamond" w:hAnsi="Garamond"/>
              </w:rPr>
              <w:t xml:space="preserve">These maps will be based on an assessment of the Percent Urban Canopy Maps, which themselves are based on Landsat and Sentinel data. </w:t>
            </w:r>
          </w:p>
        </w:tc>
        <w:tc>
          <w:tcPr>
            <w:tcW w:w="1080" w:type="dxa"/>
            <w:vAlign w:val="center"/>
          </w:tcPr>
          <w:p w14:paraId="5BF0DE6F" w14:textId="425947EC" w:rsidR="00D8099F" w:rsidRDefault="00D8099F" w:rsidP="00D8099F">
            <w:pPr>
              <w:rPr>
                <w:rFonts w:ascii="Garamond" w:hAnsi="Garamond"/>
              </w:rPr>
            </w:pPr>
            <w:r>
              <w:rPr>
                <w:rFonts w:ascii="Garamond" w:hAnsi="Garamond"/>
              </w:rPr>
              <w:t>N/A</w:t>
            </w:r>
          </w:p>
        </w:tc>
      </w:tr>
      <w:tr w:rsidR="00D8099F" w:rsidRPr="00CD0433" w14:paraId="6CADEA21" w14:textId="77777777" w:rsidTr="00D8099F">
        <w:tc>
          <w:tcPr>
            <w:tcW w:w="2160" w:type="dxa"/>
            <w:vAlign w:val="center"/>
          </w:tcPr>
          <w:p w14:paraId="60ADAAAA" w14:textId="62376085" w:rsidR="00D8099F" w:rsidRPr="008A4B10" w:rsidRDefault="00D8099F" w:rsidP="00E46663">
            <w:pPr>
              <w:rPr>
                <w:rFonts w:ascii="Garamond" w:hAnsi="Garamond"/>
                <w:b/>
                <w:bCs/>
              </w:rPr>
            </w:pPr>
            <w:r>
              <w:rPr>
                <w:rFonts w:ascii="Garamond" w:hAnsi="Garamond"/>
                <w:b/>
                <w:bCs/>
              </w:rPr>
              <w:t xml:space="preserve">Project Methodology </w:t>
            </w:r>
            <w:r w:rsidR="00E46663">
              <w:rPr>
                <w:rFonts w:ascii="Garamond" w:hAnsi="Garamond"/>
                <w:b/>
                <w:bCs/>
              </w:rPr>
              <w:t xml:space="preserve">Tutorial </w:t>
            </w:r>
          </w:p>
        </w:tc>
        <w:tc>
          <w:tcPr>
            <w:tcW w:w="3240" w:type="dxa"/>
            <w:vAlign w:val="center"/>
          </w:tcPr>
          <w:p w14:paraId="017926FC" w14:textId="017EA84F" w:rsidR="00D8099F" w:rsidRPr="005C6FC1" w:rsidRDefault="00D8099F" w:rsidP="00E46663">
            <w:pPr>
              <w:rPr>
                <w:rFonts w:ascii="Garamond" w:hAnsi="Garamond"/>
              </w:rPr>
            </w:pPr>
            <w:r>
              <w:rPr>
                <w:rFonts w:ascii="Garamond" w:hAnsi="Garamond"/>
              </w:rPr>
              <w:t xml:space="preserve">The partner will use the </w:t>
            </w:r>
            <w:r w:rsidR="00E46663">
              <w:rPr>
                <w:rFonts w:ascii="Garamond" w:hAnsi="Garamond"/>
              </w:rPr>
              <w:t xml:space="preserve">tutorial </w:t>
            </w:r>
            <w:r>
              <w:rPr>
                <w:rFonts w:ascii="Garamond" w:hAnsi="Garamond"/>
              </w:rPr>
              <w:t xml:space="preserve">as a point of reference to understand and potentially replicate the </w:t>
            </w:r>
            <w:r w:rsidR="00FC5AA3">
              <w:rPr>
                <w:rFonts w:ascii="Garamond" w:hAnsi="Garamond"/>
              </w:rPr>
              <w:t>methods of the project</w:t>
            </w:r>
            <w:r>
              <w:rPr>
                <w:rFonts w:ascii="Garamond" w:hAnsi="Garamond"/>
              </w:rPr>
              <w:t xml:space="preserve"> in the future</w:t>
            </w:r>
            <w:r w:rsidR="00FC5AA3">
              <w:rPr>
                <w:rFonts w:ascii="Garamond" w:hAnsi="Garamond"/>
              </w:rPr>
              <w:t>.</w:t>
            </w:r>
          </w:p>
        </w:tc>
        <w:tc>
          <w:tcPr>
            <w:tcW w:w="2880" w:type="dxa"/>
            <w:vAlign w:val="center"/>
          </w:tcPr>
          <w:p w14:paraId="1FD94241" w14:textId="52C80E8D" w:rsidR="00D8099F" w:rsidRPr="005C6FC1" w:rsidRDefault="00D8099F" w:rsidP="00D8099F">
            <w:pPr>
              <w:rPr>
                <w:rFonts w:ascii="Garamond" w:hAnsi="Garamond"/>
              </w:rPr>
            </w:pPr>
            <w:r>
              <w:rPr>
                <w:rFonts w:ascii="Garamond" w:hAnsi="Garamond"/>
              </w:rPr>
              <w:t>N/A</w:t>
            </w:r>
          </w:p>
        </w:tc>
        <w:tc>
          <w:tcPr>
            <w:tcW w:w="1080" w:type="dxa"/>
            <w:vAlign w:val="center"/>
          </w:tcPr>
          <w:p w14:paraId="6CCF6DA3" w14:textId="4DC4DF8B" w:rsidR="00D8099F" w:rsidRPr="005C6FC1" w:rsidRDefault="00D8099F" w:rsidP="00D8099F">
            <w:pPr>
              <w:rPr>
                <w:rFonts w:ascii="Garamond" w:hAnsi="Garamond"/>
              </w:rPr>
            </w:pPr>
            <w:r>
              <w:rPr>
                <w:rFonts w:ascii="Garamond" w:hAnsi="Garamond"/>
              </w:rPr>
              <w:t>N/A</w:t>
            </w:r>
          </w:p>
        </w:tc>
      </w:tr>
    </w:tbl>
    <w:p w14:paraId="66FBE966" w14:textId="77777777" w:rsidR="00073224" w:rsidRPr="00936A45" w:rsidRDefault="00073224" w:rsidP="00073224"/>
    <w:p w14:paraId="6935E02B" w14:textId="58F4D193" w:rsidR="000F76DA" w:rsidRDefault="000F76DA" w:rsidP="00C72F1A">
      <w:pPr>
        <w:rPr>
          <w:sz w:val="20"/>
          <w:szCs w:val="20"/>
        </w:rPr>
      </w:pPr>
      <w:r w:rsidRPr="00EC3694">
        <w:rPr>
          <w:b/>
          <w:i/>
          <w:sz w:val="20"/>
          <w:szCs w:val="20"/>
        </w:rPr>
        <w:t>End-User Benefit</w:t>
      </w:r>
      <w:r w:rsidRPr="00EC3694">
        <w:rPr>
          <w:b/>
          <w:sz w:val="20"/>
          <w:szCs w:val="20"/>
        </w:rPr>
        <w:t>:</w:t>
      </w:r>
      <w:r w:rsidR="00C72F1A" w:rsidRPr="00EC3694">
        <w:rPr>
          <w:sz w:val="20"/>
          <w:szCs w:val="20"/>
        </w:rPr>
        <w:t xml:space="preserve"> </w:t>
      </w:r>
      <w:r w:rsidR="009868C5">
        <w:rPr>
          <w:rFonts w:ascii="Garamond" w:hAnsi="Garamond"/>
        </w:rPr>
        <w:t xml:space="preserve">The results of this project will allow end users </w:t>
      </w:r>
      <w:r w:rsidR="00BB5CDE">
        <w:rPr>
          <w:rFonts w:ascii="Garamond" w:hAnsi="Garamond"/>
        </w:rPr>
        <w:t>at</w:t>
      </w:r>
      <w:r w:rsidR="009868C5">
        <w:rPr>
          <w:rFonts w:ascii="Garamond" w:hAnsi="Garamond"/>
        </w:rPr>
        <w:t xml:space="preserve"> the City of Hampton </w:t>
      </w:r>
      <w:proofErr w:type="gramStart"/>
      <w:r w:rsidR="009868C5">
        <w:rPr>
          <w:rFonts w:ascii="Garamond" w:hAnsi="Garamond"/>
        </w:rPr>
        <w:t>to better understand</w:t>
      </w:r>
      <w:proofErr w:type="gramEnd"/>
      <w:r w:rsidR="009868C5">
        <w:rPr>
          <w:rFonts w:ascii="Garamond" w:hAnsi="Garamond"/>
        </w:rPr>
        <w:t xml:space="preserve"> the distribution of impervious surfaces and urban vegetation. In the broader context of their work, these are important parameters to build into hydrologic models and urban planning procedures. They hope </w:t>
      </w:r>
      <w:proofErr w:type="gramStart"/>
      <w:r w:rsidR="009868C5">
        <w:rPr>
          <w:rFonts w:ascii="Garamond" w:hAnsi="Garamond"/>
        </w:rPr>
        <w:t>to better understand</w:t>
      </w:r>
      <w:proofErr w:type="gramEnd"/>
      <w:r w:rsidR="009868C5">
        <w:rPr>
          <w:rFonts w:ascii="Garamond" w:hAnsi="Garamond"/>
        </w:rPr>
        <w:t xml:space="preserve"> how impervious surfaces and urban vegetation affect the movement of water across the landscape. These </w:t>
      </w:r>
      <w:proofErr w:type="gramStart"/>
      <w:r w:rsidR="009868C5">
        <w:rPr>
          <w:rFonts w:ascii="Garamond" w:hAnsi="Garamond"/>
        </w:rPr>
        <w:t>end products</w:t>
      </w:r>
      <w:proofErr w:type="gramEnd"/>
      <w:r w:rsidR="009868C5">
        <w:rPr>
          <w:rFonts w:ascii="Garamond" w:hAnsi="Garamond"/>
        </w:rPr>
        <w:t xml:space="preserve"> will give them initial insight into important spatial relationships and give a preliminary assessment of ecosystem services. This will allow them to make </w:t>
      </w:r>
      <w:r w:rsidR="00FC5AA3">
        <w:rPr>
          <w:rFonts w:ascii="Garamond" w:hAnsi="Garamond"/>
        </w:rPr>
        <w:t>better-</w:t>
      </w:r>
      <w:r w:rsidR="009868C5">
        <w:rPr>
          <w:rFonts w:ascii="Garamond" w:hAnsi="Garamond"/>
        </w:rPr>
        <w:t xml:space="preserve">informed decisions about tree planting and planning procedures.  </w:t>
      </w:r>
    </w:p>
    <w:p w14:paraId="65D5D76F" w14:textId="57B6A33A" w:rsidR="004B14C8" w:rsidRDefault="004B14C8" w:rsidP="00272CD9">
      <w:pPr>
        <w:pBdr>
          <w:bottom w:val="single" w:sz="4" w:space="1" w:color="auto"/>
        </w:pBdr>
        <w:rPr>
          <w:b/>
          <w:szCs w:val="20"/>
        </w:rPr>
      </w:pPr>
    </w:p>
    <w:p w14:paraId="735A3735" w14:textId="53A824C0"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5A37960F"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E13061">
        <w:rPr>
          <w:rFonts w:ascii="Garamond" w:hAnsi="Garamond"/>
        </w:rPr>
        <w:t>2</w:t>
      </w:r>
      <w:r w:rsidR="00107706">
        <w:rPr>
          <w:rFonts w:ascii="Garamond" w:hAnsi="Garamond"/>
        </w:rPr>
        <w:t xml:space="preserve"> Term</w:t>
      </w:r>
      <w:r w:rsidR="00E13061">
        <w:rPr>
          <w:rFonts w:ascii="Garamond" w:hAnsi="Garamond"/>
        </w:rPr>
        <w:t>s</w:t>
      </w:r>
      <w:r w:rsidR="008B1DE1">
        <w:rPr>
          <w:rFonts w:ascii="Garamond" w:hAnsi="Garamond"/>
        </w:rPr>
        <w:t xml:space="preserve">: </w:t>
      </w:r>
      <w:r w:rsidR="00E13061">
        <w:rPr>
          <w:rFonts w:ascii="Garamond" w:hAnsi="Garamond"/>
        </w:rPr>
        <w:t>201</w:t>
      </w:r>
      <w:r w:rsidR="001354BC">
        <w:rPr>
          <w:rFonts w:ascii="Garamond" w:hAnsi="Garamond"/>
        </w:rPr>
        <w:t>8</w:t>
      </w:r>
      <w:r w:rsidR="00E13061">
        <w:rPr>
          <w:rFonts w:ascii="Garamond" w:hAnsi="Garamond"/>
        </w:rPr>
        <w:t xml:space="preserve"> </w:t>
      </w:r>
      <w:proofErr w:type="gramStart"/>
      <w:r w:rsidR="00E13061">
        <w:rPr>
          <w:rFonts w:ascii="Garamond" w:hAnsi="Garamond"/>
        </w:rPr>
        <w:t>Fall</w:t>
      </w:r>
      <w:proofErr w:type="gramEnd"/>
      <w:r w:rsidR="00E13061">
        <w:rPr>
          <w:rFonts w:ascii="Garamond" w:hAnsi="Garamond"/>
        </w:rPr>
        <w:t xml:space="preserve"> </w:t>
      </w:r>
      <w:r w:rsidR="001354BC">
        <w:rPr>
          <w:rFonts w:ascii="Garamond" w:hAnsi="Garamond"/>
        </w:rPr>
        <w:t>and</w:t>
      </w:r>
      <w:r w:rsidR="00E13061">
        <w:rPr>
          <w:rFonts w:ascii="Garamond" w:hAnsi="Garamond"/>
        </w:rPr>
        <w:t xml:space="preserve"> 2019 </w:t>
      </w:r>
      <w:r w:rsidR="008B1DE1">
        <w:rPr>
          <w:rFonts w:ascii="Garamond" w:hAnsi="Garamond"/>
        </w:rPr>
        <w:t>Summer</w:t>
      </w:r>
      <w:r w:rsidR="00107706">
        <w:rPr>
          <w:rFonts w:ascii="Garamond" w:hAnsi="Garamond"/>
        </w:rPr>
        <w:t xml:space="preserve"> </w:t>
      </w:r>
    </w:p>
    <w:p w14:paraId="0E47B3BF" w14:textId="3226F0E9" w:rsidR="00461AA0" w:rsidRPr="00936A45" w:rsidRDefault="00461AA0" w:rsidP="00272CD9"/>
    <w:p w14:paraId="1E0F9639" w14:textId="77777777" w:rsidR="00C26CDC" w:rsidRPr="00272CD9" w:rsidRDefault="00C26CDC" w:rsidP="00C26CDC">
      <w:pPr>
        <w:rPr>
          <w:b/>
          <w:i/>
          <w:sz w:val="20"/>
          <w:szCs w:val="20"/>
        </w:rPr>
      </w:pPr>
      <w:r w:rsidRPr="00272CD9">
        <w:rPr>
          <w:b/>
          <w:i/>
          <w:sz w:val="20"/>
          <w:szCs w:val="20"/>
        </w:rPr>
        <w:t>Multi-Term Objectives:</w:t>
      </w:r>
    </w:p>
    <w:p w14:paraId="5702B823" w14:textId="520DE06D" w:rsidR="00C26CDC" w:rsidRPr="005C6FC1" w:rsidRDefault="00C26CDC" w:rsidP="00C26CDC">
      <w:pPr>
        <w:pStyle w:val="ListParagraph"/>
        <w:numPr>
          <w:ilvl w:val="0"/>
          <w:numId w:val="2"/>
        </w:numPr>
        <w:ind w:left="540" w:hanging="180"/>
        <w:contextualSpacing w:val="0"/>
        <w:rPr>
          <w:rFonts w:ascii="Garamond" w:hAnsi="Garamond"/>
          <w:b/>
        </w:rPr>
      </w:pPr>
      <w:r w:rsidRPr="00CD0433">
        <w:rPr>
          <w:b/>
          <w:sz w:val="20"/>
          <w:szCs w:val="20"/>
        </w:rPr>
        <w:lastRenderedPageBreak/>
        <w:t>Term 1</w:t>
      </w:r>
      <w:r>
        <w:rPr>
          <w:b/>
          <w:sz w:val="20"/>
          <w:szCs w:val="20"/>
        </w:rPr>
        <w:t>:</w:t>
      </w:r>
      <w:r>
        <w:rPr>
          <w:sz w:val="20"/>
          <w:szCs w:val="20"/>
        </w:rPr>
        <w:t xml:space="preserve"> </w:t>
      </w:r>
      <w:r w:rsidR="00E13061" w:rsidRPr="004F4D56">
        <w:rPr>
          <w:rFonts w:ascii="Garamond" w:hAnsi="Garamond"/>
          <w:sz w:val="20"/>
          <w:szCs w:val="20"/>
        </w:rPr>
        <w:t>2019 Fall</w:t>
      </w:r>
      <w:r>
        <w:rPr>
          <w:rFonts w:ascii="Garamond" w:hAnsi="Garamond"/>
        </w:rPr>
        <w:t xml:space="preserve"> (</w:t>
      </w:r>
      <w:proofErr w:type="spellStart"/>
      <w:r w:rsidR="00E13061">
        <w:rPr>
          <w:rFonts w:ascii="Garamond" w:hAnsi="Garamond"/>
        </w:rPr>
        <w:t>LaRC</w:t>
      </w:r>
      <w:proofErr w:type="spellEnd"/>
      <w:r w:rsidRPr="005C6FC1">
        <w:rPr>
          <w:rFonts w:ascii="Garamond" w:hAnsi="Garamond"/>
        </w:rPr>
        <w:t xml:space="preserve">) – </w:t>
      </w:r>
      <w:r w:rsidR="00E13061">
        <w:rPr>
          <w:rFonts w:ascii="Garamond" w:hAnsi="Garamond"/>
        </w:rPr>
        <w:t xml:space="preserve">Hampton </w:t>
      </w:r>
      <w:r w:rsidR="009D417B">
        <w:rPr>
          <w:rFonts w:ascii="Garamond" w:hAnsi="Garamond"/>
        </w:rPr>
        <w:t xml:space="preserve">Roads </w:t>
      </w:r>
      <w:r w:rsidR="00E13061">
        <w:rPr>
          <w:rFonts w:ascii="Garamond" w:hAnsi="Garamond"/>
        </w:rPr>
        <w:t>Urban Development</w:t>
      </w:r>
    </w:p>
    <w:p w14:paraId="1E5EEFBB" w14:textId="2DD142DF" w:rsidR="00C26CDC" w:rsidRPr="005C6FC1" w:rsidRDefault="00BF3D08" w:rsidP="00C26CDC">
      <w:pPr>
        <w:pStyle w:val="ListParagraph"/>
        <w:numPr>
          <w:ilvl w:val="1"/>
          <w:numId w:val="2"/>
        </w:numPr>
        <w:contextualSpacing w:val="0"/>
        <w:rPr>
          <w:rFonts w:ascii="Garamond" w:hAnsi="Garamond"/>
          <w:b/>
        </w:rPr>
      </w:pPr>
      <w:r>
        <w:rPr>
          <w:rFonts w:ascii="Garamond" w:hAnsi="Garamond"/>
        </w:rPr>
        <w:t xml:space="preserve">The first term of the project produced coastline change maps to identify areas of concern related to shoreline loss. Using these maps and other factors that </w:t>
      </w:r>
      <w:r w:rsidR="004F4D56">
        <w:rPr>
          <w:rFonts w:ascii="Garamond" w:hAnsi="Garamond"/>
        </w:rPr>
        <w:t>affect</w:t>
      </w:r>
      <w:r>
        <w:rPr>
          <w:rFonts w:ascii="Garamond" w:hAnsi="Garamond"/>
        </w:rPr>
        <w:t xml:space="preserve"> coastal erosion (e.g. elevation, distance to water, soil, land cover, </w:t>
      </w:r>
      <w:proofErr w:type="spellStart"/>
      <w:r>
        <w:rPr>
          <w:rFonts w:ascii="Garamond" w:hAnsi="Garamond"/>
        </w:rPr>
        <w:t>etc</w:t>
      </w:r>
      <w:proofErr w:type="spellEnd"/>
      <w:r>
        <w:rPr>
          <w:rFonts w:ascii="Garamond" w:hAnsi="Garamond"/>
        </w:rPr>
        <w:t xml:space="preserve">) </w:t>
      </w:r>
      <w:r w:rsidR="004F4D56">
        <w:rPr>
          <w:rFonts w:ascii="Garamond" w:hAnsi="Garamond"/>
        </w:rPr>
        <w:t>the team created</w:t>
      </w:r>
      <w:r>
        <w:rPr>
          <w:rFonts w:ascii="Garamond" w:hAnsi="Garamond"/>
        </w:rPr>
        <w:t xml:space="preserve"> </w:t>
      </w:r>
      <w:r w:rsidR="004F4D56">
        <w:rPr>
          <w:rFonts w:ascii="Garamond" w:hAnsi="Garamond"/>
        </w:rPr>
        <w:t xml:space="preserve">a </w:t>
      </w:r>
      <w:r>
        <w:rPr>
          <w:rFonts w:ascii="Garamond" w:hAnsi="Garamond"/>
        </w:rPr>
        <w:t>map</w:t>
      </w:r>
      <w:r w:rsidR="004F4D56">
        <w:rPr>
          <w:rFonts w:ascii="Garamond" w:hAnsi="Garamond"/>
        </w:rPr>
        <w:t xml:space="preserve"> to show localized coastal erosion risk. </w:t>
      </w:r>
      <w:r w:rsidR="002A61B2">
        <w:rPr>
          <w:rFonts w:ascii="Garamond" w:hAnsi="Garamond"/>
        </w:rPr>
        <w:t xml:space="preserve">In collaboration with the City of Hampton, the team created an </w:t>
      </w:r>
      <w:proofErr w:type="spellStart"/>
      <w:r w:rsidR="002A61B2">
        <w:rPr>
          <w:rFonts w:ascii="Garamond" w:hAnsi="Garamond"/>
        </w:rPr>
        <w:t>Esri</w:t>
      </w:r>
      <w:proofErr w:type="spellEnd"/>
      <w:r w:rsidR="002A61B2">
        <w:rPr>
          <w:rFonts w:ascii="Garamond" w:hAnsi="Garamond"/>
        </w:rPr>
        <w:t xml:space="preserve"> Story Map that identifies target areas of concern and restoration for the city.</w:t>
      </w:r>
      <w:r>
        <w:rPr>
          <w:rFonts w:ascii="Garamond" w:hAnsi="Garamond"/>
        </w:rPr>
        <w:t xml:space="preserve"> </w:t>
      </w:r>
    </w:p>
    <w:p w14:paraId="3B1FAAAE" w14:textId="0665C4BE" w:rsidR="00C26CDC" w:rsidRPr="005C6FC1" w:rsidRDefault="00C26CDC" w:rsidP="00C26CDC">
      <w:pPr>
        <w:pStyle w:val="ListParagraph"/>
        <w:numPr>
          <w:ilvl w:val="0"/>
          <w:numId w:val="2"/>
        </w:numPr>
        <w:ind w:left="540" w:hanging="180"/>
        <w:contextualSpacing w:val="0"/>
        <w:rPr>
          <w:rFonts w:ascii="Garamond" w:hAnsi="Garamond"/>
          <w:b/>
        </w:rPr>
      </w:pPr>
      <w:r w:rsidRPr="00CD0433">
        <w:rPr>
          <w:b/>
          <w:sz w:val="20"/>
          <w:szCs w:val="20"/>
        </w:rPr>
        <w:t>Term 2 (Proposed Term)</w:t>
      </w:r>
      <w:r>
        <w:rPr>
          <w:b/>
          <w:sz w:val="20"/>
          <w:szCs w:val="20"/>
        </w:rPr>
        <w:t>:</w:t>
      </w:r>
      <w:r>
        <w:rPr>
          <w:sz w:val="20"/>
          <w:szCs w:val="20"/>
        </w:rPr>
        <w:t xml:space="preserve"> </w:t>
      </w:r>
      <w:r w:rsidR="00E13061">
        <w:rPr>
          <w:rFonts w:ascii="Garamond" w:hAnsi="Garamond"/>
        </w:rPr>
        <w:t xml:space="preserve">2019 Summer </w:t>
      </w:r>
      <w:r w:rsidRPr="005C6FC1">
        <w:rPr>
          <w:rFonts w:ascii="Garamond" w:hAnsi="Garamond"/>
        </w:rPr>
        <w:t>(</w:t>
      </w:r>
      <w:proofErr w:type="spellStart"/>
      <w:r w:rsidR="00E13061">
        <w:rPr>
          <w:rFonts w:ascii="Garamond" w:hAnsi="Garamond"/>
        </w:rPr>
        <w:t>LaRC</w:t>
      </w:r>
      <w:proofErr w:type="spellEnd"/>
      <w:r w:rsidRPr="005C6FC1">
        <w:rPr>
          <w:rFonts w:ascii="Garamond" w:hAnsi="Garamond"/>
        </w:rPr>
        <w:t xml:space="preserve">) – </w:t>
      </w:r>
      <w:r w:rsidR="00E13061">
        <w:rPr>
          <w:rFonts w:ascii="Garamond" w:hAnsi="Garamond"/>
        </w:rPr>
        <w:t xml:space="preserve">Hampton </w:t>
      </w:r>
      <w:r w:rsidR="009D417B">
        <w:rPr>
          <w:rFonts w:ascii="Garamond" w:hAnsi="Garamond"/>
        </w:rPr>
        <w:t xml:space="preserve">Roads </w:t>
      </w:r>
      <w:r w:rsidR="00E13061">
        <w:rPr>
          <w:rFonts w:ascii="Garamond" w:hAnsi="Garamond"/>
        </w:rPr>
        <w:t>Urban Development II</w:t>
      </w:r>
    </w:p>
    <w:p w14:paraId="6F3CCE18" w14:textId="7F33D1F7" w:rsidR="00C26CDC" w:rsidRPr="00C26CDC" w:rsidRDefault="002A61B2" w:rsidP="009D417B">
      <w:pPr>
        <w:pStyle w:val="ListParagraph"/>
        <w:numPr>
          <w:ilvl w:val="1"/>
          <w:numId w:val="2"/>
        </w:numPr>
        <w:rPr>
          <w:b/>
          <w:i/>
          <w:sz w:val="20"/>
          <w:szCs w:val="20"/>
        </w:rPr>
      </w:pPr>
      <w:r>
        <w:rPr>
          <w:rFonts w:ascii="Garamond" w:hAnsi="Garamond"/>
        </w:rPr>
        <w:t xml:space="preserve">The second term will focus on mapping impervious surfaces and tree canopy cover across the </w:t>
      </w:r>
      <w:r w:rsidR="004F4D56">
        <w:rPr>
          <w:rFonts w:ascii="Garamond" w:hAnsi="Garamond"/>
        </w:rPr>
        <w:t xml:space="preserve">City of </w:t>
      </w:r>
      <w:r>
        <w:rPr>
          <w:rFonts w:ascii="Garamond" w:hAnsi="Garamond"/>
        </w:rPr>
        <w:t xml:space="preserve">Hampton. </w:t>
      </w:r>
      <w:r w:rsidR="00EE3E48">
        <w:rPr>
          <w:rFonts w:ascii="Garamond" w:hAnsi="Garamond"/>
        </w:rPr>
        <w:t>The team will create land cover change maps</w:t>
      </w:r>
      <w:r w:rsidR="009D7AFD">
        <w:rPr>
          <w:rFonts w:ascii="Garamond" w:hAnsi="Garamond"/>
        </w:rPr>
        <w:t xml:space="preserve"> to analyze changes in </w:t>
      </w:r>
      <w:r w:rsidR="00410B36">
        <w:rPr>
          <w:rFonts w:ascii="Garamond" w:hAnsi="Garamond"/>
        </w:rPr>
        <w:t xml:space="preserve">the </w:t>
      </w:r>
      <w:r w:rsidR="009D7AFD">
        <w:rPr>
          <w:rFonts w:ascii="Garamond" w:hAnsi="Garamond"/>
        </w:rPr>
        <w:t xml:space="preserve">spatial distribution of these land cover classes over time. Because the project end users are local to NASA Langley, the team will conduct an in-person hand off at city offices to </w:t>
      </w:r>
      <w:r w:rsidR="00410B36">
        <w:rPr>
          <w:rFonts w:ascii="Garamond" w:hAnsi="Garamond"/>
        </w:rPr>
        <w:t>conclude the final term of the project.</w:t>
      </w:r>
    </w:p>
    <w:p w14:paraId="5081C92D" w14:textId="77777777" w:rsidR="00C26CDC" w:rsidRDefault="00C26CDC" w:rsidP="00272CD9">
      <w:pPr>
        <w:rPr>
          <w:b/>
          <w:i/>
          <w:sz w:val="20"/>
          <w:szCs w:val="20"/>
        </w:rPr>
      </w:pPr>
    </w:p>
    <w:p w14:paraId="6FC77090" w14:textId="0ABB5A3F" w:rsidR="00272CD9" w:rsidRPr="00272CD9" w:rsidRDefault="00272CD9" w:rsidP="00272CD9">
      <w:pPr>
        <w:rPr>
          <w:b/>
          <w:i/>
          <w:sz w:val="20"/>
          <w:szCs w:val="20"/>
        </w:rPr>
      </w:pPr>
      <w:r w:rsidRPr="00272CD9">
        <w:rPr>
          <w:b/>
          <w:i/>
          <w:sz w:val="20"/>
          <w:szCs w:val="20"/>
        </w:rPr>
        <w:t xml:space="preserve">Previous </w:t>
      </w:r>
      <w:r w:rsidR="008B1DE1">
        <w:rPr>
          <w:b/>
          <w:i/>
          <w:sz w:val="20"/>
          <w:szCs w:val="20"/>
        </w:rPr>
        <w:t>Term</w:t>
      </w:r>
      <w:r w:rsidRPr="00272CD9">
        <w:rPr>
          <w:b/>
          <w:i/>
          <w:sz w:val="20"/>
          <w:szCs w:val="20"/>
        </w:rPr>
        <w:t>:</w:t>
      </w:r>
    </w:p>
    <w:p w14:paraId="7D070883" w14:textId="4610FB2C" w:rsidR="00DF08A4" w:rsidRPr="009868C5" w:rsidRDefault="008B1DE1" w:rsidP="009D417B">
      <w:pPr>
        <w:ind w:left="720" w:hanging="720"/>
        <w:rPr>
          <w:rFonts w:ascii="Garamond" w:hAnsi="Garamond"/>
        </w:rPr>
      </w:pPr>
      <w:r>
        <w:rPr>
          <w:rFonts w:ascii="Garamond" w:hAnsi="Garamond"/>
        </w:rPr>
        <w:t xml:space="preserve">2018 </w:t>
      </w:r>
      <w:proofErr w:type="gramStart"/>
      <w:r>
        <w:rPr>
          <w:rFonts w:ascii="Garamond" w:hAnsi="Garamond"/>
        </w:rPr>
        <w:t>Fall</w:t>
      </w:r>
      <w:proofErr w:type="gramEnd"/>
      <w:r w:rsidR="00272CD9" w:rsidRPr="005C6FC1">
        <w:rPr>
          <w:rFonts w:ascii="Garamond" w:hAnsi="Garamond"/>
        </w:rPr>
        <w:t xml:space="preserve"> (</w:t>
      </w:r>
      <w:proofErr w:type="spellStart"/>
      <w:r w:rsidR="00DF08A4">
        <w:rPr>
          <w:rFonts w:ascii="Garamond" w:hAnsi="Garamond"/>
        </w:rPr>
        <w:t>LaRC</w:t>
      </w:r>
      <w:proofErr w:type="spellEnd"/>
      <w:r w:rsidR="00D3189E" w:rsidRPr="005C6FC1">
        <w:rPr>
          <w:rFonts w:ascii="Garamond" w:hAnsi="Garamond"/>
        </w:rPr>
        <w:t xml:space="preserve">) </w:t>
      </w:r>
      <w:r w:rsidR="00B560ED">
        <w:rPr>
          <w:rFonts w:ascii="Garamond" w:hAnsi="Garamond"/>
        </w:rPr>
        <w:t>–</w:t>
      </w:r>
      <w:r w:rsidR="00D3189E" w:rsidRPr="005C6FC1">
        <w:rPr>
          <w:rFonts w:ascii="Garamond" w:hAnsi="Garamond"/>
        </w:rPr>
        <w:t xml:space="preserve"> </w:t>
      </w:r>
      <w:r>
        <w:rPr>
          <w:rFonts w:ascii="Garamond" w:hAnsi="Garamond"/>
        </w:rPr>
        <w:t xml:space="preserve">Hampton Roads Urban </w:t>
      </w:r>
      <w:r w:rsidRPr="009868C5">
        <w:rPr>
          <w:rFonts w:ascii="Garamond" w:hAnsi="Garamond"/>
        </w:rPr>
        <w:t>Development</w:t>
      </w:r>
      <w:r w:rsidR="0073702A" w:rsidRPr="009868C5">
        <w:rPr>
          <w:rFonts w:ascii="Garamond" w:hAnsi="Garamond"/>
        </w:rPr>
        <w:t xml:space="preserve">: </w:t>
      </w:r>
      <w:r w:rsidR="00DF08A4" w:rsidRPr="009868C5">
        <w:rPr>
          <w:rFonts w:ascii="Garamond" w:hAnsi="Garamond"/>
        </w:rPr>
        <w:t>Monitoring Hampton’s Coastline and Assessing Barrier Island Transgression to Enhance Coastal Management</w:t>
      </w:r>
    </w:p>
    <w:p w14:paraId="28EC9957" w14:textId="481A2DC9" w:rsidR="00272CD9" w:rsidRDefault="00272CD9" w:rsidP="00DF08A4">
      <w:pPr>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10125616" w14:textId="3EC73E25" w:rsidR="00DF08A4" w:rsidRDefault="00DF08A4" w:rsidP="009D417B">
      <w:pPr>
        <w:ind w:left="720" w:hanging="720"/>
        <w:rPr>
          <w:rFonts w:ascii="Garamond" w:eastAsia="Times New Roman" w:hAnsi="Garamond"/>
          <w:iCs/>
          <w:color w:val="000000"/>
        </w:rPr>
      </w:pPr>
      <w:r>
        <w:rPr>
          <w:rFonts w:ascii="Garamond" w:hAnsi="Garamond"/>
        </w:rPr>
        <w:t xml:space="preserve">2018 </w:t>
      </w:r>
      <w:proofErr w:type="gramStart"/>
      <w:r>
        <w:rPr>
          <w:rFonts w:ascii="Garamond" w:hAnsi="Garamond"/>
        </w:rPr>
        <w:t>Spring</w:t>
      </w:r>
      <w:proofErr w:type="gramEnd"/>
      <w:r w:rsidR="0073702A" w:rsidRPr="005C6FC1">
        <w:rPr>
          <w:rFonts w:ascii="Garamond" w:hAnsi="Garamond"/>
        </w:rPr>
        <w:t xml:space="preserve"> (</w:t>
      </w:r>
      <w:r>
        <w:rPr>
          <w:rFonts w:ascii="Garamond" w:hAnsi="Garamond"/>
        </w:rPr>
        <w:t>AZ</w:t>
      </w:r>
      <w:r w:rsidR="0073702A" w:rsidRPr="005C6FC1">
        <w:rPr>
          <w:rFonts w:ascii="Garamond" w:hAnsi="Garamond"/>
        </w:rPr>
        <w:t xml:space="preserve">) </w:t>
      </w:r>
      <w:r w:rsidR="00B560ED">
        <w:rPr>
          <w:rFonts w:ascii="Garamond" w:hAnsi="Garamond"/>
        </w:rPr>
        <w:t>–</w:t>
      </w:r>
      <w:r w:rsidR="0073702A" w:rsidRPr="00DF08A4">
        <w:rPr>
          <w:rFonts w:ascii="Garamond" w:hAnsi="Garamond"/>
        </w:rPr>
        <w:t xml:space="preserve"> </w:t>
      </w:r>
      <w:r w:rsidRPr="00DF08A4">
        <w:rPr>
          <w:rFonts w:ascii="Garamond" w:hAnsi="Garamond"/>
        </w:rPr>
        <w:t xml:space="preserve">Ajax Urban </w:t>
      </w:r>
      <w:r w:rsidRPr="009868C5">
        <w:rPr>
          <w:rFonts w:ascii="Garamond" w:hAnsi="Garamond"/>
        </w:rPr>
        <w:t>Development</w:t>
      </w:r>
      <w:r w:rsidR="0073702A" w:rsidRPr="009868C5">
        <w:rPr>
          <w:rFonts w:ascii="Garamond" w:hAnsi="Garamond"/>
        </w:rPr>
        <w:t xml:space="preserve">: </w:t>
      </w:r>
      <w:r w:rsidRPr="009868C5">
        <w:rPr>
          <w:rFonts w:ascii="Garamond" w:eastAsia="Times New Roman" w:hAnsi="Garamond"/>
          <w:iCs/>
          <w:color w:val="000000"/>
        </w:rPr>
        <w:t>Utilizing NASA Earth Observations to Assess Urban Forestry as an Adaptation Strategy for Extreme Heat in Ajax, ON, Canada</w:t>
      </w:r>
    </w:p>
    <w:p w14:paraId="46F823D8" w14:textId="77777777" w:rsidR="00DF08A4" w:rsidRPr="005B1D9F" w:rsidRDefault="00DF08A4" w:rsidP="00DF08A4">
      <w:pPr>
        <w:rPr>
          <w:rFonts w:ascii="Times New Roman" w:eastAsia="Times New Roman" w:hAnsi="Times New Roman"/>
          <w:sz w:val="24"/>
          <w:szCs w:val="24"/>
        </w:rPr>
      </w:pPr>
    </w:p>
    <w:p w14:paraId="2037AEEE" w14:textId="463C4CE3" w:rsidR="00DF08A4" w:rsidRPr="009868C5" w:rsidRDefault="00DF08A4" w:rsidP="0073702A">
      <w:pPr>
        <w:ind w:left="720" w:hanging="720"/>
        <w:rPr>
          <w:rFonts w:ascii="Garamond" w:hAnsi="Garamond"/>
        </w:rPr>
      </w:pPr>
      <w:r>
        <w:rPr>
          <w:rFonts w:ascii="Garamond" w:hAnsi="Garamond"/>
        </w:rPr>
        <w:t xml:space="preserve">2018 </w:t>
      </w:r>
      <w:proofErr w:type="gramStart"/>
      <w:r>
        <w:rPr>
          <w:rFonts w:ascii="Garamond" w:hAnsi="Garamond"/>
        </w:rPr>
        <w:t>Spring</w:t>
      </w:r>
      <w:proofErr w:type="gramEnd"/>
      <w:r w:rsidR="0073702A" w:rsidRPr="005C6FC1">
        <w:rPr>
          <w:rFonts w:ascii="Garamond" w:hAnsi="Garamond"/>
        </w:rPr>
        <w:t xml:space="preserve"> (</w:t>
      </w:r>
      <w:r>
        <w:rPr>
          <w:rFonts w:ascii="Garamond" w:hAnsi="Garamond"/>
        </w:rPr>
        <w:t>GA</w:t>
      </w:r>
      <w:r w:rsidR="0073702A" w:rsidRPr="005C6FC1">
        <w:rPr>
          <w:rFonts w:ascii="Garamond" w:hAnsi="Garamond"/>
        </w:rPr>
        <w:t xml:space="preserve">) </w:t>
      </w:r>
      <w:r w:rsidR="00B560ED">
        <w:rPr>
          <w:rFonts w:ascii="Garamond" w:hAnsi="Garamond"/>
        </w:rPr>
        <w:t>–</w:t>
      </w:r>
      <w:r w:rsidR="0073702A" w:rsidRPr="005C6FC1">
        <w:rPr>
          <w:rFonts w:ascii="Garamond" w:hAnsi="Garamond"/>
        </w:rPr>
        <w:t xml:space="preserve"> </w:t>
      </w:r>
      <w:r>
        <w:rPr>
          <w:rFonts w:ascii="Garamond" w:hAnsi="Garamond"/>
        </w:rPr>
        <w:t xml:space="preserve">Miami Beach Urban </w:t>
      </w:r>
      <w:r w:rsidRPr="009868C5">
        <w:rPr>
          <w:rFonts w:ascii="Garamond" w:hAnsi="Garamond"/>
        </w:rPr>
        <w:t xml:space="preserve">Development II: Utilizing NASA Earth Observations to Assess Vegetation Resiliency and Water Quality Concerns to Enhance Green Infrastructure Plans in Light of Extreme Weather Events </w:t>
      </w:r>
    </w:p>
    <w:p w14:paraId="0F4FA500" w14:textId="77777777" w:rsidR="00DC6974" w:rsidRPr="009868C5" w:rsidRDefault="00DC6974" w:rsidP="007A7268">
      <w:pPr>
        <w:ind w:left="720" w:hanging="720"/>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401A7D4F" w14:textId="63A9573C" w:rsidR="003D2EDF" w:rsidRPr="00EC3694" w:rsidRDefault="00272CD9" w:rsidP="003D2EDF">
      <w:pPr>
        <w:rPr>
          <w:sz w:val="20"/>
          <w:szCs w:val="20"/>
        </w:rPr>
      </w:pPr>
      <w:r w:rsidRPr="00EC3694">
        <w:rPr>
          <w:b/>
          <w:i/>
          <w:sz w:val="20"/>
          <w:szCs w:val="20"/>
        </w:rPr>
        <w:t>Notes</w:t>
      </w:r>
      <w:r w:rsidRPr="00EC3694">
        <w:rPr>
          <w:b/>
          <w:sz w:val="20"/>
          <w:szCs w:val="20"/>
        </w:rPr>
        <w:t>:</w:t>
      </w:r>
      <w:r w:rsidRPr="00EC3694">
        <w:rPr>
          <w:sz w:val="20"/>
          <w:szCs w:val="20"/>
        </w:rPr>
        <w:t xml:space="preserve"> </w:t>
      </w:r>
      <w:r w:rsidR="00DF08A4">
        <w:rPr>
          <w:rFonts w:ascii="Garamond" w:hAnsi="Garamond"/>
        </w:rPr>
        <w:t xml:space="preserve">The links below will give the project team a sense for the city’s campaigns and initiatives. These are a good place to start understanding the scope of the project partner’s work. </w:t>
      </w:r>
    </w:p>
    <w:p w14:paraId="44120C03" w14:textId="3E03ADC4" w:rsidR="00272CD9" w:rsidRDefault="00272CD9" w:rsidP="003D2EDF">
      <w:pPr>
        <w:rPr>
          <w:b/>
          <w:i/>
          <w:sz w:val="20"/>
          <w:szCs w:val="20"/>
        </w:rPr>
      </w:pPr>
    </w:p>
    <w:p w14:paraId="360B9297" w14:textId="40AAC661" w:rsidR="00AD427B" w:rsidRPr="00187936" w:rsidRDefault="00AD427B" w:rsidP="00E46663">
      <w:pPr>
        <w:ind w:left="720" w:hanging="720"/>
        <w:rPr>
          <w:rFonts w:ascii="Garamond" w:hAnsi="Garamond"/>
        </w:rPr>
      </w:pPr>
      <w:r>
        <w:rPr>
          <w:rFonts w:ascii="Garamond" w:hAnsi="Garamond"/>
        </w:rPr>
        <w:t>Adapt VA. (</w:t>
      </w:r>
      <w:proofErr w:type="spellStart"/>
      <w:r>
        <w:rPr>
          <w:rFonts w:ascii="Garamond" w:hAnsi="Garamond"/>
        </w:rPr>
        <w:t>n.d.</w:t>
      </w:r>
      <w:proofErr w:type="spellEnd"/>
      <w:r>
        <w:rPr>
          <w:rFonts w:ascii="Garamond" w:hAnsi="Garamond"/>
        </w:rPr>
        <w:t xml:space="preserve">). [Interactive map that can display flooding, vulnerability, infrastructure, shoreline management, and natural resources]. </w:t>
      </w:r>
      <w:r w:rsidRPr="00E46663">
        <w:rPr>
          <w:rFonts w:ascii="Garamond" w:hAnsi="Garamond"/>
          <w:i/>
        </w:rPr>
        <w:t>Adapt VA Interactive Map.</w:t>
      </w:r>
      <w:r>
        <w:rPr>
          <w:rFonts w:ascii="Garamond" w:hAnsi="Garamond"/>
        </w:rPr>
        <w:t xml:space="preserve"> Retrieved from </w:t>
      </w:r>
      <w:hyperlink r:id="rId6" w:history="1">
        <w:r w:rsidRPr="003637C0">
          <w:rPr>
            <w:rStyle w:val="Hyperlink"/>
            <w:rFonts w:ascii="Garamond" w:hAnsi="Garamond"/>
            <w:color w:val="auto"/>
            <w:u w:val="none"/>
          </w:rPr>
          <w:t>http://cmap2.vims.edu/AdaptVA/adaptVA_viewer.html</w:t>
        </w:r>
      </w:hyperlink>
      <w:r w:rsidRPr="003637C0">
        <w:rPr>
          <w:rFonts w:ascii="Garamond" w:hAnsi="Garamond"/>
        </w:rPr>
        <w:t xml:space="preserve"> </w:t>
      </w:r>
    </w:p>
    <w:p w14:paraId="7838CC89" w14:textId="77777777" w:rsidR="00AD427B" w:rsidRPr="00AD427B" w:rsidRDefault="00AD427B" w:rsidP="003D2EDF">
      <w:pPr>
        <w:rPr>
          <w:sz w:val="20"/>
          <w:szCs w:val="20"/>
        </w:rPr>
      </w:pPr>
    </w:p>
    <w:p w14:paraId="3792B7AB" w14:textId="3662EA0C" w:rsidR="00740956" w:rsidRDefault="00571218" w:rsidP="00E46663">
      <w:pPr>
        <w:ind w:left="720" w:hanging="720"/>
        <w:rPr>
          <w:rFonts w:ascii="Garamond" w:hAnsi="Garamond"/>
        </w:rPr>
      </w:pPr>
      <w:r>
        <w:rPr>
          <w:rFonts w:ascii="Garamond" w:hAnsi="Garamond"/>
        </w:rPr>
        <w:t>Center for Coastal Resources Management Virginia Institute of Marine Science. (</w:t>
      </w:r>
      <w:proofErr w:type="spellStart"/>
      <w:r>
        <w:rPr>
          <w:rFonts w:ascii="Garamond" w:hAnsi="Garamond"/>
        </w:rPr>
        <w:t>n.d.</w:t>
      </w:r>
      <w:proofErr w:type="spellEnd"/>
      <w:r>
        <w:rPr>
          <w:rFonts w:ascii="Garamond" w:hAnsi="Garamond"/>
        </w:rPr>
        <w:t xml:space="preserve">). [Interactive map of Hampton, Virginia]. </w:t>
      </w:r>
      <w:r w:rsidR="00740956" w:rsidRPr="00E46663">
        <w:rPr>
          <w:rFonts w:ascii="Garamond" w:hAnsi="Garamond"/>
          <w:i/>
        </w:rPr>
        <w:t xml:space="preserve">City of Hampton </w:t>
      </w:r>
      <w:r>
        <w:rPr>
          <w:rFonts w:ascii="Garamond" w:hAnsi="Garamond"/>
          <w:i/>
        </w:rPr>
        <w:t>c</w:t>
      </w:r>
      <w:r w:rsidR="00740956" w:rsidRPr="00E46663">
        <w:rPr>
          <w:rFonts w:ascii="Garamond" w:hAnsi="Garamond"/>
          <w:i/>
        </w:rPr>
        <w:t xml:space="preserve">omprehensive </w:t>
      </w:r>
      <w:r>
        <w:rPr>
          <w:rFonts w:ascii="Garamond" w:hAnsi="Garamond"/>
          <w:i/>
        </w:rPr>
        <w:t>m</w:t>
      </w:r>
      <w:r w:rsidR="00740956" w:rsidRPr="00E46663">
        <w:rPr>
          <w:rFonts w:ascii="Garamond" w:hAnsi="Garamond"/>
          <w:i/>
        </w:rPr>
        <w:t>ap viewer</w:t>
      </w:r>
      <w:r w:rsidR="00740956">
        <w:rPr>
          <w:rFonts w:ascii="Garamond" w:hAnsi="Garamond"/>
        </w:rPr>
        <w:t>:</w:t>
      </w:r>
      <w:r>
        <w:rPr>
          <w:rFonts w:ascii="Garamond" w:hAnsi="Garamond"/>
        </w:rPr>
        <w:t xml:space="preserve"> Retrieved from </w:t>
      </w:r>
      <w:hyperlink r:id="rId7" w:history="1">
        <w:r w:rsidR="00740956" w:rsidRPr="00E46663">
          <w:rPr>
            <w:rStyle w:val="Hyperlink"/>
            <w:rFonts w:ascii="Garamond" w:hAnsi="Garamond"/>
            <w:color w:val="auto"/>
            <w:u w:val="none"/>
          </w:rPr>
          <w:t>http://cmap2.vims.edu/CCRMP/Hampton2012/Hampton_CCRMP_Viewer.html</w:t>
        </w:r>
      </w:hyperlink>
      <w:r w:rsidR="00740956" w:rsidRPr="00AD427B">
        <w:rPr>
          <w:rFonts w:ascii="Garamond" w:hAnsi="Garamond"/>
        </w:rPr>
        <w:t xml:space="preserve"> </w:t>
      </w:r>
    </w:p>
    <w:p w14:paraId="287FE949" w14:textId="40740E15" w:rsidR="00740956" w:rsidRDefault="00571218" w:rsidP="00E46663">
      <w:pPr>
        <w:ind w:left="720" w:hanging="720"/>
        <w:rPr>
          <w:rFonts w:ascii="Garamond" w:hAnsi="Garamond"/>
        </w:rPr>
      </w:pPr>
      <w:r w:rsidRPr="00AD427B" w:rsidDel="00571218">
        <w:rPr>
          <w:rStyle w:val="Hyperlink"/>
          <w:rFonts w:ascii="Garamond" w:hAnsi="Garamond"/>
          <w:color w:val="auto"/>
          <w:u w:val="none"/>
        </w:rPr>
        <w:t xml:space="preserve"> </w:t>
      </w:r>
    </w:p>
    <w:p w14:paraId="2D0E70D7" w14:textId="4B3D404F" w:rsidR="00740956" w:rsidRPr="00187936" w:rsidRDefault="00740956" w:rsidP="00E13061">
      <w:pPr>
        <w:ind w:left="720" w:hanging="720"/>
        <w:rPr>
          <w:rFonts w:ascii="Garamond" w:hAnsi="Garamond"/>
        </w:rPr>
      </w:pPr>
      <w:r>
        <w:rPr>
          <w:rFonts w:ascii="Garamond" w:hAnsi="Garamond"/>
        </w:rPr>
        <w:t>City of Hampton</w:t>
      </w:r>
      <w:r w:rsidR="00571218">
        <w:rPr>
          <w:rFonts w:ascii="Garamond" w:hAnsi="Garamond"/>
        </w:rPr>
        <w:t>. (2011</w:t>
      </w:r>
      <w:r w:rsidR="00AD427B">
        <w:rPr>
          <w:rFonts w:ascii="Garamond" w:hAnsi="Garamond"/>
        </w:rPr>
        <w:t xml:space="preserve"> April</w:t>
      </w:r>
      <w:r w:rsidR="00571218">
        <w:rPr>
          <w:rFonts w:ascii="Garamond" w:hAnsi="Garamond"/>
        </w:rPr>
        <w:t>). Hampton</w:t>
      </w:r>
      <w:r w:rsidR="00AD427B">
        <w:rPr>
          <w:rFonts w:ascii="Garamond" w:hAnsi="Garamond"/>
        </w:rPr>
        <w:t xml:space="preserve"> beachfront and storm protection management plan. Retrieved from</w:t>
      </w:r>
      <w:r w:rsidR="00571218">
        <w:rPr>
          <w:rFonts w:ascii="Garamond" w:hAnsi="Garamond"/>
        </w:rPr>
        <w:t xml:space="preserve"> </w:t>
      </w:r>
      <w:hyperlink r:id="rId8" w:history="1">
        <w:r w:rsidRPr="00E13061">
          <w:rPr>
            <w:rStyle w:val="Hyperlink"/>
            <w:rFonts w:ascii="Garamond" w:hAnsi="Garamond"/>
            <w:color w:val="auto"/>
            <w:u w:val="none"/>
          </w:rPr>
          <w:t>https://hampton.gov/DocumentCenter/View/32/hampton-beachfront-plan?bidId</w:t>
        </w:r>
      </w:hyperlink>
      <w:r w:rsidRPr="00AD427B">
        <w:rPr>
          <w:rFonts w:ascii="Garamond" w:hAnsi="Garamond"/>
        </w:rPr>
        <w:t>=</w:t>
      </w:r>
    </w:p>
    <w:p w14:paraId="1E0BB9B4" w14:textId="77777777" w:rsidR="00740956" w:rsidRPr="00187936" w:rsidRDefault="00740956" w:rsidP="00E13061">
      <w:pPr>
        <w:ind w:left="720" w:hanging="720"/>
        <w:rPr>
          <w:rFonts w:ascii="Garamond" w:hAnsi="Garamond"/>
        </w:rPr>
      </w:pPr>
    </w:p>
    <w:p w14:paraId="4419CBDF" w14:textId="262A1A53" w:rsidR="008B09CD" w:rsidRDefault="00187936" w:rsidP="00E13061">
      <w:pPr>
        <w:ind w:left="720" w:hanging="720"/>
        <w:rPr>
          <w:rStyle w:val="Hyperlink"/>
          <w:rFonts w:ascii="Garamond" w:hAnsi="Garamond"/>
          <w:color w:val="auto"/>
          <w:u w:val="none"/>
        </w:rPr>
      </w:pPr>
      <w:r w:rsidRPr="00187936">
        <w:rPr>
          <w:rFonts w:ascii="Garamond" w:hAnsi="Garamond"/>
        </w:rPr>
        <w:t>U</w:t>
      </w:r>
      <w:r w:rsidR="00AD427B">
        <w:rPr>
          <w:rFonts w:ascii="Garamond" w:hAnsi="Garamond"/>
        </w:rPr>
        <w:t xml:space="preserve">nited </w:t>
      </w:r>
      <w:r w:rsidRPr="00187936">
        <w:rPr>
          <w:rFonts w:ascii="Garamond" w:hAnsi="Garamond"/>
        </w:rPr>
        <w:t>S</w:t>
      </w:r>
      <w:r w:rsidR="00AD427B">
        <w:rPr>
          <w:rFonts w:ascii="Garamond" w:hAnsi="Garamond"/>
        </w:rPr>
        <w:t xml:space="preserve">tates </w:t>
      </w:r>
      <w:r w:rsidRPr="00187936">
        <w:rPr>
          <w:rFonts w:ascii="Garamond" w:hAnsi="Garamond"/>
        </w:rPr>
        <w:t>D</w:t>
      </w:r>
      <w:r w:rsidR="00AD427B">
        <w:rPr>
          <w:rFonts w:ascii="Garamond" w:hAnsi="Garamond"/>
        </w:rPr>
        <w:t xml:space="preserve">epartment of </w:t>
      </w:r>
      <w:r w:rsidRPr="00187936">
        <w:rPr>
          <w:rFonts w:ascii="Garamond" w:hAnsi="Garamond"/>
        </w:rPr>
        <w:t>A</w:t>
      </w:r>
      <w:r w:rsidR="00AD427B">
        <w:rPr>
          <w:rFonts w:ascii="Garamond" w:hAnsi="Garamond"/>
        </w:rPr>
        <w:t>griculture. (2018). [Map of NAIP coverage from 2002 to 2018 created by the Aerial Photography Field Office]</w:t>
      </w:r>
      <w:r w:rsidRPr="00187936">
        <w:rPr>
          <w:rFonts w:ascii="Garamond" w:hAnsi="Garamond"/>
        </w:rPr>
        <w:t xml:space="preserve"> </w:t>
      </w:r>
      <w:r w:rsidRPr="00E13061">
        <w:rPr>
          <w:rFonts w:ascii="Garamond" w:hAnsi="Garamond"/>
          <w:i/>
        </w:rPr>
        <w:t xml:space="preserve">NAIP </w:t>
      </w:r>
      <w:r w:rsidR="00AD427B">
        <w:rPr>
          <w:rFonts w:ascii="Garamond" w:hAnsi="Garamond"/>
          <w:i/>
        </w:rPr>
        <w:t>coverage 2002-2018</w:t>
      </w:r>
      <w:r w:rsidR="00AD427B" w:rsidRPr="00E13061">
        <w:rPr>
          <w:rFonts w:ascii="Garamond" w:hAnsi="Garamond"/>
        </w:rPr>
        <w:t>.</w:t>
      </w:r>
      <w:r w:rsidR="00AD427B">
        <w:rPr>
          <w:rFonts w:ascii="Garamond" w:hAnsi="Garamond"/>
          <w:i/>
        </w:rPr>
        <w:t xml:space="preserve"> </w:t>
      </w:r>
      <w:r w:rsidR="00AD427B">
        <w:rPr>
          <w:rFonts w:ascii="Garamond" w:hAnsi="Garamond"/>
        </w:rPr>
        <w:t>Retrieved from</w:t>
      </w:r>
      <w:r w:rsidRPr="00187936">
        <w:rPr>
          <w:rFonts w:ascii="Garamond" w:hAnsi="Garamond"/>
        </w:rPr>
        <w:t xml:space="preserve"> </w:t>
      </w:r>
      <w:hyperlink r:id="rId9" w:history="1">
        <w:r w:rsidR="00503012" w:rsidRPr="00E13061">
          <w:rPr>
            <w:rStyle w:val="Hyperlink"/>
            <w:rFonts w:ascii="Garamond" w:hAnsi="Garamond"/>
            <w:color w:val="auto"/>
            <w:u w:val="none"/>
          </w:rPr>
          <w:t>https://www.fsa.usda.gov/Assets/USDA-FSA-Public/usdafiles/APFO/status-maps/pdfs/naipcov_2018.pdf</w:t>
        </w:r>
      </w:hyperlink>
    </w:p>
    <w:p w14:paraId="4FDAA363" w14:textId="77777777" w:rsidR="008B09CD" w:rsidRDefault="008B09CD" w:rsidP="00E13061">
      <w:pPr>
        <w:ind w:left="720" w:hanging="720"/>
        <w:rPr>
          <w:rStyle w:val="Hyperlink"/>
          <w:rFonts w:ascii="Garamond" w:hAnsi="Garamond"/>
          <w:color w:val="auto"/>
          <w:u w:val="none"/>
        </w:rPr>
      </w:pPr>
    </w:p>
    <w:p w14:paraId="2EA2B6EA" w14:textId="3758FCF9" w:rsidR="00503012" w:rsidRPr="00187936" w:rsidRDefault="00503012" w:rsidP="008B09CD">
      <w:pPr>
        <w:rPr>
          <w:rFonts w:ascii="Garamond" w:hAnsi="Garamond"/>
        </w:rPr>
      </w:pPr>
    </w:p>
    <w:sectPr w:rsidR="00503012" w:rsidRPr="00187936" w:rsidSect="00C8247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C44EF8" w16cid:durableId="1E89E9A1"/>
  <w16cid:commentId w16cid:paraId="10F8B767" w16cid:durableId="1E89E987"/>
  <w16cid:commentId w16cid:paraId="30A0B160" w16cid:durableId="1E89E988"/>
  <w16cid:commentId w16cid:paraId="6DC1C856" w16cid:durableId="1E89E989"/>
  <w16cid:commentId w16cid:paraId="3E2F7F28" w16cid:durableId="1E89E98A"/>
  <w16cid:commentId w16cid:paraId="3F2DFB5F" w16cid:durableId="1E89E98B"/>
  <w16cid:commentId w16cid:paraId="62113D2F" w16cid:durableId="1E89E98C"/>
  <w16cid:commentId w16cid:paraId="4A650D77" w16cid:durableId="1E89E98D"/>
  <w16cid:commentId w16cid:paraId="1ADA44B9" w16cid:durableId="1E89E98E"/>
  <w16cid:commentId w16cid:paraId="1CBA607C" w16cid:durableId="1E89E98F"/>
  <w16cid:commentId w16cid:paraId="699BA550" w16cid:durableId="1E89E990"/>
  <w16cid:commentId w16cid:paraId="7FE8C485" w16cid:durableId="1E89E991"/>
  <w16cid:commentId w16cid:paraId="37469765" w16cid:durableId="1E89E992"/>
  <w16cid:commentId w16cid:paraId="50277A10" w16cid:durableId="1E89E993"/>
  <w16cid:commentId w16cid:paraId="158291CE" w16cid:durableId="1E89E994"/>
  <w16cid:commentId w16cid:paraId="6A0707C6" w16cid:durableId="1E89E995"/>
  <w16cid:commentId w16cid:paraId="2AC22C45" w16cid:durableId="1E89E996"/>
  <w16cid:commentId w16cid:paraId="2B7F342C" w16cid:durableId="1E89E997"/>
  <w16cid:commentId w16cid:paraId="4175A02E" w16cid:durableId="1E89E998"/>
  <w16cid:commentId w16cid:paraId="28305FDF" w16cid:durableId="1E89E99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211"/>
    <w:multiLevelType w:val="hybridMultilevel"/>
    <w:tmpl w:val="B0BA7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3MzKytDS3tDCzsDBV0lEKTi0uzszPAymwrAUAZiQgxSwAAAA="/>
  </w:docVars>
  <w:rsids>
    <w:rsidRoot w:val="007B73F9"/>
    <w:rsid w:val="00005201"/>
    <w:rsid w:val="0001261B"/>
    <w:rsid w:val="00014585"/>
    <w:rsid w:val="00020050"/>
    <w:rsid w:val="000263DE"/>
    <w:rsid w:val="00031A6C"/>
    <w:rsid w:val="00073224"/>
    <w:rsid w:val="00075708"/>
    <w:rsid w:val="00084E7B"/>
    <w:rsid w:val="00095D93"/>
    <w:rsid w:val="000D7963"/>
    <w:rsid w:val="000E3C1F"/>
    <w:rsid w:val="000E4025"/>
    <w:rsid w:val="000F487D"/>
    <w:rsid w:val="000F76DA"/>
    <w:rsid w:val="00107706"/>
    <w:rsid w:val="00123B69"/>
    <w:rsid w:val="00134C6A"/>
    <w:rsid w:val="001354BC"/>
    <w:rsid w:val="001538F2"/>
    <w:rsid w:val="00164AAB"/>
    <w:rsid w:val="00187936"/>
    <w:rsid w:val="00195317"/>
    <w:rsid w:val="001976DA"/>
    <w:rsid w:val="001A2ECC"/>
    <w:rsid w:val="001D1B19"/>
    <w:rsid w:val="001D3314"/>
    <w:rsid w:val="001E5271"/>
    <w:rsid w:val="001F2553"/>
    <w:rsid w:val="001F45A3"/>
    <w:rsid w:val="002046C4"/>
    <w:rsid w:val="00224057"/>
    <w:rsid w:val="0022612D"/>
    <w:rsid w:val="00227218"/>
    <w:rsid w:val="0023408F"/>
    <w:rsid w:val="00243A58"/>
    <w:rsid w:val="00246DE0"/>
    <w:rsid w:val="00272CD9"/>
    <w:rsid w:val="00273BD3"/>
    <w:rsid w:val="00276572"/>
    <w:rsid w:val="00285042"/>
    <w:rsid w:val="00290705"/>
    <w:rsid w:val="002A61B2"/>
    <w:rsid w:val="002B6846"/>
    <w:rsid w:val="002C501D"/>
    <w:rsid w:val="002D6CAD"/>
    <w:rsid w:val="002E2D9E"/>
    <w:rsid w:val="00302E59"/>
    <w:rsid w:val="003141F9"/>
    <w:rsid w:val="00321CA6"/>
    <w:rsid w:val="003347A7"/>
    <w:rsid w:val="00334B0C"/>
    <w:rsid w:val="00347670"/>
    <w:rsid w:val="00353F4B"/>
    <w:rsid w:val="00362915"/>
    <w:rsid w:val="003805D6"/>
    <w:rsid w:val="00381572"/>
    <w:rsid w:val="00384B24"/>
    <w:rsid w:val="003B54D0"/>
    <w:rsid w:val="003C28CD"/>
    <w:rsid w:val="003D2EDF"/>
    <w:rsid w:val="00410B36"/>
    <w:rsid w:val="0041686A"/>
    <w:rsid w:val="0042112A"/>
    <w:rsid w:val="004228B2"/>
    <w:rsid w:val="004525F5"/>
    <w:rsid w:val="00453F48"/>
    <w:rsid w:val="00461AA0"/>
    <w:rsid w:val="00467737"/>
    <w:rsid w:val="00476EA1"/>
    <w:rsid w:val="004B14C8"/>
    <w:rsid w:val="004B304D"/>
    <w:rsid w:val="004C0A16"/>
    <w:rsid w:val="004F3153"/>
    <w:rsid w:val="004F4D56"/>
    <w:rsid w:val="004F57AF"/>
    <w:rsid w:val="00503012"/>
    <w:rsid w:val="00504363"/>
    <w:rsid w:val="005344D2"/>
    <w:rsid w:val="00542AAA"/>
    <w:rsid w:val="00544C88"/>
    <w:rsid w:val="00561C87"/>
    <w:rsid w:val="00565EE1"/>
    <w:rsid w:val="00571218"/>
    <w:rsid w:val="00583971"/>
    <w:rsid w:val="00594D0B"/>
    <w:rsid w:val="005C5954"/>
    <w:rsid w:val="005C6FC1"/>
    <w:rsid w:val="005D3F60"/>
    <w:rsid w:val="005D7108"/>
    <w:rsid w:val="00636FAE"/>
    <w:rsid w:val="006452A4"/>
    <w:rsid w:val="006515E3"/>
    <w:rsid w:val="0066793D"/>
    <w:rsid w:val="00676C74"/>
    <w:rsid w:val="006804AC"/>
    <w:rsid w:val="00693B7B"/>
    <w:rsid w:val="00695D85"/>
    <w:rsid w:val="006A2A26"/>
    <w:rsid w:val="006B39A8"/>
    <w:rsid w:val="006B7491"/>
    <w:rsid w:val="006E1C6C"/>
    <w:rsid w:val="007059D2"/>
    <w:rsid w:val="007072BA"/>
    <w:rsid w:val="007226AE"/>
    <w:rsid w:val="00726B5B"/>
    <w:rsid w:val="00735F70"/>
    <w:rsid w:val="00736CD7"/>
    <w:rsid w:val="0073702A"/>
    <w:rsid w:val="00740956"/>
    <w:rsid w:val="00752AC5"/>
    <w:rsid w:val="00760B99"/>
    <w:rsid w:val="0076465D"/>
    <w:rsid w:val="007715BF"/>
    <w:rsid w:val="00782999"/>
    <w:rsid w:val="00785E90"/>
    <w:rsid w:val="007A4F2A"/>
    <w:rsid w:val="007A7268"/>
    <w:rsid w:val="007B73F9"/>
    <w:rsid w:val="007C08E6"/>
    <w:rsid w:val="007C4617"/>
    <w:rsid w:val="0080287D"/>
    <w:rsid w:val="008060AF"/>
    <w:rsid w:val="00806DE6"/>
    <w:rsid w:val="00835C04"/>
    <w:rsid w:val="008403B8"/>
    <w:rsid w:val="0086051E"/>
    <w:rsid w:val="00896D48"/>
    <w:rsid w:val="008A4B10"/>
    <w:rsid w:val="008B09CD"/>
    <w:rsid w:val="008B1DE1"/>
    <w:rsid w:val="008B3821"/>
    <w:rsid w:val="008C31AD"/>
    <w:rsid w:val="008D41B1"/>
    <w:rsid w:val="008D7444"/>
    <w:rsid w:val="00916099"/>
    <w:rsid w:val="00936A45"/>
    <w:rsid w:val="00937ED2"/>
    <w:rsid w:val="00941956"/>
    <w:rsid w:val="0094514E"/>
    <w:rsid w:val="009479E5"/>
    <w:rsid w:val="00956257"/>
    <w:rsid w:val="00975FF7"/>
    <w:rsid w:val="009812BB"/>
    <w:rsid w:val="009868C5"/>
    <w:rsid w:val="009A09FD"/>
    <w:rsid w:val="009A492A"/>
    <w:rsid w:val="009B08C3"/>
    <w:rsid w:val="009D417B"/>
    <w:rsid w:val="009D45FD"/>
    <w:rsid w:val="009D7235"/>
    <w:rsid w:val="009D7AFD"/>
    <w:rsid w:val="009E1788"/>
    <w:rsid w:val="009E490D"/>
    <w:rsid w:val="009E4CFF"/>
    <w:rsid w:val="00A01EE7"/>
    <w:rsid w:val="00A0319C"/>
    <w:rsid w:val="00A07C1D"/>
    <w:rsid w:val="00A07D83"/>
    <w:rsid w:val="00A14C59"/>
    <w:rsid w:val="00A4473F"/>
    <w:rsid w:val="00A44DD0"/>
    <w:rsid w:val="00A46F34"/>
    <w:rsid w:val="00A502A8"/>
    <w:rsid w:val="00A50CFE"/>
    <w:rsid w:val="00A5463B"/>
    <w:rsid w:val="00A60645"/>
    <w:rsid w:val="00A80A92"/>
    <w:rsid w:val="00A8257F"/>
    <w:rsid w:val="00A85C3A"/>
    <w:rsid w:val="00AB2804"/>
    <w:rsid w:val="00AD427B"/>
    <w:rsid w:val="00AE0DA9"/>
    <w:rsid w:val="00AE46F5"/>
    <w:rsid w:val="00B047FF"/>
    <w:rsid w:val="00B321BC"/>
    <w:rsid w:val="00B43262"/>
    <w:rsid w:val="00B560ED"/>
    <w:rsid w:val="00B73203"/>
    <w:rsid w:val="00B76BDC"/>
    <w:rsid w:val="00B81E34"/>
    <w:rsid w:val="00B82905"/>
    <w:rsid w:val="00B9571C"/>
    <w:rsid w:val="00B9614C"/>
    <w:rsid w:val="00BB1A3F"/>
    <w:rsid w:val="00BB5CDE"/>
    <w:rsid w:val="00BD0255"/>
    <w:rsid w:val="00BF11F5"/>
    <w:rsid w:val="00BF3D08"/>
    <w:rsid w:val="00C057E9"/>
    <w:rsid w:val="00C26CDC"/>
    <w:rsid w:val="00C27214"/>
    <w:rsid w:val="00C32A58"/>
    <w:rsid w:val="00C33A8E"/>
    <w:rsid w:val="00C55FC9"/>
    <w:rsid w:val="00C72F1A"/>
    <w:rsid w:val="00C82473"/>
    <w:rsid w:val="00C82C8C"/>
    <w:rsid w:val="00C83576"/>
    <w:rsid w:val="00CA0A4F"/>
    <w:rsid w:val="00CA0EED"/>
    <w:rsid w:val="00CA4793"/>
    <w:rsid w:val="00CB421A"/>
    <w:rsid w:val="00CB51DA"/>
    <w:rsid w:val="00CC7683"/>
    <w:rsid w:val="00CD0433"/>
    <w:rsid w:val="00CE4F6F"/>
    <w:rsid w:val="00D07222"/>
    <w:rsid w:val="00D12F5B"/>
    <w:rsid w:val="00D147F3"/>
    <w:rsid w:val="00D22F4A"/>
    <w:rsid w:val="00D3189E"/>
    <w:rsid w:val="00D3192F"/>
    <w:rsid w:val="00D43803"/>
    <w:rsid w:val="00D45788"/>
    <w:rsid w:val="00D55491"/>
    <w:rsid w:val="00D63B6C"/>
    <w:rsid w:val="00D76994"/>
    <w:rsid w:val="00D808DE"/>
    <w:rsid w:val="00D8099F"/>
    <w:rsid w:val="00DB5124"/>
    <w:rsid w:val="00DC19E8"/>
    <w:rsid w:val="00DC6974"/>
    <w:rsid w:val="00DF08A4"/>
    <w:rsid w:val="00E13061"/>
    <w:rsid w:val="00E24415"/>
    <w:rsid w:val="00E310DC"/>
    <w:rsid w:val="00E46663"/>
    <w:rsid w:val="00E55138"/>
    <w:rsid w:val="00E6039B"/>
    <w:rsid w:val="00E668C4"/>
    <w:rsid w:val="00EB4818"/>
    <w:rsid w:val="00EC3694"/>
    <w:rsid w:val="00ED6B3C"/>
    <w:rsid w:val="00EE3E48"/>
    <w:rsid w:val="00EE5E74"/>
    <w:rsid w:val="00EF1593"/>
    <w:rsid w:val="00F038E6"/>
    <w:rsid w:val="00F1255A"/>
    <w:rsid w:val="00F20A93"/>
    <w:rsid w:val="00F2154C"/>
    <w:rsid w:val="00F24033"/>
    <w:rsid w:val="00F268BE"/>
    <w:rsid w:val="00F310B1"/>
    <w:rsid w:val="00F52113"/>
    <w:rsid w:val="00F57261"/>
    <w:rsid w:val="00FB1905"/>
    <w:rsid w:val="00FC5AA3"/>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C5A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mpton.gov/DocumentCenter/View/32/hampton-beachfront-plan?bidId" TargetMode="External"/><Relationship Id="rId3" Type="http://schemas.openxmlformats.org/officeDocument/2006/relationships/styles" Target="styles.xml"/><Relationship Id="rId7" Type="http://schemas.openxmlformats.org/officeDocument/2006/relationships/hyperlink" Target="http://cmap2.vims.edu/CCRMP/Hampton2012/Hampton_CCRMP_Viewer.html" TargetMode="Externa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hyperlink" Target="http://cmap2.vims.edu/AdaptVA/adaptVA_viewer.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sa.usda.gov/Assets/USDA-FSA-Public/usdafiles/APFO/status-maps/pdfs/naipcov_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DA117-291B-4D4B-868D-EFF42EFB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1755</Words>
  <Characters>10006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2</cp:revision>
  <dcterms:created xsi:type="dcterms:W3CDTF">2019-05-30T18:47:00Z</dcterms:created>
  <dcterms:modified xsi:type="dcterms:W3CDTF">2019-05-30T18:47:00Z</dcterms:modified>
</cp:coreProperties>
</file>