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0636F1FA" w:rsidR="00A44DD0" w:rsidRPr="008B3821" w:rsidRDefault="006452A4" w:rsidP="00A44DD0">
      <w:pPr>
        <w:rPr>
          <w:b/>
          <w:szCs w:val="20"/>
        </w:rPr>
      </w:pPr>
      <w:r w:rsidRPr="008B3821">
        <w:rPr>
          <w:b/>
          <w:szCs w:val="20"/>
        </w:rPr>
        <w:t>NASA Langley Research Center</w:t>
      </w:r>
    </w:p>
    <w:p w14:paraId="1824EBE9" w14:textId="2EFF6BE3" w:rsidR="007B73F9" w:rsidRPr="008B3821" w:rsidRDefault="00A230C9">
      <w:pPr>
        <w:rPr>
          <w:b/>
          <w:sz w:val="20"/>
          <w:szCs w:val="20"/>
        </w:rPr>
      </w:pPr>
      <w:r>
        <w:rPr>
          <w:b/>
          <w:sz w:val="20"/>
          <w:szCs w:val="20"/>
        </w:rPr>
        <w:t>Pacific Southwest Cross-Cutting II</w:t>
      </w:r>
    </w:p>
    <w:p w14:paraId="5C03224A" w14:textId="77777777" w:rsidR="00A230C9" w:rsidRPr="008B3821" w:rsidRDefault="00A230C9" w:rsidP="00A230C9">
      <w:pPr>
        <w:rPr>
          <w:i/>
          <w:sz w:val="20"/>
          <w:szCs w:val="20"/>
        </w:rPr>
      </w:pPr>
      <w:r>
        <w:rPr>
          <w:i/>
          <w:sz w:val="20"/>
          <w:szCs w:val="20"/>
        </w:rPr>
        <w:t>Assessing and Improving Detection of Land Cover Changes in Habitat Conservation Plan Areas Using NASA Earth Observations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F21D26D" w:rsidR="008B3821" w:rsidRPr="008B3821" w:rsidRDefault="008B3821" w:rsidP="00276572">
      <w:pPr>
        <w:rPr>
          <w:sz w:val="20"/>
          <w:szCs w:val="20"/>
        </w:rPr>
      </w:pPr>
      <w:r w:rsidRPr="00F268BE">
        <w:rPr>
          <w:b/>
          <w:i/>
          <w:sz w:val="20"/>
          <w:szCs w:val="20"/>
        </w:rPr>
        <w:t>Project Synopsis</w:t>
      </w:r>
      <w:r>
        <w:rPr>
          <w:b/>
          <w:sz w:val="20"/>
          <w:szCs w:val="20"/>
        </w:rPr>
        <w:t xml:space="preserve">: </w:t>
      </w:r>
      <w:r w:rsidR="00C3775B">
        <w:rPr>
          <w:rFonts w:ascii="Garamond" w:hAnsi="Garamond"/>
        </w:rPr>
        <w:t>Project partners at t</w:t>
      </w:r>
      <w:r w:rsidR="00A230C9">
        <w:rPr>
          <w:rFonts w:ascii="Garamond" w:hAnsi="Garamond"/>
        </w:rPr>
        <w:t xml:space="preserve">he US Fish and Wildlife Service (USFWS) </w:t>
      </w:r>
      <w:r w:rsidR="00C3775B">
        <w:rPr>
          <w:rFonts w:ascii="Garamond" w:hAnsi="Garamond"/>
        </w:rPr>
        <w:t xml:space="preserve">need </w:t>
      </w:r>
      <w:r w:rsidR="00A230C9">
        <w:rPr>
          <w:rFonts w:ascii="Garamond" w:hAnsi="Garamond"/>
        </w:rPr>
        <w:t>to</w:t>
      </w:r>
      <w:r w:rsidR="00D11B31">
        <w:rPr>
          <w:rFonts w:ascii="Garamond" w:hAnsi="Garamond"/>
        </w:rPr>
        <w:t xml:space="preserve"> better</w:t>
      </w:r>
      <w:r w:rsidR="00A230C9">
        <w:rPr>
          <w:rFonts w:ascii="Garamond" w:hAnsi="Garamond"/>
        </w:rPr>
        <w:t xml:space="preserve"> assess and verify </w:t>
      </w:r>
      <w:r w:rsidR="00C3775B">
        <w:rPr>
          <w:rFonts w:ascii="Garamond" w:hAnsi="Garamond"/>
        </w:rPr>
        <w:t xml:space="preserve">land use </w:t>
      </w:r>
      <w:r w:rsidR="00A230C9">
        <w:rPr>
          <w:rFonts w:ascii="Garamond" w:hAnsi="Garamond"/>
        </w:rPr>
        <w:t>changes across broad geographic permitted Habitat Conservation Plan (HCP) areas</w:t>
      </w:r>
      <w:r w:rsidR="00A230C9" w:rsidRPr="00A4506C">
        <w:rPr>
          <w:rFonts w:ascii="Garamond" w:hAnsi="Garamond"/>
        </w:rPr>
        <w:t xml:space="preserve">. </w:t>
      </w:r>
      <w:r w:rsidR="00A230C9" w:rsidRPr="00286B5F">
        <w:rPr>
          <w:rFonts w:ascii="Garamond" w:hAnsi="Garamond"/>
        </w:rPr>
        <w:t xml:space="preserve">This project </w:t>
      </w:r>
      <w:r w:rsidR="00A230C9">
        <w:rPr>
          <w:rFonts w:ascii="Garamond" w:hAnsi="Garamond"/>
        </w:rPr>
        <w:t>will</w:t>
      </w:r>
      <w:r w:rsidR="00A230C9" w:rsidRPr="00286B5F">
        <w:rPr>
          <w:rFonts w:ascii="Garamond" w:hAnsi="Garamond"/>
        </w:rPr>
        <w:t xml:space="preserve"> create a decision-support tool to </w:t>
      </w:r>
      <w:r w:rsidR="00A230C9">
        <w:rPr>
          <w:rFonts w:ascii="Garamond" w:hAnsi="Garamond"/>
        </w:rPr>
        <w:t xml:space="preserve">streamline </w:t>
      </w:r>
      <w:r w:rsidR="00A230C9" w:rsidRPr="00286B5F">
        <w:rPr>
          <w:rFonts w:ascii="Garamond" w:hAnsi="Garamond"/>
        </w:rPr>
        <w:t>assess</w:t>
      </w:r>
      <w:r w:rsidR="00A230C9">
        <w:rPr>
          <w:rFonts w:ascii="Garamond" w:hAnsi="Garamond"/>
        </w:rPr>
        <w:t>ment of</w:t>
      </w:r>
      <w:r w:rsidR="00A230C9" w:rsidRPr="00286B5F">
        <w:rPr>
          <w:rFonts w:ascii="Garamond" w:hAnsi="Garamond"/>
        </w:rPr>
        <w:t xml:space="preserve"> land use changes </w:t>
      </w:r>
      <w:r w:rsidR="00A230C9">
        <w:rPr>
          <w:rFonts w:ascii="Garamond" w:hAnsi="Garamond"/>
        </w:rPr>
        <w:t>using</w:t>
      </w:r>
      <w:r w:rsidR="00A230C9" w:rsidRPr="00286B5F">
        <w:rPr>
          <w:rFonts w:ascii="Garamond" w:hAnsi="Garamond"/>
        </w:rPr>
        <w:t xml:space="preserve"> </w:t>
      </w:r>
      <w:r w:rsidR="00A230C9">
        <w:rPr>
          <w:rFonts w:ascii="Garamond" w:hAnsi="Garamond"/>
        </w:rPr>
        <w:t>existing HCP boundaries</w:t>
      </w:r>
      <w:r w:rsidR="00A230C9" w:rsidRPr="00286B5F">
        <w:rPr>
          <w:rFonts w:ascii="Garamond" w:hAnsi="Garamond"/>
        </w:rPr>
        <w:t xml:space="preserve"> </w:t>
      </w:r>
      <w:r w:rsidR="00C3775B">
        <w:rPr>
          <w:rFonts w:ascii="Garamond" w:hAnsi="Garamond"/>
        </w:rPr>
        <w:t>and remotely sensed data from several Earth observ</w:t>
      </w:r>
      <w:r w:rsidR="00D11B31">
        <w:rPr>
          <w:rFonts w:ascii="Garamond" w:hAnsi="Garamond"/>
        </w:rPr>
        <w:t>a</w:t>
      </w:r>
      <w:r w:rsidR="00C3775B">
        <w:rPr>
          <w:rFonts w:ascii="Garamond" w:hAnsi="Garamond"/>
        </w:rPr>
        <w:t>tions</w:t>
      </w:r>
      <w:r w:rsidR="00A230C9" w:rsidRPr="00286B5F">
        <w:rPr>
          <w:rFonts w:ascii="Garamond" w:hAnsi="Garamond"/>
        </w:rPr>
        <w:t xml:space="preserve">. Using Landsat, MODIS, and Sentinel data, </w:t>
      </w:r>
      <w:r w:rsidR="00C3775B">
        <w:rPr>
          <w:rFonts w:ascii="Garamond" w:hAnsi="Garamond"/>
        </w:rPr>
        <w:t>this</w:t>
      </w:r>
      <w:r w:rsidR="00A230C9" w:rsidRPr="00286B5F">
        <w:rPr>
          <w:rFonts w:ascii="Garamond" w:hAnsi="Garamond"/>
        </w:rPr>
        <w:t xml:space="preserve"> tool will identify locations of moderate land use changes </w:t>
      </w:r>
      <w:r w:rsidR="00A230C9">
        <w:rPr>
          <w:rFonts w:ascii="Garamond" w:hAnsi="Garamond"/>
        </w:rPr>
        <w:t>and</w:t>
      </w:r>
      <w:r w:rsidR="00A230C9" w:rsidRPr="00286B5F">
        <w:rPr>
          <w:rFonts w:ascii="Garamond" w:hAnsi="Garamond"/>
        </w:rPr>
        <w:t xml:space="preserve"> </w:t>
      </w:r>
      <w:r w:rsidR="00A230C9">
        <w:rPr>
          <w:rFonts w:ascii="Garamond" w:hAnsi="Garamond"/>
        </w:rPr>
        <w:t xml:space="preserve">improve </w:t>
      </w:r>
      <w:r w:rsidR="00C3775B">
        <w:rPr>
          <w:rFonts w:ascii="Garamond" w:hAnsi="Garamond"/>
        </w:rPr>
        <w:t xml:space="preserve">the </w:t>
      </w:r>
      <w:r w:rsidR="00A230C9">
        <w:rPr>
          <w:rFonts w:ascii="Garamond" w:hAnsi="Garamond"/>
        </w:rPr>
        <w:t xml:space="preserve">effectiveness of USFWS field validation efforts. </w:t>
      </w:r>
      <w:r w:rsidR="00A230C9" w:rsidRPr="004C3C01">
        <w:rPr>
          <w:rFonts w:ascii="Garamond" w:hAnsi="Garamond"/>
        </w:rPr>
        <w:t xml:space="preserve">This tool has broader potential value to other USFWS programs that </w:t>
      </w:r>
      <w:r w:rsidR="00A230C9">
        <w:rPr>
          <w:rFonts w:ascii="Garamond" w:hAnsi="Garamond"/>
        </w:rPr>
        <w:t xml:space="preserve">have monitoring </w:t>
      </w:r>
      <w:r w:rsidR="00C3775B">
        <w:rPr>
          <w:rFonts w:ascii="Garamond" w:hAnsi="Garamond"/>
        </w:rPr>
        <w:t>responsibilities</w:t>
      </w:r>
      <w:r w:rsidR="00A230C9">
        <w:rPr>
          <w:rFonts w:ascii="Garamond" w:hAnsi="Garamond"/>
        </w:rPr>
        <w:t xml:space="preserve"> and can benefit from having a standard remote</w:t>
      </w:r>
      <w:r w:rsidR="00C3775B">
        <w:rPr>
          <w:rFonts w:ascii="Garamond" w:hAnsi="Garamond"/>
        </w:rPr>
        <w:t>ly</w:t>
      </w:r>
      <w:r w:rsidR="006978F9">
        <w:rPr>
          <w:rFonts w:ascii="Garamond" w:hAnsi="Garamond"/>
        </w:rPr>
        <w:t>-</w:t>
      </w:r>
      <w:r w:rsidR="00A230C9">
        <w:rPr>
          <w:rFonts w:ascii="Garamond" w:hAnsi="Garamond"/>
        </w:rPr>
        <w:t>sens</w:t>
      </w:r>
      <w:r w:rsidR="00C3775B">
        <w:rPr>
          <w:rFonts w:ascii="Garamond" w:hAnsi="Garamond"/>
        </w:rPr>
        <w:t xml:space="preserve">ed </w:t>
      </w:r>
      <w:r w:rsidR="00A230C9">
        <w:rPr>
          <w:rFonts w:ascii="Garamond" w:hAnsi="Garamond"/>
        </w:rPr>
        <w:t>change detection tool.</w:t>
      </w:r>
    </w:p>
    <w:p w14:paraId="1E7BF85A" w14:textId="77777777" w:rsidR="008B3821" w:rsidRDefault="008B3821" w:rsidP="008B3821">
      <w:pPr>
        <w:rPr>
          <w:b/>
          <w:sz w:val="20"/>
          <w:szCs w:val="20"/>
        </w:rPr>
      </w:pPr>
    </w:p>
    <w:p w14:paraId="61B4ADB8" w14:textId="7BE13648"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A230C9" w:rsidRPr="005E05E2">
        <w:rPr>
          <w:rFonts w:ascii="Garamond" w:hAnsi="Garamond"/>
        </w:rPr>
        <w:t xml:space="preserve">The USFWS is responsible for monitoring </w:t>
      </w:r>
      <w:r w:rsidR="00A230C9" w:rsidRPr="005E05E2">
        <w:rPr>
          <w:rFonts w:ascii="Garamond" w:hAnsi="Garamond" w:cs="Arial"/>
          <w:color w:val="222222"/>
          <w:shd w:val="clear" w:color="auto" w:fill="FFFFFF"/>
        </w:rPr>
        <w:t>millions</w:t>
      </w:r>
      <w:r w:rsidR="00A230C9">
        <w:rPr>
          <w:rFonts w:ascii="Garamond" w:hAnsi="Garamond" w:cs="Arial"/>
          <w:color w:val="222222"/>
          <w:shd w:val="clear" w:color="auto" w:fill="FFFFFF"/>
        </w:rPr>
        <w:t xml:space="preserve"> of acres of private and publicly owned lands and easements. By creating HCP areas, the USFWS attempts to</w:t>
      </w:r>
      <w:r w:rsidR="00A230C9" w:rsidRPr="004C3C01">
        <w:rPr>
          <w:rFonts w:ascii="Garamond" w:hAnsi="Garamond"/>
        </w:rPr>
        <w:t xml:space="preserve"> protect land </w:t>
      </w:r>
      <w:r w:rsidR="00A230C9">
        <w:rPr>
          <w:rFonts w:ascii="Garamond" w:hAnsi="Garamond"/>
        </w:rPr>
        <w:t xml:space="preserve">and </w:t>
      </w:r>
      <w:r w:rsidR="00A230C9" w:rsidRPr="004C3C01">
        <w:rPr>
          <w:rFonts w:ascii="Garamond" w:hAnsi="Garamond"/>
        </w:rPr>
        <w:t xml:space="preserve">mitigate </w:t>
      </w:r>
      <w:r w:rsidR="00A230C9">
        <w:rPr>
          <w:rFonts w:ascii="Garamond" w:hAnsi="Garamond"/>
        </w:rPr>
        <w:t>impacts</w:t>
      </w:r>
      <w:r w:rsidR="00A230C9" w:rsidRPr="004C3C01">
        <w:rPr>
          <w:rFonts w:ascii="Garamond" w:hAnsi="Garamond"/>
        </w:rPr>
        <w:t xml:space="preserve"> to threatened and endangered species. </w:t>
      </w:r>
      <w:r w:rsidR="00C3775B">
        <w:rPr>
          <w:rFonts w:ascii="Garamond" w:hAnsi="Garamond"/>
        </w:rPr>
        <w:t>However, l</w:t>
      </w:r>
      <w:r w:rsidR="00A230C9" w:rsidRPr="004C3C01">
        <w:rPr>
          <w:rFonts w:ascii="Garamond" w:hAnsi="Garamond"/>
        </w:rPr>
        <w:t xml:space="preserve">imited </w:t>
      </w:r>
      <w:r w:rsidR="00C3775B">
        <w:rPr>
          <w:rFonts w:ascii="Garamond" w:hAnsi="Garamond"/>
        </w:rPr>
        <w:t>resources</w:t>
      </w:r>
      <w:r w:rsidR="00A230C9" w:rsidRPr="004C3C01">
        <w:rPr>
          <w:rFonts w:ascii="Garamond" w:hAnsi="Garamond"/>
        </w:rPr>
        <w:t xml:space="preserve"> </w:t>
      </w:r>
      <w:r w:rsidR="00A230C9">
        <w:rPr>
          <w:rFonts w:ascii="Garamond" w:hAnsi="Garamond"/>
        </w:rPr>
        <w:t xml:space="preserve">in staff </w:t>
      </w:r>
      <w:r w:rsidR="00A230C9" w:rsidRPr="004C3C01">
        <w:rPr>
          <w:rFonts w:ascii="Garamond" w:hAnsi="Garamond"/>
        </w:rPr>
        <w:t>and expertise</w:t>
      </w:r>
      <w:r w:rsidR="00A230C9">
        <w:rPr>
          <w:rFonts w:ascii="Garamond" w:hAnsi="Garamond"/>
        </w:rPr>
        <w:t xml:space="preserve"> </w:t>
      </w:r>
      <w:r w:rsidR="00C3775B">
        <w:rPr>
          <w:rFonts w:ascii="Garamond" w:hAnsi="Garamond"/>
        </w:rPr>
        <w:t xml:space="preserve">can </w:t>
      </w:r>
      <w:r w:rsidR="00A230C9">
        <w:rPr>
          <w:rFonts w:ascii="Garamond" w:hAnsi="Garamond"/>
        </w:rPr>
        <w:t xml:space="preserve">result in inadequate </w:t>
      </w:r>
      <w:r w:rsidR="00A230C9" w:rsidRPr="004C3C01">
        <w:rPr>
          <w:rFonts w:ascii="Garamond" w:hAnsi="Garamond"/>
        </w:rPr>
        <w:t>follow-up</w:t>
      </w:r>
      <w:r w:rsidR="009828CC">
        <w:rPr>
          <w:rFonts w:ascii="Garamond" w:hAnsi="Garamond"/>
        </w:rPr>
        <w:t>s</w:t>
      </w:r>
      <w:r w:rsidR="00A230C9" w:rsidRPr="004C3C01">
        <w:rPr>
          <w:rFonts w:ascii="Garamond" w:hAnsi="Garamond"/>
        </w:rPr>
        <w:t xml:space="preserve"> </w:t>
      </w:r>
      <w:r w:rsidR="00A230C9">
        <w:rPr>
          <w:rFonts w:ascii="Garamond" w:hAnsi="Garamond"/>
        </w:rPr>
        <w:t xml:space="preserve">on independent </w:t>
      </w:r>
      <w:r w:rsidR="00A230C9" w:rsidRPr="004C3C01">
        <w:rPr>
          <w:rFonts w:ascii="Garamond" w:hAnsi="Garamond"/>
        </w:rPr>
        <w:t>monitoring</w:t>
      </w:r>
      <w:r w:rsidR="009828CC">
        <w:rPr>
          <w:rFonts w:ascii="Garamond" w:hAnsi="Garamond"/>
        </w:rPr>
        <w:t>.</w:t>
      </w:r>
      <w:r w:rsidR="00A230C9">
        <w:rPr>
          <w:rFonts w:ascii="Garamond" w:hAnsi="Garamond"/>
        </w:rPr>
        <w:t xml:space="preserve"> </w:t>
      </w:r>
      <w:r w:rsidR="009828CC">
        <w:rPr>
          <w:rFonts w:ascii="Garamond" w:hAnsi="Garamond"/>
        </w:rPr>
        <w:t xml:space="preserve">These checks are often critical </w:t>
      </w:r>
      <w:r w:rsidR="00A230C9">
        <w:rPr>
          <w:rFonts w:ascii="Garamond" w:hAnsi="Garamond"/>
        </w:rPr>
        <w:t xml:space="preserve">to ensure conservation areas are undisturbed. </w:t>
      </w:r>
      <w:r w:rsidR="00A230C9" w:rsidRPr="00BB4245">
        <w:rPr>
          <w:rFonts w:ascii="Garamond" w:hAnsi="Garamond"/>
        </w:rPr>
        <w:t xml:space="preserve">Although </w:t>
      </w:r>
      <w:r w:rsidR="00A230C9">
        <w:rPr>
          <w:rFonts w:ascii="Garamond" w:hAnsi="Garamond"/>
        </w:rPr>
        <w:t>HCPs</w:t>
      </w:r>
      <w:r w:rsidR="00A230C9" w:rsidRPr="00BB4245">
        <w:rPr>
          <w:rFonts w:ascii="Garamond" w:hAnsi="Garamond"/>
        </w:rPr>
        <w:t xml:space="preserve"> </w:t>
      </w:r>
      <w:r w:rsidR="00A230C9">
        <w:rPr>
          <w:rFonts w:ascii="Garamond" w:hAnsi="Garamond"/>
        </w:rPr>
        <w:t>are increasingly</w:t>
      </w:r>
      <w:r w:rsidR="00A230C9" w:rsidRPr="00BB4245">
        <w:rPr>
          <w:rFonts w:ascii="Garamond" w:hAnsi="Garamond"/>
        </w:rPr>
        <w:t xml:space="preserve"> common and successful in the past few decades, there </w:t>
      </w:r>
      <w:r w:rsidR="00A230C9">
        <w:rPr>
          <w:rFonts w:ascii="Garamond" w:hAnsi="Garamond"/>
        </w:rPr>
        <w:t xml:space="preserve">are </w:t>
      </w:r>
      <w:r w:rsidR="00A230C9" w:rsidRPr="00BB4245">
        <w:rPr>
          <w:rFonts w:ascii="Garamond" w:hAnsi="Garamond"/>
        </w:rPr>
        <w:t xml:space="preserve">no independent </w:t>
      </w:r>
      <w:r w:rsidR="00A230C9">
        <w:rPr>
          <w:rFonts w:ascii="Garamond" w:hAnsi="Garamond"/>
        </w:rPr>
        <w:t xml:space="preserve">business processes or tools in place </w:t>
      </w:r>
      <w:r w:rsidR="00A230C9" w:rsidRPr="00BB4245">
        <w:rPr>
          <w:rFonts w:ascii="Garamond" w:hAnsi="Garamond"/>
        </w:rPr>
        <w:t xml:space="preserve">to evaluate </w:t>
      </w:r>
      <w:r w:rsidR="00A230C9">
        <w:rPr>
          <w:rFonts w:ascii="Garamond" w:hAnsi="Garamond"/>
        </w:rPr>
        <w:t xml:space="preserve">these </w:t>
      </w:r>
      <w:r w:rsidR="00A230C9" w:rsidRPr="00BB4245">
        <w:rPr>
          <w:rFonts w:ascii="Garamond" w:hAnsi="Garamond"/>
        </w:rPr>
        <w:t xml:space="preserve">areas and </w:t>
      </w:r>
      <w:r w:rsidR="00A230C9">
        <w:rPr>
          <w:rFonts w:ascii="Garamond" w:hAnsi="Garamond"/>
        </w:rPr>
        <w:t>determine the extent of potential disturbance.</w:t>
      </w:r>
    </w:p>
    <w:p w14:paraId="6B794CB9" w14:textId="77777777" w:rsidR="00353F4B" w:rsidRPr="00EC3694" w:rsidRDefault="00353F4B" w:rsidP="008B3821">
      <w:pPr>
        <w:rPr>
          <w:b/>
          <w:sz w:val="20"/>
          <w:szCs w:val="20"/>
        </w:rPr>
      </w:pPr>
    </w:p>
    <w:p w14:paraId="14F3574F" w14:textId="128B80E1"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A230C9">
        <w:rPr>
          <w:rFonts w:ascii="Garamond" w:hAnsi="Garamond"/>
        </w:rPr>
        <w:t>This project developed out of a discussion between members of the US Fish and Wildlife Service and DEVELOP.</w:t>
      </w:r>
    </w:p>
    <w:p w14:paraId="56693788" w14:textId="77777777" w:rsidR="008B3821" w:rsidRPr="00EC3694" w:rsidRDefault="008B3821" w:rsidP="00276572">
      <w:pPr>
        <w:rPr>
          <w:b/>
          <w:sz w:val="20"/>
          <w:szCs w:val="20"/>
        </w:rPr>
      </w:pPr>
    </w:p>
    <w:p w14:paraId="1D844156" w14:textId="5F1AB7E7" w:rsidR="00276572" w:rsidRPr="00EC3694" w:rsidRDefault="00A230C9" w:rsidP="00DC6974">
      <w:pPr>
        <w:ind w:left="720" w:hanging="720"/>
        <w:rPr>
          <w:sz w:val="20"/>
          <w:szCs w:val="20"/>
        </w:rPr>
      </w:pPr>
      <w:r>
        <w:rPr>
          <w:b/>
          <w:i/>
          <w:sz w:val="20"/>
          <w:szCs w:val="20"/>
        </w:rPr>
        <w:t>National Application Areas</w:t>
      </w:r>
      <w:r w:rsidR="00276572" w:rsidRPr="00EC3694">
        <w:rPr>
          <w:b/>
          <w:i/>
          <w:sz w:val="20"/>
          <w:szCs w:val="20"/>
        </w:rPr>
        <w:t xml:space="preserve"> Addressed:</w:t>
      </w:r>
      <w:r w:rsidR="00276572" w:rsidRPr="00EC3694">
        <w:rPr>
          <w:sz w:val="20"/>
          <w:szCs w:val="20"/>
        </w:rPr>
        <w:t xml:space="preserve"> </w:t>
      </w:r>
      <w:r>
        <w:rPr>
          <w:rFonts w:ascii="Garamond" w:hAnsi="Garamond"/>
        </w:rPr>
        <w:t>Cross-Cutting, Ecological Forecasting, Agriculture</w:t>
      </w:r>
    </w:p>
    <w:p w14:paraId="75CB4D6A" w14:textId="6223BC76"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230C9">
        <w:rPr>
          <w:rFonts w:ascii="Garamond" w:hAnsi="Garamond"/>
        </w:rPr>
        <w:t>USFWS Pacific Southwest Region</w:t>
      </w:r>
      <w:r w:rsidR="00D11B31">
        <w:rPr>
          <w:rFonts w:ascii="Garamond" w:hAnsi="Garamond"/>
        </w:rPr>
        <w:t xml:space="preserve">, </w:t>
      </w:r>
      <w:r w:rsidR="00A230C9">
        <w:rPr>
          <w:rFonts w:ascii="Garamond" w:hAnsi="Garamond"/>
        </w:rPr>
        <w:t>CA, NV, OR</w:t>
      </w:r>
    </w:p>
    <w:p w14:paraId="1CCD5CD8" w14:textId="487A95E2"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A230C9">
        <w:rPr>
          <w:rFonts w:ascii="Garamond" w:hAnsi="Garamond"/>
        </w:rPr>
        <w:t xml:space="preserve">January 1995 </w:t>
      </w:r>
      <w:r w:rsidR="00DA5211">
        <w:rPr>
          <w:rFonts w:ascii="Garamond" w:hAnsi="Garamond"/>
        </w:rPr>
        <w:t>– M</w:t>
      </w:r>
      <w:r w:rsidR="00A230C9">
        <w:rPr>
          <w:rFonts w:ascii="Garamond" w:hAnsi="Garamond"/>
        </w:rPr>
        <w:t>ay 2017</w:t>
      </w:r>
    </w:p>
    <w:p w14:paraId="462EE0EA" w14:textId="77777777" w:rsidR="00276572" w:rsidRPr="00EC3694" w:rsidRDefault="00276572" w:rsidP="00276572">
      <w:pPr>
        <w:rPr>
          <w:b/>
          <w:sz w:val="20"/>
          <w:szCs w:val="20"/>
        </w:rPr>
      </w:pPr>
    </w:p>
    <w:p w14:paraId="0F77539E" w14:textId="69481791" w:rsidR="00276572" w:rsidRPr="00EC3694" w:rsidRDefault="00A230C9" w:rsidP="00276572">
      <w:pPr>
        <w:rPr>
          <w:sz w:val="20"/>
          <w:szCs w:val="20"/>
        </w:rPr>
      </w:pPr>
      <w:r>
        <w:rPr>
          <w:b/>
          <w:i/>
          <w:sz w:val="20"/>
          <w:szCs w:val="20"/>
        </w:rPr>
        <w:t>Advisor</w:t>
      </w:r>
      <w:r w:rsidR="00276572" w:rsidRPr="00EC3694">
        <w:rPr>
          <w:b/>
          <w:i/>
          <w:sz w:val="20"/>
          <w:szCs w:val="20"/>
        </w:rPr>
        <w:t>:</w:t>
      </w:r>
      <w:r w:rsidR="00276572" w:rsidRPr="00EC3694">
        <w:rPr>
          <w:sz w:val="20"/>
          <w:szCs w:val="20"/>
        </w:rPr>
        <w:t xml:space="preserve"> </w:t>
      </w:r>
      <w:r>
        <w:rPr>
          <w:rFonts w:ascii="Garamond" w:hAnsi="Garamond"/>
        </w:rPr>
        <w:t>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AAD1799"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0B0958" w:rsidRPr="00EC3694" w14:paraId="4EEA7B0E" w14:textId="77777777" w:rsidTr="000B0958">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0B0958" w:rsidRPr="00EC3694" w14:paraId="5D470CD2" w14:textId="77777777" w:rsidTr="000B0958">
        <w:tc>
          <w:tcPr>
            <w:tcW w:w="3263" w:type="dxa"/>
          </w:tcPr>
          <w:p w14:paraId="147FACB8" w14:textId="3412D55B" w:rsidR="006804AC" w:rsidRPr="00EC3694" w:rsidRDefault="00A230C9" w:rsidP="00A44DD0">
            <w:pPr>
              <w:rPr>
                <w:rFonts w:ascii="Garamond" w:hAnsi="Garamond"/>
              </w:rPr>
            </w:pPr>
            <w:r>
              <w:rPr>
                <w:rFonts w:ascii="Garamond" w:hAnsi="Garamond"/>
              </w:rPr>
              <w:t>US Fish and Wildlife Service, Pacific Southwest Region</w:t>
            </w:r>
            <w:r w:rsidR="00AF3819">
              <w:rPr>
                <w:rFonts w:ascii="Garamond" w:hAnsi="Garamond"/>
              </w:rPr>
              <w:t xml:space="preserve">, Ecological Services Program </w:t>
            </w:r>
          </w:p>
        </w:tc>
        <w:tc>
          <w:tcPr>
            <w:tcW w:w="3510" w:type="dxa"/>
          </w:tcPr>
          <w:p w14:paraId="4892E778" w14:textId="77777777" w:rsidR="006804AC" w:rsidRDefault="00A230C9" w:rsidP="00A44DD0">
            <w:pPr>
              <w:rPr>
                <w:rFonts w:ascii="Garamond" w:hAnsi="Garamond"/>
              </w:rPr>
            </w:pPr>
            <w:r>
              <w:rPr>
                <w:rFonts w:ascii="Garamond" w:hAnsi="Garamond"/>
              </w:rPr>
              <w:t xml:space="preserve">Pat </w:t>
            </w:r>
            <w:proofErr w:type="spellStart"/>
            <w:r>
              <w:rPr>
                <w:rFonts w:ascii="Garamond" w:hAnsi="Garamond"/>
              </w:rPr>
              <w:t>Lineback</w:t>
            </w:r>
            <w:proofErr w:type="spellEnd"/>
            <w:r>
              <w:rPr>
                <w:rFonts w:ascii="Garamond" w:hAnsi="Garamond"/>
              </w:rPr>
              <w:t>, Regional GIS Coordinator;</w:t>
            </w:r>
          </w:p>
          <w:p w14:paraId="0111C027" w14:textId="5491744F" w:rsidR="00A230C9" w:rsidRPr="00EC3694" w:rsidRDefault="00A230C9" w:rsidP="00A44DD0">
            <w:pPr>
              <w:rPr>
                <w:rFonts w:ascii="Garamond" w:hAnsi="Garamond"/>
              </w:rPr>
            </w:pPr>
            <w:r>
              <w:rPr>
                <w:rFonts w:ascii="Garamond" w:hAnsi="Garamond"/>
              </w:rPr>
              <w:t>Dan Cox, Regional Habitat Conservation Coordinator</w:t>
            </w:r>
          </w:p>
        </w:tc>
        <w:tc>
          <w:tcPr>
            <w:tcW w:w="1620" w:type="dxa"/>
          </w:tcPr>
          <w:p w14:paraId="21053937" w14:textId="518FC4DF" w:rsidR="006804AC" w:rsidRPr="00EC3694" w:rsidRDefault="006978F9" w:rsidP="00A44DD0">
            <w:pPr>
              <w:rPr>
                <w:rFonts w:ascii="Garamond" w:hAnsi="Garamond"/>
              </w:rPr>
            </w:pPr>
            <w:r>
              <w:rPr>
                <w:rFonts w:ascii="Garamond" w:hAnsi="Garamond"/>
              </w:rPr>
              <w:t>End</w:t>
            </w:r>
            <w:r w:rsidR="00C019EA">
              <w:rPr>
                <w:rFonts w:ascii="Garamond" w:hAnsi="Garamond"/>
              </w:rPr>
              <w:t xml:space="preserve"> </w:t>
            </w:r>
            <w:r w:rsidR="009E4CFF" w:rsidRPr="00EC3694">
              <w:rPr>
                <w:rFonts w:ascii="Garamond" w:hAnsi="Garamond"/>
              </w:rPr>
              <w:t>User</w:t>
            </w:r>
          </w:p>
        </w:tc>
        <w:tc>
          <w:tcPr>
            <w:tcW w:w="1080" w:type="dxa"/>
          </w:tcPr>
          <w:p w14:paraId="6070AA6D" w14:textId="75EB7771" w:rsidR="006804AC" w:rsidRPr="00EC3694" w:rsidRDefault="00A230C9" w:rsidP="006804AC">
            <w:pPr>
              <w:jc w:val="center"/>
              <w:rPr>
                <w:rFonts w:ascii="Garamond" w:hAnsi="Garamond"/>
              </w:rPr>
            </w:pPr>
            <w:r>
              <w:rPr>
                <w:rFonts w:ascii="Garamond" w:hAnsi="Garamond"/>
              </w:rPr>
              <w:t>No</w:t>
            </w:r>
          </w:p>
        </w:tc>
      </w:tr>
      <w:tr w:rsidR="000B0958" w:rsidRPr="00EC3694" w14:paraId="0113589C" w14:textId="77777777" w:rsidTr="000B0958">
        <w:tc>
          <w:tcPr>
            <w:tcW w:w="3263" w:type="dxa"/>
          </w:tcPr>
          <w:p w14:paraId="541C91E8" w14:textId="0AA63F5E" w:rsidR="00D11B31" w:rsidRDefault="009A4E67" w:rsidP="00A44DD0">
            <w:pPr>
              <w:rPr>
                <w:rFonts w:ascii="Garamond" w:hAnsi="Garamond"/>
              </w:rPr>
            </w:pPr>
            <w:r>
              <w:rPr>
                <w:rFonts w:ascii="Garamond" w:hAnsi="Garamond"/>
              </w:rPr>
              <w:t>US</w:t>
            </w:r>
            <w:r w:rsidR="00D11B31">
              <w:rPr>
                <w:rFonts w:ascii="Garamond" w:hAnsi="Garamond"/>
              </w:rPr>
              <w:t xml:space="preserve"> Fish and Wildlife Service, Midwest Region</w:t>
            </w:r>
            <w:r w:rsidR="00AF3819">
              <w:rPr>
                <w:rFonts w:ascii="Garamond" w:hAnsi="Garamond"/>
              </w:rPr>
              <w:t>, National Wetland Inventory</w:t>
            </w:r>
          </w:p>
        </w:tc>
        <w:tc>
          <w:tcPr>
            <w:tcW w:w="3510" w:type="dxa"/>
          </w:tcPr>
          <w:p w14:paraId="671655FC" w14:textId="555880F1" w:rsidR="00D11B31" w:rsidRDefault="00AF3819" w:rsidP="00AF3819">
            <w:pPr>
              <w:rPr>
                <w:rFonts w:ascii="Garamond" w:hAnsi="Garamond"/>
              </w:rPr>
            </w:pPr>
            <w:r>
              <w:rPr>
                <w:rFonts w:ascii="Garamond" w:hAnsi="Garamond"/>
              </w:rPr>
              <w:t xml:space="preserve">Brian </w:t>
            </w:r>
            <w:proofErr w:type="spellStart"/>
            <w:r>
              <w:rPr>
                <w:rFonts w:ascii="Garamond" w:hAnsi="Garamond"/>
              </w:rPr>
              <w:t>Huberty</w:t>
            </w:r>
            <w:proofErr w:type="spellEnd"/>
            <w:r>
              <w:rPr>
                <w:rFonts w:ascii="Garamond" w:hAnsi="Garamond"/>
              </w:rPr>
              <w:t>, Regional NWI and Remote Sensing Coordinator</w:t>
            </w:r>
          </w:p>
        </w:tc>
        <w:tc>
          <w:tcPr>
            <w:tcW w:w="1620" w:type="dxa"/>
          </w:tcPr>
          <w:p w14:paraId="5EED832E" w14:textId="4BE57022" w:rsidR="00D11B31" w:rsidRDefault="00D11B31" w:rsidP="00A44DD0">
            <w:pPr>
              <w:rPr>
                <w:rFonts w:ascii="Garamond" w:hAnsi="Garamond"/>
              </w:rPr>
            </w:pPr>
            <w:r>
              <w:rPr>
                <w:rFonts w:ascii="Garamond" w:hAnsi="Garamond"/>
              </w:rPr>
              <w:t>Collaborator</w:t>
            </w:r>
          </w:p>
        </w:tc>
        <w:tc>
          <w:tcPr>
            <w:tcW w:w="1080" w:type="dxa"/>
          </w:tcPr>
          <w:p w14:paraId="58CE655C" w14:textId="3C0BA603" w:rsidR="00D11B31" w:rsidRDefault="00D11B31"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2CBBDDF8" w:rsidR="00C057E9" w:rsidRPr="00EC3694" w:rsidRDefault="006978F9" w:rsidP="00CD0433">
      <w:pPr>
        <w:rPr>
          <w:b/>
          <w:i/>
          <w:sz w:val="20"/>
          <w:szCs w:val="20"/>
          <w:u w:val="single"/>
        </w:rPr>
      </w:pPr>
      <w:r>
        <w:rPr>
          <w:b/>
          <w:i/>
          <w:sz w:val="20"/>
          <w:szCs w:val="20"/>
          <w:u w:val="single"/>
        </w:rPr>
        <w:t xml:space="preserve">End </w:t>
      </w:r>
      <w:r w:rsidR="00C057E9" w:rsidRPr="00EC3694">
        <w:rPr>
          <w:b/>
          <w:i/>
          <w:sz w:val="20"/>
          <w:szCs w:val="20"/>
          <w:u w:val="single"/>
        </w:rPr>
        <w:t>User Overview</w:t>
      </w:r>
    </w:p>
    <w:p w14:paraId="4D834E3E" w14:textId="138327D3" w:rsidR="002E2D9E" w:rsidRDefault="00F52113" w:rsidP="00A230C9">
      <w:pPr>
        <w:rPr>
          <w:rFonts w:ascii="Garamond" w:hAnsi="Garamond"/>
        </w:rPr>
      </w:pPr>
      <w:r w:rsidRPr="00EC3694">
        <w:rPr>
          <w:b/>
          <w:i/>
          <w:sz w:val="20"/>
          <w:szCs w:val="20"/>
        </w:rPr>
        <w:t>E</w:t>
      </w:r>
      <w:r w:rsidR="006978F9">
        <w:rPr>
          <w:b/>
          <w:i/>
          <w:sz w:val="20"/>
          <w:szCs w:val="20"/>
        </w:rPr>
        <w:t xml:space="preserv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0B0958">
        <w:rPr>
          <w:rFonts w:ascii="Garamond" w:eastAsia="Garamond" w:hAnsi="Garamond" w:cs="Garamond"/>
        </w:rPr>
        <w:t xml:space="preserve">HCPs were developed to protect and manage areas where desired economic development is in conflict with the needs of threatened and endangered species. Each plan is developed through collaboration between the USFWS and a landowner or other project proponent. </w:t>
      </w:r>
      <w:r w:rsidR="000B0958">
        <w:rPr>
          <w:rFonts w:ascii="Garamond" w:eastAsia="Garamond" w:hAnsi="Garamond" w:cs="Garamond"/>
        </w:rPr>
        <w:lastRenderedPageBreak/>
        <w:t xml:space="preserve">Regulations restrict activities within HCP boundaries to minimize impacts to listed species while still allowing for land development. </w:t>
      </w:r>
      <w:r w:rsidR="00A230C9" w:rsidRPr="00293791">
        <w:rPr>
          <w:rFonts w:ascii="Garamond" w:hAnsi="Garamond"/>
        </w:rPr>
        <w:t xml:space="preserve">The current USFWS HCP </w:t>
      </w:r>
      <w:r w:rsidR="00A230C9">
        <w:rPr>
          <w:rFonts w:ascii="Garamond" w:hAnsi="Garamond"/>
        </w:rPr>
        <w:t>area</w:t>
      </w:r>
      <w:r w:rsidR="00A230C9" w:rsidRPr="00293791">
        <w:rPr>
          <w:rFonts w:ascii="Garamond" w:hAnsi="Garamond"/>
        </w:rPr>
        <w:t xml:space="preserve"> assessment process </w:t>
      </w:r>
      <w:r w:rsidR="009828CC">
        <w:rPr>
          <w:rFonts w:ascii="Garamond" w:hAnsi="Garamond"/>
        </w:rPr>
        <w:t>does not have a</w:t>
      </w:r>
      <w:r w:rsidR="00A230C9" w:rsidRPr="00293791">
        <w:rPr>
          <w:rFonts w:ascii="Garamond" w:hAnsi="Garamond"/>
        </w:rPr>
        <w:t xml:space="preserve"> </w:t>
      </w:r>
      <w:r w:rsidR="009828CC">
        <w:rPr>
          <w:rFonts w:ascii="Garamond" w:hAnsi="Garamond"/>
        </w:rPr>
        <w:t xml:space="preserve">formal </w:t>
      </w:r>
      <w:r w:rsidR="00A230C9" w:rsidRPr="00293791">
        <w:rPr>
          <w:rFonts w:ascii="Garamond" w:hAnsi="Garamond"/>
        </w:rPr>
        <w:t>structure and any follow-up assessments are dependent on individual programs or office leads</w:t>
      </w:r>
      <w:r w:rsidR="00A230C9">
        <w:rPr>
          <w:rFonts w:ascii="Garamond" w:hAnsi="Garamond"/>
        </w:rPr>
        <w:t xml:space="preserve">, and their time, expertise, and interest. This is confounded by the millions of acres that these individuals are responsible for monitoring without the benefit of a disturbance-detection system. Thus, follow-up is infrequent and </w:t>
      </w:r>
      <w:proofErr w:type="spellStart"/>
      <w:r w:rsidR="00A230C9">
        <w:rPr>
          <w:rFonts w:ascii="Garamond" w:hAnsi="Garamond"/>
        </w:rPr>
        <w:t>nonstandardized</w:t>
      </w:r>
      <w:proofErr w:type="spellEnd"/>
      <w:r w:rsidR="00A230C9">
        <w:rPr>
          <w:rFonts w:ascii="Garamond" w:hAnsi="Garamond"/>
        </w:rPr>
        <w:t>.</w:t>
      </w:r>
      <w:r w:rsidR="00C019EA">
        <w:rPr>
          <w:rFonts w:ascii="Garamond" w:hAnsi="Garamond"/>
        </w:rPr>
        <w:t xml:space="preserve"> While the end user is familiar with NASA Earth observations, they are not currently using them for monitoring HCP areas. </w:t>
      </w:r>
    </w:p>
    <w:p w14:paraId="55D38646" w14:textId="77777777" w:rsidR="00A230C9" w:rsidRPr="00EC3694" w:rsidRDefault="00A230C9" w:rsidP="00A230C9">
      <w:pPr>
        <w:rPr>
          <w:b/>
          <w:i/>
          <w:sz w:val="20"/>
          <w:szCs w:val="20"/>
        </w:rPr>
      </w:pPr>
    </w:p>
    <w:p w14:paraId="415D7485" w14:textId="6392044B" w:rsidR="002E2D9E" w:rsidRPr="00EC3694" w:rsidRDefault="002C5BBB"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BD47034" w14:textId="36E9966C" w:rsidR="00A230C9" w:rsidRPr="00BB4245" w:rsidRDefault="00A230C9" w:rsidP="00A230C9">
      <w:pPr>
        <w:ind w:left="720" w:hanging="720"/>
        <w:rPr>
          <w:rFonts w:ascii="Garamond" w:hAnsi="Garamond"/>
        </w:rPr>
      </w:pPr>
      <w:r w:rsidRPr="00BB4245">
        <w:rPr>
          <w:rFonts w:ascii="Garamond" w:hAnsi="Garamond"/>
          <w:i/>
        </w:rPr>
        <w:t>US Fish and Wildlife Service</w:t>
      </w:r>
      <w:r w:rsidR="007D64DC">
        <w:rPr>
          <w:rFonts w:ascii="Garamond" w:hAnsi="Garamond"/>
          <w:i/>
        </w:rPr>
        <w:t>, Pacific Southwest Region, Ecological Services Program</w:t>
      </w:r>
      <w:r w:rsidRPr="00BB4245">
        <w:rPr>
          <w:rFonts w:ascii="Garamond" w:hAnsi="Garamond"/>
        </w:rPr>
        <w:t xml:space="preserve"> – The end</w:t>
      </w:r>
      <w:r w:rsidR="00DA5211">
        <w:rPr>
          <w:rFonts w:ascii="Garamond" w:hAnsi="Garamond"/>
        </w:rPr>
        <w:t xml:space="preserve"> </w:t>
      </w:r>
      <w:r w:rsidRPr="00BB4245">
        <w:rPr>
          <w:rFonts w:ascii="Garamond" w:hAnsi="Garamond"/>
        </w:rPr>
        <w:t>user is familiar with GIS and NASA Earth observations, and currently implements several types of remotely sensed data in their decision-making processes.</w:t>
      </w:r>
      <w:r>
        <w:rPr>
          <w:rFonts w:ascii="Garamond" w:hAnsi="Garamond"/>
        </w:rPr>
        <w:t xml:space="preserve"> However, the broader application of this project’s results must account for varied levels of GIS and remote sensing capabilities, and build capacity within biologists and programs involved with HCPs who lack proficiency with GIS applications.</w:t>
      </w:r>
    </w:p>
    <w:p w14:paraId="1242BC45" w14:textId="77777777" w:rsidR="00C057E9" w:rsidRPr="007D64DC" w:rsidRDefault="00C057E9" w:rsidP="00A230C9">
      <w:pPr>
        <w:rPr>
          <w:sz w:val="20"/>
          <w:szCs w:val="20"/>
        </w:rPr>
      </w:pPr>
    </w:p>
    <w:p w14:paraId="26B06149" w14:textId="77777777" w:rsidR="007D64DC" w:rsidRPr="007D64DC" w:rsidRDefault="007D64DC" w:rsidP="007D64DC">
      <w:pPr>
        <w:rPr>
          <w:color w:val="000000"/>
          <w:sz w:val="20"/>
          <w:szCs w:val="20"/>
        </w:rPr>
      </w:pPr>
      <w:r w:rsidRPr="007D64DC">
        <w:rPr>
          <w:b/>
          <w:bCs/>
          <w:i/>
          <w:iCs/>
          <w:color w:val="000000"/>
          <w:sz w:val="20"/>
          <w:szCs w:val="20"/>
          <w:u w:val="single"/>
        </w:rPr>
        <w:t>Collaborator &amp; Boundary Organization Overview</w:t>
      </w:r>
    </w:p>
    <w:p w14:paraId="5790F513" w14:textId="77777777" w:rsidR="007D64DC" w:rsidRPr="007D64DC" w:rsidRDefault="007D64DC" w:rsidP="007D64DC">
      <w:pPr>
        <w:rPr>
          <w:color w:val="000000"/>
          <w:sz w:val="20"/>
          <w:szCs w:val="20"/>
        </w:rPr>
      </w:pPr>
      <w:r w:rsidRPr="007D64DC">
        <w:rPr>
          <w:b/>
          <w:bCs/>
          <w:i/>
          <w:iCs/>
          <w:color w:val="000000"/>
          <w:sz w:val="20"/>
          <w:szCs w:val="20"/>
        </w:rPr>
        <w:t>Collaborator Support:</w:t>
      </w:r>
    </w:p>
    <w:p w14:paraId="6F16C5A6" w14:textId="57B7B72C" w:rsidR="007D64DC" w:rsidRPr="007D64DC" w:rsidRDefault="007D64DC" w:rsidP="00333F2B">
      <w:pPr>
        <w:ind w:left="720" w:hanging="720"/>
        <w:rPr>
          <w:rFonts w:ascii="Garamond" w:hAnsi="Garamond"/>
          <w:color w:val="000000"/>
        </w:rPr>
      </w:pPr>
      <w:r w:rsidRPr="007D64DC">
        <w:rPr>
          <w:rFonts w:ascii="Garamond" w:hAnsi="Garamond"/>
          <w:i/>
          <w:iCs/>
          <w:color w:val="000000"/>
        </w:rPr>
        <w:t>US Fish and Wildlife Service, Midwest Region, National Wetland Inventory</w:t>
      </w:r>
      <w:r w:rsidRPr="007D64DC">
        <w:rPr>
          <w:rFonts w:ascii="Garamond" w:hAnsi="Garamond"/>
          <w:color w:val="000000"/>
        </w:rPr>
        <w:t xml:space="preserve"> – </w:t>
      </w:r>
      <w:r w:rsidR="007879B2">
        <w:rPr>
          <w:rFonts w:ascii="Garamond" w:hAnsi="Garamond"/>
          <w:color w:val="000000"/>
        </w:rPr>
        <w:t>The USFWS Midwest Region</w:t>
      </w:r>
      <w:r w:rsidRPr="007D64DC">
        <w:rPr>
          <w:rFonts w:ascii="Garamond" w:hAnsi="Garamond"/>
          <w:color w:val="000000"/>
        </w:rPr>
        <w:t xml:space="preserve"> is contributing geospatial and subject matter expertise in the development of the end product tool. In addition, they are providing insight on how to best make the tool more editable to be applied to other case studies beyond HCPs.</w:t>
      </w:r>
    </w:p>
    <w:p w14:paraId="7CAE5D9C" w14:textId="77777777" w:rsidR="007D64DC" w:rsidRDefault="007D64DC" w:rsidP="00C057E9">
      <w:pPr>
        <w:ind w:left="720" w:hanging="720"/>
        <w:rPr>
          <w:b/>
          <w:i/>
          <w:sz w:val="20"/>
          <w:szCs w:val="20"/>
          <w:u w:val="single"/>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64975C6E" w14:textId="3AA1CC4E" w:rsidR="00A230C9" w:rsidRDefault="00A230C9" w:rsidP="00A230C9">
      <w:pPr>
        <w:rPr>
          <w:sz w:val="20"/>
          <w:szCs w:val="20"/>
        </w:rPr>
      </w:pPr>
      <w:r>
        <w:rPr>
          <w:b/>
          <w:i/>
          <w:sz w:val="20"/>
          <w:szCs w:val="20"/>
        </w:rPr>
        <w:t>In-Term Communication Plan</w:t>
      </w:r>
      <w:r w:rsidRPr="00C72F1A">
        <w:rPr>
          <w:b/>
          <w:sz w:val="20"/>
          <w:szCs w:val="20"/>
        </w:rPr>
        <w:t xml:space="preserve">: </w:t>
      </w:r>
      <w:r w:rsidRPr="00BB4245">
        <w:rPr>
          <w:rFonts w:ascii="Garamond" w:hAnsi="Garamond"/>
        </w:rPr>
        <w:t xml:space="preserve">The team lead will be the main point of contact for the project during the term and the </w:t>
      </w:r>
      <w:r w:rsidR="00497BF1">
        <w:rPr>
          <w:rFonts w:ascii="Garamond" w:hAnsi="Garamond"/>
        </w:rPr>
        <w:t>C</w:t>
      </w:r>
      <w:r w:rsidRPr="00BB4245">
        <w:rPr>
          <w:rFonts w:ascii="Garamond" w:hAnsi="Garamond"/>
        </w:rPr>
        <w:t xml:space="preserve">enter </w:t>
      </w:r>
      <w:r w:rsidR="00497BF1">
        <w:rPr>
          <w:rFonts w:ascii="Garamond" w:hAnsi="Garamond"/>
        </w:rPr>
        <w:t>L</w:t>
      </w:r>
      <w:r w:rsidRPr="00BB4245">
        <w:rPr>
          <w:rFonts w:ascii="Garamond" w:hAnsi="Garamond"/>
        </w:rPr>
        <w:t xml:space="preserve">ead will act </w:t>
      </w:r>
      <w:r w:rsidR="002C5BBB">
        <w:rPr>
          <w:rFonts w:ascii="Garamond" w:hAnsi="Garamond"/>
        </w:rPr>
        <w:t>as a secondary point of contact</w:t>
      </w:r>
      <w:r w:rsidRPr="00BB4245">
        <w:rPr>
          <w:rFonts w:ascii="Garamond" w:hAnsi="Garamond"/>
        </w:rPr>
        <w:t xml:space="preserve">. </w:t>
      </w:r>
      <w:r>
        <w:rPr>
          <w:rFonts w:ascii="Garamond" w:hAnsi="Garamond"/>
        </w:rPr>
        <w:t xml:space="preserve">The </w:t>
      </w:r>
      <w:r w:rsidRPr="00BB4245">
        <w:rPr>
          <w:rFonts w:ascii="Garamond" w:hAnsi="Garamond"/>
        </w:rPr>
        <w:t xml:space="preserve">team will communicate with the project partners weekly via email to </w:t>
      </w:r>
      <w:r w:rsidR="00497BF1">
        <w:rPr>
          <w:rFonts w:ascii="Garamond" w:hAnsi="Garamond"/>
        </w:rPr>
        <w:t xml:space="preserve">provide </w:t>
      </w:r>
      <w:r w:rsidRPr="00BB4245">
        <w:rPr>
          <w:rFonts w:ascii="Garamond" w:hAnsi="Garamond"/>
        </w:rPr>
        <w:t>update</w:t>
      </w:r>
      <w:r w:rsidR="00497BF1">
        <w:rPr>
          <w:rFonts w:ascii="Garamond" w:hAnsi="Garamond"/>
        </w:rPr>
        <w:t>s</w:t>
      </w:r>
      <w:r w:rsidRPr="00BB4245">
        <w:rPr>
          <w:rFonts w:ascii="Garamond" w:hAnsi="Garamond"/>
        </w:rPr>
        <w:t xml:space="preserve"> on project progress and to ask questions as needed. Biweekly teleconference or video calls will also be used to have more discussion about project methodology and results.</w:t>
      </w:r>
    </w:p>
    <w:p w14:paraId="1DC1D848" w14:textId="77777777" w:rsidR="00A230C9" w:rsidRDefault="00A230C9" w:rsidP="00A230C9">
      <w:pPr>
        <w:rPr>
          <w:sz w:val="20"/>
          <w:szCs w:val="20"/>
        </w:rPr>
      </w:pPr>
    </w:p>
    <w:p w14:paraId="30930059" w14:textId="067642E3" w:rsidR="00A230C9" w:rsidRPr="00293791" w:rsidRDefault="00A230C9" w:rsidP="00A230C9">
      <w:pPr>
        <w:rPr>
          <w:rFonts w:ascii="Garamond" w:hAnsi="Garamond"/>
        </w:rPr>
      </w:pPr>
      <w:r w:rsidRPr="00CD0433">
        <w:rPr>
          <w:b/>
          <w:i/>
          <w:sz w:val="20"/>
          <w:szCs w:val="20"/>
        </w:rPr>
        <w:t xml:space="preserve">Transition </w:t>
      </w:r>
      <w:r>
        <w:rPr>
          <w:b/>
          <w:i/>
          <w:sz w:val="20"/>
          <w:szCs w:val="20"/>
        </w:rPr>
        <w:t>Plan</w:t>
      </w:r>
      <w:r w:rsidRPr="00C72F1A">
        <w:rPr>
          <w:b/>
          <w:sz w:val="20"/>
          <w:szCs w:val="20"/>
        </w:rPr>
        <w:t xml:space="preserve">: </w:t>
      </w:r>
      <w:r w:rsidRPr="00BB4245">
        <w:rPr>
          <w:rFonts w:ascii="Garamond" w:hAnsi="Garamond"/>
        </w:rPr>
        <w:t>An initial</w:t>
      </w:r>
      <w:r w:rsidR="00D7150E">
        <w:rPr>
          <w:rFonts w:ascii="Garamond" w:hAnsi="Garamond"/>
        </w:rPr>
        <w:t xml:space="preserve"> </w:t>
      </w:r>
      <w:r w:rsidRPr="00BB4245">
        <w:rPr>
          <w:rFonts w:ascii="Garamond" w:hAnsi="Garamond"/>
        </w:rPr>
        <w:t>project hand</w:t>
      </w:r>
      <w:r>
        <w:rPr>
          <w:rFonts w:ascii="Garamond" w:hAnsi="Garamond"/>
        </w:rPr>
        <w:t>-</w:t>
      </w:r>
      <w:r w:rsidRPr="00BB4245">
        <w:rPr>
          <w:rFonts w:ascii="Garamond" w:hAnsi="Garamond"/>
        </w:rPr>
        <w:t xml:space="preserve">off will occur at the end of the term, </w:t>
      </w:r>
      <w:r w:rsidR="00EE3B10">
        <w:rPr>
          <w:rFonts w:ascii="Garamond" w:hAnsi="Garamond"/>
        </w:rPr>
        <w:t>during</w:t>
      </w:r>
      <w:r w:rsidRPr="00BB4245">
        <w:rPr>
          <w:rFonts w:ascii="Garamond" w:hAnsi="Garamond"/>
        </w:rPr>
        <w:t xml:space="preserve"> which maps and other visuals will be given to the partners. </w:t>
      </w:r>
      <w:r w:rsidR="00EE3B10">
        <w:rPr>
          <w:rFonts w:ascii="Garamond" w:hAnsi="Garamond"/>
        </w:rPr>
        <w:t>T</w:t>
      </w:r>
      <w:r w:rsidRPr="00BB4245">
        <w:rPr>
          <w:rFonts w:ascii="Garamond" w:hAnsi="Garamond"/>
        </w:rPr>
        <w:t xml:space="preserve">he decision-support tool will be released to the partners </w:t>
      </w:r>
      <w:r w:rsidR="00EE3B10">
        <w:rPr>
          <w:rFonts w:ascii="Garamond" w:hAnsi="Garamond"/>
        </w:rPr>
        <w:t>once</w:t>
      </w:r>
      <w:r w:rsidR="00EE3B10" w:rsidRPr="00BB4245">
        <w:rPr>
          <w:rFonts w:ascii="Garamond" w:hAnsi="Garamond"/>
        </w:rPr>
        <w:t xml:space="preserve"> </w:t>
      </w:r>
      <w:r w:rsidRPr="00BB4245">
        <w:rPr>
          <w:rFonts w:ascii="Garamond" w:hAnsi="Garamond"/>
        </w:rPr>
        <w:t>the softwar</w:t>
      </w:r>
      <w:r>
        <w:rPr>
          <w:rFonts w:ascii="Garamond" w:hAnsi="Garamond"/>
        </w:rPr>
        <w:t>e release process is completed.</w:t>
      </w:r>
    </w:p>
    <w:p w14:paraId="65AD80DB" w14:textId="263B589A"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421DB4" w:rsidRPr="00CD0433" w14:paraId="1E59A37D" w14:textId="77777777" w:rsidTr="00421DB4">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AECEF95" w:rsidR="00B76BDC" w:rsidRPr="00636FAE" w:rsidRDefault="00A230C9"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421DB4" w:rsidRPr="005C6FC1" w14:paraId="68A574AE" w14:textId="77777777" w:rsidTr="00421DB4">
        <w:tc>
          <w:tcPr>
            <w:tcW w:w="2347" w:type="dxa"/>
            <w:vAlign w:val="center"/>
          </w:tcPr>
          <w:p w14:paraId="6FE1A73B" w14:textId="7FC3296E" w:rsidR="00A230C9" w:rsidRPr="005C6FC1" w:rsidRDefault="00A230C9" w:rsidP="009A492A">
            <w:pPr>
              <w:rPr>
                <w:rFonts w:ascii="Garamond" w:hAnsi="Garamond"/>
                <w:b/>
                <w:bCs/>
              </w:rPr>
            </w:pPr>
            <w:r>
              <w:rPr>
                <w:rFonts w:ascii="Garamond" w:hAnsi="Garamond"/>
                <w:b/>
                <w:bCs/>
              </w:rPr>
              <w:t>Landsat 5 TM</w:t>
            </w:r>
          </w:p>
        </w:tc>
        <w:tc>
          <w:tcPr>
            <w:tcW w:w="2411" w:type="dxa"/>
            <w:vAlign w:val="center"/>
          </w:tcPr>
          <w:p w14:paraId="3ED984CF" w14:textId="7A91B7EB" w:rsidR="00A230C9" w:rsidRPr="005C6FC1" w:rsidRDefault="00A230C9" w:rsidP="009A492A">
            <w:pPr>
              <w:rPr>
                <w:rFonts w:ascii="Garamond" w:hAnsi="Garamond"/>
              </w:rPr>
            </w:pPr>
            <w:r>
              <w:rPr>
                <w:rFonts w:ascii="Garamond" w:hAnsi="Garamond"/>
              </w:rPr>
              <w:t>Surface reflectance</w:t>
            </w:r>
          </w:p>
        </w:tc>
        <w:tc>
          <w:tcPr>
            <w:tcW w:w="4597" w:type="dxa"/>
          </w:tcPr>
          <w:p w14:paraId="39C8D523" w14:textId="1C87119F" w:rsidR="00A230C9" w:rsidRPr="005C6FC1" w:rsidRDefault="00A230C9" w:rsidP="009A492A">
            <w:pPr>
              <w:rPr>
                <w:rFonts w:ascii="Garamond" w:hAnsi="Garamond"/>
              </w:rPr>
            </w:pPr>
            <w:r w:rsidRPr="00361F0A">
              <w:rPr>
                <w:rFonts w:ascii="Garamond" w:hAnsi="Garamond"/>
              </w:rPr>
              <w:t>Landsat products will be used to assess land use change through spectral indices in specific testing regions in the Pacific Southwest, and to create normalized burn ratio for masking fires.</w:t>
            </w:r>
          </w:p>
        </w:tc>
      </w:tr>
      <w:tr w:rsidR="00421DB4" w:rsidRPr="005C6FC1" w14:paraId="3D3DFEA5" w14:textId="77777777" w:rsidTr="00421DB4">
        <w:tc>
          <w:tcPr>
            <w:tcW w:w="2347" w:type="dxa"/>
            <w:tcBorders>
              <w:bottom w:val="single" w:sz="4" w:space="0" w:color="auto"/>
            </w:tcBorders>
            <w:vAlign w:val="center"/>
          </w:tcPr>
          <w:p w14:paraId="2E7A36AA" w14:textId="523B53CC" w:rsidR="00A230C9" w:rsidRPr="005C6FC1" w:rsidRDefault="00A230C9" w:rsidP="009A492A">
            <w:pPr>
              <w:rPr>
                <w:rFonts w:ascii="Garamond" w:hAnsi="Garamond"/>
                <w:b/>
                <w:bCs/>
              </w:rPr>
            </w:pPr>
            <w:r>
              <w:rPr>
                <w:rFonts w:ascii="Garamond" w:hAnsi="Garamond"/>
                <w:b/>
                <w:bCs/>
              </w:rPr>
              <w:t>Landsat 7 ETM+</w:t>
            </w:r>
          </w:p>
        </w:tc>
        <w:tc>
          <w:tcPr>
            <w:tcW w:w="2411" w:type="dxa"/>
            <w:tcBorders>
              <w:bottom w:val="single" w:sz="4" w:space="0" w:color="auto"/>
            </w:tcBorders>
            <w:vAlign w:val="center"/>
          </w:tcPr>
          <w:p w14:paraId="218FF07A" w14:textId="133D38D2" w:rsidR="00A230C9" w:rsidRPr="005C6FC1" w:rsidRDefault="00A230C9" w:rsidP="009A492A">
            <w:pPr>
              <w:rPr>
                <w:rFonts w:ascii="Garamond" w:hAnsi="Garamond"/>
              </w:rPr>
            </w:pPr>
            <w:r>
              <w:rPr>
                <w:rFonts w:ascii="Garamond" w:hAnsi="Garamond"/>
              </w:rPr>
              <w:t>Surface reflectance</w:t>
            </w:r>
          </w:p>
        </w:tc>
        <w:tc>
          <w:tcPr>
            <w:tcW w:w="4597" w:type="dxa"/>
            <w:tcBorders>
              <w:bottom w:val="single" w:sz="4" w:space="0" w:color="auto"/>
            </w:tcBorders>
          </w:tcPr>
          <w:p w14:paraId="2A092E32" w14:textId="34DB01D6" w:rsidR="00A230C9" w:rsidRPr="005C6FC1" w:rsidRDefault="00A230C9" w:rsidP="009A492A">
            <w:pPr>
              <w:rPr>
                <w:rFonts w:ascii="Garamond" w:hAnsi="Garamond"/>
              </w:rPr>
            </w:pPr>
            <w:r w:rsidRPr="00361F0A">
              <w:rPr>
                <w:rFonts w:ascii="Garamond" w:hAnsi="Garamond"/>
              </w:rPr>
              <w:t>Landsat products will be used to assess land use change through spectral indices in specific testing regions in the Pacific Southwest, and to create normalized burn ratio for masking fires.</w:t>
            </w:r>
          </w:p>
        </w:tc>
      </w:tr>
      <w:tr w:rsidR="00421DB4" w:rsidRPr="005C6FC1" w14:paraId="2173ADDF" w14:textId="77777777" w:rsidTr="00421DB4">
        <w:tc>
          <w:tcPr>
            <w:tcW w:w="2347" w:type="dxa"/>
            <w:tcBorders>
              <w:top w:val="single" w:sz="4" w:space="0" w:color="auto"/>
              <w:left w:val="single" w:sz="4" w:space="0" w:color="auto"/>
              <w:bottom w:val="single" w:sz="4" w:space="0" w:color="auto"/>
            </w:tcBorders>
            <w:vAlign w:val="center"/>
          </w:tcPr>
          <w:p w14:paraId="0E5EC88D" w14:textId="35CB44EA" w:rsidR="00A230C9" w:rsidRPr="005C6FC1" w:rsidRDefault="00A230C9" w:rsidP="009A492A">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65407D12" w14:textId="20B2A8D7" w:rsidR="00A230C9" w:rsidRPr="005C6FC1" w:rsidRDefault="00A230C9"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tcPr>
          <w:p w14:paraId="760B100D" w14:textId="11021098" w:rsidR="00A230C9" w:rsidRPr="005C6FC1" w:rsidRDefault="00A230C9" w:rsidP="009A492A">
            <w:pPr>
              <w:rPr>
                <w:rFonts w:ascii="Garamond" w:hAnsi="Garamond"/>
              </w:rPr>
            </w:pPr>
            <w:r w:rsidRPr="00361F0A">
              <w:rPr>
                <w:rFonts w:ascii="Garamond" w:hAnsi="Garamond"/>
              </w:rPr>
              <w:t>Landsat products will be used to assess land use change through spectral indices in specific testing regions in the Pacific Southwest, and to create normalized burn ratio for masking fires.</w:t>
            </w:r>
          </w:p>
        </w:tc>
      </w:tr>
      <w:tr w:rsidR="00421DB4" w:rsidRPr="005C6FC1" w14:paraId="40842E69" w14:textId="77777777" w:rsidTr="00421DB4">
        <w:tc>
          <w:tcPr>
            <w:tcW w:w="2347" w:type="dxa"/>
            <w:tcBorders>
              <w:top w:val="single" w:sz="4" w:space="0" w:color="auto"/>
              <w:left w:val="single" w:sz="4" w:space="0" w:color="auto"/>
              <w:bottom w:val="single" w:sz="4" w:space="0" w:color="auto"/>
            </w:tcBorders>
            <w:vAlign w:val="center"/>
          </w:tcPr>
          <w:p w14:paraId="7E16130F" w14:textId="7B31835E" w:rsidR="00CC7683" w:rsidRDefault="00A230C9" w:rsidP="009A492A">
            <w:pPr>
              <w:rPr>
                <w:rFonts w:ascii="Garamond" w:hAnsi="Garamond"/>
                <w:b/>
                <w:bCs/>
              </w:rPr>
            </w:pPr>
            <w:r>
              <w:rPr>
                <w:rFonts w:ascii="Garamond" w:hAnsi="Garamond"/>
                <w:b/>
                <w:bCs/>
              </w:rPr>
              <w:t>Sentinel-1 C-</w:t>
            </w:r>
            <w:r w:rsidR="00AA34AB">
              <w:rPr>
                <w:rFonts w:ascii="Garamond" w:hAnsi="Garamond"/>
                <w:b/>
                <w:bCs/>
              </w:rPr>
              <w:t>B</w:t>
            </w:r>
            <w:r>
              <w:rPr>
                <w:rFonts w:ascii="Garamond" w:hAnsi="Garamond"/>
                <w:b/>
                <w:bCs/>
              </w:rPr>
              <w:t xml:space="preserve">and Synthetic </w:t>
            </w:r>
            <w:proofErr w:type="spellStart"/>
            <w:r>
              <w:rPr>
                <w:rFonts w:ascii="Garamond" w:hAnsi="Garamond"/>
                <w:b/>
                <w:bCs/>
              </w:rPr>
              <w:t>Aperature</w:t>
            </w:r>
            <w:proofErr w:type="spellEnd"/>
            <w:r>
              <w:rPr>
                <w:rFonts w:ascii="Garamond" w:hAnsi="Garamond"/>
                <w:b/>
                <w:bCs/>
              </w:rPr>
              <w:t xml:space="preserve"> Radar (C-SAR)</w:t>
            </w:r>
          </w:p>
        </w:tc>
        <w:tc>
          <w:tcPr>
            <w:tcW w:w="2411" w:type="dxa"/>
            <w:tcBorders>
              <w:top w:val="single" w:sz="4" w:space="0" w:color="auto"/>
              <w:bottom w:val="single" w:sz="4" w:space="0" w:color="auto"/>
            </w:tcBorders>
            <w:vAlign w:val="center"/>
          </w:tcPr>
          <w:p w14:paraId="2FE626E1" w14:textId="457E247F" w:rsidR="00CC7683" w:rsidRDefault="00421DB4" w:rsidP="009A492A">
            <w:pPr>
              <w:rPr>
                <w:rFonts w:ascii="Garamond" w:hAnsi="Garamond"/>
              </w:rPr>
            </w:pPr>
            <w:r>
              <w:rPr>
                <w:rFonts w:ascii="Garamond" w:hAnsi="Garamond"/>
              </w:rPr>
              <w:t>Backscatter</w:t>
            </w:r>
          </w:p>
        </w:tc>
        <w:tc>
          <w:tcPr>
            <w:tcW w:w="4597" w:type="dxa"/>
            <w:tcBorders>
              <w:top w:val="single" w:sz="4" w:space="0" w:color="auto"/>
              <w:bottom w:val="single" w:sz="4" w:space="0" w:color="auto"/>
              <w:right w:val="single" w:sz="4" w:space="0" w:color="auto"/>
            </w:tcBorders>
            <w:vAlign w:val="center"/>
          </w:tcPr>
          <w:p w14:paraId="2B6E461A" w14:textId="6561ED08" w:rsidR="00CC7683" w:rsidRDefault="00A230C9" w:rsidP="009A492A">
            <w:pPr>
              <w:rPr>
                <w:rFonts w:ascii="Garamond" w:hAnsi="Garamond"/>
              </w:rPr>
            </w:pPr>
            <w:r>
              <w:rPr>
                <w:rFonts w:ascii="Garamond" w:hAnsi="Garamond"/>
              </w:rPr>
              <w:t>Sentinel-1 products will be used to compare with Landsat</w:t>
            </w:r>
            <w:r w:rsidR="00EE3B10">
              <w:rPr>
                <w:rFonts w:ascii="Garamond" w:hAnsi="Garamond"/>
              </w:rPr>
              <w:t>-based</w:t>
            </w:r>
            <w:r>
              <w:rPr>
                <w:rFonts w:ascii="Garamond" w:hAnsi="Garamond"/>
              </w:rPr>
              <w:t xml:space="preserve"> results.</w:t>
            </w:r>
          </w:p>
        </w:tc>
      </w:tr>
      <w:tr w:rsidR="00421DB4" w:rsidRPr="005C6FC1" w14:paraId="16EACAA8" w14:textId="77777777" w:rsidTr="00421DB4">
        <w:trPr>
          <w:trHeight w:val="701"/>
        </w:trPr>
        <w:tc>
          <w:tcPr>
            <w:tcW w:w="2347" w:type="dxa"/>
            <w:tcBorders>
              <w:top w:val="single" w:sz="4" w:space="0" w:color="auto"/>
              <w:left w:val="single" w:sz="4" w:space="0" w:color="auto"/>
              <w:bottom w:val="single" w:sz="4" w:space="0" w:color="auto"/>
            </w:tcBorders>
            <w:vAlign w:val="center"/>
          </w:tcPr>
          <w:p w14:paraId="0A59018F" w14:textId="3589AD20" w:rsidR="00A230C9" w:rsidRDefault="00A230C9" w:rsidP="009A492A">
            <w:pPr>
              <w:rPr>
                <w:rFonts w:ascii="Garamond" w:hAnsi="Garamond"/>
                <w:b/>
                <w:bCs/>
              </w:rPr>
            </w:pPr>
            <w:r>
              <w:rPr>
                <w:rFonts w:ascii="Garamond" w:hAnsi="Garamond"/>
                <w:b/>
                <w:bCs/>
              </w:rPr>
              <w:lastRenderedPageBreak/>
              <w:t xml:space="preserve">Sentinel-2 </w:t>
            </w:r>
            <w:proofErr w:type="spellStart"/>
            <w:r>
              <w:rPr>
                <w:rFonts w:ascii="Garamond" w:hAnsi="Garamond"/>
                <w:b/>
                <w:bCs/>
              </w:rPr>
              <w:t>MultiSpectral</w:t>
            </w:r>
            <w:proofErr w:type="spellEnd"/>
            <w:r>
              <w:rPr>
                <w:rFonts w:ascii="Garamond" w:hAnsi="Garamond"/>
                <w:b/>
                <w:bCs/>
              </w:rPr>
              <w:t xml:space="preserve"> Imager (MSI)</w:t>
            </w:r>
          </w:p>
        </w:tc>
        <w:tc>
          <w:tcPr>
            <w:tcW w:w="2411" w:type="dxa"/>
            <w:tcBorders>
              <w:top w:val="single" w:sz="4" w:space="0" w:color="auto"/>
              <w:bottom w:val="single" w:sz="4" w:space="0" w:color="auto"/>
            </w:tcBorders>
            <w:vAlign w:val="center"/>
          </w:tcPr>
          <w:p w14:paraId="139D7403" w14:textId="5B16A646" w:rsidR="00A230C9" w:rsidRDefault="00A230C9"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1A785F40" w14:textId="134AF9E0" w:rsidR="00A230C9" w:rsidRDefault="00A230C9" w:rsidP="009A492A">
            <w:pPr>
              <w:rPr>
                <w:rFonts w:ascii="Garamond" w:hAnsi="Garamond"/>
              </w:rPr>
            </w:pPr>
            <w:r>
              <w:rPr>
                <w:rFonts w:ascii="Garamond" w:hAnsi="Garamond"/>
              </w:rPr>
              <w:t>Sentinel-2 products will be used to compare with Landsat</w:t>
            </w:r>
            <w:r w:rsidR="00EE3B10">
              <w:rPr>
                <w:rFonts w:ascii="Garamond" w:hAnsi="Garamond"/>
              </w:rPr>
              <w:t>-based</w:t>
            </w:r>
            <w:r>
              <w:rPr>
                <w:rFonts w:ascii="Garamond" w:hAnsi="Garamond"/>
              </w:rPr>
              <w:t xml:space="preserve"> results.</w:t>
            </w:r>
          </w:p>
        </w:tc>
      </w:tr>
      <w:tr w:rsidR="003D66E2" w:rsidRPr="005C6FC1" w14:paraId="35EB5261" w14:textId="77777777" w:rsidTr="00421DB4">
        <w:trPr>
          <w:trHeight w:val="701"/>
        </w:trPr>
        <w:tc>
          <w:tcPr>
            <w:tcW w:w="2347" w:type="dxa"/>
            <w:tcBorders>
              <w:top w:val="single" w:sz="4" w:space="0" w:color="auto"/>
              <w:left w:val="single" w:sz="4" w:space="0" w:color="auto"/>
              <w:bottom w:val="single" w:sz="4" w:space="0" w:color="auto"/>
            </w:tcBorders>
            <w:vAlign w:val="center"/>
          </w:tcPr>
          <w:p w14:paraId="6AE4746B" w14:textId="1FC4346C" w:rsidR="003D66E2" w:rsidRDefault="003D66E2" w:rsidP="009A492A">
            <w:pPr>
              <w:rPr>
                <w:rFonts w:ascii="Garamond" w:hAnsi="Garamond"/>
                <w:b/>
                <w:bCs/>
              </w:rPr>
            </w:pPr>
            <w:r>
              <w:rPr>
                <w:rFonts w:ascii="Garamond" w:hAnsi="Garamond"/>
                <w:b/>
                <w:bCs/>
              </w:rPr>
              <w:t>Terra MODIS</w:t>
            </w:r>
          </w:p>
        </w:tc>
        <w:tc>
          <w:tcPr>
            <w:tcW w:w="2411" w:type="dxa"/>
            <w:tcBorders>
              <w:top w:val="single" w:sz="4" w:space="0" w:color="auto"/>
              <w:bottom w:val="single" w:sz="4" w:space="0" w:color="auto"/>
            </w:tcBorders>
            <w:vAlign w:val="center"/>
          </w:tcPr>
          <w:p w14:paraId="595313D2" w14:textId="451BDD43" w:rsidR="003D66E2" w:rsidRDefault="003D66E2" w:rsidP="009A492A">
            <w:pPr>
              <w:rPr>
                <w:rFonts w:ascii="Garamond" w:hAnsi="Garamond"/>
              </w:rPr>
            </w:pPr>
            <w:r>
              <w:rPr>
                <w:rFonts w:ascii="Garamond" w:hAnsi="Garamond"/>
              </w:rPr>
              <w:t>NDVI</w:t>
            </w:r>
          </w:p>
        </w:tc>
        <w:tc>
          <w:tcPr>
            <w:tcW w:w="4597" w:type="dxa"/>
            <w:tcBorders>
              <w:top w:val="single" w:sz="4" w:space="0" w:color="auto"/>
              <w:bottom w:val="single" w:sz="4" w:space="0" w:color="auto"/>
              <w:right w:val="single" w:sz="4" w:space="0" w:color="auto"/>
            </w:tcBorders>
            <w:vAlign w:val="center"/>
          </w:tcPr>
          <w:p w14:paraId="632C4F4E" w14:textId="59043EDC" w:rsidR="003D66E2" w:rsidRDefault="003D66E2" w:rsidP="009A492A">
            <w:pPr>
              <w:rPr>
                <w:rFonts w:ascii="Garamond" w:hAnsi="Garamond"/>
              </w:rPr>
            </w:pPr>
            <w:r>
              <w:rPr>
                <w:rFonts w:ascii="Garamond" w:hAnsi="Garamond"/>
              </w:rPr>
              <w:t xml:space="preserve">Terra MODIS will be used the assess vegetation phenology through the </w:t>
            </w:r>
            <w:proofErr w:type="spellStart"/>
            <w:r>
              <w:rPr>
                <w:rFonts w:ascii="Garamond" w:hAnsi="Garamond"/>
              </w:rPr>
              <w:t>ForWarn</w:t>
            </w:r>
            <w:proofErr w:type="spellEnd"/>
            <w:r>
              <w:rPr>
                <w:rFonts w:ascii="Garamond" w:hAnsi="Garamond"/>
              </w:rPr>
              <w:t xml:space="preserve"> dataset.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3DFAE6AE" w:rsidR="00D3192F" w:rsidRPr="005C6FC1" w:rsidRDefault="00DC39A5" w:rsidP="00DC6974">
      <w:pPr>
        <w:ind w:left="720" w:hanging="720"/>
        <w:rPr>
          <w:rFonts w:ascii="Garamond" w:hAnsi="Garamond"/>
        </w:rPr>
      </w:pPr>
      <w:r>
        <w:rPr>
          <w:rFonts w:ascii="Garamond" w:hAnsi="Garamond"/>
        </w:rPr>
        <w:t>USDA Forest Service</w:t>
      </w:r>
      <w:bookmarkStart w:id="0" w:name="_GoBack"/>
      <w:bookmarkEnd w:id="0"/>
      <w:r>
        <w:rPr>
          <w:rFonts w:ascii="Garamond" w:hAnsi="Garamond"/>
        </w:rPr>
        <w:t xml:space="preserve"> </w:t>
      </w:r>
      <w:proofErr w:type="spellStart"/>
      <w:r>
        <w:rPr>
          <w:rFonts w:ascii="Garamond" w:hAnsi="Garamond"/>
        </w:rPr>
        <w:t>ForWarn</w:t>
      </w:r>
      <w:proofErr w:type="spellEnd"/>
      <w:r>
        <w:rPr>
          <w:rFonts w:ascii="Garamond" w:hAnsi="Garamond"/>
        </w:rPr>
        <w:t xml:space="preserve"> NDVI – a</w:t>
      </w:r>
      <w:r w:rsidR="00A230C9">
        <w:rPr>
          <w:rFonts w:ascii="Garamond" w:hAnsi="Garamond"/>
        </w:rPr>
        <w:t>ssess changes in NDVI</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74DA0A6A" w:rsidR="006A2A26" w:rsidRDefault="00A230C9" w:rsidP="006A2A26">
      <w:pPr>
        <w:ind w:left="720" w:hanging="720"/>
        <w:rPr>
          <w:rFonts w:ascii="Garamond" w:hAnsi="Garamond"/>
        </w:rPr>
      </w:pPr>
      <w:r>
        <w:rPr>
          <w:rFonts w:ascii="Garamond" w:hAnsi="Garamond"/>
        </w:rPr>
        <w:t>Google Earth Engine API – manipulate data, create methodology</w:t>
      </w:r>
    </w:p>
    <w:p w14:paraId="7D530454" w14:textId="0AB9537C" w:rsidR="00A230C9" w:rsidRDefault="00A230C9"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ArcGIS – manipulate data, create visuals</w:t>
      </w:r>
    </w:p>
    <w:p w14:paraId="23F13E56" w14:textId="77777777" w:rsidR="003D66E2" w:rsidRPr="005C6FC1" w:rsidRDefault="003D66E2" w:rsidP="006A2A26">
      <w:pPr>
        <w:ind w:left="720" w:hanging="720"/>
        <w:rPr>
          <w:rFonts w:ascii="Garamond" w:hAnsi="Garamond"/>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0B0958">
        <w:tc>
          <w:tcPr>
            <w:tcW w:w="2273" w:type="dxa"/>
            <w:shd w:val="clear" w:color="auto" w:fill="31849B" w:themeFill="accent5" w:themeFillShade="BF"/>
            <w:vAlign w:val="center"/>
          </w:tcPr>
          <w:p w14:paraId="67DE7A20" w14:textId="146BD5D1"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A230C9" w:rsidRPr="00CD0433" w14:paraId="407EEF43" w14:textId="77777777" w:rsidTr="000B0958">
        <w:tc>
          <w:tcPr>
            <w:tcW w:w="2273" w:type="dxa"/>
            <w:vAlign w:val="center"/>
          </w:tcPr>
          <w:p w14:paraId="6303043D" w14:textId="156CBA18" w:rsidR="00A230C9" w:rsidRPr="00EC3694" w:rsidRDefault="00A230C9" w:rsidP="009A492A">
            <w:pPr>
              <w:rPr>
                <w:rFonts w:ascii="Garamond" w:hAnsi="Garamond"/>
                <w:bCs/>
              </w:rPr>
            </w:pPr>
            <w:r w:rsidRPr="00BB4245">
              <w:rPr>
                <w:rFonts w:ascii="Garamond" w:hAnsi="Garamond"/>
                <w:bCs/>
              </w:rPr>
              <w:t xml:space="preserve">Landscape Anomaly </w:t>
            </w:r>
            <w:r w:rsidR="00A66508">
              <w:rPr>
                <w:rFonts w:ascii="Garamond" w:hAnsi="Garamond"/>
                <w:bCs/>
              </w:rPr>
              <w:t xml:space="preserve">Detection </w:t>
            </w:r>
            <w:r w:rsidRPr="00BB4245">
              <w:rPr>
                <w:rFonts w:ascii="Garamond" w:hAnsi="Garamond"/>
                <w:bCs/>
              </w:rPr>
              <w:t>Tool</w:t>
            </w:r>
          </w:p>
        </w:tc>
        <w:tc>
          <w:tcPr>
            <w:tcW w:w="3240" w:type="dxa"/>
            <w:vAlign w:val="center"/>
          </w:tcPr>
          <w:p w14:paraId="05C6772C" w14:textId="69D07AF0" w:rsidR="00A230C9" w:rsidRPr="00EC3694" w:rsidRDefault="00A230C9" w:rsidP="009A492A">
            <w:pPr>
              <w:rPr>
                <w:rFonts w:ascii="Garamond" w:hAnsi="Garamond"/>
              </w:rPr>
            </w:pPr>
            <w:r>
              <w:rPr>
                <w:rFonts w:ascii="Garamond" w:hAnsi="Garamond"/>
              </w:rPr>
              <w:t>This decision-support tool will a</w:t>
            </w:r>
            <w:r w:rsidRPr="00BB4245">
              <w:rPr>
                <w:rFonts w:ascii="Garamond" w:hAnsi="Garamond"/>
              </w:rPr>
              <w:t xml:space="preserve">ssess landscape disturbances in </w:t>
            </w:r>
            <w:r>
              <w:rPr>
                <w:rFonts w:ascii="Garamond" w:hAnsi="Garamond"/>
              </w:rPr>
              <w:t>HCP</w:t>
            </w:r>
            <w:r w:rsidRPr="00BB4245">
              <w:rPr>
                <w:rFonts w:ascii="Garamond" w:hAnsi="Garamond"/>
              </w:rPr>
              <w:t xml:space="preserve"> areas</w:t>
            </w:r>
            <w:r>
              <w:rPr>
                <w:rFonts w:ascii="Garamond" w:hAnsi="Garamond"/>
              </w:rPr>
              <w:t xml:space="preserve">. Areas flagged with moderate- to large-scale disturbance will help focus program managers’ </w:t>
            </w:r>
            <w:r>
              <w:rPr>
                <w:rFonts w:ascii="Garamond" w:hAnsi="Garamond"/>
                <w:i/>
              </w:rPr>
              <w:t xml:space="preserve">in situ </w:t>
            </w:r>
            <w:r>
              <w:rPr>
                <w:rFonts w:ascii="Garamond" w:hAnsi="Garamond"/>
              </w:rPr>
              <w:t>monitoring efforts.</w:t>
            </w:r>
          </w:p>
        </w:tc>
        <w:tc>
          <w:tcPr>
            <w:tcW w:w="2880" w:type="dxa"/>
            <w:vAlign w:val="center"/>
          </w:tcPr>
          <w:p w14:paraId="29D692C0" w14:textId="2D4414A9" w:rsidR="00A230C9" w:rsidRPr="005C6FC1" w:rsidRDefault="00A230C9" w:rsidP="009A492A">
            <w:pPr>
              <w:rPr>
                <w:rFonts w:ascii="Garamond" w:hAnsi="Garamond"/>
              </w:rPr>
            </w:pPr>
            <w:proofErr w:type="spellStart"/>
            <w:r w:rsidRPr="00BB4245">
              <w:rPr>
                <w:rFonts w:ascii="Garamond" w:hAnsi="Garamond"/>
              </w:rPr>
              <w:t>ForWarn</w:t>
            </w:r>
            <w:proofErr w:type="spellEnd"/>
            <w:r w:rsidRPr="00BB4245">
              <w:rPr>
                <w:rFonts w:ascii="Garamond" w:hAnsi="Garamond"/>
              </w:rPr>
              <w:t>,</w:t>
            </w:r>
            <w:r w:rsidR="006A2516">
              <w:rPr>
                <w:rFonts w:ascii="Garamond" w:hAnsi="Garamond"/>
              </w:rPr>
              <w:t xml:space="preserve"> Landsat 5 TM,</w:t>
            </w:r>
            <w:r w:rsidRPr="00BB4245">
              <w:rPr>
                <w:rFonts w:ascii="Garamond" w:hAnsi="Garamond"/>
              </w:rPr>
              <w:t xml:space="preserve"> Landsat</w:t>
            </w:r>
            <w:r>
              <w:rPr>
                <w:rFonts w:ascii="Garamond" w:hAnsi="Garamond"/>
              </w:rPr>
              <w:t xml:space="preserve"> 7 ETM+, Landsat 8 OLI</w:t>
            </w:r>
            <w:r w:rsidRPr="00BB4245">
              <w:rPr>
                <w:rFonts w:ascii="Garamond" w:hAnsi="Garamond"/>
              </w:rPr>
              <w:t>, Sentinel</w:t>
            </w:r>
            <w:r>
              <w:rPr>
                <w:rFonts w:ascii="Garamond" w:hAnsi="Garamond"/>
              </w:rPr>
              <w:t>-1 C-SAR, and Sentinel-2 MSI data will be processed to create spectral indices and then differenced from a threshold standard to determine moderate and large changes.</w:t>
            </w:r>
          </w:p>
        </w:tc>
        <w:tc>
          <w:tcPr>
            <w:tcW w:w="1080" w:type="dxa"/>
            <w:vAlign w:val="center"/>
          </w:tcPr>
          <w:p w14:paraId="33182638" w14:textId="640E2CCF" w:rsidR="00A230C9" w:rsidRPr="005C6FC1" w:rsidRDefault="00A230C9" w:rsidP="009A492A">
            <w:pPr>
              <w:rPr>
                <w:rFonts w:ascii="Garamond" w:hAnsi="Garamond"/>
              </w:rPr>
            </w:pPr>
            <w:r w:rsidRPr="00BB4245">
              <w:rPr>
                <w:rFonts w:ascii="Garamond" w:hAnsi="Garamond"/>
              </w:rPr>
              <w:t>III</w:t>
            </w:r>
          </w:p>
        </w:tc>
      </w:tr>
      <w:tr w:rsidR="00A230C9" w:rsidRPr="00CD0433" w14:paraId="6CADEA21" w14:textId="77777777" w:rsidTr="000B0958">
        <w:tc>
          <w:tcPr>
            <w:tcW w:w="2273" w:type="dxa"/>
            <w:vAlign w:val="center"/>
          </w:tcPr>
          <w:p w14:paraId="60ADAAAA" w14:textId="1BA86878" w:rsidR="00A230C9" w:rsidRPr="005C6FC1" w:rsidRDefault="00A230C9" w:rsidP="009A492A">
            <w:pPr>
              <w:rPr>
                <w:rFonts w:ascii="Garamond" w:hAnsi="Garamond"/>
                <w:bCs/>
              </w:rPr>
            </w:pPr>
            <w:r w:rsidRPr="00BB4245">
              <w:rPr>
                <w:rFonts w:ascii="Garamond" w:hAnsi="Garamond"/>
                <w:bCs/>
              </w:rPr>
              <w:t>Land Use Change</w:t>
            </w:r>
            <w:r w:rsidR="00A66508">
              <w:rPr>
                <w:rFonts w:ascii="Garamond" w:hAnsi="Garamond"/>
                <w:bCs/>
              </w:rPr>
              <w:t xml:space="preserve"> </w:t>
            </w:r>
            <w:r w:rsidR="004A392E">
              <w:rPr>
                <w:rFonts w:ascii="Garamond" w:hAnsi="Garamond"/>
                <w:bCs/>
              </w:rPr>
              <w:t>Maps</w:t>
            </w:r>
          </w:p>
        </w:tc>
        <w:tc>
          <w:tcPr>
            <w:tcW w:w="3240" w:type="dxa"/>
            <w:vAlign w:val="center"/>
          </w:tcPr>
          <w:p w14:paraId="017926FC" w14:textId="26BC90B2" w:rsidR="00A230C9" w:rsidRPr="005C6FC1" w:rsidRDefault="00A230C9" w:rsidP="009A492A">
            <w:pPr>
              <w:rPr>
                <w:rFonts w:ascii="Garamond" w:hAnsi="Garamond"/>
              </w:rPr>
            </w:pPr>
            <w:r>
              <w:rPr>
                <w:rFonts w:ascii="Garamond" w:hAnsi="Garamond"/>
              </w:rPr>
              <w:t>Annual land use change maps will be used to a</w:t>
            </w:r>
            <w:r w:rsidRPr="00BB4245">
              <w:rPr>
                <w:rFonts w:ascii="Garamond" w:hAnsi="Garamond"/>
              </w:rPr>
              <w:t xml:space="preserve">ssess </w:t>
            </w:r>
            <w:r>
              <w:rPr>
                <w:rFonts w:ascii="Garamond" w:hAnsi="Garamond"/>
              </w:rPr>
              <w:t xml:space="preserve">potential </w:t>
            </w:r>
            <w:r w:rsidRPr="00BB4245">
              <w:rPr>
                <w:rFonts w:ascii="Garamond" w:hAnsi="Garamond"/>
              </w:rPr>
              <w:t xml:space="preserve">trends in land use change </w:t>
            </w:r>
            <w:r>
              <w:rPr>
                <w:rFonts w:ascii="Garamond" w:hAnsi="Garamond"/>
              </w:rPr>
              <w:t xml:space="preserve">across HCP areas. </w:t>
            </w:r>
            <w:r w:rsidR="002C5BBB">
              <w:rPr>
                <w:rFonts w:ascii="Garamond" w:hAnsi="Garamond"/>
              </w:rPr>
              <w:t>They</w:t>
            </w:r>
            <w:r>
              <w:rPr>
                <w:rFonts w:ascii="Garamond" w:hAnsi="Garamond"/>
              </w:rPr>
              <w:t xml:space="preserve"> will also be used to determine the validity of the decision-support tool.</w:t>
            </w:r>
          </w:p>
        </w:tc>
        <w:tc>
          <w:tcPr>
            <w:tcW w:w="2880" w:type="dxa"/>
            <w:vAlign w:val="center"/>
          </w:tcPr>
          <w:p w14:paraId="1FD94241" w14:textId="27D96339" w:rsidR="00A230C9" w:rsidRPr="005C6FC1" w:rsidRDefault="00A230C9" w:rsidP="009A492A">
            <w:pPr>
              <w:rPr>
                <w:rFonts w:ascii="Garamond" w:hAnsi="Garamond"/>
              </w:rPr>
            </w:pPr>
            <w:proofErr w:type="spellStart"/>
            <w:r w:rsidRPr="00BB4245">
              <w:rPr>
                <w:rFonts w:ascii="Garamond" w:hAnsi="Garamond"/>
              </w:rPr>
              <w:t>ForWarn</w:t>
            </w:r>
            <w:proofErr w:type="spellEnd"/>
            <w:r w:rsidRPr="00BB4245">
              <w:rPr>
                <w:rFonts w:ascii="Garamond" w:hAnsi="Garamond"/>
              </w:rPr>
              <w:t xml:space="preserve">, </w:t>
            </w:r>
            <w:r w:rsidR="006A2516">
              <w:rPr>
                <w:rFonts w:ascii="Garamond" w:hAnsi="Garamond"/>
              </w:rPr>
              <w:t xml:space="preserve">Landsat 5 TM, </w:t>
            </w:r>
            <w:r w:rsidRPr="00BB4245">
              <w:rPr>
                <w:rFonts w:ascii="Garamond" w:hAnsi="Garamond"/>
              </w:rPr>
              <w:t>Landsat</w:t>
            </w:r>
            <w:r>
              <w:rPr>
                <w:rFonts w:ascii="Garamond" w:hAnsi="Garamond"/>
              </w:rPr>
              <w:t xml:space="preserve"> 7 ETM+, Landsat 8 OLI</w:t>
            </w:r>
            <w:r w:rsidRPr="00BB4245">
              <w:rPr>
                <w:rFonts w:ascii="Garamond" w:hAnsi="Garamond"/>
              </w:rPr>
              <w:t>, Sentinel</w:t>
            </w:r>
            <w:r>
              <w:rPr>
                <w:rFonts w:ascii="Garamond" w:hAnsi="Garamond"/>
              </w:rPr>
              <w:t>-1 C-SAR, and Sentinel-2 MSI data will be processed to create spectral indices and then differenced from a threshold standard to determine moderate and large changes.</w:t>
            </w:r>
          </w:p>
        </w:tc>
        <w:tc>
          <w:tcPr>
            <w:tcW w:w="1080" w:type="dxa"/>
            <w:vAlign w:val="center"/>
          </w:tcPr>
          <w:p w14:paraId="6CCF6DA3" w14:textId="3E73218A" w:rsidR="00A230C9" w:rsidRPr="005C6FC1" w:rsidRDefault="00A230C9" w:rsidP="009A492A">
            <w:pPr>
              <w:rPr>
                <w:rFonts w:ascii="Garamond" w:hAnsi="Garamond"/>
              </w:rPr>
            </w:pPr>
            <w:r w:rsidRPr="00BB4245">
              <w:rPr>
                <w:rFonts w:ascii="Garamond" w:hAnsi="Garamond"/>
              </w:rPr>
              <w:t>I</w:t>
            </w:r>
          </w:p>
        </w:tc>
      </w:tr>
    </w:tbl>
    <w:p w14:paraId="66FBE966" w14:textId="77777777" w:rsidR="00073224" w:rsidRPr="00CD0433" w:rsidRDefault="00073224" w:rsidP="00073224">
      <w:pPr>
        <w:rPr>
          <w:b/>
          <w:sz w:val="20"/>
          <w:szCs w:val="20"/>
        </w:rPr>
      </w:pPr>
    </w:p>
    <w:p w14:paraId="6935E02B" w14:textId="62158395"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A230C9" w:rsidRPr="00BB4245">
        <w:rPr>
          <w:rFonts w:ascii="Garamond" w:hAnsi="Garamond"/>
        </w:rPr>
        <w:t xml:space="preserve">The </w:t>
      </w:r>
      <w:r w:rsidR="00630768">
        <w:rPr>
          <w:rFonts w:ascii="Garamond" w:hAnsi="Garamond"/>
        </w:rPr>
        <w:t>USFWS</w:t>
      </w:r>
      <w:r w:rsidR="00A230C9" w:rsidRPr="00BB4245">
        <w:rPr>
          <w:rFonts w:ascii="Garamond" w:hAnsi="Garamond"/>
        </w:rPr>
        <w:t xml:space="preserve"> does not currently have an </w:t>
      </w:r>
      <w:r w:rsidR="00A230C9">
        <w:rPr>
          <w:rFonts w:ascii="Garamond" w:hAnsi="Garamond"/>
        </w:rPr>
        <w:t>efficient</w:t>
      </w:r>
      <w:r w:rsidR="00A230C9" w:rsidRPr="00BB4245">
        <w:rPr>
          <w:rFonts w:ascii="Garamond" w:hAnsi="Garamond"/>
        </w:rPr>
        <w:t xml:space="preserve"> way to evaluate </w:t>
      </w:r>
      <w:r w:rsidR="00A230C9">
        <w:rPr>
          <w:rFonts w:ascii="Garamond" w:hAnsi="Garamond"/>
        </w:rPr>
        <w:t xml:space="preserve">HCP </w:t>
      </w:r>
      <w:r w:rsidR="00A230C9" w:rsidRPr="00BB4245">
        <w:rPr>
          <w:rFonts w:ascii="Garamond" w:hAnsi="Garamond"/>
        </w:rPr>
        <w:t>areas</w:t>
      </w:r>
      <w:r w:rsidR="00A230C9">
        <w:rPr>
          <w:rFonts w:ascii="Garamond" w:hAnsi="Garamond"/>
        </w:rPr>
        <w:t xml:space="preserve"> for disturbance. </w:t>
      </w:r>
      <w:r w:rsidR="00A230C9" w:rsidRPr="00BB4245">
        <w:rPr>
          <w:rFonts w:ascii="Garamond" w:hAnsi="Garamond"/>
        </w:rPr>
        <w:t xml:space="preserve">This decision-support tool would be the first step in establishing an independent assessment of </w:t>
      </w:r>
      <w:r w:rsidR="00A230C9">
        <w:rPr>
          <w:rFonts w:ascii="Garamond" w:hAnsi="Garamond"/>
        </w:rPr>
        <w:t>HCP area resiliency</w:t>
      </w:r>
      <w:r w:rsidR="00A230C9" w:rsidRPr="00BB4245">
        <w:rPr>
          <w:rFonts w:ascii="Garamond" w:hAnsi="Garamond"/>
        </w:rPr>
        <w:t xml:space="preserve"> </w:t>
      </w:r>
      <w:r w:rsidR="00A230C9">
        <w:rPr>
          <w:rFonts w:ascii="Garamond" w:hAnsi="Garamond"/>
        </w:rPr>
        <w:t xml:space="preserve">to moderate- and large-scale disturbances </w:t>
      </w:r>
      <w:r w:rsidR="00A230C9" w:rsidRPr="00BB4245">
        <w:rPr>
          <w:rFonts w:ascii="Garamond" w:hAnsi="Garamond"/>
        </w:rPr>
        <w:t xml:space="preserve">using remotely sensed data, </w:t>
      </w:r>
      <w:r w:rsidR="002C5BBB">
        <w:rPr>
          <w:rFonts w:ascii="Garamond" w:hAnsi="Garamond"/>
        </w:rPr>
        <w:t xml:space="preserve">which will </w:t>
      </w:r>
      <w:r w:rsidR="00A230C9">
        <w:rPr>
          <w:rFonts w:ascii="Garamond" w:hAnsi="Garamond"/>
        </w:rPr>
        <w:t>sav</w:t>
      </w:r>
      <w:r w:rsidR="00630768">
        <w:rPr>
          <w:rFonts w:ascii="Garamond" w:hAnsi="Garamond"/>
        </w:rPr>
        <w:t>e</w:t>
      </w:r>
      <w:r w:rsidR="00A230C9" w:rsidRPr="00BB4245">
        <w:rPr>
          <w:rFonts w:ascii="Garamond" w:hAnsi="Garamond"/>
        </w:rPr>
        <w:t xml:space="preserve"> </w:t>
      </w:r>
      <w:r w:rsidR="00630768">
        <w:rPr>
          <w:rFonts w:ascii="Garamond" w:hAnsi="Garamond"/>
        </w:rPr>
        <w:t xml:space="preserve">USFWS staff </w:t>
      </w:r>
      <w:r w:rsidR="00A230C9" w:rsidRPr="00BB4245">
        <w:rPr>
          <w:rFonts w:ascii="Garamond" w:hAnsi="Garamond"/>
        </w:rPr>
        <w:t>travel time and effort</w:t>
      </w:r>
      <w:r w:rsidR="00630768">
        <w:rPr>
          <w:rFonts w:ascii="Garamond" w:hAnsi="Garamond"/>
        </w:rPr>
        <w:t>s</w:t>
      </w:r>
      <w:r w:rsidR="00A230C9" w:rsidRPr="00BB4245">
        <w:rPr>
          <w:rFonts w:ascii="Garamond" w:hAnsi="Garamond"/>
        </w:rPr>
        <w:t xml:space="preserve">. </w:t>
      </w:r>
      <w:r w:rsidR="00A230C9">
        <w:rPr>
          <w:rFonts w:ascii="Garamond" w:hAnsi="Garamond"/>
        </w:rPr>
        <w:t>Furthermore, the tool can be reformatted to use other inputs beyond HCP areas, and thus could be utilized broadly across the agency.</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5681A6AF" w14:textId="143F1F53" w:rsidR="00A230C9" w:rsidRDefault="00272CD9" w:rsidP="00A230C9">
      <w:pPr>
        <w:rPr>
          <w:sz w:val="20"/>
          <w:szCs w:val="20"/>
        </w:rPr>
      </w:pPr>
      <w:r w:rsidRPr="00272CD9">
        <w:rPr>
          <w:b/>
          <w:i/>
          <w:sz w:val="20"/>
          <w:szCs w:val="20"/>
        </w:rPr>
        <w:t>Project Timeline:</w:t>
      </w:r>
      <w:r w:rsidRPr="00CD0433">
        <w:rPr>
          <w:b/>
          <w:sz w:val="20"/>
          <w:szCs w:val="20"/>
        </w:rPr>
        <w:t xml:space="preserve"> </w:t>
      </w:r>
      <w:r w:rsidR="00A230C9" w:rsidRPr="00BB4245">
        <w:rPr>
          <w:rFonts w:ascii="Garamond" w:hAnsi="Garamond"/>
        </w:rPr>
        <w:t>2 Terms: 2017 Summer to 2017 Fall</w:t>
      </w:r>
    </w:p>
    <w:p w14:paraId="46E478CA" w14:textId="77777777" w:rsidR="00A230C9" w:rsidRDefault="00A230C9" w:rsidP="00A230C9">
      <w:pPr>
        <w:rPr>
          <w:b/>
          <w:sz w:val="20"/>
          <w:szCs w:val="20"/>
        </w:rPr>
      </w:pPr>
    </w:p>
    <w:p w14:paraId="45FAC8D4" w14:textId="77777777" w:rsidR="00A230C9" w:rsidRPr="00272CD9" w:rsidRDefault="00A230C9" w:rsidP="00A230C9">
      <w:pPr>
        <w:rPr>
          <w:b/>
          <w:i/>
          <w:sz w:val="20"/>
          <w:szCs w:val="20"/>
        </w:rPr>
      </w:pPr>
      <w:r w:rsidRPr="00272CD9">
        <w:rPr>
          <w:b/>
          <w:i/>
          <w:sz w:val="20"/>
          <w:szCs w:val="20"/>
        </w:rPr>
        <w:t>Multi-Term Objectives:</w:t>
      </w:r>
    </w:p>
    <w:p w14:paraId="40F758FD" w14:textId="1A422D73" w:rsidR="00A230C9" w:rsidRPr="00BB4245" w:rsidRDefault="00A230C9" w:rsidP="00A230C9">
      <w:pPr>
        <w:pStyle w:val="ListParagraph"/>
        <w:numPr>
          <w:ilvl w:val="0"/>
          <w:numId w:val="2"/>
        </w:numPr>
        <w:ind w:left="540" w:hanging="180"/>
        <w:contextualSpacing w:val="0"/>
        <w:rPr>
          <w:rFonts w:ascii="Garamond" w:hAnsi="Garamond"/>
          <w:b/>
        </w:rPr>
      </w:pPr>
      <w:r w:rsidRPr="00CD0433">
        <w:rPr>
          <w:b/>
          <w:sz w:val="20"/>
          <w:szCs w:val="20"/>
        </w:rPr>
        <w:t>Term 1</w:t>
      </w:r>
      <w:r w:rsidR="00C34369">
        <w:rPr>
          <w:b/>
          <w:sz w:val="20"/>
          <w:szCs w:val="20"/>
        </w:rPr>
        <w:t xml:space="preserve">: </w:t>
      </w:r>
      <w:r w:rsidRPr="00BB4245">
        <w:rPr>
          <w:rFonts w:ascii="Garamond" w:hAnsi="Garamond"/>
        </w:rPr>
        <w:t>2017 Summer (</w:t>
      </w:r>
      <w:proofErr w:type="spellStart"/>
      <w:r w:rsidRPr="00BB4245">
        <w:rPr>
          <w:rFonts w:ascii="Garamond" w:hAnsi="Garamond"/>
        </w:rPr>
        <w:t>LaRC</w:t>
      </w:r>
      <w:proofErr w:type="spellEnd"/>
      <w:r w:rsidRPr="00BB4245">
        <w:rPr>
          <w:rFonts w:ascii="Garamond" w:hAnsi="Garamond"/>
        </w:rPr>
        <w:t>) – Pacific Southwest Cross-Cutting</w:t>
      </w:r>
    </w:p>
    <w:p w14:paraId="6C1DB1EE" w14:textId="2A48CC44" w:rsidR="00A230C9" w:rsidRPr="00C65E5F" w:rsidRDefault="00A230C9" w:rsidP="00A230C9">
      <w:pPr>
        <w:pStyle w:val="ListParagraph"/>
        <w:numPr>
          <w:ilvl w:val="1"/>
          <w:numId w:val="2"/>
        </w:numPr>
        <w:contextualSpacing w:val="0"/>
        <w:rPr>
          <w:rFonts w:ascii="Garamond" w:hAnsi="Garamond"/>
          <w:b/>
        </w:rPr>
      </w:pPr>
      <w:r>
        <w:rPr>
          <w:rFonts w:ascii="Garamond" w:hAnsi="Garamond"/>
        </w:rPr>
        <w:t xml:space="preserve">The first term of this project </w:t>
      </w:r>
      <w:r w:rsidR="00DA5211">
        <w:rPr>
          <w:rFonts w:ascii="Garamond" w:hAnsi="Garamond"/>
        </w:rPr>
        <w:t>focused</w:t>
      </w:r>
      <w:r>
        <w:rPr>
          <w:rFonts w:ascii="Garamond" w:hAnsi="Garamond"/>
        </w:rPr>
        <w:t xml:space="preserve"> on developing a detection methodology for moderate- and large-scale disturbance for specific locations within the USFWS Pacific Southwest region. Additionally, this term </w:t>
      </w:r>
      <w:r w:rsidR="00DA5211">
        <w:rPr>
          <w:rFonts w:ascii="Garamond" w:hAnsi="Garamond"/>
        </w:rPr>
        <w:t>assessed</w:t>
      </w:r>
      <w:r>
        <w:rPr>
          <w:rFonts w:ascii="Garamond" w:hAnsi="Garamond"/>
        </w:rPr>
        <w:t xml:space="preserve"> the various data sources (MODIS, Landsat, and </w:t>
      </w:r>
      <w:r>
        <w:rPr>
          <w:rFonts w:ascii="Garamond" w:hAnsi="Garamond"/>
        </w:rPr>
        <w:lastRenderedPageBreak/>
        <w:t>Sentinel) for the most effective data to continue using for the decision-support tool.</w:t>
      </w:r>
      <w:r w:rsidRPr="00BB4245">
        <w:rPr>
          <w:rFonts w:ascii="Garamond" w:hAnsi="Garamond"/>
        </w:rPr>
        <w:t xml:space="preserve"> </w:t>
      </w:r>
      <w:r w:rsidR="00210C2F">
        <w:rPr>
          <w:rFonts w:ascii="Garamond" w:hAnsi="Garamond"/>
        </w:rPr>
        <w:t xml:space="preserve">External services were added to enhance identification capabilities within the tool (e.g., fire polygons, </w:t>
      </w:r>
      <w:proofErr w:type="spellStart"/>
      <w:r w:rsidR="00210C2F">
        <w:rPr>
          <w:rFonts w:ascii="Garamond" w:hAnsi="Garamond"/>
        </w:rPr>
        <w:t>cropscape</w:t>
      </w:r>
      <w:proofErr w:type="spellEnd"/>
      <w:r w:rsidR="00210C2F">
        <w:rPr>
          <w:rFonts w:ascii="Garamond" w:hAnsi="Garamond"/>
        </w:rPr>
        <w:t xml:space="preserve">, and NAIP). </w:t>
      </w:r>
      <w:r>
        <w:rPr>
          <w:rFonts w:ascii="Garamond" w:hAnsi="Garamond"/>
        </w:rPr>
        <w:t>The creation of</w:t>
      </w:r>
      <w:r w:rsidRPr="00C65E5F">
        <w:rPr>
          <w:rFonts w:ascii="Garamond" w:hAnsi="Garamond"/>
        </w:rPr>
        <w:t xml:space="preserve"> initial maps and time series</w:t>
      </w:r>
      <w:r>
        <w:rPr>
          <w:rFonts w:ascii="Garamond" w:hAnsi="Garamond"/>
        </w:rPr>
        <w:t xml:space="preserve"> will be used to enhance </w:t>
      </w:r>
      <w:proofErr w:type="spellStart"/>
      <w:r>
        <w:rPr>
          <w:rFonts w:ascii="Garamond" w:hAnsi="Garamond"/>
        </w:rPr>
        <w:t>partern</w:t>
      </w:r>
      <w:proofErr w:type="spellEnd"/>
      <w:r>
        <w:rPr>
          <w:rFonts w:ascii="Garamond" w:hAnsi="Garamond"/>
        </w:rPr>
        <w:t xml:space="preserve"> feedback on the tool.</w:t>
      </w:r>
    </w:p>
    <w:p w14:paraId="4A3FF75D" w14:textId="5D070B61" w:rsidR="00A230C9" w:rsidRPr="00BB4245" w:rsidRDefault="00A230C9" w:rsidP="00A230C9">
      <w:pPr>
        <w:pStyle w:val="ListParagraph"/>
        <w:numPr>
          <w:ilvl w:val="0"/>
          <w:numId w:val="2"/>
        </w:numPr>
        <w:ind w:left="540" w:hanging="180"/>
        <w:contextualSpacing w:val="0"/>
        <w:rPr>
          <w:rFonts w:ascii="Garamond" w:hAnsi="Garamond"/>
          <w:b/>
        </w:rPr>
      </w:pPr>
      <w:r w:rsidRPr="00CD0433">
        <w:rPr>
          <w:b/>
          <w:sz w:val="20"/>
          <w:szCs w:val="20"/>
        </w:rPr>
        <w:t>Term 2</w:t>
      </w:r>
      <w:r>
        <w:rPr>
          <w:b/>
          <w:sz w:val="20"/>
          <w:szCs w:val="20"/>
        </w:rPr>
        <w:t xml:space="preserve"> </w:t>
      </w:r>
      <w:r w:rsidRPr="00CD0433">
        <w:rPr>
          <w:b/>
          <w:sz w:val="20"/>
          <w:szCs w:val="20"/>
        </w:rPr>
        <w:t>(Proposed Term)</w:t>
      </w:r>
      <w:r>
        <w:rPr>
          <w:b/>
          <w:sz w:val="20"/>
          <w:szCs w:val="20"/>
        </w:rPr>
        <w:t>:</w:t>
      </w:r>
      <w:r>
        <w:rPr>
          <w:sz w:val="20"/>
          <w:szCs w:val="20"/>
        </w:rPr>
        <w:t xml:space="preserve"> </w:t>
      </w:r>
      <w:r w:rsidRPr="00BB4245">
        <w:rPr>
          <w:rFonts w:ascii="Garamond" w:hAnsi="Garamond"/>
        </w:rPr>
        <w:t>2017 Fall (</w:t>
      </w:r>
      <w:proofErr w:type="spellStart"/>
      <w:r w:rsidRPr="00BB4245">
        <w:rPr>
          <w:rFonts w:ascii="Garamond" w:hAnsi="Garamond"/>
        </w:rPr>
        <w:t>LaRC</w:t>
      </w:r>
      <w:proofErr w:type="spellEnd"/>
      <w:r w:rsidRPr="00BB4245">
        <w:rPr>
          <w:rFonts w:ascii="Garamond" w:hAnsi="Garamond"/>
        </w:rPr>
        <w:t>) – Pacific Southwest Cross-Cutting II</w:t>
      </w:r>
    </w:p>
    <w:p w14:paraId="13018706" w14:textId="32275731" w:rsidR="00A230C9" w:rsidRPr="00CD0433" w:rsidRDefault="00A230C9" w:rsidP="00A230C9">
      <w:pPr>
        <w:pStyle w:val="ListParagraph"/>
        <w:numPr>
          <w:ilvl w:val="1"/>
          <w:numId w:val="2"/>
        </w:numPr>
        <w:contextualSpacing w:val="0"/>
        <w:rPr>
          <w:sz w:val="20"/>
          <w:szCs w:val="20"/>
        </w:rPr>
      </w:pPr>
      <w:r>
        <w:rPr>
          <w:rFonts w:ascii="Garamond" w:hAnsi="Garamond"/>
        </w:rPr>
        <w:t xml:space="preserve">The second term of this project will focus on further refining the methodology for the decision-support tool. </w:t>
      </w:r>
      <w:r w:rsidR="000B0958">
        <w:rPr>
          <w:rFonts w:ascii="Garamond" w:hAnsi="Garamond"/>
        </w:rPr>
        <w:t xml:space="preserve">More specifically, additional selection tools, outside validation inputs, and exporting features are desired by the end user. </w:t>
      </w:r>
      <w:r w:rsidR="00210C2F">
        <w:rPr>
          <w:rFonts w:ascii="Garamond" w:hAnsi="Garamond"/>
        </w:rPr>
        <w:t xml:space="preserve">The first objective is to add external services beyond those incorporated in the first term. The second objective is to create a cleaner user interface to allow users with less programming experience to efficiently utilize the tool. </w:t>
      </w:r>
      <w:r>
        <w:rPr>
          <w:rFonts w:ascii="Garamond" w:hAnsi="Garamond"/>
        </w:rPr>
        <w:t xml:space="preserve">Time permitting, the team will scale up to larger sampling areas, apply </w:t>
      </w:r>
      <w:r w:rsidR="00210C2F">
        <w:rPr>
          <w:rFonts w:ascii="Garamond" w:hAnsi="Garamond"/>
        </w:rPr>
        <w:t xml:space="preserve">the tool </w:t>
      </w:r>
      <w:r>
        <w:rPr>
          <w:rFonts w:ascii="Garamond" w:hAnsi="Garamond"/>
        </w:rPr>
        <w:t xml:space="preserve">to different sampling regions </w:t>
      </w:r>
      <w:r w:rsidR="000B0958">
        <w:rPr>
          <w:rFonts w:ascii="Garamond" w:hAnsi="Garamond"/>
        </w:rPr>
        <w:t xml:space="preserve">(e.g., vegetation cover types) </w:t>
      </w:r>
      <w:r>
        <w:rPr>
          <w:rFonts w:ascii="Garamond" w:hAnsi="Garamond"/>
        </w:rPr>
        <w:t>from the first term</w:t>
      </w:r>
      <w:r w:rsidR="00210C2F">
        <w:rPr>
          <w:rFonts w:ascii="Garamond" w:hAnsi="Garamond"/>
        </w:rPr>
        <w:t>, and assess high resolution imagery through services like Digital Globe</w:t>
      </w:r>
      <w:r>
        <w:rPr>
          <w:rFonts w:ascii="Garamond" w:hAnsi="Garamond"/>
        </w:rPr>
        <w:t xml:space="preserve">. A </w:t>
      </w:r>
      <w:r w:rsidR="00210C2F">
        <w:rPr>
          <w:rFonts w:ascii="Garamond" w:hAnsi="Garamond"/>
        </w:rPr>
        <w:t xml:space="preserve">tertiary </w:t>
      </w:r>
      <w:r>
        <w:rPr>
          <w:rFonts w:ascii="Garamond" w:hAnsi="Garamond"/>
        </w:rPr>
        <w:t>objective for the team will be to create a tutorial and workflow for dissemination within the USFWS for continued use of the tool.</w:t>
      </w:r>
      <w:r w:rsidR="000B0958">
        <w:rPr>
          <w:rFonts w:ascii="Garamond" w:hAnsi="Garamond"/>
        </w:rPr>
        <w:t xml:space="preserve"> This detailed workflow will support the USFWS extending this research to other </w:t>
      </w:r>
      <w:proofErr w:type="spellStart"/>
      <w:r w:rsidR="000B0958">
        <w:rPr>
          <w:rFonts w:ascii="Garamond" w:hAnsi="Garamond"/>
        </w:rPr>
        <w:t>usecases</w:t>
      </w:r>
      <w:proofErr w:type="spellEnd"/>
      <w:r w:rsidR="000B0958">
        <w:rPr>
          <w:rFonts w:ascii="Garamond" w:hAnsi="Garamond"/>
        </w:rPr>
        <w:t xml:space="preserve"> in the future.</w:t>
      </w:r>
    </w:p>
    <w:p w14:paraId="0E47B3BF" w14:textId="7E45CACA" w:rsidR="00461AA0" w:rsidRDefault="00461AA0" w:rsidP="00A230C9">
      <w:pPr>
        <w:rPr>
          <w:sz w:val="20"/>
          <w:szCs w:val="20"/>
        </w:rPr>
      </w:pPr>
    </w:p>
    <w:p w14:paraId="2573C03E" w14:textId="77777777" w:rsidR="00245A1D" w:rsidRPr="00272CD9" w:rsidRDefault="00245A1D" w:rsidP="00245A1D">
      <w:pPr>
        <w:rPr>
          <w:b/>
          <w:i/>
          <w:sz w:val="20"/>
          <w:szCs w:val="20"/>
        </w:rPr>
      </w:pPr>
      <w:r w:rsidRPr="00272CD9">
        <w:rPr>
          <w:b/>
          <w:i/>
          <w:sz w:val="20"/>
          <w:szCs w:val="20"/>
        </w:rPr>
        <w:t xml:space="preserve">Previous </w:t>
      </w:r>
      <w:r>
        <w:rPr>
          <w:b/>
          <w:i/>
          <w:sz w:val="20"/>
          <w:szCs w:val="20"/>
        </w:rPr>
        <w:t>Terms</w:t>
      </w:r>
      <w:r w:rsidRPr="00272CD9">
        <w:rPr>
          <w:b/>
          <w:i/>
          <w:sz w:val="20"/>
          <w:szCs w:val="20"/>
        </w:rPr>
        <w:t>:</w:t>
      </w:r>
    </w:p>
    <w:p w14:paraId="64A2BED2" w14:textId="4E24A915" w:rsidR="00245A1D" w:rsidRPr="005C6FC1" w:rsidRDefault="002C5BBB" w:rsidP="00245A1D">
      <w:pPr>
        <w:ind w:left="720" w:hanging="720"/>
        <w:rPr>
          <w:rFonts w:ascii="Garamond" w:hAnsi="Garamond"/>
        </w:rPr>
      </w:pPr>
      <w:r>
        <w:rPr>
          <w:rFonts w:ascii="Garamond" w:hAnsi="Garamond"/>
        </w:rPr>
        <w:t>2017 Summer (</w:t>
      </w:r>
      <w:proofErr w:type="spellStart"/>
      <w:r>
        <w:rPr>
          <w:rFonts w:ascii="Garamond" w:hAnsi="Garamond"/>
        </w:rPr>
        <w:t>LaRC</w:t>
      </w:r>
      <w:proofErr w:type="spellEnd"/>
      <w:r>
        <w:rPr>
          <w:rFonts w:ascii="Garamond" w:hAnsi="Garamond"/>
        </w:rPr>
        <w:t>) – Pacific Southwest Cross-Cutting</w:t>
      </w:r>
    </w:p>
    <w:p w14:paraId="56AF7DA3" w14:textId="77777777" w:rsidR="00245A1D" w:rsidRDefault="00245A1D" w:rsidP="00A230C9">
      <w:pPr>
        <w:rPr>
          <w:sz w:val="20"/>
          <w:szCs w:val="20"/>
        </w:rPr>
      </w:pPr>
    </w:p>
    <w:p w14:paraId="0DAFBA5D" w14:textId="77777777" w:rsidR="00A230C9" w:rsidRPr="00272CD9" w:rsidRDefault="00A230C9" w:rsidP="00A230C9">
      <w:pPr>
        <w:outlineLvl w:val="0"/>
        <w:rPr>
          <w:b/>
          <w:i/>
          <w:sz w:val="20"/>
          <w:szCs w:val="20"/>
        </w:rPr>
      </w:pPr>
      <w:r w:rsidRPr="00272CD9">
        <w:rPr>
          <w:b/>
          <w:i/>
          <w:sz w:val="20"/>
          <w:szCs w:val="20"/>
        </w:rPr>
        <w:t>Related DEVELOP Work:</w:t>
      </w:r>
    </w:p>
    <w:p w14:paraId="298D466C" w14:textId="6F7773D3" w:rsidR="00A230C9" w:rsidRDefault="00A230C9" w:rsidP="00A230C9">
      <w:pPr>
        <w:ind w:left="720" w:hanging="720"/>
        <w:rPr>
          <w:rFonts w:ascii="Garamond" w:hAnsi="Garamond"/>
        </w:rPr>
      </w:pPr>
      <w:r>
        <w:rPr>
          <w:rFonts w:ascii="Garamond" w:hAnsi="Garamond"/>
        </w:rPr>
        <w:t>2017 Spring (</w:t>
      </w:r>
      <w:proofErr w:type="spellStart"/>
      <w:r w:rsidR="002C5BBB">
        <w:rPr>
          <w:rFonts w:ascii="Garamond" w:hAnsi="Garamond"/>
        </w:rPr>
        <w:t>LaRC</w:t>
      </w:r>
      <w:proofErr w:type="spellEnd"/>
      <w:r>
        <w:rPr>
          <w:rFonts w:ascii="Garamond" w:hAnsi="Garamond"/>
        </w:rPr>
        <w:t>) – Glacier National Park Climate II: Analyzing and Mapping Landscape Disturbance across Glacier National Park Using a Landsat Time Series</w:t>
      </w:r>
    </w:p>
    <w:p w14:paraId="1F82D916" w14:textId="1BA9D2C2" w:rsidR="005D7108" w:rsidRDefault="00A230C9" w:rsidP="00A230C9">
      <w:pPr>
        <w:ind w:left="720" w:hanging="720"/>
        <w:rPr>
          <w:rFonts w:ascii="Garamond" w:hAnsi="Garamond"/>
        </w:rPr>
      </w:pPr>
      <w:r>
        <w:rPr>
          <w:rFonts w:ascii="Garamond" w:hAnsi="Garamond"/>
        </w:rPr>
        <w:t>2016 Fall (</w:t>
      </w:r>
      <w:proofErr w:type="spellStart"/>
      <w:r w:rsidR="002C5BBB">
        <w:rPr>
          <w:rFonts w:ascii="Garamond" w:hAnsi="Garamond"/>
        </w:rPr>
        <w:t>LaRC</w:t>
      </w:r>
      <w:proofErr w:type="spellEnd"/>
      <w:r>
        <w:rPr>
          <w:rFonts w:ascii="Garamond" w:hAnsi="Garamond"/>
        </w:rPr>
        <w:t>) – Glacier National Park Climate I: Utilizing NASA Earth Observations to Quantify Landsat Disturbances Related to a Changing Climate in Glacier National Park</w:t>
      </w:r>
    </w:p>
    <w:p w14:paraId="0864D08D" w14:textId="1EA16BAB" w:rsidR="000466EA" w:rsidRDefault="000466EA" w:rsidP="00A230C9">
      <w:pPr>
        <w:ind w:left="720" w:hanging="720"/>
        <w:rPr>
          <w:rFonts w:ascii="Garamond" w:hAnsi="Garamond"/>
        </w:rPr>
      </w:pPr>
    </w:p>
    <w:p w14:paraId="3670E66F" w14:textId="77777777" w:rsidR="007325E0" w:rsidRPr="000466EA" w:rsidRDefault="007325E0" w:rsidP="000B0958">
      <w:pPr>
        <w:rPr>
          <w:rFonts w:ascii="Garamond" w:hAnsi="Garamond"/>
        </w:rPr>
      </w:pPr>
    </w:p>
    <w:sectPr w:rsidR="007325E0" w:rsidRPr="000466EA"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466EA"/>
    <w:rsid w:val="00073224"/>
    <w:rsid w:val="00075708"/>
    <w:rsid w:val="0008198D"/>
    <w:rsid w:val="00095369"/>
    <w:rsid w:val="00095D93"/>
    <w:rsid w:val="000B0958"/>
    <w:rsid w:val="000D7963"/>
    <w:rsid w:val="000E3C1F"/>
    <w:rsid w:val="000E4025"/>
    <w:rsid w:val="000F487D"/>
    <w:rsid w:val="000F76DA"/>
    <w:rsid w:val="00107706"/>
    <w:rsid w:val="00123B69"/>
    <w:rsid w:val="00134C6A"/>
    <w:rsid w:val="001538F2"/>
    <w:rsid w:val="00164AAB"/>
    <w:rsid w:val="00195AEC"/>
    <w:rsid w:val="001976DA"/>
    <w:rsid w:val="001A2ECC"/>
    <w:rsid w:val="001B301C"/>
    <w:rsid w:val="001D1B19"/>
    <w:rsid w:val="002046C4"/>
    <w:rsid w:val="00210C2F"/>
    <w:rsid w:val="00220343"/>
    <w:rsid w:val="0022612D"/>
    <w:rsid w:val="00227218"/>
    <w:rsid w:val="0023408F"/>
    <w:rsid w:val="00245A1D"/>
    <w:rsid w:val="0025400D"/>
    <w:rsid w:val="00272CD9"/>
    <w:rsid w:val="00273BD3"/>
    <w:rsid w:val="00276572"/>
    <w:rsid w:val="00285042"/>
    <w:rsid w:val="00290705"/>
    <w:rsid w:val="002B6846"/>
    <w:rsid w:val="002C501D"/>
    <w:rsid w:val="002C5BBB"/>
    <w:rsid w:val="002D6CAD"/>
    <w:rsid w:val="002E2D9E"/>
    <w:rsid w:val="00302E59"/>
    <w:rsid w:val="00333F2B"/>
    <w:rsid w:val="003347A7"/>
    <w:rsid w:val="00334B0C"/>
    <w:rsid w:val="00347670"/>
    <w:rsid w:val="00353F4B"/>
    <w:rsid w:val="00362915"/>
    <w:rsid w:val="00384B24"/>
    <w:rsid w:val="003B54D0"/>
    <w:rsid w:val="003C28CD"/>
    <w:rsid w:val="003D2EDF"/>
    <w:rsid w:val="003D66E2"/>
    <w:rsid w:val="003E50D2"/>
    <w:rsid w:val="0041686A"/>
    <w:rsid w:val="00421DB4"/>
    <w:rsid w:val="004228B2"/>
    <w:rsid w:val="0044627A"/>
    <w:rsid w:val="00453F48"/>
    <w:rsid w:val="00461AA0"/>
    <w:rsid w:val="00467737"/>
    <w:rsid w:val="00476EA1"/>
    <w:rsid w:val="00497BF1"/>
    <w:rsid w:val="004A392E"/>
    <w:rsid w:val="004B304D"/>
    <w:rsid w:val="004C0A16"/>
    <w:rsid w:val="004D6BF4"/>
    <w:rsid w:val="00526F3C"/>
    <w:rsid w:val="005344D2"/>
    <w:rsid w:val="00542AAA"/>
    <w:rsid w:val="00565EE1"/>
    <w:rsid w:val="00583971"/>
    <w:rsid w:val="005845A3"/>
    <w:rsid w:val="00594D0B"/>
    <w:rsid w:val="005C5954"/>
    <w:rsid w:val="005C6FC1"/>
    <w:rsid w:val="005D3F60"/>
    <w:rsid w:val="005D7108"/>
    <w:rsid w:val="00630768"/>
    <w:rsid w:val="00636FAE"/>
    <w:rsid w:val="0064214A"/>
    <w:rsid w:val="006452A4"/>
    <w:rsid w:val="006515E3"/>
    <w:rsid w:val="00676C74"/>
    <w:rsid w:val="006804AC"/>
    <w:rsid w:val="00695D85"/>
    <w:rsid w:val="006978F9"/>
    <w:rsid w:val="006A2516"/>
    <w:rsid w:val="006A2A26"/>
    <w:rsid w:val="006B39A8"/>
    <w:rsid w:val="006B7491"/>
    <w:rsid w:val="006E1C6C"/>
    <w:rsid w:val="007059D2"/>
    <w:rsid w:val="007072BA"/>
    <w:rsid w:val="007226AE"/>
    <w:rsid w:val="007325E0"/>
    <w:rsid w:val="00735F70"/>
    <w:rsid w:val="00752AC5"/>
    <w:rsid w:val="00760B99"/>
    <w:rsid w:val="007715BF"/>
    <w:rsid w:val="00782999"/>
    <w:rsid w:val="007879B2"/>
    <w:rsid w:val="007A4F2A"/>
    <w:rsid w:val="007A7268"/>
    <w:rsid w:val="007B73F9"/>
    <w:rsid w:val="007C08E6"/>
    <w:rsid w:val="007D64DC"/>
    <w:rsid w:val="007F7706"/>
    <w:rsid w:val="0080287D"/>
    <w:rsid w:val="008060AF"/>
    <w:rsid w:val="00806DE6"/>
    <w:rsid w:val="00835C04"/>
    <w:rsid w:val="008403B8"/>
    <w:rsid w:val="00896D48"/>
    <w:rsid w:val="008B3821"/>
    <w:rsid w:val="00916099"/>
    <w:rsid w:val="00937ED2"/>
    <w:rsid w:val="00941956"/>
    <w:rsid w:val="0094514E"/>
    <w:rsid w:val="009479E5"/>
    <w:rsid w:val="009812BB"/>
    <w:rsid w:val="009828CC"/>
    <w:rsid w:val="009A09FD"/>
    <w:rsid w:val="009A492A"/>
    <w:rsid w:val="009A4E67"/>
    <w:rsid w:val="009B08C3"/>
    <w:rsid w:val="009D7235"/>
    <w:rsid w:val="009E1788"/>
    <w:rsid w:val="009E4CFF"/>
    <w:rsid w:val="00A0319C"/>
    <w:rsid w:val="00A07C1D"/>
    <w:rsid w:val="00A230C9"/>
    <w:rsid w:val="00A4473F"/>
    <w:rsid w:val="00A44DD0"/>
    <w:rsid w:val="00A46F34"/>
    <w:rsid w:val="00A502A8"/>
    <w:rsid w:val="00A50CFE"/>
    <w:rsid w:val="00A5463B"/>
    <w:rsid w:val="00A60645"/>
    <w:rsid w:val="00A66508"/>
    <w:rsid w:val="00A80A92"/>
    <w:rsid w:val="00A8257F"/>
    <w:rsid w:val="00AA34AB"/>
    <w:rsid w:val="00AB2804"/>
    <w:rsid w:val="00AE46F5"/>
    <w:rsid w:val="00AF3819"/>
    <w:rsid w:val="00B321BC"/>
    <w:rsid w:val="00B43262"/>
    <w:rsid w:val="00B73203"/>
    <w:rsid w:val="00B76BDC"/>
    <w:rsid w:val="00B81E34"/>
    <w:rsid w:val="00B82905"/>
    <w:rsid w:val="00B9571C"/>
    <w:rsid w:val="00B9614C"/>
    <w:rsid w:val="00BB1A3F"/>
    <w:rsid w:val="00BD0255"/>
    <w:rsid w:val="00C019EA"/>
    <w:rsid w:val="00C057E9"/>
    <w:rsid w:val="00C32A58"/>
    <w:rsid w:val="00C33A8E"/>
    <w:rsid w:val="00C34369"/>
    <w:rsid w:val="00C3775B"/>
    <w:rsid w:val="00C55FC9"/>
    <w:rsid w:val="00C72F1A"/>
    <w:rsid w:val="00C82473"/>
    <w:rsid w:val="00C83576"/>
    <w:rsid w:val="00C9773D"/>
    <w:rsid w:val="00CA0A4F"/>
    <w:rsid w:val="00CA0EED"/>
    <w:rsid w:val="00CA4793"/>
    <w:rsid w:val="00CB421A"/>
    <w:rsid w:val="00CB51DA"/>
    <w:rsid w:val="00CC1C80"/>
    <w:rsid w:val="00CC7683"/>
    <w:rsid w:val="00CD0433"/>
    <w:rsid w:val="00CE4F6F"/>
    <w:rsid w:val="00D07222"/>
    <w:rsid w:val="00D11B31"/>
    <w:rsid w:val="00D12F5B"/>
    <w:rsid w:val="00D22F4A"/>
    <w:rsid w:val="00D3189E"/>
    <w:rsid w:val="00D3192F"/>
    <w:rsid w:val="00D55491"/>
    <w:rsid w:val="00D63B6C"/>
    <w:rsid w:val="00D7150E"/>
    <w:rsid w:val="00D808DE"/>
    <w:rsid w:val="00DA5211"/>
    <w:rsid w:val="00DB5124"/>
    <w:rsid w:val="00DC39A5"/>
    <w:rsid w:val="00DC4A9C"/>
    <w:rsid w:val="00DC6974"/>
    <w:rsid w:val="00E24415"/>
    <w:rsid w:val="00E42DAD"/>
    <w:rsid w:val="00E55138"/>
    <w:rsid w:val="00E6039B"/>
    <w:rsid w:val="00EB08E2"/>
    <w:rsid w:val="00EB4818"/>
    <w:rsid w:val="00EC3694"/>
    <w:rsid w:val="00ED6B3C"/>
    <w:rsid w:val="00EE3B10"/>
    <w:rsid w:val="00F038E6"/>
    <w:rsid w:val="00F1255A"/>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D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084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E9A5-2617-C249-A811-A27DD3E0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1520</Words>
  <Characters>8667</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Emily Gotschalk</cp:lastModifiedBy>
  <cp:revision>9</cp:revision>
  <dcterms:created xsi:type="dcterms:W3CDTF">2017-07-26T00:47:00Z</dcterms:created>
  <dcterms:modified xsi:type="dcterms:W3CDTF">2017-08-29T19:23:00Z</dcterms:modified>
</cp:coreProperties>
</file>