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07B84106" w:rsidR="007B73F9" w:rsidRPr="00A44DD0" w:rsidRDefault="00862060">
      <w:pPr>
        <w:rPr>
          <w:b/>
          <w:sz w:val="24"/>
        </w:rPr>
      </w:pPr>
      <w:r>
        <w:rPr>
          <w:b/>
          <w:sz w:val="24"/>
        </w:rPr>
        <w:t>2020</w:t>
      </w:r>
      <w:r w:rsidR="00BB1A3F">
        <w:rPr>
          <w:b/>
          <w:sz w:val="24"/>
        </w:rPr>
        <w:t xml:space="preserve"> </w:t>
      </w:r>
      <w:r>
        <w:rPr>
          <w:b/>
          <w:sz w:val="24"/>
        </w:rPr>
        <w:t>Summer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7CB2CB46" w:rsidR="00A44DD0" w:rsidRPr="008B3821" w:rsidRDefault="00862060" w:rsidP="00A44DD0">
      <w:pPr>
        <w:rPr>
          <w:b/>
          <w:szCs w:val="20"/>
        </w:rPr>
      </w:pPr>
      <w:r>
        <w:rPr>
          <w:b/>
          <w:szCs w:val="20"/>
        </w:rPr>
        <w:t>Idaho – Pocatello</w:t>
      </w:r>
    </w:p>
    <w:p w14:paraId="1824EBE9" w14:textId="0A144926" w:rsidR="007B73F9" w:rsidRPr="008B3821" w:rsidRDefault="00862060">
      <w:pPr>
        <w:rPr>
          <w:b/>
          <w:sz w:val="20"/>
          <w:szCs w:val="20"/>
        </w:rPr>
      </w:pPr>
      <w:r>
        <w:rPr>
          <w:b/>
          <w:sz w:val="20"/>
          <w:szCs w:val="20"/>
        </w:rPr>
        <w:t>Mark Twain National Forest Ecological Forecasting</w:t>
      </w:r>
    </w:p>
    <w:p w14:paraId="5B7B00A4" w14:textId="370BF94B" w:rsidR="007B73F9" w:rsidRPr="008B3821" w:rsidRDefault="001D546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Using NASA Earth Observations to </w:t>
      </w:r>
      <w:r w:rsidR="00675AC2">
        <w:rPr>
          <w:i/>
          <w:sz w:val="20"/>
          <w:szCs w:val="20"/>
        </w:rPr>
        <w:t xml:space="preserve">Classify Ground Cover </w:t>
      </w:r>
      <w:r w:rsidR="00FE4B3B">
        <w:rPr>
          <w:i/>
          <w:sz w:val="20"/>
          <w:szCs w:val="20"/>
        </w:rPr>
        <w:t>T</w:t>
      </w:r>
      <w:r w:rsidR="00675AC2">
        <w:rPr>
          <w:i/>
          <w:sz w:val="20"/>
          <w:szCs w:val="20"/>
        </w:rPr>
        <w:t>ypes</w:t>
      </w:r>
      <w:r w:rsidR="00862060">
        <w:rPr>
          <w:i/>
          <w:sz w:val="20"/>
          <w:szCs w:val="20"/>
        </w:rPr>
        <w:t xml:space="preserve"> in the Mark Twain National Forest</w:t>
      </w:r>
      <w:r w:rsidR="00FE4B3B">
        <w:rPr>
          <w:i/>
          <w:sz w:val="20"/>
          <w:szCs w:val="20"/>
        </w:rPr>
        <w:t xml:space="preserve"> to Target Restoration and Monitoring Efforts</w:t>
      </w:r>
      <w:r w:rsidR="00862060">
        <w:rPr>
          <w:i/>
          <w:sz w:val="20"/>
          <w:szCs w:val="20"/>
        </w:rPr>
        <w:t xml:space="preserve"> </w:t>
      </w:r>
    </w:p>
    <w:p w14:paraId="18D479DC" w14:textId="77777777" w:rsidR="00272CD9" w:rsidRDefault="00272CD9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2B00342B" w14:textId="411A0787" w:rsidR="00A802D5" w:rsidRPr="00E50D71" w:rsidRDefault="008B3821" w:rsidP="00A802D5">
      <w:pPr>
        <w:rPr>
          <w:rFonts w:ascii="Garamond" w:hAnsi="Garamond"/>
          <w:sz w:val="20"/>
          <w:szCs w:val="20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061EE8">
        <w:rPr>
          <w:rFonts w:ascii="Garamond" w:hAnsi="Garamond"/>
        </w:rPr>
        <w:t xml:space="preserve">The Mark </w:t>
      </w:r>
      <w:r w:rsidR="00C202A0">
        <w:rPr>
          <w:rFonts w:ascii="Garamond" w:hAnsi="Garamond"/>
        </w:rPr>
        <w:t>T</w:t>
      </w:r>
      <w:r w:rsidR="00061EE8">
        <w:rPr>
          <w:rFonts w:ascii="Garamond" w:hAnsi="Garamond"/>
        </w:rPr>
        <w:t>wain National Forest (MTNF) in Southern and Eastern Missouri has a complex forest structure, fit with pine, hardwood</w:t>
      </w:r>
      <w:r w:rsidR="00C202A0">
        <w:rPr>
          <w:rFonts w:ascii="Garamond" w:hAnsi="Garamond"/>
        </w:rPr>
        <w:t>,</w:t>
      </w:r>
      <w:r w:rsidR="00061EE8">
        <w:rPr>
          <w:rFonts w:ascii="Garamond" w:hAnsi="Garamond"/>
        </w:rPr>
        <w:t xml:space="preserve"> and dense understory stands. The contribution of all these forest types is invaluable to the ecology and ecotourism of the area. Native pine stands in the forest are a useful proxy for land managers to identify areas of bare and shallow soil</w:t>
      </w:r>
      <w:r w:rsidR="00C202A0">
        <w:rPr>
          <w:rFonts w:ascii="Garamond" w:hAnsi="Garamond"/>
        </w:rPr>
        <w:t xml:space="preserve"> in need of restoration to promote reforestation. Therefore, these pine stands are </w:t>
      </w:r>
      <w:r w:rsidR="00061EE8">
        <w:rPr>
          <w:rFonts w:ascii="Garamond" w:hAnsi="Garamond"/>
        </w:rPr>
        <w:t xml:space="preserve">used as markers to </w:t>
      </w:r>
      <w:r w:rsidR="00C202A0">
        <w:rPr>
          <w:rFonts w:ascii="Garamond" w:hAnsi="Garamond"/>
        </w:rPr>
        <w:t>locate</w:t>
      </w:r>
      <w:r w:rsidR="00061EE8">
        <w:rPr>
          <w:rFonts w:ascii="Garamond" w:hAnsi="Garamond"/>
        </w:rPr>
        <w:t xml:space="preserve"> and begin </w:t>
      </w:r>
      <w:r w:rsidR="00C202A0">
        <w:rPr>
          <w:rFonts w:ascii="Garamond" w:hAnsi="Garamond"/>
        </w:rPr>
        <w:t xml:space="preserve">to </w:t>
      </w:r>
      <w:r w:rsidR="00061EE8">
        <w:rPr>
          <w:rFonts w:ascii="Garamond" w:hAnsi="Garamond"/>
        </w:rPr>
        <w:t>restor</w:t>
      </w:r>
      <w:r w:rsidR="00C202A0">
        <w:rPr>
          <w:rFonts w:ascii="Garamond" w:hAnsi="Garamond"/>
        </w:rPr>
        <w:t>e</w:t>
      </w:r>
      <w:r w:rsidR="00061EE8">
        <w:rPr>
          <w:rFonts w:ascii="Garamond" w:hAnsi="Garamond"/>
        </w:rPr>
        <w:t xml:space="preserve"> these areas.</w:t>
      </w:r>
      <w:r w:rsidR="00061EE8">
        <w:rPr>
          <w:rFonts w:ascii="Garamond" w:hAnsi="Garamond"/>
          <w:sz w:val="20"/>
          <w:szCs w:val="20"/>
        </w:rPr>
        <w:t xml:space="preserve"> </w:t>
      </w:r>
      <w:r w:rsidR="00A802D5" w:rsidRPr="00A802D5">
        <w:rPr>
          <w:rFonts w:ascii="Garamond" w:hAnsi="Garamond"/>
        </w:rPr>
        <w:t xml:space="preserve">This project will work with land managers in the MTNF to spectrally separate </w:t>
      </w:r>
      <w:r w:rsidR="00061EE8">
        <w:rPr>
          <w:rFonts w:ascii="Garamond" w:hAnsi="Garamond"/>
        </w:rPr>
        <w:t>pine stands</w:t>
      </w:r>
      <w:r w:rsidR="00A802D5" w:rsidRPr="00A802D5">
        <w:rPr>
          <w:rFonts w:ascii="Garamond" w:hAnsi="Garamond"/>
        </w:rPr>
        <w:t xml:space="preserve"> from hardwood</w:t>
      </w:r>
      <w:r w:rsidR="00FE4B3B">
        <w:rPr>
          <w:rFonts w:ascii="Garamond" w:hAnsi="Garamond"/>
        </w:rPr>
        <w:t xml:space="preserve"> and</w:t>
      </w:r>
      <w:r w:rsidR="00061EE8">
        <w:rPr>
          <w:rFonts w:ascii="Garamond" w:hAnsi="Garamond"/>
        </w:rPr>
        <w:t xml:space="preserve"> understory </w:t>
      </w:r>
      <w:r w:rsidR="00A802D5" w:rsidRPr="00A802D5">
        <w:rPr>
          <w:rFonts w:ascii="Garamond" w:hAnsi="Garamond"/>
        </w:rPr>
        <w:t>species</w:t>
      </w:r>
      <w:r w:rsidR="00061EE8">
        <w:rPr>
          <w:rFonts w:ascii="Garamond" w:hAnsi="Garamond"/>
        </w:rPr>
        <w:t>, urban areas</w:t>
      </w:r>
      <w:r w:rsidR="00FE4B3B">
        <w:rPr>
          <w:rFonts w:ascii="Garamond" w:hAnsi="Garamond"/>
        </w:rPr>
        <w:t>,</w:t>
      </w:r>
      <w:r w:rsidR="00061EE8">
        <w:rPr>
          <w:rFonts w:ascii="Garamond" w:hAnsi="Garamond"/>
        </w:rPr>
        <w:t xml:space="preserve"> and exposed ground</w:t>
      </w:r>
      <w:r w:rsidR="00A802D5" w:rsidRPr="00A802D5">
        <w:rPr>
          <w:rFonts w:ascii="Garamond" w:hAnsi="Garamond"/>
        </w:rPr>
        <w:t xml:space="preserve"> in the forest using Landsat 5 TM</w:t>
      </w:r>
      <w:r w:rsidR="00061EE8">
        <w:rPr>
          <w:rFonts w:ascii="Garamond" w:hAnsi="Garamond"/>
        </w:rPr>
        <w:t>,</w:t>
      </w:r>
      <w:r w:rsidR="00A802D5" w:rsidRPr="00A802D5">
        <w:rPr>
          <w:rFonts w:ascii="Garamond" w:hAnsi="Garamond"/>
        </w:rPr>
        <w:t xml:space="preserve"> Landsat 8 OLI, SRTM</w:t>
      </w:r>
      <w:r w:rsidR="00FE4B3B">
        <w:rPr>
          <w:rFonts w:ascii="Garamond" w:hAnsi="Garamond"/>
        </w:rPr>
        <w:t>,</w:t>
      </w:r>
      <w:r w:rsidR="00A802D5" w:rsidRPr="00A802D5">
        <w:rPr>
          <w:rFonts w:ascii="Garamond" w:hAnsi="Garamond"/>
        </w:rPr>
        <w:t xml:space="preserve"> and the N</w:t>
      </w:r>
      <w:r w:rsidR="00FE4B3B">
        <w:rPr>
          <w:rFonts w:ascii="Garamond" w:hAnsi="Garamond"/>
        </w:rPr>
        <w:t xml:space="preserve">ational </w:t>
      </w:r>
      <w:r w:rsidR="00A802D5" w:rsidRPr="00A802D5">
        <w:rPr>
          <w:rFonts w:ascii="Garamond" w:hAnsi="Garamond"/>
        </w:rPr>
        <w:t>L</w:t>
      </w:r>
      <w:r w:rsidR="00FE4B3B">
        <w:rPr>
          <w:rFonts w:ascii="Garamond" w:hAnsi="Garamond"/>
        </w:rPr>
        <w:t xml:space="preserve">and Cover </w:t>
      </w:r>
      <w:r w:rsidR="00A802D5" w:rsidRPr="00A802D5">
        <w:rPr>
          <w:rFonts w:ascii="Garamond" w:hAnsi="Garamond"/>
        </w:rPr>
        <w:t>D</w:t>
      </w:r>
      <w:r w:rsidR="00FE4B3B">
        <w:rPr>
          <w:rFonts w:ascii="Garamond" w:hAnsi="Garamond"/>
        </w:rPr>
        <w:t>atabase, which will allow</w:t>
      </w:r>
      <w:r w:rsidR="00A802D5" w:rsidRPr="00A802D5">
        <w:rPr>
          <w:rFonts w:ascii="Garamond" w:hAnsi="Garamond"/>
        </w:rPr>
        <w:t xml:space="preserve"> land managers </w:t>
      </w:r>
      <w:r w:rsidR="00FE4B3B">
        <w:rPr>
          <w:rFonts w:ascii="Garamond" w:hAnsi="Garamond"/>
        </w:rPr>
        <w:t>to</w:t>
      </w:r>
      <w:r w:rsidR="00A802D5" w:rsidRPr="00A802D5">
        <w:rPr>
          <w:rFonts w:ascii="Garamond" w:hAnsi="Garamond"/>
        </w:rPr>
        <w:t xml:space="preserve"> better </w:t>
      </w:r>
      <w:r w:rsidR="00061EE8">
        <w:rPr>
          <w:rFonts w:ascii="Garamond" w:hAnsi="Garamond"/>
        </w:rPr>
        <w:t xml:space="preserve">identify vegetation stands and </w:t>
      </w:r>
      <w:r w:rsidR="00A802D5" w:rsidRPr="00A802D5">
        <w:rPr>
          <w:rFonts w:ascii="Garamond" w:hAnsi="Garamond"/>
        </w:rPr>
        <w:t>soil types in and around the MTNF.</w:t>
      </w:r>
      <w:r w:rsidR="00C639D5">
        <w:rPr>
          <w:rFonts w:ascii="Garamond" w:hAnsi="Garamond"/>
        </w:rPr>
        <w:t xml:space="preserve"> </w:t>
      </w:r>
      <w:r w:rsidR="00061EE8">
        <w:rPr>
          <w:rFonts w:ascii="Garamond" w:hAnsi="Garamond"/>
        </w:rPr>
        <w:t>This will a</w:t>
      </w:r>
      <w:r w:rsidR="00C202A0">
        <w:rPr>
          <w:rFonts w:ascii="Garamond" w:hAnsi="Garamond"/>
        </w:rPr>
        <w:t>ssist</w:t>
      </w:r>
      <w:r w:rsidR="00061EE8">
        <w:rPr>
          <w:rFonts w:ascii="Garamond" w:hAnsi="Garamond"/>
        </w:rPr>
        <w:t xml:space="preserve"> land managers </w:t>
      </w:r>
      <w:r w:rsidR="00C202A0">
        <w:rPr>
          <w:rFonts w:ascii="Garamond" w:hAnsi="Garamond"/>
        </w:rPr>
        <w:t>in their efforts to identify</w:t>
      </w:r>
      <w:r w:rsidR="00061EE8">
        <w:rPr>
          <w:rFonts w:ascii="Garamond" w:hAnsi="Garamond"/>
        </w:rPr>
        <w:t xml:space="preserve"> tree diversity </w:t>
      </w:r>
      <w:r w:rsidR="00C202A0">
        <w:rPr>
          <w:rFonts w:ascii="Garamond" w:hAnsi="Garamond"/>
        </w:rPr>
        <w:t>at</w:t>
      </w:r>
      <w:r w:rsidR="00061EE8">
        <w:rPr>
          <w:rFonts w:ascii="Garamond" w:hAnsi="Garamond"/>
        </w:rPr>
        <w:t xml:space="preserve"> a species level in the MTNF.</w:t>
      </w:r>
    </w:p>
    <w:p w14:paraId="1E7BF85A" w14:textId="77777777" w:rsidR="008B3821" w:rsidRDefault="008B3821" w:rsidP="008B3821">
      <w:pPr>
        <w:rPr>
          <w:b/>
          <w:sz w:val="20"/>
          <w:szCs w:val="20"/>
        </w:rPr>
      </w:pPr>
    </w:p>
    <w:p w14:paraId="60BEDA3F" w14:textId="64B26513" w:rsidR="001306D8" w:rsidRDefault="00353F4B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1306D8" w:rsidRPr="001306D8">
        <w:rPr>
          <w:rFonts w:ascii="Garamond" w:hAnsi="Garamond"/>
          <w:szCs w:val="20"/>
        </w:rPr>
        <w:t xml:space="preserve">Pine species have been heavily logged since the turn of the century, and restoration efforts are </w:t>
      </w:r>
      <w:r w:rsidR="00EA7748">
        <w:rPr>
          <w:rFonts w:ascii="Garamond" w:hAnsi="Garamond"/>
          <w:szCs w:val="20"/>
        </w:rPr>
        <w:t>increasing</w:t>
      </w:r>
      <w:r w:rsidR="001306D8" w:rsidRPr="001306D8">
        <w:rPr>
          <w:rFonts w:ascii="Garamond" w:hAnsi="Garamond"/>
          <w:szCs w:val="20"/>
        </w:rPr>
        <w:t xml:space="preserve"> to combat the lack of native species in a</w:t>
      </w:r>
      <w:r w:rsidR="00EA7748">
        <w:rPr>
          <w:rFonts w:ascii="Garamond" w:hAnsi="Garamond"/>
          <w:szCs w:val="20"/>
        </w:rPr>
        <w:t>n otherwise</w:t>
      </w:r>
      <w:r w:rsidR="001306D8" w:rsidRPr="001306D8">
        <w:rPr>
          <w:rFonts w:ascii="Garamond" w:hAnsi="Garamond"/>
          <w:szCs w:val="20"/>
        </w:rPr>
        <w:t xml:space="preserve"> hardwood dominated forest. Land managers at the MTNF use</w:t>
      </w:r>
      <w:r w:rsidR="00E55DC5">
        <w:rPr>
          <w:rFonts w:ascii="Garamond" w:hAnsi="Garamond"/>
          <w:szCs w:val="20"/>
        </w:rPr>
        <w:t xml:space="preserve"> pine stands</w:t>
      </w:r>
      <w:r w:rsidR="001306D8" w:rsidRPr="001306D8">
        <w:rPr>
          <w:rFonts w:ascii="Garamond" w:hAnsi="Garamond"/>
          <w:szCs w:val="20"/>
        </w:rPr>
        <w:t xml:space="preserve"> as markers for </w:t>
      </w:r>
      <w:r w:rsidR="00EA7748">
        <w:rPr>
          <w:rFonts w:ascii="Garamond" w:hAnsi="Garamond"/>
          <w:szCs w:val="20"/>
        </w:rPr>
        <w:t xml:space="preserve">shallow or </w:t>
      </w:r>
      <w:r w:rsidR="001306D8" w:rsidRPr="001306D8">
        <w:rPr>
          <w:rFonts w:ascii="Garamond" w:hAnsi="Garamond"/>
          <w:szCs w:val="20"/>
        </w:rPr>
        <w:t xml:space="preserve">exposed soil in the national forest to help generate </w:t>
      </w:r>
      <w:r w:rsidR="00E55DC5">
        <w:rPr>
          <w:rFonts w:ascii="Garamond" w:hAnsi="Garamond"/>
          <w:szCs w:val="20"/>
        </w:rPr>
        <w:t>maps of areas in need of restoration</w:t>
      </w:r>
      <w:r w:rsidR="00C202A0">
        <w:rPr>
          <w:rFonts w:ascii="Garamond" w:hAnsi="Garamond"/>
          <w:szCs w:val="20"/>
        </w:rPr>
        <w:t>.</w:t>
      </w:r>
      <w:r w:rsidR="001306D8" w:rsidRPr="001306D8">
        <w:rPr>
          <w:rFonts w:ascii="Garamond" w:hAnsi="Garamond"/>
          <w:szCs w:val="20"/>
        </w:rPr>
        <w:t xml:space="preserve"> </w:t>
      </w:r>
      <w:r w:rsidR="00F03064">
        <w:rPr>
          <w:rFonts w:ascii="Garamond" w:hAnsi="Garamond"/>
          <w:szCs w:val="20"/>
        </w:rPr>
        <w:t>Native pines</w:t>
      </w:r>
      <w:r w:rsidR="001306D8" w:rsidRPr="001306D8">
        <w:rPr>
          <w:rFonts w:ascii="Garamond" w:hAnsi="Garamond"/>
          <w:szCs w:val="20"/>
        </w:rPr>
        <w:t xml:space="preserve"> also store carbon and influence groundwater stocks and slope erosion</w:t>
      </w:r>
      <w:r w:rsidR="003B3B26">
        <w:rPr>
          <w:rFonts w:ascii="Garamond" w:hAnsi="Garamond"/>
          <w:szCs w:val="20"/>
        </w:rPr>
        <w:t>.</w:t>
      </w:r>
      <w:r w:rsidR="001306D8" w:rsidRPr="001306D8">
        <w:rPr>
          <w:rFonts w:ascii="Garamond" w:hAnsi="Garamond"/>
          <w:szCs w:val="20"/>
        </w:rPr>
        <w:t xml:space="preserve"> </w:t>
      </w:r>
      <w:r w:rsidR="00E55DC5">
        <w:rPr>
          <w:rFonts w:ascii="Garamond" w:hAnsi="Garamond"/>
          <w:szCs w:val="20"/>
        </w:rPr>
        <w:t>I</w:t>
      </w:r>
      <w:r w:rsidR="001306D8" w:rsidRPr="001306D8">
        <w:rPr>
          <w:rFonts w:ascii="Garamond" w:hAnsi="Garamond"/>
          <w:szCs w:val="20"/>
        </w:rPr>
        <w:t>f the</w:t>
      </w:r>
      <w:r w:rsidR="009268F5">
        <w:rPr>
          <w:rFonts w:ascii="Garamond" w:hAnsi="Garamond"/>
          <w:szCs w:val="20"/>
        </w:rPr>
        <w:t>se</w:t>
      </w:r>
      <w:r w:rsidR="001306D8" w:rsidRPr="001306D8">
        <w:rPr>
          <w:rFonts w:ascii="Garamond" w:hAnsi="Garamond"/>
          <w:szCs w:val="20"/>
        </w:rPr>
        <w:t xml:space="preserve"> tree</w:t>
      </w:r>
      <w:r w:rsidR="009268F5">
        <w:rPr>
          <w:rFonts w:ascii="Garamond" w:hAnsi="Garamond"/>
          <w:szCs w:val="20"/>
        </w:rPr>
        <w:t>s</w:t>
      </w:r>
      <w:r w:rsidR="001306D8" w:rsidRPr="001306D8">
        <w:rPr>
          <w:rFonts w:ascii="Garamond" w:hAnsi="Garamond"/>
          <w:szCs w:val="20"/>
        </w:rPr>
        <w:t xml:space="preserve"> </w:t>
      </w:r>
      <w:r w:rsidR="009268F5">
        <w:rPr>
          <w:rFonts w:ascii="Garamond" w:hAnsi="Garamond"/>
          <w:szCs w:val="20"/>
        </w:rPr>
        <w:t>are</w:t>
      </w:r>
      <w:r w:rsidR="001306D8" w:rsidRPr="001306D8">
        <w:rPr>
          <w:rFonts w:ascii="Garamond" w:hAnsi="Garamond"/>
          <w:szCs w:val="20"/>
        </w:rPr>
        <w:t xml:space="preserve"> missing</w:t>
      </w:r>
      <w:r w:rsidR="00C202A0">
        <w:rPr>
          <w:rFonts w:ascii="Garamond" w:hAnsi="Garamond"/>
          <w:szCs w:val="20"/>
        </w:rPr>
        <w:t xml:space="preserve"> within areas of the forest</w:t>
      </w:r>
      <w:r w:rsidR="009268F5">
        <w:rPr>
          <w:rFonts w:ascii="Garamond" w:hAnsi="Garamond"/>
          <w:szCs w:val="20"/>
        </w:rPr>
        <w:t>,</w:t>
      </w:r>
      <w:r w:rsidR="001306D8" w:rsidRPr="001306D8">
        <w:rPr>
          <w:rFonts w:ascii="Garamond" w:hAnsi="Garamond"/>
          <w:szCs w:val="20"/>
        </w:rPr>
        <w:t xml:space="preserve"> these factors can run unchecked</w:t>
      </w:r>
      <w:r w:rsidR="00C202A0">
        <w:rPr>
          <w:rFonts w:ascii="Garamond" w:hAnsi="Garamond"/>
          <w:szCs w:val="20"/>
        </w:rPr>
        <w:t xml:space="preserve"> and targeted restoration will be necessary</w:t>
      </w:r>
      <w:r w:rsidR="001306D8" w:rsidRPr="001306D8">
        <w:rPr>
          <w:rFonts w:ascii="Garamond" w:hAnsi="Garamond"/>
          <w:szCs w:val="20"/>
        </w:rPr>
        <w:t xml:space="preserve">. These concerns are the chief </w:t>
      </w:r>
      <w:r w:rsidR="00C202A0">
        <w:rPr>
          <w:rFonts w:ascii="Garamond" w:hAnsi="Garamond"/>
          <w:szCs w:val="20"/>
        </w:rPr>
        <w:t>motivation</w:t>
      </w:r>
      <w:r w:rsidR="001306D8" w:rsidRPr="001306D8">
        <w:rPr>
          <w:rFonts w:ascii="Garamond" w:hAnsi="Garamond"/>
          <w:szCs w:val="20"/>
        </w:rPr>
        <w:t xml:space="preserve"> for</w:t>
      </w:r>
      <w:r w:rsidR="00E55DC5">
        <w:rPr>
          <w:rFonts w:ascii="Garamond" w:hAnsi="Garamond"/>
          <w:szCs w:val="20"/>
        </w:rPr>
        <w:t xml:space="preserve"> </w:t>
      </w:r>
      <w:r w:rsidR="009268F5">
        <w:rPr>
          <w:rFonts w:ascii="Garamond" w:hAnsi="Garamond"/>
          <w:szCs w:val="20"/>
        </w:rPr>
        <w:t>delineating between pine stands and other forest types on a landscape level</w:t>
      </w:r>
      <w:r w:rsidR="001306D8" w:rsidRPr="001306D8">
        <w:rPr>
          <w:rFonts w:ascii="Garamond" w:hAnsi="Garamond"/>
          <w:szCs w:val="20"/>
        </w:rPr>
        <w:t xml:space="preserve"> through</w:t>
      </w:r>
      <w:r w:rsidR="009268F5">
        <w:rPr>
          <w:rFonts w:ascii="Garamond" w:hAnsi="Garamond"/>
          <w:szCs w:val="20"/>
        </w:rPr>
        <w:t>out</w:t>
      </w:r>
      <w:r w:rsidR="001306D8" w:rsidRPr="001306D8">
        <w:rPr>
          <w:rFonts w:ascii="Garamond" w:hAnsi="Garamond"/>
          <w:szCs w:val="20"/>
        </w:rPr>
        <w:t xml:space="preserve"> the forest.</w:t>
      </w:r>
      <w:r w:rsidR="001306D8" w:rsidRPr="001306D8">
        <w:rPr>
          <w:szCs w:val="20"/>
        </w:rPr>
        <w:t xml:space="preserve"> </w:t>
      </w:r>
    </w:p>
    <w:p w14:paraId="6B794CB9" w14:textId="77777777" w:rsidR="00353F4B" w:rsidRPr="00EC3694" w:rsidRDefault="00353F4B" w:rsidP="008B3821">
      <w:pPr>
        <w:rPr>
          <w:b/>
          <w:sz w:val="20"/>
          <w:szCs w:val="20"/>
        </w:rPr>
      </w:pPr>
    </w:p>
    <w:p w14:paraId="14F3574F" w14:textId="7B5086C1" w:rsidR="008B3821" w:rsidRPr="00EC3694" w:rsidRDefault="008B3821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862060" w:rsidRPr="00547747">
        <w:rPr>
          <w:rFonts w:ascii="Garamond" w:hAnsi="Garamond"/>
          <w:szCs w:val="20"/>
        </w:rPr>
        <w:t xml:space="preserve">In </w:t>
      </w:r>
      <w:r w:rsidR="00314539">
        <w:rPr>
          <w:rFonts w:ascii="Garamond" w:hAnsi="Garamond"/>
          <w:szCs w:val="20"/>
        </w:rPr>
        <w:t xml:space="preserve">initial </w:t>
      </w:r>
      <w:r w:rsidR="00862060" w:rsidRPr="00547747">
        <w:rPr>
          <w:rFonts w:ascii="Garamond" w:hAnsi="Garamond"/>
          <w:szCs w:val="20"/>
        </w:rPr>
        <w:t xml:space="preserve">contact with the </w:t>
      </w:r>
      <w:r w:rsidR="009268F5">
        <w:rPr>
          <w:rFonts w:ascii="Garamond" w:hAnsi="Garamond"/>
          <w:szCs w:val="20"/>
        </w:rPr>
        <w:t xml:space="preserve">US Forest Service </w:t>
      </w:r>
      <w:r w:rsidR="00862060" w:rsidRPr="00547747">
        <w:rPr>
          <w:rFonts w:ascii="Garamond" w:hAnsi="Garamond"/>
          <w:szCs w:val="20"/>
        </w:rPr>
        <w:t>Mark Twain National Forest (</w:t>
      </w:r>
      <w:r w:rsidR="009268F5">
        <w:rPr>
          <w:rFonts w:ascii="Garamond" w:hAnsi="Garamond"/>
          <w:szCs w:val="20"/>
        </w:rPr>
        <w:t xml:space="preserve">USFS </w:t>
      </w:r>
      <w:r w:rsidR="00862060" w:rsidRPr="00547747">
        <w:rPr>
          <w:rFonts w:ascii="Garamond" w:hAnsi="Garamond"/>
          <w:szCs w:val="20"/>
        </w:rPr>
        <w:t xml:space="preserve">MTNF), this project was identified as a </w:t>
      </w:r>
      <w:r w:rsidR="009268F5">
        <w:rPr>
          <w:rFonts w:ascii="Garamond" w:hAnsi="Garamond"/>
          <w:szCs w:val="20"/>
        </w:rPr>
        <w:t>priority</w:t>
      </w:r>
      <w:r w:rsidR="00862060" w:rsidRPr="00547747">
        <w:rPr>
          <w:rFonts w:ascii="Garamond" w:hAnsi="Garamond"/>
          <w:szCs w:val="20"/>
        </w:rPr>
        <w:t xml:space="preserve"> by Kevin Godsey</w:t>
      </w:r>
      <w:r w:rsidR="009268F5">
        <w:rPr>
          <w:rFonts w:ascii="Garamond" w:hAnsi="Garamond"/>
          <w:szCs w:val="20"/>
        </w:rPr>
        <w:t>, a soil scientist working in the MTNF</w:t>
      </w:r>
      <w:r w:rsidR="00862060" w:rsidRPr="00547747">
        <w:rPr>
          <w:rFonts w:ascii="Garamond" w:hAnsi="Garamond"/>
          <w:szCs w:val="20"/>
        </w:rPr>
        <w:t xml:space="preserve">. </w:t>
      </w:r>
      <w:r w:rsidR="00627C36">
        <w:rPr>
          <w:rFonts w:ascii="Garamond" w:hAnsi="Garamond"/>
          <w:szCs w:val="20"/>
        </w:rPr>
        <w:t xml:space="preserve">An increase in observed poor soil quality and </w:t>
      </w:r>
      <w:r w:rsidR="00FE4B3B">
        <w:rPr>
          <w:rFonts w:ascii="Garamond" w:hAnsi="Garamond"/>
          <w:szCs w:val="20"/>
        </w:rPr>
        <w:t xml:space="preserve">an </w:t>
      </w:r>
      <w:r w:rsidR="00627C36">
        <w:rPr>
          <w:rFonts w:ascii="Garamond" w:hAnsi="Garamond"/>
          <w:szCs w:val="20"/>
        </w:rPr>
        <w:t xml:space="preserve">invasion of new species motivated the </w:t>
      </w:r>
      <w:r w:rsidR="00FE4B3B">
        <w:rPr>
          <w:rFonts w:ascii="Garamond" w:hAnsi="Garamond"/>
          <w:szCs w:val="20"/>
        </w:rPr>
        <w:t xml:space="preserve">USFS </w:t>
      </w:r>
      <w:r w:rsidR="00627C36">
        <w:rPr>
          <w:rFonts w:ascii="Garamond" w:hAnsi="Garamond"/>
          <w:szCs w:val="20"/>
        </w:rPr>
        <w:t>MTNF to seek new avenues of restoration, and help f</w:t>
      </w:r>
      <w:r w:rsidR="00FE4B3B">
        <w:rPr>
          <w:rFonts w:ascii="Garamond" w:hAnsi="Garamond"/>
          <w:szCs w:val="20"/>
        </w:rPr>
        <w:t>ro</w:t>
      </w:r>
      <w:r w:rsidR="00627C36">
        <w:rPr>
          <w:rFonts w:ascii="Garamond" w:hAnsi="Garamond"/>
          <w:szCs w:val="20"/>
        </w:rPr>
        <w:t>m DEVELOP was requested by the partners to assist restoration planning.</w:t>
      </w:r>
      <w:r w:rsidR="00862060" w:rsidRPr="00547747">
        <w:rPr>
          <w:szCs w:val="20"/>
        </w:rPr>
        <w:t xml:space="preserve"> </w:t>
      </w:r>
    </w:p>
    <w:p w14:paraId="56693788" w14:textId="77777777" w:rsidR="008B3821" w:rsidRPr="00EC3694" w:rsidRDefault="008B3821" w:rsidP="00276572">
      <w:pPr>
        <w:rPr>
          <w:b/>
          <w:sz w:val="20"/>
          <w:szCs w:val="20"/>
        </w:rPr>
      </w:pPr>
    </w:p>
    <w:p w14:paraId="1D844156" w14:textId="799F9A8F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 Addressed:</w:t>
      </w:r>
      <w:r w:rsidRPr="00EC3694">
        <w:rPr>
          <w:sz w:val="20"/>
          <w:szCs w:val="20"/>
        </w:rPr>
        <w:t xml:space="preserve"> </w:t>
      </w:r>
      <w:r w:rsidR="00862060">
        <w:rPr>
          <w:rFonts w:ascii="Garamond" w:hAnsi="Garamond"/>
        </w:rPr>
        <w:t>Ecological Forecasting</w:t>
      </w:r>
    </w:p>
    <w:p w14:paraId="75CB4D6A" w14:textId="2C4B63EA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862060" w:rsidRPr="00A66AE9">
        <w:rPr>
          <w:rFonts w:ascii="Garamond" w:hAnsi="Garamond"/>
          <w:szCs w:val="20"/>
        </w:rPr>
        <w:t>Mark Twain National Forest, MO</w:t>
      </w:r>
    </w:p>
    <w:p w14:paraId="074579FF" w14:textId="7F208E8C" w:rsidR="002F0CBB" w:rsidRPr="002F0CBB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2F0CBB" w:rsidRPr="002F0CBB">
        <w:rPr>
          <w:rFonts w:ascii="Garamond" w:hAnsi="Garamond"/>
          <w:szCs w:val="20"/>
        </w:rPr>
        <w:t>1986-2020 (October – March); Forecasting to 2040</w:t>
      </w:r>
    </w:p>
    <w:p w14:paraId="462EE0EA" w14:textId="77777777" w:rsidR="00276572" w:rsidRPr="00EC3694" w:rsidRDefault="00276572" w:rsidP="00276572">
      <w:pPr>
        <w:rPr>
          <w:b/>
          <w:sz w:val="20"/>
          <w:szCs w:val="20"/>
        </w:rPr>
      </w:pPr>
    </w:p>
    <w:p w14:paraId="0F77539E" w14:textId="50E847DD" w:rsidR="00276572" w:rsidRPr="00EC3694" w:rsidRDefault="00276572" w:rsidP="00276572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Advisor:</w:t>
      </w:r>
      <w:r w:rsidRPr="00EC3694">
        <w:rPr>
          <w:sz w:val="20"/>
          <w:szCs w:val="20"/>
        </w:rPr>
        <w:t xml:space="preserve"> </w:t>
      </w:r>
      <w:r w:rsidR="00821DF3">
        <w:rPr>
          <w:rFonts w:ascii="Garamond" w:hAnsi="Garamond"/>
          <w:szCs w:val="20"/>
        </w:rPr>
        <w:t xml:space="preserve">Keith Weber (Idaho State University, GIS </w:t>
      </w:r>
      <w:proofErr w:type="spellStart"/>
      <w:r w:rsidR="00821DF3">
        <w:rPr>
          <w:rFonts w:ascii="Garamond" w:hAnsi="Garamond"/>
          <w:szCs w:val="20"/>
        </w:rPr>
        <w:t>TReC</w:t>
      </w:r>
      <w:proofErr w:type="spellEnd"/>
      <w:r w:rsidR="00821DF3">
        <w:rPr>
          <w:rFonts w:ascii="Garamond" w:hAnsi="Garamond"/>
          <w:szCs w:val="20"/>
        </w:rPr>
        <w:t>)</w:t>
      </w:r>
    </w:p>
    <w:p w14:paraId="6FCF895F" w14:textId="77777777" w:rsidR="00272CD9" w:rsidRPr="00EC3694" w:rsidRDefault="00272CD9" w:rsidP="00D12F5B">
      <w:pPr>
        <w:rPr>
          <w:b/>
          <w:sz w:val="20"/>
          <w:szCs w:val="20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5CAA0329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EC3694" w14:paraId="4EEA7B0E" w14:textId="77777777" w:rsidTr="0073702A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0073702A">
        <w:tc>
          <w:tcPr>
            <w:tcW w:w="3263" w:type="dxa"/>
          </w:tcPr>
          <w:p w14:paraId="147FACB8" w14:textId="68CEEC4B" w:rsidR="006804AC" w:rsidRPr="008A4B10" w:rsidRDefault="004519BB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USDA, US Forest Service, </w:t>
            </w:r>
            <w:r w:rsidR="001A4E78">
              <w:rPr>
                <w:rFonts w:ascii="Garamond" w:hAnsi="Garamond"/>
                <w:b/>
              </w:rPr>
              <w:t>Mark Twain National Forest</w:t>
            </w:r>
          </w:p>
        </w:tc>
        <w:tc>
          <w:tcPr>
            <w:tcW w:w="3510" w:type="dxa"/>
          </w:tcPr>
          <w:p w14:paraId="0111C027" w14:textId="7AF946D3" w:rsidR="00B93E81" w:rsidRPr="00EC3694" w:rsidRDefault="001A4E78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Kevin Godsey, Soil Scientist</w:t>
            </w:r>
            <w:r w:rsidR="004519BB">
              <w:rPr>
                <w:rFonts w:ascii="Garamond" w:hAnsi="Garamond"/>
              </w:rPr>
              <w:t xml:space="preserve">; </w:t>
            </w:r>
            <w:r w:rsidR="00B93E81">
              <w:rPr>
                <w:rFonts w:ascii="Garamond" w:hAnsi="Garamond"/>
              </w:rPr>
              <w:t>Kyle Steele, Forest Ecologist</w:t>
            </w:r>
          </w:p>
        </w:tc>
        <w:tc>
          <w:tcPr>
            <w:tcW w:w="1620" w:type="dxa"/>
          </w:tcPr>
          <w:p w14:paraId="21053937" w14:textId="08B51748" w:rsidR="006804AC" w:rsidRPr="00EC3694" w:rsidRDefault="0086051E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="009E4CFF" w:rsidRPr="00EC3694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3D6263CD" w:rsidR="006804AC" w:rsidRPr="00EC3694" w:rsidRDefault="001A4E78" w:rsidP="00C82C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636983" w:rsidRPr="00EC3694" w14:paraId="1BBA8711" w14:textId="77777777" w:rsidTr="0073702A">
        <w:tc>
          <w:tcPr>
            <w:tcW w:w="3263" w:type="dxa"/>
          </w:tcPr>
          <w:p w14:paraId="66C545F0" w14:textId="79828029" w:rsidR="00636983" w:rsidRDefault="00636983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USDA, US Forest Service, Geospatial Technology and Applications Center</w:t>
            </w:r>
          </w:p>
        </w:tc>
        <w:tc>
          <w:tcPr>
            <w:tcW w:w="3510" w:type="dxa"/>
          </w:tcPr>
          <w:p w14:paraId="3918E579" w14:textId="55E8C14B" w:rsidR="00636983" w:rsidRDefault="00636983" w:rsidP="004519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Nick Klein-Baer, </w:t>
            </w:r>
            <w:r w:rsidR="0042353D">
              <w:rPr>
                <w:rFonts w:ascii="Garamond" w:hAnsi="Garamond"/>
              </w:rPr>
              <w:t>Remote Sensing Analyst</w:t>
            </w:r>
          </w:p>
        </w:tc>
        <w:tc>
          <w:tcPr>
            <w:tcW w:w="1620" w:type="dxa"/>
          </w:tcPr>
          <w:p w14:paraId="0B283245" w14:textId="4E22E2AF" w:rsidR="00636983" w:rsidRDefault="0042353D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201D3658" w14:textId="7B7E02C6" w:rsidR="00636983" w:rsidRDefault="0042353D" w:rsidP="00C82C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1DCEEA40" w14:textId="77777777" w:rsidR="00AC4DE3" w:rsidRPr="00EC3694" w:rsidRDefault="00AC4DE3" w:rsidP="00CD0433">
      <w:pPr>
        <w:rPr>
          <w:sz w:val="20"/>
          <w:szCs w:val="20"/>
        </w:rPr>
      </w:pPr>
    </w:p>
    <w:p w14:paraId="375999FE" w14:textId="62D14A9F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lastRenderedPageBreak/>
        <w:t>End-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03757E84" w14:textId="24B07411" w:rsidR="00CD0433" w:rsidRPr="00FE4B3B" w:rsidRDefault="00544C88" w:rsidP="00CD0433">
      <w:pPr>
        <w:rPr>
          <w:rFonts w:ascii="Garamond" w:hAnsi="Garamond"/>
          <w:color w:val="000000" w:themeColor="text1"/>
        </w:rPr>
      </w:pPr>
      <w:r w:rsidRPr="00614CA7">
        <w:rPr>
          <w:b/>
          <w:i/>
          <w:sz w:val="20"/>
          <w:szCs w:val="20"/>
        </w:rPr>
        <w:t xml:space="preserve">End </w:t>
      </w:r>
      <w:r w:rsidR="007A7268" w:rsidRPr="00614CA7">
        <w:rPr>
          <w:b/>
          <w:i/>
          <w:sz w:val="20"/>
          <w:szCs w:val="20"/>
        </w:rPr>
        <w:t>User</w:t>
      </w:r>
      <w:r w:rsidR="00DC6974" w:rsidRPr="00614CA7">
        <w:rPr>
          <w:b/>
          <w:i/>
          <w:sz w:val="20"/>
          <w:szCs w:val="20"/>
        </w:rPr>
        <w:t>’s</w:t>
      </w:r>
      <w:r w:rsidR="007A7268" w:rsidRPr="00614CA7">
        <w:rPr>
          <w:b/>
          <w:i/>
          <w:sz w:val="20"/>
          <w:szCs w:val="20"/>
        </w:rPr>
        <w:t xml:space="preserve"> </w:t>
      </w:r>
      <w:r w:rsidR="002E2D9E" w:rsidRPr="00614CA7">
        <w:rPr>
          <w:b/>
          <w:i/>
          <w:sz w:val="20"/>
          <w:szCs w:val="20"/>
        </w:rPr>
        <w:t xml:space="preserve">Current </w:t>
      </w:r>
      <w:r w:rsidR="00F52113" w:rsidRPr="00614CA7">
        <w:rPr>
          <w:b/>
          <w:i/>
          <w:sz w:val="20"/>
          <w:szCs w:val="20"/>
        </w:rPr>
        <w:t>Decision-</w:t>
      </w:r>
      <w:r w:rsidR="00CD0433" w:rsidRPr="00614CA7">
        <w:rPr>
          <w:b/>
          <w:i/>
          <w:sz w:val="20"/>
          <w:szCs w:val="20"/>
        </w:rPr>
        <w:t>Making Process:</w:t>
      </w:r>
      <w:r w:rsidR="00614CA7" w:rsidRPr="00614CA7">
        <w:rPr>
          <w:rFonts w:ascii="Garamond" w:hAnsi="Garamond"/>
          <w:color w:val="000000" w:themeColor="text1"/>
        </w:rPr>
        <w:t xml:space="preserve"> The </w:t>
      </w:r>
      <w:r w:rsidR="00FE4B3B">
        <w:rPr>
          <w:rFonts w:ascii="Garamond" w:hAnsi="Garamond"/>
          <w:color w:val="000000" w:themeColor="text1"/>
        </w:rPr>
        <w:t xml:space="preserve">USFS </w:t>
      </w:r>
      <w:r w:rsidR="00614CA7" w:rsidRPr="00614CA7">
        <w:rPr>
          <w:rFonts w:ascii="Garamond" w:hAnsi="Garamond"/>
          <w:color w:val="000000" w:themeColor="text1"/>
        </w:rPr>
        <w:t>MTNF has not yet completed a forest</w:t>
      </w:r>
      <w:r w:rsidR="00030DCE">
        <w:rPr>
          <w:rFonts w:ascii="Garamond" w:hAnsi="Garamond"/>
          <w:color w:val="000000" w:themeColor="text1"/>
        </w:rPr>
        <w:t>-</w:t>
      </w:r>
      <w:r w:rsidR="00614CA7" w:rsidRPr="00614CA7">
        <w:rPr>
          <w:rFonts w:ascii="Garamond" w:hAnsi="Garamond"/>
          <w:color w:val="000000" w:themeColor="text1"/>
        </w:rPr>
        <w:t xml:space="preserve">wide inventory of glade ecological sites in the national forest. Management decisions in the forest are determined on a case-by-case basis, taking </w:t>
      </w:r>
      <w:r w:rsidR="007419D1">
        <w:rPr>
          <w:rFonts w:ascii="Garamond" w:hAnsi="Garamond"/>
          <w:color w:val="000000" w:themeColor="text1"/>
        </w:rPr>
        <w:t xml:space="preserve">additional </w:t>
      </w:r>
      <w:r w:rsidR="00614CA7" w:rsidRPr="00614CA7">
        <w:rPr>
          <w:rFonts w:ascii="Garamond" w:hAnsi="Garamond"/>
          <w:color w:val="000000" w:themeColor="text1"/>
        </w:rPr>
        <w:t xml:space="preserve">time and resources. Beyond manual field inventories completed by foresters and aerial photography review, no remote sensing of </w:t>
      </w:r>
      <w:r w:rsidR="00627C36">
        <w:rPr>
          <w:rFonts w:ascii="Garamond" w:hAnsi="Garamond"/>
          <w:color w:val="000000" w:themeColor="text1"/>
        </w:rPr>
        <w:t xml:space="preserve">the forest </w:t>
      </w:r>
      <w:r w:rsidR="00614CA7" w:rsidRPr="00614CA7">
        <w:rPr>
          <w:rFonts w:ascii="Garamond" w:hAnsi="Garamond"/>
          <w:color w:val="000000" w:themeColor="text1"/>
        </w:rPr>
        <w:t>has been attempted.</w:t>
      </w:r>
      <w:r w:rsidR="00614CA7">
        <w:rPr>
          <w:rFonts w:ascii="Garamond" w:hAnsi="Garamond"/>
          <w:color w:val="000000" w:themeColor="text1"/>
        </w:rPr>
        <w:t xml:space="preserve"> </w:t>
      </w:r>
    </w:p>
    <w:p w14:paraId="4D834E3E" w14:textId="77777777" w:rsidR="002E2D9E" w:rsidRPr="00EC3694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415D7485" w14:textId="2E8FB322" w:rsidR="002E2D9E" w:rsidRPr="00EC3694" w:rsidRDefault="00544C88" w:rsidP="002E2D9E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End 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284810B2" w14:textId="670D29F8" w:rsidR="00A66AE9" w:rsidRDefault="004519BB" w:rsidP="00C72F1A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 xml:space="preserve">USDA, US Forest Service, </w:t>
      </w:r>
      <w:r w:rsidR="00627A47">
        <w:rPr>
          <w:rFonts w:ascii="Garamond" w:hAnsi="Garamond"/>
          <w:i/>
        </w:rPr>
        <w:t>Mark Twain National Forest</w:t>
      </w:r>
      <w:r w:rsidR="002E2D9E" w:rsidRPr="00EC3694">
        <w:rPr>
          <w:rFonts w:ascii="Garamond" w:hAnsi="Garamond"/>
        </w:rPr>
        <w:t xml:space="preserve"> –</w:t>
      </w:r>
      <w:r w:rsidR="00627A47">
        <w:rPr>
          <w:rFonts w:ascii="Garamond" w:hAnsi="Garamond"/>
        </w:rPr>
        <w:t xml:space="preserve"> Employees </w:t>
      </w:r>
      <w:r w:rsidR="00AC4DE3">
        <w:rPr>
          <w:rFonts w:ascii="Garamond" w:hAnsi="Garamond"/>
        </w:rPr>
        <w:t>at this organization</w:t>
      </w:r>
      <w:r w:rsidR="00627A47">
        <w:rPr>
          <w:rFonts w:ascii="Garamond" w:hAnsi="Garamond"/>
        </w:rPr>
        <w:t xml:space="preserve"> are moderately </w:t>
      </w:r>
      <w:r w:rsidR="00807B4D">
        <w:rPr>
          <w:rFonts w:ascii="Garamond" w:hAnsi="Garamond"/>
        </w:rPr>
        <w:t>familiar with GIS. This partner uses GIS</w:t>
      </w:r>
      <w:r w:rsidR="00F24D3B">
        <w:rPr>
          <w:rFonts w:ascii="Garamond" w:hAnsi="Garamond"/>
        </w:rPr>
        <w:t xml:space="preserve"> </w:t>
      </w:r>
      <w:r w:rsidR="00807B4D">
        <w:rPr>
          <w:rFonts w:ascii="Garamond" w:hAnsi="Garamond"/>
        </w:rPr>
        <w:t xml:space="preserve">in a nominal capacity for decision making but has no specific focus on using NASA </w:t>
      </w:r>
      <w:r w:rsidR="00AC4DE3">
        <w:rPr>
          <w:rFonts w:ascii="Garamond" w:hAnsi="Garamond"/>
        </w:rPr>
        <w:t>Earth observations</w:t>
      </w:r>
      <w:r w:rsidR="00807B4D">
        <w:rPr>
          <w:rFonts w:ascii="Garamond" w:hAnsi="Garamond"/>
        </w:rPr>
        <w:t xml:space="preserve"> or remote sensing.</w:t>
      </w:r>
      <w:r w:rsidR="002E2D9E" w:rsidRPr="00EC3694">
        <w:rPr>
          <w:rFonts w:ascii="Garamond" w:hAnsi="Garamond"/>
        </w:rPr>
        <w:t xml:space="preserve"> </w:t>
      </w:r>
    </w:p>
    <w:p w14:paraId="7F100926" w14:textId="253BF2E3" w:rsidR="00F26E95" w:rsidRDefault="00F26E95" w:rsidP="00C72F1A">
      <w:pPr>
        <w:ind w:left="720" w:hanging="720"/>
        <w:rPr>
          <w:rFonts w:ascii="Garamond" w:hAnsi="Garamond"/>
        </w:rPr>
      </w:pPr>
    </w:p>
    <w:p w14:paraId="7AA33774" w14:textId="77777777" w:rsidR="00F26E95" w:rsidRPr="00EC3694" w:rsidRDefault="00F26E95" w:rsidP="00F26E95">
      <w:pPr>
        <w:ind w:left="720" w:hanging="720"/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Collaborator &amp; Boundary Organization Overview</w:t>
      </w:r>
    </w:p>
    <w:p w14:paraId="46FF00D8" w14:textId="5BD83527" w:rsidR="006E1C6C" w:rsidRPr="00025987" w:rsidRDefault="00F26E95" w:rsidP="00025987">
      <w:pPr>
        <w:ind w:left="720" w:hanging="720"/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Collaborator Support:</w:t>
      </w:r>
    </w:p>
    <w:p w14:paraId="0E531FA1" w14:textId="206186DF" w:rsidR="00FF0A9A" w:rsidRDefault="00FF0A9A" w:rsidP="00C057E9">
      <w:pPr>
        <w:ind w:left="720" w:hanging="720"/>
        <w:rPr>
          <w:rFonts w:ascii="Garamond" w:hAnsi="Garamond"/>
          <w:iCs/>
        </w:rPr>
      </w:pPr>
      <w:r w:rsidRPr="00FF0A9A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 xml:space="preserve">USDA, US Forest Service, Geospatial Technology and Applications Center </w:t>
      </w:r>
      <w:r>
        <w:rPr>
          <w:rFonts w:ascii="Garamond" w:hAnsi="Garamond"/>
          <w:iCs/>
        </w:rPr>
        <w:t xml:space="preserve">– Partners at this agency </w:t>
      </w:r>
      <w:r w:rsidR="00A23FF8">
        <w:rPr>
          <w:rFonts w:ascii="Garamond" w:hAnsi="Garamond"/>
          <w:iCs/>
        </w:rPr>
        <w:t xml:space="preserve">will </w:t>
      </w:r>
      <w:r>
        <w:rPr>
          <w:rFonts w:ascii="Garamond" w:hAnsi="Garamond"/>
          <w:iCs/>
        </w:rPr>
        <w:t>provide</w:t>
      </w:r>
      <w:r w:rsidR="00025987">
        <w:rPr>
          <w:rFonts w:ascii="Garamond" w:hAnsi="Garamond"/>
          <w:iCs/>
        </w:rPr>
        <w:t xml:space="preserve"> the team with</w:t>
      </w:r>
      <w:r>
        <w:rPr>
          <w:rFonts w:ascii="Garamond" w:hAnsi="Garamond"/>
          <w:iCs/>
        </w:rPr>
        <w:t xml:space="preserve"> data and geospatial research for the MTNF. This organization focuses on </w:t>
      </w:r>
      <w:r w:rsidR="00030DCE">
        <w:rPr>
          <w:rFonts w:ascii="Garamond" w:hAnsi="Garamond"/>
          <w:iCs/>
        </w:rPr>
        <w:t xml:space="preserve">the </w:t>
      </w:r>
      <w:r>
        <w:rPr>
          <w:rFonts w:ascii="Garamond" w:hAnsi="Garamond"/>
          <w:iCs/>
        </w:rPr>
        <w:t>use of remote sensing to solve spatial problems in the MTNF and has strong experience with NASA Earth Observations.</w:t>
      </w:r>
      <w:r w:rsidR="00025987">
        <w:rPr>
          <w:rFonts w:ascii="Garamond" w:hAnsi="Garamond"/>
          <w:iCs/>
        </w:rPr>
        <w:t xml:space="preserve"> They will use this expertise to provide feedback to the team on methodology and end products.</w:t>
      </w:r>
    </w:p>
    <w:p w14:paraId="1242BC45" w14:textId="5B4E857D" w:rsidR="00C057E9" w:rsidRPr="00FF0A9A" w:rsidRDefault="00C057E9" w:rsidP="00FE4B3B">
      <w:pPr>
        <w:rPr>
          <w:iCs/>
          <w:sz w:val="20"/>
          <w:szCs w:val="20"/>
        </w:rPr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3BA9D5A1" w14:textId="2548060B" w:rsidR="00C057E9" w:rsidRDefault="000F76DA" w:rsidP="00C72F1A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62252E" w:rsidRPr="00547747">
        <w:rPr>
          <w:rFonts w:ascii="Garamond" w:hAnsi="Garamond"/>
          <w:szCs w:val="20"/>
        </w:rPr>
        <w:t>The Idaho NASA DEVELOP team will meet with partners biweekly</w:t>
      </w:r>
      <w:r w:rsidR="00F24D3B">
        <w:rPr>
          <w:rFonts w:ascii="Garamond" w:hAnsi="Garamond"/>
          <w:szCs w:val="20"/>
        </w:rPr>
        <w:t xml:space="preserve"> </w:t>
      </w:r>
      <w:r w:rsidR="005E6FDF">
        <w:rPr>
          <w:rFonts w:ascii="Garamond" w:hAnsi="Garamond"/>
          <w:szCs w:val="20"/>
        </w:rPr>
        <w:t>to give</w:t>
      </w:r>
      <w:r w:rsidR="00F24D3B">
        <w:rPr>
          <w:rFonts w:ascii="Garamond" w:hAnsi="Garamond"/>
          <w:szCs w:val="20"/>
        </w:rPr>
        <w:t xml:space="preserve"> </w:t>
      </w:r>
      <w:r w:rsidR="005E6FDF">
        <w:rPr>
          <w:rFonts w:ascii="Garamond" w:hAnsi="Garamond"/>
          <w:szCs w:val="20"/>
        </w:rPr>
        <w:t>progress updates and to ask questions about specific project elements</w:t>
      </w:r>
      <w:r w:rsidR="0062252E" w:rsidRPr="00547747">
        <w:rPr>
          <w:rFonts w:ascii="Garamond" w:hAnsi="Garamond"/>
          <w:szCs w:val="20"/>
        </w:rPr>
        <w:t>. Email communication will be open between the team and partners throughout the term.</w:t>
      </w:r>
      <w:r w:rsidR="0062252E" w:rsidRPr="00547747">
        <w:rPr>
          <w:szCs w:val="20"/>
        </w:rPr>
        <w:t xml:space="preserve"> </w:t>
      </w:r>
    </w:p>
    <w:p w14:paraId="7D7547C5" w14:textId="77777777" w:rsidR="00C057E9" w:rsidRDefault="00C057E9" w:rsidP="00C72F1A">
      <w:pPr>
        <w:rPr>
          <w:sz w:val="20"/>
          <w:szCs w:val="20"/>
        </w:rPr>
      </w:pPr>
    </w:p>
    <w:p w14:paraId="174F38F2" w14:textId="5E45AE72" w:rsidR="00C057E9" w:rsidRDefault="00C057E9" w:rsidP="00C72F1A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A35ACF" w:rsidRPr="00547747">
        <w:rPr>
          <w:rFonts w:ascii="Garamond" w:hAnsi="Garamond"/>
          <w:szCs w:val="20"/>
        </w:rPr>
        <w:t xml:space="preserve">The Idaho DEVELOP team will hold a virtual handoff at the end of the term. This will include a presentation of findings as well as a handoff of classification maps and a reproducible ArcGIS Model-builder </w:t>
      </w:r>
      <w:r w:rsidR="004519BB">
        <w:rPr>
          <w:rFonts w:ascii="Garamond" w:hAnsi="Garamond"/>
          <w:szCs w:val="20"/>
        </w:rPr>
        <w:t>m</w:t>
      </w:r>
      <w:r w:rsidR="00A35ACF" w:rsidRPr="00547747">
        <w:rPr>
          <w:rFonts w:ascii="Garamond" w:hAnsi="Garamond"/>
          <w:szCs w:val="20"/>
        </w:rPr>
        <w:t xml:space="preserve">odel so that the </w:t>
      </w:r>
      <w:r w:rsidR="00AC4DE3">
        <w:rPr>
          <w:rFonts w:ascii="Garamond" w:hAnsi="Garamond"/>
          <w:szCs w:val="20"/>
        </w:rPr>
        <w:t xml:space="preserve">USFS </w:t>
      </w:r>
      <w:r w:rsidR="00A35ACF" w:rsidRPr="00547747">
        <w:rPr>
          <w:rFonts w:ascii="Garamond" w:hAnsi="Garamond"/>
          <w:szCs w:val="20"/>
        </w:rPr>
        <w:t xml:space="preserve">MTNF can </w:t>
      </w:r>
      <w:r w:rsidR="00F24D3B">
        <w:rPr>
          <w:rFonts w:ascii="Garamond" w:hAnsi="Garamond"/>
          <w:szCs w:val="20"/>
        </w:rPr>
        <w:t>implement</w:t>
      </w:r>
      <w:r w:rsidR="00A35ACF" w:rsidRPr="00547747">
        <w:rPr>
          <w:rFonts w:ascii="Garamond" w:hAnsi="Garamond"/>
          <w:szCs w:val="20"/>
        </w:rPr>
        <w:t xml:space="preserve"> this</w:t>
      </w:r>
      <w:r w:rsidR="00F24D3B">
        <w:rPr>
          <w:rFonts w:ascii="Garamond" w:hAnsi="Garamond"/>
          <w:szCs w:val="20"/>
        </w:rPr>
        <w:t xml:space="preserve"> process</w:t>
      </w:r>
      <w:r w:rsidR="00A35ACF" w:rsidRPr="00547747">
        <w:rPr>
          <w:rFonts w:ascii="Garamond" w:hAnsi="Garamond"/>
          <w:szCs w:val="20"/>
        </w:rPr>
        <w:t xml:space="preserve"> at a later tim</w:t>
      </w:r>
      <w:r w:rsidR="00F24D3B">
        <w:rPr>
          <w:rFonts w:ascii="Garamond" w:hAnsi="Garamond"/>
          <w:szCs w:val="20"/>
        </w:rPr>
        <w:t>e if needed</w:t>
      </w:r>
      <w:r w:rsidR="00A35ACF" w:rsidRPr="00547747">
        <w:rPr>
          <w:rFonts w:ascii="Garamond" w:hAnsi="Garamond"/>
          <w:szCs w:val="20"/>
        </w:rPr>
        <w:t>.</w:t>
      </w:r>
      <w:r w:rsidR="00FB6C61" w:rsidRPr="00547747">
        <w:rPr>
          <w:rFonts w:ascii="Garamond" w:hAnsi="Garamond"/>
          <w:szCs w:val="20"/>
        </w:rPr>
        <w:t xml:space="preserve"> No code will </w:t>
      </w:r>
      <w:r w:rsidR="004519BB">
        <w:rPr>
          <w:rFonts w:ascii="Garamond" w:hAnsi="Garamond"/>
          <w:szCs w:val="20"/>
        </w:rPr>
        <w:t xml:space="preserve">be </w:t>
      </w:r>
      <w:r w:rsidR="00FB6C61" w:rsidRPr="00547747">
        <w:rPr>
          <w:rFonts w:ascii="Garamond" w:hAnsi="Garamond"/>
          <w:szCs w:val="20"/>
        </w:rPr>
        <w:t>generated so software release will not be required.</w:t>
      </w:r>
      <w:r w:rsidR="00A35ACF" w:rsidRPr="00547747">
        <w:rPr>
          <w:szCs w:val="20"/>
        </w:rPr>
        <w:t xml:space="preserve"> </w:t>
      </w:r>
    </w:p>
    <w:p w14:paraId="65AD80DB" w14:textId="63BF8D0C" w:rsidR="00CD0433" w:rsidRDefault="00CD0433" w:rsidP="00C72F1A">
      <w:pPr>
        <w:rPr>
          <w:sz w:val="20"/>
          <w:szCs w:val="20"/>
        </w:rPr>
      </w:pPr>
    </w:p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D0433" w14:paraId="1E59A37D" w14:textId="77777777" w:rsidTr="0073702A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454F35F9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5C6FC1" w14:paraId="68A574AE" w14:textId="77777777" w:rsidTr="0073702A">
        <w:tc>
          <w:tcPr>
            <w:tcW w:w="2347" w:type="dxa"/>
            <w:vAlign w:val="center"/>
          </w:tcPr>
          <w:p w14:paraId="6FE1A73B" w14:textId="2EE3B30E" w:rsidR="00B76BDC" w:rsidRPr="005C6FC1" w:rsidRDefault="0062252E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vAlign w:val="center"/>
          </w:tcPr>
          <w:p w14:paraId="3ED984CF" w14:textId="77777777" w:rsidR="00B76BDC" w:rsidRPr="005C6FC1" w:rsidRDefault="00D3192F" w:rsidP="009A492A">
            <w:pPr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t>Spectral vegetation indices</w:t>
            </w:r>
          </w:p>
        </w:tc>
        <w:tc>
          <w:tcPr>
            <w:tcW w:w="4597" w:type="dxa"/>
            <w:vAlign w:val="center"/>
          </w:tcPr>
          <w:p w14:paraId="39C8D523" w14:textId="0E7A4424" w:rsidR="00B76BDC" w:rsidRPr="005C6FC1" w:rsidRDefault="006324C0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satellite will be used to create vegetation indices </w:t>
            </w:r>
            <w:r w:rsidR="009B4B47">
              <w:rPr>
                <w:rFonts w:ascii="Garamond" w:hAnsi="Garamond"/>
              </w:rPr>
              <w:t xml:space="preserve">(NDVI, NDWI, etc.) </w:t>
            </w:r>
            <w:r>
              <w:rPr>
                <w:rFonts w:ascii="Garamond" w:hAnsi="Garamond"/>
              </w:rPr>
              <w:t xml:space="preserve">for the study period to spectrally separate </w:t>
            </w:r>
            <w:r w:rsidR="00025987">
              <w:rPr>
                <w:rFonts w:ascii="Garamond" w:hAnsi="Garamond"/>
              </w:rPr>
              <w:t>pine</w:t>
            </w:r>
            <w:r>
              <w:rPr>
                <w:rFonts w:ascii="Garamond" w:hAnsi="Garamond"/>
              </w:rPr>
              <w:t xml:space="preserve"> </w:t>
            </w:r>
            <w:r w:rsidR="00025987">
              <w:rPr>
                <w:rFonts w:ascii="Garamond" w:hAnsi="Garamond"/>
              </w:rPr>
              <w:t>stands</w:t>
            </w:r>
            <w:r>
              <w:rPr>
                <w:rFonts w:ascii="Garamond" w:hAnsi="Garamond"/>
              </w:rPr>
              <w:t xml:space="preserve"> from other </w:t>
            </w:r>
            <w:r w:rsidR="00025987">
              <w:rPr>
                <w:rFonts w:ascii="Garamond" w:hAnsi="Garamond"/>
              </w:rPr>
              <w:t>land cover types</w:t>
            </w:r>
            <w:r>
              <w:rPr>
                <w:rFonts w:ascii="Garamond" w:hAnsi="Garamond"/>
              </w:rPr>
              <w:t>.</w:t>
            </w:r>
          </w:p>
        </w:tc>
      </w:tr>
      <w:tr w:rsidR="00B76BDC" w:rsidRPr="005C6FC1" w14:paraId="3D3DFEA5" w14:textId="77777777" w:rsidTr="0073702A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5A229284" w:rsidR="00B76BDC" w:rsidRPr="005C6FC1" w:rsidRDefault="006324C0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60324D17" w:rsidR="00B76BDC" w:rsidRPr="005C6FC1" w:rsidRDefault="006324C0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Spectral vegetation indices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75FC3D27" w:rsidR="00B76BDC" w:rsidRPr="005C6FC1" w:rsidRDefault="00F24D3B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satellite will be used to create vegetation indices (NDVI, NDWI, etc.) for the study period to spectrally separate </w:t>
            </w:r>
            <w:r w:rsidR="00025987">
              <w:rPr>
                <w:rFonts w:ascii="Garamond" w:hAnsi="Garamond"/>
              </w:rPr>
              <w:t>pine stands from other land cover types</w:t>
            </w:r>
            <w:r>
              <w:rPr>
                <w:rFonts w:ascii="Garamond" w:hAnsi="Garamond"/>
              </w:rPr>
              <w:t>.</w:t>
            </w:r>
          </w:p>
        </w:tc>
      </w:tr>
      <w:tr w:rsidR="00B76BDC" w:rsidRPr="005C6FC1" w14:paraId="2173ADDF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7F82B577" w:rsidR="00B76BDC" w:rsidRPr="005C6FC1" w:rsidRDefault="006324C0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</w:t>
            </w:r>
            <w:r w:rsidR="004519BB">
              <w:rPr>
                <w:rFonts w:ascii="Garamond" w:hAnsi="Garamond"/>
                <w:b/>
                <w:bCs/>
              </w:rPr>
              <w:t>-</w:t>
            </w:r>
            <w:r>
              <w:rPr>
                <w:rFonts w:ascii="Garamond" w:hAnsi="Garamond"/>
                <w:b/>
                <w:bCs/>
              </w:rPr>
              <w:t>2</w:t>
            </w:r>
            <w:r w:rsidR="004519BB">
              <w:rPr>
                <w:rFonts w:ascii="Garamond" w:hAnsi="Garamond"/>
                <w:b/>
                <w:bCs/>
              </w:rPr>
              <w:t xml:space="preserve">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4EBCCA12" w:rsidR="00B76BDC" w:rsidRPr="005C6FC1" w:rsidRDefault="006324C0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Spectral vegetation indices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193531FE" w:rsidR="00B76BDC" w:rsidRPr="005C6FC1" w:rsidRDefault="006324C0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sensor will be used to generate </w:t>
            </w:r>
            <w:r w:rsidR="009B4B47">
              <w:rPr>
                <w:rFonts w:ascii="Garamond" w:hAnsi="Garamond"/>
              </w:rPr>
              <w:t>vegetation indice</w:t>
            </w:r>
            <w:r>
              <w:rPr>
                <w:rFonts w:ascii="Garamond" w:hAnsi="Garamond"/>
              </w:rPr>
              <w:t>s with a finer spatial resolution</w:t>
            </w:r>
            <w:r w:rsidR="009B4B47">
              <w:rPr>
                <w:rFonts w:ascii="Garamond" w:hAnsi="Garamond"/>
              </w:rPr>
              <w:t xml:space="preserve"> (15m) than Landsat</w:t>
            </w:r>
            <w:r>
              <w:rPr>
                <w:rFonts w:ascii="Garamond" w:hAnsi="Garamond"/>
              </w:rPr>
              <w:t>.</w:t>
            </w:r>
          </w:p>
        </w:tc>
      </w:tr>
      <w:tr w:rsidR="002F0CBB" w:rsidRPr="005C6FC1" w14:paraId="6A0DC3AD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F1463" w14:textId="77777777" w:rsidR="002F0CBB" w:rsidRDefault="002F0CBB" w:rsidP="009A492A">
            <w:pPr>
              <w:rPr>
                <w:rFonts w:ascii="Garamond" w:hAnsi="Garamond"/>
                <w:b/>
                <w:bCs/>
              </w:rPr>
            </w:pPr>
          </w:p>
          <w:p w14:paraId="29C7EE24" w14:textId="511C99CF" w:rsidR="002F0CBB" w:rsidRDefault="002F0CBB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SRTM</w:t>
            </w:r>
          </w:p>
          <w:p w14:paraId="001C5105" w14:textId="683DE6B0" w:rsidR="002F0CBB" w:rsidRDefault="002F0CBB" w:rsidP="009A492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CE40A" w14:textId="2A86FAB6" w:rsidR="002F0CBB" w:rsidRDefault="00C710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Topography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2874" w14:textId="51EBDF4F" w:rsidR="002F0CBB" w:rsidRDefault="002F0CBB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SRTM </w:t>
            </w:r>
            <w:r w:rsidR="004519BB">
              <w:rPr>
                <w:rFonts w:ascii="Garamond" w:hAnsi="Garamond"/>
              </w:rPr>
              <w:t xml:space="preserve">data </w:t>
            </w:r>
            <w:r>
              <w:rPr>
                <w:rFonts w:ascii="Garamond" w:hAnsi="Garamond"/>
              </w:rPr>
              <w:t>will be used to generate a DEM of the study area to calculate slope, aspect, etc.</w:t>
            </w:r>
          </w:p>
        </w:tc>
      </w:tr>
    </w:tbl>
    <w:p w14:paraId="6DE21442" w14:textId="77777777" w:rsidR="007A4F2A" w:rsidRPr="00CD0433" w:rsidRDefault="007A4F2A" w:rsidP="007A4F2A">
      <w:pPr>
        <w:rPr>
          <w:sz w:val="20"/>
          <w:szCs w:val="20"/>
        </w:rPr>
      </w:pPr>
    </w:p>
    <w:p w14:paraId="1530166C" w14:textId="39A1222D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70D8FD2E" w14:textId="6F7A79BD" w:rsidR="00D3192F" w:rsidRPr="00A1636F" w:rsidRDefault="006324C0" w:rsidP="00A1636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A1636F">
        <w:rPr>
          <w:rFonts w:ascii="Garamond" w:hAnsi="Garamond"/>
        </w:rPr>
        <w:t>USGS National Land Cover Dataset (NLCD) – Compare tree species types on a fine scale to classifications</w:t>
      </w:r>
    </w:p>
    <w:p w14:paraId="4F75C6A5" w14:textId="69B90F58" w:rsidR="00D3192F" w:rsidRPr="00A1636F" w:rsidRDefault="004519BB" w:rsidP="00A1636F">
      <w:pPr>
        <w:pStyle w:val="ListParagraph"/>
        <w:numPr>
          <w:ilvl w:val="0"/>
          <w:numId w:val="5"/>
        </w:numPr>
        <w:rPr>
          <w:rFonts w:ascii="Garamond" w:hAnsi="Garamond"/>
          <w:b/>
        </w:rPr>
      </w:pPr>
      <w:r w:rsidRPr="00A1636F">
        <w:rPr>
          <w:rFonts w:ascii="Garamond" w:hAnsi="Garamond"/>
        </w:rPr>
        <w:lastRenderedPageBreak/>
        <w:t>USDA National Agriculture Imagery Program (</w:t>
      </w:r>
      <w:r w:rsidR="00B046F8" w:rsidRPr="00A1636F">
        <w:rPr>
          <w:rFonts w:ascii="Garamond" w:hAnsi="Garamond"/>
        </w:rPr>
        <w:t>NAIP</w:t>
      </w:r>
      <w:r w:rsidRPr="00A1636F">
        <w:rPr>
          <w:rFonts w:ascii="Garamond" w:hAnsi="Garamond"/>
        </w:rPr>
        <w:t>)</w:t>
      </w:r>
      <w:r w:rsidR="00B046F8" w:rsidRPr="00A1636F">
        <w:rPr>
          <w:rFonts w:ascii="Garamond" w:hAnsi="Garamond"/>
        </w:rPr>
        <w:t xml:space="preserve"> Imagery</w:t>
      </w:r>
      <w:r w:rsidR="00752AC5" w:rsidRPr="00A1636F">
        <w:rPr>
          <w:rFonts w:ascii="Garamond" w:hAnsi="Garamond"/>
        </w:rPr>
        <w:t xml:space="preserve"> –</w:t>
      </w:r>
      <w:r w:rsidRPr="00A1636F">
        <w:rPr>
          <w:rFonts w:ascii="Garamond" w:hAnsi="Garamond"/>
        </w:rPr>
        <w:t>V</w:t>
      </w:r>
      <w:r w:rsidR="00B046F8" w:rsidRPr="00A1636F">
        <w:rPr>
          <w:rFonts w:ascii="Garamond" w:hAnsi="Garamond"/>
        </w:rPr>
        <w:t>alidate imagery selection on a very fine spatial resolution</w:t>
      </w:r>
      <w:r w:rsidR="00C7105F" w:rsidRPr="00A1636F">
        <w:rPr>
          <w:rFonts w:ascii="Garamond" w:hAnsi="Garamond"/>
        </w:rPr>
        <w:t xml:space="preserve"> (1m)</w:t>
      </w:r>
    </w:p>
    <w:p w14:paraId="7452885F" w14:textId="77777777" w:rsidR="00896D48" w:rsidRPr="00CD0433" w:rsidRDefault="00896D48" w:rsidP="00B76BDC">
      <w:pPr>
        <w:rPr>
          <w:b/>
          <w:sz w:val="20"/>
          <w:szCs w:val="20"/>
        </w:rPr>
      </w:pPr>
    </w:p>
    <w:p w14:paraId="1D469BF3" w14:textId="489D2F49" w:rsidR="00B9614C" w:rsidRDefault="0080287D" w:rsidP="00B76BDC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</w:t>
      </w:r>
      <w:r w:rsidR="00B82905">
        <w:rPr>
          <w:b/>
          <w:i/>
          <w:sz w:val="20"/>
          <w:szCs w:val="20"/>
        </w:rPr>
        <w:t>ing</w:t>
      </w:r>
      <w:r w:rsidR="007A4F2A" w:rsidRPr="00276572">
        <w:rPr>
          <w:b/>
          <w:i/>
          <w:sz w:val="20"/>
          <w:szCs w:val="20"/>
        </w:rPr>
        <w:t>:</w:t>
      </w:r>
    </w:p>
    <w:p w14:paraId="512BE573" w14:textId="5427265B" w:rsidR="006324C0" w:rsidRPr="00A1636F" w:rsidRDefault="006324C0" w:rsidP="00A1636F">
      <w:pPr>
        <w:pStyle w:val="ListParagraph"/>
        <w:numPr>
          <w:ilvl w:val="0"/>
          <w:numId w:val="6"/>
        </w:numPr>
        <w:rPr>
          <w:rFonts w:ascii="Garamond" w:hAnsi="Garamond"/>
          <w:szCs w:val="20"/>
        </w:rPr>
      </w:pPr>
      <w:r w:rsidRPr="00A1636F">
        <w:rPr>
          <w:rFonts w:ascii="Garamond" w:hAnsi="Garamond"/>
          <w:szCs w:val="20"/>
        </w:rPr>
        <w:t xml:space="preserve">Classification Tree Analysis (Keith Weber, ISU GIS </w:t>
      </w:r>
      <w:proofErr w:type="spellStart"/>
      <w:r w:rsidRPr="00A1636F">
        <w:rPr>
          <w:rFonts w:ascii="Garamond" w:hAnsi="Garamond"/>
          <w:szCs w:val="20"/>
        </w:rPr>
        <w:t>TReC</w:t>
      </w:r>
      <w:proofErr w:type="spellEnd"/>
      <w:r w:rsidRPr="00A1636F">
        <w:rPr>
          <w:rFonts w:ascii="Garamond" w:hAnsi="Garamond"/>
          <w:szCs w:val="20"/>
        </w:rPr>
        <w:t>)</w:t>
      </w:r>
      <w:r w:rsidR="00AC4DE3">
        <w:rPr>
          <w:rFonts w:ascii="Garamond" w:hAnsi="Garamond"/>
          <w:szCs w:val="20"/>
        </w:rPr>
        <w:t xml:space="preserve"> – </w:t>
      </w:r>
      <w:r w:rsidR="00354889">
        <w:rPr>
          <w:rFonts w:ascii="Garamond" w:hAnsi="Garamond"/>
          <w:szCs w:val="20"/>
        </w:rPr>
        <w:t>Used to classify the MTNF into distinct landcover classes</w:t>
      </w:r>
    </w:p>
    <w:p w14:paraId="4ABE973B" w14:textId="68C2F1B6" w:rsidR="006A2A26" w:rsidRPr="00025987" w:rsidRDefault="006324C0" w:rsidP="00A1636F">
      <w:pPr>
        <w:pStyle w:val="ListParagraph"/>
        <w:numPr>
          <w:ilvl w:val="0"/>
          <w:numId w:val="6"/>
        </w:numPr>
        <w:rPr>
          <w:b/>
          <w:bCs/>
          <w:i/>
          <w:sz w:val="20"/>
          <w:szCs w:val="20"/>
        </w:rPr>
      </w:pPr>
      <w:r w:rsidRPr="00A1636F">
        <w:rPr>
          <w:rFonts w:ascii="Garamond" w:hAnsi="Garamond"/>
          <w:szCs w:val="20"/>
        </w:rPr>
        <w:t xml:space="preserve">Land Change Modeler (Keith Weber, ISU GIS </w:t>
      </w:r>
      <w:proofErr w:type="spellStart"/>
      <w:r w:rsidRPr="00A1636F">
        <w:rPr>
          <w:rFonts w:ascii="Garamond" w:hAnsi="Garamond"/>
          <w:szCs w:val="20"/>
        </w:rPr>
        <w:t>TReC</w:t>
      </w:r>
      <w:proofErr w:type="spellEnd"/>
      <w:r w:rsidRPr="00A1636F">
        <w:rPr>
          <w:rFonts w:ascii="Garamond" w:hAnsi="Garamond"/>
          <w:szCs w:val="20"/>
        </w:rPr>
        <w:t>)</w:t>
      </w:r>
      <w:r w:rsidR="00AC4DE3" w:rsidRPr="00354889">
        <w:rPr>
          <w:rFonts w:ascii="Garamond" w:hAnsi="Garamond"/>
          <w:szCs w:val="20"/>
        </w:rPr>
        <w:t xml:space="preserve"> – </w:t>
      </w:r>
      <w:r w:rsidR="00354889">
        <w:rPr>
          <w:rFonts w:ascii="Garamond" w:hAnsi="Garamond"/>
          <w:szCs w:val="20"/>
        </w:rPr>
        <w:t>Used to forecast land cover change of the MTNF out to 2040</w:t>
      </w:r>
    </w:p>
    <w:p w14:paraId="19BFB1C1" w14:textId="77777777" w:rsidR="00025987" w:rsidRPr="00025987" w:rsidRDefault="00025987" w:rsidP="00025987">
      <w:pPr>
        <w:rPr>
          <w:b/>
          <w:bCs/>
          <w:i/>
          <w:sz w:val="20"/>
          <w:szCs w:val="20"/>
        </w:rPr>
      </w:pPr>
    </w:p>
    <w:p w14:paraId="0CBC9B56" w14:textId="51A979FD" w:rsidR="006A2A26" w:rsidRDefault="006A2A26" w:rsidP="006A2A26">
      <w:pPr>
        <w:rPr>
          <w:b/>
          <w:bCs/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6DB9BE84" w14:textId="6C8B314A" w:rsidR="006324C0" w:rsidRPr="00547747" w:rsidRDefault="006324C0" w:rsidP="006A2A26">
      <w:pPr>
        <w:rPr>
          <w:rFonts w:ascii="Garamond" w:hAnsi="Garamond"/>
          <w:bCs/>
          <w:szCs w:val="20"/>
        </w:rPr>
      </w:pPr>
      <w:r w:rsidRPr="00547747">
        <w:rPr>
          <w:rFonts w:ascii="Garamond" w:hAnsi="Garamond"/>
          <w:bCs/>
          <w:szCs w:val="20"/>
        </w:rPr>
        <w:t>ESRI ArcGIS Pro – Creation and analysis of vector data</w:t>
      </w:r>
    </w:p>
    <w:p w14:paraId="32EEC418" w14:textId="5CF71A4A" w:rsidR="006324C0" w:rsidRPr="00547747" w:rsidRDefault="006324C0" w:rsidP="006A2A26">
      <w:pPr>
        <w:rPr>
          <w:rFonts w:ascii="Garamond" w:hAnsi="Garamond"/>
          <w:bCs/>
          <w:szCs w:val="20"/>
        </w:rPr>
      </w:pPr>
      <w:r w:rsidRPr="00547747">
        <w:rPr>
          <w:rFonts w:ascii="Garamond" w:hAnsi="Garamond"/>
          <w:bCs/>
          <w:szCs w:val="20"/>
        </w:rPr>
        <w:t>Harris ENVI – Creation of imagery stacks and classifications</w:t>
      </w:r>
    </w:p>
    <w:p w14:paraId="0EB87A67" w14:textId="465A6CF4" w:rsidR="006324C0" w:rsidRPr="00547747" w:rsidRDefault="006324C0" w:rsidP="006A2A26">
      <w:pPr>
        <w:rPr>
          <w:rFonts w:ascii="Garamond" w:hAnsi="Garamond"/>
          <w:szCs w:val="20"/>
        </w:rPr>
      </w:pPr>
      <w:r w:rsidRPr="00547747">
        <w:rPr>
          <w:rFonts w:ascii="Garamond" w:hAnsi="Garamond"/>
          <w:bCs/>
          <w:szCs w:val="20"/>
        </w:rPr>
        <w:t xml:space="preserve">IDRISI </w:t>
      </w:r>
      <w:proofErr w:type="spellStart"/>
      <w:r w:rsidRPr="00547747">
        <w:rPr>
          <w:rFonts w:ascii="Garamond" w:hAnsi="Garamond"/>
          <w:bCs/>
          <w:szCs w:val="20"/>
        </w:rPr>
        <w:t>TerrSet</w:t>
      </w:r>
      <w:proofErr w:type="spellEnd"/>
      <w:r w:rsidRPr="00547747">
        <w:rPr>
          <w:rFonts w:ascii="Garamond" w:hAnsi="Garamond"/>
          <w:bCs/>
          <w:szCs w:val="20"/>
        </w:rPr>
        <w:t xml:space="preserve"> – Land change modeler and Classification Tree Analysis</w:t>
      </w:r>
    </w:p>
    <w:p w14:paraId="600FA1B9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1538F2" w:rsidRPr="001538F2" w14:paraId="2A0027C9" w14:textId="77777777" w:rsidTr="0073702A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36E31C2D" w:rsidR="001538F2" w:rsidRPr="00636FAE" w:rsidRDefault="001538F2" w:rsidP="00B560ED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407EEF43" w14:textId="77777777" w:rsidTr="0073702A">
        <w:tc>
          <w:tcPr>
            <w:tcW w:w="2273" w:type="dxa"/>
            <w:vAlign w:val="center"/>
          </w:tcPr>
          <w:p w14:paraId="6303043D" w14:textId="0E4A77A5" w:rsidR="00EE571A" w:rsidRPr="008A4B10" w:rsidRDefault="00EE571A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Classification </w:t>
            </w:r>
            <w:r w:rsidR="00354889">
              <w:rPr>
                <w:rFonts w:ascii="Garamond" w:hAnsi="Garamond"/>
                <w:b/>
                <w:bCs/>
              </w:rPr>
              <w:t xml:space="preserve">and Forecast </w:t>
            </w:r>
            <w:r>
              <w:rPr>
                <w:rFonts w:ascii="Garamond" w:hAnsi="Garamond"/>
                <w:b/>
                <w:bCs/>
              </w:rPr>
              <w:t xml:space="preserve">Map of </w:t>
            </w:r>
            <w:r w:rsidR="00AC4DE3">
              <w:rPr>
                <w:rFonts w:ascii="Garamond" w:hAnsi="Garamond"/>
                <w:b/>
                <w:bCs/>
              </w:rPr>
              <w:t>L</w:t>
            </w:r>
            <w:r w:rsidR="008A6B7B">
              <w:rPr>
                <w:rFonts w:ascii="Garamond" w:hAnsi="Garamond"/>
                <w:b/>
                <w:bCs/>
              </w:rPr>
              <w:t>andcover</w:t>
            </w:r>
            <w:r w:rsidR="00E55DC5">
              <w:rPr>
                <w:rFonts w:ascii="Garamond" w:hAnsi="Garamond"/>
                <w:b/>
                <w:bCs/>
              </w:rPr>
              <w:t xml:space="preserve"> </w:t>
            </w:r>
            <w:r w:rsidR="00AC4DE3">
              <w:rPr>
                <w:rFonts w:ascii="Garamond" w:hAnsi="Garamond"/>
                <w:b/>
                <w:bCs/>
              </w:rPr>
              <w:t>T</w:t>
            </w:r>
            <w:r w:rsidR="00E55DC5">
              <w:rPr>
                <w:rFonts w:ascii="Garamond" w:hAnsi="Garamond"/>
                <w:b/>
                <w:bCs/>
              </w:rPr>
              <w:t>ypes</w:t>
            </w:r>
            <w:r>
              <w:rPr>
                <w:rFonts w:ascii="Garamond" w:hAnsi="Garamond"/>
                <w:b/>
                <w:bCs/>
              </w:rPr>
              <w:t xml:space="preserve"> in MTNF</w:t>
            </w:r>
          </w:p>
        </w:tc>
        <w:tc>
          <w:tcPr>
            <w:tcW w:w="3240" w:type="dxa"/>
            <w:vAlign w:val="center"/>
          </w:tcPr>
          <w:p w14:paraId="05C6772C" w14:textId="3ABD7E9B" w:rsidR="003F0E91" w:rsidRPr="00EC3694" w:rsidRDefault="0076747F" w:rsidP="00030D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will be used by partners to better establish areas for restoration and further research to discern species</w:t>
            </w:r>
            <w:r w:rsidR="00030DCE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level identification of tree stands</w:t>
            </w:r>
            <w:r w:rsidR="00354889">
              <w:rPr>
                <w:rFonts w:ascii="Garamond" w:hAnsi="Garamond"/>
              </w:rPr>
              <w:t>, while projecting forest change to 2040</w:t>
            </w:r>
            <w:r w:rsidR="00025987"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29D692C0" w14:textId="38AEABCE" w:rsidR="0076747F" w:rsidRPr="005C6FC1" w:rsidRDefault="0076747F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will involve Landsat 5 TM</w:t>
            </w:r>
            <w:r w:rsidR="00025987">
              <w:rPr>
                <w:rFonts w:ascii="Garamond" w:hAnsi="Garamond"/>
              </w:rPr>
              <w:t>, Landsat</w:t>
            </w:r>
            <w:r>
              <w:rPr>
                <w:rFonts w:ascii="Garamond" w:hAnsi="Garamond"/>
              </w:rPr>
              <w:t xml:space="preserve"> 8 OLI,</w:t>
            </w:r>
            <w:r w:rsidR="00025987">
              <w:rPr>
                <w:rFonts w:ascii="Garamond" w:hAnsi="Garamond"/>
              </w:rPr>
              <w:t xml:space="preserve"> SRTM,</w:t>
            </w:r>
            <w:r>
              <w:rPr>
                <w:rFonts w:ascii="Garamond" w:hAnsi="Garamond"/>
              </w:rPr>
              <w:t xml:space="preserve"> </w:t>
            </w:r>
            <w:r w:rsidR="00025987">
              <w:rPr>
                <w:rFonts w:ascii="Garamond" w:hAnsi="Garamond"/>
              </w:rPr>
              <w:t>and</w:t>
            </w:r>
            <w:r>
              <w:rPr>
                <w:rFonts w:ascii="Garamond" w:hAnsi="Garamond"/>
              </w:rPr>
              <w:t xml:space="preserve"> Sentinel</w:t>
            </w:r>
            <w:r w:rsidR="00025987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2 MSI</w:t>
            </w:r>
            <w:r w:rsidR="00025987">
              <w:rPr>
                <w:rFonts w:ascii="Garamond" w:hAnsi="Garamond"/>
              </w:rPr>
              <w:t xml:space="preserve"> data</w:t>
            </w:r>
            <w:r>
              <w:rPr>
                <w:rFonts w:ascii="Garamond" w:hAnsi="Garamond"/>
              </w:rPr>
              <w:t xml:space="preserve"> being put through a random forest analysis to achieve a high level classification of ground cover types.</w:t>
            </w:r>
          </w:p>
        </w:tc>
        <w:tc>
          <w:tcPr>
            <w:tcW w:w="1080" w:type="dxa"/>
            <w:vAlign w:val="center"/>
          </w:tcPr>
          <w:p w14:paraId="33182638" w14:textId="62A539F7" w:rsidR="001538F2" w:rsidRPr="005C6FC1" w:rsidRDefault="00EE571A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  <w:tr w:rsidR="00E55DC5" w:rsidRPr="00CD0433" w14:paraId="3873658F" w14:textId="77777777" w:rsidTr="0073702A">
        <w:tc>
          <w:tcPr>
            <w:tcW w:w="2273" w:type="dxa"/>
            <w:vAlign w:val="center"/>
          </w:tcPr>
          <w:p w14:paraId="379D8160" w14:textId="1EA307D9" w:rsidR="00E55DC5" w:rsidRDefault="008A6B7B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Tutorial for </w:t>
            </w:r>
            <w:r w:rsidR="00AC4DE3">
              <w:rPr>
                <w:rFonts w:ascii="Garamond" w:hAnsi="Garamond"/>
                <w:b/>
                <w:bCs/>
              </w:rPr>
              <w:t>C</w:t>
            </w:r>
            <w:r>
              <w:rPr>
                <w:rFonts w:ascii="Garamond" w:hAnsi="Garamond"/>
                <w:b/>
                <w:bCs/>
              </w:rPr>
              <w:t xml:space="preserve">lassification </w:t>
            </w:r>
            <w:r w:rsidR="00AC4DE3">
              <w:rPr>
                <w:rFonts w:ascii="Garamond" w:hAnsi="Garamond"/>
                <w:b/>
                <w:bCs/>
              </w:rPr>
              <w:t>W</w:t>
            </w:r>
            <w:r>
              <w:rPr>
                <w:rFonts w:ascii="Garamond" w:hAnsi="Garamond"/>
                <w:b/>
                <w:bCs/>
              </w:rPr>
              <w:t>orkflow</w:t>
            </w:r>
          </w:p>
        </w:tc>
        <w:tc>
          <w:tcPr>
            <w:tcW w:w="3240" w:type="dxa"/>
            <w:vAlign w:val="center"/>
          </w:tcPr>
          <w:p w14:paraId="30790E67" w14:textId="12AEE52A" w:rsidR="00E55DC5" w:rsidRDefault="003F0E91" w:rsidP="00030D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will be used to allow partners to recreate this methodology in the future if need be. </w:t>
            </w:r>
          </w:p>
        </w:tc>
        <w:tc>
          <w:tcPr>
            <w:tcW w:w="2880" w:type="dxa"/>
            <w:vAlign w:val="center"/>
          </w:tcPr>
          <w:p w14:paraId="2F2A46AF" w14:textId="6C64AF7F" w:rsidR="00E55DC5" w:rsidRDefault="00025987" w:rsidP="00030D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  <w:tc>
          <w:tcPr>
            <w:tcW w:w="1080" w:type="dxa"/>
            <w:vAlign w:val="center"/>
          </w:tcPr>
          <w:p w14:paraId="03E66312" w14:textId="4C276C2A" w:rsidR="00E55DC5" w:rsidRDefault="00025987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66FBE966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164B7A2A" w14:textId="4C326A96" w:rsidR="00614CA7" w:rsidRPr="00970EA4" w:rsidRDefault="00614CA7" w:rsidP="00614CA7">
      <w:pPr>
        <w:rPr>
          <w:rFonts w:ascii="Garamond" w:hAnsi="Garamond"/>
          <w:color w:val="000000" w:themeColor="text1"/>
        </w:rPr>
      </w:pPr>
      <w:r w:rsidRPr="00EC3694">
        <w:rPr>
          <w:b/>
          <w:i/>
          <w:sz w:val="20"/>
          <w:szCs w:val="20"/>
        </w:rPr>
        <w:t>End-User Benefit</w:t>
      </w:r>
      <w:r w:rsidRPr="00EC3694">
        <w:rPr>
          <w:b/>
          <w:sz w:val="20"/>
          <w:szCs w:val="20"/>
        </w:rPr>
        <w:t>:</w:t>
      </w:r>
      <w:r w:rsidRPr="00EC3694">
        <w:rPr>
          <w:sz w:val="20"/>
          <w:szCs w:val="20"/>
        </w:rPr>
        <w:t xml:space="preserve"> </w:t>
      </w:r>
      <w:r w:rsidRPr="00970EA4">
        <w:rPr>
          <w:rFonts w:ascii="Garamond" w:hAnsi="Garamond"/>
          <w:color w:val="000000" w:themeColor="text1"/>
        </w:rPr>
        <w:t xml:space="preserve">A cover type analysis of the forest canopy will allow forest managers to completely </w:t>
      </w:r>
      <w:r w:rsidR="009869B7">
        <w:rPr>
          <w:rFonts w:ascii="Garamond" w:hAnsi="Garamond"/>
          <w:color w:val="000000" w:themeColor="text1"/>
        </w:rPr>
        <w:t xml:space="preserve">map the landcover types of the forest and </w:t>
      </w:r>
      <w:r w:rsidR="00AC4DE3">
        <w:rPr>
          <w:rFonts w:ascii="Garamond" w:hAnsi="Garamond"/>
          <w:color w:val="000000" w:themeColor="text1"/>
        </w:rPr>
        <w:t xml:space="preserve">will </w:t>
      </w:r>
      <w:r w:rsidR="009869B7">
        <w:rPr>
          <w:rFonts w:ascii="Garamond" w:hAnsi="Garamond"/>
          <w:color w:val="000000" w:themeColor="text1"/>
        </w:rPr>
        <w:t>eventually a</w:t>
      </w:r>
      <w:r w:rsidR="00AC4DE3">
        <w:rPr>
          <w:rFonts w:ascii="Garamond" w:hAnsi="Garamond"/>
          <w:color w:val="000000" w:themeColor="text1"/>
        </w:rPr>
        <w:t>ssist</w:t>
      </w:r>
      <w:r w:rsidR="009869B7">
        <w:rPr>
          <w:rFonts w:ascii="Garamond" w:hAnsi="Garamond"/>
          <w:color w:val="000000" w:themeColor="text1"/>
        </w:rPr>
        <w:t xml:space="preserve"> managers </w:t>
      </w:r>
      <w:r w:rsidR="00AC4DE3">
        <w:rPr>
          <w:rFonts w:ascii="Garamond" w:hAnsi="Garamond"/>
          <w:color w:val="000000" w:themeColor="text1"/>
        </w:rPr>
        <w:t>in</w:t>
      </w:r>
      <w:r w:rsidR="009869B7">
        <w:rPr>
          <w:rFonts w:ascii="Garamond" w:hAnsi="Garamond"/>
          <w:color w:val="000000" w:themeColor="text1"/>
        </w:rPr>
        <w:t xml:space="preserve"> </w:t>
      </w:r>
      <w:r w:rsidR="00AC4DE3">
        <w:rPr>
          <w:rFonts w:ascii="Garamond" w:hAnsi="Garamond"/>
          <w:color w:val="000000" w:themeColor="text1"/>
        </w:rPr>
        <w:t xml:space="preserve">the creation of </w:t>
      </w:r>
      <w:r w:rsidR="009869B7">
        <w:rPr>
          <w:rFonts w:ascii="Garamond" w:hAnsi="Garamond"/>
          <w:color w:val="000000" w:themeColor="text1"/>
        </w:rPr>
        <w:t>speci</w:t>
      </w:r>
      <w:bookmarkStart w:id="0" w:name="_GoBack"/>
      <w:bookmarkEnd w:id="0"/>
      <w:r w:rsidR="009869B7">
        <w:rPr>
          <w:rFonts w:ascii="Garamond" w:hAnsi="Garamond"/>
          <w:color w:val="000000" w:themeColor="text1"/>
        </w:rPr>
        <w:t>es level classifications</w:t>
      </w:r>
      <w:r w:rsidRPr="00970EA4">
        <w:rPr>
          <w:rFonts w:ascii="Garamond" w:hAnsi="Garamond"/>
          <w:color w:val="000000" w:themeColor="text1"/>
        </w:rPr>
        <w:t xml:space="preserve">. </w:t>
      </w:r>
      <w:r w:rsidR="006346BD">
        <w:rPr>
          <w:rFonts w:ascii="Garamond" w:hAnsi="Garamond"/>
          <w:color w:val="000000" w:themeColor="text1"/>
        </w:rPr>
        <w:t>This map will then be forecasted out to the year 2040 to see changes in cover type while considering current management practices.</w:t>
      </w:r>
      <w:r w:rsidR="00354889">
        <w:rPr>
          <w:rFonts w:ascii="Garamond" w:hAnsi="Garamond"/>
          <w:color w:val="000000" w:themeColor="text1"/>
        </w:rPr>
        <w:t xml:space="preserve"> </w:t>
      </w:r>
      <w:r w:rsidRPr="00970EA4">
        <w:rPr>
          <w:rFonts w:ascii="Garamond" w:hAnsi="Garamond"/>
          <w:color w:val="000000" w:themeColor="text1"/>
        </w:rPr>
        <w:t>This cover map will be integrated with elevation models on</w:t>
      </w:r>
      <w:r w:rsidR="00D441FB">
        <w:rPr>
          <w:rFonts w:ascii="Garamond" w:hAnsi="Garamond"/>
          <w:color w:val="000000" w:themeColor="text1"/>
        </w:rPr>
        <w:t>-</w:t>
      </w:r>
      <w:r w:rsidRPr="00970EA4">
        <w:rPr>
          <w:rFonts w:ascii="Garamond" w:hAnsi="Garamond"/>
          <w:color w:val="000000" w:themeColor="text1"/>
        </w:rPr>
        <w:t>hand so that forest managers can strategize their focus on restoring glade habitat across the 1.5 million acres of public land.</w:t>
      </w:r>
    </w:p>
    <w:p w14:paraId="39AD50A6" w14:textId="7E9ADE34" w:rsidR="00614CA7" w:rsidRDefault="00614CA7" w:rsidP="00614CA7">
      <w:pPr>
        <w:rPr>
          <w:rFonts w:ascii="Garamond" w:hAnsi="Garamond"/>
        </w:rPr>
      </w:pPr>
    </w:p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37DBF07B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107706" w:rsidRPr="001E5271">
        <w:rPr>
          <w:rFonts w:ascii="Garamond" w:hAnsi="Garamond"/>
        </w:rPr>
        <w:t>1</w:t>
      </w:r>
      <w:r w:rsidR="00107706">
        <w:rPr>
          <w:rFonts w:ascii="Garamond" w:hAnsi="Garamond"/>
        </w:rPr>
        <w:t xml:space="preserve"> Term</w:t>
      </w:r>
      <w:r w:rsidR="00107706" w:rsidRPr="005C6FC1">
        <w:rPr>
          <w:rFonts w:ascii="Garamond" w:hAnsi="Garamond"/>
        </w:rPr>
        <w:t xml:space="preserve">: </w:t>
      </w:r>
      <w:r w:rsidR="000B6B38">
        <w:rPr>
          <w:rFonts w:ascii="Garamond" w:hAnsi="Garamond"/>
        </w:rPr>
        <w:t>2020 Summer</w:t>
      </w:r>
      <w:r w:rsidR="00107706">
        <w:rPr>
          <w:rFonts w:ascii="Garamond" w:hAnsi="Garamond"/>
        </w:rPr>
        <w:t xml:space="preserve"> </w:t>
      </w:r>
    </w:p>
    <w:p w14:paraId="0E47B3BF" w14:textId="4615C3B3" w:rsidR="00461AA0" w:rsidRDefault="00461AA0" w:rsidP="00272CD9">
      <w:pPr>
        <w:rPr>
          <w:sz w:val="20"/>
          <w:szCs w:val="20"/>
        </w:rPr>
      </w:pPr>
    </w:p>
    <w:p w14:paraId="17C3723A" w14:textId="77AD9351" w:rsidR="00ED6B3C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2DC201F3" w14:textId="4EFE4DE9" w:rsidR="00025987" w:rsidRDefault="00EE571A" w:rsidP="00ED6B3C">
      <w:pPr>
        <w:rPr>
          <w:rFonts w:ascii="Garamond" w:hAnsi="Garamond" w:cs="Arial"/>
          <w:color w:val="252525"/>
          <w:szCs w:val="37"/>
          <w:shd w:val="clear" w:color="auto" w:fill="FFFFFF"/>
        </w:rPr>
      </w:pPr>
      <w:r w:rsidRPr="00547747">
        <w:rPr>
          <w:rFonts w:ascii="Garamond" w:hAnsi="Garamond"/>
          <w:szCs w:val="20"/>
        </w:rPr>
        <w:t xml:space="preserve">2019 </w:t>
      </w:r>
      <w:proofErr w:type="gramStart"/>
      <w:r w:rsidRPr="00547747">
        <w:rPr>
          <w:rFonts w:ascii="Garamond" w:hAnsi="Garamond"/>
          <w:szCs w:val="20"/>
        </w:rPr>
        <w:t>Summer</w:t>
      </w:r>
      <w:proofErr w:type="gramEnd"/>
      <w:r w:rsidRPr="00547747">
        <w:rPr>
          <w:rFonts w:ascii="Garamond" w:hAnsi="Garamond"/>
          <w:szCs w:val="20"/>
        </w:rPr>
        <w:t xml:space="preserve"> </w:t>
      </w:r>
      <w:r w:rsidR="00030DCE">
        <w:rPr>
          <w:rFonts w:ascii="Garamond" w:hAnsi="Garamond"/>
          <w:szCs w:val="20"/>
        </w:rPr>
        <w:t>(</w:t>
      </w:r>
      <w:r w:rsidRPr="00547747">
        <w:rPr>
          <w:rFonts w:ascii="Garamond" w:hAnsi="Garamond"/>
          <w:szCs w:val="20"/>
        </w:rPr>
        <w:t>ID</w:t>
      </w:r>
      <w:r w:rsidR="00030DCE">
        <w:rPr>
          <w:rFonts w:ascii="Garamond" w:hAnsi="Garamond"/>
          <w:szCs w:val="20"/>
        </w:rPr>
        <w:t>)</w:t>
      </w:r>
      <w:r w:rsidRPr="00547747">
        <w:rPr>
          <w:rFonts w:ascii="Garamond" w:hAnsi="Garamond"/>
          <w:szCs w:val="20"/>
        </w:rPr>
        <w:t xml:space="preserve"> – Monongahela National Forest Ecological Forecasting: </w:t>
      </w:r>
      <w:r w:rsidRPr="00547747">
        <w:rPr>
          <w:rFonts w:ascii="Garamond" w:hAnsi="Garamond" w:cs="Arial"/>
          <w:color w:val="252525"/>
          <w:szCs w:val="37"/>
          <w:shd w:val="clear" w:color="auto" w:fill="FFFFFF"/>
        </w:rPr>
        <w:t>Forecasting Red Spruce</w:t>
      </w:r>
    </w:p>
    <w:p w14:paraId="58F97B6B" w14:textId="444F3571" w:rsidR="00EE571A" w:rsidRDefault="00EE571A" w:rsidP="00025987">
      <w:pPr>
        <w:ind w:left="720"/>
        <w:rPr>
          <w:rFonts w:ascii="Garamond" w:hAnsi="Garamond" w:cs="Arial"/>
          <w:color w:val="252525"/>
          <w:szCs w:val="37"/>
          <w:shd w:val="clear" w:color="auto" w:fill="FFFFFF"/>
        </w:rPr>
      </w:pPr>
      <w:r w:rsidRPr="00547747">
        <w:rPr>
          <w:rFonts w:ascii="Garamond" w:hAnsi="Garamond" w:cs="Arial"/>
          <w:color w:val="252525"/>
          <w:szCs w:val="37"/>
          <w:shd w:val="clear" w:color="auto" w:fill="FFFFFF"/>
        </w:rPr>
        <w:t>Restoration Using NASA Earth Observations to Support Decision Making in the USFS Monongahela National Forest</w:t>
      </w:r>
    </w:p>
    <w:p w14:paraId="34B617BF" w14:textId="77777777" w:rsidR="001306D8" w:rsidRPr="00547747" w:rsidRDefault="001306D8" w:rsidP="00ED6B3C">
      <w:pPr>
        <w:rPr>
          <w:rFonts w:ascii="Garamond" w:hAnsi="Garamond" w:cs="Arial"/>
          <w:color w:val="252525"/>
          <w:szCs w:val="37"/>
          <w:shd w:val="clear" w:color="auto" w:fill="FFFFFF"/>
        </w:rPr>
      </w:pPr>
    </w:p>
    <w:p w14:paraId="4C04578F" w14:textId="499C5526" w:rsidR="00025987" w:rsidRDefault="00C678DC" w:rsidP="00ED6B3C">
      <w:pPr>
        <w:rPr>
          <w:rFonts w:ascii="Garamond" w:hAnsi="Garamond"/>
          <w:szCs w:val="20"/>
        </w:rPr>
      </w:pPr>
      <w:r w:rsidRPr="00547747">
        <w:rPr>
          <w:rFonts w:ascii="Garamond" w:hAnsi="Garamond" w:cs="Arial"/>
          <w:color w:val="252525"/>
          <w:szCs w:val="37"/>
          <w:shd w:val="clear" w:color="auto" w:fill="FFFFFF"/>
        </w:rPr>
        <w:t xml:space="preserve">2019 </w:t>
      </w:r>
      <w:proofErr w:type="gramStart"/>
      <w:r w:rsidRPr="00547747">
        <w:rPr>
          <w:rFonts w:ascii="Garamond" w:hAnsi="Garamond" w:cs="Arial"/>
          <w:color w:val="252525"/>
          <w:szCs w:val="37"/>
          <w:shd w:val="clear" w:color="auto" w:fill="FFFFFF"/>
        </w:rPr>
        <w:t>Summer</w:t>
      </w:r>
      <w:proofErr w:type="gramEnd"/>
      <w:r w:rsidRPr="00547747">
        <w:rPr>
          <w:rFonts w:ascii="Garamond" w:hAnsi="Garamond" w:cs="Arial"/>
          <w:color w:val="252525"/>
          <w:szCs w:val="37"/>
          <w:shd w:val="clear" w:color="auto" w:fill="FFFFFF"/>
        </w:rPr>
        <w:t xml:space="preserve"> </w:t>
      </w:r>
      <w:r w:rsidR="00030DCE">
        <w:rPr>
          <w:rFonts w:ascii="Garamond" w:hAnsi="Garamond" w:cs="Arial"/>
          <w:color w:val="252525"/>
          <w:szCs w:val="37"/>
          <w:shd w:val="clear" w:color="auto" w:fill="FFFFFF"/>
        </w:rPr>
        <w:t>(</w:t>
      </w:r>
      <w:r w:rsidRPr="00547747">
        <w:rPr>
          <w:rFonts w:ascii="Garamond" w:hAnsi="Garamond" w:cs="Arial"/>
          <w:color w:val="252525"/>
          <w:szCs w:val="37"/>
          <w:shd w:val="clear" w:color="auto" w:fill="FFFFFF"/>
        </w:rPr>
        <w:t>CO</w:t>
      </w:r>
      <w:r w:rsidR="00030DCE">
        <w:rPr>
          <w:rFonts w:ascii="Garamond" w:hAnsi="Garamond" w:cs="Arial"/>
          <w:color w:val="252525"/>
          <w:szCs w:val="37"/>
          <w:shd w:val="clear" w:color="auto" w:fill="FFFFFF"/>
        </w:rPr>
        <w:t>)</w:t>
      </w:r>
      <w:r w:rsidRPr="00547747">
        <w:rPr>
          <w:rFonts w:ascii="Garamond" w:hAnsi="Garamond" w:cs="Arial"/>
          <w:color w:val="252525"/>
          <w:szCs w:val="37"/>
          <w:shd w:val="clear" w:color="auto" w:fill="FFFFFF"/>
        </w:rPr>
        <w:t xml:space="preserve"> – </w:t>
      </w:r>
      <w:proofErr w:type="spellStart"/>
      <w:r w:rsidRPr="00547747">
        <w:rPr>
          <w:rFonts w:ascii="Garamond" w:hAnsi="Garamond" w:cs="Arial"/>
          <w:color w:val="252525"/>
          <w:szCs w:val="37"/>
          <w:shd w:val="clear" w:color="auto" w:fill="FFFFFF"/>
        </w:rPr>
        <w:t>Moloka’i</w:t>
      </w:r>
      <w:proofErr w:type="spellEnd"/>
      <w:r w:rsidRPr="00547747">
        <w:rPr>
          <w:rFonts w:ascii="Garamond" w:hAnsi="Garamond" w:cs="Arial"/>
          <w:color w:val="252525"/>
          <w:szCs w:val="37"/>
          <w:shd w:val="clear" w:color="auto" w:fill="FFFFFF"/>
        </w:rPr>
        <w:t xml:space="preserve"> Water Resources: </w:t>
      </w:r>
      <w:r w:rsidR="001D546E" w:rsidRPr="00547747">
        <w:rPr>
          <w:rFonts w:ascii="Garamond" w:hAnsi="Garamond"/>
          <w:szCs w:val="20"/>
        </w:rPr>
        <w:t>Employing NASA Earth Observations to Map the Impacts</w:t>
      </w:r>
    </w:p>
    <w:p w14:paraId="508E9454" w14:textId="306FCC7B" w:rsidR="001D546E" w:rsidRDefault="001D546E" w:rsidP="00025987">
      <w:pPr>
        <w:ind w:firstLine="720"/>
        <w:rPr>
          <w:rFonts w:ascii="Garamond" w:hAnsi="Garamond"/>
          <w:szCs w:val="20"/>
        </w:rPr>
      </w:pPr>
      <w:r w:rsidRPr="00547747">
        <w:rPr>
          <w:rFonts w:ascii="Garamond" w:hAnsi="Garamond"/>
          <w:szCs w:val="20"/>
        </w:rPr>
        <w:t>of the ‘</w:t>
      </w:r>
      <w:proofErr w:type="spellStart"/>
      <w:r w:rsidRPr="00547747">
        <w:rPr>
          <w:rFonts w:ascii="Garamond" w:hAnsi="Garamond"/>
          <w:szCs w:val="20"/>
        </w:rPr>
        <w:t>Ohi’a</w:t>
      </w:r>
      <w:proofErr w:type="spellEnd"/>
      <w:r w:rsidRPr="00547747">
        <w:rPr>
          <w:rFonts w:ascii="Garamond" w:hAnsi="Garamond"/>
          <w:szCs w:val="20"/>
        </w:rPr>
        <w:t xml:space="preserve"> Rust on Forest Health and Coastal Turbidity on </w:t>
      </w:r>
      <w:proofErr w:type="spellStart"/>
      <w:r w:rsidR="004519BB" w:rsidRPr="00547747">
        <w:rPr>
          <w:rFonts w:ascii="Garamond" w:hAnsi="Garamond"/>
          <w:szCs w:val="20"/>
        </w:rPr>
        <w:t>Moloka</w:t>
      </w:r>
      <w:r w:rsidR="004519BB">
        <w:rPr>
          <w:rFonts w:ascii="Garamond" w:hAnsi="Garamond"/>
          <w:szCs w:val="20"/>
        </w:rPr>
        <w:t>'i</w:t>
      </w:r>
      <w:proofErr w:type="spellEnd"/>
      <w:r w:rsidRPr="00547747">
        <w:rPr>
          <w:rFonts w:ascii="Garamond" w:hAnsi="Garamond"/>
          <w:szCs w:val="20"/>
        </w:rPr>
        <w:t>, Hawaii</w:t>
      </w:r>
    </w:p>
    <w:p w14:paraId="1CB91F1D" w14:textId="77777777" w:rsidR="001306D8" w:rsidRPr="00547747" w:rsidRDefault="001306D8" w:rsidP="00ED6B3C">
      <w:pPr>
        <w:rPr>
          <w:rFonts w:ascii="Garamond" w:hAnsi="Garamond"/>
          <w:szCs w:val="20"/>
        </w:rPr>
      </w:pPr>
    </w:p>
    <w:p w14:paraId="28ABAF24" w14:textId="55E3A681" w:rsidR="00025987" w:rsidRDefault="005A0EA8" w:rsidP="00ED6B3C">
      <w:pPr>
        <w:rPr>
          <w:rFonts w:ascii="Garamond" w:hAnsi="Garamond"/>
          <w:szCs w:val="20"/>
        </w:rPr>
      </w:pPr>
      <w:r w:rsidRPr="00547747">
        <w:rPr>
          <w:rFonts w:ascii="Garamond" w:hAnsi="Garamond"/>
          <w:szCs w:val="20"/>
        </w:rPr>
        <w:t xml:space="preserve">2019 </w:t>
      </w:r>
      <w:proofErr w:type="gramStart"/>
      <w:r w:rsidRPr="00547747">
        <w:rPr>
          <w:rFonts w:ascii="Garamond" w:hAnsi="Garamond"/>
          <w:szCs w:val="20"/>
        </w:rPr>
        <w:t>Summer</w:t>
      </w:r>
      <w:proofErr w:type="gramEnd"/>
      <w:r w:rsidRPr="00547747">
        <w:rPr>
          <w:rFonts w:ascii="Garamond" w:hAnsi="Garamond"/>
          <w:szCs w:val="20"/>
        </w:rPr>
        <w:t xml:space="preserve"> </w:t>
      </w:r>
      <w:r w:rsidR="00030DCE">
        <w:rPr>
          <w:rFonts w:ascii="Garamond" w:hAnsi="Garamond"/>
          <w:szCs w:val="20"/>
        </w:rPr>
        <w:t>(</w:t>
      </w:r>
      <w:r w:rsidRPr="00547747">
        <w:rPr>
          <w:rFonts w:ascii="Garamond" w:hAnsi="Garamond"/>
          <w:szCs w:val="20"/>
        </w:rPr>
        <w:t>GSFC</w:t>
      </w:r>
      <w:r w:rsidR="00030DCE">
        <w:rPr>
          <w:rFonts w:ascii="Garamond" w:hAnsi="Garamond"/>
          <w:szCs w:val="20"/>
        </w:rPr>
        <w:t>)</w:t>
      </w:r>
      <w:r w:rsidRPr="00547747">
        <w:rPr>
          <w:rFonts w:ascii="Garamond" w:hAnsi="Garamond"/>
          <w:szCs w:val="20"/>
        </w:rPr>
        <w:t xml:space="preserve"> – New York Ecological Forecasting II: Comparing Efficiency of Space-Based Imagery</w:t>
      </w:r>
    </w:p>
    <w:p w14:paraId="0F4FA500" w14:textId="2001DB80" w:rsidR="00DC6974" w:rsidRPr="00025987" w:rsidRDefault="005A0EA8" w:rsidP="00025987">
      <w:pPr>
        <w:ind w:left="720"/>
        <w:rPr>
          <w:rFonts w:ascii="Garamond" w:hAnsi="Garamond" w:cs="Arial"/>
          <w:color w:val="000000"/>
          <w:szCs w:val="21"/>
          <w:shd w:val="clear" w:color="auto" w:fill="F9F9F9"/>
        </w:rPr>
      </w:pPr>
      <w:r w:rsidRPr="00547747">
        <w:rPr>
          <w:rFonts w:ascii="Garamond" w:hAnsi="Garamond"/>
          <w:szCs w:val="20"/>
        </w:rPr>
        <w:t>to AVIRIS Airborne Data for the Identification of Hemlock Forests to Mitigate Invasive Species Expansion</w:t>
      </w:r>
    </w:p>
    <w:p w14:paraId="401A7D4F" w14:textId="0AAE1D4B" w:rsidR="003D2EDF" w:rsidRPr="00B93E81" w:rsidRDefault="00272CD9" w:rsidP="00B93E81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lastRenderedPageBreak/>
        <w:t>References</w:t>
      </w:r>
      <w:r w:rsidR="003D2EDF" w:rsidRPr="00EC3694">
        <w:rPr>
          <w:b/>
          <w:szCs w:val="20"/>
        </w:rPr>
        <w:t>:</w:t>
      </w:r>
    </w:p>
    <w:p w14:paraId="1E5CA8AC" w14:textId="6ADEC7FC" w:rsidR="000B6B38" w:rsidRPr="003C1A51" w:rsidRDefault="000B6B38">
      <w:pPr>
        <w:rPr>
          <w:sz w:val="20"/>
          <w:szCs w:val="20"/>
        </w:rPr>
      </w:pPr>
    </w:p>
    <w:p w14:paraId="6E809452" w14:textId="77777777" w:rsidR="00025987" w:rsidRDefault="003C1A51">
      <w:pPr>
        <w:rPr>
          <w:rFonts w:ascii="Garamond" w:hAnsi="Garamond" w:cs="Arial"/>
          <w:color w:val="222222"/>
          <w:szCs w:val="20"/>
          <w:shd w:val="clear" w:color="auto" w:fill="FFFFFF"/>
        </w:rPr>
      </w:pPr>
      <w:proofErr w:type="spellStart"/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Vandendriesche</w:t>
      </w:r>
      <w:proofErr w:type="spellEnd"/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, D., &amp; Haugen, L. (2008). Comparison of FVS projection of oak decline on the Mark Twain</w:t>
      </w:r>
    </w:p>
    <w:p w14:paraId="5ADDD4FB" w14:textId="169BB522" w:rsidR="003C1A51" w:rsidRPr="00585D77" w:rsidRDefault="003C1A51" w:rsidP="00025987">
      <w:pPr>
        <w:ind w:left="720"/>
        <w:rPr>
          <w:rFonts w:ascii="Garamond" w:hAnsi="Garamond"/>
          <w:sz w:val="24"/>
        </w:rPr>
      </w:pPr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National Forest to actual growth and mortality as measured over three FIA inventory cycles. In </w:t>
      </w:r>
      <w:r w:rsidRPr="00585D77">
        <w:rPr>
          <w:rFonts w:ascii="Garamond" w:hAnsi="Garamond" w:cs="Arial"/>
          <w:i/>
          <w:iCs/>
          <w:color w:val="222222"/>
          <w:szCs w:val="20"/>
          <w:shd w:val="clear" w:color="auto" w:fill="FFFFFF"/>
        </w:rPr>
        <w:t>Third Forest Vegetation Simulator Conference</w:t>
      </w:r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 (pp. 68-80). USDA Forest Service. RMRS-P-54. Fort Collins, CO.</w:t>
      </w:r>
    </w:p>
    <w:p w14:paraId="679E5DE7" w14:textId="41855FED" w:rsidR="001306D8" w:rsidRPr="00585D77" w:rsidRDefault="001306D8">
      <w:pPr>
        <w:rPr>
          <w:rFonts w:ascii="Garamond" w:hAnsi="Garamond"/>
          <w:sz w:val="24"/>
        </w:rPr>
      </w:pPr>
    </w:p>
    <w:p w14:paraId="77B4CC52" w14:textId="77777777" w:rsidR="00025987" w:rsidRDefault="003C1A51">
      <w:pPr>
        <w:rPr>
          <w:rFonts w:ascii="Garamond" w:hAnsi="Garamond" w:cs="Arial"/>
          <w:color w:val="222222"/>
          <w:szCs w:val="20"/>
          <w:shd w:val="clear" w:color="auto" w:fill="FFFFFF"/>
        </w:rPr>
      </w:pPr>
      <w:proofErr w:type="spellStart"/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Carleer</w:t>
      </w:r>
      <w:proofErr w:type="spellEnd"/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, A., &amp; Wolff, E. (2004). Exploitation of very high resolution satellite data for tree species</w:t>
      </w:r>
    </w:p>
    <w:p w14:paraId="427BA2D5" w14:textId="4DDB78C4" w:rsidR="003C1A51" w:rsidRPr="00585D77" w:rsidRDefault="003C1A51" w:rsidP="00025987">
      <w:pPr>
        <w:ind w:firstLine="720"/>
        <w:rPr>
          <w:rFonts w:ascii="Garamond" w:hAnsi="Garamond"/>
          <w:sz w:val="24"/>
        </w:rPr>
      </w:pPr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identification. </w:t>
      </w:r>
      <w:r w:rsidRPr="00585D77">
        <w:rPr>
          <w:rFonts w:ascii="Garamond" w:hAnsi="Garamond" w:cs="Arial"/>
          <w:i/>
          <w:iCs/>
          <w:color w:val="222222"/>
          <w:szCs w:val="20"/>
          <w:shd w:val="clear" w:color="auto" w:fill="FFFFFF"/>
        </w:rPr>
        <w:t>Photogrammetric Engineering &amp; Remote Sensing</w:t>
      </w:r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, </w:t>
      </w:r>
      <w:r w:rsidRPr="00585D77">
        <w:rPr>
          <w:rFonts w:ascii="Garamond" w:hAnsi="Garamond" w:cs="Arial"/>
          <w:i/>
          <w:iCs/>
          <w:color w:val="222222"/>
          <w:szCs w:val="20"/>
          <w:shd w:val="clear" w:color="auto" w:fill="FFFFFF"/>
        </w:rPr>
        <w:t>70</w:t>
      </w:r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(1), 135-140.</w:t>
      </w:r>
    </w:p>
    <w:p w14:paraId="656B95B6" w14:textId="146D2B81" w:rsidR="00AC7F03" w:rsidRPr="00585D77" w:rsidRDefault="00AC7F03">
      <w:pPr>
        <w:rPr>
          <w:rFonts w:ascii="Garamond" w:hAnsi="Garamond"/>
          <w:sz w:val="24"/>
        </w:rPr>
      </w:pPr>
    </w:p>
    <w:p w14:paraId="70520BFC" w14:textId="77777777" w:rsidR="00025987" w:rsidRDefault="003C1A51">
      <w:pPr>
        <w:rPr>
          <w:rFonts w:ascii="Garamond" w:hAnsi="Garamond" w:cs="Arial"/>
          <w:color w:val="222222"/>
          <w:szCs w:val="20"/>
          <w:shd w:val="clear" w:color="auto" w:fill="FFFFFF"/>
        </w:rPr>
      </w:pPr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 xml:space="preserve">Norris, M. D., Blair, J. M., Johnson, L. C., &amp; </w:t>
      </w:r>
      <w:proofErr w:type="spellStart"/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McKane</w:t>
      </w:r>
      <w:proofErr w:type="spellEnd"/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, R. B. (2001). Assessing changes in biomass,</w:t>
      </w:r>
    </w:p>
    <w:p w14:paraId="144FAF80" w14:textId="5C02BE79" w:rsidR="003C1A51" w:rsidRPr="00585D77" w:rsidRDefault="003C1A51" w:rsidP="00025987">
      <w:pPr>
        <w:ind w:left="720"/>
        <w:rPr>
          <w:rFonts w:ascii="Garamond" w:hAnsi="Garamond"/>
          <w:sz w:val="24"/>
        </w:rPr>
      </w:pPr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 xml:space="preserve">productivity, and C and N stores following </w:t>
      </w:r>
      <w:proofErr w:type="spellStart"/>
      <w:r w:rsidRPr="009B4B47">
        <w:rPr>
          <w:rFonts w:ascii="Garamond" w:hAnsi="Garamond" w:cs="Arial"/>
          <w:i/>
          <w:color w:val="222222"/>
          <w:szCs w:val="20"/>
          <w:shd w:val="clear" w:color="auto" w:fill="FFFFFF"/>
        </w:rPr>
        <w:t>Juniperus</w:t>
      </w:r>
      <w:proofErr w:type="spellEnd"/>
      <w:r w:rsidRPr="009B4B47">
        <w:rPr>
          <w:rFonts w:ascii="Garamond" w:hAnsi="Garamond" w:cs="Arial"/>
          <w:i/>
          <w:color w:val="222222"/>
          <w:szCs w:val="20"/>
          <w:shd w:val="clear" w:color="auto" w:fill="FFFFFF"/>
        </w:rPr>
        <w:t xml:space="preserve"> </w:t>
      </w:r>
      <w:proofErr w:type="spellStart"/>
      <w:r w:rsidRPr="009B4B47">
        <w:rPr>
          <w:rFonts w:ascii="Garamond" w:hAnsi="Garamond" w:cs="Arial"/>
          <w:i/>
          <w:color w:val="222222"/>
          <w:szCs w:val="20"/>
          <w:shd w:val="clear" w:color="auto" w:fill="FFFFFF"/>
        </w:rPr>
        <w:t>virginiana</w:t>
      </w:r>
      <w:proofErr w:type="spellEnd"/>
      <w:r w:rsidRPr="009B4B47">
        <w:rPr>
          <w:rFonts w:ascii="Garamond" w:hAnsi="Garamond" w:cs="Arial"/>
          <w:i/>
          <w:color w:val="222222"/>
          <w:szCs w:val="20"/>
          <w:shd w:val="clear" w:color="auto" w:fill="FFFFFF"/>
        </w:rPr>
        <w:t xml:space="preserve"> </w:t>
      </w:r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forest expansion into tallgrass prairie. </w:t>
      </w:r>
      <w:r w:rsidRPr="00585D77">
        <w:rPr>
          <w:rFonts w:ascii="Garamond" w:hAnsi="Garamond" w:cs="Arial"/>
          <w:i/>
          <w:iCs/>
          <w:color w:val="222222"/>
          <w:szCs w:val="20"/>
          <w:shd w:val="clear" w:color="auto" w:fill="FFFFFF"/>
        </w:rPr>
        <w:t>Canadian Journal of Forest Research</w:t>
      </w:r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, </w:t>
      </w:r>
      <w:r w:rsidRPr="00585D77">
        <w:rPr>
          <w:rFonts w:ascii="Garamond" w:hAnsi="Garamond" w:cs="Arial"/>
          <w:i/>
          <w:iCs/>
          <w:color w:val="222222"/>
          <w:szCs w:val="20"/>
          <w:shd w:val="clear" w:color="auto" w:fill="FFFFFF"/>
        </w:rPr>
        <w:t>31</w:t>
      </w:r>
      <w:r w:rsidRPr="00585D77">
        <w:rPr>
          <w:rFonts w:ascii="Garamond" w:hAnsi="Garamond" w:cs="Arial"/>
          <w:color w:val="222222"/>
          <w:szCs w:val="20"/>
          <w:shd w:val="clear" w:color="auto" w:fill="FFFFFF"/>
        </w:rPr>
        <w:t>(11), 1940-1946.</w:t>
      </w:r>
    </w:p>
    <w:p w14:paraId="74A64FB4" w14:textId="2B4C936B" w:rsidR="001306D8" w:rsidRPr="00585D77" w:rsidRDefault="001306D8">
      <w:pPr>
        <w:rPr>
          <w:rFonts w:ascii="Garamond" w:hAnsi="Garamond"/>
          <w:sz w:val="24"/>
        </w:rPr>
      </w:pPr>
    </w:p>
    <w:p w14:paraId="057147FA" w14:textId="1803ABE2" w:rsidR="00307AF3" w:rsidRDefault="00307AF3">
      <w:pPr>
        <w:rPr>
          <w:rFonts w:ascii="Garamond" w:hAnsi="Garamond" w:cs="Arial"/>
          <w:color w:val="222222"/>
          <w:szCs w:val="20"/>
          <w:shd w:val="clear" w:color="auto" w:fill="FFFFFF"/>
        </w:rPr>
      </w:pPr>
    </w:p>
    <w:p w14:paraId="378F96AD" w14:textId="123CB73C" w:rsidR="004519BB" w:rsidRPr="00350E3A" w:rsidRDefault="004519BB">
      <w:pPr>
        <w:rPr>
          <w:rFonts w:ascii="Garamond" w:hAnsi="Garamond"/>
          <w:sz w:val="24"/>
        </w:rPr>
      </w:pPr>
      <w:r>
        <w:rPr>
          <w:rFonts w:ascii="Garamond" w:hAnsi="Garamond" w:cs="Arial"/>
          <w:color w:val="222222"/>
          <w:szCs w:val="20"/>
          <w:shd w:val="clear" w:color="auto" w:fill="FFFFFF"/>
        </w:rPr>
        <w:t xml:space="preserve"> </w:t>
      </w:r>
    </w:p>
    <w:sectPr w:rsidR="004519BB" w:rsidRPr="00350E3A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02E0A"/>
    <w:multiLevelType w:val="hybridMultilevel"/>
    <w:tmpl w:val="E23E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A52FB"/>
    <w:multiLevelType w:val="hybridMultilevel"/>
    <w:tmpl w:val="5714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jSyMDYyMzE0sjRR0lEKTi0uzszPAykwqgUASVtHEiwAAAA="/>
  </w:docVars>
  <w:rsids>
    <w:rsidRoot w:val="007B73F9"/>
    <w:rsid w:val="0001261B"/>
    <w:rsid w:val="00014585"/>
    <w:rsid w:val="00020050"/>
    <w:rsid w:val="00025987"/>
    <w:rsid w:val="000263DE"/>
    <w:rsid w:val="00030DCE"/>
    <w:rsid w:val="00031A6C"/>
    <w:rsid w:val="00061EE8"/>
    <w:rsid w:val="00073224"/>
    <w:rsid w:val="00075708"/>
    <w:rsid w:val="00095D93"/>
    <w:rsid w:val="000B6B38"/>
    <w:rsid w:val="000D7963"/>
    <w:rsid w:val="000E3C1F"/>
    <w:rsid w:val="000E4025"/>
    <w:rsid w:val="000F487D"/>
    <w:rsid w:val="000F76DA"/>
    <w:rsid w:val="00107706"/>
    <w:rsid w:val="00123B69"/>
    <w:rsid w:val="001306D8"/>
    <w:rsid w:val="00134C6A"/>
    <w:rsid w:val="001520EA"/>
    <w:rsid w:val="001538F2"/>
    <w:rsid w:val="00164AAB"/>
    <w:rsid w:val="001976DA"/>
    <w:rsid w:val="001A2ECC"/>
    <w:rsid w:val="001A4E78"/>
    <w:rsid w:val="001D1B19"/>
    <w:rsid w:val="001D546E"/>
    <w:rsid w:val="001E5271"/>
    <w:rsid w:val="002046C4"/>
    <w:rsid w:val="0022612D"/>
    <w:rsid w:val="00227218"/>
    <w:rsid w:val="0023408F"/>
    <w:rsid w:val="00272CD9"/>
    <w:rsid w:val="00273BD3"/>
    <w:rsid w:val="00276572"/>
    <w:rsid w:val="00285042"/>
    <w:rsid w:val="00290705"/>
    <w:rsid w:val="002B6846"/>
    <w:rsid w:val="002C501D"/>
    <w:rsid w:val="002D23CE"/>
    <w:rsid w:val="002D6CAD"/>
    <w:rsid w:val="002E2D9E"/>
    <w:rsid w:val="002F0CBB"/>
    <w:rsid w:val="00302E59"/>
    <w:rsid w:val="00307AF3"/>
    <w:rsid w:val="00314539"/>
    <w:rsid w:val="003303E2"/>
    <w:rsid w:val="003347A7"/>
    <w:rsid w:val="00334B0C"/>
    <w:rsid w:val="00347670"/>
    <w:rsid w:val="00350E3A"/>
    <w:rsid w:val="00353F4B"/>
    <w:rsid w:val="00354889"/>
    <w:rsid w:val="00362915"/>
    <w:rsid w:val="00384B24"/>
    <w:rsid w:val="003B3B26"/>
    <w:rsid w:val="003B54D0"/>
    <w:rsid w:val="003C1A51"/>
    <w:rsid w:val="003C28CD"/>
    <w:rsid w:val="003D2EDF"/>
    <w:rsid w:val="003D6B70"/>
    <w:rsid w:val="003E2AA3"/>
    <w:rsid w:val="003F0E91"/>
    <w:rsid w:val="0041686A"/>
    <w:rsid w:val="004228B2"/>
    <w:rsid w:val="0042353D"/>
    <w:rsid w:val="0042359A"/>
    <w:rsid w:val="00437205"/>
    <w:rsid w:val="004519BB"/>
    <w:rsid w:val="00453F48"/>
    <w:rsid w:val="00461AA0"/>
    <w:rsid w:val="00467737"/>
    <w:rsid w:val="00476EA1"/>
    <w:rsid w:val="004B304D"/>
    <w:rsid w:val="004C0A16"/>
    <w:rsid w:val="004D1E43"/>
    <w:rsid w:val="004F2AD1"/>
    <w:rsid w:val="0052075F"/>
    <w:rsid w:val="005344D2"/>
    <w:rsid w:val="00542AAA"/>
    <w:rsid w:val="00544C88"/>
    <w:rsid w:val="00547747"/>
    <w:rsid w:val="00565EE1"/>
    <w:rsid w:val="00583971"/>
    <w:rsid w:val="00585D77"/>
    <w:rsid w:val="00594D0B"/>
    <w:rsid w:val="005A0EA8"/>
    <w:rsid w:val="005C5954"/>
    <w:rsid w:val="005C6FC1"/>
    <w:rsid w:val="005D3F60"/>
    <w:rsid w:val="005D7108"/>
    <w:rsid w:val="005E6FDF"/>
    <w:rsid w:val="00614CA7"/>
    <w:rsid w:val="0062252E"/>
    <w:rsid w:val="00627A47"/>
    <w:rsid w:val="00627C36"/>
    <w:rsid w:val="006324C0"/>
    <w:rsid w:val="006346BD"/>
    <w:rsid w:val="00636983"/>
    <w:rsid w:val="00636FAE"/>
    <w:rsid w:val="006452A4"/>
    <w:rsid w:val="006515E3"/>
    <w:rsid w:val="00675AC2"/>
    <w:rsid w:val="00676C74"/>
    <w:rsid w:val="006804AC"/>
    <w:rsid w:val="00695D85"/>
    <w:rsid w:val="006A2A26"/>
    <w:rsid w:val="006B39A8"/>
    <w:rsid w:val="006B7491"/>
    <w:rsid w:val="006C1719"/>
    <w:rsid w:val="006E1C6C"/>
    <w:rsid w:val="007059D2"/>
    <w:rsid w:val="007072BA"/>
    <w:rsid w:val="007226AE"/>
    <w:rsid w:val="00735F70"/>
    <w:rsid w:val="0073702A"/>
    <w:rsid w:val="007419D1"/>
    <w:rsid w:val="00752AC5"/>
    <w:rsid w:val="00760B99"/>
    <w:rsid w:val="0076747F"/>
    <w:rsid w:val="007715BF"/>
    <w:rsid w:val="00782999"/>
    <w:rsid w:val="007A4F2A"/>
    <w:rsid w:val="007A7268"/>
    <w:rsid w:val="007B73F9"/>
    <w:rsid w:val="007C08E6"/>
    <w:rsid w:val="0080287D"/>
    <w:rsid w:val="008060AF"/>
    <w:rsid w:val="00806DE6"/>
    <w:rsid w:val="00807B4D"/>
    <w:rsid w:val="00821DF3"/>
    <w:rsid w:val="00835C04"/>
    <w:rsid w:val="008403B8"/>
    <w:rsid w:val="0086051E"/>
    <w:rsid w:val="00862060"/>
    <w:rsid w:val="00896D48"/>
    <w:rsid w:val="008A4B10"/>
    <w:rsid w:val="008A6B7B"/>
    <w:rsid w:val="008B3821"/>
    <w:rsid w:val="008D41B1"/>
    <w:rsid w:val="008D7444"/>
    <w:rsid w:val="00916099"/>
    <w:rsid w:val="009268F5"/>
    <w:rsid w:val="00937ED2"/>
    <w:rsid w:val="00941956"/>
    <w:rsid w:val="0094514E"/>
    <w:rsid w:val="009479E5"/>
    <w:rsid w:val="009812BB"/>
    <w:rsid w:val="009869B7"/>
    <w:rsid w:val="009A09FD"/>
    <w:rsid w:val="009A492A"/>
    <w:rsid w:val="009B08C3"/>
    <w:rsid w:val="009B0CFD"/>
    <w:rsid w:val="009B4B47"/>
    <w:rsid w:val="009D7235"/>
    <w:rsid w:val="009E1788"/>
    <w:rsid w:val="009E4CFF"/>
    <w:rsid w:val="00A0319C"/>
    <w:rsid w:val="00A07C1D"/>
    <w:rsid w:val="00A1636F"/>
    <w:rsid w:val="00A23FF8"/>
    <w:rsid w:val="00A35ACF"/>
    <w:rsid w:val="00A4473F"/>
    <w:rsid w:val="00A44DD0"/>
    <w:rsid w:val="00A46F34"/>
    <w:rsid w:val="00A502A8"/>
    <w:rsid w:val="00A50CFE"/>
    <w:rsid w:val="00A5463B"/>
    <w:rsid w:val="00A60645"/>
    <w:rsid w:val="00A66AE9"/>
    <w:rsid w:val="00A802D5"/>
    <w:rsid w:val="00A80A92"/>
    <w:rsid w:val="00A8257F"/>
    <w:rsid w:val="00AB2804"/>
    <w:rsid w:val="00AC4DE3"/>
    <w:rsid w:val="00AC7F03"/>
    <w:rsid w:val="00AD47E8"/>
    <w:rsid w:val="00AE46F5"/>
    <w:rsid w:val="00B046F8"/>
    <w:rsid w:val="00B321BC"/>
    <w:rsid w:val="00B43262"/>
    <w:rsid w:val="00B560ED"/>
    <w:rsid w:val="00B73203"/>
    <w:rsid w:val="00B76BDC"/>
    <w:rsid w:val="00B81E34"/>
    <w:rsid w:val="00B82905"/>
    <w:rsid w:val="00B93E81"/>
    <w:rsid w:val="00B9571C"/>
    <w:rsid w:val="00B9614C"/>
    <w:rsid w:val="00BB1A3F"/>
    <w:rsid w:val="00BD0255"/>
    <w:rsid w:val="00BD12EC"/>
    <w:rsid w:val="00C057E9"/>
    <w:rsid w:val="00C202A0"/>
    <w:rsid w:val="00C27214"/>
    <w:rsid w:val="00C32A58"/>
    <w:rsid w:val="00C33A8E"/>
    <w:rsid w:val="00C55FC9"/>
    <w:rsid w:val="00C639D5"/>
    <w:rsid w:val="00C678DC"/>
    <w:rsid w:val="00C7105F"/>
    <w:rsid w:val="00C72F1A"/>
    <w:rsid w:val="00C82473"/>
    <w:rsid w:val="00C82C8C"/>
    <w:rsid w:val="00C83576"/>
    <w:rsid w:val="00CA0A4F"/>
    <w:rsid w:val="00CA0EED"/>
    <w:rsid w:val="00CA4793"/>
    <w:rsid w:val="00CB421A"/>
    <w:rsid w:val="00CB51DA"/>
    <w:rsid w:val="00CC7683"/>
    <w:rsid w:val="00CD0433"/>
    <w:rsid w:val="00CE4F6F"/>
    <w:rsid w:val="00CF4D6F"/>
    <w:rsid w:val="00D07222"/>
    <w:rsid w:val="00D12F5B"/>
    <w:rsid w:val="00D22F4A"/>
    <w:rsid w:val="00D25A3B"/>
    <w:rsid w:val="00D3189E"/>
    <w:rsid w:val="00D3192F"/>
    <w:rsid w:val="00D441FB"/>
    <w:rsid w:val="00D55491"/>
    <w:rsid w:val="00D63B6C"/>
    <w:rsid w:val="00D808DE"/>
    <w:rsid w:val="00DA3F71"/>
    <w:rsid w:val="00DB5124"/>
    <w:rsid w:val="00DC6974"/>
    <w:rsid w:val="00E11596"/>
    <w:rsid w:val="00E24415"/>
    <w:rsid w:val="00E50D71"/>
    <w:rsid w:val="00E55138"/>
    <w:rsid w:val="00E55DC5"/>
    <w:rsid w:val="00E6039B"/>
    <w:rsid w:val="00EA7748"/>
    <w:rsid w:val="00EB4818"/>
    <w:rsid w:val="00EC3694"/>
    <w:rsid w:val="00ED6B3C"/>
    <w:rsid w:val="00EE571A"/>
    <w:rsid w:val="00EE5E74"/>
    <w:rsid w:val="00F03064"/>
    <w:rsid w:val="00F038E6"/>
    <w:rsid w:val="00F1255A"/>
    <w:rsid w:val="00F20A93"/>
    <w:rsid w:val="00F2154C"/>
    <w:rsid w:val="00F24033"/>
    <w:rsid w:val="00F24D3B"/>
    <w:rsid w:val="00F268BE"/>
    <w:rsid w:val="00F26E95"/>
    <w:rsid w:val="00F52113"/>
    <w:rsid w:val="00FB1905"/>
    <w:rsid w:val="00FB6C61"/>
    <w:rsid w:val="00FE4B3B"/>
    <w:rsid w:val="00FF0A9A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DAC63AB9-7253-9E4D-AE4C-83D0C392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nrlnc">
    <w:name w:val="ynrlnc"/>
    <w:basedOn w:val="DefaultParagraphFont"/>
    <w:rsid w:val="00D4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962C-2ED5-4586-AE16-05EF7A36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lmchilds</dc:creator>
  <cp:keywords/>
  <dc:description/>
  <cp:lastModifiedBy>Clayton, Amanda L. (LARC-E3)[SSAI DEVELOP]</cp:lastModifiedBy>
  <cp:revision>4</cp:revision>
  <dcterms:created xsi:type="dcterms:W3CDTF">2020-05-29T18:14:00Z</dcterms:created>
  <dcterms:modified xsi:type="dcterms:W3CDTF">2020-05-29T20:00:00Z</dcterms:modified>
</cp:coreProperties>
</file>