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34352D3F" w14:textId="77777777" w:rsidR="00BA5D75" w:rsidRPr="00614FFD" w:rsidRDefault="00BA5D75" w:rsidP="00BA5D75">
      <w:pPr>
        <w:rPr>
          <w:b/>
        </w:rPr>
      </w:pPr>
      <w:r w:rsidRPr="00614FFD">
        <w:rPr>
          <w:b/>
        </w:rPr>
        <w:t>NASA Goddard Space Flight Center</w:t>
      </w:r>
    </w:p>
    <w:p w14:paraId="11096CD8" w14:textId="77777777" w:rsidR="00BA5D75" w:rsidRPr="00CD0433" w:rsidRDefault="00BA5D75" w:rsidP="00BA5D75">
      <w:pPr>
        <w:rPr>
          <w:b/>
          <w:sz w:val="20"/>
          <w:szCs w:val="20"/>
        </w:rPr>
      </w:pPr>
      <w:r>
        <w:rPr>
          <w:b/>
          <w:sz w:val="20"/>
          <w:szCs w:val="20"/>
        </w:rPr>
        <w:t>Chesapeake Bay Ecological Forecasting</w:t>
      </w:r>
    </w:p>
    <w:p w14:paraId="414F1B68" w14:textId="62799E68" w:rsidR="00BA5D75" w:rsidRPr="00614FFD" w:rsidRDefault="00BA5D75" w:rsidP="00BA5D75">
      <w:pPr>
        <w:rPr>
          <w:i/>
          <w:sz w:val="20"/>
          <w:szCs w:val="20"/>
        </w:rPr>
      </w:pPr>
      <w:r>
        <w:rPr>
          <w:i/>
          <w:sz w:val="20"/>
          <w:szCs w:val="20"/>
        </w:rPr>
        <w:t>Utilizing</w:t>
      </w:r>
      <w:r w:rsidRPr="00614FFD">
        <w:rPr>
          <w:i/>
          <w:sz w:val="20"/>
          <w:szCs w:val="20"/>
        </w:rPr>
        <w:t xml:space="preserve"> NASA Earth Observations to </w:t>
      </w:r>
      <w:r w:rsidR="00B7710E">
        <w:rPr>
          <w:i/>
          <w:sz w:val="20"/>
          <w:szCs w:val="20"/>
        </w:rPr>
        <w:t>Monitor</w:t>
      </w:r>
      <w:r w:rsidRPr="00614FFD">
        <w:rPr>
          <w:i/>
          <w:sz w:val="20"/>
          <w:szCs w:val="20"/>
        </w:rPr>
        <w:t xml:space="preserve"> Marsh Health in the Chesapeake Bay</w:t>
      </w:r>
      <w:r>
        <w:rPr>
          <w:i/>
          <w:sz w:val="20"/>
          <w:szCs w:val="20"/>
        </w:rPr>
        <w:t xml:space="preserve"> to </w:t>
      </w:r>
      <w:r w:rsidR="00056BA1">
        <w:rPr>
          <w:i/>
          <w:sz w:val="20"/>
          <w:szCs w:val="20"/>
        </w:rPr>
        <w:t>S</w:t>
      </w:r>
      <w:r w:rsidR="00B7710E">
        <w:rPr>
          <w:i/>
          <w:sz w:val="20"/>
          <w:szCs w:val="20"/>
        </w:rPr>
        <w:t>upport the Maryland Department of Natural Resources Coastal Resiliency Assessment</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6E65D749" w:rsidR="008B3821" w:rsidRPr="008B3821" w:rsidRDefault="008B3821" w:rsidP="00276572">
      <w:pPr>
        <w:rPr>
          <w:sz w:val="20"/>
          <w:szCs w:val="20"/>
        </w:rPr>
      </w:pPr>
      <w:r w:rsidRPr="00F268BE">
        <w:rPr>
          <w:b/>
          <w:i/>
          <w:sz w:val="20"/>
          <w:szCs w:val="20"/>
        </w:rPr>
        <w:t>Project Synopsis</w:t>
      </w:r>
      <w:r>
        <w:rPr>
          <w:b/>
          <w:sz w:val="20"/>
          <w:szCs w:val="20"/>
        </w:rPr>
        <w:t xml:space="preserve">: </w:t>
      </w:r>
      <w:r w:rsidR="00CB1D36" w:rsidRPr="00614FFD">
        <w:rPr>
          <w:rFonts w:ascii="Garamond" w:hAnsi="Garamond"/>
        </w:rPr>
        <w:t>T</w:t>
      </w:r>
      <w:r w:rsidR="00CB1D36">
        <w:rPr>
          <w:rFonts w:ascii="Garamond" w:hAnsi="Garamond"/>
        </w:rPr>
        <w:t xml:space="preserve">his project will </w:t>
      </w:r>
      <w:r w:rsidR="00BA5D75" w:rsidRPr="00614FFD">
        <w:rPr>
          <w:rFonts w:ascii="Garamond" w:hAnsi="Garamond"/>
        </w:rPr>
        <w:t xml:space="preserve">assist The Nature Conservancy and the Maryland Department of Natural Resources in their decision-making process by evaluating and forecasting marsh health in the Chesapeake Bay </w:t>
      </w:r>
      <w:r w:rsidR="00B7710E">
        <w:rPr>
          <w:rFonts w:ascii="Garamond" w:hAnsi="Garamond"/>
        </w:rPr>
        <w:t>using Earth observations</w:t>
      </w:r>
      <w:r w:rsidR="00BA5D75" w:rsidRPr="00614FFD">
        <w:rPr>
          <w:rFonts w:ascii="Garamond" w:hAnsi="Garamond"/>
        </w:rPr>
        <w:t>.</w:t>
      </w:r>
      <w:r w:rsidR="0018554A">
        <w:rPr>
          <w:rFonts w:ascii="Garamond" w:hAnsi="Garamond"/>
        </w:rPr>
        <w:t xml:space="preserve"> Spectral vegetation indices will be derived from Landsat, Aqua, Terra, and Sentinel-2 missions to identify trends </w:t>
      </w:r>
      <w:r w:rsidR="0018554A" w:rsidRPr="00614FFD">
        <w:rPr>
          <w:rFonts w:ascii="Garamond" w:hAnsi="Garamond"/>
        </w:rPr>
        <w:t>based on historic</w:t>
      </w:r>
      <w:r w:rsidR="0018554A">
        <w:rPr>
          <w:rFonts w:ascii="Garamond" w:hAnsi="Garamond"/>
        </w:rPr>
        <w:t xml:space="preserve">al marsh health characteristics, allowing </w:t>
      </w:r>
      <w:r w:rsidR="0018554A" w:rsidRPr="0018554A">
        <w:rPr>
          <w:rFonts w:ascii="Garamond" w:hAnsi="Garamond"/>
        </w:rPr>
        <w:t xml:space="preserve">The Nature Conservancy and Maryland Department of Natural Resources </w:t>
      </w:r>
      <w:r w:rsidR="00F56A6F">
        <w:rPr>
          <w:rFonts w:ascii="Garamond" w:hAnsi="Garamond"/>
        </w:rPr>
        <w:t xml:space="preserve">to </w:t>
      </w:r>
      <w:r w:rsidR="002A0AE4">
        <w:rPr>
          <w:rFonts w:ascii="Garamond" w:hAnsi="Garamond"/>
        </w:rPr>
        <w:t>further improve</w:t>
      </w:r>
      <w:r w:rsidR="00DB6B0C">
        <w:rPr>
          <w:rFonts w:ascii="Garamond" w:hAnsi="Garamond"/>
        </w:rPr>
        <w:t xml:space="preserve"> </w:t>
      </w:r>
      <w:r w:rsidR="00F56A6F">
        <w:rPr>
          <w:rFonts w:ascii="Garamond" w:hAnsi="Garamond"/>
        </w:rPr>
        <w:t>a coastal resiliency assessment that identifies where natural habitats provide the greatest potential risk reduction for coastal communities.</w:t>
      </w:r>
    </w:p>
    <w:p w14:paraId="1E7BF85A" w14:textId="77777777" w:rsidR="008B3821" w:rsidRDefault="008B3821" w:rsidP="008B3821">
      <w:pPr>
        <w:rPr>
          <w:b/>
          <w:sz w:val="20"/>
          <w:szCs w:val="20"/>
        </w:rPr>
      </w:pPr>
    </w:p>
    <w:p w14:paraId="61B4ADB8" w14:textId="5F0E00C9" w:rsidR="00353F4B" w:rsidRPr="00BA5D75" w:rsidRDefault="00353F4B" w:rsidP="008B3821">
      <w:pPr>
        <w:rPr>
          <w:rFonts w:ascii="Garamond" w:hAnsi="Garamond"/>
        </w:rPr>
      </w:pPr>
      <w:r w:rsidRPr="00CD0433">
        <w:rPr>
          <w:b/>
          <w:i/>
          <w:sz w:val="20"/>
          <w:szCs w:val="20"/>
        </w:rPr>
        <w:t>Community Concern:</w:t>
      </w:r>
      <w:r w:rsidRPr="00CD0433">
        <w:rPr>
          <w:sz w:val="20"/>
          <w:szCs w:val="20"/>
        </w:rPr>
        <w:t xml:space="preserve"> </w:t>
      </w:r>
      <w:r w:rsidR="00BA5D75" w:rsidRPr="00614FFD">
        <w:rPr>
          <w:rFonts w:ascii="Garamond" w:hAnsi="Garamond"/>
        </w:rPr>
        <w:t>Wetlands are critical in supporting the healthy waters and diverse wildlife of the Chesapeake Bay watershed. Wetlands also provide habitat to hundreds of fish, bird, mammal and invertebrate</w:t>
      </w:r>
      <w:r w:rsidR="003175CE">
        <w:rPr>
          <w:rFonts w:ascii="Garamond" w:hAnsi="Garamond"/>
        </w:rPr>
        <w:t xml:space="preserve"> species</w:t>
      </w:r>
      <w:r w:rsidR="00312D35">
        <w:rPr>
          <w:rFonts w:ascii="Garamond" w:hAnsi="Garamond"/>
        </w:rPr>
        <w:t xml:space="preserve">, as well </w:t>
      </w:r>
      <w:r w:rsidR="003175CE">
        <w:rPr>
          <w:rFonts w:ascii="Garamond" w:hAnsi="Garamond"/>
        </w:rPr>
        <w:t xml:space="preserve">as </w:t>
      </w:r>
      <w:r w:rsidR="00312D35">
        <w:rPr>
          <w:rFonts w:ascii="Garamond" w:hAnsi="Garamond"/>
        </w:rPr>
        <w:t>protect coastal habitats and communities from rising seas and intense storms</w:t>
      </w:r>
      <w:r w:rsidR="00BA5D75" w:rsidRPr="00614FFD">
        <w:rPr>
          <w:rFonts w:ascii="Garamond" w:hAnsi="Garamond"/>
        </w:rPr>
        <w:t>. Protecting and restoring wetlands is a key way to promote clean water, healthy habitats</w:t>
      </w:r>
      <w:r w:rsidR="003175CE">
        <w:rPr>
          <w:rFonts w:ascii="Garamond" w:hAnsi="Garamond"/>
        </w:rPr>
        <w:t>,</w:t>
      </w:r>
      <w:r w:rsidR="00BA5D75" w:rsidRPr="00614FFD">
        <w:rPr>
          <w:rFonts w:ascii="Garamond" w:hAnsi="Garamond"/>
        </w:rPr>
        <w:t xml:space="preserve"> and a restored Bay.</w:t>
      </w:r>
      <w:r w:rsidR="00080B03">
        <w:rPr>
          <w:rFonts w:ascii="Garamond" w:hAnsi="Garamond"/>
        </w:rPr>
        <w:t xml:space="preserve"> </w:t>
      </w:r>
      <w:r w:rsidR="00BA5D75" w:rsidRPr="00614FFD">
        <w:rPr>
          <w:rFonts w:ascii="Garamond" w:hAnsi="Garamond"/>
        </w:rPr>
        <w:t xml:space="preserve">By monitoring and forecasting marsh health in the Chesapeake Bay, The Nature Conservancy </w:t>
      </w:r>
      <w:r w:rsidR="00312D35">
        <w:rPr>
          <w:rFonts w:ascii="Garamond" w:hAnsi="Garamond"/>
        </w:rPr>
        <w:t xml:space="preserve">(TNC) </w:t>
      </w:r>
      <w:r w:rsidR="00BA5D75" w:rsidRPr="00614FFD">
        <w:rPr>
          <w:rFonts w:ascii="Garamond" w:hAnsi="Garamond"/>
        </w:rPr>
        <w:t xml:space="preserve">and the Maryland Department of Natural Resources </w:t>
      </w:r>
      <w:r w:rsidR="00312D35">
        <w:rPr>
          <w:rFonts w:ascii="Garamond" w:hAnsi="Garamond"/>
        </w:rPr>
        <w:t xml:space="preserve">(DNR) </w:t>
      </w:r>
      <w:r w:rsidR="00BA5D75" w:rsidRPr="00614FFD">
        <w:rPr>
          <w:rFonts w:ascii="Garamond" w:hAnsi="Garamond"/>
        </w:rPr>
        <w:t>can develop more informed decision</w:t>
      </w:r>
      <w:r w:rsidR="009402DD">
        <w:rPr>
          <w:rFonts w:ascii="Garamond" w:hAnsi="Garamond"/>
        </w:rPr>
        <w:t>-</w:t>
      </w:r>
      <w:r w:rsidR="00BA5D75" w:rsidRPr="00614FFD">
        <w:rPr>
          <w:rFonts w:ascii="Garamond" w:hAnsi="Garamond"/>
        </w:rPr>
        <w:t>making plans regarding restoration and conservation.</w:t>
      </w:r>
    </w:p>
    <w:p w14:paraId="6B794CB9" w14:textId="77777777" w:rsidR="00353F4B" w:rsidRDefault="00353F4B" w:rsidP="008B3821">
      <w:pPr>
        <w:rPr>
          <w:b/>
          <w:sz w:val="20"/>
          <w:szCs w:val="20"/>
        </w:rPr>
      </w:pPr>
    </w:p>
    <w:p w14:paraId="14F3574F" w14:textId="1D1F2489" w:rsidR="008B3821" w:rsidRPr="00BA5D75" w:rsidRDefault="008B3821" w:rsidP="008B3821">
      <w:pPr>
        <w:rPr>
          <w:rFonts w:ascii="Garamond" w:hAnsi="Garamond"/>
        </w:rPr>
      </w:pPr>
      <w:r w:rsidRPr="00276572">
        <w:rPr>
          <w:b/>
          <w:i/>
          <w:sz w:val="20"/>
          <w:szCs w:val="20"/>
        </w:rPr>
        <w:t>Source of Project Idea:</w:t>
      </w:r>
      <w:r w:rsidRPr="00CD0433">
        <w:rPr>
          <w:sz w:val="20"/>
          <w:szCs w:val="20"/>
        </w:rPr>
        <w:t xml:space="preserve"> </w:t>
      </w:r>
      <w:r w:rsidR="00BA5D75" w:rsidRPr="00CB1344">
        <w:rPr>
          <w:rFonts w:ascii="Garamond" w:hAnsi="Garamond"/>
        </w:rPr>
        <w:t xml:space="preserve">The source of the project idea </w:t>
      </w:r>
      <w:r w:rsidR="00312D35">
        <w:rPr>
          <w:rFonts w:ascii="Garamond" w:hAnsi="Garamond"/>
        </w:rPr>
        <w:t>came</w:t>
      </w:r>
      <w:r w:rsidR="00BA5D75" w:rsidRPr="00CB1344">
        <w:rPr>
          <w:rFonts w:ascii="Garamond" w:hAnsi="Garamond"/>
        </w:rPr>
        <w:t xml:space="preserve"> from </w:t>
      </w:r>
      <w:r w:rsidR="00312D35">
        <w:rPr>
          <w:rFonts w:ascii="Garamond" w:hAnsi="Garamond"/>
        </w:rPr>
        <w:t>Michelle Canick at TNC</w:t>
      </w:r>
      <w:r w:rsidR="00BA5D75" w:rsidRPr="00CB1344">
        <w:rPr>
          <w:rFonts w:ascii="Garamond" w:hAnsi="Garamond"/>
        </w:rPr>
        <w:t xml:space="preserve">. </w:t>
      </w:r>
      <w:r w:rsidR="002A0AE4">
        <w:rPr>
          <w:rFonts w:ascii="Garamond" w:hAnsi="Garamond"/>
        </w:rPr>
        <w:t>Ms.</w:t>
      </w:r>
      <w:r w:rsidR="00080B03">
        <w:rPr>
          <w:rFonts w:ascii="Garamond" w:hAnsi="Garamond"/>
        </w:rPr>
        <w:t xml:space="preserve"> Canick attended the Applied Earth Science Applications Showcase at NASA HQ in the summer of 2016 as a representative of TNC. Following the event, node leadership at GSFC traveled to TNC’s office in Bethesda, MD to discuss potential collaborations between TNC and DEVELOP. It was from this discussion and subsequent emails the project idea was formed, building off work already completed between TNC and the MD DNR on coastal resilience in the Chesapeake Bay. </w:t>
      </w:r>
      <w:r w:rsidR="00BA5D75" w:rsidRPr="00CB1344">
        <w:rPr>
          <w:rFonts w:ascii="Garamond" w:hAnsi="Garamond"/>
        </w:rPr>
        <w:t>The</w:t>
      </w:r>
      <w:r w:rsidR="00080B03">
        <w:rPr>
          <w:rFonts w:ascii="Garamond" w:hAnsi="Garamond"/>
        </w:rPr>
        <w:t xml:space="preserve"> two project partners </w:t>
      </w:r>
      <w:r w:rsidR="00BA5D75" w:rsidRPr="00CB1344">
        <w:rPr>
          <w:rFonts w:ascii="Garamond" w:hAnsi="Garamond"/>
        </w:rPr>
        <w:t>would now like to develop a methodology for using satellite remote sensing to evaluate marsh health.</w:t>
      </w:r>
    </w:p>
    <w:p w14:paraId="56693788" w14:textId="77777777" w:rsidR="008B3821" w:rsidRDefault="008B3821" w:rsidP="00276572">
      <w:pPr>
        <w:rPr>
          <w:b/>
          <w:sz w:val="20"/>
          <w:szCs w:val="20"/>
        </w:rPr>
      </w:pPr>
    </w:p>
    <w:p w14:paraId="1E3527B6" w14:textId="5692E236" w:rsidR="00BA5D75" w:rsidRDefault="00276572" w:rsidP="00DC6974">
      <w:pPr>
        <w:ind w:left="720" w:hanging="720"/>
        <w:rPr>
          <w:b/>
          <w:i/>
          <w:sz w:val="20"/>
          <w:szCs w:val="20"/>
        </w:rPr>
      </w:pPr>
      <w:r w:rsidRPr="00276572">
        <w:rPr>
          <w:b/>
          <w:i/>
          <w:sz w:val="20"/>
          <w:szCs w:val="20"/>
        </w:rPr>
        <w:t>National Application Area Addressed:</w:t>
      </w:r>
      <w:r w:rsidRPr="00CD0433">
        <w:rPr>
          <w:sz w:val="20"/>
          <w:szCs w:val="20"/>
        </w:rPr>
        <w:t xml:space="preserve"> </w:t>
      </w:r>
      <w:r w:rsidR="00BA5D75" w:rsidRPr="00614FFD">
        <w:rPr>
          <w:rFonts w:ascii="Garamond" w:hAnsi="Garamond"/>
        </w:rPr>
        <w:t>Ecological Forecasting</w:t>
      </w:r>
    </w:p>
    <w:p w14:paraId="75CB4D6A" w14:textId="14740746" w:rsidR="00276572" w:rsidRDefault="00276572" w:rsidP="00BA5D75">
      <w:pPr>
        <w:rPr>
          <w:sz w:val="20"/>
          <w:szCs w:val="20"/>
        </w:rPr>
      </w:pPr>
      <w:r w:rsidRPr="00276572">
        <w:rPr>
          <w:b/>
          <w:i/>
          <w:sz w:val="20"/>
          <w:szCs w:val="20"/>
        </w:rPr>
        <w:t>Study Location:</w:t>
      </w:r>
      <w:r w:rsidRPr="00CD0433">
        <w:rPr>
          <w:sz w:val="20"/>
          <w:szCs w:val="20"/>
        </w:rPr>
        <w:t xml:space="preserve"> </w:t>
      </w:r>
      <w:r w:rsidR="00BA5D75" w:rsidRPr="00614FFD">
        <w:rPr>
          <w:rFonts w:ascii="Garamond" w:hAnsi="Garamond"/>
        </w:rPr>
        <w:t>Chesapeake Bay</w:t>
      </w:r>
      <w:r w:rsidR="003175CE">
        <w:rPr>
          <w:rFonts w:ascii="Garamond" w:hAnsi="Garamond"/>
        </w:rPr>
        <w:t xml:space="preserve">, </w:t>
      </w:r>
      <w:r w:rsidR="00BA5D75" w:rsidRPr="00614FFD">
        <w:rPr>
          <w:rFonts w:ascii="Garamond" w:hAnsi="Garamond"/>
        </w:rPr>
        <w:t>MD and VA</w:t>
      </w:r>
    </w:p>
    <w:p w14:paraId="1CCD5CD8" w14:textId="238BA299" w:rsidR="00916099" w:rsidRDefault="00276572" w:rsidP="00DC6974">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BA5D75" w:rsidRPr="00614FFD">
        <w:rPr>
          <w:rFonts w:ascii="Garamond" w:hAnsi="Garamond"/>
        </w:rPr>
        <w:t xml:space="preserve">January 2000 – January 2017; </w:t>
      </w:r>
      <w:r w:rsidR="00BA5D75" w:rsidRPr="005C6FC1">
        <w:rPr>
          <w:rFonts w:ascii="Garamond" w:hAnsi="Garamond"/>
        </w:rPr>
        <w:t xml:space="preserve">Forecasting to </w:t>
      </w:r>
      <w:r w:rsidR="00BA5D75" w:rsidRPr="00614FFD">
        <w:rPr>
          <w:rFonts w:ascii="Garamond" w:hAnsi="Garamond"/>
        </w:rPr>
        <w:t>2030</w:t>
      </w:r>
    </w:p>
    <w:p w14:paraId="462EE0EA" w14:textId="77777777" w:rsidR="00276572" w:rsidRPr="00CD0433" w:rsidRDefault="00276572" w:rsidP="00276572">
      <w:pPr>
        <w:rPr>
          <w:b/>
          <w:sz w:val="20"/>
          <w:szCs w:val="20"/>
        </w:rPr>
      </w:pPr>
    </w:p>
    <w:p w14:paraId="50C7F762" w14:textId="4247D6A8" w:rsidR="00F30FAC" w:rsidRDefault="00276572" w:rsidP="00276572">
      <w:pPr>
        <w:rPr>
          <w:rFonts w:ascii="Garamond" w:hAnsi="Garamond"/>
        </w:rPr>
      </w:pPr>
      <w:r w:rsidRPr="00276572">
        <w:rPr>
          <w:b/>
          <w:i/>
          <w:sz w:val="20"/>
          <w:szCs w:val="20"/>
        </w:rPr>
        <w:t>Advisor:</w:t>
      </w:r>
      <w:r w:rsidRPr="00CD0433">
        <w:rPr>
          <w:sz w:val="20"/>
          <w:szCs w:val="20"/>
        </w:rPr>
        <w:t xml:space="preserve"> </w:t>
      </w:r>
    </w:p>
    <w:p w14:paraId="0F77539E" w14:textId="6BECF95C" w:rsidR="00276572" w:rsidRPr="00CD0433" w:rsidRDefault="00F30FAC" w:rsidP="00276572">
      <w:pPr>
        <w:rPr>
          <w:sz w:val="20"/>
          <w:szCs w:val="20"/>
        </w:rPr>
      </w:pPr>
      <w:r>
        <w:rPr>
          <w:rFonts w:ascii="Garamond" w:hAnsi="Garamond"/>
        </w:rPr>
        <w:t xml:space="preserve">Dr. David Lagomasino </w:t>
      </w:r>
      <w:r w:rsidR="00E57517">
        <w:rPr>
          <w:rFonts w:ascii="Garamond" w:hAnsi="Garamond"/>
        </w:rPr>
        <w:t>(</w:t>
      </w:r>
      <w:r>
        <w:rPr>
          <w:rFonts w:ascii="Garamond" w:hAnsi="Garamond"/>
        </w:rPr>
        <w:t xml:space="preserve">Post Doc Scientist, </w:t>
      </w:r>
      <w:r w:rsidR="00E57517">
        <w:rPr>
          <w:rFonts w:ascii="Garamond" w:hAnsi="Garamond"/>
        </w:rPr>
        <w:t xml:space="preserve">NASA </w:t>
      </w:r>
      <w:r>
        <w:rPr>
          <w:rFonts w:ascii="Garamond" w:hAnsi="Garamond"/>
        </w:rPr>
        <w:t>Goddard Space Flight Center</w:t>
      </w:r>
      <w:r w:rsidR="00E57517">
        <w:rPr>
          <w:rFonts w:ascii="Garamond" w:hAnsi="Garamond"/>
        </w:rPr>
        <w:t>)</w:t>
      </w:r>
      <w:r w:rsidR="00CB1D36">
        <w:rPr>
          <w:rFonts w:ascii="Garamond" w:hAnsi="Garamond"/>
        </w:rPr>
        <w:t xml:space="preserve">; </w:t>
      </w:r>
      <w:r>
        <w:rPr>
          <w:rFonts w:ascii="Garamond" w:hAnsi="Garamond"/>
        </w:rPr>
        <w:t xml:space="preserve">Jenny Allen </w:t>
      </w:r>
      <w:r w:rsidR="00E57517">
        <w:rPr>
          <w:rFonts w:ascii="Garamond" w:hAnsi="Garamond"/>
        </w:rPr>
        <w:t>(</w:t>
      </w:r>
      <w:r>
        <w:rPr>
          <w:rFonts w:ascii="Garamond" w:hAnsi="Garamond"/>
        </w:rPr>
        <w:t>Research Coordinator, Chesapeake Bay National Estuarine Research Reserve – Maryland, Maryland Department of Natural Resources</w:t>
      </w:r>
      <w:r w:rsidR="00E57517">
        <w:rPr>
          <w:rFonts w:ascii="Garamond" w:hAnsi="Garamond"/>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610E265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157" w:type="dxa"/>
        <w:tblInd w:w="198" w:type="dxa"/>
        <w:tblLayout w:type="fixed"/>
        <w:tblLook w:val="04A0" w:firstRow="1" w:lastRow="0" w:firstColumn="1" w:lastColumn="0" w:noHBand="0" w:noVBand="1"/>
      </w:tblPr>
      <w:tblGrid>
        <w:gridCol w:w="3060"/>
        <w:gridCol w:w="3510"/>
        <w:gridCol w:w="1507"/>
        <w:gridCol w:w="1080"/>
      </w:tblGrid>
      <w:tr w:rsidR="00636FAE" w14:paraId="4EEA7B0E" w14:textId="77777777" w:rsidTr="00CB1D36">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507" w:type="dxa"/>
            <w:shd w:val="clear" w:color="auto" w:fill="31849B" w:themeFill="accent5" w:themeFillShade="BF"/>
            <w:vAlign w:val="center"/>
          </w:tcPr>
          <w:p w14:paraId="311B19EA" w14:textId="77777777" w:rsidR="006804AC" w:rsidRPr="00636FAE" w:rsidRDefault="006804AC" w:rsidP="00CB1D36">
            <w:pPr>
              <w:jc w:val="cente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CB1D36">
        <w:tc>
          <w:tcPr>
            <w:tcW w:w="3060" w:type="dxa"/>
          </w:tcPr>
          <w:p w14:paraId="147FACB8" w14:textId="260F5330" w:rsidR="006804AC" w:rsidRPr="005C6FC1" w:rsidRDefault="00BA5D75" w:rsidP="00A44DD0">
            <w:pPr>
              <w:rPr>
                <w:rFonts w:ascii="Garamond" w:hAnsi="Garamond"/>
              </w:rPr>
            </w:pPr>
            <w:r w:rsidRPr="00614FFD">
              <w:rPr>
                <w:rFonts w:ascii="Garamond" w:hAnsi="Garamond"/>
              </w:rPr>
              <w:t>Maryland Department of Natural Resources</w:t>
            </w:r>
          </w:p>
        </w:tc>
        <w:tc>
          <w:tcPr>
            <w:tcW w:w="3510" w:type="dxa"/>
          </w:tcPr>
          <w:p w14:paraId="0111C027" w14:textId="7C14F3A4" w:rsidR="006804AC" w:rsidRPr="00A0710C" w:rsidRDefault="00416B62" w:rsidP="00A44DD0">
            <w:pPr>
              <w:rPr>
                <w:rFonts w:ascii="Garamond" w:hAnsi="Garamond"/>
                <w:color w:val="FF0000"/>
              </w:rPr>
            </w:pPr>
            <w:r w:rsidRPr="00CB07BD">
              <w:rPr>
                <w:rFonts w:ascii="Garamond" w:hAnsi="Garamond"/>
              </w:rPr>
              <w:t xml:space="preserve">Nicole </w:t>
            </w:r>
            <w:proofErr w:type="spellStart"/>
            <w:r w:rsidRPr="00CB07BD">
              <w:rPr>
                <w:rFonts w:ascii="Garamond" w:hAnsi="Garamond"/>
              </w:rPr>
              <w:t>Carlozo</w:t>
            </w:r>
            <w:proofErr w:type="spellEnd"/>
            <w:r w:rsidRPr="00CB07BD">
              <w:rPr>
                <w:rFonts w:ascii="Garamond" w:hAnsi="Garamond"/>
              </w:rPr>
              <w:t>, Natural Resource Resiliency Planner, Chesapeake and Coastal Service</w:t>
            </w:r>
          </w:p>
        </w:tc>
        <w:tc>
          <w:tcPr>
            <w:tcW w:w="1507" w:type="dxa"/>
          </w:tcPr>
          <w:p w14:paraId="21053937" w14:textId="1B466646" w:rsidR="006804AC" w:rsidRPr="005C6FC1" w:rsidRDefault="00F52113" w:rsidP="00A44DD0">
            <w:pPr>
              <w:rPr>
                <w:rFonts w:ascii="Garamond" w:hAnsi="Garamond"/>
              </w:rPr>
            </w:pPr>
            <w:r w:rsidRPr="005C6FC1">
              <w:rPr>
                <w:rFonts w:ascii="Garamond" w:hAnsi="Garamond"/>
              </w:rPr>
              <w:t>End-</w:t>
            </w:r>
            <w:r w:rsidR="009E4CFF" w:rsidRPr="005C6FC1">
              <w:rPr>
                <w:rFonts w:ascii="Garamond" w:hAnsi="Garamond"/>
              </w:rPr>
              <w:t>User</w:t>
            </w:r>
          </w:p>
        </w:tc>
        <w:tc>
          <w:tcPr>
            <w:tcW w:w="1080" w:type="dxa"/>
          </w:tcPr>
          <w:p w14:paraId="6070AA6D" w14:textId="08847666" w:rsidR="006804AC" w:rsidRPr="005C6FC1" w:rsidRDefault="00BA5D75" w:rsidP="006804AC">
            <w:pPr>
              <w:jc w:val="center"/>
              <w:rPr>
                <w:rFonts w:ascii="Garamond" w:hAnsi="Garamond"/>
              </w:rPr>
            </w:pPr>
            <w:r>
              <w:rPr>
                <w:rFonts w:ascii="Garamond" w:hAnsi="Garamond"/>
              </w:rPr>
              <w:t>No</w:t>
            </w:r>
          </w:p>
        </w:tc>
      </w:tr>
      <w:tr w:rsidR="006804AC" w14:paraId="3CC8ABAF" w14:textId="77777777" w:rsidTr="00CB1D36">
        <w:tc>
          <w:tcPr>
            <w:tcW w:w="3060" w:type="dxa"/>
          </w:tcPr>
          <w:p w14:paraId="09C3C822" w14:textId="5400EDC0" w:rsidR="006804AC" w:rsidRPr="005C6FC1" w:rsidRDefault="00BA5D75" w:rsidP="00A44DD0">
            <w:pPr>
              <w:rPr>
                <w:rFonts w:ascii="Garamond" w:hAnsi="Garamond"/>
              </w:rPr>
            </w:pPr>
            <w:r w:rsidRPr="00614FFD">
              <w:rPr>
                <w:rFonts w:ascii="Garamond" w:hAnsi="Garamond"/>
              </w:rPr>
              <w:lastRenderedPageBreak/>
              <w:t>The Nature Conservancy</w:t>
            </w:r>
            <w:r w:rsidR="00FC3975">
              <w:rPr>
                <w:rFonts w:ascii="Garamond" w:hAnsi="Garamond"/>
              </w:rPr>
              <w:t xml:space="preserve"> (TNC)</w:t>
            </w:r>
          </w:p>
        </w:tc>
        <w:tc>
          <w:tcPr>
            <w:tcW w:w="3510" w:type="dxa"/>
          </w:tcPr>
          <w:p w14:paraId="36E16CC9" w14:textId="1AA143EF" w:rsidR="006804AC" w:rsidRPr="005C6FC1" w:rsidRDefault="00080B03" w:rsidP="006804AC">
            <w:pPr>
              <w:rPr>
                <w:rFonts w:ascii="Garamond" w:hAnsi="Garamond"/>
              </w:rPr>
            </w:pPr>
            <w:r>
              <w:rPr>
                <w:rFonts w:ascii="Garamond" w:hAnsi="Garamond"/>
              </w:rPr>
              <w:t xml:space="preserve">Michelle Canick, </w:t>
            </w:r>
            <w:r w:rsidRPr="00080B03">
              <w:rPr>
                <w:rFonts w:ascii="Garamond" w:hAnsi="Garamond"/>
              </w:rPr>
              <w:t>Conservation Information Manager</w:t>
            </w:r>
          </w:p>
        </w:tc>
        <w:tc>
          <w:tcPr>
            <w:tcW w:w="1507" w:type="dxa"/>
          </w:tcPr>
          <w:p w14:paraId="011729D9" w14:textId="77777777" w:rsidR="006804AC" w:rsidRPr="005C6FC1" w:rsidRDefault="009E4CFF" w:rsidP="00A44DD0">
            <w:pPr>
              <w:rPr>
                <w:rFonts w:ascii="Garamond" w:hAnsi="Garamond"/>
              </w:rPr>
            </w:pPr>
            <w:r w:rsidRPr="005C6FC1">
              <w:rPr>
                <w:rFonts w:ascii="Garamond" w:hAnsi="Garamond"/>
              </w:rPr>
              <w:t>Collaborator</w:t>
            </w:r>
          </w:p>
        </w:tc>
        <w:tc>
          <w:tcPr>
            <w:tcW w:w="1080" w:type="dxa"/>
          </w:tcPr>
          <w:p w14:paraId="70AD209A" w14:textId="77777777" w:rsidR="006804AC" w:rsidRPr="005C6FC1" w:rsidRDefault="006804AC" w:rsidP="006804AC">
            <w:pPr>
              <w:jc w:val="center"/>
              <w:rPr>
                <w:rFonts w:ascii="Garamond" w:hAnsi="Garamond"/>
              </w:rPr>
            </w:pPr>
            <w:r w:rsidRPr="005C6FC1">
              <w:rPr>
                <w:rFonts w:ascii="Garamond" w:hAnsi="Garamond"/>
              </w:rPr>
              <w:t>No</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3AF89D9C" w:rsidR="00CD0433" w:rsidRPr="00080B03"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BA5D75" w:rsidRPr="00CB6AF6">
        <w:rPr>
          <w:rFonts w:ascii="Garamond" w:hAnsi="Garamond"/>
        </w:rPr>
        <w:t>The Maryland Department of Natural Resources provides roughly $25</w:t>
      </w:r>
      <w:r w:rsidR="00C74F47">
        <w:rPr>
          <w:rFonts w:ascii="Garamond" w:hAnsi="Garamond"/>
        </w:rPr>
        <w:t xml:space="preserve"> million</w:t>
      </w:r>
      <w:r w:rsidR="00BA5D75" w:rsidRPr="00CB6AF6">
        <w:rPr>
          <w:rFonts w:ascii="Garamond" w:hAnsi="Garamond"/>
        </w:rPr>
        <w:t xml:space="preserve"> per year of funding to local governments and nonprofits to help restore the Chesapeake Bay. </w:t>
      </w:r>
      <w:r w:rsidR="002A0AE4">
        <w:rPr>
          <w:rFonts w:ascii="Garamond" w:hAnsi="Garamond"/>
        </w:rPr>
        <w:t xml:space="preserve">The recently completed Maryland Coastal Resiliency Assessment used the Natural Capital Project’s </w:t>
      </w:r>
      <w:proofErr w:type="spellStart"/>
      <w:r w:rsidR="002A0AE4">
        <w:rPr>
          <w:rFonts w:ascii="Garamond" w:hAnsi="Garamond"/>
        </w:rPr>
        <w:t>InVEST</w:t>
      </w:r>
      <w:proofErr w:type="spellEnd"/>
      <w:r w:rsidR="002A0AE4">
        <w:rPr>
          <w:rFonts w:ascii="Garamond" w:hAnsi="Garamond"/>
        </w:rPr>
        <w:t xml:space="preserve"> Coastal Vulnerability Model </w:t>
      </w:r>
      <w:r w:rsidR="00A52006">
        <w:rPr>
          <w:rFonts w:ascii="Garamond" w:hAnsi="Garamond"/>
        </w:rPr>
        <w:t>(</w:t>
      </w:r>
      <w:proofErr w:type="spellStart"/>
      <w:r w:rsidR="00A52006">
        <w:rPr>
          <w:rFonts w:ascii="Garamond" w:hAnsi="Garamond"/>
        </w:rPr>
        <w:t>Arkema</w:t>
      </w:r>
      <w:proofErr w:type="spellEnd"/>
      <w:r w:rsidR="00A52006">
        <w:rPr>
          <w:rFonts w:ascii="Garamond" w:hAnsi="Garamond"/>
        </w:rPr>
        <w:t xml:space="preserve"> et al. 2013) </w:t>
      </w:r>
      <w:r w:rsidR="002A0AE4">
        <w:rPr>
          <w:rFonts w:ascii="Garamond" w:hAnsi="Garamond"/>
        </w:rPr>
        <w:t xml:space="preserve">to </w:t>
      </w:r>
      <w:r w:rsidR="007D5ABD">
        <w:rPr>
          <w:rFonts w:ascii="Garamond" w:hAnsi="Garamond"/>
        </w:rPr>
        <w:t>estimate the relative effectiveness of existing natural habitats to buffer Maryland’s shoreline from the coastal hazards of erosion and flooding. One limitation of the analysis is that it considered the presence or absence of marshes and other coastal habitats, but not the health or quality of these habitats.</w:t>
      </w:r>
      <w:r w:rsidR="00A52006">
        <w:rPr>
          <w:rFonts w:ascii="Garamond" w:hAnsi="Garamond"/>
        </w:rPr>
        <w:t xml:space="preserve"> </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46FF00D8" w14:textId="53300A2E" w:rsidR="006E1C6C" w:rsidRDefault="00BA5D75" w:rsidP="00080B03">
      <w:pPr>
        <w:ind w:left="720" w:hanging="720"/>
        <w:rPr>
          <w:rFonts w:ascii="Garamond" w:hAnsi="Garamond"/>
        </w:rPr>
      </w:pPr>
      <w:r w:rsidRPr="0092704B">
        <w:rPr>
          <w:rFonts w:ascii="Garamond" w:hAnsi="Garamond"/>
          <w:i/>
        </w:rPr>
        <w:t>Maryland Department of Natural Resources</w:t>
      </w:r>
      <w:r w:rsidRPr="0092704B">
        <w:rPr>
          <w:rFonts w:ascii="Garamond" w:hAnsi="Garamond"/>
        </w:rPr>
        <w:t xml:space="preserve"> – Partners are familiar with evaluating landscape and community resilience, but have not incorporated remote sensing in th</w:t>
      </w:r>
      <w:r w:rsidR="00080B03">
        <w:rPr>
          <w:rFonts w:ascii="Garamond" w:hAnsi="Garamond"/>
        </w:rPr>
        <w:t xml:space="preserve">e measurement of marsh health. </w:t>
      </w:r>
      <w:r w:rsidRPr="0092704B">
        <w:rPr>
          <w:rFonts w:ascii="Garamond" w:hAnsi="Garamond"/>
        </w:rPr>
        <w:t xml:space="preserve">They manage conservation data in a geospatial environment and are familiar with ArcMap and the use of </w:t>
      </w:r>
      <w:proofErr w:type="spellStart"/>
      <w:r w:rsidRPr="0092704B">
        <w:rPr>
          <w:rFonts w:ascii="Garamond" w:hAnsi="Garamond"/>
        </w:rPr>
        <w:t>E</w:t>
      </w:r>
      <w:r w:rsidR="0076471E">
        <w:rPr>
          <w:rFonts w:ascii="Garamond" w:hAnsi="Garamond"/>
        </w:rPr>
        <w:t>sri</w:t>
      </w:r>
      <w:proofErr w:type="spellEnd"/>
      <w:r w:rsidRPr="0092704B">
        <w:rPr>
          <w:rFonts w:ascii="Garamond" w:hAnsi="Garamond"/>
        </w:rPr>
        <w:t xml:space="preserve"> products.</w:t>
      </w:r>
    </w:p>
    <w:p w14:paraId="1C3A2FC0" w14:textId="77777777" w:rsidR="00080B03" w:rsidRDefault="00080B03" w:rsidP="00080B03">
      <w:pPr>
        <w:ind w:left="720" w:hanging="720"/>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576005CB" w14:textId="74295372" w:rsidR="002B5E70" w:rsidRDefault="00BA5D75" w:rsidP="002B5E70">
      <w:pPr>
        <w:ind w:left="720" w:hanging="720"/>
        <w:rPr>
          <w:rFonts w:ascii="Garamond" w:hAnsi="Garamond"/>
        </w:rPr>
      </w:pPr>
      <w:r w:rsidRPr="00CB6AF6">
        <w:rPr>
          <w:rFonts w:ascii="Garamond" w:hAnsi="Garamond"/>
          <w:i/>
        </w:rPr>
        <w:t>The Nature Conservancy</w:t>
      </w:r>
      <w:r w:rsidRPr="00CB6AF6">
        <w:rPr>
          <w:rFonts w:ascii="Garamond" w:hAnsi="Garamond"/>
        </w:rPr>
        <w:t xml:space="preserve"> </w:t>
      </w:r>
      <w:r>
        <w:rPr>
          <w:rFonts w:ascii="Garamond" w:hAnsi="Garamond"/>
        </w:rPr>
        <w:t xml:space="preserve">(TNC) </w:t>
      </w:r>
      <w:r w:rsidRPr="00CB6AF6">
        <w:rPr>
          <w:rFonts w:ascii="Garamond" w:hAnsi="Garamond"/>
        </w:rPr>
        <w:t xml:space="preserve">– They work in partnership with the Maryland Department of Natural Resources </w:t>
      </w:r>
      <w:r w:rsidR="002B5E70">
        <w:rPr>
          <w:rFonts w:ascii="Garamond" w:hAnsi="Garamond"/>
        </w:rPr>
        <w:t>and have limited capability</w:t>
      </w:r>
      <w:r w:rsidRPr="00CB6AF6">
        <w:rPr>
          <w:rFonts w:ascii="Garamond" w:hAnsi="Garamond"/>
        </w:rPr>
        <w:t xml:space="preserve"> in using </w:t>
      </w:r>
      <w:r w:rsidR="002B5E70">
        <w:rPr>
          <w:rFonts w:ascii="Garamond" w:hAnsi="Garamond"/>
        </w:rPr>
        <w:t>satellite data</w:t>
      </w:r>
      <w:r w:rsidRPr="00CB6AF6">
        <w:rPr>
          <w:rFonts w:ascii="Garamond" w:hAnsi="Garamond"/>
        </w:rPr>
        <w:t xml:space="preserve"> at the research scale. They have a detaile</w:t>
      </w:r>
      <w:r w:rsidR="002B5E70">
        <w:rPr>
          <w:rFonts w:ascii="Garamond" w:hAnsi="Garamond"/>
        </w:rPr>
        <w:t>d understanding of the importance</w:t>
      </w:r>
      <w:r w:rsidRPr="00CB6AF6">
        <w:rPr>
          <w:rFonts w:ascii="Garamond" w:hAnsi="Garamond"/>
        </w:rPr>
        <w:t xml:space="preserve"> of marsh health on the region</w:t>
      </w:r>
      <w:r w:rsidR="00C74F47">
        <w:rPr>
          <w:rFonts w:ascii="Garamond" w:hAnsi="Garamond"/>
        </w:rPr>
        <w:t>,</w:t>
      </w:r>
      <w:r w:rsidRPr="00CB6AF6">
        <w:rPr>
          <w:rFonts w:ascii="Garamond" w:hAnsi="Garamond"/>
        </w:rPr>
        <w:t xml:space="preserve"> but do not currently measure marsh health using remote sensing.</w:t>
      </w:r>
    </w:p>
    <w:p w14:paraId="1242BC45" w14:textId="19CB2B1E" w:rsidR="00C057E9" w:rsidRDefault="002B5E70" w:rsidP="002B5E70">
      <w:pPr>
        <w:ind w:left="720" w:hanging="720"/>
        <w:rPr>
          <w:sz w:val="20"/>
          <w:szCs w:val="20"/>
        </w:rPr>
      </w:pPr>
      <w:r>
        <w:rPr>
          <w:sz w:val="20"/>
          <w:szCs w:val="20"/>
        </w:rPr>
        <w:t xml:space="preserve"> </w:t>
      </w: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0733798"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2B5E70">
        <w:rPr>
          <w:rFonts w:ascii="Garamond" w:hAnsi="Garamond"/>
        </w:rPr>
        <w:t xml:space="preserve">Michelle </w:t>
      </w:r>
      <w:proofErr w:type="spellStart"/>
      <w:r w:rsidR="002B5E70">
        <w:rPr>
          <w:rFonts w:ascii="Garamond" w:hAnsi="Garamond"/>
        </w:rPr>
        <w:t>Canick</w:t>
      </w:r>
      <w:proofErr w:type="spellEnd"/>
      <w:r w:rsidR="002B5E70">
        <w:rPr>
          <w:rFonts w:ascii="Garamond" w:hAnsi="Garamond"/>
        </w:rPr>
        <w:t xml:space="preserve"> and </w:t>
      </w:r>
      <w:r w:rsidR="00D44F9E" w:rsidRPr="00CB07BD">
        <w:rPr>
          <w:rFonts w:ascii="Garamond" w:hAnsi="Garamond"/>
        </w:rPr>
        <w:t xml:space="preserve">Nicole </w:t>
      </w:r>
      <w:proofErr w:type="spellStart"/>
      <w:r w:rsidR="00D44F9E" w:rsidRPr="00CB07BD">
        <w:rPr>
          <w:rFonts w:ascii="Garamond" w:hAnsi="Garamond"/>
        </w:rPr>
        <w:t>Carlozo</w:t>
      </w:r>
      <w:proofErr w:type="spellEnd"/>
      <w:r w:rsidR="00BA5D75" w:rsidRPr="002B5E70">
        <w:rPr>
          <w:rFonts w:ascii="Garamond" w:hAnsi="Garamond"/>
          <w:color w:val="FF0000"/>
        </w:rPr>
        <w:t xml:space="preserve"> </w:t>
      </w:r>
      <w:r w:rsidR="00BA5D75" w:rsidRPr="0092704B">
        <w:rPr>
          <w:rFonts w:ascii="Garamond" w:hAnsi="Garamond"/>
        </w:rPr>
        <w:t>will be POC</w:t>
      </w:r>
      <w:r w:rsidR="00C74F47">
        <w:rPr>
          <w:rFonts w:ascii="Garamond" w:hAnsi="Garamond"/>
        </w:rPr>
        <w:t>s</w:t>
      </w:r>
      <w:r w:rsidR="00BA5D75" w:rsidRPr="0092704B">
        <w:rPr>
          <w:rFonts w:ascii="Garamond" w:hAnsi="Garamond"/>
        </w:rPr>
        <w:t xml:space="preserve"> for communication with the DEVELOP team. In-person meetings as well as weekly and biweekly teleconference calls and email exchanges will be maintained throughout the course of the term.</w:t>
      </w:r>
    </w:p>
    <w:p w14:paraId="7D7547C5" w14:textId="77777777" w:rsidR="00C057E9" w:rsidRDefault="00C057E9" w:rsidP="00C72F1A">
      <w:pPr>
        <w:rPr>
          <w:sz w:val="20"/>
          <w:szCs w:val="20"/>
        </w:rPr>
      </w:pPr>
    </w:p>
    <w:p w14:paraId="203DC2A1" w14:textId="2061D2F4" w:rsidR="00BA5D75" w:rsidRPr="0092704B" w:rsidRDefault="00C057E9" w:rsidP="00BA5D75">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A5D75" w:rsidRPr="0092704B">
        <w:rPr>
          <w:rFonts w:ascii="Garamond" w:hAnsi="Garamond"/>
        </w:rPr>
        <w:t xml:space="preserve">Upon successful completion of the project, all deliverables will be handed off in person to project partners. Joint meetings will be held </w:t>
      </w:r>
      <w:r w:rsidR="005D6E79">
        <w:rPr>
          <w:rFonts w:ascii="Garamond" w:hAnsi="Garamond"/>
        </w:rPr>
        <w:t>between</w:t>
      </w:r>
      <w:r w:rsidR="00BA5D75" w:rsidRPr="0092704B">
        <w:rPr>
          <w:rFonts w:ascii="Garamond" w:hAnsi="Garamond"/>
        </w:rPr>
        <w:t xml:space="preserve"> TNC and </w:t>
      </w:r>
      <w:r w:rsidR="002B5E70">
        <w:rPr>
          <w:rFonts w:ascii="Garamond" w:hAnsi="Garamond"/>
        </w:rPr>
        <w:t>MD DNR</w:t>
      </w:r>
      <w:r w:rsidR="00BA5D75" w:rsidRPr="0092704B">
        <w:rPr>
          <w:rFonts w:ascii="Garamond" w:hAnsi="Garamond"/>
        </w:rPr>
        <w:t xml:space="preserve"> to discuss accomplishments and strategize for the incorporation of resulting maps within the calendar year. The project team will communicate with the </w:t>
      </w:r>
      <w:r w:rsidR="002B5E70">
        <w:rPr>
          <w:rFonts w:ascii="Garamond" w:hAnsi="Garamond"/>
        </w:rPr>
        <w:t>MD DNR</w:t>
      </w:r>
      <w:r w:rsidR="00BA5D75" w:rsidRPr="0092704B">
        <w:rPr>
          <w:rFonts w:ascii="Garamond" w:hAnsi="Garamond"/>
        </w:rPr>
        <w:t xml:space="preserve"> so deliverables can be well-integrated with existing datasets.</w:t>
      </w:r>
    </w:p>
    <w:p w14:paraId="55485070" w14:textId="7AEE3A41" w:rsidR="00CD0433" w:rsidRPr="00CD0433" w:rsidRDefault="00CD0433" w:rsidP="00C72F1A">
      <w:pPr>
        <w:rPr>
          <w:sz w:val="20"/>
          <w:szCs w:val="20"/>
        </w:rPr>
      </w:pPr>
    </w:p>
    <w:p w14:paraId="3F05F73F" w14:textId="63E69FA6" w:rsidR="00BA5D75" w:rsidRDefault="00CD0433" w:rsidP="00BA5D75">
      <w:pPr>
        <w:rPr>
          <w:b/>
          <w:sz w:val="20"/>
          <w:szCs w:val="20"/>
        </w:rPr>
      </w:pPr>
      <w:r w:rsidRPr="00F268BE">
        <w:rPr>
          <w:b/>
          <w:i/>
          <w:sz w:val="20"/>
          <w:szCs w:val="20"/>
        </w:rPr>
        <w:t>Letters of Support</w:t>
      </w:r>
      <w:r w:rsidRPr="00CD0433">
        <w:rPr>
          <w:b/>
          <w:sz w:val="20"/>
          <w:szCs w:val="20"/>
        </w:rPr>
        <w:t>:</w:t>
      </w:r>
    </w:p>
    <w:p w14:paraId="6FDCFDA5" w14:textId="369468E4" w:rsidR="002B5E70" w:rsidRDefault="007407AD" w:rsidP="00C72F1A">
      <w:pPr>
        <w:rPr>
          <w:rFonts w:ascii="Garamond" w:hAnsi="Garamond"/>
        </w:rPr>
      </w:pPr>
      <w:r w:rsidRPr="00CB07BD">
        <w:rPr>
          <w:rFonts w:ascii="Garamond" w:hAnsi="Garamond"/>
        </w:rPr>
        <w:t>Michelle Canick</w:t>
      </w:r>
      <w:r w:rsidR="002B5E70" w:rsidRPr="00CB07BD">
        <w:rPr>
          <w:rFonts w:ascii="Garamond" w:hAnsi="Garamond"/>
        </w:rPr>
        <w:t xml:space="preserve">, </w:t>
      </w:r>
      <w:r w:rsidRPr="00CB07BD">
        <w:rPr>
          <w:rFonts w:ascii="Garamond" w:hAnsi="Garamond"/>
        </w:rPr>
        <w:t>Conservation Information Manager</w:t>
      </w:r>
      <w:r w:rsidR="002B5E70" w:rsidRPr="00CB07BD">
        <w:rPr>
          <w:rFonts w:ascii="Garamond" w:hAnsi="Garamond"/>
        </w:rPr>
        <w:t xml:space="preserve">, </w:t>
      </w:r>
      <w:proofErr w:type="gramStart"/>
      <w:r w:rsidRPr="00CB07BD">
        <w:rPr>
          <w:rFonts w:ascii="Garamond" w:hAnsi="Garamond"/>
        </w:rPr>
        <w:t>The</w:t>
      </w:r>
      <w:proofErr w:type="gramEnd"/>
      <w:r w:rsidRPr="00CB07BD">
        <w:rPr>
          <w:rFonts w:ascii="Garamond" w:hAnsi="Garamond"/>
        </w:rPr>
        <w:t xml:space="preserve"> Nature Conservancy</w:t>
      </w:r>
      <w:r w:rsidR="002B5E70" w:rsidRPr="00CB07BD">
        <w:rPr>
          <w:rFonts w:ascii="Garamond" w:hAnsi="Garamond"/>
        </w:rPr>
        <w:t xml:space="preserve"> </w:t>
      </w:r>
    </w:p>
    <w:p w14:paraId="0D143034" w14:textId="3B26AB08" w:rsidR="00CB07BD" w:rsidRPr="00CB07BD" w:rsidRDefault="00CB07BD" w:rsidP="00C72F1A">
      <w:pPr>
        <w:rPr>
          <w:rFonts w:ascii="Garamond" w:hAnsi="Garamond"/>
        </w:rPr>
      </w:pPr>
      <w:r w:rsidRPr="003B543C">
        <w:rPr>
          <w:rFonts w:ascii="Garamond" w:hAnsi="Garamond"/>
        </w:rPr>
        <w:t xml:space="preserve">Nicole </w:t>
      </w:r>
      <w:proofErr w:type="spellStart"/>
      <w:r w:rsidRPr="003B543C">
        <w:rPr>
          <w:rFonts w:ascii="Garamond" w:hAnsi="Garamond"/>
        </w:rPr>
        <w:t>Carlozo</w:t>
      </w:r>
      <w:proofErr w:type="spellEnd"/>
      <w:r w:rsidRPr="003B543C">
        <w:rPr>
          <w:rFonts w:ascii="Garamond" w:hAnsi="Garamond"/>
        </w:rPr>
        <w:t>, Natural Resource Resiliency Planner</w:t>
      </w:r>
      <w:r>
        <w:rPr>
          <w:rFonts w:ascii="Garamond" w:hAnsi="Garamond"/>
        </w:rPr>
        <w:t>, Maryland Department of Natural Resources</w:t>
      </w:r>
    </w:p>
    <w:p w14:paraId="65AD80DB" w14:textId="77B37E37"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412"/>
        <w:gridCol w:w="4603"/>
      </w:tblGrid>
      <w:tr w:rsidR="00B76BDC" w:rsidRPr="00CD0433" w14:paraId="1E59A37D" w14:textId="77777777" w:rsidTr="00BA5D75">
        <w:tc>
          <w:tcPr>
            <w:tcW w:w="213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A5D75" w:rsidRPr="005C6FC1" w14:paraId="68A574AE" w14:textId="77777777" w:rsidTr="00BA5D75">
        <w:tc>
          <w:tcPr>
            <w:tcW w:w="2137" w:type="dxa"/>
            <w:vAlign w:val="center"/>
          </w:tcPr>
          <w:p w14:paraId="6FE1A73B" w14:textId="4A279768" w:rsidR="00BA5D75" w:rsidRPr="005C6FC1" w:rsidRDefault="00BA5D75" w:rsidP="00BA5D75">
            <w:pPr>
              <w:rPr>
                <w:rFonts w:ascii="Garamond" w:hAnsi="Garamond"/>
                <w:b/>
                <w:bCs/>
              </w:rPr>
            </w:pPr>
            <w:r w:rsidRPr="004C721D">
              <w:rPr>
                <w:rFonts w:ascii="Garamond" w:hAnsi="Garamond"/>
                <w:b/>
                <w:bCs/>
              </w:rPr>
              <w:t>Landsat 5 TM</w:t>
            </w:r>
          </w:p>
        </w:tc>
        <w:tc>
          <w:tcPr>
            <w:tcW w:w="2412" w:type="dxa"/>
            <w:vAlign w:val="center"/>
          </w:tcPr>
          <w:p w14:paraId="3ED984CF" w14:textId="77777777" w:rsidR="00BA5D75" w:rsidRPr="005C6FC1" w:rsidRDefault="00BA5D75" w:rsidP="00BA5D75">
            <w:pPr>
              <w:rPr>
                <w:rFonts w:ascii="Garamond" w:hAnsi="Garamond"/>
              </w:rPr>
            </w:pPr>
            <w:r w:rsidRPr="005C6FC1">
              <w:rPr>
                <w:rFonts w:ascii="Garamond" w:hAnsi="Garamond"/>
              </w:rPr>
              <w:t>Spectral vegetation indices</w:t>
            </w:r>
          </w:p>
        </w:tc>
        <w:tc>
          <w:tcPr>
            <w:tcW w:w="4603" w:type="dxa"/>
            <w:vAlign w:val="center"/>
          </w:tcPr>
          <w:p w14:paraId="39C8D523" w14:textId="57BDF485" w:rsidR="00BA5D75" w:rsidRPr="005C6FC1" w:rsidRDefault="00BA5D75" w:rsidP="00BA5D75">
            <w:pPr>
              <w:rPr>
                <w:rFonts w:ascii="Garamond" w:hAnsi="Garamond"/>
              </w:rPr>
            </w:pPr>
            <w:r>
              <w:rPr>
                <w:rFonts w:ascii="Garamond" w:hAnsi="Garamond"/>
              </w:rPr>
              <w:t>Vegetation</w:t>
            </w:r>
            <w:r w:rsidRPr="004C721D">
              <w:rPr>
                <w:rFonts w:ascii="Garamond" w:hAnsi="Garamond"/>
              </w:rPr>
              <w:t xml:space="preserve"> indices </w:t>
            </w:r>
            <w:r>
              <w:rPr>
                <w:rFonts w:ascii="Garamond" w:hAnsi="Garamond"/>
              </w:rPr>
              <w:t xml:space="preserve">will be used to identify </w:t>
            </w:r>
            <w:r w:rsidRPr="004C721D">
              <w:rPr>
                <w:rFonts w:ascii="Garamond" w:hAnsi="Garamond"/>
              </w:rPr>
              <w:t>historical marsh health at the landscape scale.</w:t>
            </w:r>
          </w:p>
        </w:tc>
      </w:tr>
      <w:tr w:rsidR="00BA5D75" w:rsidRPr="005C6FC1" w14:paraId="3D3DFEA5" w14:textId="77777777" w:rsidTr="00BA5D75">
        <w:tc>
          <w:tcPr>
            <w:tcW w:w="2137" w:type="dxa"/>
            <w:tcBorders>
              <w:bottom w:val="single" w:sz="4" w:space="0" w:color="auto"/>
            </w:tcBorders>
            <w:vAlign w:val="center"/>
          </w:tcPr>
          <w:p w14:paraId="2E7A36AA" w14:textId="0E9EF383" w:rsidR="00BA5D75" w:rsidRPr="005C6FC1" w:rsidRDefault="00BA5D75" w:rsidP="00BA5D75">
            <w:pPr>
              <w:rPr>
                <w:rFonts w:ascii="Garamond" w:hAnsi="Garamond"/>
                <w:b/>
                <w:bCs/>
              </w:rPr>
            </w:pPr>
            <w:r w:rsidRPr="004C721D">
              <w:rPr>
                <w:rFonts w:ascii="Garamond" w:hAnsi="Garamond"/>
                <w:b/>
                <w:bCs/>
              </w:rPr>
              <w:t>Landsat 7 ETM+</w:t>
            </w:r>
          </w:p>
        </w:tc>
        <w:tc>
          <w:tcPr>
            <w:tcW w:w="2412" w:type="dxa"/>
            <w:tcBorders>
              <w:bottom w:val="single" w:sz="4" w:space="0" w:color="auto"/>
            </w:tcBorders>
            <w:vAlign w:val="center"/>
          </w:tcPr>
          <w:p w14:paraId="218FF07A" w14:textId="42AF7110" w:rsidR="00BA5D75" w:rsidRPr="005C6FC1" w:rsidRDefault="00BA5D75" w:rsidP="00BA5D75">
            <w:pPr>
              <w:rPr>
                <w:rFonts w:ascii="Garamond" w:hAnsi="Garamond"/>
              </w:rPr>
            </w:pPr>
            <w:r w:rsidRPr="005C6FC1">
              <w:rPr>
                <w:rFonts w:ascii="Garamond" w:hAnsi="Garamond"/>
              </w:rPr>
              <w:t>Spectral vegetation indices</w:t>
            </w:r>
          </w:p>
        </w:tc>
        <w:tc>
          <w:tcPr>
            <w:tcW w:w="4603" w:type="dxa"/>
            <w:tcBorders>
              <w:bottom w:val="single" w:sz="4" w:space="0" w:color="auto"/>
            </w:tcBorders>
            <w:vAlign w:val="center"/>
          </w:tcPr>
          <w:p w14:paraId="2A092E32" w14:textId="60E1DD38" w:rsidR="00BA5D75" w:rsidRPr="005C6FC1" w:rsidRDefault="00BA5D75" w:rsidP="00BA5D75">
            <w:pPr>
              <w:rPr>
                <w:rFonts w:ascii="Garamond" w:hAnsi="Garamond"/>
              </w:rPr>
            </w:pPr>
            <w:r>
              <w:rPr>
                <w:rFonts w:ascii="Garamond" w:hAnsi="Garamond"/>
              </w:rPr>
              <w:t>Vegetation</w:t>
            </w:r>
            <w:r w:rsidRPr="004C721D">
              <w:rPr>
                <w:rFonts w:ascii="Garamond" w:hAnsi="Garamond"/>
              </w:rPr>
              <w:t xml:space="preserve"> indices </w:t>
            </w:r>
            <w:r>
              <w:rPr>
                <w:rFonts w:ascii="Garamond" w:hAnsi="Garamond"/>
              </w:rPr>
              <w:t xml:space="preserve">will be used to identify </w:t>
            </w:r>
            <w:r w:rsidRPr="004C721D">
              <w:rPr>
                <w:rFonts w:ascii="Garamond" w:hAnsi="Garamond"/>
              </w:rPr>
              <w:t>historical marsh health at the landscape scale.</w:t>
            </w:r>
          </w:p>
        </w:tc>
      </w:tr>
      <w:tr w:rsidR="00BA5D75" w:rsidRPr="005C6FC1" w14:paraId="2173ADDF" w14:textId="77777777" w:rsidTr="00BA5D75">
        <w:tc>
          <w:tcPr>
            <w:tcW w:w="2137" w:type="dxa"/>
            <w:tcBorders>
              <w:top w:val="single" w:sz="4" w:space="0" w:color="auto"/>
              <w:left w:val="single" w:sz="4" w:space="0" w:color="auto"/>
              <w:bottom w:val="single" w:sz="4" w:space="0" w:color="auto"/>
            </w:tcBorders>
            <w:vAlign w:val="center"/>
          </w:tcPr>
          <w:p w14:paraId="0E5EC88D" w14:textId="040AD791" w:rsidR="00BA5D75" w:rsidRPr="005C6FC1" w:rsidRDefault="00BA5D75" w:rsidP="00BA5D75">
            <w:pPr>
              <w:rPr>
                <w:rFonts w:ascii="Garamond" w:hAnsi="Garamond"/>
                <w:b/>
                <w:bCs/>
              </w:rPr>
            </w:pPr>
            <w:r w:rsidRPr="004C721D">
              <w:rPr>
                <w:rFonts w:ascii="Garamond" w:hAnsi="Garamond"/>
                <w:b/>
                <w:bCs/>
              </w:rPr>
              <w:t>Landsat 8 OLI</w:t>
            </w:r>
          </w:p>
        </w:tc>
        <w:tc>
          <w:tcPr>
            <w:tcW w:w="2412" w:type="dxa"/>
            <w:tcBorders>
              <w:top w:val="single" w:sz="4" w:space="0" w:color="auto"/>
              <w:bottom w:val="single" w:sz="4" w:space="0" w:color="auto"/>
            </w:tcBorders>
            <w:vAlign w:val="center"/>
          </w:tcPr>
          <w:p w14:paraId="65407D12" w14:textId="616D9469" w:rsidR="00BA5D75" w:rsidRPr="005C6FC1" w:rsidRDefault="00BA5D75" w:rsidP="00BA5D75">
            <w:pPr>
              <w:rPr>
                <w:rFonts w:ascii="Garamond" w:hAnsi="Garamond"/>
              </w:rPr>
            </w:pPr>
            <w:r w:rsidRPr="005C6FC1">
              <w:rPr>
                <w:rFonts w:ascii="Garamond" w:hAnsi="Garamond"/>
              </w:rPr>
              <w:t>Spectral vegetation indices</w:t>
            </w:r>
          </w:p>
        </w:tc>
        <w:tc>
          <w:tcPr>
            <w:tcW w:w="4603" w:type="dxa"/>
            <w:tcBorders>
              <w:top w:val="single" w:sz="4" w:space="0" w:color="auto"/>
              <w:bottom w:val="single" w:sz="4" w:space="0" w:color="auto"/>
              <w:right w:val="single" w:sz="4" w:space="0" w:color="auto"/>
            </w:tcBorders>
            <w:vAlign w:val="center"/>
          </w:tcPr>
          <w:p w14:paraId="760B100D" w14:textId="63D812D7" w:rsidR="00BA5D75" w:rsidRPr="005C6FC1" w:rsidRDefault="00BA5D75" w:rsidP="00BA5D75">
            <w:pPr>
              <w:rPr>
                <w:rFonts w:ascii="Garamond" w:hAnsi="Garamond"/>
              </w:rPr>
            </w:pPr>
            <w:r>
              <w:rPr>
                <w:rFonts w:ascii="Garamond" w:hAnsi="Garamond"/>
              </w:rPr>
              <w:t>Vegetation</w:t>
            </w:r>
            <w:r w:rsidRPr="004C721D">
              <w:rPr>
                <w:rFonts w:ascii="Garamond" w:hAnsi="Garamond"/>
              </w:rPr>
              <w:t xml:space="preserve"> indices </w:t>
            </w:r>
            <w:r>
              <w:rPr>
                <w:rFonts w:ascii="Garamond" w:hAnsi="Garamond"/>
              </w:rPr>
              <w:t xml:space="preserve">will be used to identify </w:t>
            </w:r>
            <w:r w:rsidRPr="004C721D">
              <w:rPr>
                <w:rFonts w:ascii="Garamond" w:hAnsi="Garamond"/>
              </w:rPr>
              <w:t>historical marsh health at the landscape scale.</w:t>
            </w:r>
          </w:p>
        </w:tc>
      </w:tr>
      <w:tr w:rsidR="00BA5D75" w:rsidRPr="005C6FC1" w14:paraId="40842E69" w14:textId="77777777" w:rsidTr="00BA5D75">
        <w:tc>
          <w:tcPr>
            <w:tcW w:w="2137" w:type="dxa"/>
            <w:tcBorders>
              <w:top w:val="single" w:sz="4" w:space="0" w:color="auto"/>
              <w:left w:val="single" w:sz="4" w:space="0" w:color="auto"/>
              <w:bottom w:val="single" w:sz="4" w:space="0" w:color="auto"/>
            </w:tcBorders>
            <w:vAlign w:val="center"/>
          </w:tcPr>
          <w:p w14:paraId="7E16130F" w14:textId="19ADD4A7" w:rsidR="00BA5D75" w:rsidRDefault="00BA5D75" w:rsidP="00BA5D75">
            <w:pPr>
              <w:rPr>
                <w:rFonts w:ascii="Garamond" w:hAnsi="Garamond"/>
                <w:b/>
                <w:bCs/>
              </w:rPr>
            </w:pPr>
            <w:r w:rsidRPr="004C721D">
              <w:rPr>
                <w:rFonts w:ascii="Garamond" w:hAnsi="Garamond"/>
                <w:b/>
                <w:bCs/>
              </w:rPr>
              <w:t>Aqua</w:t>
            </w:r>
            <w:r w:rsidR="0007734E">
              <w:rPr>
                <w:rFonts w:ascii="Garamond" w:hAnsi="Garamond"/>
                <w:b/>
                <w:bCs/>
              </w:rPr>
              <w:t xml:space="preserve"> or </w:t>
            </w:r>
            <w:r w:rsidRPr="004C721D">
              <w:rPr>
                <w:rFonts w:ascii="Garamond" w:hAnsi="Garamond"/>
                <w:b/>
                <w:bCs/>
              </w:rPr>
              <w:t>Terra MODIS</w:t>
            </w:r>
          </w:p>
        </w:tc>
        <w:tc>
          <w:tcPr>
            <w:tcW w:w="2412" w:type="dxa"/>
            <w:tcBorders>
              <w:top w:val="single" w:sz="4" w:space="0" w:color="auto"/>
              <w:bottom w:val="single" w:sz="4" w:space="0" w:color="auto"/>
            </w:tcBorders>
            <w:vAlign w:val="center"/>
          </w:tcPr>
          <w:p w14:paraId="2FE626E1" w14:textId="079D8094" w:rsidR="00BA5D75" w:rsidRDefault="00BA5D75" w:rsidP="00BA5D75">
            <w:pPr>
              <w:rPr>
                <w:rFonts w:ascii="Garamond" w:hAnsi="Garamond"/>
              </w:rPr>
            </w:pPr>
            <w:r w:rsidRPr="005C6FC1">
              <w:rPr>
                <w:rFonts w:ascii="Garamond" w:hAnsi="Garamond"/>
              </w:rPr>
              <w:t>Spectral vegetation indices</w:t>
            </w:r>
          </w:p>
        </w:tc>
        <w:tc>
          <w:tcPr>
            <w:tcW w:w="4603" w:type="dxa"/>
            <w:tcBorders>
              <w:top w:val="single" w:sz="4" w:space="0" w:color="auto"/>
              <w:bottom w:val="single" w:sz="4" w:space="0" w:color="auto"/>
              <w:right w:val="single" w:sz="4" w:space="0" w:color="auto"/>
            </w:tcBorders>
            <w:vAlign w:val="center"/>
          </w:tcPr>
          <w:p w14:paraId="2B6E461A" w14:textId="762D94BA" w:rsidR="00BA5D75" w:rsidRDefault="00BA5D75" w:rsidP="00BA5D75">
            <w:pPr>
              <w:rPr>
                <w:rFonts w:ascii="Garamond" w:hAnsi="Garamond"/>
              </w:rPr>
            </w:pPr>
            <w:r>
              <w:rPr>
                <w:rFonts w:ascii="Garamond" w:hAnsi="Garamond"/>
              </w:rPr>
              <w:t>Vegetation</w:t>
            </w:r>
            <w:r w:rsidRPr="004C721D">
              <w:rPr>
                <w:rFonts w:ascii="Garamond" w:hAnsi="Garamond"/>
              </w:rPr>
              <w:t xml:space="preserve"> indices </w:t>
            </w:r>
            <w:r>
              <w:rPr>
                <w:rFonts w:ascii="Garamond" w:hAnsi="Garamond"/>
              </w:rPr>
              <w:t xml:space="preserve">will be used to identify </w:t>
            </w:r>
            <w:r w:rsidRPr="004C721D">
              <w:rPr>
                <w:rFonts w:ascii="Garamond" w:hAnsi="Garamond"/>
              </w:rPr>
              <w:t>historical marsh health at the landscape scale.</w:t>
            </w:r>
          </w:p>
        </w:tc>
      </w:tr>
      <w:tr w:rsidR="00BA5D75" w:rsidRPr="005C6FC1" w14:paraId="76816609" w14:textId="77777777" w:rsidTr="00BA5D75">
        <w:tc>
          <w:tcPr>
            <w:tcW w:w="2137" w:type="dxa"/>
            <w:tcBorders>
              <w:top w:val="single" w:sz="4" w:space="0" w:color="auto"/>
              <w:left w:val="single" w:sz="4" w:space="0" w:color="auto"/>
              <w:bottom w:val="single" w:sz="4" w:space="0" w:color="auto"/>
            </w:tcBorders>
            <w:vAlign w:val="center"/>
          </w:tcPr>
          <w:p w14:paraId="693E86C4" w14:textId="1E52C1BC" w:rsidR="00BA5D75" w:rsidRPr="004C721D" w:rsidRDefault="00BA5D75" w:rsidP="00FC3975">
            <w:pPr>
              <w:rPr>
                <w:rFonts w:ascii="Garamond" w:hAnsi="Garamond"/>
                <w:b/>
                <w:bCs/>
              </w:rPr>
            </w:pPr>
            <w:r w:rsidRPr="004C721D">
              <w:rPr>
                <w:rFonts w:ascii="Garamond" w:hAnsi="Garamond"/>
                <w:b/>
                <w:bCs/>
              </w:rPr>
              <w:lastRenderedPageBreak/>
              <w:t>Sentinel</w:t>
            </w:r>
            <w:r w:rsidR="00FC3975">
              <w:rPr>
                <w:rFonts w:ascii="Garamond" w:hAnsi="Garamond"/>
                <w:b/>
                <w:bCs/>
              </w:rPr>
              <w:t>-</w:t>
            </w:r>
            <w:r w:rsidRPr="004C721D">
              <w:rPr>
                <w:rFonts w:ascii="Garamond" w:hAnsi="Garamond"/>
                <w:b/>
                <w:bCs/>
              </w:rPr>
              <w:t>2 MSI</w:t>
            </w:r>
          </w:p>
        </w:tc>
        <w:tc>
          <w:tcPr>
            <w:tcW w:w="2412" w:type="dxa"/>
            <w:tcBorders>
              <w:top w:val="single" w:sz="4" w:space="0" w:color="auto"/>
              <w:bottom w:val="single" w:sz="4" w:space="0" w:color="auto"/>
            </w:tcBorders>
            <w:vAlign w:val="center"/>
          </w:tcPr>
          <w:p w14:paraId="1EC50218" w14:textId="405A7087" w:rsidR="00BA5D75" w:rsidRDefault="00BA5D75" w:rsidP="00BA5D75">
            <w:pPr>
              <w:rPr>
                <w:rFonts w:ascii="Garamond" w:hAnsi="Garamond"/>
              </w:rPr>
            </w:pPr>
            <w:r w:rsidRPr="005C6FC1">
              <w:rPr>
                <w:rFonts w:ascii="Garamond" w:hAnsi="Garamond"/>
              </w:rPr>
              <w:t>Spectral vegetation indices</w:t>
            </w:r>
          </w:p>
        </w:tc>
        <w:tc>
          <w:tcPr>
            <w:tcW w:w="4603" w:type="dxa"/>
            <w:tcBorders>
              <w:top w:val="single" w:sz="4" w:space="0" w:color="auto"/>
              <w:bottom w:val="single" w:sz="4" w:space="0" w:color="auto"/>
              <w:right w:val="single" w:sz="4" w:space="0" w:color="auto"/>
            </w:tcBorders>
            <w:vAlign w:val="center"/>
          </w:tcPr>
          <w:p w14:paraId="06EE13FC" w14:textId="58017BEC" w:rsidR="00BA5D75" w:rsidRDefault="00BA5D75" w:rsidP="00BA5D75">
            <w:pPr>
              <w:rPr>
                <w:rFonts w:ascii="Garamond" w:hAnsi="Garamond"/>
              </w:rPr>
            </w:pPr>
            <w:r>
              <w:rPr>
                <w:rFonts w:ascii="Garamond" w:hAnsi="Garamond"/>
              </w:rPr>
              <w:t>Vegetation</w:t>
            </w:r>
            <w:r w:rsidRPr="004C721D">
              <w:rPr>
                <w:rFonts w:ascii="Garamond" w:hAnsi="Garamond"/>
              </w:rPr>
              <w:t xml:space="preserve"> indices </w:t>
            </w:r>
            <w:r>
              <w:rPr>
                <w:rFonts w:ascii="Garamond" w:hAnsi="Garamond"/>
              </w:rPr>
              <w:t xml:space="preserve">will be used to identify </w:t>
            </w:r>
            <w:r w:rsidRPr="004C721D">
              <w:rPr>
                <w:rFonts w:ascii="Garamond" w:hAnsi="Garamond"/>
              </w:rPr>
              <w:t>historical marsh health at the landscape scale.</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1DBD398E" w14:textId="7730C1A1" w:rsidR="00BA5D75" w:rsidRDefault="00BA5D75" w:rsidP="00BA5D75">
      <w:r w:rsidRPr="007A0BC6">
        <w:rPr>
          <w:rFonts w:ascii="Garamond" w:hAnsi="Garamond"/>
        </w:rPr>
        <w:t xml:space="preserve">NOAA – Coastal LiDAR and DEM data – </w:t>
      </w:r>
      <w:r w:rsidR="005D6E79">
        <w:rPr>
          <w:rFonts w:ascii="Garamond" w:hAnsi="Garamond"/>
        </w:rPr>
        <w:t>v</w:t>
      </w:r>
      <w:r w:rsidRPr="007A0BC6">
        <w:rPr>
          <w:rFonts w:ascii="Garamond" w:hAnsi="Garamond"/>
        </w:rPr>
        <w:t>alidation and supplementation of other remotely</w:t>
      </w:r>
      <w:r w:rsidR="00C74F47">
        <w:rPr>
          <w:rFonts w:ascii="Garamond" w:hAnsi="Garamond"/>
        </w:rPr>
        <w:t>-</w:t>
      </w:r>
      <w:r w:rsidRPr="007A0BC6">
        <w:rPr>
          <w:rFonts w:ascii="Garamond" w:hAnsi="Garamond"/>
        </w:rPr>
        <w:t>sensed data</w:t>
      </w:r>
    </w:p>
    <w:p w14:paraId="1652DBD9" w14:textId="3415E666" w:rsidR="00BA5D75" w:rsidRDefault="00BA5D75" w:rsidP="002B5E70">
      <w:pPr>
        <w:ind w:left="720" w:hanging="720"/>
        <w:rPr>
          <w:rFonts w:ascii="Garamond" w:hAnsi="Garamond"/>
        </w:rPr>
      </w:pPr>
      <w:r w:rsidRPr="007A0BC6">
        <w:rPr>
          <w:rFonts w:ascii="Garamond" w:hAnsi="Garamond"/>
        </w:rPr>
        <w:t xml:space="preserve">USDA Forest Service – </w:t>
      </w:r>
      <w:proofErr w:type="spellStart"/>
      <w:r w:rsidRPr="007A0BC6">
        <w:rPr>
          <w:rFonts w:ascii="Garamond" w:hAnsi="Garamond"/>
        </w:rPr>
        <w:t>ForWarn</w:t>
      </w:r>
      <w:proofErr w:type="spellEnd"/>
      <w:r w:rsidRPr="007A0BC6">
        <w:rPr>
          <w:rFonts w:ascii="Garamond" w:hAnsi="Garamond"/>
        </w:rPr>
        <w:t xml:space="preserve"> MODIS data – view NDVI profiles of marsh greenness</w:t>
      </w:r>
      <w:r w:rsidR="002B5E70">
        <w:rPr>
          <w:rFonts w:ascii="Garamond" w:hAnsi="Garamond"/>
        </w:rPr>
        <w:t xml:space="preserve"> in study area</w:t>
      </w:r>
    </w:p>
    <w:p w14:paraId="7452885F" w14:textId="77777777" w:rsidR="00896D48" w:rsidRPr="00CD0433" w:rsidRDefault="00896D48" w:rsidP="00B76BDC">
      <w:pPr>
        <w:rPr>
          <w:b/>
          <w:sz w:val="20"/>
          <w:szCs w:val="20"/>
        </w:rPr>
      </w:pPr>
    </w:p>
    <w:p w14:paraId="5BCF3965" w14:textId="77777777" w:rsidR="00BA5D75" w:rsidRDefault="0080287D" w:rsidP="00BA5D75">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4A6A5E29" w14:textId="48E97017" w:rsidR="00BA5D75" w:rsidRPr="00BA5D75" w:rsidRDefault="00BA5D75" w:rsidP="00BA5D75">
      <w:pPr>
        <w:rPr>
          <w:i/>
          <w:sz w:val="20"/>
          <w:szCs w:val="20"/>
        </w:rPr>
      </w:pPr>
      <w:r w:rsidRPr="007A0BC6">
        <w:rPr>
          <w:rFonts w:ascii="Garamond" w:hAnsi="Garamond"/>
        </w:rPr>
        <w:t xml:space="preserve">TerrSet Earth Trends Modeler </w:t>
      </w:r>
      <w:r w:rsidR="002B5E70">
        <w:rPr>
          <w:rFonts w:ascii="Garamond" w:hAnsi="Garamond"/>
        </w:rPr>
        <w:t>and</w:t>
      </w:r>
      <w:r w:rsidRPr="007A0BC6">
        <w:rPr>
          <w:rFonts w:ascii="Garamond" w:hAnsi="Garamond"/>
        </w:rPr>
        <w:t xml:space="preserve"> Land Change Modeler (POC: Dr. James Toledano, Clark Labs)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4ACF5EC6" w14:textId="24814389" w:rsidR="00BA5D75" w:rsidRPr="007A0BC6" w:rsidRDefault="00BA5D75" w:rsidP="00BA5D75">
      <w:pPr>
        <w:ind w:left="720" w:hanging="720"/>
        <w:rPr>
          <w:rFonts w:ascii="Garamond" w:hAnsi="Garamond"/>
        </w:rPr>
      </w:pPr>
      <w:r w:rsidRPr="007A0BC6">
        <w:rPr>
          <w:rFonts w:ascii="Garamond" w:hAnsi="Garamond"/>
        </w:rPr>
        <w:t xml:space="preserve">ERDAS IMAGINE – </w:t>
      </w:r>
      <w:r w:rsidR="005D6E79">
        <w:rPr>
          <w:rFonts w:ascii="Garamond" w:hAnsi="Garamond"/>
        </w:rPr>
        <w:t>i</w:t>
      </w:r>
      <w:r w:rsidR="00A67169">
        <w:rPr>
          <w:rFonts w:ascii="Garamond" w:hAnsi="Garamond"/>
        </w:rPr>
        <w:t>mage</w:t>
      </w:r>
      <w:r w:rsidR="00A67169" w:rsidRPr="00A67169">
        <w:rPr>
          <w:rFonts w:ascii="Garamond" w:hAnsi="Garamond"/>
        </w:rPr>
        <w:t xml:space="preserve"> processing </w:t>
      </w:r>
      <w:r w:rsidR="00A67169">
        <w:rPr>
          <w:rFonts w:ascii="Garamond" w:hAnsi="Garamond"/>
        </w:rPr>
        <w:t xml:space="preserve">of Landsat, </w:t>
      </w:r>
      <w:r w:rsidR="00A67169" w:rsidRPr="00A67169">
        <w:rPr>
          <w:rFonts w:ascii="Garamond" w:hAnsi="Garamond"/>
        </w:rPr>
        <w:t>MODIS</w:t>
      </w:r>
      <w:r w:rsidR="00A67169">
        <w:rPr>
          <w:rFonts w:ascii="Garamond" w:hAnsi="Garamond"/>
        </w:rPr>
        <w:t>, and DEM data</w:t>
      </w:r>
    </w:p>
    <w:p w14:paraId="1073A64D" w14:textId="7F5FCD2F" w:rsidR="00BA5D75" w:rsidRPr="007A0BC6" w:rsidRDefault="00F92F57" w:rsidP="00BA5D75">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00BA5D75" w:rsidRPr="007A0BC6">
        <w:rPr>
          <w:rFonts w:ascii="Garamond" w:hAnsi="Garamond"/>
        </w:rPr>
        <w:t xml:space="preserve">ArcGIS – </w:t>
      </w:r>
      <w:r w:rsidR="005D6E79">
        <w:rPr>
          <w:rFonts w:ascii="Garamond" w:hAnsi="Garamond"/>
        </w:rPr>
        <w:t>r</w:t>
      </w:r>
      <w:r w:rsidR="00A67169" w:rsidRPr="00A67169">
        <w:rPr>
          <w:rFonts w:ascii="Garamond" w:hAnsi="Garamond"/>
        </w:rPr>
        <w:t>aster</w:t>
      </w:r>
      <w:r w:rsidR="00C74F47">
        <w:rPr>
          <w:rFonts w:ascii="Garamond" w:hAnsi="Garamond"/>
        </w:rPr>
        <w:t xml:space="preserve"> and </w:t>
      </w:r>
      <w:r w:rsidR="00A67169" w:rsidRPr="00A67169">
        <w:rPr>
          <w:rFonts w:ascii="Garamond" w:hAnsi="Garamond"/>
        </w:rPr>
        <w:t>vector processing and manipulation, statistical analysis</w:t>
      </w:r>
      <w:r w:rsidR="00A67169">
        <w:rPr>
          <w:rFonts w:ascii="Garamond" w:hAnsi="Garamond"/>
        </w:rPr>
        <w:t>, map creation</w:t>
      </w:r>
    </w:p>
    <w:p w14:paraId="3FBF9FAE" w14:textId="194F91C4" w:rsidR="00BA5D75" w:rsidRPr="007A0BC6" w:rsidRDefault="00BA5D75" w:rsidP="00BA5D75">
      <w:pPr>
        <w:ind w:left="720" w:hanging="720"/>
        <w:rPr>
          <w:rFonts w:ascii="Garamond" w:hAnsi="Garamond"/>
        </w:rPr>
      </w:pPr>
      <w:r w:rsidRPr="007A0BC6">
        <w:rPr>
          <w:rFonts w:ascii="Garamond" w:hAnsi="Garamond"/>
        </w:rPr>
        <w:t xml:space="preserve">TerrSet – </w:t>
      </w:r>
      <w:r w:rsidR="005D6E79">
        <w:rPr>
          <w:rFonts w:ascii="Garamond" w:hAnsi="Garamond"/>
        </w:rPr>
        <w:t>m</w:t>
      </w:r>
      <w:r w:rsidRPr="007A0BC6">
        <w:rPr>
          <w:rFonts w:ascii="Garamond" w:hAnsi="Garamond"/>
        </w:rPr>
        <w:t>arsh health forecast maps, Land Use Land Cover forecast maps</w:t>
      </w:r>
    </w:p>
    <w:p w14:paraId="355DA988" w14:textId="1C97D243" w:rsidR="00BA5D75" w:rsidRPr="007A0BC6" w:rsidRDefault="00BA5D75" w:rsidP="00BA5D75">
      <w:pPr>
        <w:ind w:left="720" w:hanging="720"/>
        <w:rPr>
          <w:rFonts w:ascii="Garamond" w:hAnsi="Garamond"/>
        </w:rPr>
      </w:pPr>
      <w:proofErr w:type="gramStart"/>
      <w:r w:rsidRPr="007A0BC6">
        <w:rPr>
          <w:rFonts w:ascii="Garamond" w:hAnsi="Garamond"/>
        </w:rPr>
        <w:t>dnppy</w:t>
      </w:r>
      <w:proofErr w:type="gramEnd"/>
      <w:r w:rsidRPr="007A0BC6">
        <w:rPr>
          <w:rFonts w:ascii="Garamond" w:hAnsi="Garamond"/>
        </w:rPr>
        <w:t xml:space="preserve"> – </w:t>
      </w:r>
      <w:r w:rsidR="005D6E79">
        <w:rPr>
          <w:rFonts w:ascii="Garamond" w:hAnsi="Garamond"/>
        </w:rPr>
        <w:t>s</w:t>
      </w:r>
      <w:r w:rsidRPr="007A0BC6">
        <w:rPr>
          <w:rFonts w:ascii="Garamond" w:hAnsi="Garamond"/>
        </w:rPr>
        <w:t>cripts for converting Landsat data to TOA reflectance with Python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1538F2" w14:paraId="2A0027C9" w14:textId="77777777" w:rsidTr="00CB1D36">
        <w:tc>
          <w:tcPr>
            <w:tcW w:w="2070" w:type="dxa"/>
            <w:shd w:val="clear" w:color="auto" w:fill="31849B" w:themeFill="accent5" w:themeFillShade="BF"/>
            <w:vAlign w:val="center"/>
          </w:tcPr>
          <w:p w14:paraId="67DE7A20" w14:textId="1FDEF6D5"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767"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BA5D75" w:rsidRPr="00CD0433" w14:paraId="407EEF43" w14:textId="77777777" w:rsidTr="00CB1D36">
        <w:tc>
          <w:tcPr>
            <w:tcW w:w="2070" w:type="dxa"/>
            <w:vAlign w:val="center"/>
          </w:tcPr>
          <w:p w14:paraId="6303043D" w14:textId="3CE1340A" w:rsidR="00BA5D75" w:rsidRPr="00FC3975" w:rsidRDefault="00BA5D75" w:rsidP="00BA5D75">
            <w:pPr>
              <w:rPr>
                <w:rFonts w:ascii="Garamond" w:hAnsi="Garamond"/>
                <w:b/>
                <w:bCs/>
              </w:rPr>
            </w:pPr>
            <w:r w:rsidRPr="00FC3975">
              <w:rPr>
                <w:rFonts w:ascii="Garamond" w:hAnsi="Garamond"/>
                <w:b/>
                <w:bCs/>
              </w:rPr>
              <w:t>Marsh Health Trend Analysis Map</w:t>
            </w:r>
            <w:r w:rsidR="005D6E79" w:rsidRPr="00FC3975">
              <w:rPr>
                <w:rFonts w:ascii="Garamond" w:hAnsi="Garamond"/>
                <w:b/>
                <w:bCs/>
              </w:rPr>
              <w:t>(</w:t>
            </w:r>
            <w:r w:rsidRPr="00FC3975">
              <w:rPr>
                <w:rFonts w:ascii="Garamond" w:hAnsi="Garamond"/>
                <w:b/>
                <w:bCs/>
              </w:rPr>
              <w:t>s</w:t>
            </w:r>
            <w:r w:rsidR="005D6E79" w:rsidRPr="00FC3975">
              <w:rPr>
                <w:rFonts w:ascii="Garamond" w:hAnsi="Garamond"/>
                <w:b/>
                <w:bCs/>
              </w:rPr>
              <w:t>)</w:t>
            </w:r>
          </w:p>
        </w:tc>
        <w:tc>
          <w:tcPr>
            <w:tcW w:w="3240" w:type="dxa"/>
            <w:vAlign w:val="center"/>
          </w:tcPr>
          <w:p w14:paraId="05C6772C" w14:textId="1277CDC7" w:rsidR="00BA5D75" w:rsidRPr="005C6FC1" w:rsidRDefault="00BA5D75" w:rsidP="00BA5D75">
            <w:pPr>
              <w:rPr>
                <w:rFonts w:ascii="Garamond" w:hAnsi="Garamond"/>
              </w:rPr>
            </w:pPr>
            <w:r w:rsidRPr="00614FFD">
              <w:rPr>
                <w:rFonts w:ascii="Garamond" w:hAnsi="Garamond"/>
              </w:rPr>
              <w:t>This product will b</w:t>
            </w:r>
            <w:r>
              <w:rPr>
                <w:rFonts w:ascii="Garamond" w:hAnsi="Garamond"/>
              </w:rPr>
              <w:t>e used to identify areas where The Nature Conservancy and Maryland Department of Natural Resources</w:t>
            </w:r>
            <w:r w:rsidRPr="00614FFD">
              <w:rPr>
                <w:rFonts w:ascii="Garamond" w:hAnsi="Garamond"/>
              </w:rPr>
              <w:t xml:space="preserve"> should focus future protection, restoration, and mitigation efforts based on historical marsh health characteristics.</w:t>
            </w:r>
          </w:p>
        </w:tc>
        <w:tc>
          <w:tcPr>
            <w:tcW w:w="2767" w:type="dxa"/>
            <w:vAlign w:val="center"/>
          </w:tcPr>
          <w:p w14:paraId="29D692C0" w14:textId="00052E64" w:rsidR="00BA5D75" w:rsidRPr="005C6FC1" w:rsidRDefault="00BA5D75" w:rsidP="0007734E">
            <w:pPr>
              <w:rPr>
                <w:rFonts w:ascii="Garamond" w:hAnsi="Garamond"/>
              </w:rPr>
            </w:pPr>
            <w:r w:rsidRPr="00614FFD">
              <w:rPr>
                <w:rFonts w:ascii="Garamond" w:hAnsi="Garamond"/>
              </w:rPr>
              <w:t>Maps identifying areas of historical marsh health derived from Landsat 5 TM, Landsat 7 ETM+, Landsat 8 OLI, and Aqua</w:t>
            </w:r>
            <w:r w:rsidR="0007734E">
              <w:rPr>
                <w:rFonts w:ascii="Garamond" w:hAnsi="Garamond"/>
              </w:rPr>
              <w:t xml:space="preserve"> or </w:t>
            </w:r>
            <w:r w:rsidRPr="00614FFD">
              <w:rPr>
                <w:rFonts w:ascii="Garamond" w:hAnsi="Garamond"/>
              </w:rPr>
              <w:t>Terra MODIS data</w:t>
            </w:r>
          </w:p>
        </w:tc>
        <w:tc>
          <w:tcPr>
            <w:tcW w:w="1080" w:type="dxa"/>
            <w:vAlign w:val="center"/>
          </w:tcPr>
          <w:p w14:paraId="33182638" w14:textId="694BBC5E" w:rsidR="00BA5D75" w:rsidRPr="005C6FC1" w:rsidRDefault="00BA5D75" w:rsidP="00CB1D36">
            <w:pPr>
              <w:jc w:val="center"/>
              <w:rPr>
                <w:rFonts w:ascii="Garamond" w:hAnsi="Garamond"/>
              </w:rPr>
            </w:pPr>
            <w:r w:rsidRPr="00614FFD">
              <w:rPr>
                <w:rFonts w:ascii="Garamond" w:hAnsi="Garamond"/>
              </w:rPr>
              <w:t>II</w:t>
            </w:r>
          </w:p>
        </w:tc>
      </w:tr>
      <w:tr w:rsidR="00BA5D75" w:rsidRPr="00CD0433" w14:paraId="6CADEA21" w14:textId="77777777" w:rsidTr="00CB1D36">
        <w:tc>
          <w:tcPr>
            <w:tcW w:w="2070" w:type="dxa"/>
            <w:vAlign w:val="center"/>
          </w:tcPr>
          <w:p w14:paraId="60ADAAAA" w14:textId="404BA23A" w:rsidR="00BA5D75" w:rsidRPr="00FC3975" w:rsidRDefault="00BA5D75" w:rsidP="00BA5D75">
            <w:pPr>
              <w:rPr>
                <w:rFonts w:ascii="Garamond" w:hAnsi="Garamond"/>
                <w:b/>
                <w:bCs/>
              </w:rPr>
            </w:pPr>
            <w:r w:rsidRPr="00FC3975">
              <w:rPr>
                <w:rFonts w:ascii="Garamond" w:hAnsi="Garamond"/>
                <w:b/>
                <w:bCs/>
              </w:rPr>
              <w:t>Marsh Health Forecast Maps</w:t>
            </w:r>
          </w:p>
        </w:tc>
        <w:tc>
          <w:tcPr>
            <w:tcW w:w="3240" w:type="dxa"/>
            <w:vAlign w:val="center"/>
          </w:tcPr>
          <w:p w14:paraId="017926FC" w14:textId="30C0F289" w:rsidR="00BA5D75" w:rsidRPr="005C6FC1" w:rsidRDefault="00BA5D75" w:rsidP="00BA5D75">
            <w:pPr>
              <w:rPr>
                <w:rFonts w:ascii="Garamond" w:hAnsi="Garamond"/>
              </w:rPr>
            </w:pPr>
            <w:r>
              <w:rPr>
                <w:rFonts w:ascii="Garamond" w:hAnsi="Garamond"/>
              </w:rPr>
              <w:t>The Nature Conservancy and Maryland Department of Natural Resources</w:t>
            </w:r>
            <w:r w:rsidRPr="00614FFD">
              <w:rPr>
                <w:rFonts w:ascii="Garamond" w:hAnsi="Garamond"/>
              </w:rPr>
              <w:t xml:space="preserve"> will use this product to identify where they should focus future protection, restoration, and mitigation of marshes based on these predictive maps.</w:t>
            </w:r>
          </w:p>
        </w:tc>
        <w:tc>
          <w:tcPr>
            <w:tcW w:w="2767" w:type="dxa"/>
            <w:vAlign w:val="center"/>
          </w:tcPr>
          <w:p w14:paraId="1FD94241" w14:textId="7712C7BF" w:rsidR="00BA5D75" w:rsidRPr="005C6FC1" w:rsidRDefault="00BA5D75" w:rsidP="0007734E">
            <w:pPr>
              <w:rPr>
                <w:rFonts w:ascii="Garamond" w:hAnsi="Garamond"/>
              </w:rPr>
            </w:pPr>
            <w:r w:rsidRPr="00614FFD">
              <w:rPr>
                <w:rFonts w:ascii="Garamond" w:hAnsi="Garamond"/>
              </w:rPr>
              <w:t>Maps predicting the future health of the marshes using the current and past marsh health from Landsat 5 TM, Landsat 7 ETM+, Landsat 8 OLI, and Aqua</w:t>
            </w:r>
            <w:r w:rsidR="0007734E">
              <w:rPr>
                <w:rFonts w:ascii="Garamond" w:hAnsi="Garamond"/>
              </w:rPr>
              <w:t xml:space="preserve"> or </w:t>
            </w:r>
            <w:r w:rsidRPr="00614FFD">
              <w:rPr>
                <w:rFonts w:ascii="Garamond" w:hAnsi="Garamond"/>
              </w:rPr>
              <w:t xml:space="preserve">Terra MODIS data as the input for </w:t>
            </w:r>
            <w:proofErr w:type="spellStart"/>
            <w:r w:rsidRPr="00614FFD">
              <w:rPr>
                <w:rFonts w:ascii="Garamond" w:hAnsi="Garamond"/>
              </w:rPr>
              <w:t>TerrSet’s</w:t>
            </w:r>
            <w:proofErr w:type="spellEnd"/>
            <w:r w:rsidRPr="00614FFD">
              <w:rPr>
                <w:rFonts w:ascii="Garamond" w:hAnsi="Garamond"/>
              </w:rPr>
              <w:t xml:space="preserve"> Earth Trends Modeler</w:t>
            </w:r>
          </w:p>
        </w:tc>
        <w:tc>
          <w:tcPr>
            <w:tcW w:w="1080" w:type="dxa"/>
            <w:vAlign w:val="center"/>
          </w:tcPr>
          <w:p w14:paraId="6CCF6DA3" w14:textId="4AD8F775" w:rsidR="00BA5D75" w:rsidRPr="005C6FC1" w:rsidRDefault="00BA5D75" w:rsidP="00CB1D36">
            <w:pPr>
              <w:jc w:val="center"/>
              <w:rPr>
                <w:rFonts w:ascii="Garamond" w:hAnsi="Garamond"/>
              </w:rPr>
            </w:pPr>
            <w:r w:rsidRPr="00614FFD">
              <w:rPr>
                <w:rFonts w:ascii="Garamond" w:hAnsi="Garamond"/>
              </w:rPr>
              <w:t>II</w:t>
            </w:r>
          </w:p>
        </w:tc>
      </w:tr>
    </w:tbl>
    <w:p w14:paraId="66FBE966" w14:textId="77777777" w:rsidR="00073224" w:rsidRPr="00CD0433" w:rsidRDefault="00073224" w:rsidP="00073224">
      <w:pPr>
        <w:rPr>
          <w:b/>
          <w:sz w:val="20"/>
          <w:szCs w:val="20"/>
        </w:rPr>
      </w:pPr>
    </w:p>
    <w:p w14:paraId="4421A6BE" w14:textId="19BABF54" w:rsidR="00BA5D75" w:rsidRPr="005628D7" w:rsidRDefault="000F76DA" w:rsidP="00BA5D75">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BA5D75" w:rsidRPr="005628D7">
        <w:rPr>
          <w:rFonts w:ascii="Garamond" w:hAnsi="Garamond"/>
        </w:rPr>
        <w:t>Implementation of a well-calibrated, Earth observation-based remote</w:t>
      </w:r>
      <w:r w:rsidR="00C74F47">
        <w:rPr>
          <w:rFonts w:ascii="Garamond" w:hAnsi="Garamond"/>
        </w:rPr>
        <w:t>-</w:t>
      </w:r>
      <w:r w:rsidR="00BA5D75" w:rsidRPr="005628D7">
        <w:rPr>
          <w:rFonts w:ascii="Garamond" w:hAnsi="Garamond"/>
        </w:rPr>
        <w:t xml:space="preserve">sensing technology at the landscape scale will greatly enhance the ability of </w:t>
      </w:r>
      <w:r w:rsidR="00A67169">
        <w:rPr>
          <w:rFonts w:ascii="Garamond" w:hAnsi="Garamond"/>
        </w:rPr>
        <w:t>MD DNR</w:t>
      </w:r>
      <w:r w:rsidR="00BA5D75" w:rsidRPr="005628D7">
        <w:rPr>
          <w:rFonts w:ascii="Garamond" w:hAnsi="Garamond"/>
        </w:rPr>
        <w:t xml:space="preserve"> and TNC to assess marsh health. The </w:t>
      </w:r>
      <w:r w:rsidR="005D6E79">
        <w:rPr>
          <w:rFonts w:ascii="Garamond" w:hAnsi="Garamond"/>
        </w:rPr>
        <w:t>e</w:t>
      </w:r>
      <w:r w:rsidR="00BA5D75" w:rsidRPr="005628D7">
        <w:rPr>
          <w:rFonts w:ascii="Garamond" w:hAnsi="Garamond"/>
        </w:rPr>
        <w:t>nd-</w:t>
      </w:r>
      <w:r w:rsidR="005D6E79">
        <w:rPr>
          <w:rFonts w:ascii="Garamond" w:hAnsi="Garamond"/>
        </w:rPr>
        <w:t>u</w:t>
      </w:r>
      <w:r w:rsidR="00BA5D75" w:rsidRPr="005628D7">
        <w:rPr>
          <w:rFonts w:ascii="Garamond" w:hAnsi="Garamond"/>
        </w:rPr>
        <w:t>ser will have an improved ability to assess the need for marsh restoration efforts, and will be empowered to use adaptive management approaches to improve conservation program performance. Within Maryland Department of Natural Resources, information will be used to identify marsh areas of high and low restoration need.</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038F9196"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BA5D75" w:rsidRPr="007A0BC6">
        <w:rPr>
          <w:rFonts w:ascii="Garamond" w:hAnsi="Garamond"/>
        </w:rPr>
        <w:t xml:space="preserve">1 </w:t>
      </w:r>
      <w:r w:rsidR="00BA5D75">
        <w:rPr>
          <w:rFonts w:ascii="Garamond" w:hAnsi="Garamond"/>
        </w:rPr>
        <w:t>T</w:t>
      </w:r>
      <w:r w:rsidR="00BA5D75" w:rsidRPr="007A0BC6">
        <w:rPr>
          <w:rFonts w:ascii="Garamond" w:hAnsi="Garamond"/>
        </w:rPr>
        <w:t>erm: 2017 Summer</w:t>
      </w:r>
    </w:p>
    <w:p w14:paraId="0E47B3BF" w14:textId="77777777" w:rsidR="00461AA0" w:rsidRDefault="00461AA0" w:rsidP="00272CD9">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575F6A06" w14:textId="348A8283" w:rsidR="00BA5D75" w:rsidRPr="00614FFD" w:rsidRDefault="00BA5D75" w:rsidP="00BA5D75">
      <w:pPr>
        <w:ind w:left="720" w:hanging="720"/>
        <w:rPr>
          <w:rFonts w:ascii="Garamond" w:hAnsi="Garamond"/>
        </w:rPr>
      </w:pPr>
      <w:r w:rsidRPr="00614FFD">
        <w:rPr>
          <w:rFonts w:ascii="Garamond" w:hAnsi="Garamond"/>
        </w:rPr>
        <w:lastRenderedPageBreak/>
        <w:t xml:space="preserve">2016 </w:t>
      </w:r>
      <w:proofErr w:type="gramStart"/>
      <w:r w:rsidRPr="00614FFD">
        <w:rPr>
          <w:rFonts w:ascii="Garamond" w:hAnsi="Garamond"/>
        </w:rPr>
        <w:t>Summer</w:t>
      </w:r>
      <w:proofErr w:type="gramEnd"/>
      <w:r w:rsidRPr="00614FFD">
        <w:rPr>
          <w:rFonts w:ascii="Garamond" w:hAnsi="Garamond"/>
        </w:rPr>
        <w:t xml:space="preserve"> (M</w:t>
      </w:r>
      <w:r w:rsidR="00FC3975">
        <w:rPr>
          <w:rFonts w:ascii="Garamond" w:hAnsi="Garamond"/>
        </w:rPr>
        <w:t xml:space="preserve">obile </w:t>
      </w:r>
      <w:r w:rsidRPr="00614FFD">
        <w:rPr>
          <w:rFonts w:ascii="Garamond" w:hAnsi="Garamond"/>
        </w:rPr>
        <w:t>C</w:t>
      </w:r>
      <w:r w:rsidR="00FC3975">
        <w:rPr>
          <w:rFonts w:ascii="Garamond" w:hAnsi="Garamond"/>
        </w:rPr>
        <w:t xml:space="preserve">ounty </w:t>
      </w:r>
      <w:r w:rsidRPr="00614FFD">
        <w:rPr>
          <w:rFonts w:ascii="Garamond" w:hAnsi="Garamond"/>
        </w:rPr>
        <w:t>H</w:t>
      </w:r>
      <w:r w:rsidR="00FC3975">
        <w:rPr>
          <w:rFonts w:ascii="Garamond" w:hAnsi="Garamond"/>
        </w:rPr>
        <w:t xml:space="preserve">ealth </w:t>
      </w:r>
      <w:r w:rsidRPr="00614FFD">
        <w:rPr>
          <w:rFonts w:ascii="Garamond" w:hAnsi="Garamond"/>
        </w:rPr>
        <w:t>D</w:t>
      </w:r>
      <w:r w:rsidR="00FC3975">
        <w:rPr>
          <w:rFonts w:ascii="Garamond" w:hAnsi="Garamond"/>
        </w:rPr>
        <w:t>epartment</w:t>
      </w:r>
      <w:r w:rsidRPr="00614FFD">
        <w:rPr>
          <w:rFonts w:ascii="Garamond" w:hAnsi="Garamond"/>
        </w:rPr>
        <w:t>) – Mobile Bay Eco Forecasting II: Monitoring Marsh Conditions in Coastal Alabama Using NASA Earth Observations to Support the Alabama Coastal Foundation’s Restoration and Conservation Initiatives</w:t>
      </w:r>
    </w:p>
    <w:p w14:paraId="027343BF" w14:textId="11F7FA79" w:rsidR="00BA5D75" w:rsidRPr="00614FFD" w:rsidRDefault="00BA5D75" w:rsidP="00BA5D75">
      <w:pPr>
        <w:ind w:left="720" w:hanging="720"/>
        <w:rPr>
          <w:rFonts w:ascii="Garamond" w:hAnsi="Garamond"/>
        </w:rPr>
      </w:pPr>
      <w:r w:rsidRPr="00614FFD">
        <w:rPr>
          <w:rFonts w:ascii="Garamond" w:hAnsi="Garamond"/>
        </w:rPr>
        <w:t xml:space="preserve">2016 </w:t>
      </w:r>
      <w:proofErr w:type="gramStart"/>
      <w:r w:rsidRPr="00614FFD">
        <w:rPr>
          <w:rFonts w:ascii="Garamond" w:hAnsi="Garamond"/>
        </w:rPr>
        <w:t>Spring</w:t>
      </w:r>
      <w:proofErr w:type="gramEnd"/>
      <w:r w:rsidRPr="00614FFD">
        <w:rPr>
          <w:rFonts w:ascii="Garamond" w:hAnsi="Garamond"/>
        </w:rPr>
        <w:t xml:space="preserve"> (M</w:t>
      </w:r>
      <w:r w:rsidR="006E39EC">
        <w:rPr>
          <w:rFonts w:ascii="Garamond" w:hAnsi="Garamond"/>
        </w:rPr>
        <w:t xml:space="preserve">obile </w:t>
      </w:r>
      <w:r w:rsidRPr="00614FFD">
        <w:rPr>
          <w:rFonts w:ascii="Garamond" w:hAnsi="Garamond"/>
        </w:rPr>
        <w:t>C</w:t>
      </w:r>
      <w:r w:rsidR="006E39EC">
        <w:rPr>
          <w:rFonts w:ascii="Garamond" w:hAnsi="Garamond"/>
        </w:rPr>
        <w:t xml:space="preserve">ounty </w:t>
      </w:r>
      <w:r w:rsidRPr="00614FFD">
        <w:rPr>
          <w:rFonts w:ascii="Garamond" w:hAnsi="Garamond"/>
        </w:rPr>
        <w:t>H</w:t>
      </w:r>
      <w:r w:rsidR="006E39EC">
        <w:rPr>
          <w:rFonts w:ascii="Garamond" w:hAnsi="Garamond"/>
        </w:rPr>
        <w:t xml:space="preserve">ealth </w:t>
      </w:r>
      <w:r w:rsidRPr="00614FFD">
        <w:rPr>
          <w:rFonts w:ascii="Garamond" w:hAnsi="Garamond"/>
        </w:rPr>
        <w:t>D</w:t>
      </w:r>
      <w:r w:rsidR="006E39EC">
        <w:rPr>
          <w:rFonts w:ascii="Garamond" w:hAnsi="Garamond"/>
        </w:rPr>
        <w:t>epartment</w:t>
      </w:r>
      <w:r w:rsidRPr="00614FFD">
        <w:rPr>
          <w:rFonts w:ascii="Garamond" w:hAnsi="Garamond"/>
        </w:rPr>
        <w:t>) – Mobile Bay Eco Forecasting: Monitoring Marsh Conditions in Coastal Alabama Using NASA Earth Observations to Support the Alabama Coastal Foundation’s Restoration and Conservation Initiatives</w:t>
      </w:r>
    </w:p>
    <w:p w14:paraId="1AFAA884" w14:textId="3D8D667F" w:rsidR="00BA5D75" w:rsidRPr="00614FFD" w:rsidRDefault="00BA5D75" w:rsidP="00BA5D75">
      <w:pPr>
        <w:ind w:left="720" w:hanging="720"/>
        <w:rPr>
          <w:rFonts w:ascii="Garamond" w:hAnsi="Garamond"/>
        </w:rPr>
      </w:pPr>
      <w:r w:rsidRPr="00614FFD">
        <w:rPr>
          <w:rFonts w:ascii="Garamond" w:hAnsi="Garamond"/>
        </w:rPr>
        <w:t xml:space="preserve">2015 </w:t>
      </w:r>
      <w:proofErr w:type="gramStart"/>
      <w:r w:rsidRPr="00614FFD">
        <w:rPr>
          <w:rFonts w:ascii="Garamond" w:hAnsi="Garamond"/>
        </w:rPr>
        <w:t>Summer</w:t>
      </w:r>
      <w:proofErr w:type="gramEnd"/>
      <w:r w:rsidRPr="00614FFD">
        <w:rPr>
          <w:rFonts w:ascii="Garamond" w:hAnsi="Garamond"/>
        </w:rPr>
        <w:t xml:space="preserve"> (</w:t>
      </w:r>
      <w:r w:rsidR="006E39EC">
        <w:rPr>
          <w:rFonts w:ascii="Garamond" w:hAnsi="Garamond"/>
        </w:rPr>
        <w:t xml:space="preserve">NASA </w:t>
      </w:r>
      <w:r w:rsidRPr="00614FFD">
        <w:rPr>
          <w:rFonts w:ascii="Garamond" w:hAnsi="Garamond"/>
        </w:rPr>
        <w:t>Langley</w:t>
      </w:r>
      <w:r w:rsidR="006E39EC">
        <w:rPr>
          <w:rFonts w:ascii="Garamond" w:hAnsi="Garamond"/>
        </w:rPr>
        <w:t xml:space="preserve"> Research Center</w:t>
      </w:r>
      <w:r w:rsidRPr="00614FFD">
        <w:rPr>
          <w:rFonts w:ascii="Garamond" w:hAnsi="Garamond"/>
        </w:rPr>
        <w:t xml:space="preserve">) - North Carolina Ecological Forecasting: Evaluating the use of NASA Earth Observations to Monitor Wetland Health in the </w:t>
      </w:r>
      <w:proofErr w:type="spellStart"/>
      <w:r w:rsidRPr="00614FFD">
        <w:rPr>
          <w:rFonts w:ascii="Garamond" w:hAnsi="Garamond"/>
        </w:rPr>
        <w:t>Albermarle</w:t>
      </w:r>
      <w:proofErr w:type="spellEnd"/>
      <w:r w:rsidRPr="00614FFD">
        <w:rPr>
          <w:rFonts w:ascii="Garamond" w:hAnsi="Garamond"/>
        </w:rPr>
        <w:t>-Pamlico Watershed</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Default="00272CD9" w:rsidP="003D2EDF">
      <w:pPr>
        <w:rPr>
          <w:b/>
          <w:i/>
          <w:sz w:val="20"/>
          <w:szCs w:val="20"/>
        </w:rPr>
      </w:pPr>
      <w:r w:rsidRPr="00272CD9">
        <w:rPr>
          <w:b/>
          <w:i/>
          <w:sz w:val="20"/>
          <w:szCs w:val="20"/>
        </w:rPr>
        <w:t>References:</w:t>
      </w:r>
    </w:p>
    <w:p w14:paraId="7E8C738B" w14:textId="77777777" w:rsidR="00124080" w:rsidRPr="006E39EC" w:rsidRDefault="00124080">
      <w:pPr>
        <w:rPr>
          <w:sz w:val="20"/>
          <w:szCs w:val="20"/>
        </w:rPr>
      </w:pPr>
    </w:p>
    <w:p w14:paraId="3968880B" w14:textId="0B471144" w:rsidR="00A52006" w:rsidRPr="0057709A" w:rsidRDefault="00A52006" w:rsidP="009A3BED">
      <w:pPr>
        <w:pStyle w:val="NormalWeb"/>
        <w:spacing w:before="0" w:beforeAutospacing="0" w:after="0" w:afterAutospacing="0"/>
        <w:ind w:left="360" w:hanging="360"/>
        <w:jc w:val="both"/>
        <w:rPr>
          <w:rFonts w:ascii="Garamond" w:hAnsi="Garamond"/>
          <w:sz w:val="22"/>
          <w:szCs w:val="22"/>
        </w:rPr>
      </w:pPr>
      <w:proofErr w:type="spellStart"/>
      <w:r w:rsidRPr="0057709A">
        <w:rPr>
          <w:rFonts w:ascii="Garamond" w:hAnsi="Garamond"/>
          <w:sz w:val="22"/>
          <w:szCs w:val="22"/>
        </w:rPr>
        <w:t>Arkema</w:t>
      </w:r>
      <w:proofErr w:type="spellEnd"/>
      <w:r w:rsidRPr="0057709A">
        <w:rPr>
          <w:rFonts w:ascii="Garamond" w:hAnsi="Garamond"/>
          <w:sz w:val="22"/>
          <w:szCs w:val="22"/>
        </w:rPr>
        <w:t xml:space="preserve">, K. K., </w:t>
      </w:r>
      <w:proofErr w:type="spellStart"/>
      <w:r w:rsidRPr="0057709A">
        <w:rPr>
          <w:rFonts w:ascii="Garamond" w:hAnsi="Garamond"/>
          <w:sz w:val="22"/>
          <w:szCs w:val="22"/>
        </w:rPr>
        <w:t>Guannel</w:t>
      </w:r>
      <w:proofErr w:type="spellEnd"/>
      <w:r w:rsidRPr="0057709A">
        <w:rPr>
          <w:rFonts w:ascii="Garamond" w:hAnsi="Garamond"/>
          <w:sz w:val="22"/>
          <w:szCs w:val="22"/>
        </w:rPr>
        <w:t xml:space="preserve">, G., </w:t>
      </w:r>
      <w:proofErr w:type="spellStart"/>
      <w:r w:rsidRPr="0057709A">
        <w:rPr>
          <w:rFonts w:ascii="Garamond" w:hAnsi="Garamond"/>
          <w:sz w:val="22"/>
          <w:szCs w:val="22"/>
        </w:rPr>
        <w:t>Verutes</w:t>
      </w:r>
      <w:proofErr w:type="spellEnd"/>
      <w:r w:rsidRPr="0057709A">
        <w:rPr>
          <w:rFonts w:ascii="Garamond" w:hAnsi="Garamond"/>
          <w:sz w:val="22"/>
          <w:szCs w:val="22"/>
        </w:rPr>
        <w:t xml:space="preserve">, G., Wood, S. A., </w:t>
      </w:r>
      <w:proofErr w:type="spellStart"/>
      <w:r w:rsidRPr="0057709A">
        <w:rPr>
          <w:rFonts w:ascii="Garamond" w:hAnsi="Garamond"/>
          <w:sz w:val="22"/>
          <w:szCs w:val="22"/>
        </w:rPr>
        <w:t>Guerry</w:t>
      </w:r>
      <w:proofErr w:type="spellEnd"/>
      <w:r w:rsidRPr="0057709A">
        <w:rPr>
          <w:rFonts w:ascii="Garamond" w:hAnsi="Garamond"/>
          <w:sz w:val="22"/>
          <w:szCs w:val="22"/>
        </w:rPr>
        <w:t xml:space="preserve">, A., Ruckelshaus, M., </w:t>
      </w:r>
      <w:proofErr w:type="spellStart"/>
      <w:r w:rsidRPr="0057709A">
        <w:rPr>
          <w:rFonts w:ascii="Garamond" w:hAnsi="Garamond"/>
          <w:sz w:val="22"/>
          <w:szCs w:val="22"/>
        </w:rPr>
        <w:t>Kareiva</w:t>
      </w:r>
      <w:proofErr w:type="spellEnd"/>
      <w:r w:rsidRPr="0057709A">
        <w:rPr>
          <w:rFonts w:ascii="Garamond" w:hAnsi="Garamond"/>
          <w:sz w:val="22"/>
          <w:szCs w:val="22"/>
        </w:rPr>
        <w:t xml:space="preserve">, P., </w:t>
      </w:r>
      <w:proofErr w:type="spellStart"/>
      <w:r w:rsidRPr="0057709A">
        <w:rPr>
          <w:rFonts w:ascii="Garamond" w:hAnsi="Garamond"/>
          <w:sz w:val="22"/>
          <w:szCs w:val="22"/>
        </w:rPr>
        <w:t>Lacayo</w:t>
      </w:r>
      <w:proofErr w:type="spellEnd"/>
      <w:r w:rsidRPr="0057709A">
        <w:rPr>
          <w:rFonts w:ascii="Garamond" w:hAnsi="Garamond"/>
          <w:sz w:val="22"/>
          <w:szCs w:val="22"/>
        </w:rPr>
        <w:t xml:space="preserve">, M., &amp; Silver, J. M. (2013). Coastal habitats shield people and property from sea-level rise and storms. </w:t>
      </w:r>
      <w:r w:rsidRPr="00FC3975">
        <w:rPr>
          <w:rFonts w:ascii="Garamond" w:hAnsi="Garamond"/>
          <w:i/>
          <w:sz w:val="22"/>
          <w:szCs w:val="22"/>
        </w:rPr>
        <w:t>Nature Climate Change</w:t>
      </w:r>
      <w:r w:rsidR="0057709A" w:rsidRPr="00FC3975">
        <w:rPr>
          <w:rFonts w:ascii="Garamond" w:hAnsi="Garamond"/>
          <w:i/>
          <w:sz w:val="22"/>
          <w:szCs w:val="22"/>
        </w:rPr>
        <w:t>, 3</w:t>
      </w:r>
      <w:r w:rsidR="0057709A" w:rsidRPr="0057709A">
        <w:rPr>
          <w:rFonts w:ascii="Garamond" w:hAnsi="Garamond"/>
          <w:sz w:val="22"/>
          <w:szCs w:val="22"/>
        </w:rPr>
        <w:t>, 913-918.</w:t>
      </w:r>
    </w:p>
    <w:p w14:paraId="4E2D49C2" w14:textId="77777777" w:rsidR="00A52006" w:rsidRDefault="00A52006" w:rsidP="009A3BED">
      <w:pPr>
        <w:pStyle w:val="NormalWeb"/>
        <w:spacing w:before="0" w:beforeAutospacing="0" w:after="0" w:afterAutospacing="0"/>
        <w:ind w:left="360" w:hanging="360"/>
        <w:jc w:val="both"/>
        <w:rPr>
          <w:rFonts w:ascii="Garamond" w:hAnsi="Garamond"/>
          <w:sz w:val="22"/>
          <w:szCs w:val="22"/>
        </w:rPr>
      </w:pPr>
    </w:p>
    <w:p w14:paraId="78371229" w14:textId="15961321" w:rsidR="00BA5D75" w:rsidRDefault="00BA5D75" w:rsidP="009A3BED">
      <w:pPr>
        <w:pStyle w:val="NormalWeb"/>
        <w:spacing w:before="0" w:beforeAutospacing="0" w:after="0" w:afterAutospacing="0"/>
        <w:ind w:left="360" w:hanging="360"/>
        <w:jc w:val="both"/>
        <w:rPr>
          <w:rFonts w:ascii="Garamond" w:hAnsi="Garamond"/>
          <w:sz w:val="22"/>
          <w:szCs w:val="22"/>
        </w:rPr>
      </w:pPr>
      <w:r w:rsidRPr="006E39EC">
        <w:rPr>
          <w:rFonts w:ascii="Garamond" w:hAnsi="Garamond"/>
          <w:sz w:val="22"/>
          <w:szCs w:val="22"/>
        </w:rPr>
        <w:t xml:space="preserve">Conley, D. J., </w:t>
      </w:r>
      <w:proofErr w:type="spellStart"/>
      <w:r w:rsidRPr="006E39EC">
        <w:rPr>
          <w:rFonts w:ascii="Garamond" w:hAnsi="Garamond"/>
          <w:sz w:val="22"/>
          <w:szCs w:val="22"/>
        </w:rPr>
        <w:t>Paerl</w:t>
      </w:r>
      <w:proofErr w:type="spellEnd"/>
      <w:r w:rsidRPr="006E39EC">
        <w:rPr>
          <w:rFonts w:ascii="Garamond" w:hAnsi="Garamond"/>
          <w:sz w:val="22"/>
          <w:szCs w:val="22"/>
        </w:rPr>
        <w:t xml:space="preserve">, H. W., </w:t>
      </w:r>
      <w:proofErr w:type="spellStart"/>
      <w:r w:rsidRPr="006E39EC">
        <w:rPr>
          <w:rFonts w:ascii="Garamond" w:hAnsi="Garamond"/>
          <w:sz w:val="22"/>
          <w:szCs w:val="22"/>
        </w:rPr>
        <w:t>Howarth</w:t>
      </w:r>
      <w:proofErr w:type="spellEnd"/>
      <w:r w:rsidRPr="006E39EC">
        <w:rPr>
          <w:rFonts w:ascii="Garamond" w:hAnsi="Garamond"/>
          <w:sz w:val="22"/>
          <w:szCs w:val="22"/>
        </w:rPr>
        <w:t xml:space="preserve">, R. W., </w:t>
      </w:r>
      <w:proofErr w:type="spellStart"/>
      <w:r w:rsidRPr="006E39EC">
        <w:rPr>
          <w:rFonts w:ascii="Garamond" w:hAnsi="Garamond"/>
          <w:sz w:val="22"/>
          <w:szCs w:val="22"/>
        </w:rPr>
        <w:t>Boesch</w:t>
      </w:r>
      <w:proofErr w:type="spellEnd"/>
      <w:r w:rsidRPr="006E39EC">
        <w:rPr>
          <w:rFonts w:ascii="Garamond" w:hAnsi="Garamond"/>
          <w:sz w:val="22"/>
          <w:szCs w:val="22"/>
        </w:rPr>
        <w:t xml:space="preserve">, D. F., </w:t>
      </w:r>
      <w:proofErr w:type="spellStart"/>
      <w:r w:rsidRPr="006E39EC">
        <w:rPr>
          <w:rFonts w:ascii="Garamond" w:hAnsi="Garamond"/>
          <w:sz w:val="22"/>
          <w:szCs w:val="22"/>
        </w:rPr>
        <w:t>Seitzinger</w:t>
      </w:r>
      <w:proofErr w:type="spellEnd"/>
      <w:r w:rsidRPr="006E39EC">
        <w:rPr>
          <w:rFonts w:ascii="Garamond" w:hAnsi="Garamond"/>
          <w:sz w:val="22"/>
          <w:szCs w:val="22"/>
        </w:rPr>
        <w:t>, S. P., Karl, E</w:t>
      </w:r>
      <w:proofErr w:type="gramStart"/>
      <w:r w:rsidRPr="006E39EC">
        <w:rPr>
          <w:rFonts w:ascii="Garamond" w:hAnsi="Garamond"/>
          <w:sz w:val="22"/>
          <w:szCs w:val="22"/>
        </w:rPr>
        <w:t>., ...</w:t>
      </w:r>
      <w:proofErr w:type="gramEnd"/>
      <w:r w:rsidRPr="006E39EC">
        <w:rPr>
          <w:rFonts w:ascii="Garamond" w:hAnsi="Garamond"/>
          <w:sz w:val="22"/>
          <w:szCs w:val="22"/>
        </w:rPr>
        <w:t xml:space="preserve"> &amp; Gene, E. (2009). Controlling eutrophication: nitrogen and phosphorus. </w:t>
      </w:r>
      <w:r w:rsidRPr="006E39EC">
        <w:rPr>
          <w:rFonts w:ascii="Garamond" w:hAnsi="Garamond"/>
          <w:i/>
          <w:iCs/>
          <w:sz w:val="22"/>
          <w:szCs w:val="22"/>
        </w:rPr>
        <w:t>Science</w:t>
      </w:r>
      <w:r w:rsidRPr="006E39EC">
        <w:rPr>
          <w:rFonts w:ascii="Garamond" w:hAnsi="Garamond"/>
          <w:sz w:val="22"/>
          <w:szCs w:val="22"/>
        </w:rPr>
        <w:t xml:space="preserve">, </w:t>
      </w:r>
      <w:r w:rsidRPr="006E39EC">
        <w:rPr>
          <w:rFonts w:ascii="Garamond" w:hAnsi="Garamond"/>
          <w:i/>
          <w:iCs/>
          <w:sz w:val="22"/>
          <w:szCs w:val="22"/>
        </w:rPr>
        <w:t>123</w:t>
      </w:r>
      <w:r w:rsidRPr="006E39EC">
        <w:rPr>
          <w:rFonts w:ascii="Garamond" w:hAnsi="Garamond"/>
          <w:sz w:val="22"/>
          <w:szCs w:val="22"/>
        </w:rPr>
        <w:t>, 1014-1015. Retrieved from http://bvc.cea-atitlan.org.gt/id/eprint/130 on June 30, 2016.</w:t>
      </w:r>
    </w:p>
    <w:p w14:paraId="4110DDD6" w14:textId="77777777" w:rsidR="006E39EC" w:rsidRPr="006E39EC" w:rsidRDefault="006E39EC" w:rsidP="009A3BED">
      <w:pPr>
        <w:pStyle w:val="NormalWeb"/>
        <w:spacing w:before="0" w:beforeAutospacing="0" w:after="0" w:afterAutospacing="0"/>
        <w:ind w:left="360" w:hanging="360"/>
        <w:jc w:val="both"/>
        <w:rPr>
          <w:rFonts w:ascii="Garamond" w:hAnsi="Garamond"/>
          <w:sz w:val="22"/>
          <w:szCs w:val="22"/>
        </w:rPr>
      </w:pPr>
    </w:p>
    <w:p w14:paraId="73C0A62D" w14:textId="43FDABC2" w:rsidR="00BA5D75" w:rsidRDefault="00BA5D75" w:rsidP="009A3BED">
      <w:pPr>
        <w:pStyle w:val="NormalWeb"/>
        <w:spacing w:before="0" w:beforeAutospacing="0" w:after="0" w:afterAutospacing="0"/>
        <w:ind w:left="360" w:hanging="360"/>
        <w:jc w:val="both"/>
        <w:rPr>
          <w:rFonts w:ascii="Garamond" w:hAnsi="Garamond"/>
          <w:sz w:val="22"/>
          <w:szCs w:val="22"/>
        </w:rPr>
      </w:pPr>
      <w:r w:rsidRPr="009A3BED">
        <w:rPr>
          <w:rFonts w:ascii="Garamond" w:hAnsi="Garamond"/>
          <w:sz w:val="22"/>
          <w:szCs w:val="22"/>
        </w:rPr>
        <w:t>Dahl, T. E. &amp; Stedman, S. M. (2013). Status and trends of wetlands in the coastal watersheds of the Conterminous United States 2004 to 2009 [PDF Document]. U.S. Department of the Interior, Fish and Wildlife Service and National Oceanic and Atmospheric Administration, National Marine Fisheries Service. Retrieved from https://www.fws.gov/wetlands/Documents/Status-and-Trends-of-Wetlands-In-the-Coastal-Watersheds-of-the-Conterminous-US-2004-to-2009.pdf on June 30, 2016.</w:t>
      </w:r>
    </w:p>
    <w:p w14:paraId="3F1B2632" w14:textId="77777777" w:rsidR="006E39EC" w:rsidRPr="009A3BED" w:rsidRDefault="006E39EC" w:rsidP="009A3BED">
      <w:pPr>
        <w:pStyle w:val="NormalWeb"/>
        <w:spacing w:before="0" w:beforeAutospacing="0" w:after="0" w:afterAutospacing="0"/>
        <w:ind w:left="360" w:hanging="360"/>
        <w:jc w:val="both"/>
        <w:rPr>
          <w:rFonts w:ascii="Garamond" w:hAnsi="Garamond"/>
          <w:sz w:val="22"/>
          <w:szCs w:val="22"/>
        </w:rPr>
      </w:pPr>
    </w:p>
    <w:p w14:paraId="75B31AAC" w14:textId="40BDA95E" w:rsidR="00B065AC" w:rsidRDefault="00B065AC" w:rsidP="009A3BED">
      <w:pPr>
        <w:pStyle w:val="NormalWeb"/>
        <w:spacing w:before="0" w:beforeAutospacing="0" w:after="0" w:afterAutospacing="0"/>
        <w:ind w:left="360" w:hanging="360"/>
        <w:jc w:val="both"/>
        <w:rPr>
          <w:rFonts w:ascii="Garamond" w:hAnsi="Garamond"/>
          <w:sz w:val="22"/>
          <w:szCs w:val="22"/>
        </w:rPr>
      </w:pPr>
      <w:r w:rsidRPr="009A3BED">
        <w:rPr>
          <w:rFonts w:ascii="Garamond" w:hAnsi="Garamond"/>
          <w:sz w:val="22"/>
          <w:szCs w:val="22"/>
        </w:rPr>
        <w:t xml:space="preserve">Kearney, M.S., Rogers, A.S., Townshend, J.R.G., Rizzo, E. &amp; </w:t>
      </w:r>
      <w:proofErr w:type="spellStart"/>
      <w:r w:rsidRPr="009A3BED">
        <w:rPr>
          <w:rFonts w:ascii="Garamond" w:hAnsi="Garamond"/>
          <w:sz w:val="22"/>
          <w:szCs w:val="22"/>
        </w:rPr>
        <w:t>Stutzer</w:t>
      </w:r>
      <w:proofErr w:type="spellEnd"/>
      <w:r w:rsidRPr="009A3BED">
        <w:rPr>
          <w:rFonts w:ascii="Garamond" w:hAnsi="Garamond"/>
          <w:sz w:val="22"/>
          <w:szCs w:val="22"/>
        </w:rPr>
        <w:t xml:space="preserve">, D. (2002). Landsat Imagery </w:t>
      </w:r>
      <w:r w:rsidR="006E575D" w:rsidRPr="009A3BED">
        <w:rPr>
          <w:rFonts w:ascii="Garamond" w:hAnsi="Garamond"/>
          <w:sz w:val="22"/>
          <w:szCs w:val="22"/>
        </w:rPr>
        <w:t>Shows Decline of Coastal Marshes in Chesapeake and Delaware Bays</w:t>
      </w:r>
      <w:r w:rsidR="00AA1EB1" w:rsidRPr="009A3BED">
        <w:rPr>
          <w:rFonts w:ascii="Garamond" w:hAnsi="Garamond"/>
          <w:sz w:val="22"/>
          <w:szCs w:val="22"/>
        </w:rPr>
        <w:t xml:space="preserve">. </w:t>
      </w:r>
      <w:r w:rsidR="00AA1EB1" w:rsidRPr="00FC3975">
        <w:rPr>
          <w:rFonts w:ascii="Garamond" w:hAnsi="Garamond"/>
          <w:i/>
          <w:sz w:val="22"/>
          <w:szCs w:val="22"/>
        </w:rPr>
        <w:t>EOS, Transactions, American Geophysical Union, 83</w:t>
      </w:r>
      <w:bookmarkStart w:id="0" w:name="_GoBack"/>
      <w:bookmarkEnd w:id="0"/>
      <w:r w:rsidR="00AA1EB1" w:rsidRPr="009A3BED">
        <w:rPr>
          <w:rFonts w:ascii="Garamond" w:hAnsi="Garamond"/>
          <w:sz w:val="22"/>
          <w:szCs w:val="22"/>
        </w:rPr>
        <w:t>(16), 173-184.</w:t>
      </w:r>
    </w:p>
    <w:p w14:paraId="0F9522A2" w14:textId="77777777" w:rsidR="006E39EC" w:rsidRPr="009A3BED" w:rsidRDefault="006E39EC" w:rsidP="009A3BED">
      <w:pPr>
        <w:pStyle w:val="NormalWeb"/>
        <w:spacing w:before="0" w:beforeAutospacing="0" w:after="0" w:afterAutospacing="0"/>
        <w:ind w:left="360" w:hanging="360"/>
        <w:jc w:val="both"/>
        <w:rPr>
          <w:rFonts w:ascii="Garamond" w:hAnsi="Garamond"/>
          <w:sz w:val="22"/>
          <w:szCs w:val="22"/>
        </w:rPr>
      </w:pPr>
    </w:p>
    <w:p w14:paraId="40B41325" w14:textId="77777777" w:rsidR="00BA5D75" w:rsidRDefault="00BA5D75" w:rsidP="009A3BED">
      <w:pPr>
        <w:pStyle w:val="NormalWeb"/>
        <w:spacing w:before="0" w:beforeAutospacing="0" w:after="0" w:afterAutospacing="0"/>
        <w:ind w:left="360" w:hanging="360"/>
        <w:jc w:val="both"/>
        <w:rPr>
          <w:rFonts w:ascii="Garamond" w:hAnsi="Garamond"/>
          <w:sz w:val="22"/>
          <w:szCs w:val="22"/>
          <w:shd w:val="clear" w:color="auto" w:fill="FFFFFF"/>
        </w:rPr>
      </w:pPr>
      <w:r w:rsidRPr="009A3BED">
        <w:rPr>
          <w:rFonts w:ascii="Garamond" w:hAnsi="Garamond"/>
          <w:sz w:val="22"/>
          <w:szCs w:val="22"/>
          <w:shd w:val="clear" w:color="auto" w:fill="FFFFFF"/>
        </w:rPr>
        <w:t xml:space="preserve">Khanna, S., Santos, M. J., </w:t>
      </w:r>
      <w:proofErr w:type="spellStart"/>
      <w:r w:rsidRPr="009A3BED">
        <w:rPr>
          <w:rFonts w:ascii="Garamond" w:hAnsi="Garamond"/>
          <w:sz w:val="22"/>
          <w:szCs w:val="22"/>
          <w:shd w:val="clear" w:color="auto" w:fill="FFFFFF"/>
        </w:rPr>
        <w:t>Ustin</w:t>
      </w:r>
      <w:proofErr w:type="spellEnd"/>
      <w:r w:rsidRPr="009A3BED">
        <w:rPr>
          <w:rFonts w:ascii="Garamond" w:hAnsi="Garamond"/>
          <w:sz w:val="22"/>
          <w:szCs w:val="22"/>
          <w:shd w:val="clear" w:color="auto" w:fill="FFFFFF"/>
        </w:rPr>
        <w:t xml:space="preserve">, S. L., </w:t>
      </w:r>
      <w:proofErr w:type="spellStart"/>
      <w:r w:rsidRPr="009A3BED">
        <w:rPr>
          <w:rFonts w:ascii="Garamond" w:hAnsi="Garamond"/>
          <w:sz w:val="22"/>
          <w:szCs w:val="22"/>
          <w:shd w:val="clear" w:color="auto" w:fill="FFFFFF"/>
        </w:rPr>
        <w:t>Koltunov</w:t>
      </w:r>
      <w:proofErr w:type="spellEnd"/>
      <w:r w:rsidRPr="009A3BED">
        <w:rPr>
          <w:rFonts w:ascii="Garamond" w:hAnsi="Garamond"/>
          <w:sz w:val="22"/>
          <w:szCs w:val="22"/>
          <w:shd w:val="clear" w:color="auto" w:fill="FFFFFF"/>
        </w:rPr>
        <w:t xml:space="preserve">, A., </w:t>
      </w:r>
      <w:proofErr w:type="spellStart"/>
      <w:r w:rsidRPr="009A3BED">
        <w:rPr>
          <w:rFonts w:ascii="Garamond" w:hAnsi="Garamond"/>
          <w:sz w:val="22"/>
          <w:szCs w:val="22"/>
          <w:shd w:val="clear" w:color="auto" w:fill="FFFFFF"/>
        </w:rPr>
        <w:t>Kokaly</w:t>
      </w:r>
      <w:proofErr w:type="spellEnd"/>
      <w:r w:rsidRPr="009A3BED">
        <w:rPr>
          <w:rFonts w:ascii="Garamond" w:hAnsi="Garamond"/>
          <w:sz w:val="22"/>
          <w:szCs w:val="22"/>
          <w:shd w:val="clear" w:color="auto" w:fill="FFFFFF"/>
        </w:rPr>
        <w:t xml:space="preserve">, R. F., &amp; Roberts, D. A. (2013). Detection of salt marsh vegetation stress and recovery after the Deepwater Horizon oil spill in </w:t>
      </w:r>
      <w:proofErr w:type="spellStart"/>
      <w:r w:rsidRPr="009A3BED">
        <w:rPr>
          <w:rFonts w:ascii="Garamond" w:hAnsi="Garamond"/>
          <w:sz w:val="22"/>
          <w:szCs w:val="22"/>
          <w:shd w:val="clear" w:color="auto" w:fill="FFFFFF"/>
        </w:rPr>
        <w:t>Barataria</w:t>
      </w:r>
      <w:proofErr w:type="spellEnd"/>
      <w:r w:rsidRPr="009A3BED">
        <w:rPr>
          <w:rFonts w:ascii="Garamond" w:hAnsi="Garamond"/>
          <w:sz w:val="22"/>
          <w:szCs w:val="22"/>
          <w:shd w:val="clear" w:color="auto" w:fill="FFFFFF"/>
        </w:rPr>
        <w:t xml:space="preserve"> Bay, Gulf of Mexico using AVIRIS data. </w:t>
      </w:r>
      <w:proofErr w:type="spellStart"/>
      <w:r w:rsidRPr="009A3BED">
        <w:rPr>
          <w:rFonts w:ascii="Garamond" w:hAnsi="Garamond"/>
          <w:i/>
          <w:iCs/>
          <w:sz w:val="22"/>
          <w:szCs w:val="22"/>
          <w:shd w:val="clear" w:color="auto" w:fill="FFFFFF"/>
        </w:rPr>
        <w:t>PloS</w:t>
      </w:r>
      <w:proofErr w:type="spellEnd"/>
      <w:r w:rsidRPr="009A3BED">
        <w:rPr>
          <w:rFonts w:ascii="Garamond" w:hAnsi="Garamond"/>
          <w:i/>
          <w:iCs/>
          <w:sz w:val="22"/>
          <w:szCs w:val="22"/>
          <w:shd w:val="clear" w:color="auto" w:fill="FFFFFF"/>
        </w:rPr>
        <w:t xml:space="preserve"> one</w:t>
      </w:r>
      <w:r w:rsidRPr="009A3BED">
        <w:rPr>
          <w:rFonts w:ascii="Garamond" w:hAnsi="Garamond"/>
          <w:sz w:val="22"/>
          <w:szCs w:val="22"/>
          <w:shd w:val="clear" w:color="auto" w:fill="FFFFFF"/>
        </w:rPr>
        <w:t xml:space="preserve">, </w:t>
      </w:r>
      <w:r w:rsidRPr="009A3BED">
        <w:rPr>
          <w:rFonts w:ascii="Garamond" w:hAnsi="Garamond"/>
          <w:i/>
          <w:iCs/>
          <w:sz w:val="22"/>
          <w:szCs w:val="22"/>
          <w:shd w:val="clear" w:color="auto" w:fill="FFFFFF"/>
        </w:rPr>
        <w:t>8</w:t>
      </w:r>
      <w:r w:rsidRPr="009A3BED">
        <w:rPr>
          <w:rFonts w:ascii="Garamond" w:hAnsi="Garamond"/>
          <w:sz w:val="22"/>
          <w:szCs w:val="22"/>
          <w:shd w:val="clear" w:color="auto" w:fill="FFFFFF"/>
        </w:rPr>
        <w:t>(11), e78989.</w:t>
      </w:r>
    </w:p>
    <w:p w14:paraId="675E6BDA" w14:textId="77777777" w:rsidR="006E39EC" w:rsidRPr="009A3BED" w:rsidRDefault="006E39EC" w:rsidP="009A3BED">
      <w:pPr>
        <w:pStyle w:val="NormalWeb"/>
        <w:spacing w:before="0" w:beforeAutospacing="0" w:after="0" w:afterAutospacing="0"/>
        <w:ind w:left="360" w:hanging="360"/>
        <w:jc w:val="both"/>
        <w:rPr>
          <w:rFonts w:ascii="Garamond" w:hAnsi="Garamond"/>
          <w:sz w:val="22"/>
          <w:szCs w:val="22"/>
          <w:shd w:val="clear" w:color="auto" w:fill="FFFFFF"/>
        </w:rPr>
      </w:pPr>
    </w:p>
    <w:p w14:paraId="574F4396" w14:textId="56837F23" w:rsidR="00BA5D75" w:rsidRDefault="00BA5D75" w:rsidP="009A3BED">
      <w:pPr>
        <w:pStyle w:val="NormalWeb"/>
        <w:spacing w:before="0" w:beforeAutospacing="0" w:after="0" w:afterAutospacing="0"/>
        <w:ind w:left="360" w:hanging="360"/>
        <w:jc w:val="both"/>
        <w:rPr>
          <w:rFonts w:ascii="Garamond" w:hAnsi="Garamond"/>
          <w:sz w:val="22"/>
          <w:szCs w:val="22"/>
          <w:shd w:val="clear" w:color="auto" w:fill="FFFFFF"/>
        </w:rPr>
      </w:pPr>
      <w:r w:rsidRPr="009A3BED">
        <w:rPr>
          <w:rFonts w:ascii="Garamond" w:hAnsi="Garamond"/>
          <w:sz w:val="22"/>
          <w:szCs w:val="22"/>
          <w:shd w:val="clear" w:color="auto" w:fill="FFFFFF"/>
        </w:rPr>
        <w:t xml:space="preserve">New Hampshire Estuaries Project. (2007). </w:t>
      </w:r>
      <w:proofErr w:type="gramStart"/>
      <w:r w:rsidRPr="009A3BED">
        <w:rPr>
          <w:rFonts w:ascii="Garamond" w:hAnsi="Garamond"/>
          <w:i/>
          <w:sz w:val="22"/>
          <w:szCs w:val="22"/>
          <w:shd w:val="clear" w:color="auto" w:fill="FFFFFF"/>
        </w:rPr>
        <w:t>The</w:t>
      </w:r>
      <w:proofErr w:type="gramEnd"/>
      <w:r w:rsidRPr="009A3BED">
        <w:rPr>
          <w:rFonts w:ascii="Garamond" w:hAnsi="Garamond"/>
          <w:i/>
          <w:sz w:val="22"/>
          <w:szCs w:val="22"/>
          <w:shd w:val="clear" w:color="auto" w:fill="FFFFFF"/>
        </w:rPr>
        <w:t xml:space="preserve"> Impacts of Impervious Surfaces on Water Resources </w:t>
      </w:r>
      <w:r w:rsidRPr="009A3BED">
        <w:rPr>
          <w:rFonts w:ascii="Garamond" w:hAnsi="Garamond"/>
          <w:sz w:val="22"/>
          <w:szCs w:val="22"/>
          <w:shd w:val="clear" w:color="auto" w:fill="FFFFFF"/>
        </w:rPr>
        <w:t>[PDF Document]. Retrieved from</w:t>
      </w:r>
      <w:r w:rsidRPr="006E39EC">
        <w:t xml:space="preserve"> </w:t>
      </w:r>
      <w:r w:rsidR="006E39EC" w:rsidRPr="009A3BED">
        <w:rPr>
          <w:rFonts w:ascii="Garamond" w:hAnsi="Garamond"/>
          <w:sz w:val="22"/>
          <w:szCs w:val="22"/>
          <w:shd w:val="clear" w:color="auto" w:fill="FFFFFF"/>
        </w:rPr>
        <w:t>http://www.northhampton-nh.gov/Public_documents/NorthHamptonNH_BComm/</w:t>
      </w:r>
      <w:r w:rsidR="006E39EC" w:rsidRPr="009A3BED">
        <w:t xml:space="preserve"> </w:t>
      </w:r>
      <w:r w:rsidR="006E39EC" w:rsidRPr="009A3BED">
        <w:rPr>
          <w:rFonts w:ascii="Garamond" w:hAnsi="Garamond"/>
          <w:sz w:val="22"/>
          <w:szCs w:val="22"/>
          <w:shd w:val="clear" w:color="auto" w:fill="FFFFFF"/>
        </w:rPr>
        <w:t>NHEP%20Impervious%20Surf%20Flyer%20rdcd.pdf</w:t>
      </w:r>
      <w:r w:rsidR="006E39EC">
        <w:rPr>
          <w:rFonts w:ascii="Garamond" w:hAnsi="Garamond"/>
          <w:sz w:val="22"/>
          <w:szCs w:val="22"/>
          <w:shd w:val="clear" w:color="auto" w:fill="FFFFFF"/>
        </w:rPr>
        <w:t xml:space="preserve"> </w:t>
      </w:r>
      <w:r w:rsidRPr="009A3BED">
        <w:rPr>
          <w:rFonts w:ascii="Garamond" w:hAnsi="Garamond"/>
          <w:sz w:val="22"/>
          <w:szCs w:val="22"/>
          <w:shd w:val="clear" w:color="auto" w:fill="FFFFFF"/>
        </w:rPr>
        <w:t>on August 9,</w:t>
      </w:r>
      <w:r w:rsidR="009A3BED">
        <w:rPr>
          <w:rFonts w:ascii="Garamond" w:hAnsi="Garamond"/>
          <w:sz w:val="22"/>
          <w:szCs w:val="22"/>
          <w:shd w:val="clear" w:color="auto" w:fill="FFFFFF"/>
        </w:rPr>
        <w:t xml:space="preserve"> </w:t>
      </w:r>
      <w:r w:rsidRPr="009A3BED">
        <w:rPr>
          <w:rFonts w:ascii="Garamond" w:hAnsi="Garamond"/>
          <w:sz w:val="22"/>
          <w:szCs w:val="22"/>
          <w:shd w:val="clear" w:color="auto" w:fill="FFFFFF"/>
        </w:rPr>
        <w:t>2016</w:t>
      </w:r>
    </w:p>
    <w:p w14:paraId="2C5C8395" w14:textId="77777777" w:rsidR="006E39EC" w:rsidRPr="009A3BED" w:rsidRDefault="006E39EC" w:rsidP="009A3BED">
      <w:pPr>
        <w:pStyle w:val="NormalWeb"/>
        <w:spacing w:before="0" w:beforeAutospacing="0" w:after="0" w:afterAutospacing="0"/>
        <w:ind w:left="360" w:hanging="360"/>
        <w:jc w:val="both"/>
        <w:rPr>
          <w:rFonts w:ascii="Garamond" w:hAnsi="Garamond"/>
          <w:sz w:val="22"/>
          <w:szCs w:val="22"/>
          <w:shd w:val="clear" w:color="auto" w:fill="FFFFFF"/>
        </w:rPr>
      </w:pPr>
    </w:p>
    <w:p w14:paraId="16E0C6D5" w14:textId="72999E4F" w:rsidR="00BA5D75" w:rsidRDefault="00BA5D75" w:rsidP="009A3BED">
      <w:pPr>
        <w:pStyle w:val="NormalWeb"/>
        <w:spacing w:before="0" w:beforeAutospacing="0" w:after="0" w:afterAutospacing="0"/>
        <w:ind w:left="360" w:hanging="360"/>
        <w:jc w:val="both"/>
      </w:pPr>
      <w:r w:rsidRPr="009A3BED">
        <w:rPr>
          <w:rFonts w:ascii="Garamond" w:hAnsi="Garamond"/>
          <w:sz w:val="22"/>
          <w:szCs w:val="22"/>
        </w:rPr>
        <w:t>Stedman, S. &amp; Dahl, T. E. (2008). Status and trends of wetlands in the coastal watersheds of the Eastern United States 1998 to 2004 [PDF Document]. National Oceanic and Atmospheric Administration, National Marine Fisheries Service and U.S. Department of the Interior, Fish and Wildlife Service. Retrieved From https://www.fws.gov/wetlands/Documents/Status-and-Trends-of-Wetlands-in-the-Coastal-Watersheds-of-the-Eastern-United-States-1998-to-2004.pdf on June 28, 2016.</w:t>
      </w:r>
    </w:p>
    <w:p w14:paraId="7430A87E" w14:textId="77777777" w:rsidR="006E39EC" w:rsidRPr="006E39EC" w:rsidRDefault="006E39EC" w:rsidP="009A3BED">
      <w:pPr>
        <w:pStyle w:val="NormalWeb"/>
        <w:spacing w:before="0" w:beforeAutospacing="0" w:after="0" w:afterAutospacing="0"/>
        <w:ind w:left="360" w:hanging="360"/>
        <w:jc w:val="both"/>
      </w:pPr>
    </w:p>
    <w:p w14:paraId="48389E17" w14:textId="77777777" w:rsidR="00BA5D75" w:rsidRDefault="00BA5D75" w:rsidP="009A3BED">
      <w:pPr>
        <w:pStyle w:val="NormalWeb"/>
        <w:spacing w:before="0" w:beforeAutospacing="0" w:after="0" w:afterAutospacing="0"/>
        <w:ind w:left="360" w:hanging="360"/>
        <w:jc w:val="both"/>
        <w:rPr>
          <w:rFonts w:ascii="Garamond" w:hAnsi="Garamond"/>
          <w:i/>
          <w:iCs/>
          <w:sz w:val="22"/>
          <w:szCs w:val="22"/>
          <w:shd w:val="clear" w:color="auto" w:fill="FFFFFF"/>
        </w:rPr>
      </w:pPr>
      <w:proofErr w:type="spellStart"/>
      <w:r w:rsidRPr="009A3BED">
        <w:rPr>
          <w:rFonts w:ascii="Garamond" w:hAnsi="Garamond"/>
          <w:sz w:val="22"/>
          <w:szCs w:val="22"/>
          <w:shd w:val="clear" w:color="auto" w:fill="FFFFFF"/>
        </w:rPr>
        <w:t>Twilley</w:t>
      </w:r>
      <w:proofErr w:type="spellEnd"/>
      <w:r w:rsidRPr="009A3BED">
        <w:rPr>
          <w:rFonts w:ascii="Garamond" w:hAnsi="Garamond"/>
          <w:sz w:val="22"/>
          <w:szCs w:val="22"/>
          <w:shd w:val="clear" w:color="auto" w:fill="FFFFFF"/>
        </w:rPr>
        <w:t xml:space="preserve">, R. R. (2007). Coastal wetlands and global climate change: Gulf Coast wetland sustainability in a changing climate. </w:t>
      </w:r>
      <w:r w:rsidRPr="009A3BED">
        <w:rPr>
          <w:rFonts w:ascii="Garamond" w:hAnsi="Garamond"/>
          <w:i/>
          <w:iCs/>
          <w:sz w:val="22"/>
          <w:szCs w:val="22"/>
          <w:shd w:val="clear" w:color="auto" w:fill="FFFFFF"/>
        </w:rPr>
        <w:t>Pew Center on Global Climate, Arlington, VA</w:t>
      </w:r>
    </w:p>
    <w:p w14:paraId="09BCE0EA" w14:textId="77777777" w:rsidR="006E39EC" w:rsidRPr="006E39EC" w:rsidRDefault="006E39EC" w:rsidP="009A3BED">
      <w:pPr>
        <w:pStyle w:val="NormalWeb"/>
        <w:spacing w:before="0" w:beforeAutospacing="0" w:after="0" w:afterAutospacing="0"/>
        <w:ind w:left="360" w:hanging="360"/>
        <w:jc w:val="both"/>
        <w:rPr>
          <w:rFonts w:ascii="Garamond" w:hAnsi="Garamond"/>
          <w:sz w:val="22"/>
          <w:szCs w:val="22"/>
        </w:rPr>
      </w:pPr>
    </w:p>
    <w:p w14:paraId="1F82D916" w14:textId="5A227B49" w:rsidR="005D7108" w:rsidRDefault="00BA5D75" w:rsidP="009A3BED">
      <w:pPr>
        <w:ind w:left="360" w:hanging="360"/>
        <w:jc w:val="both"/>
        <w:rPr>
          <w:rFonts w:ascii="Garamond" w:hAnsi="Garamond" w:cs="Arial"/>
          <w:shd w:val="clear" w:color="auto" w:fill="FFFFFF"/>
        </w:rPr>
      </w:pPr>
      <w:r w:rsidRPr="009A3BED">
        <w:rPr>
          <w:rFonts w:ascii="Garamond" w:hAnsi="Garamond" w:cs="Arial"/>
          <w:shd w:val="clear" w:color="auto" w:fill="FFFFFF"/>
        </w:rPr>
        <w:t>Xu, H. (2010). Analysis of impervious surface and its impact on urban heat environment using the normalized difference impervious surface index (NDISI).</w:t>
      </w:r>
      <w:r w:rsidRPr="009A3BED">
        <w:rPr>
          <w:rStyle w:val="apple-converted-space"/>
          <w:rFonts w:ascii="Garamond" w:eastAsiaTheme="majorEastAsia" w:hAnsi="Garamond" w:cs="Arial"/>
          <w:shd w:val="clear" w:color="auto" w:fill="FFFFFF"/>
        </w:rPr>
        <w:t> </w:t>
      </w:r>
      <w:r w:rsidRPr="009A3BED">
        <w:rPr>
          <w:rFonts w:ascii="Garamond" w:hAnsi="Garamond" w:cs="Arial"/>
          <w:i/>
          <w:iCs/>
          <w:shd w:val="clear" w:color="auto" w:fill="FFFFFF"/>
        </w:rPr>
        <w:t>Photogrammetric Engineering &amp; Remote Sensing</w:t>
      </w:r>
      <w:r w:rsidRPr="009A3BED">
        <w:rPr>
          <w:rFonts w:ascii="Garamond" w:hAnsi="Garamond" w:cs="Arial"/>
          <w:shd w:val="clear" w:color="auto" w:fill="FFFFFF"/>
        </w:rPr>
        <w:t>,</w:t>
      </w:r>
      <w:r w:rsidRPr="009A3BED">
        <w:rPr>
          <w:rStyle w:val="apple-converted-space"/>
          <w:rFonts w:ascii="Garamond" w:eastAsiaTheme="majorEastAsia" w:hAnsi="Garamond" w:cs="Arial"/>
          <w:shd w:val="clear" w:color="auto" w:fill="FFFFFF"/>
        </w:rPr>
        <w:t> </w:t>
      </w:r>
      <w:r w:rsidRPr="009A3BED">
        <w:rPr>
          <w:rFonts w:ascii="Garamond" w:hAnsi="Garamond" w:cs="Arial"/>
          <w:i/>
          <w:iCs/>
          <w:shd w:val="clear" w:color="auto" w:fill="FFFFFF"/>
        </w:rPr>
        <w:t>76</w:t>
      </w:r>
      <w:r w:rsidRPr="009A3BED">
        <w:rPr>
          <w:rFonts w:ascii="Garamond" w:hAnsi="Garamond" w:cs="Arial"/>
          <w:shd w:val="clear" w:color="auto" w:fill="FFFFFF"/>
        </w:rPr>
        <w:t>(5), 557-565.</w:t>
      </w:r>
    </w:p>
    <w:p w14:paraId="2E0D1D4B" w14:textId="77777777" w:rsidR="006E39EC" w:rsidRDefault="006E39EC" w:rsidP="009A3BED">
      <w:pPr>
        <w:ind w:left="360" w:hanging="360"/>
        <w:jc w:val="both"/>
      </w:pPr>
    </w:p>
    <w:p w14:paraId="62E932F0" w14:textId="77777777" w:rsidR="00821E83" w:rsidRPr="005D704C" w:rsidRDefault="00821E83" w:rsidP="00066234">
      <w:pPr>
        <w:jc w:val="both"/>
      </w:pPr>
    </w:p>
    <w:sectPr w:rsidR="00821E83" w:rsidRPr="005D704C"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56BA1"/>
    <w:rsid w:val="00066234"/>
    <w:rsid w:val="00073224"/>
    <w:rsid w:val="00075708"/>
    <w:rsid w:val="0007734E"/>
    <w:rsid w:val="00080B03"/>
    <w:rsid w:val="00095D93"/>
    <w:rsid w:val="000D7963"/>
    <w:rsid w:val="000E3C1F"/>
    <w:rsid w:val="000E4025"/>
    <w:rsid w:val="000F0023"/>
    <w:rsid w:val="000F487D"/>
    <w:rsid w:val="000F76DA"/>
    <w:rsid w:val="00123B69"/>
    <w:rsid w:val="00124080"/>
    <w:rsid w:val="00134C6A"/>
    <w:rsid w:val="001538F2"/>
    <w:rsid w:val="0017211F"/>
    <w:rsid w:val="0018554A"/>
    <w:rsid w:val="001976DA"/>
    <w:rsid w:val="001A2ECC"/>
    <w:rsid w:val="001D1B19"/>
    <w:rsid w:val="002046C4"/>
    <w:rsid w:val="0022612D"/>
    <w:rsid w:val="0023408F"/>
    <w:rsid w:val="002360B0"/>
    <w:rsid w:val="00272CD9"/>
    <w:rsid w:val="00273BD3"/>
    <w:rsid w:val="00276572"/>
    <w:rsid w:val="00285042"/>
    <w:rsid w:val="00290705"/>
    <w:rsid w:val="002A0AE4"/>
    <w:rsid w:val="002B5E70"/>
    <w:rsid w:val="002B6846"/>
    <w:rsid w:val="002C501D"/>
    <w:rsid w:val="002D6CAD"/>
    <w:rsid w:val="002E2D9E"/>
    <w:rsid w:val="00312D35"/>
    <w:rsid w:val="003175CE"/>
    <w:rsid w:val="003260EE"/>
    <w:rsid w:val="003347A7"/>
    <w:rsid w:val="00334B0C"/>
    <w:rsid w:val="00347670"/>
    <w:rsid w:val="00353F4B"/>
    <w:rsid w:val="00364FFB"/>
    <w:rsid w:val="00375CE3"/>
    <w:rsid w:val="00384B24"/>
    <w:rsid w:val="003B54D0"/>
    <w:rsid w:val="003C28CD"/>
    <w:rsid w:val="003D2EDF"/>
    <w:rsid w:val="0041686A"/>
    <w:rsid w:val="00416B62"/>
    <w:rsid w:val="004228B2"/>
    <w:rsid w:val="00453F48"/>
    <w:rsid w:val="00461AA0"/>
    <w:rsid w:val="00476EA1"/>
    <w:rsid w:val="004B304D"/>
    <w:rsid w:val="004C0A16"/>
    <w:rsid w:val="004E0BEC"/>
    <w:rsid w:val="005344D2"/>
    <w:rsid w:val="00542AAA"/>
    <w:rsid w:val="00565EE1"/>
    <w:rsid w:val="0057709A"/>
    <w:rsid w:val="00583971"/>
    <w:rsid w:val="005C1C99"/>
    <w:rsid w:val="005C5954"/>
    <w:rsid w:val="005C6FC1"/>
    <w:rsid w:val="005D3F60"/>
    <w:rsid w:val="005D6E79"/>
    <w:rsid w:val="005D704C"/>
    <w:rsid w:val="005D7108"/>
    <w:rsid w:val="00636FAE"/>
    <w:rsid w:val="006452A4"/>
    <w:rsid w:val="006515E3"/>
    <w:rsid w:val="00676C74"/>
    <w:rsid w:val="006804AC"/>
    <w:rsid w:val="00695D85"/>
    <w:rsid w:val="006A2A26"/>
    <w:rsid w:val="006E1C6C"/>
    <w:rsid w:val="006E39EC"/>
    <w:rsid w:val="006E575D"/>
    <w:rsid w:val="007059D2"/>
    <w:rsid w:val="007072BA"/>
    <w:rsid w:val="007226AE"/>
    <w:rsid w:val="00735F70"/>
    <w:rsid w:val="007407AD"/>
    <w:rsid w:val="00752AC5"/>
    <w:rsid w:val="00760B99"/>
    <w:rsid w:val="0076471E"/>
    <w:rsid w:val="007715BF"/>
    <w:rsid w:val="00782999"/>
    <w:rsid w:val="007A4F2A"/>
    <w:rsid w:val="007A7268"/>
    <w:rsid w:val="007B73F9"/>
    <w:rsid w:val="007D5ABD"/>
    <w:rsid w:val="0080287D"/>
    <w:rsid w:val="00821E83"/>
    <w:rsid w:val="00835C04"/>
    <w:rsid w:val="008403B8"/>
    <w:rsid w:val="00896D48"/>
    <w:rsid w:val="008A2D0A"/>
    <w:rsid w:val="008B3821"/>
    <w:rsid w:val="00916099"/>
    <w:rsid w:val="00937ED2"/>
    <w:rsid w:val="009402DD"/>
    <w:rsid w:val="0094514E"/>
    <w:rsid w:val="009812BB"/>
    <w:rsid w:val="009A09FD"/>
    <w:rsid w:val="009A3BED"/>
    <w:rsid w:val="009A492A"/>
    <w:rsid w:val="009B08C3"/>
    <w:rsid w:val="009B7CC0"/>
    <w:rsid w:val="009D7235"/>
    <w:rsid w:val="009E1788"/>
    <w:rsid w:val="009E4CFF"/>
    <w:rsid w:val="00A0710C"/>
    <w:rsid w:val="00A07C1D"/>
    <w:rsid w:val="00A4473F"/>
    <w:rsid w:val="00A44DD0"/>
    <w:rsid w:val="00A46F34"/>
    <w:rsid w:val="00A502A8"/>
    <w:rsid w:val="00A50CFE"/>
    <w:rsid w:val="00A52006"/>
    <w:rsid w:val="00A5463B"/>
    <w:rsid w:val="00A60645"/>
    <w:rsid w:val="00A67169"/>
    <w:rsid w:val="00A80A92"/>
    <w:rsid w:val="00A8257F"/>
    <w:rsid w:val="00AA1EB1"/>
    <w:rsid w:val="00AB2804"/>
    <w:rsid w:val="00AC3EE3"/>
    <w:rsid w:val="00AE46F5"/>
    <w:rsid w:val="00B065AC"/>
    <w:rsid w:val="00B43262"/>
    <w:rsid w:val="00B73203"/>
    <w:rsid w:val="00B76BDC"/>
    <w:rsid w:val="00B7710E"/>
    <w:rsid w:val="00B81E34"/>
    <w:rsid w:val="00B82905"/>
    <w:rsid w:val="00B9571C"/>
    <w:rsid w:val="00B9614C"/>
    <w:rsid w:val="00BA1E60"/>
    <w:rsid w:val="00BA5D75"/>
    <w:rsid w:val="00BA6E71"/>
    <w:rsid w:val="00BA74DC"/>
    <w:rsid w:val="00BC4674"/>
    <w:rsid w:val="00BD0255"/>
    <w:rsid w:val="00C057E9"/>
    <w:rsid w:val="00C32A58"/>
    <w:rsid w:val="00C33A8E"/>
    <w:rsid w:val="00C55FC9"/>
    <w:rsid w:val="00C72F1A"/>
    <w:rsid w:val="00C74F47"/>
    <w:rsid w:val="00C82473"/>
    <w:rsid w:val="00C83576"/>
    <w:rsid w:val="00CA0A4F"/>
    <w:rsid w:val="00CA0EED"/>
    <w:rsid w:val="00CA4793"/>
    <w:rsid w:val="00CB07BD"/>
    <w:rsid w:val="00CB1D36"/>
    <w:rsid w:val="00CB421A"/>
    <w:rsid w:val="00CB51DA"/>
    <w:rsid w:val="00CC7683"/>
    <w:rsid w:val="00CD0433"/>
    <w:rsid w:val="00CE4F6F"/>
    <w:rsid w:val="00CE6449"/>
    <w:rsid w:val="00D07222"/>
    <w:rsid w:val="00D12F5B"/>
    <w:rsid w:val="00D22F4A"/>
    <w:rsid w:val="00D3189E"/>
    <w:rsid w:val="00D3192F"/>
    <w:rsid w:val="00D44F9E"/>
    <w:rsid w:val="00D808DE"/>
    <w:rsid w:val="00DB5124"/>
    <w:rsid w:val="00DB6B0C"/>
    <w:rsid w:val="00DC6974"/>
    <w:rsid w:val="00E24415"/>
    <w:rsid w:val="00E25CF0"/>
    <w:rsid w:val="00E55138"/>
    <w:rsid w:val="00E57517"/>
    <w:rsid w:val="00E6039B"/>
    <w:rsid w:val="00EB1769"/>
    <w:rsid w:val="00EB249E"/>
    <w:rsid w:val="00EB4818"/>
    <w:rsid w:val="00EC73A6"/>
    <w:rsid w:val="00ED6B3C"/>
    <w:rsid w:val="00EF30AB"/>
    <w:rsid w:val="00F1255A"/>
    <w:rsid w:val="00F20A93"/>
    <w:rsid w:val="00F2154C"/>
    <w:rsid w:val="00F24033"/>
    <w:rsid w:val="00F268BE"/>
    <w:rsid w:val="00F27799"/>
    <w:rsid w:val="00F30FAC"/>
    <w:rsid w:val="00F52113"/>
    <w:rsid w:val="00F56A6F"/>
    <w:rsid w:val="00F92F57"/>
    <w:rsid w:val="00FB1905"/>
    <w:rsid w:val="00FC397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5D7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BA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811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F52D-0CDD-4612-9CBE-E10DDA7E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2017-05-26T14:52:00Z</dcterms:created>
  <dcterms:modified xsi:type="dcterms:W3CDTF">2017-05-26T14:52:00Z</dcterms:modified>
</cp:coreProperties>
</file>