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8235C4" w14:textId="77777777" w:rsidR="0088064D" w:rsidRDefault="0077702C">
      <w:pPr>
        <w:jc w:val="right"/>
        <w:rPr>
          <w:rFonts w:ascii="Century Gothic" w:hAnsi="Century Gothic"/>
          <w:sz w:val="16"/>
          <w:szCs w:val="16"/>
        </w:rPr>
      </w:pPr>
      <w:r w:rsidRPr="0077702C">
        <w:rPr>
          <w:rFonts w:ascii="Century Gothic" w:hAnsi="Century Gothic"/>
          <w:b/>
          <w:sz w:val="28"/>
          <w:szCs w:val="28"/>
        </w:rPr>
        <w:t>NASA DEVELOP National Program</w:t>
      </w:r>
      <w:r w:rsidRPr="0077702C">
        <w:rPr>
          <w:rFonts w:ascii="Century Gothic" w:hAnsi="Century Gothic"/>
          <w:sz w:val="16"/>
          <w:szCs w:val="16"/>
        </w:rPr>
        <w:t xml:space="preserve"> </w:t>
      </w:r>
    </w:p>
    <w:p w14:paraId="6E55655C" w14:textId="77777777" w:rsidR="0077702C" w:rsidRPr="0077702C" w:rsidRDefault="0077702C">
      <w:pPr>
        <w:jc w:val="right"/>
        <w:rPr>
          <w:rFonts w:ascii="Century Gothic" w:hAnsi="Century Gothic"/>
        </w:rPr>
      </w:pPr>
      <w:r w:rsidRPr="006A6894">
        <w:rPr>
          <w:rFonts w:ascii="Century Gothic" w:hAnsi="Century Gothic"/>
          <w:b/>
          <w:noProof/>
        </w:rPr>
        <w:drawing>
          <wp:inline distT="0" distB="0" distL="0" distR="0" wp14:anchorId="7EDD0EB7" wp14:editId="018A8981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E6D5C" w14:textId="77777777" w:rsidR="0088064D" w:rsidRPr="0077702C" w:rsidRDefault="0077702C">
      <w:pPr>
        <w:jc w:val="right"/>
        <w:rPr>
          <w:rFonts w:ascii="Century Gothic" w:hAnsi="Century Gothic"/>
        </w:rPr>
      </w:pPr>
      <w:r w:rsidRPr="0077702C">
        <w:rPr>
          <w:rFonts w:ascii="Century Gothic" w:hAnsi="Century Gothic"/>
          <w:sz w:val="24"/>
          <w:szCs w:val="24"/>
        </w:rPr>
        <w:t>NOAA National Centers for Environmental Information</w:t>
      </w:r>
    </w:p>
    <w:p w14:paraId="735654D6" w14:textId="77777777" w:rsidR="0088064D" w:rsidRPr="0077702C" w:rsidRDefault="0077702C">
      <w:pPr>
        <w:jc w:val="right"/>
        <w:rPr>
          <w:rFonts w:ascii="Century Gothic" w:hAnsi="Century Gothic"/>
        </w:rPr>
      </w:pPr>
      <w:r w:rsidRPr="0077702C">
        <w:rPr>
          <w:rFonts w:ascii="Century Gothic" w:hAnsi="Century Gothic"/>
          <w:i/>
        </w:rPr>
        <w:t>Spring 2017</w:t>
      </w:r>
    </w:p>
    <w:p w14:paraId="52017D98" w14:textId="77777777" w:rsidR="0088064D" w:rsidRPr="0077702C" w:rsidRDefault="0077702C">
      <w:pPr>
        <w:rPr>
          <w:rFonts w:ascii="Century Gothic" w:hAnsi="Century Gothic"/>
        </w:rPr>
      </w:pPr>
      <w:r w:rsidRPr="0077702C">
        <w:rPr>
          <w:rFonts w:ascii="Century Gothic" w:hAnsi="Century Gothic"/>
          <w:b/>
        </w:rPr>
        <w:t xml:space="preserve"> </w:t>
      </w:r>
    </w:p>
    <w:p w14:paraId="1E3C00C5" w14:textId="219D4A9B" w:rsidR="0088064D" w:rsidRPr="0077702C" w:rsidRDefault="0077702C" w:rsidP="00335D2C">
      <w:pPr>
        <w:spacing w:after="120" w:line="240" w:lineRule="auto"/>
        <w:rPr>
          <w:rFonts w:ascii="Century Gothic" w:hAnsi="Century Gothic"/>
        </w:rPr>
      </w:pPr>
      <w:r w:rsidRPr="0077702C">
        <w:rPr>
          <w:rFonts w:ascii="Century Gothic" w:hAnsi="Century Gothic"/>
          <w:b/>
        </w:rPr>
        <w:t>Short Title: Philippines Disasters</w:t>
      </w:r>
    </w:p>
    <w:p w14:paraId="7EF64327" w14:textId="099DA021" w:rsidR="0088064D" w:rsidRPr="0077702C" w:rsidRDefault="0077702C" w:rsidP="00335D2C">
      <w:pPr>
        <w:spacing w:after="120" w:line="240" w:lineRule="auto"/>
        <w:rPr>
          <w:rFonts w:ascii="Century Gothic" w:hAnsi="Century Gothic"/>
        </w:rPr>
      </w:pPr>
      <w:r w:rsidRPr="0077702C">
        <w:rPr>
          <w:rFonts w:ascii="Century Gothic" w:hAnsi="Century Gothic"/>
          <w:b/>
        </w:rPr>
        <w:t>Subtitle:</w:t>
      </w:r>
      <w:r w:rsidRPr="0077702C">
        <w:rPr>
          <w:rFonts w:ascii="Century Gothic" w:hAnsi="Century Gothic"/>
        </w:rPr>
        <w:t xml:space="preserve"> </w:t>
      </w:r>
      <w:r w:rsidRPr="00E82A90">
        <w:rPr>
          <w:rFonts w:ascii="Garamond" w:hAnsi="Garamond"/>
        </w:rPr>
        <w:t>Utilizing NASA and NOAA Earth Observations to Enhance the United Nation’s Office for the Coordination of Humanitarian Affairs</w:t>
      </w:r>
      <w:r w:rsidR="00E856B0">
        <w:rPr>
          <w:rFonts w:ascii="Garamond" w:hAnsi="Garamond"/>
        </w:rPr>
        <w:t xml:space="preserve"> in </w:t>
      </w:r>
      <w:r w:rsidRPr="00E82A90">
        <w:rPr>
          <w:rFonts w:ascii="Garamond" w:hAnsi="Garamond"/>
        </w:rPr>
        <w:t>Storm Preparation and Disaster Relief Planning Methods</w:t>
      </w:r>
      <w:r w:rsidR="00B02E89">
        <w:rPr>
          <w:rFonts w:ascii="Garamond" w:hAnsi="Garamond"/>
        </w:rPr>
        <w:t xml:space="preserve"> in the Philippines</w:t>
      </w:r>
    </w:p>
    <w:p w14:paraId="487B3B35" w14:textId="5718A3AA" w:rsidR="0088064D" w:rsidRPr="0077702C" w:rsidRDefault="0077702C" w:rsidP="00335D2C">
      <w:pPr>
        <w:spacing w:after="120" w:line="240" w:lineRule="auto"/>
        <w:rPr>
          <w:rFonts w:ascii="Century Gothic" w:hAnsi="Century Gothic"/>
        </w:rPr>
      </w:pPr>
      <w:r w:rsidRPr="0077702C">
        <w:rPr>
          <w:rFonts w:ascii="Century Gothic" w:hAnsi="Century Gothic"/>
          <w:b/>
        </w:rPr>
        <w:t>VPS Title:</w:t>
      </w:r>
      <w:r w:rsidRPr="0077702C">
        <w:rPr>
          <w:rFonts w:ascii="Century Gothic" w:hAnsi="Century Gothic"/>
        </w:rPr>
        <w:t xml:space="preserve"> </w:t>
      </w:r>
      <w:r w:rsidR="003A0954">
        <w:rPr>
          <w:rFonts w:ascii="Garamond" w:hAnsi="Garamond"/>
        </w:rPr>
        <w:t xml:space="preserve">Eyes on the Storm: </w:t>
      </w:r>
      <w:r w:rsidR="005919A5" w:rsidRPr="005919A5">
        <w:rPr>
          <w:rFonts w:ascii="Garamond" w:hAnsi="Garamond"/>
        </w:rPr>
        <w:t>A Gender Vulnerability Analysis of Tropical Cyclone Impacts in the Philippines</w:t>
      </w:r>
    </w:p>
    <w:p w14:paraId="3A9B4CD3" w14:textId="77777777" w:rsidR="0088064D" w:rsidRDefault="0077702C" w:rsidP="00335D2C">
      <w:pPr>
        <w:pBdr>
          <w:bottom w:val="single" w:sz="6" w:space="1" w:color="auto"/>
        </w:pBdr>
        <w:spacing w:line="240" w:lineRule="auto"/>
        <w:rPr>
          <w:rFonts w:ascii="Century Gothic" w:hAnsi="Century Gothic"/>
          <w:b/>
        </w:rPr>
      </w:pPr>
      <w:r w:rsidRPr="0077702C">
        <w:rPr>
          <w:rFonts w:ascii="Century Gothic" w:hAnsi="Century Gothic"/>
          <w:b/>
        </w:rPr>
        <w:t>Project Team &amp; Partners</w:t>
      </w:r>
    </w:p>
    <w:p w14:paraId="72DF1C0E" w14:textId="7F14D69E" w:rsidR="0088064D" w:rsidRPr="0077702C" w:rsidRDefault="0077702C" w:rsidP="00E82A90">
      <w:pPr>
        <w:spacing w:line="240" w:lineRule="auto"/>
        <w:rPr>
          <w:rFonts w:ascii="Century Gothic" w:hAnsi="Century Gothic"/>
        </w:rPr>
      </w:pPr>
      <w:r w:rsidRPr="0077702C">
        <w:rPr>
          <w:rFonts w:ascii="Century Gothic" w:hAnsi="Century Gothic"/>
          <w:b/>
          <w:sz w:val="20"/>
          <w:szCs w:val="20"/>
        </w:rPr>
        <w:t>Project Team:</w:t>
      </w:r>
    </w:p>
    <w:p w14:paraId="74444A61" w14:textId="77777777" w:rsidR="0088064D" w:rsidRPr="00E82A90" w:rsidRDefault="0077702C" w:rsidP="00E82A90">
      <w:pPr>
        <w:spacing w:line="240" w:lineRule="auto"/>
        <w:rPr>
          <w:rFonts w:ascii="Garamond" w:hAnsi="Garamond"/>
        </w:rPr>
      </w:pPr>
      <w:r w:rsidRPr="00E82A90">
        <w:rPr>
          <w:rFonts w:ascii="Garamond" w:hAnsi="Garamond"/>
        </w:rPr>
        <w:t xml:space="preserve">Daniel T. Martin (Project Lead), </w:t>
      </w:r>
      <w:r w:rsidRPr="00E82A90">
        <w:rPr>
          <w:rFonts w:ascii="Garamond" w:hAnsi="Garamond"/>
          <w:highlight w:val="white"/>
        </w:rPr>
        <w:t>daniel.t.martin@noaa.gov</w:t>
      </w:r>
    </w:p>
    <w:p w14:paraId="7AE670D5" w14:textId="5D7A7A49" w:rsidR="0088064D" w:rsidRPr="00E82A90" w:rsidRDefault="0077702C" w:rsidP="00E82A90">
      <w:pPr>
        <w:spacing w:line="240" w:lineRule="auto"/>
        <w:rPr>
          <w:rFonts w:ascii="Garamond" w:hAnsi="Garamond"/>
        </w:rPr>
      </w:pPr>
      <w:r w:rsidRPr="00E82A90">
        <w:rPr>
          <w:rFonts w:ascii="Garamond" w:hAnsi="Garamond"/>
        </w:rPr>
        <w:t>Allison Daniel</w:t>
      </w:r>
    </w:p>
    <w:p w14:paraId="7583967C" w14:textId="77777777" w:rsidR="0088064D" w:rsidRPr="00E82A90" w:rsidRDefault="0077702C" w:rsidP="00E82A90">
      <w:pPr>
        <w:spacing w:line="240" w:lineRule="auto"/>
        <w:rPr>
          <w:rFonts w:ascii="Garamond" w:hAnsi="Garamond"/>
        </w:rPr>
      </w:pPr>
      <w:r w:rsidRPr="00E82A90">
        <w:rPr>
          <w:rFonts w:ascii="Garamond" w:hAnsi="Garamond"/>
        </w:rPr>
        <w:t>Jessica Vermillion</w:t>
      </w:r>
    </w:p>
    <w:p w14:paraId="5430FDAB" w14:textId="3EB22B58" w:rsidR="0088064D" w:rsidRPr="00E82A90" w:rsidRDefault="0077702C" w:rsidP="00E82A90">
      <w:pPr>
        <w:spacing w:line="240" w:lineRule="auto"/>
        <w:rPr>
          <w:rFonts w:ascii="Garamond" w:hAnsi="Garamond"/>
        </w:rPr>
      </w:pPr>
      <w:r w:rsidRPr="00E82A90">
        <w:rPr>
          <w:rFonts w:ascii="Garamond" w:hAnsi="Garamond"/>
        </w:rPr>
        <w:t>Kelly Meehan</w:t>
      </w:r>
    </w:p>
    <w:p w14:paraId="7680753D" w14:textId="77777777" w:rsidR="0088064D" w:rsidRPr="0077702C" w:rsidRDefault="0088064D" w:rsidP="00E82A90">
      <w:pPr>
        <w:spacing w:line="240" w:lineRule="auto"/>
        <w:rPr>
          <w:rFonts w:ascii="Century Gothic" w:hAnsi="Century Gothic"/>
        </w:rPr>
      </w:pPr>
    </w:p>
    <w:p w14:paraId="391EA97C" w14:textId="77777777" w:rsidR="0088064D" w:rsidRPr="0077702C" w:rsidRDefault="0077702C" w:rsidP="00E82A90">
      <w:pPr>
        <w:spacing w:line="240" w:lineRule="auto"/>
        <w:rPr>
          <w:rFonts w:ascii="Century Gothic" w:hAnsi="Century Gothic"/>
        </w:rPr>
      </w:pPr>
      <w:r w:rsidRPr="0077702C">
        <w:rPr>
          <w:rFonts w:ascii="Century Gothic" w:hAnsi="Century Gothic"/>
          <w:b/>
          <w:sz w:val="20"/>
          <w:szCs w:val="20"/>
        </w:rPr>
        <w:t>Advisors &amp; Mentors:</w:t>
      </w:r>
    </w:p>
    <w:p w14:paraId="6858CB7E" w14:textId="77777777" w:rsidR="0088064D" w:rsidRPr="00E82A90" w:rsidRDefault="0077702C" w:rsidP="00E82A90">
      <w:pPr>
        <w:spacing w:line="240" w:lineRule="auto"/>
        <w:rPr>
          <w:rFonts w:ascii="Garamond" w:hAnsi="Garamond"/>
        </w:rPr>
      </w:pPr>
      <w:r w:rsidRPr="00E82A90">
        <w:rPr>
          <w:rFonts w:ascii="Garamond" w:hAnsi="Garamond"/>
        </w:rPr>
        <w:t>Dr. Carl Schreck (Cooperative Institute for Climate and Satellites-North Carolina</w:t>
      </w:r>
      <w:r w:rsidR="00A108DC">
        <w:rPr>
          <w:rFonts w:ascii="Garamond" w:hAnsi="Garamond"/>
        </w:rPr>
        <w:t xml:space="preserve">, </w:t>
      </w:r>
      <w:r w:rsidR="009E10FD">
        <w:rPr>
          <w:rFonts w:ascii="Garamond" w:hAnsi="Garamond"/>
        </w:rPr>
        <w:t>NOAA NCEI</w:t>
      </w:r>
      <w:r w:rsidRPr="00E82A90">
        <w:rPr>
          <w:rFonts w:ascii="Garamond" w:hAnsi="Garamond"/>
        </w:rPr>
        <w:t>)</w:t>
      </w:r>
    </w:p>
    <w:p w14:paraId="1E902D5A" w14:textId="7CF82ADD" w:rsidR="0088064D" w:rsidRPr="0077702C" w:rsidRDefault="0077702C" w:rsidP="00E82A90">
      <w:pPr>
        <w:spacing w:line="240" w:lineRule="auto"/>
        <w:rPr>
          <w:rFonts w:ascii="Century Gothic" w:hAnsi="Century Gothic"/>
        </w:rPr>
      </w:pPr>
      <w:r w:rsidRPr="00E82A90">
        <w:rPr>
          <w:rFonts w:ascii="Garamond" w:hAnsi="Garamond"/>
        </w:rPr>
        <w:t>Dr. L. DeWayne Cecil (Global Science</w:t>
      </w:r>
      <w:r w:rsidR="00673E32">
        <w:rPr>
          <w:rFonts w:ascii="Garamond" w:hAnsi="Garamond"/>
        </w:rPr>
        <w:t xml:space="preserve"> &amp; Technology,</w:t>
      </w:r>
      <w:r w:rsidR="00A108DC">
        <w:rPr>
          <w:rFonts w:ascii="Garamond" w:hAnsi="Garamond"/>
        </w:rPr>
        <w:t xml:space="preserve"> </w:t>
      </w:r>
      <w:r w:rsidR="009E10FD">
        <w:rPr>
          <w:rFonts w:ascii="Garamond" w:hAnsi="Garamond"/>
        </w:rPr>
        <w:t>NOAA NCEI</w:t>
      </w:r>
      <w:r w:rsidRPr="00E82A90">
        <w:rPr>
          <w:rFonts w:ascii="Garamond" w:hAnsi="Garamond"/>
        </w:rPr>
        <w:t>)</w:t>
      </w:r>
    </w:p>
    <w:p w14:paraId="4CA0CB87" w14:textId="77777777" w:rsidR="0088064D" w:rsidRDefault="0088064D">
      <w:pPr>
        <w:rPr>
          <w:rFonts w:ascii="Century Gothic" w:hAnsi="Century Gothic"/>
        </w:rPr>
      </w:pPr>
    </w:p>
    <w:p w14:paraId="409F598C" w14:textId="77777777" w:rsidR="00673B89" w:rsidRPr="00D579FC" w:rsidRDefault="00673B89" w:rsidP="00673B89">
      <w:pPr>
        <w:spacing w:line="240" w:lineRule="auto"/>
        <w:rPr>
          <w:rFonts w:ascii="Century Gothic" w:hAnsi="Century Gothic"/>
          <w:sz w:val="20"/>
          <w:szCs w:val="20"/>
        </w:rPr>
      </w:pPr>
      <w:r w:rsidRPr="009562D8">
        <w:rPr>
          <w:rFonts w:ascii="Century Gothic" w:hAnsi="Century Gothic"/>
          <w:b/>
        </w:rPr>
        <w:t>Partner Organizations</w:t>
      </w:r>
      <w:r>
        <w:rPr>
          <w:rFonts w:ascii="Century Gothic" w:hAnsi="Century Gothic"/>
          <w:b/>
          <w:sz w:val="20"/>
          <w:szCs w:val="20"/>
        </w:rPr>
        <w:t>:</w:t>
      </w:r>
    </w:p>
    <w:tbl>
      <w:tblPr>
        <w:tblStyle w:val="TableGrid1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673B89" w:rsidRPr="00720DF2" w14:paraId="739AC109" w14:textId="77777777" w:rsidTr="0001280A">
        <w:tc>
          <w:tcPr>
            <w:tcW w:w="3060" w:type="dxa"/>
            <w:shd w:val="clear" w:color="auto" w:fill="31849B" w:themeFill="accent5" w:themeFillShade="BF"/>
            <w:vAlign w:val="center"/>
          </w:tcPr>
          <w:p w14:paraId="3C3B36BD" w14:textId="77777777" w:rsidR="00673B89" w:rsidRPr="00EE2849" w:rsidRDefault="00673B89" w:rsidP="0001280A">
            <w:pPr>
              <w:rPr>
                <w:b/>
                <w:color w:val="FFFFFF" w:themeColor="background1"/>
                <w:sz w:val="22"/>
              </w:rPr>
            </w:pPr>
            <w:r w:rsidRPr="00BA6E1F">
              <w:rPr>
                <w:b/>
                <w:color w:val="FFFFFF" w:themeColor="background1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46AFB332" w14:textId="77777777" w:rsidR="00673B89" w:rsidRPr="00EE2849" w:rsidRDefault="00673B89" w:rsidP="0001280A">
            <w:pPr>
              <w:rPr>
                <w:b/>
                <w:color w:val="FFFFFF" w:themeColor="background1"/>
                <w:sz w:val="22"/>
              </w:rPr>
            </w:pPr>
            <w:r w:rsidRPr="00BA6E1F">
              <w:rPr>
                <w:b/>
                <w:color w:val="FFFFFF" w:themeColor="background1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5D7A6A64" w14:textId="77777777" w:rsidR="00673B89" w:rsidRPr="00EE2849" w:rsidRDefault="00673B89" w:rsidP="0001280A">
            <w:pPr>
              <w:rPr>
                <w:b/>
                <w:color w:val="FFFFFF" w:themeColor="background1"/>
                <w:sz w:val="22"/>
              </w:rPr>
            </w:pPr>
            <w:r w:rsidRPr="00BA6E1F">
              <w:rPr>
                <w:b/>
                <w:color w:val="FFFFFF" w:themeColor="background1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3C506761" w14:textId="77777777" w:rsidR="00673B89" w:rsidRPr="00720DF2" w:rsidRDefault="00673B89" w:rsidP="0001280A">
            <w:pPr>
              <w:jc w:val="center"/>
              <w:rPr>
                <w:b/>
                <w:color w:val="FFFFFF" w:themeColor="background1"/>
              </w:rPr>
            </w:pPr>
            <w:r w:rsidRPr="00720DF2">
              <w:rPr>
                <w:b/>
                <w:color w:val="FFFFFF" w:themeColor="background1"/>
                <w:sz w:val="18"/>
              </w:rPr>
              <w:t>Boundary Org?</w:t>
            </w:r>
          </w:p>
        </w:tc>
      </w:tr>
      <w:tr w:rsidR="00673B89" w:rsidRPr="00720DF2" w14:paraId="0319F3CE" w14:textId="77777777" w:rsidTr="0001280A">
        <w:tc>
          <w:tcPr>
            <w:tcW w:w="3060" w:type="dxa"/>
          </w:tcPr>
          <w:p w14:paraId="12EC7D71" w14:textId="2A43773E" w:rsidR="00673B89" w:rsidRPr="00726175" w:rsidRDefault="00673B89" w:rsidP="00673B89">
            <w:pPr>
              <w:rPr>
                <w:rFonts w:ascii="Garamond" w:hAnsi="Garamond"/>
                <w:sz w:val="22"/>
              </w:rPr>
            </w:pPr>
            <w:r w:rsidRPr="00726175">
              <w:rPr>
                <w:rFonts w:ascii="Garamond" w:hAnsi="Garamond"/>
                <w:sz w:val="22"/>
              </w:rPr>
              <w:t>United Nations Office for the Coordination of Humanitarian Affairs (OCHA)</w:t>
            </w:r>
          </w:p>
        </w:tc>
        <w:tc>
          <w:tcPr>
            <w:tcW w:w="3510" w:type="dxa"/>
          </w:tcPr>
          <w:p w14:paraId="1595259B" w14:textId="794251F2" w:rsidR="00673B89" w:rsidRPr="00726175" w:rsidRDefault="00673B89" w:rsidP="00673B89">
            <w:pPr>
              <w:rPr>
                <w:rFonts w:ascii="Garamond" w:hAnsi="Garamond"/>
                <w:sz w:val="22"/>
              </w:rPr>
            </w:pPr>
            <w:r w:rsidRPr="00726175">
              <w:rPr>
                <w:rFonts w:ascii="Garamond" w:hAnsi="Garamond"/>
                <w:sz w:val="22"/>
              </w:rPr>
              <w:t>Rowena Dacsig, Gender Advisor</w:t>
            </w:r>
          </w:p>
        </w:tc>
        <w:tc>
          <w:tcPr>
            <w:tcW w:w="1620" w:type="dxa"/>
          </w:tcPr>
          <w:p w14:paraId="15D05EB6" w14:textId="1F9893A1" w:rsidR="00673B89" w:rsidRPr="00726175" w:rsidRDefault="00673B89" w:rsidP="00673B89">
            <w:pPr>
              <w:rPr>
                <w:rFonts w:ascii="Garamond" w:hAnsi="Garamond"/>
                <w:sz w:val="22"/>
              </w:rPr>
            </w:pPr>
            <w:r w:rsidRPr="00726175">
              <w:rPr>
                <w:rFonts w:ascii="Garamond" w:hAnsi="Garamond"/>
                <w:sz w:val="22"/>
              </w:rPr>
              <w:t>End-User</w:t>
            </w:r>
          </w:p>
        </w:tc>
        <w:tc>
          <w:tcPr>
            <w:tcW w:w="1080" w:type="dxa"/>
          </w:tcPr>
          <w:p w14:paraId="75CE36D1" w14:textId="0F900366" w:rsidR="00673B89" w:rsidRPr="00726175" w:rsidRDefault="00673B89" w:rsidP="00673B89">
            <w:pPr>
              <w:jc w:val="center"/>
              <w:rPr>
                <w:rFonts w:ascii="Garamond" w:hAnsi="Garamond"/>
                <w:sz w:val="22"/>
              </w:rPr>
            </w:pPr>
            <w:r w:rsidRPr="00726175">
              <w:rPr>
                <w:rFonts w:ascii="Garamond" w:hAnsi="Garamond"/>
                <w:sz w:val="22"/>
              </w:rPr>
              <w:t>No</w:t>
            </w:r>
          </w:p>
        </w:tc>
      </w:tr>
      <w:tr w:rsidR="00673B89" w:rsidRPr="00720DF2" w14:paraId="7A294A67" w14:textId="77777777" w:rsidTr="0001280A">
        <w:tc>
          <w:tcPr>
            <w:tcW w:w="3060" w:type="dxa"/>
          </w:tcPr>
          <w:p w14:paraId="15AACD53" w14:textId="004EBB9C" w:rsidR="00673B89" w:rsidRPr="00726175" w:rsidRDefault="008E419B" w:rsidP="00673B89">
            <w:pPr>
              <w:rPr>
                <w:rFonts w:ascii="Garamond" w:hAnsi="Garamond"/>
                <w:sz w:val="22"/>
              </w:rPr>
            </w:pPr>
            <w:r w:rsidRPr="008E419B">
              <w:rPr>
                <w:rFonts w:ascii="Garamond" w:hAnsi="Garamond"/>
                <w:sz w:val="22"/>
              </w:rPr>
              <w:t>United Nations Institute for Training and Research</w:t>
            </w:r>
            <w:r>
              <w:rPr>
                <w:rFonts w:ascii="Garamond" w:hAnsi="Garamond"/>
                <w:sz w:val="22"/>
              </w:rPr>
              <w:t xml:space="preserve">, </w:t>
            </w:r>
            <w:r w:rsidR="00673B89" w:rsidRPr="00726175">
              <w:rPr>
                <w:rFonts w:ascii="Garamond" w:hAnsi="Garamond"/>
                <w:sz w:val="22"/>
              </w:rPr>
              <w:t>Operational Satellite Applications Program (UNOSAT)</w:t>
            </w:r>
          </w:p>
        </w:tc>
        <w:tc>
          <w:tcPr>
            <w:tcW w:w="3510" w:type="dxa"/>
          </w:tcPr>
          <w:p w14:paraId="5493B86E" w14:textId="4893773C" w:rsidR="00673B89" w:rsidRPr="00726175" w:rsidRDefault="00673B89" w:rsidP="00673B89">
            <w:pPr>
              <w:rPr>
                <w:rFonts w:ascii="Garamond" w:hAnsi="Garamond"/>
                <w:sz w:val="22"/>
              </w:rPr>
            </w:pPr>
            <w:r w:rsidRPr="00726175">
              <w:rPr>
                <w:rFonts w:ascii="Garamond" w:hAnsi="Garamond"/>
                <w:sz w:val="22"/>
              </w:rPr>
              <w:t>Rohini Swaminathan, UNITAR GIS Technical Expert</w:t>
            </w:r>
          </w:p>
        </w:tc>
        <w:tc>
          <w:tcPr>
            <w:tcW w:w="1620" w:type="dxa"/>
          </w:tcPr>
          <w:p w14:paraId="4217252F" w14:textId="5231D971" w:rsidR="00673B89" w:rsidRPr="00726175" w:rsidRDefault="00673B89" w:rsidP="00673B89">
            <w:pPr>
              <w:rPr>
                <w:rFonts w:ascii="Garamond" w:hAnsi="Garamond"/>
                <w:sz w:val="22"/>
              </w:rPr>
            </w:pPr>
            <w:r w:rsidRPr="00726175">
              <w:rPr>
                <w:rFonts w:ascii="Garamond" w:hAnsi="Garamond"/>
                <w:sz w:val="22"/>
              </w:rPr>
              <w:t>Collaborator</w:t>
            </w:r>
          </w:p>
        </w:tc>
        <w:tc>
          <w:tcPr>
            <w:tcW w:w="1080" w:type="dxa"/>
          </w:tcPr>
          <w:p w14:paraId="0CFA5205" w14:textId="1C87D6D5" w:rsidR="00673B89" w:rsidRPr="00726175" w:rsidRDefault="00673B89" w:rsidP="00673B89">
            <w:pPr>
              <w:jc w:val="center"/>
              <w:rPr>
                <w:rFonts w:ascii="Garamond" w:hAnsi="Garamond"/>
                <w:sz w:val="22"/>
              </w:rPr>
            </w:pPr>
            <w:r w:rsidRPr="00726175">
              <w:rPr>
                <w:rFonts w:ascii="Garamond" w:hAnsi="Garamond"/>
                <w:sz w:val="22"/>
              </w:rPr>
              <w:t>Yes</w:t>
            </w:r>
          </w:p>
        </w:tc>
      </w:tr>
    </w:tbl>
    <w:p w14:paraId="775146B1" w14:textId="77777777" w:rsidR="00673B89" w:rsidRPr="0077702C" w:rsidRDefault="00673B89">
      <w:pPr>
        <w:rPr>
          <w:rFonts w:ascii="Century Gothic" w:hAnsi="Century Gothic"/>
        </w:rPr>
      </w:pPr>
    </w:p>
    <w:p w14:paraId="4FACE3C4" w14:textId="77777777" w:rsidR="0088064D" w:rsidRDefault="0077702C" w:rsidP="00F77E71">
      <w:pPr>
        <w:pBdr>
          <w:bottom w:val="single" w:sz="6" w:space="1" w:color="auto"/>
        </w:pBdr>
        <w:spacing w:line="240" w:lineRule="auto"/>
        <w:rPr>
          <w:rFonts w:ascii="Century Gothic" w:hAnsi="Century Gothic"/>
          <w:b/>
        </w:rPr>
      </w:pPr>
      <w:r w:rsidRPr="0077702C">
        <w:rPr>
          <w:rFonts w:ascii="Century Gothic" w:hAnsi="Century Gothic"/>
          <w:b/>
        </w:rPr>
        <w:t>Project Details</w:t>
      </w:r>
    </w:p>
    <w:p w14:paraId="36AABB5B" w14:textId="77777777" w:rsidR="0088064D" w:rsidRPr="0077702C" w:rsidRDefault="0077702C" w:rsidP="00F77E71">
      <w:pPr>
        <w:spacing w:line="240" w:lineRule="auto"/>
        <w:rPr>
          <w:rFonts w:ascii="Century Gothic" w:hAnsi="Century Gothic"/>
        </w:rPr>
      </w:pPr>
      <w:r w:rsidRPr="0077702C">
        <w:rPr>
          <w:rFonts w:ascii="Century Gothic" w:hAnsi="Century Gothic"/>
          <w:b/>
          <w:sz w:val="20"/>
          <w:szCs w:val="20"/>
        </w:rPr>
        <w:t>Applied Sciences National Applications Addressed:</w:t>
      </w:r>
      <w:r w:rsidRPr="0077702C">
        <w:rPr>
          <w:rFonts w:ascii="Century Gothic" w:hAnsi="Century Gothic"/>
          <w:sz w:val="20"/>
          <w:szCs w:val="20"/>
        </w:rPr>
        <w:t xml:space="preserve"> </w:t>
      </w:r>
      <w:r w:rsidRPr="006A1B58">
        <w:rPr>
          <w:rFonts w:ascii="Garamond" w:hAnsi="Garamond"/>
        </w:rPr>
        <w:t>Disasters, Weather</w:t>
      </w:r>
    </w:p>
    <w:p w14:paraId="4EE27424" w14:textId="77777777" w:rsidR="0088064D" w:rsidRPr="0077702C" w:rsidRDefault="0077702C" w:rsidP="00F77E71">
      <w:pPr>
        <w:spacing w:line="240" w:lineRule="auto"/>
        <w:rPr>
          <w:rFonts w:ascii="Century Gothic" w:hAnsi="Century Gothic"/>
        </w:rPr>
      </w:pPr>
      <w:r w:rsidRPr="0077702C">
        <w:rPr>
          <w:rFonts w:ascii="Century Gothic" w:hAnsi="Century Gothic"/>
          <w:b/>
          <w:sz w:val="20"/>
          <w:szCs w:val="20"/>
        </w:rPr>
        <w:t>Study Area:</w:t>
      </w:r>
      <w:r w:rsidRPr="0077702C">
        <w:rPr>
          <w:rFonts w:ascii="Century Gothic" w:hAnsi="Century Gothic"/>
          <w:sz w:val="20"/>
          <w:szCs w:val="20"/>
        </w:rPr>
        <w:t xml:space="preserve"> </w:t>
      </w:r>
      <w:r w:rsidRPr="006A1B58">
        <w:rPr>
          <w:rFonts w:ascii="Garamond" w:hAnsi="Garamond"/>
        </w:rPr>
        <w:t>Philippines</w:t>
      </w:r>
    </w:p>
    <w:p w14:paraId="608E5A00" w14:textId="77777777" w:rsidR="0088064D" w:rsidRPr="0077702C" w:rsidRDefault="0077702C" w:rsidP="00F77E71">
      <w:pPr>
        <w:spacing w:line="240" w:lineRule="auto"/>
        <w:rPr>
          <w:rFonts w:ascii="Century Gothic" w:hAnsi="Century Gothic"/>
        </w:rPr>
      </w:pPr>
      <w:r w:rsidRPr="0077702C">
        <w:rPr>
          <w:rFonts w:ascii="Century Gothic" w:hAnsi="Century Gothic"/>
          <w:b/>
          <w:sz w:val="20"/>
          <w:szCs w:val="20"/>
        </w:rPr>
        <w:t>Study Period:</w:t>
      </w:r>
      <w:r w:rsidRPr="0077702C">
        <w:rPr>
          <w:rFonts w:ascii="Century Gothic" w:hAnsi="Century Gothic"/>
          <w:sz w:val="20"/>
          <w:szCs w:val="20"/>
        </w:rPr>
        <w:t xml:space="preserve"> </w:t>
      </w:r>
      <w:r w:rsidRPr="006A1B58">
        <w:rPr>
          <w:rFonts w:ascii="Garamond" w:hAnsi="Garamond"/>
        </w:rPr>
        <w:t>September 1982 – December 2016</w:t>
      </w:r>
    </w:p>
    <w:p w14:paraId="12E21ACD" w14:textId="77777777" w:rsidR="00073AB8" w:rsidRDefault="00073AB8">
      <w:pPr>
        <w:rPr>
          <w:rFonts w:ascii="Century Gothic" w:hAnsi="Century Gothic"/>
          <w:b/>
          <w:sz w:val="20"/>
          <w:szCs w:val="20"/>
        </w:rPr>
      </w:pPr>
    </w:p>
    <w:p w14:paraId="66417D65" w14:textId="77777777" w:rsidR="0088064D" w:rsidRPr="00673E32" w:rsidRDefault="0077702C" w:rsidP="00F77E71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673E32">
        <w:rPr>
          <w:rFonts w:ascii="Century Gothic" w:hAnsi="Century Gothic"/>
          <w:b/>
          <w:sz w:val="20"/>
          <w:szCs w:val="20"/>
        </w:rPr>
        <w:t>Ea</w:t>
      </w:r>
      <w:r w:rsidR="006A1B58" w:rsidRPr="00673E32">
        <w:rPr>
          <w:rFonts w:ascii="Century Gothic" w:hAnsi="Century Gothic"/>
          <w:b/>
          <w:sz w:val="20"/>
          <w:szCs w:val="20"/>
        </w:rPr>
        <w:t>rth Observations &amp; Parameters:</w:t>
      </w:r>
    </w:p>
    <w:p w14:paraId="006F070E" w14:textId="03E85FB0" w:rsidR="00D45A82" w:rsidRPr="00335D2C" w:rsidRDefault="00747B9E" w:rsidP="00B81F05">
      <w:pPr>
        <w:spacing w:line="240" w:lineRule="auto"/>
        <w:rPr>
          <w:rFonts w:ascii="Garamond" w:hAnsi="Garamond"/>
        </w:rPr>
      </w:pPr>
      <w:r w:rsidRPr="00335D2C">
        <w:rPr>
          <w:rFonts w:ascii="Garamond" w:hAnsi="Garamond"/>
        </w:rPr>
        <w:t>Shuttle Radar Topography Mission (SRTM)—DEM for use in risk analysis</w:t>
      </w:r>
    </w:p>
    <w:p w14:paraId="40A37BB5" w14:textId="60DC7CC3" w:rsidR="00B81F05" w:rsidRPr="00335D2C" w:rsidRDefault="00B81F05" w:rsidP="00B81F05">
      <w:pPr>
        <w:spacing w:line="240" w:lineRule="auto"/>
        <w:contextualSpacing/>
        <w:rPr>
          <w:rFonts w:ascii="Garamond" w:hAnsi="Garamond"/>
        </w:rPr>
      </w:pPr>
      <w:r w:rsidRPr="00335D2C">
        <w:rPr>
          <w:rFonts w:ascii="Garamond" w:hAnsi="Garamond"/>
        </w:rPr>
        <w:t>NOAA Precipitation Estimation from Remotely Sensed Information Using Artificial Neural Networks, Climate Data Record (PERSIANN-CDR) – precipitation estimates</w:t>
      </w:r>
    </w:p>
    <w:p w14:paraId="3E6E5FCE" w14:textId="77777777" w:rsidR="00D45A82" w:rsidRPr="00335D2C" w:rsidRDefault="00D45A82" w:rsidP="004F2CFD">
      <w:pPr>
        <w:spacing w:line="240" w:lineRule="auto"/>
        <w:rPr>
          <w:rFonts w:ascii="Garamond" w:hAnsi="Garamond"/>
        </w:rPr>
      </w:pPr>
    </w:p>
    <w:p w14:paraId="7EA02C5F" w14:textId="77777777" w:rsidR="00335D2C" w:rsidRPr="00335D2C" w:rsidRDefault="00335D2C" w:rsidP="004F2CFD">
      <w:pPr>
        <w:spacing w:line="240" w:lineRule="auto"/>
        <w:rPr>
          <w:rFonts w:ascii="Garamond" w:hAnsi="Garamond"/>
        </w:rPr>
      </w:pPr>
    </w:p>
    <w:p w14:paraId="61D34693" w14:textId="77777777" w:rsidR="00335D2C" w:rsidRPr="00335D2C" w:rsidRDefault="00335D2C" w:rsidP="004F2CFD">
      <w:pPr>
        <w:spacing w:line="240" w:lineRule="auto"/>
        <w:rPr>
          <w:rFonts w:ascii="Garamond" w:hAnsi="Garamond"/>
        </w:rPr>
      </w:pPr>
    </w:p>
    <w:p w14:paraId="768D1CD8" w14:textId="77777777" w:rsidR="0088064D" w:rsidRPr="0077702C" w:rsidRDefault="0077702C" w:rsidP="004F2CFD">
      <w:pPr>
        <w:spacing w:line="240" w:lineRule="auto"/>
        <w:rPr>
          <w:rFonts w:ascii="Century Gothic" w:hAnsi="Century Gothic"/>
        </w:rPr>
      </w:pPr>
      <w:r w:rsidRPr="0077702C">
        <w:rPr>
          <w:rFonts w:ascii="Century Gothic" w:hAnsi="Century Gothic"/>
          <w:b/>
          <w:sz w:val="20"/>
          <w:szCs w:val="20"/>
        </w:rPr>
        <w:lastRenderedPageBreak/>
        <w:t>Ancillary Datasets Utilized:</w:t>
      </w:r>
    </w:p>
    <w:p w14:paraId="1E988E7F" w14:textId="759515D0" w:rsidR="0088064D" w:rsidRPr="004F2CFD" w:rsidRDefault="0095379D" w:rsidP="00AC112B">
      <w:pPr>
        <w:numPr>
          <w:ilvl w:val="0"/>
          <w:numId w:val="7"/>
        </w:numPr>
        <w:spacing w:line="240" w:lineRule="auto"/>
        <w:ind w:hanging="36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NCEI </w:t>
      </w:r>
      <w:r w:rsidR="0077702C" w:rsidRPr="004F2CFD">
        <w:rPr>
          <w:rFonts w:ascii="Garamond" w:hAnsi="Garamond"/>
        </w:rPr>
        <w:t xml:space="preserve">International Best Track Archive for Climate Stewardship (IBTrACS) </w:t>
      </w:r>
      <w:r w:rsidR="00FE2824" w:rsidRPr="006A1B58">
        <w:rPr>
          <w:rFonts w:ascii="Garamond" w:hAnsi="Garamond"/>
        </w:rPr>
        <w:t>–</w:t>
      </w:r>
      <w:r w:rsidR="0077702C" w:rsidRPr="004F2CFD">
        <w:rPr>
          <w:rFonts w:ascii="Garamond" w:hAnsi="Garamond"/>
        </w:rPr>
        <w:t xml:space="preserve"> </w:t>
      </w:r>
      <w:r w:rsidR="00FE2824">
        <w:rPr>
          <w:rFonts w:ascii="Garamond" w:hAnsi="Garamond"/>
        </w:rPr>
        <w:t>t</w:t>
      </w:r>
      <w:r w:rsidR="0077702C" w:rsidRPr="004F2CFD">
        <w:rPr>
          <w:rFonts w:ascii="Garamond" w:hAnsi="Garamond"/>
        </w:rPr>
        <w:t xml:space="preserve">ropical </w:t>
      </w:r>
      <w:r w:rsidR="00FE2824">
        <w:rPr>
          <w:rFonts w:ascii="Garamond" w:hAnsi="Garamond"/>
        </w:rPr>
        <w:t>c</w:t>
      </w:r>
      <w:r>
        <w:rPr>
          <w:rFonts w:ascii="Garamond" w:hAnsi="Garamond"/>
        </w:rPr>
        <w:t xml:space="preserve">yclone </w:t>
      </w:r>
      <w:r w:rsidR="0077702C" w:rsidRPr="004F2CFD">
        <w:rPr>
          <w:rFonts w:ascii="Garamond" w:hAnsi="Garamond"/>
        </w:rPr>
        <w:t>climatology</w:t>
      </w:r>
    </w:p>
    <w:p w14:paraId="445B4216" w14:textId="50523825" w:rsidR="0088064D" w:rsidRDefault="0077702C" w:rsidP="00AC112B">
      <w:pPr>
        <w:numPr>
          <w:ilvl w:val="0"/>
          <w:numId w:val="7"/>
        </w:numPr>
        <w:spacing w:line="240" w:lineRule="auto"/>
        <w:ind w:hanging="360"/>
        <w:contextualSpacing/>
        <w:rPr>
          <w:rFonts w:ascii="Garamond" w:hAnsi="Garamond"/>
        </w:rPr>
      </w:pPr>
      <w:r w:rsidRPr="004F2CFD">
        <w:rPr>
          <w:rFonts w:ascii="Garamond" w:hAnsi="Garamond"/>
        </w:rPr>
        <w:t xml:space="preserve">NCEI Global Historical Climatology Network </w:t>
      </w:r>
      <w:r w:rsidR="00FE2824" w:rsidRPr="006A1B58">
        <w:rPr>
          <w:rFonts w:ascii="Garamond" w:hAnsi="Garamond"/>
        </w:rPr>
        <w:t>–</w:t>
      </w:r>
      <w:r w:rsidRPr="004F2CFD">
        <w:rPr>
          <w:rFonts w:ascii="Garamond" w:hAnsi="Garamond"/>
        </w:rPr>
        <w:t xml:space="preserve"> </w:t>
      </w:r>
      <w:r w:rsidR="00FE2824">
        <w:rPr>
          <w:rFonts w:ascii="Garamond" w:hAnsi="Garamond"/>
        </w:rPr>
        <w:t>v</w:t>
      </w:r>
      <w:r w:rsidRPr="004F2CFD">
        <w:rPr>
          <w:rFonts w:ascii="Garamond" w:hAnsi="Garamond"/>
        </w:rPr>
        <w:t>alidation of satellite precipitation estimates</w:t>
      </w:r>
    </w:p>
    <w:p w14:paraId="69371388" w14:textId="76264160" w:rsidR="00EC2E44" w:rsidRPr="00AC112B" w:rsidRDefault="00EC2E44" w:rsidP="00AC112B">
      <w:pPr>
        <w:numPr>
          <w:ilvl w:val="0"/>
          <w:numId w:val="7"/>
        </w:numPr>
        <w:spacing w:line="240" w:lineRule="auto"/>
        <w:ind w:hanging="36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Public/partner </w:t>
      </w:r>
      <w:r>
        <w:rPr>
          <w:rFonts w:ascii="Garamond" w:hAnsi="Garamond"/>
          <w:i/>
        </w:rPr>
        <w:t xml:space="preserve">in </w:t>
      </w:r>
      <w:r w:rsidRPr="00EC2E44">
        <w:rPr>
          <w:rFonts w:ascii="Garamond" w:hAnsi="Garamond"/>
          <w:i/>
        </w:rPr>
        <w:t>situ</w:t>
      </w:r>
      <w:r>
        <w:rPr>
          <w:rFonts w:ascii="Garamond" w:hAnsi="Garamond"/>
          <w:i/>
        </w:rPr>
        <w:t xml:space="preserve"> </w:t>
      </w:r>
      <w:r w:rsidR="006870AF">
        <w:rPr>
          <w:rFonts w:ascii="Garamond" w:hAnsi="Garamond"/>
        </w:rPr>
        <w:t xml:space="preserve">data </w:t>
      </w:r>
      <w:r w:rsidR="006870AF" w:rsidRPr="006A1B58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Pr="006870AF">
        <w:rPr>
          <w:rFonts w:ascii="Garamond" w:hAnsi="Garamond"/>
        </w:rPr>
        <w:t>OCHA</w:t>
      </w:r>
      <w:r w:rsidRPr="004F2CFD">
        <w:rPr>
          <w:rFonts w:ascii="Garamond" w:hAnsi="Garamond"/>
        </w:rPr>
        <w:t>-Philippines Population Demographic Data</w:t>
      </w:r>
      <w:r>
        <w:rPr>
          <w:rFonts w:ascii="Garamond" w:hAnsi="Garamond"/>
        </w:rPr>
        <w:t xml:space="preserve"> </w:t>
      </w:r>
      <w:r w:rsidR="006870AF">
        <w:rPr>
          <w:rFonts w:ascii="Garamond" w:hAnsi="Garamond"/>
        </w:rPr>
        <w:t>for c</w:t>
      </w:r>
      <w:r w:rsidRPr="004F2CFD">
        <w:rPr>
          <w:rFonts w:ascii="Garamond" w:hAnsi="Garamond"/>
        </w:rPr>
        <w:t>yclone hazards risk map</w:t>
      </w:r>
    </w:p>
    <w:p w14:paraId="3B8794E7" w14:textId="77777777" w:rsidR="0088064D" w:rsidRPr="0077702C" w:rsidRDefault="0088064D" w:rsidP="004F2CFD">
      <w:pPr>
        <w:spacing w:line="240" w:lineRule="auto"/>
        <w:rPr>
          <w:rFonts w:ascii="Century Gothic" w:hAnsi="Century Gothic"/>
        </w:rPr>
      </w:pPr>
    </w:p>
    <w:p w14:paraId="067243F3" w14:textId="77777777" w:rsidR="00073AB8" w:rsidRPr="00073AB8" w:rsidRDefault="0077702C" w:rsidP="00073AB8">
      <w:pPr>
        <w:spacing w:line="240" w:lineRule="auto"/>
        <w:contextualSpacing/>
        <w:rPr>
          <w:rFonts w:ascii="Garamond" w:hAnsi="Garamond"/>
        </w:rPr>
      </w:pPr>
      <w:r w:rsidRPr="0077702C">
        <w:rPr>
          <w:rFonts w:ascii="Century Gothic" w:hAnsi="Century Gothic"/>
          <w:b/>
          <w:sz w:val="20"/>
          <w:szCs w:val="20"/>
        </w:rPr>
        <w:t>Software Utilized:</w:t>
      </w:r>
    </w:p>
    <w:p w14:paraId="15E7C3A6" w14:textId="4CB9FAB9" w:rsidR="0088064D" w:rsidRPr="004F2CFD" w:rsidRDefault="00741F8E" w:rsidP="00AC112B">
      <w:pPr>
        <w:numPr>
          <w:ilvl w:val="0"/>
          <w:numId w:val="8"/>
        </w:numPr>
        <w:spacing w:line="240" w:lineRule="auto"/>
        <w:ind w:hanging="36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ESRI </w:t>
      </w:r>
      <w:r w:rsidR="0077702C" w:rsidRPr="004F2CFD">
        <w:rPr>
          <w:rFonts w:ascii="Garamond" w:hAnsi="Garamond"/>
        </w:rPr>
        <w:t>ArcGIS – raster manipulation/analysis, map creation</w:t>
      </w:r>
    </w:p>
    <w:p w14:paraId="5ADC5AED" w14:textId="705CE115" w:rsidR="0088064D" w:rsidRPr="004F2CFD" w:rsidRDefault="0077702C" w:rsidP="00AC112B">
      <w:pPr>
        <w:numPr>
          <w:ilvl w:val="0"/>
          <w:numId w:val="8"/>
        </w:numPr>
        <w:spacing w:line="240" w:lineRule="auto"/>
        <w:ind w:hanging="360"/>
        <w:contextualSpacing/>
        <w:rPr>
          <w:rFonts w:ascii="Garamond" w:hAnsi="Garamond"/>
        </w:rPr>
      </w:pPr>
      <w:r w:rsidRPr="004F2CFD">
        <w:rPr>
          <w:rFonts w:ascii="Garamond" w:hAnsi="Garamond"/>
        </w:rPr>
        <w:t xml:space="preserve">R </w:t>
      </w:r>
      <w:r w:rsidR="00E856B0" w:rsidRPr="004F2CFD">
        <w:rPr>
          <w:rFonts w:ascii="Garamond" w:hAnsi="Garamond"/>
        </w:rPr>
        <w:t>–</w:t>
      </w:r>
      <w:r w:rsidRPr="004F2CFD">
        <w:rPr>
          <w:rFonts w:ascii="Garamond" w:hAnsi="Garamond"/>
        </w:rPr>
        <w:t xml:space="preserve"> </w:t>
      </w:r>
      <w:r w:rsidR="000146C5">
        <w:rPr>
          <w:rFonts w:ascii="Garamond" w:hAnsi="Garamond"/>
        </w:rPr>
        <w:t>s</w:t>
      </w:r>
      <w:r w:rsidRPr="004F2CFD">
        <w:rPr>
          <w:rFonts w:ascii="Garamond" w:hAnsi="Garamond"/>
        </w:rPr>
        <w:t>tatistical comparisons</w:t>
      </w:r>
    </w:p>
    <w:p w14:paraId="52990E23" w14:textId="12C7F841" w:rsidR="0088064D" w:rsidRPr="004F2CFD" w:rsidRDefault="00741F8E" w:rsidP="00AC112B">
      <w:pPr>
        <w:numPr>
          <w:ilvl w:val="0"/>
          <w:numId w:val="8"/>
        </w:numPr>
        <w:spacing w:line="240" w:lineRule="auto"/>
        <w:ind w:hanging="360"/>
        <w:contextualSpacing/>
        <w:rPr>
          <w:rFonts w:ascii="Garamond" w:hAnsi="Garamond"/>
        </w:rPr>
      </w:pPr>
      <w:r>
        <w:rPr>
          <w:rFonts w:ascii="Garamond" w:hAnsi="Garamond"/>
        </w:rPr>
        <w:t>Pytho</w:t>
      </w:r>
      <w:r w:rsidR="00E856B0">
        <w:rPr>
          <w:rFonts w:ascii="Garamond" w:hAnsi="Garamond"/>
        </w:rPr>
        <w:t>n</w:t>
      </w:r>
      <w:r w:rsidR="0077702C" w:rsidRPr="004F2CFD">
        <w:rPr>
          <w:rFonts w:ascii="Garamond" w:hAnsi="Garamond"/>
        </w:rPr>
        <w:t xml:space="preserve"> </w:t>
      </w:r>
      <w:r w:rsidR="00E856B0" w:rsidRPr="004F2CFD">
        <w:rPr>
          <w:rFonts w:ascii="Garamond" w:hAnsi="Garamond"/>
        </w:rPr>
        <w:t>–</w:t>
      </w:r>
      <w:r w:rsidR="0077702C" w:rsidRPr="004F2CFD">
        <w:rPr>
          <w:rFonts w:ascii="Garamond" w:hAnsi="Garamond"/>
        </w:rPr>
        <w:t xml:space="preserve"> </w:t>
      </w:r>
      <w:r w:rsidR="000146C5">
        <w:rPr>
          <w:rFonts w:ascii="Garamond" w:hAnsi="Garamond"/>
        </w:rPr>
        <w:t>i</w:t>
      </w:r>
      <w:r w:rsidR="0077702C" w:rsidRPr="004F2CFD">
        <w:rPr>
          <w:rFonts w:ascii="Garamond" w:hAnsi="Garamond"/>
        </w:rPr>
        <w:t>ndex calculation, statistical comparisons</w:t>
      </w:r>
    </w:p>
    <w:p w14:paraId="54C03EF6" w14:textId="77777777" w:rsidR="0088064D" w:rsidRPr="0077702C" w:rsidRDefault="0077702C" w:rsidP="004F2CFD">
      <w:pPr>
        <w:spacing w:line="240" w:lineRule="auto"/>
        <w:rPr>
          <w:rFonts w:ascii="Century Gothic" w:hAnsi="Century Gothic"/>
        </w:rPr>
      </w:pPr>
      <w:r w:rsidRPr="0077702C">
        <w:rPr>
          <w:rFonts w:ascii="Century Gothic" w:hAnsi="Century Gothic"/>
          <w:b/>
          <w:sz w:val="20"/>
          <w:szCs w:val="20"/>
        </w:rPr>
        <w:t xml:space="preserve"> </w:t>
      </w:r>
    </w:p>
    <w:p w14:paraId="6E3C52EF" w14:textId="77777777" w:rsidR="0088064D" w:rsidRDefault="0077702C" w:rsidP="004F2CFD">
      <w:pPr>
        <w:pBdr>
          <w:bottom w:val="single" w:sz="6" w:space="1" w:color="auto"/>
        </w:pBdr>
        <w:spacing w:line="240" w:lineRule="auto"/>
        <w:rPr>
          <w:rFonts w:ascii="Century Gothic" w:hAnsi="Century Gothic"/>
          <w:b/>
        </w:rPr>
      </w:pPr>
      <w:r w:rsidRPr="0077702C">
        <w:rPr>
          <w:rFonts w:ascii="Century Gothic" w:hAnsi="Century Gothic"/>
          <w:b/>
        </w:rPr>
        <w:t>Project Overview</w:t>
      </w:r>
    </w:p>
    <w:p w14:paraId="1B46866C" w14:textId="6F5D79FA" w:rsidR="0088064D" w:rsidRPr="0077702C" w:rsidRDefault="006870AF" w:rsidP="004F2CFD">
      <w:pPr>
        <w:spacing w:line="240" w:lineRule="auto"/>
        <w:rPr>
          <w:rFonts w:ascii="Century Gothic" w:hAnsi="Century Gothic"/>
        </w:rPr>
      </w:pPr>
      <w:r w:rsidRPr="00D579FC">
        <w:rPr>
          <w:rFonts w:ascii="Century Gothic" w:hAnsi="Century Gothic"/>
          <w:b/>
          <w:sz w:val="20"/>
          <w:szCs w:val="20"/>
        </w:rPr>
        <w:t>80-100</w:t>
      </w:r>
      <w:r>
        <w:rPr>
          <w:rFonts w:ascii="Century Gothic" w:hAnsi="Century Gothic"/>
          <w:b/>
          <w:sz w:val="20"/>
          <w:szCs w:val="20"/>
        </w:rPr>
        <w:t xml:space="preserve"> Word</w:t>
      </w:r>
      <w:r w:rsidRPr="00D579FC">
        <w:rPr>
          <w:rFonts w:ascii="Century Gothic" w:hAnsi="Century Gothic"/>
          <w:b/>
          <w:sz w:val="20"/>
          <w:szCs w:val="20"/>
        </w:rPr>
        <w:t xml:space="preserve"> </w:t>
      </w:r>
      <w:r w:rsidR="005C6543">
        <w:rPr>
          <w:rFonts w:ascii="Century Gothic" w:hAnsi="Century Gothic"/>
          <w:b/>
          <w:sz w:val="20"/>
          <w:szCs w:val="20"/>
        </w:rPr>
        <w:t xml:space="preserve">Objectives </w:t>
      </w:r>
      <w:r w:rsidR="0077702C" w:rsidRPr="0077702C">
        <w:rPr>
          <w:rFonts w:ascii="Century Gothic" w:hAnsi="Century Gothic"/>
          <w:b/>
          <w:sz w:val="20"/>
          <w:szCs w:val="20"/>
        </w:rPr>
        <w:t>Overview:</w:t>
      </w:r>
    </w:p>
    <w:p w14:paraId="7B9FB0C7" w14:textId="20E17EDA" w:rsidR="0088064D" w:rsidRPr="00117E13" w:rsidRDefault="0077702C" w:rsidP="004F2CFD">
      <w:pPr>
        <w:spacing w:line="240" w:lineRule="auto"/>
        <w:rPr>
          <w:rFonts w:ascii="Garamond" w:hAnsi="Garamond"/>
        </w:rPr>
      </w:pPr>
      <w:r w:rsidRPr="00117E13">
        <w:rPr>
          <w:rFonts w:ascii="Garamond" w:hAnsi="Garamond"/>
        </w:rPr>
        <w:t>The Philippines and its surrounding area are threatened b</w:t>
      </w:r>
      <w:r w:rsidR="0032379D">
        <w:rPr>
          <w:rFonts w:ascii="Garamond" w:hAnsi="Garamond"/>
        </w:rPr>
        <w:t xml:space="preserve">y </w:t>
      </w:r>
      <w:r w:rsidR="0095379D">
        <w:rPr>
          <w:rFonts w:ascii="Garamond" w:hAnsi="Garamond"/>
        </w:rPr>
        <w:t xml:space="preserve">tropical </w:t>
      </w:r>
      <w:r w:rsidRPr="00117E13">
        <w:rPr>
          <w:rFonts w:ascii="Garamond" w:hAnsi="Garamond"/>
        </w:rPr>
        <w:t>cyclones each year</w:t>
      </w:r>
      <w:r w:rsidR="00741F8E">
        <w:rPr>
          <w:rFonts w:ascii="Garamond" w:hAnsi="Garamond"/>
        </w:rPr>
        <w:t xml:space="preserve"> which often have the potential to</w:t>
      </w:r>
      <w:r w:rsidRPr="00117E13">
        <w:rPr>
          <w:rFonts w:ascii="Garamond" w:hAnsi="Garamond"/>
        </w:rPr>
        <w:t xml:space="preserve"> cause mass destruction and population displacement. To further understand </w:t>
      </w:r>
      <w:r w:rsidR="00741F8E">
        <w:rPr>
          <w:rFonts w:ascii="Garamond" w:hAnsi="Garamond"/>
        </w:rPr>
        <w:t>the threats introduced by these cyclones</w:t>
      </w:r>
      <w:r w:rsidRPr="00117E13">
        <w:rPr>
          <w:rFonts w:ascii="Garamond" w:hAnsi="Garamond"/>
        </w:rPr>
        <w:t xml:space="preserve">, </w:t>
      </w:r>
      <w:r w:rsidR="00EF2F56">
        <w:rPr>
          <w:rFonts w:ascii="Garamond" w:hAnsi="Garamond"/>
        </w:rPr>
        <w:t xml:space="preserve">this project </w:t>
      </w:r>
      <w:r w:rsidR="00741F8E">
        <w:rPr>
          <w:rFonts w:ascii="Garamond" w:hAnsi="Garamond"/>
        </w:rPr>
        <w:t>aim</w:t>
      </w:r>
      <w:r w:rsidR="00EF2F56">
        <w:rPr>
          <w:rFonts w:ascii="Garamond" w:hAnsi="Garamond"/>
        </w:rPr>
        <w:t>s</w:t>
      </w:r>
      <w:r w:rsidR="00741F8E">
        <w:rPr>
          <w:rFonts w:ascii="Garamond" w:hAnsi="Garamond"/>
        </w:rPr>
        <w:t xml:space="preserve"> </w:t>
      </w:r>
      <w:r w:rsidRPr="00117E13">
        <w:rPr>
          <w:rFonts w:ascii="Garamond" w:hAnsi="Garamond"/>
        </w:rPr>
        <w:t xml:space="preserve">to </w:t>
      </w:r>
      <w:r w:rsidR="00741F8E">
        <w:rPr>
          <w:rFonts w:ascii="Garamond" w:hAnsi="Garamond"/>
        </w:rPr>
        <w:t>combine tropical cyclone track</w:t>
      </w:r>
      <w:r w:rsidR="00E856B0">
        <w:rPr>
          <w:rFonts w:ascii="Garamond" w:hAnsi="Garamond"/>
        </w:rPr>
        <w:t>ing</w:t>
      </w:r>
      <w:r w:rsidR="00741F8E">
        <w:rPr>
          <w:rFonts w:ascii="Garamond" w:hAnsi="Garamond"/>
        </w:rPr>
        <w:t xml:space="preserve"> and intensity climatologies </w:t>
      </w:r>
      <w:r w:rsidR="00073AB8">
        <w:rPr>
          <w:rFonts w:ascii="Garamond" w:hAnsi="Garamond"/>
        </w:rPr>
        <w:t>with</w:t>
      </w:r>
      <w:r w:rsidRPr="00117E13">
        <w:rPr>
          <w:rFonts w:ascii="Garamond" w:hAnsi="Garamond"/>
        </w:rPr>
        <w:t xml:space="preserve"> </w:t>
      </w:r>
      <w:r w:rsidR="00741F8E">
        <w:rPr>
          <w:rFonts w:ascii="Garamond" w:hAnsi="Garamond"/>
        </w:rPr>
        <w:t xml:space="preserve">population vulnerability statistics </w:t>
      </w:r>
      <w:r w:rsidR="00EF2F56">
        <w:rPr>
          <w:rFonts w:ascii="Garamond" w:hAnsi="Garamond"/>
        </w:rPr>
        <w:t>related to gender</w:t>
      </w:r>
      <w:r w:rsidR="00741F8E">
        <w:rPr>
          <w:rFonts w:ascii="Garamond" w:hAnsi="Garamond"/>
        </w:rPr>
        <w:t xml:space="preserve">. Combining these statistics with other </w:t>
      </w:r>
      <w:r w:rsidR="006826F3">
        <w:rPr>
          <w:rFonts w:ascii="Garamond" w:hAnsi="Garamond"/>
        </w:rPr>
        <w:t>demographic</w:t>
      </w:r>
      <w:r w:rsidR="00741F8E">
        <w:rPr>
          <w:rFonts w:ascii="Garamond" w:hAnsi="Garamond"/>
        </w:rPr>
        <w:t xml:space="preserve"> </w:t>
      </w:r>
      <w:r w:rsidR="006826F3">
        <w:rPr>
          <w:rFonts w:ascii="Garamond" w:hAnsi="Garamond"/>
        </w:rPr>
        <w:t xml:space="preserve">data </w:t>
      </w:r>
      <w:r w:rsidR="00741F8E">
        <w:rPr>
          <w:rFonts w:ascii="Garamond" w:hAnsi="Garamond"/>
        </w:rPr>
        <w:t xml:space="preserve">such as socioeconomic status, building </w:t>
      </w:r>
      <w:r w:rsidR="006826F3">
        <w:rPr>
          <w:rFonts w:ascii="Garamond" w:hAnsi="Garamond"/>
        </w:rPr>
        <w:t xml:space="preserve">and government response capabilities, and population distribution, </w:t>
      </w:r>
      <w:r w:rsidR="00E856B0">
        <w:rPr>
          <w:rFonts w:ascii="Garamond" w:hAnsi="Garamond"/>
        </w:rPr>
        <w:t xml:space="preserve">will enable our partners to </w:t>
      </w:r>
      <w:r w:rsidR="005C60A6">
        <w:rPr>
          <w:rFonts w:ascii="Garamond" w:hAnsi="Garamond"/>
        </w:rPr>
        <w:t xml:space="preserve">predict the areas of greatest vulnerability </w:t>
      </w:r>
      <w:r w:rsidR="00E856B0">
        <w:rPr>
          <w:rFonts w:ascii="Garamond" w:hAnsi="Garamond"/>
        </w:rPr>
        <w:t xml:space="preserve">in </w:t>
      </w:r>
      <w:r w:rsidR="005C60A6">
        <w:rPr>
          <w:rFonts w:ascii="Garamond" w:hAnsi="Garamond"/>
        </w:rPr>
        <w:t>future cyclones</w:t>
      </w:r>
      <w:r w:rsidR="00E856B0">
        <w:rPr>
          <w:rFonts w:ascii="Garamond" w:hAnsi="Garamond"/>
        </w:rPr>
        <w:t xml:space="preserve"> events.</w:t>
      </w:r>
    </w:p>
    <w:p w14:paraId="384DB070" w14:textId="77777777" w:rsidR="0088064D" w:rsidRPr="0077702C" w:rsidRDefault="0088064D" w:rsidP="004F2CFD">
      <w:pPr>
        <w:spacing w:line="240" w:lineRule="auto"/>
        <w:rPr>
          <w:rFonts w:ascii="Century Gothic" w:hAnsi="Century Gothic"/>
        </w:rPr>
      </w:pPr>
    </w:p>
    <w:p w14:paraId="17769321" w14:textId="77777777" w:rsidR="0088064D" w:rsidRPr="0077702C" w:rsidRDefault="0077702C" w:rsidP="004F2CFD">
      <w:pPr>
        <w:spacing w:line="240" w:lineRule="auto"/>
        <w:rPr>
          <w:rFonts w:ascii="Century Gothic" w:hAnsi="Century Gothic"/>
        </w:rPr>
      </w:pPr>
      <w:r w:rsidRPr="0077702C">
        <w:rPr>
          <w:rFonts w:ascii="Century Gothic" w:hAnsi="Century Gothic"/>
          <w:b/>
          <w:sz w:val="20"/>
          <w:szCs w:val="20"/>
        </w:rPr>
        <w:t>Abstract:</w:t>
      </w:r>
    </w:p>
    <w:p w14:paraId="3AF715AE" w14:textId="2EED12BF" w:rsidR="0088064D" w:rsidRPr="00117E13" w:rsidRDefault="0077702C" w:rsidP="004F2CFD">
      <w:pPr>
        <w:spacing w:line="240" w:lineRule="auto"/>
        <w:rPr>
          <w:rFonts w:ascii="Garamond" w:hAnsi="Garamond"/>
        </w:rPr>
      </w:pPr>
      <w:r w:rsidRPr="00117E13">
        <w:rPr>
          <w:rFonts w:ascii="Garamond" w:hAnsi="Garamond"/>
        </w:rPr>
        <w:t>A comprehensive understanding of where sensitive population</w:t>
      </w:r>
      <w:r w:rsidR="00F61873">
        <w:rPr>
          <w:rFonts w:ascii="Garamond" w:hAnsi="Garamond"/>
        </w:rPr>
        <w:t>s</w:t>
      </w:r>
      <w:r w:rsidRPr="00117E13">
        <w:rPr>
          <w:rFonts w:ascii="Garamond" w:hAnsi="Garamond"/>
        </w:rPr>
        <w:t xml:space="preserve"> and demographics are threatened by natural hazards is necessary for the assessment </w:t>
      </w:r>
      <w:r w:rsidR="0032379D">
        <w:rPr>
          <w:rFonts w:ascii="Garamond" w:hAnsi="Garamond"/>
        </w:rPr>
        <w:t xml:space="preserve">and prevention </w:t>
      </w:r>
      <w:r w:rsidRPr="00117E13">
        <w:rPr>
          <w:rFonts w:ascii="Garamond" w:hAnsi="Garamond"/>
        </w:rPr>
        <w:t>of disaster</w:t>
      </w:r>
      <w:r w:rsidR="0032379D">
        <w:rPr>
          <w:rFonts w:ascii="Garamond" w:hAnsi="Garamond"/>
        </w:rPr>
        <w:t>s</w:t>
      </w:r>
      <w:r w:rsidRPr="00117E13">
        <w:rPr>
          <w:rFonts w:ascii="Garamond" w:hAnsi="Garamond"/>
        </w:rPr>
        <w:t>. The island nation of the Philippines is often threatened by tropical cyclones, which have had disastrous co</w:t>
      </w:r>
      <w:r w:rsidR="005C6543">
        <w:rPr>
          <w:rFonts w:ascii="Garamond" w:hAnsi="Garamond"/>
        </w:rPr>
        <w:t>nsequences in the past (e.g., Tropical Cyclone</w:t>
      </w:r>
      <w:r w:rsidRPr="00117E13">
        <w:rPr>
          <w:rFonts w:ascii="Garamond" w:hAnsi="Garamond"/>
        </w:rPr>
        <w:t xml:space="preserve"> </w:t>
      </w:r>
      <w:r w:rsidR="005C6543">
        <w:rPr>
          <w:rFonts w:ascii="Garamond" w:hAnsi="Garamond"/>
        </w:rPr>
        <w:t xml:space="preserve">(TC) </w:t>
      </w:r>
      <w:r w:rsidRPr="00117E13">
        <w:rPr>
          <w:rFonts w:ascii="Garamond" w:hAnsi="Garamond"/>
        </w:rPr>
        <w:t>Haiyan in 2013</w:t>
      </w:r>
      <w:r w:rsidR="00292C4D">
        <w:rPr>
          <w:rFonts w:ascii="Garamond" w:hAnsi="Garamond"/>
        </w:rPr>
        <w:t xml:space="preserve"> claimed over </w:t>
      </w:r>
      <w:r w:rsidR="00BC0100">
        <w:rPr>
          <w:rFonts w:ascii="Garamond" w:hAnsi="Garamond"/>
        </w:rPr>
        <w:t>6</w:t>
      </w:r>
      <w:r w:rsidR="00292C4D">
        <w:rPr>
          <w:rFonts w:ascii="Garamond" w:hAnsi="Garamond"/>
        </w:rPr>
        <w:t>,000 lives</w:t>
      </w:r>
      <w:r w:rsidRPr="00117E13">
        <w:rPr>
          <w:rFonts w:ascii="Garamond" w:hAnsi="Garamond"/>
        </w:rPr>
        <w:t>). This project aim</w:t>
      </w:r>
      <w:r w:rsidR="00A108DC">
        <w:rPr>
          <w:rFonts w:ascii="Garamond" w:hAnsi="Garamond"/>
        </w:rPr>
        <w:t>ed</w:t>
      </w:r>
      <w:r w:rsidRPr="00117E13">
        <w:rPr>
          <w:rFonts w:ascii="Garamond" w:hAnsi="Garamond"/>
        </w:rPr>
        <w:t xml:space="preserve"> to assess areas of greatest disaster risk in the Philippines with a special focus on gender. Using a combination of </w:t>
      </w:r>
      <w:r w:rsidR="00F61873">
        <w:rPr>
          <w:rFonts w:ascii="Garamond" w:hAnsi="Garamond"/>
        </w:rPr>
        <w:t xml:space="preserve">archived tropical cyclone data from the </w:t>
      </w:r>
      <w:r w:rsidRPr="00117E13">
        <w:rPr>
          <w:rFonts w:ascii="Garamond" w:hAnsi="Garamond"/>
        </w:rPr>
        <w:t>I</w:t>
      </w:r>
      <w:r w:rsidR="00747B9E">
        <w:rPr>
          <w:rFonts w:ascii="Garamond" w:hAnsi="Garamond"/>
        </w:rPr>
        <w:t xml:space="preserve">nternational </w:t>
      </w:r>
      <w:r w:rsidRPr="00117E13">
        <w:rPr>
          <w:rFonts w:ascii="Garamond" w:hAnsi="Garamond"/>
        </w:rPr>
        <w:t>B</w:t>
      </w:r>
      <w:r w:rsidR="00747B9E">
        <w:rPr>
          <w:rFonts w:ascii="Garamond" w:hAnsi="Garamond"/>
        </w:rPr>
        <w:t xml:space="preserve">est </w:t>
      </w:r>
      <w:r w:rsidRPr="00117E13">
        <w:rPr>
          <w:rFonts w:ascii="Garamond" w:hAnsi="Garamond"/>
        </w:rPr>
        <w:t>Tr</w:t>
      </w:r>
      <w:r w:rsidR="00747B9E">
        <w:rPr>
          <w:rFonts w:ascii="Garamond" w:hAnsi="Garamond"/>
        </w:rPr>
        <w:t xml:space="preserve">ack </w:t>
      </w:r>
      <w:r w:rsidRPr="00117E13">
        <w:rPr>
          <w:rFonts w:ascii="Garamond" w:hAnsi="Garamond"/>
        </w:rPr>
        <w:t>A</w:t>
      </w:r>
      <w:r w:rsidR="00747B9E">
        <w:rPr>
          <w:rFonts w:ascii="Garamond" w:hAnsi="Garamond"/>
        </w:rPr>
        <w:t xml:space="preserve">rchive for </w:t>
      </w:r>
      <w:r w:rsidRPr="00117E13">
        <w:rPr>
          <w:rFonts w:ascii="Garamond" w:hAnsi="Garamond"/>
        </w:rPr>
        <w:t>C</w:t>
      </w:r>
      <w:r w:rsidR="00747B9E">
        <w:rPr>
          <w:rFonts w:ascii="Garamond" w:hAnsi="Garamond"/>
        </w:rPr>
        <w:t xml:space="preserve">limate </w:t>
      </w:r>
      <w:r w:rsidRPr="00117E13">
        <w:rPr>
          <w:rFonts w:ascii="Garamond" w:hAnsi="Garamond"/>
        </w:rPr>
        <w:t>S</w:t>
      </w:r>
      <w:r w:rsidR="00747B9E">
        <w:rPr>
          <w:rFonts w:ascii="Garamond" w:hAnsi="Garamond"/>
        </w:rPr>
        <w:t>tewardship (IBTrACS)</w:t>
      </w:r>
      <w:r w:rsidR="00F61873">
        <w:rPr>
          <w:rFonts w:ascii="Garamond" w:hAnsi="Garamond"/>
        </w:rPr>
        <w:t xml:space="preserve"> dataset</w:t>
      </w:r>
      <w:r w:rsidRPr="00117E13">
        <w:rPr>
          <w:rFonts w:ascii="Garamond" w:hAnsi="Garamond"/>
        </w:rPr>
        <w:t xml:space="preserve">, </w:t>
      </w:r>
      <w:r w:rsidR="005C6543">
        <w:rPr>
          <w:rFonts w:ascii="Garamond" w:hAnsi="Garamond"/>
        </w:rPr>
        <w:t>precipitation estimates from both the Global Precipitation Measurement Mission (</w:t>
      </w:r>
      <w:r w:rsidRPr="00117E13">
        <w:rPr>
          <w:rFonts w:ascii="Garamond" w:hAnsi="Garamond"/>
        </w:rPr>
        <w:t>GPM</w:t>
      </w:r>
      <w:r w:rsidR="005C6543">
        <w:rPr>
          <w:rFonts w:ascii="Garamond" w:hAnsi="Garamond"/>
        </w:rPr>
        <w:t>)</w:t>
      </w:r>
      <w:r w:rsidRPr="00117E13">
        <w:rPr>
          <w:rFonts w:ascii="Garamond" w:hAnsi="Garamond"/>
        </w:rPr>
        <w:t xml:space="preserve"> and </w:t>
      </w:r>
      <w:r w:rsidR="005C6543">
        <w:rPr>
          <w:rFonts w:ascii="Garamond" w:hAnsi="Garamond"/>
        </w:rPr>
        <w:t>the Precipitation Estimation from Remotely Sense Information using Artificial Neural Networks Climate Data Record (</w:t>
      </w:r>
      <w:r w:rsidRPr="00117E13">
        <w:rPr>
          <w:rFonts w:ascii="Garamond" w:hAnsi="Garamond"/>
        </w:rPr>
        <w:t>PERSIANN-CDR</w:t>
      </w:r>
      <w:r w:rsidR="005C6543">
        <w:rPr>
          <w:rFonts w:ascii="Garamond" w:hAnsi="Garamond"/>
        </w:rPr>
        <w:t>)</w:t>
      </w:r>
      <w:r w:rsidRPr="00117E13">
        <w:rPr>
          <w:rFonts w:ascii="Garamond" w:hAnsi="Garamond"/>
        </w:rPr>
        <w:t>, and population demographic data</w:t>
      </w:r>
      <w:r w:rsidR="005C6543">
        <w:rPr>
          <w:rFonts w:ascii="Garamond" w:hAnsi="Garamond"/>
        </w:rPr>
        <w:t xml:space="preserve"> from the Philippines</w:t>
      </w:r>
      <w:r w:rsidRPr="00117E13">
        <w:rPr>
          <w:rFonts w:ascii="Garamond" w:hAnsi="Garamond"/>
        </w:rPr>
        <w:t xml:space="preserve">, </w:t>
      </w:r>
      <w:r w:rsidR="00A7265D">
        <w:rPr>
          <w:rFonts w:ascii="Garamond" w:hAnsi="Garamond"/>
        </w:rPr>
        <w:t xml:space="preserve">this project </w:t>
      </w:r>
      <w:r w:rsidRPr="00117E13">
        <w:rPr>
          <w:rFonts w:ascii="Garamond" w:hAnsi="Garamond"/>
        </w:rPr>
        <w:t>aim</w:t>
      </w:r>
      <w:r w:rsidR="00A108DC">
        <w:rPr>
          <w:rFonts w:ascii="Garamond" w:hAnsi="Garamond"/>
        </w:rPr>
        <w:t>ed</w:t>
      </w:r>
      <w:r w:rsidRPr="00117E13">
        <w:rPr>
          <w:rFonts w:ascii="Garamond" w:hAnsi="Garamond"/>
        </w:rPr>
        <w:t xml:space="preserve"> to determine where intense tropical cyclones are most prone to make landfall and what areas</w:t>
      </w:r>
      <w:r w:rsidR="00F61873">
        <w:rPr>
          <w:rFonts w:ascii="Garamond" w:hAnsi="Garamond"/>
        </w:rPr>
        <w:t xml:space="preserve"> and</w:t>
      </w:r>
      <w:r w:rsidR="00292C4D">
        <w:rPr>
          <w:rFonts w:ascii="Garamond" w:hAnsi="Garamond"/>
        </w:rPr>
        <w:t xml:space="preserve"> </w:t>
      </w:r>
      <w:r w:rsidRPr="00117E13">
        <w:rPr>
          <w:rFonts w:ascii="Garamond" w:hAnsi="Garamond"/>
        </w:rPr>
        <w:t xml:space="preserve">populations are most sensitive to </w:t>
      </w:r>
      <w:r w:rsidR="00F61873">
        <w:rPr>
          <w:rFonts w:ascii="Garamond" w:hAnsi="Garamond"/>
        </w:rPr>
        <w:t xml:space="preserve">cyclone </w:t>
      </w:r>
      <w:r w:rsidRPr="00117E13">
        <w:rPr>
          <w:rFonts w:ascii="Garamond" w:hAnsi="Garamond"/>
        </w:rPr>
        <w:t xml:space="preserve">events of a given strength </w:t>
      </w:r>
      <w:r w:rsidR="00F61873">
        <w:rPr>
          <w:rFonts w:ascii="Garamond" w:hAnsi="Garamond"/>
        </w:rPr>
        <w:t>based on</w:t>
      </w:r>
      <w:r w:rsidRPr="00117E13">
        <w:rPr>
          <w:rFonts w:ascii="Garamond" w:hAnsi="Garamond"/>
        </w:rPr>
        <w:t xml:space="preserve"> gender and socioeconomic status</w:t>
      </w:r>
      <w:r w:rsidR="00983698">
        <w:rPr>
          <w:rFonts w:ascii="Garamond" w:hAnsi="Garamond"/>
        </w:rPr>
        <w:t>.</w:t>
      </w:r>
      <w:r w:rsidRPr="00117E13">
        <w:rPr>
          <w:rFonts w:ascii="Garamond" w:hAnsi="Garamond"/>
        </w:rPr>
        <w:t xml:space="preserve"> These results will be used by the United Nations Office for the Coordination of Humanitarian Affairs</w:t>
      </w:r>
      <w:r w:rsidRPr="00117E13">
        <w:rPr>
          <w:rFonts w:ascii="Garamond" w:hAnsi="Garamond"/>
          <w:sz w:val="20"/>
          <w:szCs w:val="20"/>
        </w:rPr>
        <w:t xml:space="preserve"> (</w:t>
      </w:r>
      <w:r w:rsidRPr="00117E13">
        <w:rPr>
          <w:rFonts w:ascii="Garamond" w:hAnsi="Garamond"/>
        </w:rPr>
        <w:t>OCHA) to target areas of greatest need for further development in disaster response and mitigation techniques</w:t>
      </w:r>
      <w:r w:rsidR="00F67BD7">
        <w:rPr>
          <w:rFonts w:ascii="Garamond" w:hAnsi="Garamond"/>
        </w:rPr>
        <w:t>.</w:t>
      </w:r>
      <w:bookmarkStart w:id="0" w:name="_GoBack"/>
      <w:bookmarkEnd w:id="0"/>
    </w:p>
    <w:p w14:paraId="340792FF" w14:textId="77777777" w:rsidR="0088064D" w:rsidRPr="0077702C" w:rsidRDefault="0088064D" w:rsidP="004F2CFD">
      <w:pPr>
        <w:spacing w:line="240" w:lineRule="auto"/>
        <w:rPr>
          <w:rFonts w:ascii="Century Gothic" w:hAnsi="Century Gothic"/>
        </w:rPr>
      </w:pPr>
    </w:p>
    <w:p w14:paraId="219F11DC" w14:textId="77777777" w:rsidR="0088064D" w:rsidRPr="0077702C" w:rsidRDefault="0077702C" w:rsidP="004F2CFD">
      <w:pPr>
        <w:spacing w:line="240" w:lineRule="auto"/>
        <w:rPr>
          <w:rFonts w:ascii="Century Gothic" w:hAnsi="Century Gothic"/>
        </w:rPr>
      </w:pPr>
      <w:r w:rsidRPr="0077702C">
        <w:rPr>
          <w:rFonts w:ascii="Century Gothic" w:hAnsi="Century Gothic"/>
          <w:b/>
          <w:sz w:val="20"/>
          <w:szCs w:val="20"/>
        </w:rPr>
        <w:t>Keywords:</w:t>
      </w:r>
    </w:p>
    <w:p w14:paraId="6E7CFADD" w14:textId="346A8F34" w:rsidR="0088064D" w:rsidRPr="00117E13" w:rsidRDefault="00E856B0" w:rsidP="004F2CFD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T</w:t>
      </w:r>
      <w:r w:rsidR="0077702C" w:rsidRPr="00117E13">
        <w:rPr>
          <w:rFonts w:ascii="Garamond" w:hAnsi="Garamond"/>
        </w:rPr>
        <w:t xml:space="preserve">ropical </w:t>
      </w:r>
      <w:r w:rsidR="009802E8">
        <w:rPr>
          <w:rFonts w:ascii="Garamond" w:hAnsi="Garamond"/>
        </w:rPr>
        <w:t>c</w:t>
      </w:r>
      <w:r w:rsidR="0077702C" w:rsidRPr="00117E13">
        <w:rPr>
          <w:rFonts w:ascii="Garamond" w:hAnsi="Garamond"/>
        </w:rPr>
        <w:t xml:space="preserve">yclones, </w:t>
      </w:r>
      <w:r w:rsidR="009802E8">
        <w:rPr>
          <w:rFonts w:ascii="Garamond" w:hAnsi="Garamond"/>
        </w:rPr>
        <w:t>g</w:t>
      </w:r>
      <w:r w:rsidR="0077702C" w:rsidRPr="00117E13">
        <w:rPr>
          <w:rFonts w:ascii="Garamond" w:hAnsi="Garamond"/>
        </w:rPr>
        <w:t>ender</w:t>
      </w:r>
      <w:r w:rsidR="00073AB8">
        <w:rPr>
          <w:rFonts w:ascii="Garamond" w:hAnsi="Garamond"/>
        </w:rPr>
        <w:t xml:space="preserve"> </w:t>
      </w:r>
      <w:r w:rsidR="009802E8">
        <w:rPr>
          <w:rFonts w:ascii="Garamond" w:hAnsi="Garamond"/>
        </w:rPr>
        <w:t>v</w:t>
      </w:r>
      <w:r w:rsidR="00073AB8">
        <w:rPr>
          <w:rFonts w:ascii="Garamond" w:hAnsi="Garamond"/>
        </w:rPr>
        <w:t>ulnerability</w:t>
      </w:r>
      <w:r w:rsidR="0077702C" w:rsidRPr="00117E13">
        <w:rPr>
          <w:rFonts w:ascii="Garamond" w:hAnsi="Garamond"/>
        </w:rPr>
        <w:t xml:space="preserve">, </w:t>
      </w:r>
      <w:r w:rsidR="009802E8">
        <w:rPr>
          <w:rFonts w:ascii="Garamond" w:hAnsi="Garamond"/>
        </w:rPr>
        <w:t>p</w:t>
      </w:r>
      <w:r w:rsidR="0077702C" w:rsidRPr="00117E13">
        <w:rPr>
          <w:rFonts w:ascii="Garamond" w:hAnsi="Garamond"/>
        </w:rPr>
        <w:t xml:space="preserve">opulation </w:t>
      </w:r>
      <w:r w:rsidR="009802E8">
        <w:rPr>
          <w:rFonts w:ascii="Garamond" w:hAnsi="Garamond"/>
        </w:rPr>
        <w:t>a</w:t>
      </w:r>
      <w:r w:rsidR="00073AB8">
        <w:rPr>
          <w:rFonts w:ascii="Garamond" w:hAnsi="Garamond"/>
        </w:rPr>
        <w:t>nalysis</w:t>
      </w:r>
      <w:r w:rsidR="00CA3BB8">
        <w:rPr>
          <w:rFonts w:ascii="Garamond" w:hAnsi="Garamond"/>
        </w:rPr>
        <w:t xml:space="preserve">, </w:t>
      </w:r>
      <w:r w:rsidR="00A75D68">
        <w:rPr>
          <w:rFonts w:ascii="Garamond" w:hAnsi="Garamond"/>
        </w:rPr>
        <w:t xml:space="preserve">United Nations, </w:t>
      </w:r>
      <w:r w:rsidR="00CA3BB8">
        <w:rPr>
          <w:rFonts w:ascii="Garamond" w:hAnsi="Garamond"/>
        </w:rPr>
        <w:t>OCHA, IBTrACS, PERSIANN</w:t>
      </w:r>
    </w:p>
    <w:p w14:paraId="139673CB" w14:textId="77777777" w:rsidR="00895985" w:rsidRDefault="00895985" w:rsidP="004F2CFD">
      <w:pPr>
        <w:spacing w:line="240" w:lineRule="auto"/>
        <w:rPr>
          <w:rFonts w:ascii="Century Gothic" w:hAnsi="Century Gothic"/>
        </w:rPr>
      </w:pPr>
    </w:p>
    <w:p w14:paraId="5A3E08D0" w14:textId="77777777" w:rsidR="0088064D" w:rsidRPr="0077702C" w:rsidRDefault="0077702C" w:rsidP="004F2CFD">
      <w:pPr>
        <w:spacing w:line="240" w:lineRule="auto"/>
        <w:rPr>
          <w:rFonts w:ascii="Century Gothic" w:hAnsi="Century Gothic"/>
        </w:rPr>
      </w:pPr>
      <w:r w:rsidRPr="0077702C">
        <w:rPr>
          <w:rFonts w:ascii="Century Gothic" w:hAnsi="Century Gothic"/>
          <w:b/>
          <w:sz w:val="20"/>
          <w:szCs w:val="20"/>
        </w:rPr>
        <w:t>Community Concerns</w:t>
      </w:r>
    </w:p>
    <w:p w14:paraId="4A2B421B" w14:textId="6B141610" w:rsidR="00676A19" w:rsidRPr="00676A19" w:rsidRDefault="00676A19" w:rsidP="00AC112B">
      <w:pPr>
        <w:numPr>
          <w:ilvl w:val="0"/>
          <w:numId w:val="9"/>
        </w:numPr>
        <w:spacing w:line="240" w:lineRule="auto"/>
        <w:ind w:left="810"/>
        <w:contextualSpacing/>
        <w:rPr>
          <w:rFonts w:ascii="Garamond" w:hAnsi="Garamond"/>
        </w:rPr>
      </w:pPr>
      <w:r>
        <w:rPr>
          <w:rFonts w:ascii="Garamond" w:hAnsi="Garamond"/>
        </w:rPr>
        <w:t>A</w:t>
      </w:r>
      <w:r w:rsidRPr="00117E13">
        <w:rPr>
          <w:rFonts w:ascii="Garamond" w:hAnsi="Garamond"/>
        </w:rPr>
        <w:t xml:space="preserve">bout 19 tropical cyclones enter the Philippine </w:t>
      </w:r>
      <w:r>
        <w:rPr>
          <w:rFonts w:ascii="Garamond" w:hAnsi="Garamond"/>
        </w:rPr>
        <w:t>S</w:t>
      </w:r>
      <w:r w:rsidRPr="00117E13">
        <w:rPr>
          <w:rFonts w:ascii="Garamond" w:hAnsi="Garamond"/>
        </w:rPr>
        <w:t xml:space="preserve">ea each year, and an average of six </w:t>
      </w:r>
      <w:r w:rsidR="00983698">
        <w:rPr>
          <w:rFonts w:ascii="Garamond" w:hAnsi="Garamond"/>
        </w:rPr>
        <w:t>to</w:t>
      </w:r>
      <w:r w:rsidRPr="00117E13">
        <w:rPr>
          <w:rFonts w:ascii="Garamond" w:hAnsi="Garamond"/>
        </w:rPr>
        <w:t xml:space="preserve"> nine make landfall in the Philippines.</w:t>
      </w:r>
    </w:p>
    <w:p w14:paraId="18E5029C" w14:textId="5816D436" w:rsidR="0088064D" w:rsidRPr="00117E13" w:rsidRDefault="0077702C" w:rsidP="00AC112B">
      <w:pPr>
        <w:numPr>
          <w:ilvl w:val="0"/>
          <w:numId w:val="9"/>
        </w:numPr>
        <w:spacing w:line="240" w:lineRule="auto"/>
        <w:ind w:left="810"/>
        <w:contextualSpacing/>
        <w:rPr>
          <w:rFonts w:ascii="Garamond" w:hAnsi="Garamond"/>
        </w:rPr>
      </w:pPr>
      <w:r w:rsidRPr="00117E13">
        <w:rPr>
          <w:rFonts w:ascii="Garamond" w:hAnsi="Garamond"/>
        </w:rPr>
        <w:t>Cyclones are common natural hazards in the Philippines, causing extensive societal consequences</w:t>
      </w:r>
      <w:r w:rsidR="00D360AE">
        <w:rPr>
          <w:rFonts w:ascii="Garamond" w:hAnsi="Garamond"/>
        </w:rPr>
        <w:t xml:space="preserve">, </w:t>
      </w:r>
      <w:r w:rsidRPr="00117E13">
        <w:rPr>
          <w:rFonts w:ascii="Garamond" w:hAnsi="Garamond"/>
        </w:rPr>
        <w:t>such as population displacement, which can lead to serious health, social, and economic consequences.</w:t>
      </w:r>
    </w:p>
    <w:p w14:paraId="6F880CCD" w14:textId="1A754CD4" w:rsidR="0088064D" w:rsidRDefault="0077702C" w:rsidP="00AC112B">
      <w:pPr>
        <w:numPr>
          <w:ilvl w:val="0"/>
          <w:numId w:val="9"/>
        </w:numPr>
        <w:spacing w:line="240" w:lineRule="auto"/>
        <w:ind w:left="810"/>
        <w:contextualSpacing/>
        <w:rPr>
          <w:rFonts w:ascii="Garamond" w:hAnsi="Garamond"/>
        </w:rPr>
      </w:pPr>
      <w:r w:rsidRPr="00117E13">
        <w:rPr>
          <w:rFonts w:ascii="Garamond" w:hAnsi="Garamond"/>
        </w:rPr>
        <w:t>Due to the high risk of traumatic impacts, people of the Philippines seek to improve their ability to prepare for and recover from land</w:t>
      </w:r>
      <w:r w:rsidR="00117E13">
        <w:rPr>
          <w:rFonts w:ascii="Garamond" w:hAnsi="Garamond"/>
        </w:rPr>
        <w:t>-</w:t>
      </w:r>
      <w:r w:rsidRPr="00117E13">
        <w:rPr>
          <w:rFonts w:ascii="Garamond" w:hAnsi="Garamond"/>
        </w:rPr>
        <w:t>falling tropical cyclones.</w:t>
      </w:r>
    </w:p>
    <w:p w14:paraId="182626E2" w14:textId="391C9086" w:rsidR="005F6CDA" w:rsidRPr="00117E13" w:rsidRDefault="005F6CDA" w:rsidP="00AC112B">
      <w:pPr>
        <w:numPr>
          <w:ilvl w:val="0"/>
          <w:numId w:val="9"/>
        </w:numPr>
        <w:spacing w:line="240" w:lineRule="auto"/>
        <w:ind w:left="810"/>
        <w:contextualSpacing/>
        <w:rPr>
          <w:rFonts w:ascii="Garamond" w:hAnsi="Garamond"/>
        </w:rPr>
      </w:pPr>
      <w:r>
        <w:rPr>
          <w:rFonts w:ascii="Garamond" w:hAnsi="Garamond"/>
        </w:rPr>
        <w:t>The</w:t>
      </w:r>
      <w:r w:rsidRPr="00117E13">
        <w:rPr>
          <w:rFonts w:ascii="Garamond" w:hAnsi="Garamond"/>
        </w:rPr>
        <w:t xml:space="preserve"> category five tropical </w:t>
      </w:r>
      <w:r>
        <w:rPr>
          <w:rFonts w:ascii="Garamond" w:hAnsi="Garamond"/>
        </w:rPr>
        <w:t>cyclone</w:t>
      </w:r>
      <w:r w:rsidRPr="001442A4">
        <w:rPr>
          <w:rFonts w:ascii="Garamond" w:hAnsi="Garamond"/>
        </w:rPr>
        <w:t xml:space="preserve"> </w:t>
      </w:r>
      <w:r w:rsidRPr="00476A7C">
        <w:rPr>
          <w:rFonts w:ascii="Garamond" w:hAnsi="Garamond"/>
        </w:rPr>
        <w:t>Typhoon</w:t>
      </w:r>
      <w:r w:rsidRPr="0001280A">
        <w:rPr>
          <w:rStyle w:val="CommentReference"/>
          <w:rFonts w:ascii="Garamond" w:hAnsi="Garamond"/>
          <w:sz w:val="22"/>
          <w:szCs w:val="22"/>
        </w:rPr>
        <w:t xml:space="preserve"> H</w:t>
      </w:r>
      <w:r w:rsidRPr="001442A4">
        <w:rPr>
          <w:rFonts w:ascii="Garamond" w:hAnsi="Garamond"/>
        </w:rPr>
        <w:t>aiyan</w:t>
      </w:r>
      <w:r w:rsidRPr="00476A7C">
        <w:rPr>
          <w:rFonts w:ascii="Garamond" w:hAnsi="Garamond"/>
        </w:rPr>
        <w:t>/Yolanda</w:t>
      </w:r>
      <w:r w:rsidRPr="00676A19">
        <w:rPr>
          <w:rFonts w:ascii="Garamond" w:hAnsi="Garamond"/>
        </w:rPr>
        <w:t xml:space="preserve"> (November 2013</w:t>
      </w:r>
      <w:r w:rsidRPr="00117E13">
        <w:rPr>
          <w:rFonts w:ascii="Garamond" w:hAnsi="Garamond"/>
        </w:rPr>
        <w:t xml:space="preserve">) proved to be the deadliest storm to ever hit the Philippines, killing over </w:t>
      </w:r>
      <w:r>
        <w:rPr>
          <w:rFonts w:ascii="Garamond" w:hAnsi="Garamond"/>
        </w:rPr>
        <w:t>6</w:t>
      </w:r>
      <w:r w:rsidRPr="00117E13">
        <w:rPr>
          <w:rFonts w:ascii="Garamond" w:hAnsi="Garamond"/>
        </w:rPr>
        <w:t>,000 people.</w:t>
      </w:r>
    </w:p>
    <w:p w14:paraId="515FFFFE" w14:textId="21111757" w:rsidR="0088064D" w:rsidRPr="0077702C" w:rsidRDefault="0088064D" w:rsidP="004F2CFD">
      <w:pPr>
        <w:spacing w:line="240" w:lineRule="auto"/>
        <w:rPr>
          <w:rFonts w:ascii="Century Gothic" w:hAnsi="Century Gothic"/>
        </w:rPr>
      </w:pPr>
    </w:p>
    <w:p w14:paraId="2C8FE78D" w14:textId="27B93288" w:rsidR="00F413FB" w:rsidRDefault="0077702C" w:rsidP="00AE3F49">
      <w:pPr>
        <w:spacing w:line="240" w:lineRule="auto"/>
        <w:rPr>
          <w:rFonts w:ascii="Garamond" w:hAnsi="Garamond"/>
        </w:rPr>
      </w:pPr>
      <w:r w:rsidRPr="0077702C">
        <w:rPr>
          <w:rFonts w:ascii="Century Gothic" w:hAnsi="Century Gothic"/>
          <w:b/>
          <w:sz w:val="20"/>
          <w:szCs w:val="20"/>
        </w:rPr>
        <w:t>Current Management Practices &amp; Policies</w:t>
      </w:r>
      <w:r w:rsidRPr="0077702C">
        <w:rPr>
          <w:rFonts w:ascii="Century Gothic" w:hAnsi="Century Gothic"/>
          <w:sz w:val="20"/>
          <w:szCs w:val="20"/>
        </w:rPr>
        <w:t>:</w:t>
      </w:r>
    </w:p>
    <w:p w14:paraId="1B53FF1F" w14:textId="72B6415A" w:rsidR="00D45A82" w:rsidRDefault="00D45A82" w:rsidP="00D45A82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Currently, our partners utilize hazard information (e.g., </w:t>
      </w:r>
      <w:r w:rsidR="004D16C8">
        <w:rPr>
          <w:rFonts w:ascii="Garamond" w:hAnsi="Garamond"/>
        </w:rPr>
        <w:t>threat</w:t>
      </w:r>
      <w:r>
        <w:rPr>
          <w:rFonts w:ascii="Garamond" w:hAnsi="Garamond"/>
        </w:rPr>
        <w:t xml:space="preserve"> maps) generated</w:t>
      </w:r>
      <w:r w:rsidR="00153C71">
        <w:rPr>
          <w:rFonts w:ascii="Garamond" w:hAnsi="Garamond"/>
        </w:rPr>
        <w:t xml:space="preserve"> by</w:t>
      </w:r>
      <w:r>
        <w:rPr>
          <w:rFonts w:ascii="Garamond" w:hAnsi="Garamond"/>
        </w:rPr>
        <w:t xml:space="preserve"> t</w:t>
      </w:r>
      <w:r w:rsidRPr="005638A0">
        <w:rPr>
          <w:rFonts w:ascii="Garamond" w:hAnsi="Garamond"/>
        </w:rPr>
        <w:t>he Nationwide Operational Assessment of Hazards (NOAH)</w:t>
      </w:r>
      <w:r>
        <w:rPr>
          <w:rFonts w:ascii="Garamond" w:hAnsi="Garamond"/>
        </w:rPr>
        <w:t xml:space="preserve">, an organization </w:t>
      </w:r>
      <w:r w:rsidRPr="005638A0">
        <w:rPr>
          <w:rFonts w:ascii="Garamond" w:hAnsi="Garamond"/>
        </w:rPr>
        <w:t>launched in 2012 by the</w:t>
      </w:r>
      <w:r>
        <w:rPr>
          <w:rFonts w:ascii="Garamond" w:hAnsi="Garamond"/>
        </w:rPr>
        <w:t xml:space="preserve"> Filipino</w:t>
      </w:r>
      <w:r w:rsidRPr="005638A0">
        <w:rPr>
          <w:rFonts w:ascii="Garamond" w:hAnsi="Garamond"/>
        </w:rPr>
        <w:t xml:space="preserve"> Department of Science and Technology in response to President Aquino’s goal to implement a disaster prevention and mitigation program. Since its launch, the NOAH project has installed over 500 pieces of weather equipment, such as automated weather stations (AWS) and automated rain gauges (ARG).</w:t>
      </w:r>
      <w:r>
        <w:rPr>
          <w:rFonts w:ascii="Garamond" w:hAnsi="Garamond"/>
        </w:rPr>
        <w:t xml:space="preserve"> Despite these efforts, hazard management is not reaching all venerable populations. To address this issue, we are working with UN-OCHA to use additional datasets including tropical cyclone tracks, satellite derived precipitation estimates and various population statistics to focus on gender vulnerability.</w:t>
      </w:r>
    </w:p>
    <w:p w14:paraId="03CBBD0F" w14:textId="77777777" w:rsidR="00AE3F49" w:rsidRPr="00AE3F49" w:rsidRDefault="00AE3F49" w:rsidP="00AE3F49">
      <w:pPr>
        <w:spacing w:line="240" w:lineRule="auto"/>
        <w:rPr>
          <w:rFonts w:ascii="Garamond" w:hAnsi="Garamond"/>
        </w:rPr>
      </w:pPr>
    </w:p>
    <w:p w14:paraId="3A20A90A" w14:textId="06D461A7" w:rsidR="0088064D" w:rsidRDefault="0077702C">
      <w:pPr>
        <w:rPr>
          <w:rFonts w:ascii="Century Gothic" w:hAnsi="Century Gothic"/>
          <w:sz w:val="16"/>
          <w:szCs w:val="16"/>
        </w:rPr>
      </w:pPr>
      <w:r w:rsidRPr="0077702C">
        <w:rPr>
          <w:rFonts w:ascii="Century Gothic" w:hAnsi="Century Gothic"/>
          <w:b/>
          <w:sz w:val="20"/>
          <w:szCs w:val="20"/>
        </w:rPr>
        <w:t>Decision Support Tools &amp; Benefits: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340"/>
        <w:gridCol w:w="2511"/>
        <w:gridCol w:w="1225"/>
      </w:tblGrid>
      <w:tr w:rsidR="003B6196" w:rsidRPr="00874847" w14:paraId="042306CA" w14:textId="77777777" w:rsidTr="00BC0100">
        <w:tc>
          <w:tcPr>
            <w:tcW w:w="2340" w:type="dxa"/>
            <w:shd w:val="clear" w:color="auto" w:fill="31849B" w:themeFill="accent5" w:themeFillShade="BF"/>
          </w:tcPr>
          <w:p w14:paraId="56F0D8AE" w14:textId="77777777" w:rsidR="003B6196" w:rsidRPr="000E7559" w:rsidRDefault="003B6196" w:rsidP="0001280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340" w:type="dxa"/>
            <w:shd w:val="clear" w:color="auto" w:fill="31849B" w:themeFill="accent5" w:themeFillShade="BF"/>
          </w:tcPr>
          <w:p w14:paraId="70B576A8" w14:textId="77777777" w:rsidR="003B6196" w:rsidRPr="000E7559" w:rsidRDefault="003B6196" w:rsidP="0001280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511" w:type="dxa"/>
            <w:shd w:val="clear" w:color="auto" w:fill="31849B" w:themeFill="accent5" w:themeFillShade="BF"/>
          </w:tcPr>
          <w:p w14:paraId="7C95F700" w14:textId="77777777" w:rsidR="003B6196" w:rsidRPr="000E7559" w:rsidRDefault="003B6196" w:rsidP="0001280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  <w:tc>
          <w:tcPr>
            <w:tcW w:w="1225" w:type="dxa"/>
            <w:shd w:val="clear" w:color="auto" w:fill="31849B" w:themeFill="accent5" w:themeFillShade="BF"/>
          </w:tcPr>
          <w:p w14:paraId="2031B177" w14:textId="77777777" w:rsidR="003B6196" w:rsidRPr="00874847" w:rsidRDefault="003B6196" w:rsidP="0001280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Software </w:t>
            </w:r>
          </w:p>
          <w:p w14:paraId="2D71DC74" w14:textId="77777777" w:rsidR="003B6196" w:rsidRPr="00874847" w:rsidRDefault="003B6196" w:rsidP="0001280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Release</w:t>
            </w:r>
          </w:p>
        </w:tc>
      </w:tr>
      <w:tr w:rsidR="003B6196" w:rsidRPr="008806D2" w14:paraId="6832C100" w14:textId="77777777" w:rsidTr="003B6196">
        <w:tc>
          <w:tcPr>
            <w:tcW w:w="2340" w:type="dxa"/>
          </w:tcPr>
          <w:p w14:paraId="4EC83325" w14:textId="7F3534A1" w:rsidR="003B6196" w:rsidRPr="008806D2" w:rsidRDefault="003B6196" w:rsidP="0001280A">
            <w:pPr>
              <w:rPr>
                <w:rFonts w:ascii="Garamond" w:hAnsi="Garamond"/>
              </w:rPr>
            </w:pPr>
            <w:r w:rsidRPr="003B6196">
              <w:rPr>
                <w:rFonts w:ascii="Garamond" w:hAnsi="Garamond"/>
              </w:rPr>
              <w:t>Philippines Cyclone Climatology Maps &amp; Figures</w:t>
            </w:r>
          </w:p>
        </w:tc>
        <w:tc>
          <w:tcPr>
            <w:tcW w:w="2340" w:type="dxa"/>
          </w:tcPr>
          <w:p w14:paraId="715F0262" w14:textId="0AC5AB4A" w:rsidR="003B6196" w:rsidRPr="008806D2" w:rsidRDefault="003B6196" w:rsidP="0001280A">
            <w:pPr>
              <w:rPr>
                <w:rFonts w:ascii="Garamond" w:hAnsi="Garamond"/>
              </w:rPr>
            </w:pPr>
            <w:r w:rsidRPr="003B6196">
              <w:rPr>
                <w:rFonts w:ascii="Garamond" w:hAnsi="Garamond"/>
              </w:rPr>
              <w:t>IBTrACS archived tropical cyclone data/tracks, precipitation from PERSIANN-CDR, GPM</w:t>
            </w:r>
          </w:p>
        </w:tc>
        <w:tc>
          <w:tcPr>
            <w:tcW w:w="2511" w:type="dxa"/>
          </w:tcPr>
          <w:p w14:paraId="64EB51AD" w14:textId="00631DE7" w:rsidR="003B6196" w:rsidRPr="008806D2" w:rsidRDefault="003B6196" w:rsidP="0001280A">
            <w:pPr>
              <w:rPr>
                <w:rFonts w:ascii="Garamond" w:hAnsi="Garamond"/>
              </w:rPr>
            </w:pPr>
            <w:r w:rsidRPr="003B6196">
              <w:rPr>
                <w:rFonts w:ascii="Garamond" w:hAnsi="Garamond"/>
              </w:rPr>
              <w:t>Climatology maps &amp; figures will be used by UN-OCHA to better understand typical cyclone tracks, intensity, and impacts</w:t>
            </w:r>
          </w:p>
        </w:tc>
        <w:tc>
          <w:tcPr>
            <w:tcW w:w="1225" w:type="dxa"/>
          </w:tcPr>
          <w:p w14:paraId="3D43AC38" w14:textId="1CB2F9C5" w:rsidR="003B6196" w:rsidRPr="008806D2" w:rsidRDefault="003B6196" w:rsidP="0001280A">
            <w:pPr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N/A</w:t>
            </w:r>
          </w:p>
        </w:tc>
      </w:tr>
      <w:tr w:rsidR="003B6196" w:rsidRPr="008806D2" w14:paraId="4C589F01" w14:textId="77777777" w:rsidTr="003B6196">
        <w:tc>
          <w:tcPr>
            <w:tcW w:w="2340" w:type="dxa"/>
          </w:tcPr>
          <w:p w14:paraId="7E2302F9" w14:textId="1924B397" w:rsidR="003B6196" w:rsidRPr="008806D2" w:rsidRDefault="003B6196" w:rsidP="0001280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Cyclone </w:t>
            </w:r>
            <w:r w:rsidRPr="003B6196">
              <w:rPr>
                <w:rFonts w:ascii="Garamond" w:hAnsi="Garamond"/>
              </w:rPr>
              <w:t>Hazards</w:t>
            </w:r>
            <w:r w:rsidR="00607B26">
              <w:rPr>
                <w:rFonts w:ascii="Garamond" w:hAnsi="Garamond"/>
              </w:rPr>
              <w:t xml:space="preserve"> and</w:t>
            </w:r>
            <w:r w:rsidRPr="003B6196">
              <w:rPr>
                <w:rFonts w:ascii="Garamond" w:hAnsi="Garamond"/>
              </w:rPr>
              <w:t xml:space="preserve"> Vulnerabilities Map</w:t>
            </w:r>
          </w:p>
        </w:tc>
        <w:tc>
          <w:tcPr>
            <w:tcW w:w="2340" w:type="dxa"/>
          </w:tcPr>
          <w:p w14:paraId="203612D4" w14:textId="0EFFEA21" w:rsidR="003B6196" w:rsidRPr="008806D2" w:rsidRDefault="003B6196" w:rsidP="0001280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Satellite Radar Topography Mission SRTM</w:t>
            </w:r>
          </w:p>
        </w:tc>
        <w:tc>
          <w:tcPr>
            <w:tcW w:w="2511" w:type="dxa"/>
          </w:tcPr>
          <w:p w14:paraId="557D18F8" w14:textId="1CAD66BB" w:rsidR="003B6196" w:rsidRPr="008806D2" w:rsidRDefault="00F64ED9" w:rsidP="0001280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Vulnerability map used in decision making regarding the allocation of emergency management resources</w:t>
            </w:r>
          </w:p>
        </w:tc>
        <w:tc>
          <w:tcPr>
            <w:tcW w:w="1225" w:type="dxa"/>
          </w:tcPr>
          <w:p w14:paraId="3B33C6A6" w14:textId="0EA8F365" w:rsidR="003B6196" w:rsidRPr="008806D2" w:rsidRDefault="003B6196" w:rsidP="0001280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</w:tbl>
    <w:p w14:paraId="14853FE4" w14:textId="77777777" w:rsidR="003B6196" w:rsidRPr="00887309" w:rsidRDefault="003B6196" w:rsidP="00073AB8">
      <w:pPr>
        <w:rPr>
          <w:rFonts w:ascii="Century Gothic" w:hAnsi="Century Gothic"/>
        </w:rPr>
      </w:pPr>
    </w:p>
    <w:sectPr w:rsidR="003B6196" w:rsidRPr="00887309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8BE45" w14:textId="77777777" w:rsidR="008E33D3" w:rsidRDefault="008E33D3" w:rsidP="005638A0">
      <w:pPr>
        <w:spacing w:line="240" w:lineRule="auto"/>
      </w:pPr>
      <w:r>
        <w:separator/>
      </w:r>
    </w:p>
  </w:endnote>
  <w:endnote w:type="continuationSeparator" w:id="0">
    <w:p w14:paraId="7FC12B9E" w14:textId="77777777" w:rsidR="008E33D3" w:rsidRDefault="008E33D3" w:rsidP="00563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BDC72" w14:textId="77777777" w:rsidR="005638A0" w:rsidRDefault="005638A0" w:rsidP="00AC112B">
    <w:pPr>
      <w:pStyle w:val="Footer"/>
      <w:spacing w:after="200"/>
      <w:jc w:val="center"/>
    </w:pPr>
    <w:r>
      <w:rPr>
        <w:noProof/>
      </w:rPr>
      <w:drawing>
        <wp:inline distT="0" distB="0" distL="0" distR="0" wp14:anchorId="24A4FB7B" wp14:editId="6850689C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D9042" w14:textId="77777777" w:rsidR="008E33D3" w:rsidRDefault="008E33D3" w:rsidP="005638A0">
      <w:pPr>
        <w:spacing w:line="240" w:lineRule="auto"/>
      </w:pPr>
      <w:r>
        <w:separator/>
      </w:r>
    </w:p>
  </w:footnote>
  <w:footnote w:type="continuationSeparator" w:id="0">
    <w:p w14:paraId="6A82FBCE" w14:textId="77777777" w:rsidR="008E33D3" w:rsidRDefault="008E33D3" w:rsidP="005638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581"/>
    <w:multiLevelType w:val="multilevel"/>
    <w:tmpl w:val="B02405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649614E"/>
    <w:multiLevelType w:val="multilevel"/>
    <w:tmpl w:val="8AAA02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A620C70"/>
    <w:multiLevelType w:val="multilevel"/>
    <w:tmpl w:val="A9745CB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4FB1B9D"/>
    <w:multiLevelType w:val="multilevel"/>
    <w:tmpl w:val="21B437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D304C26"/>
    <w:multiLevelType w:val="hybridMultilevel"/>
    <w:tmpl w:val="26E2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821AE"/>
    <w:multiLevelType w:val="multilevel"/>
    <w:tmpl w:val="6DA83E8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7DD091E"/>
    <w:multiLevelType w:val="multilevel"/>
    <w:tmpl w:val="E61A21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79185061"/>
    <w:multiLevelType w:val="hybridMultilevel"/>
    <w:tmpl w:val="CA269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D22118"/>
    <w:multiLevelType w:val="multilevel"/>
    <w:tmpl w:val="849CBF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4D"/>
    <w:rsid w:val="000146C5"/>
    <w:rsid w:val="00034B6B"/>
    <w:rsid w:val="000523E7"/>
    <w:rsid w:val="00067538"/>
    <w:rsid w:val="00073AB8"/>
    <w:rsid w:val="00117E13"/>
    <w:rsid w:val="001442A4"/>
    <w:rsid w:val="00153C71"/>
    <w:rsid w:val="00157FB7"/>
    <w:rsid w:val="00171ED9"/>
    <w:rsid w:val="001833EE"/>
    <w:rsid w:val="001C0503"/>
    <w:rsid w:val="001D3165"/>
    <w:rsid w:val="001D653C"/>
    <w:rsid w:val="00241E28"/>
    <w:rsid w:val="00254DD3"/>
    <w:rsid w:val="00292C4D"/>
    <w:rsid w:val="002B4ACC"/>
    <w:rsid w:val="002D3BCA"/>
    <w:rsid w:val="00305BC4"/>
    <w:rsid w:val="0032379D"/>
    <w:rsid w:val="00335D2C"/>
    <w:rsid w:val="003A0954"/>
    <w:rsid w:val="003A65A1"/>
    <w:rsid w:val="003B6196"/>
    <w:rsid w:val="003C76E3"/>
    <w:rsid w:val="00411BA0"/>
    <w:rsid w:val="00416E1B"/>
    <w:rsid w:val="004325FD"/>
    <w:rsid w:val="00453DD1"/>
    <w:rsid w:val="00476A7C"/>
    <w:rsid w:val="00476C6A"/>
    <w:rsid w:val="004B2BD6"/>
    <w:rsid w:val="004D16C8"/>
    <w:rsid w:val="004E04A9"/>
    <w:rsid w:val="004E3071"/>
    <w:rsid w:val="004F2CFD"/>
    <w:rsid w:val="004F475C"/>
    <w:rsid w:val="005638A0"/>
    <w:rsid w:val="005919A5"/>
    <w:rsid w:val="005C60A6"/>
    <w:rsid w:val="005C6543"/>
    <w:rsid w:val="005E6BD7"/>
    <w:rsid w:val="005F6CDA"/>
    <w:rsid w:val="00607B26"/>
    <w:rsid w:val="00673B89"/>
    <w:rsid w:val="00673E32"/>
    <w:rsid w:val="00676A19"/>
    <w:rsid w:val="006826F3"/>
    <w:rsid w:val="006870AF"/>
    <w:rsid w:val="00690683"/>
    <w:rsid w:val="00694DA6"/>
    <w:rsid w:val="006A1B58"/>
    <w:rsid w:val="006B45B5"/>
    <w:rsid w:val="006B7A4B"/>
    <w:rsid w:val="006F660B"/>
    <w:rsid w:val="006F757C"/>
    <w:rsid w:val="00726175"/>
    <w:rsid w:val="00741F8E"/>
    <w:rsid w:val="00747B9E"/>
    <w:rsid w:val="0075599C"/>
    <w:rsid w:val="0077702C"/>
    <w:rsid w:val="00780920"/>
    <w:rsid w:val="00805783"/>
    <w:rsid w:val="00825D20"/>
    <w:rsid w:val="00880623"/>
    <w:rsid w:val="0088064D"/>
    <w:rsid w:val="00887309"/>
    <w:rsid w:val="008932E4"/>
    <w:rsid w:val="00895985"/>
    <w:rsid w:val="008E33D3"/>
    <w:rsid w:val="008E419B"/>
    <w:rsid w:val="00907C11"/>
    <w:rsid w:val="00933D6F"/>
    <w:rsid w:val="0094378A"/>
    <w:rsid w:val="00946CA7"/>
    <w:rsid w:val="0095379D"/>
    <w:rsid w:val="009802E8"/>
    <w:rsid w:val="00983698"/>
    <w:rsid w:val="00990D66"/>
    <w:rsid w:val="009D36D9"/>
    <w:rsid w:val="009E10FD"/>
    <w:rsid w:val="009E6C78"/>
    <w:rsid w:val="00A108DC"/>
    <w:rsid w:val="00A11FB4"/>
    <w:rsid w:val="00A164E4"/>
    <w:rsid w:val="00A55930"/>
    <w:rsid w:val="00A7265D"/>
    <w:rsid w:val="00A75D68"/>
    <w:rsid w:val="00A82F62"/>
    <w:rsid w:val="00AC112B"/>
    <w:rsid w:val="00AD6FD7"/>
    <w:rsid w:val="00AE3F49"/>
    <w:rsid w:val="00B02D96"/>
    <w:rsid w:val="00B02E89"/>
    <w:rsid w:val="00B20A67"/>
    <w:rsid w:val="00B81F05"/>
    <w:rsid w:val="00BA4A26"/>
    <w:rsid w:val="00BA6E1F"/>
    <w:rsid w:val="00BC0100"/>
    <w:rsid w:val="00BE6A9D"/>
    <w:rsid w:val="00C25F09"/>
    <w:rsid w:val="00CA3BB8"/>
    <w:rsid w:val="00CE4C92"/>
    <w:rsid w:val="00D27F97"/>
    <w:rsid w:val="00D360AE"/>
    <w:rsid w:val="00D45A82"/>
    <w:rsid w:val="00D547A9"/>
    <w:rsid w:val="00DA5FC3"/>
    <w:rsid w:val="00DB0DDB"/>
    <w:rsid w:val="00E21DC4"/>
    <w:rsid w:val="00E5122B"/>
    <w:rsid w:val="00E65CE7"/>
    <w:rsid w:val="00E82A90"/>
    <w:rsid w:val="00E856B0"/>
    <w:rsid w:val="00EC2E44"/>
    <w:rsid w:val="00EE2849"/>
    <w:rsid w:val="00EE5029"/>
    <w:rsid w:val="00EF2F56"/>
    <w:rsid w:val="00EF7DA1"/>
    <w:rsid w:val="00F03B62"/>
    <w:rsid w:val="00F413FB"/>
    <w:rsid w:val="00F61873"/>
    <w:rsid w:val="00F64ED9"/>
    <w:rsid w:val="00F67BD7"/>
    <w:rsid w:val="00F77E71"/>
    <w:rsid w:val="00FE1E11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FE903"/>
  <w15:docId w15:val="{A549C0D4-95CA-475C-AC3C-3833928B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0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38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8A0"/>
  </w:style>
  <w:style w:type="paragraph" w:styleId="Footer">
    <w:name w:val="footer"/>
    <w:basedOn w:val="Normal"/>
    <w:link w:val="FooterChar"/>
    <w:uiPriority w:val="99"/>
    <w:unhideWhenUsed/>
    <w:rsid w:val="005638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8A0"/>
  </w:style>
  <w:style w:type="paragraph" w:styleId="ListParagraph">
    <w:name w:val="List Paragraph"/>
    <w:basedOn w:val="Normal"/>
    <w:uiPriority w:val="34"/>
    <w:qFormat/>
    <w:rsid w:val="0088730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0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3B89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73B89"/>
    <w:pPr>
      <w:spacing w:line="240" w:lineRule="auto"/>
    </w:pPr>
    <w:rPr>
      <w:rFonts w:ascii="Century Gothic" w:eastAsia="Century Gothic" w:hAnsi="Century Gothic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73B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4E13B-072D-43A2-81AD-FFAFE907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Daniel</dc:creator>
  <cp:lastModifiedBy>Miller, Tiffani N. (LARC-E3)[SSAI DEVELOP]</cp:lastModifiedBy>
  <cp:revision>10</cp:revision>
  <dcterms:created xsi:type="dcterms:W3CDTF">2017-03-08T16:05:00Z</dcterms:created>
  <dcterms:modified xsi:type="dcterms:W3CDTF">2017-03-15T19:45:00Z</dcterms:modified>
</cp:coreProperties>
</file>