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00814A39"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840C7E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F511D">
        <w:rPr>
          <w:rFonts w:ascii="Century Gothic" w:hAnsi="Century Gothic" w:cs="Arial"/>
          <w:sz w:val="24"/>
        </w:rPr>
        <w:t xml:space="preserve">NOAA </w:t>
      </w:r>
      <w:r w:rsidR="00B22E71">
        <w:rPr>
          <w:rFonts w:ascii="Century Gothic" w:hAnsi="Century Gothic" w:cs="Arial"/>
          <w:sz w:val="24"/>
        </w:rPr>
        <w:t>National Center</w:t>
      </w:r>
      <w:r w:rsidR="000F511D">
        <w:rPr>
          <w:rFonts w:ascii="Century Gothic" w:hAnsi="Century Gothic" w:cs="Arial"/>
          <w:sz w:val="24"/>
        </w:rPr>
        <w:t>s for Environmental Information</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047BCF6"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22E71">
        <w:rPr>
          <w:rFonts w:ascii="Century Gothic" w:hAnsi="Century Gothic" w:cs="Arial"/>
          <w:b/>
          <w:sz w:val="24"/>
        </w:rPr>
        <w:t>Southwest United States Disasters</w:t>
      </w:r>
    </w:p>
    <w:p w14:paraId="38FB8E53" w14:textId="41BFA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5C9">
        <w:rPr>
          <w:rFonts w:ascii="Century Gothic" w:hAnsi="Century Gothic" w:cs="Arial"/>
        </w:rPr>
        <w:t xml:space="preserve">Incorporating CDRs and </w:t>
      </w:r>
      <w:r w:rsidR="0032012D">
        <w:rPr>
          <w:rFonts w:ascii="Century Gothic" w:hAnsi="Century Gothic" w:cs="Arial"/>
        </w:rPr>
        <w:t>MODIS</w:t>
      </w:r>
      <w:r w:rsidR="006425C9">
        <w:rPr>
          <w:rFonts w:ascii="Century Gothic" w:hAnsi="Century Gothic" w:cs="Arial"/>
        </w:rPr>
        <w:t xml:space="preserve"> to Create a Predictive Model of Post-Burnout </w:t>
      </w:r>
      <w:r w:rsidR="004D4B23">
        <w:rPr>
          <w:rFonts w:ascii="Century Gothic" w:hAnsi="Century Gothic" w:cs="Arial"/>
        </w:rPr>
        <w:t xml:space="preserve">Vegetation Regrowth in Relation to </w:t>
      </w:r>
      <w:r w:rsidR="006425C9">
        <w:rPr>
          <w:rFonts w:ascii="Century Gothic" w:hAnsi="Century Gothic" w:cs="Arial"/>
        </w:rPr>
        <w:t>Flood Risk</w:t>
      </w:r>
    </w:p>
    <w:p w14:paraId="258FD607" w14:textId="3272909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45827">
        <w:rPr>
          <w:rFonts w:ascii="Century Gothic" w:hAnsi="Century Gothic" w:cs="Arial"/>
        </w:rPr>
        <w:t>Remote Sensing to</w:t>
      </w:r>
      <w:r w:rsidR="00980330">
        <w:rPr>
          <w:rFonts w:ascii="Century Gothic" w:hAnsi="Century Gothic" w:cs="Arial"/>
        </w:rPr>
        <w:t xml:space="preserve"> Enhance Modeling of Post-Burnout </w:t>
      </w:r>
      <w:r w:rsidR="00345827">
        <w:rPr>
          <w:rFonts w:ascii="Century Gothic" w:hAnsi="Century Gothic" w:cs="Arial"/>
        </w:rPr>
        <w:t xml:space="preserve">Runoff </w:t>
      </w:r>
      <w:r w:rsidR="00980330">
        <w:rPr>
          <w:rFonts w:ascii="Century Gothic" w:hAnsi="Century Gothic" w:cs="Arial"/>
        </w:rPr>
        <w:t>Risk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0D56D0F" w:rsidR="00E507D0"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xml:space="preserve">, </w:t>
      </w:r>
      <w:hyperlink r:id="rId9" w:history="1">
        <w:r w:rsidR="00A1412C" w:rsidRPr="00C3659B">
          <w:rPr>
            <w:rStyle w:val="Hyperlink"/>
            <w:rFonts w:ascii="Century Gothic" w:hAnsi="Century Gothic" w:cs="Arial"/>
            <w:sz w:val="20"/>
            <w:szCs w:val="20"/>
          </w:rPr>
          <w:t>jason.zylberman@noaa.gov</w:t>
        </w:r>
      </w:hyperlink>
      <w:r w:rsidR="00A1412C">
        <w:rPr>
          <w:rFonts w:ascii="Century Gothic" w:hAnsi="Century Gothic" w:cs="Arial"/>
          <w:sz w:val="20"/>
          <w:szCs w:val="20"/>
        </w:rPr>
        <w:t xml:space="preserve"> </w:t>
      </w:r>
    </w:p>
    <w:p w14:paraId="7D964878" w14:textId="07036FA2"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Jennifer Holder</w:t>
      </w:r>
    </w:p>
    <w:p w14:paraId="00C7AB4E" w14:textId="29DE5858" w:rsidR="000537AC"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Lance Watkins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8DEBC5A" w:rsidR="002E4378"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DeWayne Cecil</w:t>
      </w:r>
      <w:r w:rsidR="00F261BD" w:rsidRPr="00D579FC">
        <w:rPr>
          <w:rFonts w:ascii="Century Gothic" w:hAnsi="Century Gothic" w:cs="Arial"/>
          <w:sz w:val="20"/>
          <w:szCs w:val="20"/>
        </w:rPr>
        <w:t xml:space="preserve"> (</w:t>
      </w:r>
      <w:r>
        <w:rPr>
          <w:rFonts w:ascii="Century Gothic" w:hAnsi="Century Gothic" w:cs="Arial"/>
          <w:sz w:val="20"/>
          <w:szCs w:val="20"/>
        </w:rPr>
        <w:t xml:space="preserve">Global Science &amp; Technology </w:t>
      </w:r>
      <w:r w:rsidR="000F511D">
        <w:rPr>
          <w:rFonts w:ascii="Century Gothic" w:hAnsi="Century Gothic" w:cs="Arial"/>
          <w:sz w:val="20"/>
          <w:szCs w:val="20"/>
        </w:rPr>
        <w:t>[</w:t>
      </w:r>
      <w:r>
        <w:rPr>
          <w:rFonts w:ascii="Century Gothic" w:hAnsi="Century Gothic" w:cs="Arial"/>
          <w:sz w:val="20"/>
          <w:szCs w:val="20"/>
        </w:rPr>
        <w:t>GST</w:t>
      </w:r>
      <w:r w:rsidR="000F511D">
        <w:rPr>
          <w:rFonts w:ascii="Century Gothic" w:hAnsi="Century Gothic" w:cs="Arial"/>
          <w:sz w:val="20"/>
          <w:szCs w:val="20"/>
        </w:rPr>
        <w:t>]</w:t>
      </w:r>
      <w:r>
        <w:rPr>
          <w:rFonts w:ascii="Century Gothic" w:hAnsi="Century Gothic" w:cs="Arial"/>
          <w:sz w:val="20"/>
          <w:szCs w:val="20"/>
        </w:rPr>
        <w:t xml:space="preserve"> National Centers for Environmental Information </w:t>
      </w:r>
      <w:r w:rsidR="000F511D">
        <w:rPr>
          <w:rFonts w:ascii="Century Gothic" w:hAnsi="Century Gothic" w:cs="Arial"/>
          <w:sz w:val="20"/>
          <w:szCs w:val="20"/>
        </w:rPr>
        <w:t>[</w:t>
      </w:r>
      <w:r>
        <w:rPr>
          <w:rFonts w:ascii="Century Gothic" w:hAnsi="Century Gothic" w:cs="Arial"/>
          <w:sz w:val="20"/>
          <w:szCs w:val="20"/>
        </w:rPr>
        <w:t>NCEI</w:t>
      </w:r>
      <w:r w:rsidR="000F511D">
        <w:rPr>
          <w:rFonts w:ascii="Century Gothic" w:hAnsi="Century Gothic" w:cs="Arial"/>
          <w:sz w:val="20"/>
          <w:szCs w:val="20"/>
        </w:rPr>
        <w:t>]</w:t>
      </w:r>
      <w:r>
        <w:rPr>
          <w:rFonts w:ascii="Century Gothic" w:hAnsi="Century Gothic" w:cs="Arial"/>
          <w:sz w:val="20"/>
          <w:szCs w:val="20"/>
        </w:rPr>
        <w:t>)</w:t>
      </w:r>
    </w:p>
    <w:p w14:paraId="1443C078" w14:textId="344DD9F3"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Gregg </w:t>
      </w:r>
      <w:proofErr w:type="spellStart"/>
      <w:r>
        <w:rPr>
          <w:rFonts w:ascii="Century Gothic" w:hAnsi="Century Gothic" w:cs="Arial"/>
          <w:sz w:val="20"/>
          <w:szCs w:val="20"/>
        </w:rPr>
        <w:t>Garfin</w:t>
      </w:r>
      <w:proofErr w:type="spellEnd"/>
      <w:r>
        <w:rPr>
          <w:rFonts w:ascii="Century Gothic" w:hAnsi="Century Gothic" w:cs="Arial"/>
          <w:sz w:val="20"/>
          <w:szCs w:val="20"/>
        </w:rPr>
        <w:t xml:space="preserve"> (Climate Assessment for the Southwest </w:t>
      </w:r>
      <w:r w:rsidR="000F511D">
        <w:rPr>
          <w:rFonts w:ascii="Century Gothic" w:hAnsi="Century Gothic" w:cs="Arial"/>
          <w:sz w:val="20"/>
          <w:szCs w:val="20"/>
        </w:rPr>
        <w:t>[</w:t>
      </w:r>
      <w:r>
        <w:rPr>
          <w:rFonts w:ascii="Century Gothic" w:hAnsi="Century Gothic" w:cs="Arial"/>
          <w:sz w:val="20"/>
          <w:szCs w:val="20"/>
        </w:rPr>
        <w:t>CLIMAS</w:t>
      </w:r>
      <w:r w:rsidR="000F511D">
        <w:rPr>
          <w:rFonts w:ascii="Century Gothic" w:hAnsi="Century Gothic" w:cs="Arial"/>
          <w:sz w:val="20"/>
          <w:szCs w:val="20"/>
        </w:rPr>
        <w:t>]</w:t>
      </w:r>
      <w:r>
        <w:rPr>
          <w:rFonts w:ascii="Century Gothic" w:hAnsi="Century Gothic" w:cs="Arial"/>
          <w:sz w:val="20"/>
          <w:szCs w:val="20"/>
        </w:rPr>
        <w:t>)</w:t>
      </w:r>
    </w:p>
    <w:p w14:paraId="6859F4F3" w14:textId="77777777" w:rsidR="0036234F" w:rsidRDefault="000537AC" w:rsidP="00D579FC">
      <w:pPr>
        <w:spacing w:after="0" w:line="240" w:lineRule="auto"/>
        <w:rPr>
          <w:rFonts w:ascii="Century Gothic" w:hAnsi="Century Gothic" w:cs="Arial"/>
          <w:sz w:val="20"/>
          <w:szCs w:val="20"/>
        </w:rPr>
      </w:pPr>
      <w:r>
        <w:rPr>
          <w:rFonts w:ascii="Century Gothic" w:hAnsi="Century Gothic" w:cs="Arial"/>
          <w:sz w:val="20"/>
          <w:szCs w:val="20"/>
        </w:rPr>
        <w:t xml:space="preserve">Tim Brown (Western Regional Climate Center </w:t>
      </w:r>
      <w:r w:rsidR="000F511D">
        <w:rPr>
          <w:rFonts w:ascii="Century Gothic" w:hAnsi="Century Gothic" w:cs="Arial"/>
          <w:sz w:val="20"/>
          <w:szCs w:val="20"/>
        </w:rPr>
        <w:t>[</w:t>
      </w:r>
      <w:r>
        <w:rPr>
          <w:rFonts w:ascii="Century Gothic" w:hAnsi="Century Gothic" w:cs="Arial"/>
          <w:sz w:val="20"/>
          <w:szCs w:val="20"/>
        </w:rPr>
        <w:t>WRCC</w:t>
      </w:r>
      <w:r w:rsidR="000F511D">
        <w:rPr>
          <w:rFonts w:ascii="Century Gothic" w:hAnsi="Century Gothic" w:cs="Arial"/>
          <w:sz w:val="20"/>
          <w:szCs w:val="20"/>
        </w:rPr>
        <w:t>]</w:t>
      </w:r>
      <w:r>
        <w:rPr>
          <w:rFonts w:ascii="Century Gothic" w:hAnsi="Century Gothic" w:cs="Arial"/>
          <w:sz w:val="20"/>
          <w:szCs w:val="20"/>
        </w:rPr>
        <w:t>)</w:t>
      </w:r>
    </w:p>
    <w:p w14:paraId="66A59A07" w14:textId="5E170EED" w:rsidR="0036234F" w:rsidRDefault="0036234F" w:rsidP="00D579FC">
      <w:pPr>
        <w:spacing w:after="0" w:line="240" w:lineRule="auto"/>
        <w:rPr>
          <w:rFonts w:ascii="Century Gothic" w:hAnsi="Century Gothic" w:cs="Arial"/>
          <w:sz w:val="20"/>
          <w:szCs w:val="20"/>
        </w:rPr>
      </w:pPr>
      <w:r>
        <w:rPr>
          <w:rFonts w:ascii="Century Gothic" w:hAnsi="Century Gothic" w:cs="Arial"/>
          <w:sz w:val="20"/>
          <w:szCs w:val="20"/>
        </w:rPr>
        <w:t xml:space="preserve">Michael </w:t>
      </w:r>
      <w:proofErr w:type="spellStart"/>
      <w:r>
        <w:rPr>
          <w:rFonts w:ascii="Century Gothic" w:hAnsi="Century Gothic" w:cs="Arial"/>
          <w:sz w:val="20"/>
          <w:szCs w:val="20"/>
        </w:rPr>
        <w:t>Schaffner</w:t>
      </w:r>
      <w:proofErr w:type="spellEnd"/>
      <w:r>
        <w:rPr>
          <w:rFonts w:ascii="Century Gothic" w:hAnsi="Century Gothic" w:cs="Arial"/>
          <w:sz w:val="20"/>
          <w:szCs w:val="20"/>
        </w:rPr>
        <w:t xml:space="preserve"> (NWS Salt Lake City)</w:t>
      </w:r>
    </w:p>
    <w:p w14:paraId="6A42605B" w14:textId="77777777" w:rsidR="000F511D" w:rsidRDefault="000F511D"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78BC1F3" w14:textId="2F99BBEE"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Climate Assessment for the Southwest (CLIMAS), </w:t>
      </w:r>
      <w:r w:rsidR="00140DAD">
        <w:rPr>
          <w:rFonts w:ascii="Century Gothic" w:hAnsi="Century Gothic" w:cs="Arial"/>
          <w:sz w:val="20"/>
          <w:szCs w:val="20"/>
        </w:rPr>
        <w:t>Collaborator</w:t>
      </w:r>
      <w:r>
        <w:rPr>
          <w:rFonts w:ascii="Century Gothic" w:hAnsi="Century Gothic" w:cs="Arial"/>
          <w:sz w:val="20"/>
          <w:szCs w:val="20"/>
        </w:rPr>
        <w:t xml:space="preserve">, POC: Gregg </w:t>
      </w:r>
      <w:proofErr w:type="spellStart"/>
      <w:r>
        <w:rPr>
          <w:rFonts w:ascii="Century Gothic" w:hAnsi="Century Gothic" w:cs="Arial"/>
          <w:sz w:val="20"/>
          <w:szCs w:val="20"/>
        </w:rPr>
        <w:t>Garfin</w:t>
      </w:r>
      <w:proofErr w:type="spellEnd"/>
    </w:p>
    <w:p w14:paraId="779C7831" w14:textId="77C0D31B"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Western Regional Climate Center (WRCC), </w:t>
      </w:r>
      <w:r w:rsidR="00140DAD">
        <w:rPr>
          <w:rFonts w:ascii="Century Gothic" w:hAnsi="Century Gothic" w:cs="Arial"/>
          <w:sz w:val="20"/>
          <w:szCs w:val="20"/>
        </w:rPr>
        <w:t xml:space="preserve">Collaborator, </w:t>
      </w:r>
      <w:r>
        <w:rPr>
          <w:rFonts w:ascii="Century Gothic" w:hAnsi="Century Gothic" w:cs="Arial"/>
          <w:sz w:val="20"/>
          <w:szCs w:val="20"/>
        </w:rPr>
        <w:t>POC: Tim Brown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6C5BBE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 xml:space="preserve">Applied Sciences National Applications </w:t>
      </w:r>
      <w:proofErr w:type="spellStart"/>
      <w:r w:rsidRPr="00E80174">
        <w:rPr>
          <w:rFonts w:ascii="Century Gothic" w:hAnsi="Century Gothic" w:cs="Arial"/>
          <w:b/>
          <w:sz w:val="20"/>
          <w:szCs w:val="20"/>
        </w:rPr>
        <w:t>Addressed</w:t>
      </w:r>
      <w:proofErr w:type="gramStart"/>
      <w:r w:rsidRPr="00E80174">
        <w:rPr>
          <w:rFonts w:ascii="Century Gothic" w:hAnsi="Century Gothic" w:cs="Arial"/>
          <w:b/>
          <w:sz w:val="20"/>
          <w:szCs w:val="20"/>
        </w:rPr>
        <w:t>:</w:t>
      </w:r>
      <w:r w:rsidR="00236381">
        <w:rPr>
          <w:rFonts w:ascii="Century Gothic" w:hAnsi="Century Gothic" w:cs="Arial"/>
          <w:sz w:val="20"/>
          <w:szCs w:val="20"/>
        </w:rPr>
        <w:t>Disasters</w:t>
      </w:r>
      <w:proofErr w:type="spellEnd"/>
      <w:proofErr w:type="gramEnd"/>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CC3DEE3"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B6BFC">
        <w:rPr>
          <w:rFonts w:ascii="Century Gothic" w:hAnsi="Century Gothic" w:cs="Arial"/>
          <w:sz w:val="20"/>
          <w:szCs w:val="20"/>
        </w:rPr>
        <w:t xml:space="preserve">AZ: </w:t>
      </w:r>
      <w:r w:rsidR="005E4AC6">
        <w:rPr>
          <w:rFonts w:ascii="Century Gothic" w:hAnsi="Century Gothic" w:cs="Arial"/>
          <w:sz w:val="20"/>
          <w:szCs w:val="20"/>
        </w:rPr>
        <w:t>Lower Colorado River Basin</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5ADC0CF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36381">
        <w:rPr>
          <w:rFonts w:ascii="Century Gothic" w:hAnsi="Century Gothic" w:cs="Arial"/>
          <w:sz w:val="20"/>
          <w:szCs w:val="20"/>
        </w:rPr>
        <w:t>Ju</w:t>
      </w:r>
      <w:r w:rsidR="00517D32">
        <w:rPr>
          <w:rFonts w:ascii="Century Gothic" w:hAnsi="Century Gothic" w:cs="Arial"/>
          <w:sz w:val="20"/>
          <w:szCs w:val="20"/>
        </w:rPr>
        <w:t>ly</w:t>
      </w:r>
      <w:r w:rsidR="00236381">
        <w:rPr>
          <w:rFonts w:ascii="Century Gothic" w:hAnsi="Century Gothic" w:cs="Arial"/>
          <w:sz w:val="20"/>
          <w:szCs w:val="20"/>
        </w:rPr>
        <w:t xml:space="preserve"> 2002 </w:t>
      </w:r>
      <w:r w:rsidR="000F511D">
        <w:rPr>
          <w:rFonts w:ascii="Century Gothic" w:hAnsi="Century Gothic" w:cs="Arial"/>
          <w:sz w:val="20"/>
          <w:szCs w:val="20"/>
        </w:rPr>
        <w:t xml:space="preserve">- </w:t>
      </w:r>
      <w:r w:rsidR="00236381">
        <w:rPr>
          <w:rFonts w:ascii="Century Gothic" w:hAnsi="Century Gothic" w:cs="Arial"/>
          <w:sz w:val="20"/>
          <w:szCs w:val="20"/>
        </w:rPr>
        <w:t>August 2014</w:t>
      </w:r>
      <w:r w:rsidR="00D2508E">
        <w:rPr>
          <w:rFonts w:ascii="Century Gothic" w:hAnsi="Century Gothic" w:cs="Arial"/>
          <w:sz w:val="20"/>
          <w:szCs w:val="20"/>
        </w:rPr>
        <w:t>, Summer Monsoon Season (July, August, September)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88F856" w14:textId="29DB9A9A"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 xml:space="preserve">PERSIANN-CDR, GridSat-B1 – </w:t>
      </w:r>
      <w:r w:rsidR="00837FF8">
        <w:rPr>
          <w:rFonts w:ascii="Century Gothic" w:hAnsi="Century Gothic" w:cs="Arial"/>
          <w:sz w:val="20"/>
          <w:szCs w:val="20"/>
        </w:rPr>
        <w:t>Precipitation Rate</w:t>
      </w:r>
    </w:p>
    <w:p w14:paraId="01498AD3" w14:textId="3E81E38D" w:rsidR="000B7B44" w:rsidRDefault="000B7B44" w:rsidP="002A65A8">
      <w:pPr>
        <w:spacing w:after="0" w:line="240" w:lineRule="auto"/>
        <w:ind w:left="360" w:hanging="360"/>
        <w:rPr>
          <w:rFonts w:ascii="Century Gothic" w:hAnsi="Century Gothic" w:cs="Arial"/>
          <w:sz w:val="20"/>
          <w:szCs w:val="20"/>
        </w:rPr>
      </w:pPr>
      <w:r>
        <w:rPr>
          <w:rFonts w:ascii="Century Gothic" w:hAnsi="Century Gothic" w:cs="Arial"/>
          <w:sz w:val="20"/>
          <w:szCs w:val="20"/>
        </w:rPr>
        <w:t xml:space="preserve">CMORPH-CDR, Passive microwave and infrared from several geostationary satellites – Precipitation </w:t>
      </w:r>
      <w:r w:rsidR="00D2508E">
        <w:rPr>
          <w:rFonts w:ascii="Century Gothic" w:hAnsi="Century Gothic" w:cs="Arial"/>
          <w:sz w:val="20"/>
          <w:szCs w:val="20"/>
        </w:rPr>
        <w:t>R</w:t>
      </w:r>
      <w:r>
        <w:rPr>
          <w:rFonts w:ascii="Century Gothic" w:hAnsi="Century Gothic" w:cs="Arial"/>
          <w:sz w:val="20"/>
          <w:szCs w:val="20"/>
        </w:rPr>
        <w:t>ate</w:t>
      </w:r>
    </w:p>
    <w:p w14:paraId="4DC0E416" w14:textId="71DD4D98" w:rsidR="005901B2" w:rsidRDefault="00336728" w:rsidP="00A0730D">
      <w:pPr>
        <w:spacing w:after="0" w:line="240" w:lineRule="auto"/>
        <w:rPr>
          <w:rFonts w:ascii="Century Gothic" w:hAnsi="Century Gothic" w:cs="Arial"/>
          <w:sz w:val="20"/>
          <w:szCs w:val="20"/>
        </w:rPr>
      </w:pPr>
      <w:r>
        <w:rPr>
          <w:rFonts w:ascii="Century Gothic" w:hAnsi="Century Gothic" w:cs="Arial"/>
          <w:sz w:val="20"/>
          <w:szCs w:val="20"/>
        </w:rPr>
        <w:t>Terra, ASTER – Digital Elevation Model (DEM)</w:t>
      </w:r>
    </w:p>
    <w:p w14:paraId="15A7930A" w14:textId="003E380F" w:rsidR="00A0730D" w:rsidRDefault="00A0730D" w:rsidP="00A0730D">
      <w:pPr>
        <w:spacing w:after="0" w:line="240" w:lineRule="auto"/>
        <w:rPr>
          <w:rFonts w:ascii="Century Gothic" w:hAnsi="Century Gothic" w:cs="Arial"/>
          <w:sz w:val="20"/>
          <w:szCs w:val="20"/>
        </w:rPr>
      </w:pPr>
      <w:r>
        <w:rPr>
          <w:rFonts w:ascii="Century Gothic" w:hAnsi="Century Gothic" w:cs="Arial"/>
          <w:sz w:val="20"/>
          <w:szCs w:val="20"/>
        </w:rPr>
        <w:t>Terra, MODIS – Normalized Dif</w:t>
      </w:r>
      <w:r w:rsidR="000F511D">
        <w:rPr>
          <w:rFonts w:ascii="Century Gothic" w:hAnsi="Century Gothic" w:cs="Arial"/>
          <w:sz w:val="20"/>
          <w:szCs w:val="20"/>
        </w:rPr>
        <w:t>ference Vegetation Index (NDVI)</w:t>
      </w:r>
    </w:p>
    <w:p w14:paraId="14061097" w14:textId="027DA74C" w:rsidR="007B30DD" w:rsidRDefault="00A8589F" w:rsidP="00603BB8">
      <w:pPr>
        <w:spacing w:after="0" w:line="240" w:lineRule="auto"/>
        <w:rPr>
          <w:rFonts w:ascii="Century Gothic" w:hAnsi="Century Gothic" w:cs="Arial"/>
          <w:sz w:val="20"/>
          <w:szCs w:val="20"/>
        </w:rPr>
      </w:pPr>
      <w:r>
        <w:rPr>
          <w:rFonts w:ascii="Century Gothic" w:hAnsi="Century Gothic" w:cs="Arial"/>
          <w:sz w:val="20"/>
          <w:szCs w:val="20"/>
        </w:rPr>
        <w:t>AV</w:t>
      </w:r>
      <w:r w:rsidR="00C340AC">
        <w:rPr>
          <w:rFonts w:ascii="Century Gothic" w:hAnsi="Century Gothic" w:cs="Arial"/>
          <w:sz w:val="20"/>
          <w:szCs w:val="20"/>
        </w:rPr>
        <w:t>HR</w:t>
      </w:r>
      <w:r>
        <w:rPr>
          <w:rFonts w:ascii="Century Gothic" w:hAnsi="Century Gothic" w:cs="Arial"/>
          <w:sz w:val="20"/>
          <w:szCs w:val="20"/>
        </w:rPr>
        <w:t>R</w:t>
      </w:r>
      <w:bookmarkStart w:id="0" w:name="_GoBack"/>
      <w:bookmarkEnd w:id="0"/>
      <w:r w:rsidR="00C340AC">
        <w:rPr>
          <w:rFonts w:ascii="Century Gothic" w:hAnsi="Century Gothic" w:cs="Arial"/>
          <w:sz w:val="20"/>
          <w:szCs w:val="20"/>
        </w:rPr>
        <w:t xml:space="preserve"> NDVI </w:t>
      </w:r>
    </w:p>
    <w:p w14:paraId="7EFC19A0" w14:textId="77777777" w:rsidR="000C5470" w:rsidRPr="00D579FC" w:rsidRDefault="000C5470"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D9CDEEA" w14:textId="576C7F49" w:rsidR="00B767B8" w:rsidRDefault="00B767B8"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Burned Area Emergency Response</w:t>
      </w:r>
      <w:r w:rsidR="005E4AC6">
        <w:rPr>
          <w:rFonts w:ascii="Century Gothic" w:hAnsi="Century Gothic" w:cs="Arial"/>
          <w:sz w:val="20"/>
          <w:szCs w:val="20"/>
        </w:rPr>
        <w:t xml:space="preserve"> (BAER) </w:t>
      </w:r>
      <w:r w:rsidR="000F511D">
        <w:rPr>
          <w:rFonts w:ascii="Century Gothic" w:hAnsi="Century Gothic" w:cs="Arial"/>
          <w:sz w:val="20"/>
          <w:szCs w:val="20"/>
        </w:rPr>
        <w:t xml:space="preserve">– </w:t>
      </w:r>
      <w:r w:rsidR="005E4AC6">
        <w:rPr>
          <w:rFonts w:ascii="Century Gothic" w:hAnsi="Century Gothic" w:cs="Arial"/>
          <w:sz w:val="20"/>
          <w:szCs w:val="20"/>
        </w:rPr>
        <w:t>Burned Area Reflectance</w:t>
      </w:r>
      <w:r w:rsidR="00D2508E">
        <w:rPr>
          <w:rFonts w:ascii="Century Gothic" w:hAnsi="Century Gothic" w:cs="Arial"/>
          <w:sz w:val="20"/>
          <w:szCs w:val="20"/>
        </w:rPr>
        <w:t xml:space="preserve"> </w:t>
      </w:r>
      <w:r>
        <w:rPr>
          <w:rFonts w:ascii="Century Gothic" w:hAnsi="Century Gothic" w:cs="Arial"/>
          <w:sz w:val="20"/>
          <w:szCs w:val="20"/>
        </w:rPr>
        <w:t>Classi</w:t>
      </w:r>
      <w:r w:rsidR="00721466">
        <w:rPr>
          <w:rFonts w:ascii="Century Gothic" w:hAnsi="Century Gothic" w:cs="Arial"/>
          <w:sz w:val="20"/>
          <w:szCs w:val="20"/>
        </w:rPr>
        <w:t>fication (BARC) Imagery – Soil Burn S</w:t>
      </w:r>
      <w:r>
        <w:rPr>
          <w:rFonts w:ascii="Century Gothic" w:hAnsi="Century Gothic" w:cs="Arial"/>
          <w:sz w:val="20"/>
          <w:szCs w:val="20"/>
        </w:rPr>
        <w:t>everity</w:t>
      </w:r>
    </w:p>
    <w:p w14:paraId="3ADAD747" w14:textId="4EEF018D" w:rsidR="00B767B8" w:rsidRPr="00B767B8" w:rsidRDefault="005E4AC6"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Department of Agriculture (USDA) Arizona General Soil Map –</w:t>
      </w:r>
      <w:r w:rsidR="00721466">
        <w:rPr>
          <w:rFonts w:ascii="Century Gothic" w:hAnsi="Century Gothic" w:cs="Arial"/>
          <w:sz w:val="20"/>
          <w:szCs w:val="20"/>
        </w:rPr>
        <w:t xml:space="preserve"> Soil C</w:t>
      </w:r>
      <w:r>
        <w:rPr>
          <w:rFonts w:ascii="Century Gothic" w:hAnsi="Century Gothic" w:cs="Arial"/>
          <w:sz w:val="20"/>
          <w:szCs w:val="20"/>
        </w:rPr>
        <w:t>lassification</w:t>
      </w:r>
    </w:p>
    <w:p w14:paraId="62CEE579" w14:textId="4AAC7E0C"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w:t>
      </w:r>
      <w:r w:rsidR="00721466">
        <w:rPr>
          <w:rFonts w:ascii="Century Gothic" w:hAnsi="Century Gothic" w:cs="Arial"/>
          <w:sz w:val="20"/>
          <w:szCs w:val="20"/>
        </w:rPr>
        <w:t xml:space="preserve">al Land Cover Dataset (NLCD) </w:t>
      </w:r>
      <w:r w:rsidR="000F511D">
        <w:rPr>
          <w:rFonts w:ascii="Century Gothic" w:hAnsi="Century Gothic" w:cs="Arial"/>
          <w:sz w:val="20"/>
          <w:szCs w:val="20"/>
        </w:rPr>
        <w:t>–</w:t>
      </w:r>
      <w:r w:rsidR="00721466">
        <w:rPr>
          <w:rFonts w:ascii="Century Gothic" w:hAnsi="Century Gothic" w:cs="Arial"/>
          <w:sz w:val="20"/>
          <w:szCs w:val="20"/>
        </w:rPr>
        <w:t xml:space="preserve"> Land C</w:t>
      </w:r>
      <w:r w:rsidRPr="00E80174">
        <w:rPr>
          <w:rFonts w:ascii="Century Gothic" w:hAnsi="Century Gothic" w:cs="Arial"/>
          <w:sz w:val="20"/>
          <w:szCs w:val="20"/>
        </w:rPr>
        <w:t>over</w:t>
      </w:r>
    </w:p>
    <w:p w14:paraId="4702136D" w14:textId="1055E7DB" w:rsidR="00D85373" w:rsidRDefault="00D8537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USGS Gaging Stations</w:t>
      </w:r>
      <w:r w:rsidR="002A65A8">
        <w:rPr>
          <w:rFonts w:ascii="Century Gothic" w:hAnsi="Century Gothic" w:cs="Arial"/>
          <w:sz w:val="20"/>
          <w:szCs w:val="20"/>
        </w:rPr>
        <w:t xml:space="preserve"> – Rainfall-Runoff Thresholds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35C95D7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B767B8">
        <w:rPr>
          <w:rFonts w:ascii="Century Gothic" w:hAnsi="Century Gothic" w:cs="Arial"/>
          <w:sz w:val="20"/>
          <w:szCs w:val="20"/>
        </w:rPr>
        <w:t>–</w:t>
      </w:r>
      <w:r w:rsidRPr="00D579FC">
        <w:rPr>
          <w:rFonts w:ascii="Century Gothic" w:hAnsi="Century Gothic" w:cs="Arial"/>
          <w:sz w:val="20"/>
          <w:szCs w:val="20"/>
        </w:rPr>
        <w:t xml:space="preserve"> </w:t>
      </w:r>
      <w:r w:rsidR="00B767B8">
        <w:rPr>
          <w:rFonts w:ascii="Century Gothic" w:hAnsi="Century Gothic" w:cs="Arial"/>
          <w:sz w:val="20"/>
          <w:szCs w:val="20"/>
        </w:rPr>
        <w:t>deriving NDVI from</w:t>
      </w:r>
      <w:r w:rsidRPr="00D579FC">
        <w:rPr>
          <w:rFonts w:ascii="Century Gothic" w:hAnsi="Century Gothic" w:cs="Arial"/>
          <w:sz w:val="20"/>
          <w:szCs w:val="20"/>
        </w:rPr>
        <w:t xml:space="preserve"> Landsat imagery</w:t>
      </w:r>
      <w:r w:rsidR="00B767B8">
        <w:rPr>
          <w:rFonts w:ascii="Century Gothic" w:hAnsi="Century Gothic" w:cs="Arial"/>
          <w:sz w:val="20"/>
          <w:szCs w:val="20"/>
        </w:rPr>
        <w:t>, Image Enhancement</w:t>
      </w:r>
    </w:p>
    <w:p w14:paraId="2A6E73E6" w14:textId="55DE2B4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4D4B23">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&amp; Map Creation of Landsat </w:t>
      </w:r>
      <w:r w:rsidR="00B767B8">
        <w:rPr>
          <w:rFonts w:ascii="Century Gothic" w:hAnsi="Century Gothic" w:cs="Arial"/>
          <w:sz w:val="20"/>
          <w:szCs w:val="20"/>
        </w:rPr>
        <w:t>OLI and TM multispectral imagery</w:t>
      </w:r>
    </w:p>
    <w:p w14:paraId="038E1F43" w14:textId="58522A2E" w:rsidR="00B767B8" w:rsidRDefault="00B767B8" w:rsidP="00D2508E">
      <w:pPr>
        <w:spacing w:after="0" w:line="240" w:lineRule="auto"/>
        <w:ind w:left="720" w:hanging="720"/>
        <w:rPr>
          <w:rFonts w:ascii="Century Gothic" w:hAnsi="Century Gothic" w:cs="Arial"/>
          <w:sz w:val="20"/>
          <w:szCs w:val="20"/>
        </w:rPr>
      </w:pPr>
      <w:r>
        <w:rPr>
          <w:rFonts w:ascii="Century Gothic" w:hAnsi="Century Gothic" w:cs="Arial"/>
          <w:sz w:val="20"/>
          <w:szCs w:val="20"/>
        </w:rPr>
        <w:t>Python – Data Processing and Data Conversion</w:t>
      </w:r>
      <w:r w:rsidR="002A65A8">
        <w:rPr>
          <w:rFonts w:ascii="Century Gothic" w:hAnsi="Century Gothic" w:cs="Arial"/>
          <w:sz w:val="20"/>
          <w:szCs w:val="20"/>
        </w:rPr>
        <w:t xml:space="preserve"> of MODIS, PERSIANN, and CMORPH datasets</w:t>
      </w:r>
    </w:p>
    <w:p w14:paraId="3E118D2C" w14:textId="51B78D55" w:rsidR="00EC0F57" w:rsidRDefault="00EC0F57" w:rsidP="00D2508E">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Programming – Statistical analysis</w:t>
      </w:r>
    </w:p>
    <w:p w14:paraId="37F48D86" w14:textId="77777777" w:rsidR="00721466" w:rsidRPr="00D579FC" w:rsidRDefault="00721466" w:rsidP="00AD4AED">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107193">
      <w:pPr>
        <w:pBdr>
          <w:bottom w:val="single" w:sz="4" w:space="0"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159B32B6" w:rsidR="003F68F5" w:rsidRDefault="003F68F5" w:rsidP="003F68F5">
      <w:pPr>
        <w:spacing w:after="0" w:line="240" w:lineRule="auto"/>
        <w:rPr>
          <w:rFonts w:ascii="Century Gothic" w:hAnsi="Century Gothic" w:cs="Arial"/>
          <w:b/>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E9C8BC4" w14:textId="4DE09F49" w:rsidR="00E83A4B" w:rsidRDefault="00E83A4B" w:rsidP="003F68F5">
      <w:pPr>
        <w:spacing w:after="0" w:line="240" w:lineRule="auto"/>
        <w:rPr>
          <w:rFonts w:ascii="Century Gothic" w:hAnsi="Century Gothic" w:cs="Arial"/>
          <w:b/>
          <w:sz w:val="20"/>
          <w:szCs w:val="20"/>
        </w:rPr>
      </w:pPr>
      <w:r>
        <w:rPr>
          <w:rFonts w:ascii="Century Gothic" w:hAnsi="Century Gothic" w:cs="Arial"/>
          <w:sz w:val="20"/>
          <w:szCs w:val="20"/>
        </w:rPr>
        <w:t>This project establish</w:t>
      </w:r>
      <w:r w:rsidR="00FF2FC5">
        <w:rPr>
          <w:rFonts w:ascii="Century Gothic" w:hAnsi="Century Gothic" w:cs="Arial"/>
          <w:sz w:val="20"/>
          <w:szCs w:val="20"/>
        </w:rPr>
        <w:t>ed</w:t>
      </w:r>
      <w:r>
        <w:rPr>
          <w:rFonts w:ascii="Century Gothic" w:hAnsi="Century Gothic" w:cs="Arial"/>
          <w:sz w:val="20"/>
          <w:szCs w:val="20"/>
        </w:rPr>
        <w:t xml:space="preserve"> a </w:t>
      </w:r>
      <w:proofErr w:type="spellStart"/>
      <w:r>
        <w:rPr>
          <w:rFonts w:ascii="Century Gothic" w:hAnsi="Century Gothic" w:cs="Arial"/>
          <w:sz w:val="20"/>
          <w:szCs w:val="20"/>
        </w:rPr>
        <w:t>spatio</w:t>
      </w:r>
      <w:proofErr w:type="spellEnd"/>
      <w:r>
        <w:rPr>
          <w:rFonts w:ascii="Century Gothic" w:hAnsi="Century Gothic" w:cs="Arial"/>
          <w:sz w:val="20"/>
          <w:szCs w:val="20"/>
        </w:rPr>
        <w:t>-temporal relationship between</w:t>
      </w:r>
      <w:r w:rsidR="00FF2FC5">
        <w:rPr>
          <w:rFonts w:ascii="Century Gothic" w:hAnsi="Century Gothic" w:cs="Arial"/>
          <w:sz w:val="20"/>
          <w:szCs w:val="20"/>
        </w:rPr>
        <w:t xml:space="preserve"> </w:t>
      </w:r>
      <w:r>
        <w:rPr>
          <w:rFonts w:ascii="Century Gothic" w:hAnsi="Century Gothic" w:cs="Arial"/>
          <w:sz w:val="20"/>
          <w:szCs w:val="20"/>
        </w:rPr>
        <w:t>vegetation regrowth as a function of NDVI and post-fire flood hazard</w:t>
      </w:r>
      <w:r w:rsidR="00B04150">
        <w:rPr>
          <w:rFonts w:ascii="Century Gothic" w:hAnsi="Century Gothic" w:cs="Arial"/>
          <w:sz w:val="20"/>
          <w:szCs w:val="20"/>
        </w:rPr>
        <w:t xml:space="preserve"> over a 10-</w:t>
      </w:r>
      <w:r w:rsidRPr="003A512B">
        <w:rPr>
          <w:rFonts w:ascii="Century Gothic" w:hAnsi="Century Gothic" w:cs="Arial"/>
          <w:sz w:val="20"/>
          <w:szCs w:val="20"/>
        </w:rPr>
        <w:t>year period</w:t>
      </w:r>
      <w:r w:rsidR="00F42B7C">
        <w:rPr>
          <w:rFonts w:ascii="Century Gothic" w:hAnsi="Century Gothic" w:cs="Arial"/>
          <w:sz w:val="20"/>
          <w:szCs w:val="20"/>
        </w:rPr>
        <w:t xml:space="preserve"> for Arizona in the Lower Colorado River Basin. </w:t>
      </w:r>
      <w:r w:rsidR="00D2508E">
        <w:rPr>
          <w:rFonts w:ascii="Century Gothic" w:hAnsi="Century Gothic" w:cs="Arial"/>
          <w:sz w:val="20"/>
          <w:szCs w:val="20"/>
        </w:rPr>
        <w:t xml:space="preserve">Historical flood events were identified in the NOAA PERSIANN precipitation Climate Data Records to establish </w:t>
      </w:r>
      <w:r w:rsidR="0036234F">
        <w:rPr>
          <w:rFonts w:ascii="Century Gothic" w:hAnsi="Century Gothic" w:cs="Arial"/>
          <w:sz w:val="20"/>
          <w:szCs w:val="20"/>
        </w:rPr>
        <w:t xml:space="preserve">precipitation </w:t>
      </w:r>
      <w:r w:rsidR="00517D32">
        <w:rPr>
          <w:rFonts w:ascii="Century Gothic" w:hAnsi="Century Gothic" w:cs="Arial"/>
          <w:sz w:val="20"/>
          <w:szCs w:val="20"/>
        </w:rPr>
        <w:t xml:space="preserve">trend </w:t>
      </w:r>
      <w:r w:rsidR="00D2508E">
        <w:rPr>
          <w:rFonts w:ascii="Century Gothic" w:hAnsi="Century Gothic" w:cs="Arial"/>
          <w:sz w:val="20"/>
          <w:szCs w:val="20"/>
        </w:rPr>
        <w:t>associated with increased post-wildfire flooding risk in relation to vegetation regrowth.</w:t>
      </w:r>
      <w:r w:rsidR="005901B2">
        <w:rPr>
          <w:rFonts w:ascii="Century Gothic" w:hAnsi="Century Gothic" w:cs="Arial"/>
          <w:sz w:val="20"/>
          <w:szCs w:val="20"/>
        </w:rPr>
        <w:t xml:space="preserve"> This study demonstrates the usefulness of </w:t>
      </w:r>
      <w:r w:rsidR="00D2508E">
        <w:rPr>
          <w:rFonts w:ascii="Century Gothic" w:hAnsi="Century Gothic" w:cs="Arial"/>
          <w:sz w:val="20"/>
          <w:szCs w:val="20"/>
        </w:rPr>
        <w:t>satellite</w:t>
      </w:r>
      <w:r w:rsidR="005901B2">
        <w:rPr>
          <w:rFonts w:ascii="Century Gothic" w:hAnsi="Century Gothic" w:cs="Arial"/>
          <w:sz w:val="20"/>
          <w:szCs w:val="20"/>
        </w:rPr>
        <w:t xml:space="preserve"> products by u</w:t>
      </w:r>
      <w:r w:rsidR="00D768CA">
        <w:rPr>
          <w:rFonts w:ascii="Century Gothic" w:hAnsi="Century Gothic" w:cs="Arial"/>
          <w:sz w:val="20"/>
          <w:szCs w:val="20"/>
        </w:rPr>
        <w:t>tilizing</w:t>
      </w:r>
      <w:r w:rsidR="00F42B7C">
        <w:rPr>
          <w:rFonts w:ascii="Century Gothic" w:hAnsi="Century Gothic" w:cs="Arial"/>
          <w:sz w:val="20"/>
          <w:szCs w:val="20"/>
        </w:rPr>
        <w:t xml:space="preserve"> </w:t>
      </w:r>
      <w:r>
        <w:rPr>
          <w:rFonts w:ascii="Century Gothic" w:hAnsi="Century Gothic" w:cs="Arial"/>
          <w:sz w:val="20"/>
          <w:szCs w:val="20"/>
        </w:rPr>
        <w:t xml:space="preserve">NOAA Climate Data Records (CDRs), </w:t>
      </w:r>
      <w:r w:rsidR="00F42B7C">
        <w:rPr>
          <w:rFonts w:ascii="Century Gothic" w:hAnsi="Century Gothic" w:cs="Arial"/>
          <w:sz w:val="20"/>
          <w:szCs w:val="20"/>
        </w:rPr>
        <w:t xml:space="preserve">NASA Earth </w:t>
      </w:r>
      <w:r w:rsidR="00D52C5B">
        <w:rPr>
          <w:rFonts w:ascii="Century Gothic" w:hAnsi="Century Gothic" w:cs="Arial"/>
          <w:sz w:val="20"/>
          <w:szCs w:val="20"/>
        </w:rPr>
        <w:t>Observations</w:t>
      </w:r>
      <w:r>
        <w:rPr>
          <w:rFonts w:ascii="Century Gothic" w:hAnsi="Century Gothic" w:cs="Arial"/>
          <w:sz w:val="20"/>
          <w:szCs w:val="20"/>
        </w:rPr>
        <w:t xml:space="preserve">, and </w:t>
      </w:r>
      <w:r w:rsidRPr="00517D32">
        <w:rPr>
          <w:rFonts w:ascii="Century Gothic" w:hAnsi="Century Gothic" w:cs="Arial"/>
          <w:i/>
          <w:sz w:val="20"/>
          <w:szCs w:val="20"/>
        </w:rPr>
        <w:t>in</w:t>
      </w:r>
      <w:r w:rsidR="00517D32" w:rsidRPr="00517D32">
        <w:rPr>
          <w:rFonts w:ascii="Century Gothic" w:hAnsi="Century Gothic" w:cs="Arial"/>
          <w:i/>
          <w:sz w:val="20"/>
          <w:szCs w:val="20"/>
        </w:rPr>
        <w:t xml:space="preserve"> </w:t>
      </w:r>
      <w:r w:rsidRPr="00517D32">
        <w:rPr>
          <w:rFonts w:ascii="Century Gothic" w:hAnsi="Century Gothic" w:cs="Arial"/>
          <w:i/>
          <w:sz w:val="20"/>
          <w:szCs w:val="20"/>
        </w:rPr>
        <w:t>situ</w:t>
      </w:r>
      <w:r w:rsidR="005901B2">
        <w:rPr>
          <w:rFonts w:ascii="Century Gothic" w:hAnsi="Century Gothic" w:cs="Arial"/>
          <w:sz w:val="20"/>
          <w:szCs w:val="20"/>
        </w:rPr>
        <w:t xml:space="preserve"> </w:t>
      </w:r>
      <w:r>
        <w:rPr>
          <w:rFonts w:ascii="Century Gothic" w:hAnsi="Century Gothic" w:cs="Arial"/>
          <w:sz w:val="20"/>
          <w:szCs w:val="20"/>
        </w:rPr>
        <w:t>data</w:t>
      </w:r>
      <w:r w:rsidR="00D768CA">
        <w:rPr>
          <w:rFonts w:ascii="Century Gothic" w:hAnsi="Century Gothic" w:cs="Arial"/>
          <w:sz w:val="20"/>
          <w:szCs w:val="20"/>
        </w:rPr>
        <w:t xml:space="preserve"> as </w:t>
      </w:r>
      <w:r w:rsidR="005901B2">
        <w:rPr>
          <w:rFonts w:ascii="Century Gothic" w:hAnsi="Century Gothic" w:cs="Arial"/>
          <w:sz w:val="20"/>
          <w:szCs w:val="20"/>
        </w:rPr>
        <w:t>alternative</w:t>
      </w:r>
      <w:r w:rsidR="00D768CA">
        <w:rPr>
          <w:rFonts w:ascii="Century Gothic" w:hAnsi="Century Gothic" w:cs="Arial"/>
          <w:sz w:val="20"/>
          <w:szCs w:val="20"/>
        </w:rPr>
        <w:t xml:space="preserve"> </w:t>
      </w:r>
      <w:r w:rsidR="005901B2">
        <w:rPr>
          <w:rFonts w:ascii="Century Gothic" w:hAnsi="Century Gothic" w:cs="Arial"/>
          <w:sz w:val="20"/>
          <w:szCs w:val="20"/>
        </w:rPr>
        <w:t>sources for input parameters</w:t>
      </w:r>
      <w:r w:rsidR="00D2508E">
        <w:rPr>
          <w:rFonts w:ascii="Century Gothic" w:hAnsi="Century Gothic" w:cs="Arial"/>
          <w:sz w:val="20"/>
          <w:szCs w:val="20"/>
        </w:rPr>
        <w:t xml:space="preserve"> to access watershed recovery via changes in vegetation regrowth for emergency and flood managers</w:t>
      </w:r>
      <w:r w:rsidR="005901B2">
        <w:rPr>
          <w:rFonts w:ascii="Century Gothic" w:hAnsi="Century Gothic" w:cs="Arial"/>
          <w:sz w:val="20"/>
          <w:szCs w:val="20"/>
        </w:rPr>
        <w:t>.</w:t>
      </w:r>
      <w:r w:rsidR="00D2508E">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A8C4CB6" w14:textId="2A350235" w:rsidR="0036234F"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w:t>
      </w:r>
      <w:r w:rsidR="00326208">
        <w:rPr>
          <w:rFonts w:ascii="Century Gothic" w:hAnsi="Century Gothic" w:cs="Arial"/>
          <w:b/>
          <w:sz w:val="20"/>
          <w:szCs w:val="20"/>
        </w:rPr>
        <w:t>t</w:t>
      </w:r>
    </w:p>
    <w:p w14:paraId="51DB470C" w14:textId="577A95AE" w:rsidR="0036234F" w:rsidRDefault="0036234F" w:rsidP="0036234F">
      <w:pPr>
        <w:spacing w:after="0" w:line="240" w:lineRule="auto"/>
        <w:rPr>
          <w:rFonts w:ascii="Century Gothic" w:hAnsi="Century Gothic" w:cs="Arial"/>
          <w:sz w:val="20"/>
          <w:szCs w:val="20"/>
        </w:rPr>
      </w:pPr>
      <w:r>
        <w:rPr>
          <w:rFonts w:ascii="Century Gothic" w:hAnsi="Century Gothic" w:cs="Arial"/>
          <w:sz w:val="20"/>
          <w:szCs w:val="20"/>
        </w:rPr>
        <w:t>This study investigated the relationship between the vegetation regrowth process and flooding following wildfire events in Arizona within the Lower Colorado River Basin. Extensive studies have been conducted on post-burnout rainfall-run-off relationships or post-burnout vegetation regeneration, but few establish a relationship between both processes. I</w:t>
      </w:r>
      <w:r w:rsidR="00A1412C">
        <w:rPr>
          <w:rFonts w:ascii="Century Gothic" w:hAnsi="Century Gothic" w:cs="Arial"/>
          <w:sz w:val="20"/>
          <w:szCs w:val="20"/>
        </w:rPr>
        <w:t>n this study, Moderate Resolution Imaging Spectroradiometer (MODIS) Normalized Difference Vegetation Index (NDVI) Earth o</w:t>
      </w:r>
      <w:r>
        <w:rPr>
          <w:rFonts w:ascii="Century Gothic" w:hAnsi="Century Gothic" w:cs="Arial"/>
          <w:sz w:val="20"/>
          <w:szCs w:val="20"/>
        </w:rPr>
        <w:t xml:space="preserve">bservations were first used to create a surface indicating vegetation regrowth rate on a per-pixel basis following historical wildfire events. Next, historical flood events were identified in the NOAA PERSIANN precipitation Climate Data Records to establish </w:t>
      </w:r>
      <w:r w:rsidR="00AE5D68">
        <w:rPr>
          <w:rFonts w:ascii="Century Gothic" w:hAnsi="Century Gothic" w:cs="Arial"/>
          <w:sz w:val="20"/>
          <w:szCs w:val="20"/>
        </w:rPr>
        <w:t xml:space="preserve">precipitation </w:t>
      </w:r>
      <w:r w:rsidR="00514853">
        <w:rPr>
          <w:rFonts w:ascii="Century Gothic" w:hAnsi="Century Gothic" w:cs="Arial"/>
          <w:sz w:val="20"/>
          <w:szCs w:val="20"/>
        </w:rPr>
        <w:t xml:space="preserve">trends </w:t>
      </w:r>
      <w:r>
        <w:rPr>
          <w:rFonts w:ascii="Century Gothic" w:hAnsi="Century Gothic" w:cs="Arial"/>
          <w:sz w:val="20"/>
          <w:szCs w:val="20"/>
        </w:rPr>
        <w:t>associated with increased post-wildfire flooding risk</w:t>
      </w:r>
      <w:r w:rsidR="00514853">
        <w:rPr>
          <w:rFonts w:ascii="Century Gothic" w:hAnsi="Century Gothic" w:cs="Arial"/>
          <w:sz w:val="20"/>
          <w:szCs w:val="20"/>
        </w:rPr>
        <w:t>.</w:t>
      </w:r>
      <w:r w:rsidR="00AE5D68">
        <w:rPr>
          <w:rFonts w:ascii="Century Gothic" w:hAnsi="Century Gothic" w:cs="Arial"/>
          <w:sz w:val="20"/>
          <w:szCs w:val="20"/>
        </w:rPr>
        <w:t xml:space="preserve"> </w:t>
      </w:r>
      <w:r>
        <w:rPr>
          <w:rFonts w:ascii="Century Gothic" w:hAnsi="Century Gothic" w:cs="Arial"/>
          <w:sz w:val="20"/>
          <w:szCs w:val="20"/>
        </w:rPr>
        <w:t xml:space="preserve">The relationships between precipitation anomalies, time since the fire, and vegetation regrowth were then used </w:t>
      </w:r>
      <w:r w:rsidR="000C5470">
        <w:rPr>
          <w:rFonts w:ascii="Century Gothic" w:hAnsi="Century Gothic" w:cs="Arial"/>
          <w:sz w:val="20"/>
          <w:szCs w:val="20"/>
        </w:rPr>
        <w:t>to predict flooding</w:t>
      </w:r>
      <w:r>
        <w:rPr>
          <w:rFonts w:ascii="Century Gothic" w:hAnsi="Century Gothic" w:cs="Arial"/>
          <w:sz w:val="20"/>
          <w:szCs w:val="20"/>
        </w:rPr>
        <w:t xml:space="preserve">. By utilizing remotely-sensed vegetation and precipitation data in a study area with limited </w:t>
      </w:r>
      <w:r w:rsidRPr="009A0F79">
        <w:rPr>
          <w:rFonts w:ascii="Century Gothic" w:hAnsi="Century Gothic" w:cs="Arial"/>
          <w:i/>
          <w:sz w:val="20"/>
          <w:szCs w:val="20"/>
        </w:rPr>
        <w:t>in</w:t>
      </w:r>
      <w:r w:rsidR="00514853">
        <w:rPr>
          <w:rFonts w:ascii="Century Gothic" w:hAnsi="Century Gothic" w:cs="Arial"/>
          <w:i/>
          <w:sz w:val="20"/>
          <w:szCs w:val="20"/>
        </w:rPr>
        <w:t xml:space="preserve"> </w:t>
      </w:r>
      <w:r w:rsidRPr="009A0F79">
        <w:rPr>
          <w:rFonts w:ascii="Century Gothic" w:hAnsi="Century Gothic" w:cs="Arial"/>
          <w:i/>
          <w:sz w:val="20"/>
          <w:szCs w:val="20"/>
        </w:rPr>
        <w:t>situ</w:t>
      </w:r>
      <w:r>
        <w:rPr>
          <w:rFonts w:ascii="Century Gothic" w:hAnsi="Century Gothic" w:cs="Arial"/>
          <w:sz w:val="20"/>
          <w:szCs w:val="20"/>
        </w:rPr>
        <w:t xml:space="preserve"> data, this analysis developed an additional long-term predictive tool for managing future post-fire hazards.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7204603" w14:textId="18BC2C15" w:rsidR="00ED06FF" w:rsidRPr="00D2508E" w:rsidRDefault="00ED06FF" w:rsidP="00A40221">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t>
      </w:r>
      <w:r w:rsidRPr="00ED06FF">
        <w:rPr>
          <w:rFonts w:ascii="Century Gothic" w:hAnsi="Century Gothic"/>
          <w:sz w:val="20"/>
          <w:szCs w:val="20"/>
        </w:rPr>
        <w:t>Post wildfire flash flood and debris flow hazards pose a significant threat to live</w:t>
      </w:r>
      <w:r w:rsidR="00683986">
        <w:rPr>
          <w:rFonts w:ascii="Century Gothic" w:hAnsi="Century Gothic"/>
          <w:sz w:val="20"/>
          <w:szCs w:val="20"/>
        </w:rPr>
        <w:t>s</w:t>
      </w:r>
      <w:r w:rsidRPr="00ED06FF">
        <w:rPr>
          <w:rFonts w:ascii="Century Gothic" w:hAnsi="Century Gothic"/>
          <w:sz w:val="20"/>
          <w:szCs w:val="20"/>
        </w:rPr>
        <w:t xml:space="preserve"> and property throughout the Southwest states including Arizona</w:t>
      </w:r>
      <w:r>
        <w:rPr>
          <w:rFonts w:ascii="Century Gothic" w:hAnsi="Century Gothic"/>
          <w:sz w:val="20"/>
          <w:szCs w:val="20"/>
        </w:rPr>
        <w:t xml:space="preserve">” according to Michael </w:t>
      </w:r>
      <w:proofErr w:type="spellStart"/>
      <w:r>
        <w:rPr>
          <w:rFonts w:ascii="Century Gothic" w:hAnsi="Century Gothic"/>
          <w:sz w:val="20"/>
          <w:szCs w:val="20"/>
        </w:rPr>
        <w:t>Schaffner</w:t>
      </w:r>
      <w:proofErr w:type="spellEnd"/>
      <w:r>
        <w:rPr>
          <w:rFonts w:ascii="Century Gothic" w:hAnsi="Century Gothic"/>
          <w:sz w:val="20"/>
          <w:szCs w:val="20"/>
        </w:rPr>
        <w:t xml:space="preserve"> of the National Weather Service, Project Partner</w:t>
      </w:r>
    </w:p>
    <w:p w14:paraId="73BAFAD3" w14:textId="03126895" w:rsidR="004702D6" w:rsidRPr="00683986" w:rsidRDefault="00517267" w:rsidP="00683986">
      <w:pPr>
        <w:pStyle w:val="ListParagraph"/>
        <w:numPr>
          <w:ilvl w:val="0"/>
          <w:numId w:val="1"/>
        </w:numPr>
        <w:spacing w:after="0" w:line="240" w:lineRule="auto"/>
        <w:rPr>
          <w:rFonts w:ascii="Century Gothic" w:hAnsi="Century Gothic" w:cs="Arial"/>
          <w:b/>
          <w:sz w:val="20"/>
          <w:szCs w:val="20"/>
        </w:rPr>
      </w:pPr>
      <w:r>
        <w:rPr>
          <w:rFonts w:ascii="Century Gothic" w:hAnsi="Century Gothic"/>
          <w:sz w:val="20"/>
          <w:szCs w:val="20"/>
        </w:rPr>
        <w:t>Wildfires exacerbate flood incidences as burned areas alter the terrain and remain at increased flood risks until vegetation is restored – up to five years after burn occurrence</w:t>
      </w:r>
      <w:r w:rsidR="009C7B12">
        <w:rPr>
          <w:rFonts w:ascii="Century Gothic" w:hAnsi="Century Gothic"/>
          <w:sz w:val="20"/>
          <w:szCs w:val="20"/>
        </w:rPr>
        <w:t>s</w:t>
      </w:r>
    </w:p>
    <w:p w14:paraId="1C7EDBAF" w14:textId="77777777" w:rsidR="00683986" w:rsidRDefault="00683986" w:rsidP="00CC6870">
      <w:pPr>
        <w:spacing w:after="0" w:line="240" w:lineRule="auto"/>
        <w:rPr>
          <w:rFonts w:ascii="Century Gothic" w:hAnsi="Century Gothic" w:cs="Arial"/>
          <w:b/>
          <w:sz w:val="20"/>
          <w:szCs w:val="20"/>
        </w:rPr>
      </w:pPr>
    </w:p>
    <w:p w14:paraId="7442C483" w14:textId="4079D220" w:rsidR="00683986" w:rsidRDefault="00CC6870" w:rsidP="00CC6870">
      <w:pPr>
        <w:spacing w:after="0" w:line="240" w:lineRule="auto"/>
        <w:rPr>
          <w:rFonts w:ascii="Century Gothic" w:hAnsi="Century Gothic" w:cs="Arial"/>
          <w:b/>
          <w:sz w:val="20"/>
          <w:szCs w:val="20"/>
        </w:rPr>
      </w:pPr>
      <w:r w:rsidRPr="00A40221">
        <w:rPr>
          <w:rFonts w:ascii="Century Gothic" w:hAnsi="Century Gothic" w:cs="Arial"/>
          <w:b/>
          <w:sz w:val="20"/>
          <w:szCs w:val="20"/>
        </w:rPr>
        <w:t>Current Management Practices &amp; Policies</w:t>
      </w:r>
    </w:p>
    <w:p w14:paraId="5E2FDC54" w14:textId="26BE3A2C" w:rsidR="00CC6870" w:rsidRPr="00A40221" w:rsidRDefault="00077D07" w:rsidP="00CC6870">
      <w:pPr>
        <w:spacing w:after="0" w:line="240" w:lineRule="auto"/>
        <w:rPr>
          <w:rFonts w:ascii="Century Gothic" w:hAnsi="Century Gothic" w:cs="Arial"/>
          <w:sz w:val="20"/>
          <w:szCs w:val="20"/>
        </w:rPr>
      </w:pPr>
      <w:r>
        <w:rPr>
          <w:rFonts w:ascii="Century Gothic" w:hAnsi="Century Gothic" w:cs="Arial"/>
          <w:sz w:val="20"/>
          <w:szCs w:val="20"/>
        </w:rPr>
        <w:t xml:space="preserve">Currently, the Burn Area Emergency Response (BAER) Imagery Support program, in coordination with the USGS Center for Earth Resources Observation and Science and USDA Forest Service Remote Sensing Applications Center provide satellite imagery on burn severity. USGS programs then incorporate the burn severity data into the current USGS Debris-Flow tool to assess potential debris-flow volumes after wildfire events. With limited </w:t>
      </w:r>
      <w:r w:rsidRPr="00345827">
        <w:rPr>
          <w:rFonts w:ascii="Century Gothic" w:hAnsi="Century Gothic" w:cs="Arial"/>
          <w:i/>
          <w:sz w:val="20"/>
          <w:szCs w:val="20"/>
        </w:rPr>
        <w:t>in</w:t>
      </w:r>
      <w:r w:rsidR="005B6F55" w:rsidRPr="00345827">
        <w:rPr>
          <w:rFonts w:ascii="Century Gothic" w:hAnsi="Century Gothic" w:cs="Arial"/>
          <w:i/>
          <w:sz w:val="20"/>
          <w:szCs w:val="20"/>
        </w:rPr>
        <w:t xml:space="preserve"> </w:t>
      </w:r>
      <w:r w:rsidRPr="00345827">
        <w:rPr>
          <w:rFonts w:ascii="Century Gothic" w:hAnsi="Century Gothic" w:cs="Arial"/>
          <w:i/>
          <w:sz w:val="20"/>
          <w:szCs w:val="20"/>
        </w:rPr>
        <w:t>situ</w:t>
      </w:r>
      <w:r>
        <w:rPr>
          <w:rFonts w:ascii="Century Gothic" w:hAnsi="Century Gothic" w:cs="Arial"/>
          <w:sz w:val="20"/>
          <w:szCs w:val="20"/>
        </w:rPr>
        <w:t xml:space="preserve"> data in the Southwest US, post-burnout flood modeling is limited.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5F06D3B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250"/>
        <w:gridCol w:w="2790"/>
        <w:gridCol w:w="4428"/>
      </w:tblGrid>
      <w:tr w:rsidR="00CC6870" w14:paraId="7242787F" w14:textId="77777777" w:rsidTr="00A1412C">
        <w:tc>
          <w:tcPr>
            <w:tcW w:w="225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lastRenderedPageBreak/>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42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5A252A62" w14:textId="77777777" w:rsidTr="00A1412C">
        <w:tc>
          <w:tcPr>
            <w:tcW w:w="2250" w:type="dxa"/>
            <w:vAlign w:val="center"/>
          </w:tcPr>
          <w:p w14:paraId="031A21AA" w14:textId="43071815"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NDVI</w:t>
            </w:r>
            <w:r w:rsidR="005901B2" w:rsidRPr="00653060">
              <w:rPr>
                <w:rFonts w:ascii="Century Gothic" w:hAnsi="Century Gothic" w:cs="Arial"/>
                <w:sz w:val="20"/>
                <w:szCs w:val="20"/>
              </w:rPr>
              <w:t>-</w:t>
            </w:r>
            <w:r w:rsidRPr="00653060">
              <w:rPr>
                <w:rFonts w:ascii="Century Gothic" w:hAnsi="Century Gothic" w:cs="Arial"/>
                <w:sz w:val="20"/>
                <w:szCs w:val="20"/>
              </w:rPr>
              <w:t>Based Vegetation Regrowth Rate</w:t>
            </w:r>
          </w:p>
        </w:tc>
        <w:tc>
          <w:tcPr>
            <w:tcW w:w="2790" w:type="dxa"/>
            <w:vAlign w:val="center"/>
          </w:tcPr>
          <w:p w14:paraId="1C8A3B18" w14:textId="6110D01C" w:rsidR="00CC6870" w:rsidRPr="00653060" w:rsidRDefault="00D52C5B" w:rsidP="005B6F55">
            <w:pPr>
              <w:spacing w:after="0" w:line="240" w:lineRule="auto"/>
              <w:rPr>
                <w:rFonts w:ascii="Century Gothic" w:hAnsi="Century Gothic" w:cs="Arial"/>
                <w:sz w:val="20"/>
                <w:szCs w:val="20"/>
              </w:rPr>
            </w:pPr>
            <w:r w:rsidRPr="00653060">
              <w:rPr>
                <w:rFonts w:ascii="Century Gothic" w:hAnsi="Century Gothic" w:cs="Arial"/>
                <w:sz w:val="20"/>
                <w:szCs w:val="20"/>
              </w:rPr>
              <w:t>Terra MODIS NDVI</w:t>
            </w:r>
          </w:p>
        </w:tc>
        <w:tc>
          <w:tcPr>
            <w:tcW w:w="4428" w:type="dxa"/>
            <w:vAlign w:val="center"/>
          </w:tcPr>
          <w:p w14:paraId="7E09D45F" w14:textId="348DE7EC" w:rsidR="00CC6870" w:rsidRPr="00653060" w:rsidRDefault="00D52C5B">
            <w:pPr>
              <w:spacing w:after="0" w:line="240" w:lineRule="auto"/>
              <w:rPr>
                <w:rFonts w:ascii="Century Gothic" w:hAnsi="Century Gothic" w:cs="Arial"/>
                <w:sz w:val="20"/>
                <w:szCs w:val="20"/>
              </w:rPr>
            </w:pPr>
            <w:r w:rsidRPr="00653060">
              <w:rPr>
                <w:rFonts w:ascii="Century Gothic" w:hAnsi="Century Gothic" w:cs="Arial"/>
                <w:sz w:val="20"/>
                <w:szCs w:val="20"/>
              </w:rPr>
              <w:t xml:space="preserve">This will be a set of maps depicting average vegetation regrowth rate on a per-pixel bases for a series of fires in the study area. </w:t>
            </w:r>
            <w:r w:rsidR="005901B2" w:rsidRPr="00653060">
              <w:rPr>
                <w:rFonts w:ascii="Century Gothic" w:hAnsi="Century Gothic" w:cs="Arial"/>
                <w:sz w:val="20"/>
                <w:szCs w:val="20"/>
              </w:rPr>
              <w:t xml:space="preserve">The accompanying </w:t>
            </w:r>
            <w:r w:rsidRPr="00653060">
              <w:rPr>
                <w:rFonts w:ascii="Century Gothic" w:hAnsi="Century Gothic" w:cs="Arial"/>
                <w:sz w:val="20"/>
                <w:szCs w:val="20"/>
              </w:rPr>
              <w:t>python script</w:t>
            </w:r>
            <w:r w:rsidR="005901B2" w:rsidRPr="00653060">
              <w:rPr>
                <w:rFonts w:ascii="Century Gothic" w:hAnsi="Century Gothic" w:cs="Arial"/>
                <w:sz w:val="20"/>
                <w:szCs w:val="20"/>
              </w:rPr>
              <w:t xml:space="preserve"> </w:t>
            </w:r>
            <w:r w:rsidRPr="00653060">
              <w:rPr>
                <w:rFonts w:ascii="Century Gothic" w:hAnsi="Century Gothic" w:cs="Arial"/>
                <w:sz w:val="20"/>
                <w:szCs w:val="20"/>
              </w:rPr>
              <w:t>allow</w:t>
            </w:r>
            <w:r w:rsidR="005901B2" w:rsidRPr="00653060">
              <w:rPr>
                <w:rFonts w:ascii="Century Gothic" w:hAnsi="Century Gothic" w:cs="Arial"/>
                <w:sz w:val="20"/>
                <w:szCs w:val="20"/>
              </w:rPr>
              <w:t>s</w:t>
            </w:r>
            <w:r w:rsidRPr="00653060">
              <w:rPr>
                <w:rFonts w:ascii="Century Gothic" w:hAnsi="Century Gothic" w:cs="Arial"/>
                <w:sz w:val="20"/>
                <w:szCs w:val="20"/>
              </w:rPr>
              <w:t xml:space="preserve"> </w:t>
            </w:r>
            <w:r w:rsidR="005901B2" w:rsidRPr="00653060">
              <w:rPr>
                <w:rFonts w:ascii="Century Gothic" w:hAnsi="Century Gothic" w:cs="Arial"/>
                <w:sz w:val="20"/>
                <w:szCs w:val="20"/>
              </w:rPr>
              <w:t xml:space="preserve">for the </w:t>
            </w:r>
            <w:r w:rsidR="00D768CA" w:rsidRPr="00653060">
              <w:rPr>
                <w:rFonts w:ascii="Century Gothic" w:hAnsi="Century Gothic" w:cs="Arial"/>
                <w:sz w:val="20"/>
                <w:szCs w:val="20"/>
              </w:rPr>
              <w:t>replicat</w:t>
            </w:r>
            <w:r w:rsidR="005901B2" w:rsidRPr="00653060">
              <w:rPr>
                <w:rFonts w:ascii="Century Gothic" w:hAnsi="Century Gothic" w:cs="Arial"/>
                <w:sz w:val="20"/>
                <w:szCs w:val="20"/>
              </w:rPr>
              <w:t>ion and future development of the product to further advance post-fire flooding tools.</w:t>
            </w:r>
          </w:p>
        </w:tc>
      </w:tr>
      <w:tr w:rsidR="00653060" w14:paraId="583C7533" w14:textId="77777777" w:rsidTr="00A1412C">
        <w:tc>
          <w:tcPr>
            <w:tcW w:w="2250" w:type="dxa"/>
            <w:vAlign w:val="center"/>
          </w:tcPr>
          <w:p w14:paraId="3938132F" w14:textId="2FD73B4F"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NDVI Extended Post-Burnout Flood Risk</w:t>
            </w:r>
          </w:p>
        </w:tc>
        <w:tc>
          <w:tcPr>
            <w:tcW w:w="2790" w:type="dxa"/>
            <w:vAlign w:val="center"/>
          </w:tcPr>
          <w:p w14:paraId="3744D727" w14:textId="6F0B20F6" w:rsidR="00653060" w:rsidRPr="00653060" w:rsidRDefault="00653060" w:rsidP="005B6F55">
            <w:pPr>
              <w:spacing w:after="0" w:line="240" w:lineRule="auto"/>
              <w:rPr>
                <w:rFonts w:ascii="Century Gothic" w:hAnsi="Century Gothic" w:cs="Arial"/>
                <w:sz w:val="20"/>
                <w:szCs w:val="20"/>
              </w:rPr>
            </w:pPr>
            <w:r w:rsidRPr="00653060">
              <w:rPr>
                <w:rFonts w:ascii="Century Gothic" w:hAnsi="Century Gothic" w:cs="Arial"/>
                <w:sz w:val="20"/>
                <w:szCs w:val="20"/>
              </w:rPr>
              <w:t>PERSIANN-CDR GridSat-B1, CMORPH-CDR, Terra ASTER, MODIS NDVI</w:t>
            </w:r>
          </w:p>
        </w:tc>
        <w:tc>
          <w:tcPr>
            <w:tcW w:w="4428" w:type="dxa"/>
            <w:vAlign w:val="center"/>
          </w:tcPr>
          <w:p w14:paraId="66FECE47" w14:textId="46FF819D" w:rsidR="000C5470" w:rsidRPr="00653060" w:rsidRDefault="00EB1DCE" w:rsidP="00EB1DCE">
            <w:pPr>
              <w:spacing w:after="0" w:line="240" w:lineRule="auto"/>
              <w:rPr>
                <w:rFonts w:ascii="Century Gothic" w:hAnsi="Century Gothic" w:cs="Arial"/>
                <w:sz w:val="20"/>
                <w:szCs w:val="20"/>
              </w:rPr>
            </w:pPr>
            <w:r>
              <w:rPr>
                <w:rFonts w:ascii="Century Gothic" w:hAnsi="Century Gothic"/>
                <w:sz w:val="20"/>
                <w:szCs w:val="20"/>
              </w:rPr>
              <w:t>This will be a set of maps that identify how precipitation anomalies, burn severity, and vegetation response impact flooding.</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948EE71" w14:textId="77777777" w:rsidR="00653060" w:rsidRDefault="00653060" w:rsidP="00653060">
      <w:pPr>
        <w:spacing w:after="0" w:line="240" w:lineRule="auto"/>
        <w:ind w:left="720" w:hanging="720"/>
        <w:jc w:val="center"/>
        <w:rPr>
          <w:rFonts w:ascii="Century Gothic" w:hAnsi="Century Gothic" w:cs="Arial"/>
          <w:sz w:val="20"/>
          <w:szCs w:val="20"/>
        </w:rPr>
      </w:pPr>
    </w:p>
    <w:p w14:paraId="7097FB8E" w14:textId="0D0D10C4" w:rsidR="000E7559" w:rsidRDefault="00653060" w:rsidP="00653060">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0D2330B4" wp14:editId="4CCF6956">
            <wp:extent cx="4511942" cy="3886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mages_landscape.jpg"/>
                    <pic:cNvPicPr/>
                  </pic:nvPicPr>
                  <pic:blipFill rotWithShape="1">
                    <a:blip r:embed="rId10" cstate="print">
                      <a:extLst>
                        <a:ext uri="{28A0092B-C50C-407E-A947-70E740481C1C}">
                          <a14:useLocalDpi xmlns:a14="http://schemas.microsoft.com/office/drawing/2010/main" val="0"/>
                        </a:ext>
                      </a:extLst>
                    </a:blip>
                    <a:srcRect l="12984" t="7858" r="11326" b="7775"/>
                    <a:stretch/>
                  </pic:blipFill>
                  <pic:spPr bwMode="auto">
                    <a:xfrm>
                      <a:off x="0" y="0"/>
                      <a:ext cx="4511942" cy="3886200"/>
                    </a:xfrm>
                    <a:prstGeom prst="rect">
                      <a:avLst/>
                    </a:prstGeom>
                    <a:ln>
                      <a:noFill/>
                    </a:ln>
                    <a:extLst>
                      <a:ext uri="{53640926-AAD7-44D8-BBD7-CCE9431645EC}">
                        <a14:shadowObscured xmlns:a14="http://schemas.microsoft.com/office/drawing/2010/main"/>
                      </a:ext>
                    </a:extLst>
                  </pic:spPr>
                </pic:pic>
              </a:graphicData>
            </a:graphic>
          </wp:inline>
        </w:drawing>
      </w:r>
    </w:p>
    <w:p w14:paraId="556D75AF" w14:textId="77777777" w:rsidR="00653060" w:rsidRPr="00603BB8" w:rsidRDefault="00653060" w:rsidP="00653060">
      <w:pPr>
        <w:spacing w:after="0" w:line="240" w:lineRule="auto"/>
        <w:ind w:left="720" w:hanging="720"/>
        <w:jc w:val="center"/>
        <w:rPr>
          <w:rFonts w:ascii="Century Gothic" w:hAnsi="Century Gothic" w:cs="Arial"/>
          <w:sz w:val="20"/>
          <w:szCs w:val="20"/>
        </w:rPr>
      </w:pPr>
    </w:p>
    <w:p w14:paraId="119A6782" w14:textId="27664B3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517267">
        <w:rPr>
          <w:rFonts w:ascii="Century Gothic" w:hAnsi="Century Gothic" w:cs="Arial"/>
          <w:sz w:val="20"/>
          <w:szCs w:val="20"/>
        </w:rPr>
        <w:t>Yearly Average MODIS NDVI compared to Yearly Average NOAA</w:t>
      </w:r>
      <w:r w:rsidR="00653060">
        <w:rPr>
          <w:rFonts w:ascii="Century Gothic" w:hAnsi="Century Gothic" w:cs="Arial"/>
          <w:sz w:val="20"/>
          <w:szCs w:val="20"/>
        </w:rPr>
        <w:t xml:space="preserve"> </w:t>
      </w:r>
      <w:r w:rsidR="00517267">
        <w:rPr>
          <w:rFonts w:ascii="Century Gothic" w:hAnsi="Century Gothic" w:cs="Arial"/>
          <w:sz w:val="20"/>
          <w:szCs w:val="20"/>
        </w:rPr>
        <w:t>PERSIANN</w:t>
      </w:r>
      <w:r w:rsidR="00653060">
        <w:rPr>
          <w:rFonts w:ascii="Century Gothic" w:hAnsi="Century Gothic" w:cs="Arial"/>
          <w:sz w:val="20"/>
          <w:szCs w:val="20"/>
        </w:rPr>
        <w:t>-CDR</w:t>
      </w:r>
      <w:r w:rsidR="00517267">
        <w:rPr>
          <w:rFonts w:ascii="Century Gothic" w:hAnsi="Century Gothic" w:cs="Arial"/>
          <w:sz w:val="20"/>
          <w:szCs w:val="20"/>
        </w:rPr>
        <w:t xml:space="preserve"> Precipitation</w:t>
      </w:r>
      <w:r w:rsidR="00874489">
        <w:rPr>
          <w:rFonts w:ascii="Century Gothic" w:hAnsi="Century Gothic" w:cs="Arial"/>
          <w:sz w:val="20"/>
          <w:szCs w:val="20"/>
        </w:rPr>
        <w:t>] Image Credit: Southwest United States Disasters</w:t>
      </w:r>
      <w:r w:rsidR="00CC1EF4">
        <w:rPr>
          <w:rFonts w:ascii="Century Gothic" w:hAnsi="Century Gothic" w:cs="Arial"/>
          <w:sz w:val="20"/>
          <w:szCs w:val="20"/>
        </w:rPr>
        <w:t xml:space="preserve"> Team.</w:t>
      </w:r>
    </w:p>
    <w:p w14:paraId="6B818F82" w14:textId="36543F84"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653060">
        <w:rPr>
          <w:rFonts w:ascii="Century Gothic" w:hAnsi="Century Gothic" w:cs="Arial"/>
          <w:sz w:val="20"/>
          <w:szCs w:val="20"/>
        </w:rPr>
        <w:t>2015Sum_NCEI_SouthwestUSDisasters_ProjectImage.jpg</w:t>
      </w:r>
    </w:p>
    <w:p w14:paraId="584CE560" w14:textId="46AE0265" w:rsidR="009C12B1" w:rsidRPr="00603BB8" w:rsidRDefault="009C12B1" w:rsidP="00651BA2">
      <w:pPr>
        <w:spacing w:after="0" w:line="240" w:lineRule="auto"/>
        <w:rPr>
          <w:rFonts w:ascii="Century Gothic" w:hAnsi="Century Gothic" w:cs="Arial"/>
          <w:sz w:val="20"/>
          <w:szCs w:val="20"/>
        </w:rPr>
      </w:pPr>
    </w:p>
    <w:sectPr w:rsidR="009C12B1" w:rsidRPr="00603BB8" w:rsidSect="002E437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17AF6" w14:textId="77777777" w:rsidR="00EA3823" w:rsidRDefault="00EA3823" w:rsidP="00816220">
      <w:pPr>
        <w:spacing w:after="0" w:line="240" w:lineRule="auto"/>
      </w:pPr>
      <w:r>
        <w:separator/>
      </w:r>
    </w:p>
  </w:endnote>
  <w:endnote w:type="continuationSeparator" w:id="0">
    <w:p w14:paraId="4DBEA068" w14:textId="77777777" w:rsidR="00EA3823" w:rsidRDefault="00EA382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73DA" w14:textId="77777777" w:rsidR="00EA3823" w:rsidRDefault="00EA3823" w:rsidP="00816220">
      <w:pPr>
        <w:spacing w:after="0" w:line="240" w:lineRule="auto"/>
      </w:pPr>
      <w:r>
        <w:separator/>
      </w:r>
    </w:p>
  </w:footnote>
  <w:footnote w:type="continuationSeparator" w:id="0">
    <w:p w14:paraId="22480B66" w14:textId="77777777" w:rsidR="00EA3823" w:rsidRDefault="00EA382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F2B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6C64"/>
    <w:rsid w:val="00037ED9"/>
    <w:rsid w:val="00040A91"/>
    <w:rsid w:val="000537AC"/>
    <w:rsid w:val="000679C0"/>
    <w:rsid w:val="00071662"/>
    <w:rsid w:val="00077D07"/>
    <w:rsid w:val="00081859"/>
    <w:rsid w:val="00084640"/>
    <w:rsid w:val="000A7821"/>
    <w:rsid w:val="000B7B44"/>
    <w:rsid w:val="000C0E41"/>
    <w:rsid w:val="000C5470"/>
    <w:rsid w:val="000C5A9D"/>
    <w:rsid w:val="000D1653"/>
    <w:rsid w:val="000E34F3"/>
    <w:rsid w:val="000E7559"/>
    <w:rsid w:val="000F511D"/>
    <w:rsid w:val="00107193"/>
    <w:rsid w:val="00112740"/>
    <w:rsid w:val="00140DAD"/>
    <w:rsid w:val="001726C7"/>
    <w:rsid w:val="001D3305"/>
    <w:rsid w:val="00200201"/>
    <w:rsid w:val="00212488"/>
    <w:rsid w:val="00215DA0"/>
    <w:rsid w:val="00236381"/>
    <w:rsid w:val="002516A3"/>
    <w:rsid w:val="00280FB0"/>
    <w:rsid w:val="002A65A8"/>
    <w:rsid w:val="002B6BFC"/>
    <w:rsid w:val="002E4378"/>
    <w:rsid w:val="003053B0"/>
    <w:rsid w:val="0030754A"/>
    <w:rsid w:val="00313897"/>
    <w:rsid w:val="0032012D"/>
    <w:rsid w:val="00326208"/>
    <w:rsid w:val="00336728"/>
    <w:rsid w:val="00345827"/>
    <w:rsid w:val="003545A4"/>
    <w:rsid w:val="0036234F"/>
    <w:rsid w:val="003A512B"/>
    <w:rsid w:val="003B2A86"/>
    <w:rsid w:val="003F2639"/>
    <w:rsid w:val="003F439B"/>
    <w:rsid w:val="003F68F5"/>
    <w:rsid w:val="00402FAF"/>
    <w:rsid w:val="0040356D"/>
    <w:rsid w:val="004046B2"/>
    <w:rsid w:val="00420300"/>
    <w:rsid w:val="00434799"/>
    <w:rsid w:val="00454EA3"/>
    <w:rsid w:val="004702D6"/>
    <w:rsid w:val="00470436"/>
    <w:rsid w:val="00486C4B"/>
    <w:rsid w:val="004B4C28"/>
    <w:rsid w:val="004C38B3"/>
    <w:rsid w:val="004C7316"/>
    <w:rsid w:val="004D4B23"/>
    <w:rsid w:val="004E3BC6"/>
    <w:rsid w:val="00501143"/>
    <w:rsid w:val="00514853"/>
    <w:rsid w:val="00514A5C"/>
    <w:rsid w:val="00517267"/>
    <w:rsid w:val="00517D32"/>
    <w:rsid w:val="00520FF6"/>
    <w:rsid w:val="005617DB"/>
    <w:rsid w:val="00581885"/>
    <w:rsid w:val="005901B2"/>
    <w:rsid w:val="00590B8B"/>
    <w:rsid w:val="00591A42"/>
    <w:rsid w:val="00592371"/>
    <w:rsid w:val="005B4167"/>
    <w:rsid w:val="005B6F55"/>
    <w:rsid w:val="005E4AC6"/>
    <w:rsid w:val="005F6E5D"/>
    <w:rsid w:val="00603BB8"/>
    <w:rsid w:val="006425C9"/>
    <w:rsid w:val="00651BA2"/>
    <w:rsid w:val="00653060"/>
    <w:rsid w:val="00677CB8"/>
    <w:rsid w:val="00683986"/>
    <w:rsid w:val="006A6894"/>
    <w:rsid w:val="006F18ED"/>
    <w:rsid w:val="006F70D8"/>
    <w:rsid w:val="00707C56"/>
    <w:rsid w:val="00721466"/>
    <w:rsid w:val="007338D2"/>
    <w:rsid w:val="00736A46"/>
    <w:rsid w:val="00740000"/>
    <w:rsid w:val="00743D28"/>
    <w:rsid w:val="007466CE"/>
    <w:rsid w:val="0075569C"/>
    <w:rsid w:val="00757501"/>
    <w:rsid w:val="00770D88"/>
    <w:rsid w:val="007A34FB"/>
    <w:rsid w:val="007B30DD"/>
    <w:rsid w:val="007B7832"/>
    <w:rsid w:val="007C3EDF"/>
    <w:rsid w:val="007E291F"/>
    <w:rsid w:val="007E4F6F"/>
    <w:rsid w:val="00816220"/>
    <w:rsid w:val="00832C08"/>
    <w:rsid w:val="00835CEE"/>
    <w:rsid w:val="00837FF8"/>
    <w:rsid w:val="00841CDC"/>
    <w:rsid w:val="00860A65"/>
    <w:rsid w:val="00874489"/>
    <w:rsid w:val="008746A4"/>
    <w:rsid w:val="008B166F"/>
    <w:rsid w:val="008C1C1A"/>
    <w:rsid w:val="00902BE7"/>
    <w:rsid w:val="00907647"/>
    <w:rsid w:val="0093138E"/>
    <w:rsid w:val="0097582D"/>
    <w:rsid w:val="00980330"/>
    <w:rsid w:val="009A326F"/>
    <w:rsid w:val="009C12B1"/>
    <w:rsid w:val="009C3AB5"/>
    <w:rsid w:val="009C7B12"/>
    <w:rsid w:val="009D2EDC"/>
    <w:rsid w:val="00A063F5"/>
    <w:rsid w:val="00A0730D"/>
    <w:rsid w:val="00A1412C"/>
    <w:rsid w:val="00A174D1"/>
    <w:rsid w:val="00A40221"/>
    <w:rsid w:val="00A60645"/>
    <w:rsid w:val="00A8589F"/>
    <w:rsid w:val="00A931CE"/>
    <w:rsid w:val="00AC0354"/>
    <w:rsid w:val="00AC5084"/>
    <w:rsid w:val="00AD4AED"/>
    <w:rsid w:val="00AD6679"/>
    <w:rsid w:val="00AE5D68"/>
    <w:rsid w:val="00B04150"/>
    <w:rsid w:val="00B044AE"/>
    <w:rsid w:val="00B04531"/>
    <w:rsid w:val="00B22E71"/>
    <w:rsid w:val="00B23EAA"/>
    <w:rsid w:val="00B767B8"/>
    <w:rsid w:val="00B82BB6"/>
    <w:rsid w:val="00B97D11"/>
    <w:rsid w:val="00BA5773"/>
    <w:rsid w:val="00BE2132"/>
    <w:rsid w:val="00C1027B"/>
    <w:rsid w:val="00C340AC"/>
    <w:rsid w:val="00C354DB"/>
    <w:rsid w:val="00C370C2"/>
    <w:rsid w:val="00C756C6"/>
    <w:rsid w:val="00C82473"/>
    <w:rsid w:val="00CB2C29"/>
    <w:rsid w:val="00CC1EF4"/>
    <w:rsid w:val="00CC559E"/>
    <w:rsid w:val="00CC6870"/>
    <w:rsid w:val="00CD49FF"/>
    <w:rsid w:val="00CE3E6A"/>
    <w:rsid w:val="00D21CB4"/>
    <w:rsid w:val="00D2508E"/>
    <w:rsid w:val="00D2608D"/>
    <w:rsid w:val="00D339EB"/>
    <w:rsid w:val="00D34C2C"/>
    <w:rsid w:val="00D429F5"/>
    <w:rsid w:val="00D52C5B"/>
    <w:rsid w:val="00D579FC"/>
    <w:rsid w:val="00D768CA"/>
    <w:rsid w:val="00D84F29"/>
    <w:rsid w:val="00D85373"/>
    <w:rsid w:val="00D918C9"/>
    <w:rsid w:val="00E157E8"/>
    <w:rsid w:val="00E25967"/>
    <w:rsid w:val="00E3198A"/>
    <w:rsid w:val="00E507D0"/>
    <w:rsid w:val="00E80174"/>
    <w:rsid w:val="00E83A4B"/>
    <w:rsid w:val="00E91B0A"/>
    <w:rsid w:val="00E934C5"/>
    <w:rsid w:val="00E93D12"/>
    <w:rsid w:val="00E953ED"/>
    <w:rsid w:val="00E96701"/>
    <w:rsid w:val="00EA3823"/>
    <w:rsid w:val="00EB1DCE"/>
    <w:rsid w:val="00EB54F0"/>
    <w:rsid w:val="00EB7CF9"/>
    <w:rsid w:val="00EC0F57"/>
    <w:rsid w:val="00ED06FF"/>
    <w:rsid w:val="00F05CC1"/>
    <w:rsid w:val="00F13449"/>
    <w:rsid w:val="00F1798C"/>
    <w:rsid w:val="00F261BD"/>
    <w:rsid w:val="00F36A8C"/>
    <w:rsid w:val="00F42B7C"/>
    <w:rsid w:val="00F6325C"/>
    <w:rsid w:val="00F63E53"/>
    <w:rsid w:val="00F76AD7"/>
    <w:rsid w:val="00F82819"/>
    <w:rsid w:val="00FC1CEF"/>
    <w:rsid w:val="00FD6F71"/>
    <w:rsid w:val="00FF2FC5"/>
    <w:rsid w:val="00FF392C"/>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9B157026-3BDA-4888-9145-46A680D1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D34C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9355047">
      <w:bodyDiv w:val="1"/>
      <w:marLeft w:val="0"/>
      <w:marRight w:val="0"/>
      <w:marTop w:val="0"/>
      <w:marBottom w:val="0"/>
      <w:divBdr>
        <w:top w:val="none" w:sz="0" w:space="0" w:color="auto"/>
        <w:left w:val="none" w:sz="0" w:space="0" w:color="auto"/>
        <w:bottom w:val="none" w:sz="0" w:space="0" w:color="auto"/>
        <w:right w:val="none" w:sz="0" w:space="0" w:color="auto"/>
      </w:divBdr>
    </w:div>
    <w:div w:id="1085498957">
      <w:bodyDiv w:val="1"/>
      <w:marLeft w:val="0"/>
      <w:marRight w:val="0"/>
      <w:marTop w:val="0"/>
      <w:marBottom w:val="0"/>
      <w:divBdr>
        <w:top w:val="none" w:sz="0" w:space="0" w:color="auto"/>
        <w:left w:val="none" w:sz="0" w:space="0" w:color="auto"/>
        <w:bottom w:val="none" w:sz="0" w:space="0" w:color="auto"/>
        <w:right w:val="none" w:sz="0" w:space="0" w:color="auto"/>
      </w:divBdr>
    </w:div>
    <w:div w:id="156752239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ason.zylberman@noa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0902-F6D0-4A1B-BCF4-F1909172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Childs, Lauren M. (LARC-E3)[DEVELOP - Wise County (LaRC)]</cp:lastModifiedBy>
  <cp:revision>4</cp:revision>
  <dcterms:created xsi:type="dcterms:W3CDTF">2015-07-10T11:47:00Z</dcterms:created>
  <dcterms:modified xsi:type="dcterms:W3CDTF">2015-07-13T12:20:00Z</dcterms:modified>
</cp:coreProperties>
</file>