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4F5A0C" w14:textId="77777777" w:rsidR="00C737CC" w:rsidRPr="00C737CC" w:rsidRDefault="00C737CC" w:rsidP="00C737CC">
      <w:pPr>
        <w:tabs>
          <w:tab w:val="left" w:pos="7329"/>
        </w:tabs>
        <w:spacing w:after="0" w:line="240" w:lineRule="auto"/>
        <w:jc w:val="right"/>
        <w:rPr>
          <w:rFonts w:ascii="Garamond" w:hAnsi="Garamond" w:cs="Arial"/>
          <w:sz w:val="40"/>
        </w:rPr>
      </w:pPr>
      <w:r w:rsidRPr="00C737CC">
        <w:rPr>
          <w:rFonts w:ascii="Garamond" w:hAnsi="Garamond" w:cs="Arial"/>
          <w:sz w:val="40"/>
        </w:rPr>
        <w:t>Philadelphia Health &amp; Air Quality</w:t>
      </w:r>
    </w:p>
    <w:p w14:paraId="363E3522" w14:textId="77777777" w:rsidR="00C737CC" w:rsidRPr="00C737CC" w:rsidRDefault="00C737CC" w:rsidP="00C737CC">
      <w:pPr>
        <w:spacing w:after="0" w:line="240" w:lineRule="auto"/>
        <w:jc w:val="right"/>
        <w:rPr>
          <w:rFonts w:ascii="Garamond" w:hAnsi="Garamond" w:cs="Arial"/>
          <w:sz w:val="32"/>
        </w:rPr>
      </w:pPr>
      <w:r w:rsidRPr="00C737CC">
        <w:rPr>
          <w:rFonts w:ascii="Garamond" w:hAnsi="Garamond"/>
          <w:sz w:val="28"/>
          <w:szCs w:val="28"/>
        </w:rPr>
        <w:t>Assessing Land Surface Temperature, Vegetation Cover, and Compounding Vulnerability Factors to Identify High Priority Areas for Cooling Initiatives in Philadelphia, Pennsylvania</w:t>
      </w:r>
    </w:p>
    <w:p w14:paraId="0F963EE5" w14:textId="77777777" w:rsidR="009830D6" w:rsidRPr="00C737CC" w:rsidRDefault="009830D6" w:rsidP="0066138C">
      <w:pPr>
        <w:spacing w:after="0" w:line="240" w:lineRule="auto"/>
        <w:rPr>
          <w:rFonts w:ascii="Garamond" w:hAnsi="Garamond" w:cs="Arial"/>
          <w:sz w:val="32"/>
        </w:rPr>
      </w:pPr>
    </w:p>
    <w:p w14:paraId="11F786B3" w14:textId="77777777" w:rsidR="00E578D6" w:rsidRPr="00C737C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47383C1B" w:rsidR="00916AAB" w:rsidRPr="0066138C" w:rsidRDefault="009B076E" w:rsidP="0066138C">
      <w:pPr>
        <w:spacing w:after="0" w:line="240" w:lineRule="auto"/>
        <w:jc w:val="center"/>
        <w:rPr>
          <w:rFonts w:ascii="Garamond" w:hAnsi="Garamond" w:cs="Arial"/>
          <w:sz w:val="28"/>
        </w:rPr>
      </w:pPr>
      <w:r w:rsidRPr="009B076E">
        <w:rPr>
          <w:rFonts w:ascii="Garamond" w:hAnsi="Garamond" w:cs="Arial"/>
          <w:sz w:val="28"/>
        </w:rPr>
        <w:t>Final</w:t>
      </w:r>
      <w:r w:rsidR="00BA41F7" w:rsidRPr="009B076E">
        <w:rPr>
          <w:rFonts w:ascii="Garamond" w:hAnsi="Garamond" w:cs="Arial"/>
          <w:sz w:val="28"/>
        </w:rPr>
        <w:t xml:space="preserve"> Draft</w:t>
      </w:r>
      <w:r w:rsidR="0064280B" w:rsidRPr="009B076E">
        <w:rPr>
          <w:rFonts w:ascii="Garamond" w:hAnsi="Garamond" w:cs="Arial"/>
          <w:sz w:val="28"/>
        </w:rPr>
        <w:t xml:space="preserve"> </w:t>
      </w:r>
      <w:r w:rsidR="009A20ED" w:rsidRPr="009B076E">
        <w:rPr>
          <w:rFonts w:ascii="Garamond" w:hAnsi="Garamond" w:cs="Arial"/>
          <w:sz w:val="28"/>
        </w:rPr>
        <w:t>–</w:t>
      </w:r>
      <w:r w:rsidRPr="009B076E">
        <w:rPr>
          <w:rFonts w:ascii="Garamond" w:hAnsi="Garamond" w:cs="Arial"/>
          <w:sz w:val="28"/>
        </w:rPr>
        <w:t xml:space="preserve"> April </w:t>
      </w:r>
      <w:r w:rsidR="00A84352" w:rsidRPr="009B076E">
        <w:rPr>
          <w:rFonts w:ascii="Garamond" w:hAnsi="Garamond" w:cs="Arial"/>
          <w:sz w:val="28"/>
        </w:rPr>
        <w:t>2</w:t>
      </w:r>
      <w:r w:rsidRPr="009B076E">
        <w:rPr>
          <w:rFonts w:ascii="Garamond" w:hAnsi="Garamond" w:cs="Arial"/>
          <w:sz w:val="28"/>
          <w:vertAlign w:val="superscript"/>
        </w:rPr>
        <w:t>nd</w:t>
      </w:r>
      <w:r w:rsidR="00A2773A" w:rsidRPr="009B076E">
        <w:rPr>
          <w:rFonts w:ascii="Garamond" w:hAnsi="Garamond" w:cs="Arial"/>
          <w:sz w:val="28"/>
        </w:rPr>
        <w:t xml:space="preserve">, </w:t>
      </w:r>
      <w:r w:rsidR="00A84352" w:rsidRPr="009B076E">
        <w:rPr>
          <w:rFonts w:ascii="Garamond" w:hAnsi="Garamond" w:cs="Arial"/>
          <w:sz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2ECBEA05" w:rsidR="0041150E" w:rsidRPr="004D75CF" w:rsidRDefault="009B076E" w:rsidP="0066138C">
      <w:pPr>
        <w:spacing w:after="0" w:line="240" w:lineRule="auto"/>
        <w:jc w:val="center"/>
        <w:rPr>
          <w:rFonts w:ascii="Garamond" w:hAnsi="Garamond" w:cs="Arial"/>
          <w:sz w:val="20"/>
        </w:rPr>
      </w:pPr>
      <w:r>
        <w:rPr>
          <w:rFonts w:ascii="Garamond" w:hAnsi="Garamond" w:cs="Arial"/>
          <w:sz w:val="20"/>
        </w:rPr>
        <w:t>Brandy Nisbet-Wilcox</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4EA3647E" w:rsidR="00B265D9" w:rsidRPr="004D75CF" w:rsidRDefault="009B076E" w:rsidP="0066138C">
      <w:pPr>
        <w:spacing w:after="0" w:line="240" w:lineRule="auto"/>
        <w:jc w:val="center"/>
        <w:rPr>
          <w:rFonts w:ascii="Garamond" w:hAnsi="Garamond" w:cs="Arial"/>
          <w:sz w:val="20"/>
        </w:rPr>
      </w:pPr>
      <w:r>
        <w:rPr>
          <w:rFonts w:ascii="Garamond" w:hAnsi="Garamond" w:cs="Arial"/>
          <w:sz w:val="20"/>
        </w:rPr>
        <w:t>Samuel Meltzer</w:t>
      </w:r>
    </w:p>
    <w:p w14:paraId="28B20EB9" w14:textId="5B4D6A12" w:rsidR="00FC670A" w:rsidRPr="004D75CF" w:rsidRDefault="009B076E" w:rsidP="0066138C">
      <w:pPr>
        <w:spacing w:after="0" w:line="240" w:lineRule="auto"/>
        <w:jc w:val="center"/>
        <w:rPr>
          <w:rFonts w:ascii="Garamond" w:hAnsi="Garamond" w:cs="Arial"/>
          <w:sz w:val="20"/>
        </w:rPr>
      </w:pPr>
      <w:r>
        <w:rPr>
          <w:rFonts w:ascii="Garamond" w:hAnsi="Garamond" w:cs="Arial"/>
          <w:sz w:val="20"/>
        </w:rPr>
        <w:t>Spencer Nelson</w:t>
      </w:r>
    </w:p>
    <w:p w14:paraId="51EBA91F" w14:textId="72B17CD6" w:rsidR="00FC670A" w:rsidRPr="004D75CF" w:rsidRDefault="009B076E" w:rsidP="0066138C">
      <w:pPr>
        <w:spacing w:after="0" w:line="240" w:lineRule="auto"/>
        <w:jc w:val="center"/>
        <w:rPr>
          <w:rFonts w:ascii="Garamond" w:hAnsi="Garamond" w:cs="Arial"/>
          <w:sz w:val="20"/>
        </w:rPr>
      </w:pPr>
      <w:r>
        <w:rPr>
          <w:rFonts w:ascii="Garamond" w:hAnsi="Garamond" w:cs="Arial"/>
          <w:sz w:val="20"/>
        </w:rPr>
        <w:t>Charlotte Wagner</w:t>
      </w:r>
    </w:p>
    <w:p w14:paraId="58C3E2E7" w14:textId="77777777" w:rsidR="00FC670A" w:rsidRPr="004D75CF" w:rsidRDefault="00FC670A" w:rsidP="0066138C">
      <w:pPr>
        <w:spacing w:after="0" w:line="240" w:lineRule="auto"/>
        <w:jc w:val="center"/>
        <w:rPr>
          <w:rFonts w:ascii="Garamond" w:hAnsi="Garamond" w:cs="Arial"/>
          <w:sz w:val="20"/>
        </w:rPr>
      </w:pPr>
    </w:p>
    <w:p w14:paraId="6DE48D2F" w14:textId="4486676A" w:rsidR="00916AAB" w:rsidRPr="004D75CF" w:rsidRDefault="009B076E" w:rsidP="0066138C">
      <w:pPr>
        <w:spacing w:after="0" w:line="240" w:lineRule="auto"/>
        <w:jc w:val="center"/>
        <w:rPr>
          <w:rFonts w:ascii="Garamond" w:hAnsi="Garamond" w:cs="Arial"/>
          <w:sz w:val="20"/>
        </w:rPr>
      </w:pPr>
      <w:r>
        <w:rPr>
          <w:rFonts w:ascii="Garamond" w:hAnsi="Garamond" w:cs="Arial"/>
          <w:sz w:val="20"/>
        </w:rPr>
        <w:t>Dr. David Hondula</w:t>
      </w:r>
      <w:r w:rsidR="00916AAB" w:rsidRPr="004D75CF">
        <w:rPr>
          <w:rFonts w:ascii="Garamond" w:hAnsi="Garamond" w:cs="Arial"/>
          <w:sz w:val="20"/>
        </w:rPr>
        <w:t xml:space="preserve">, </w:t>
      </w:r>
      <w:r w:rsidR="00FC670A" w:rsidRPr="004D75CF">
        <w:rPr>
          <w:rFonts w:ascii="Garamond" w:hAnsi="Garamond" w:cs="Arial"/>
          <w:sz w:val="20"/>
        </w:rPr>
        <w:t>A</w:t>
      </w:r>
      <w:r>
        <w:rPr>
          <w:rFonts w:ascii="Garamond" w:hAnsi="Garamond" w:cs="Arial"/>
          <w:sz w:val="20"/>
        </w:rPr>
        <w:t>rizona State University</w:t>
      </w:r>
      <w:r w:rsidR="00916AAB" w:rsidRPr="004D75CF">
        <w:rPr>
          <w:rFonts w:ascii="Garamond" w:hAnsi="Garamond" w:cs="Arial"/>
          <w:sz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00721E94" w14:textId="490027EE" w:rsidR="00D3013B" w:rsidRDefault="009B076E" w:rsidP="0066138C">
      <w:pPr>
        <w:spacing w:after="0" w:line="240" w:lineRule="auto"/>
        <w:rPr>
          <w:rFonts w:ascii="Garamond" w:hAnsi="Garamond" w:cs="Arial"/>
          <w:szCs w:val="24"/>
        </w:rPr>
      </w:pPr>
      <w:r w:rsidRPr="009B076E">
        <w:rPr>
          <w:rFonts w:ascii="Garamond" w:hAnsi="Garamond" w:cs="Arial"/>
          <w:szCs w:val="24"/>
        </w:rPr>
        <w:t>Heat is the leading cause of weather-related deaths in the US, with heat-related hospitalizations increasing by 2-5% between 2001-2010. In Philadelphia alone, 137 heat-related deaths were recorded between 2010-2018, while a total of 18 daily temperature records have been set since 2010. Temperature is relatively higher in cities compared to rural areas, a phenomenon known as the urban heat island effect. This effect exaggerates daytime maximum temperatures and nighttime heat retention in urban areas, which increases heat exposure in urban environments and especially impacts vulnerable populations. Vulnerability to heat-related illnesses is determined by a combination of risk factors, such as demographics, socioeconomic status, and preexisting health conditions. This project supported the Philadelphia Department of Public Health and Office of Sustainability by identifying priority areas for cooling interventions, such as heat danger educational outreach and urban tree planting. The team developed heat vulnerability scores for each census tract within Philadelphia. Remotely sensed land surface temperature, normalized difference vegetation index, normalized difference built-up index, normalized difference water index, and albedo data were calculated from Aqua Moderate Resolution Imaging Spectroradiometer and Landsat 8 Operational Land Imager/Thermal Infrared Sensor instruments. These variables were weighted against socioeconomic variables and preexisting health conditions using a principal component analysis. A total of 74 census tracts clustered were identified as high-risk areas for heat-related illnesses. 15 of these census tracts also had very low tree density (lower 20th percentile) and should be targeted for tree planting initiatives. The findings of this project will help target interventions to mitigate heat-related health issues and improve the overall wellness of Philadelphia residents.</w:t>
      </w:r>
    </w:p>
    <w:p w14:paraId="2608C1F6" w14:textId="77777777" w:rsidR="009B076E" w:rsidRPr="0066138C" w:rsidRDefault="009B076E"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12AB3859" w14:textId="753A25EE" w:rsidR="0066138C" w:rsidRDefault="002148A3" w:rsidP="0066138C">
      <w:pPr>
        <w:spacing w:after="0" w:line="240" w:lineRule="auto"/>
        <w:rPr>
          <w:rFonts w:ascii="Garamond" w:hAnsi="Garamond" w:cs="Arial"/>
        </w:rPr>
      </w:pPr>
      <w:bookmarkStart w:id="0" w:name="_Toc334198720"/>
      <w:r w:rsidRPr="002148A3">
        <w:rPr>
          <w:rFonts w:ascii="Garamond" w:hAnsi="Garamond" w:cs="Arial"/>
        </w:rPr>
        <w:t>urban heat, heat vulnerability, land surface temperature, NDVI, NDBI, NDWI, albedo, remote sensing, principal component analysis</w:t>
      </w:r>
    </w:p>
    <w:p w14:paraId="52CE0196" w14:textId="77777777" w:rsidR="00D076A5" w:rsidRPr="0066138C" w:rsidRDefault="00D076A5" w:rsidP="0066138C">
      <w:pPr>
        <w:spacing w:after="0" w:line="240" w:lineRule="auto"/>
        <w:rPr>
          <w:rFonts w:ascii="Garamond" w:hAnsi="Garamond" w:cs="Arial"/>
        </w:rPr>
      </w:pPr>
    </w:p>
    <w:p w14:paraId="24D6C1A2" w14:textId="441FC783" w:rsidR="00E03B8E" w:rsidRPr="00D076A5" w:rsidRDefault="00C15E9C" w:rsidP="00D076A5">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bookmarkEnd w:id="1"/>
    <w:p w14:paraId="03231443" w14:textId="77777777" w:rsidR="00987B5A" w:rsidRPr="00987B5A" w:rsidRDefault="00987B5A" w:rsidP="00987B5A">
      <w:pPr>
        <w:spacing w:after="0" w:line="240" w:lineRule="auto"/>
        <w:rPr>
          <w:rFonts w:ascii="Garamond" w:hAnsi="Garamond"/>
          <w:bCs/>
        </w:rPr>
      </w:pPr>
      <w:r w:rsidRPr="00987B5A">
        <w:rPr>
          <w:rFonts w:ascii="Garamond" w:hAnsi="Garamond"/>
          <w:bCs/>
        </w:rPr>
        <w:t xml:space="preserve">Heat-illnesses are a leading cause of weather-related deaths in the US. Heat-related hospitalizations increased by 2-5% between 2001 and 2010 (Centers for Disease Control and Prevention, 2019). Heat-related illnesses range from minor symptoms like heat cramps and heat exhaustion, to death from severe heat stroke, ischemic heart disease, diabetes, stroke, and respiratory diseases (Lugo-Amador, </w:t>
      </w:r>
      <w:proofErr w:type="spellStart"/>
      <w:r w:rsidRPr="00987B5A">
        <w:rPr>
          <w:rFonts w:ascii="Garamond" w:hAnsi="Garamond"/>
          <w:bCs/>
        </w:rPr>
        <w:t>Rothenhaus</w:t>
      </w:r>
      <w:proofErr w:type="spellEnd"/>
      <w:r w:rsidRPr="00987B5A">
        <w:rPr>
          <w:rFonts w:ascii="Garamond" w:hAnsi="Garamond"/>
          <w:bCs/>
        </w:rPr>
        <w:t xml:space="preserve">, &amp; Moyer, 2004; </w:t>
      </w:r>
      <w:proofErr w:type="spellStart"/>
      <w:r w:rsidRPr="00987B5A">
        <w:rPr>
          <w:rFonts w:ascii="Garamond" w:hAnsi="Garamond"/>
          <w:bCs/>
        </w:rPr>
        <w:t>McGeehin</w:t>
      </w:r>
      <w:proofErr w:type="spellEnd"/>
      <w:r w:rsidRPr="00987B5A">
        <w:rPr>
          <w:rFonts w:ascii="Garamond" w:hAnsi="Garamond"/>
          <w:bCs/>
        </w:rPr>
        <w:t xml:space="preserve"> &amp; </w:t>
      </w:r>
      <w:proofErr w:type="spellStart"/>
      <w:r w:rsidRPr="00987B5A">
        <w:rPr>
          <w:rFonts w:ascii="Garamond" w:hAnsi="Garamond"/>
          <w:bCs/>
        </w:rPr>
        <w:t>Mirabelli</w:t>
      </w:r>
      <w:proofErr w:type="spellEnd"/>
      <w:r w:rsidRPr="00987B5A">
        <w:rPr>
          <w:rFonts w:ascii="Garamond" w:hAnsi="Garamond"/>
          <w:bCs/>
        </w:rPr>
        <w:t xml:space="preserve">, 2001). In Philadelphia alone, 137 heat-related deaths were recorded between 2010 and 2018. A total of 18 daily temperature records have been set in Philadelphia since 2010 (Philadelphia Office of Sustainability, 2019). </w:t>
      </w:r>
    </w:p>
    <w:p w14:paraId="73CCF6B9" w14:textId="77777777" w:rsidR="00987B5A" w:rsidRPr="00987B5A" w:rsidRDefault="00987B5A" w:rsidP="00987B5A">
      <w:pPr>
        <w:spacing w:after="0" w:line="240" w:lineRule="auto"/>
        <w:rPr>
          <w:rFonts w:ascii="Garamond" w:hAnsi="Garamond"/>
          <w:bCs/>
        </w:rPr>
      </w:pPr>
    </w:p>
    <w:p w14:paraId="192213BE" w14:textId="77777777" w:rsidR="00987B5A" w:rsidRPr="00987B5A" w:rsidRDefault="00987B5A" w:rsidP="00987B5A">
      <w:pPr>
        <w:spacing w:after="0" w:line="240" w:lineRule="auto"/>
        <w:rPr>
          <w:rFonts w:ascii="Garamond" w:hAnsi="Garamond"/>
          <w:bCs/>
        </w:rPr>
      </w:pPr>
      <w:r w:rsidRPr="00987B5A">
        <w:rPr>
          <w:rFonts w:ascii="Garamond" w:hAnsi="Garamond"/>
          <w:bCs/>
        </w:rPr>
        <w:t>Cities in the northeastern US are expected to experience the most severe increase in heat-related morbidity and mortality due to increasing frequency and severity of heatwaves (</w:t>
      </w:r>
      <w:proofErr w:type="spellStart"/>
      <w:r w:rsidRPr="00987B5A">
        <w:rPr>
          <w:rFonts w:ascii="Garamond" w:hAnsi="Garamond"/>
          <w:bCs/>
        </w:rPr>
        <w:t>McGeehin</w:t>
      </w:r>
      <w:proofErr w:type="spellEnd"/>
      <w:r w:rsidRPr="00987B5A">
        <w:rPr>
          <w:rFonts w:ascii="Garamond" w:hAnsi="Garamond"/>
          <w:bCs/>
        </w:rPr>
        <w:t xml:space="preserve"> &amp; </w:t>
      </w:r>
      <w:proofErr w:type="spellStart"/>
      <w:r w:rsidRPr="00987B5A">
        <w:rPr>
          <w:rFonts w:ascii="Garamond" w:hAnsi="Garamond"/>
          <w:bCs/>
        </w:rPr>
        <w:t>Mirabelli</w:t>
      </w:r>
      <w:proofErr w:type="spellEnd"/>
      <w:r w:rsidRPr="00987B5A">
        <w:rPr>
          <w:rFonts w:ascii="Garamond" w:hAnsi="Garamond"/>
          <w:bCs/>
        </w:rPr>
        <w:t>, 2001). The relatively greater temperatures in cities compared to rural areas, known as the urban heat island (UHI) effect, aggravate daytime maximum temperatures as well as nighttime heat retention (</w:t>
      </w:r>
      <w:proofErr w:type="spellStart"/>
      <w:r w:rsidRPr="00987B5A">
        <w:rPr>
          <w:rFonts w:ascii="Garamond" w:hAnsi="Garamond"/>
          <w:bCs/>
        </w:rPr>
        <w:t>Oke</w:t>
      </w:r>
      <w:proofErr w:type="spellEnd"/>
      <w:r w:rsidRPr="00987B5A">
        <w:rPr>
          <w:rFonts w:ascii="Garamond" w:hAnsi="Garamond"/>
          <w:bCs/>
        </w:rPr>
        <w:t>, 1982). This increases the overall heat exposure of urban populations. Certain population groups are more susceptible to heat-related health effects. Risk factors include demographic and socioeconomic factors as well as preexisting health conditions (Bao, Li, &amp; Yu, 2015; Green et al., 2019).</w:t>
      </w:r>
    </w:p>
    <w:p w14:paraId="4B5C263B" w14:textId="77777777" w:rsidR="00987B5A" w:rsidRPr="00987B5A" w:rsidRDefault="00987B5A" w:rsidP="00987B5A">
      <w:pPr>
        <w:spacing w:after="0" w:line="240" w:lineRule="auto"/>
        <w:rPr>
          <w:rFonts w:ascii="Garamond" w:hAnsi="Garamond"/>
          <w:bCs/>
        </w:rPr>
      </w:pPr>
    </w:p>
    <w:p w14:paraId="293386D8" w14:textId="77777777" w:rsidR="00987B5A" w:rsidRPr="00987B5A" w:rsidRDefault="00987B5A" w:rsidP="00987B5A">
      <w:pPr>
        <w:spacing w:after="0" w:line="240" w:lineRule="auto"/>
        <w:rPr>
          <w:rFonts w:ascii="Garamond" w:hAnsi="Garamond"/>
          <w:bCs/>
        </w:rPr>
      </w:pPr>
      <w:r w:rsidRPr="00987B5A">
        <w:rPr>
          <w:rFonts w:ascii="Garamond" w:hAnsi="Garamond"/>
          <w:bCs/>
        </w:rPr>
        <w:t xml:space="preserve">Air temperature in cities may differ widely across neighborhoods as a result of the geographic distribution of the built environment and greenness (Harlan, </w:t>
      </w:r>
      <w:proofErr w:type="spellStart"/>
      <w:r w:rsidRPr="00987B5A">
        <w:rPr>
          <w:rFonts w:ascii="Garamond" w:hAnsi="Garamond"/>
          <w:bCs/>
        </w:rPr>
        <w:t>Declet-Barreto</w:t>
      </w:r>
      <w:proofErr w:type="spellEnd"/>
      <w:r w:rsidRPr="00987B5A">
        <w:rPr>
          <w:rFonts w:ascii="Garamond" w:hAnsi="Garamond"/>
          <w:bCs/>
        </w:rPr>
        <w:t xml:space="preserve">, </w:t>
      </w:r>
      <w:proofErr w:type="spellStart"/>
      <w:r w:rsidRPr="00987B5A">
        <w:rPr>
          <w:rFonts w:ascii="Garamond" w:hAnsi="Garamond"/>
          <w:bCs/>
        </w:rPr>
        <w:t>Stefanov</w:t>
      </w:r>
      <w:proofErr w:type="spellEnd"/>
      <w:r w:rsidRPr="00987B5A">
        <w:rPr>
          <w:rFonts w:ascii="Garamond" w:hAnsi="Garamond"/>
          <w:bCs/>
        </w:rPr>
        <w:t xml:space="preserve">, &amp; </w:t>
      </w:r>
      <w:proofErr w:type="spellStart"/>
      <w:r w:rsidRPr="00987B5A">
        <w:rPr>
          <w:rFonts w:ascii="Garamond" w:hAnsi="Garamond"/>
          <w:bCs/>
        </w:rPr>
        <w:t>Petitti</w:t>
      </w:r>
      <w:proofErr w:type="spellEnd"/>
      <w:r w:rsidRPr="00987B5A">
        <w:rPr>
          <w:rFonts w:ascii="Garamond" w:hAnsi="Garamond"/>
          <w:bCs/>
        </w:rPr>
        <w:t xml:space="preserve">, 2013). Relative humidity and wind speed also affect physiological heat exposure (Urban &amp; </w:t>
      </w:r>
      <w:proofErr w:type="spellStart"/>
      <w:r w:rsidRPr="00987B5A">
        <w:rPr>
          <w:rFonts w:ascii="Garamond" w:hAnsi="Garamond"/>
          <w:bCs/>
        </w:rPr>
        <w:t>Kyselý</w:t>
      </w:r>
      <w:proofErr w:type="spellEnd"/>
      <w:r w:rsidRPr="00987B5A">
        <w:rPr>
          <w:rFonts w:ascii="Garamond" w:hAnsi="Garamond"/>
          <w:bCs/>
        </w:rPr>
        <w:t xml:space="preserve">, 2014; Steadman, 1984). However, these latter two factors cannot be directly measured with satellites at the spatial resolution needed to identify intraurban variability and ground-based measurements are also too sparse. Many studies of heat-related morbidity and mortality have used satellite-based images of land surface temperature (LST) as a proxy for air temperature since it can be obtained at high spatial resolution (Hondula et al., 2014). Satellite-retrieved normalized difference vegetation index (NDVI), normalized difference built-up index (NDBI), and albedo are sometimes added to analyses to better represent urban temperatures (Davis, Jung, </w:t>
      </w:r>
      <w:proofErr w:type="spellStart"/>
      <w:r w:rsidRPr="00987B5A">
        <w:rPr>
          <w:rFonts w:ascii="Garamond" w:hAnsi="Garamond"/>
          <w:bCs/>
        </w:rPr>
        <w:t>Pijanowski</w:t>
      </w:r>
      <w:proofErr w:type="spellEnd"/>
      <w:r w:rsidRPr="00987B5A">
        <w:rPr>
          <w:rFonts w:ascii="Garamond" w:hAnsi="Garamond"/>
          <w:bCs/>
        </w:rPr>
        <w:t xml:space="preserve">, &amp; Minor, </w:t>
      </w:r>
      <w:r w:rsidRPr="00987B5A">
        <w:rPr>
          <w:rFonts w:ascii="Garamond" w:hAnsi="Garamond"/>
          <w:bCs/>
        </w:rPr>
        <w:lastRenderedPageBreak/>
        <w:t>2016). More recently, normalized difference water index (NDWI) has been included to provide a more robust measure of vegetation health and heat exposure (</w:t>
      </w:r>
      <w:proofErr w:type="spellStart"/>
      <w:r w:rsidRPr="00987B5A">
        <w:rPr>
          <w:rFonts w:ascii="Garamond" w:hAnsi="Garamond"/>
          <w:bCs/>
        </w:rPr>
        <w:t>Mushore</w:t>
      </w:r>
      <w:proofErr w:type="spellEnd"/>
      <w:r w:rsidRPr="00987B5A">
        <w:rPr>
          <w:rFonts w:ascii="Garamond" w:hAnsi="Garamond"/>
          <w:bCs/>
        </w:rPr>
        <w:t xml:space="preserve"> et al., 2018). </w:t>
      </w:r>
    </w:p>
    <w:p w14:paraId="38C8C50A" w14:textId="77777777" w:rsidR="00987B5A" w:rsidRPr="00987B5A" w:rsidRDefault="00987B5A" w:rsidP="00987B5A">
      <w:pPr>
        <w:spacing w:after="0" w:line="240" w:lineRule="auto"/>
        <w:rPr>
          <w:rFonts w:ascii="Garamond" w:hAnsi="Garamond"/>
          <w:bCs/>
        </w:rPr>
      </w:pPr>
    </w:p>
    <w:p w14:paraId="2DE6A585" w14:textId="14158314" w:rsidR="00C15E9C" w:rsidRDefault="00987B5A" w:rsidP="00987B5A">
      <w:pPr>
        <w:spacing w:after="0" w:line="240" w:lineRule="auto"/>
        <w:rPr>
          <w:rFonts w:ascii="Garamond" w:hAnsi="Garamond"/>
          <w:bCs/>
        </w:rPr>
      </w:pPr>
      <w:r w:rsidRPr="00987B5A">
        <w:rPr>
          <w:rFonts w:ascii="Garamond" w:hAnsi="Garamond"/>
          <w:bCs/>
        </w:rPr>
        <w:t xml:space="preserve">Open green spaces such as parks and mixed urban/forested areas in cities reduce urban air temperatures (Davis, Jung, </w:t>
      </w:r>
      <w:proofErr w:type="spellStart"/>
      <w:r w:rsidRPr="00987B5A">
        <w:rPr>
          <w:rFonts w:ascii="Garamond" w:hAnsi="Garamond"/>
          <w:bCs/>
        </w:rPr>
        <w:t>Pijanowski</w:t>
      </w:r>
      <w:proofErr w:type="spellEnd"/>
      <w:r w:rsidRPr="00987B5A">
        <w:rPr>
          <w:rFonts w:ascii="Garamond" w:hAnsi="Garamond"/>
          <w:bCs/>
        </w:rPr>
        <w:t>, &amp; Minor, 2016; Hondula et al. 2018). Increasing urban green spaces is considered an important policy tool to reduce urban temperatures and increase heat resilience. Heat vulnerability indices integrate a combination of the above variables. They can be used to identify the areas that experience the highest temperatures and are home to population groups that are most vulnerable to heat</w:t>
      </w:r>
      <w:r w:rsidR="004C66D9">
        <w:rPr>
          <w:rFonts w:ascii="Garamond" w:hAnsi="Garamond"/>
          <w:bCs/>
        </w:rPr>
        <w:t>-</w:t>
      </w:r>
      <w:r w:rsidRPr="00987B5A">
        <w:rPr>
          <w:rFonts w:ascii="Garamond" w:hAnsi="Garamond"/>
          <w:bCs/>
        </w:rPr>
        <w:t>related illnesses.</w:t>
      </w:r>
    </w:p>
    <w:p w14:paraId="34C9591E" w14:textId="77777777" w:rsidR="00987B5A" w:rsidRPr="0066138C" w:rsidRDefault="00987B5A" w:rsidP="00987B5A">
      <w:pPr>
        <w:spacing w:after="0" w:line="240" w:lineRule="auto"/>
        <w:rPr>
          <w:rFonts w:ascii="Garamond" w:hAnsi="Garamond"/>
          <w:bCs/>
        </w:rPr>
      </w:pP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1E6FDF6A" w14:textId="3750BA8D" w:rsidR="0066138C" w:rsidRDefault="00987B5A" w:rsidP="0066138C">
      <w:pPr>
        <w:spacing w:after="0" w:line="240" w:lineRule="auto"/>
        <w:rPr>
          <w:rFonts w:ascii="Garamond" w:hAnsi="Garamond"/>
          <w:color w:val="000000"/>
        </w:rPr>
      </w:pPr>
      <w:r>
        <w:rPr>
          <w:rFonts w:ascii="Garamond" w:hAnsi="Garamond"/>
          <w:color w:val="000000"/>
        </w:rPr>
        <w:t>The Philadelphia Department of Health and the City of Philadelphia, Office of Sustainability, are concerned with the effects of extreme heat events in Philadelphia. Their objective is to protect vulnerable populations in Philadelphia which are disproportionately affected by urban heat and heat-related illness. They are also concerned that green spaces and street trees are unequally distributed throughout the city</w:t>
      </w:r>
      <w:r w:rsidR="006B4F1E">
        <w:rPr>
          <w:rFonts w:ascii="Garamond" w:hAnsi="Garamond"/>
          <w:color w:val="000000"/>
        </w:rPr>
        <w:t>,</w:t>
      </w:r>
      <w:r>
        <w:rPr>
          <w:rFonts w:ascii="Garamond" w:hAnsi="Garamond"/>
          <w:color w:val="000000"/>
        </w:rPr>
        <w:t xml:space="preserve"> further aggravating heat exposure among sensitive populations. The Philadelphia Department of Health currently provides a publicly available heat vulnerability index </w:t>
      </w:r>
      <w:r w:rsidRPr="006B4F1E">
        <w:rPr>
          <w:rFonts w:ascii="Garamond" w:hAnsi="Garamond"/>
        </w:rPr>
        <w:t>map</w:t>
      </w:r>
      <w:r>
        <w:rPr>
          <w:rFonts w:ascii="Garamond" w:hAnsi="Garamond"/>
          <w:color w:val="000000"/>
        </w:rPr>
        <w:t xml:space="preserve"> using ArcGIS Online. The map displays priority areas and satellite retrieved LST covering 2013-2015, based on previous work at Arizona State University (Hondula, 2012). As the Department continues to develop its climate preparedness plans, it is important that they have access to current data covering different determinants of heat exposure. This project updates the socioeconomic, health, and environmental variables in the vulnerability index, and adds additional environmental factors that provide more detailed information on how heat exposure varies throughout the city. This data will allow the City of Philadelphia to identify priority areas for public health outreach, target vulnerable communities during policy development, and prioritize areas for cooling initiatives. In </w:t>
      </w:r>
      <w:r w:rsidR="00C737CC">
        <w:rPr>
          <w:rFonts w:ascii="Garamond" w:hAnsi="Garamond"/>
          <w:color w:val="000000"/>
        </w:rPr>
        <w:t>addition,</w:t>
      </w:r>
      <w:r>
        <w:rPr>
          <w:rFonts w:ascii="Garamond" w:hAnsi="Garamond"/>
          <w:color w:val="000000"/>
        </w:rPr>
        <w:t xml:space="preserve"> this project identifies vulnerable census tracts with especially low tree density. Street tree planting is a cooling initiative of particular interest to the Office of Sustainability. They have an expanding tree planting program and are looking for key areas in the city that may be adversely subjected to extreme heat-related health effects and would benefit the most from new trees (City of Philadelphia, Office of Sustainability, 2019).</w:t>
      </w:r>
    </w:p>
    <w:p w14:paraId="50DEB245" w14:textId="77777777" w:rsidR="00987B5A" w:rsidRPr="0066138C" w:rsidRDefault="00987B5A" w:rsidP="0066138C">
      <w:pPr>
        <w:spacing w:after="0" w:line="240" w:lineRule="auto"/>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796B6561" w14:textId="17A996F0" w:rsidR="00987B5A" w:rsidRPr="00987B5A" w:rsidRDefault="00987B5A" w:rsidP="00987B5A">
      <w:pPr>
        <w:spacing w:after="0" w:line="240" w:lineRule="auto"/>
        <w:rPr>
          <w:rFonts w:ascii="Times New Roman" w:eastAsia="Times New Roman" w:hAnsi="Times New Roman" w:cs="Times New Roman"/>
          <w:sz w:val="24"/>
          <w:szCs w:val="24"/>
        </w:rPr>
      </w:pPr>
      <w:r w:rsidRPr="00987B5A">
        <w:rPr>
          <w:rFonts w:ascii="Garamond" w:eastAsia="Times New Roman" w:hAnsi="Garamond" w:cs="Times New Roman"/>
          <w:color w:val="000000"/>
        </w:rPr>
        <w:t xml:space="preserve">Census tract-level socioeconomic data for Philadelphia County were retrieved from the 5-year datasets produced by the 2018 American Community Survey using the </w:t>
      </w:r>
      <w:proofErr w:type="spellStart"/>
      <w:r w:rsidRPr="00987B5A">
        <w:rPr>
          <w:rFonts w:ascii="Garamond" w:eastAsia="Times New Roman" w:hAnsi="Garamond" w:cs="Times New Roman"/>
          <w:color w:val="000000"/>
        </w:rPr>
        <w:t>Tidycensus</w:t>
      </w:r>
      <w:proofErr w:type="spellEnd"/>
      <w:r w:rsidRPr="00987B5A">
        <w:rPr>
          <w:rFonts w:ascii="Garamond" w:eastAsia="Times New Roman" w:hAnsi="Garamond" w:cs="Times New Roman"/>
          <w:color w:val="000000"/>
        </w:rPr>
        <w:t xml:space="preserve"> package in R (</w:t>
      </w:r>
      <w:r w:rsidR="004C66D9">
        <w:rPr>
          <w:rFonts w:ascii="Garamond" w:eastAsia="Times New Roman" w:hAnsi="Garamond" w:cs="Times New Roman"/>
          <w:color w:val="000000"/>
        </w:rPr>
        <w:t xml:space="preserve">Appendix </w:t>
      </w:r>
      <w:r w:rsidRPr="00987B5A">
        <w:rPr>
          <w:rFonts w:ascii="Garamond" w:eastAsia="Times New Roman" w:hAnsi="Garamond" w:cs="Times New Roman"/>
          <w:color w:val="000000"/>
        </w:rPr>
        <w:t xml:space="preserve">Table A1). Prior public health research in Philadelphia and other urban contexts identified twelve variables as key indicators for heat sensitivity (Hondula et al., 2012; </w:t>
      </w:r>
      <w:r w:rsidRPr="00987B5A">
        <w:rPr>
          <w:rFonts w:ascii="Garamond" w:eastAsia="Times New Roman" w:hAnsi="Garamond" w:cs="Times New Roman"/>
          <w:color w:val="000000"/>
          <w:shd w:val="clear" w:color="auto" w:fill="FFFFFF"/>
        </w:rPr>
        <w:t xml:space="preserve">Johnson &amp; Wilson, 2009; </w:t>
      </w:r>
      <w:proofErr w:type="spellStart"/>
      <w:r w:rsidRPr="00987B5A">
        <w:rPr>
          <w:rFonts w:ascii="Garamond" w:eastAsia="Times New Roman" w:hAnsi="Garamond" w:cs="Times New Roman"/>
          <w:color w:val="000000"/>
        </w:rPr>
        <w:t>Uejio</w:t>
      </w:r>
      <w:proofErr w:type="spellEnd"/>
      <w:r w:rsidRPr="00987B5A">
        <w:rPr>
          <w:rFonts w:ascii="Arial" w:eastAsia="Times New Roman" w:hAnsi="Arial" w:cs="Arial"/>
          <w:color w:val="333333"/>
          <w:sz w:val="24"/>
          <w:szCs w:val="24"/>
        </w:rPr>
        <w:t xml:space="preserve">, </w:t>
      </w:r>
      <w:proofErr w:type="spellStart"/>
      <w:r w:rsidRPr="00987B5A">
        <w:rPr>
          <w:rFonts w:ascii="Garamond" w:eastAsia="Times New Roman" w:hAnsi="Garamond" w:cs="Times New Roman"/>
          <w:color w:val="333333"/>
          <w:sz w:val="24"/>
          <w:szCs w:val="24"/>
        </w:rPr>
        <w:t>Wilhelmi</w:t>
      </w:r>
      <w:proofErr w:type="spellEnd"/>
      <w:r w:rsidRPr="00987B5A">
        <w:rPr>
          <w:rFonts w:ascii="Garamond" w:eastAsia="Times New Roman" w:hAnsi="Garamond" w:cs="Times New Roman"/>
          <w:color w:val="333333"/>
          <w:sz w:val="24"/>
          <w:szCs w:val="24"/>
        </w:rPr>
        <w:t xml:space="preserve">, Golden, Mills, </w:t>
      </w:r>
      <w:proofErr w:type="spellStart"/>
      <w:r w:rsidRPr="00987B5A">
        <w:rPr>
          <w:rFonts w:ascii="Garamond" w:eastAsia="Times New Roman" w:hAnsi="Garamond" w:cs="Times New Roman"/>
          <w:color w:val="333333"/>
          <w:sz w:val="24"/>
          <w:szCs w:val="24"/>
        </w:rPr>
        <w:t>Gulino</w:t>
      </w:r>
      <w:proofErr w:type="spellEnd"/>
      <w:r w:rsidRPr="00987B5A">
        <w:rPr>
          <w:rFonts w:ascii="Garamond" w:eastAsia="Times New Roman" w:hAnsi="Garamond" w:cs="Times New Roman"/>
          <w:color w:val="333333"/>
          <w:sz w:val="24"/>
          <w:szCs w:val="24"/>
        </w:rPr>
        <w:t xml:space="preserve">, </w:t>
      </w:r>
      <w:proofErr w:type="spellStart"/>
      <w:r w:rsidRPr="00987B5A">
        <w:rPr>
          <w:rFonts w:ascii="Garamond" w:eastAsia="Times New Roman" w:hAnsi="Garamond" w:cs="Times New Roman"/>
          <w:color w:val="333333"/>
          <w:sz w:val="24"/>
          <w:szCs w:val="24"/>
        </w:rPr>
        <w:t>Samenow</w:t>
      </w:r>
      <w:proofErr w:type="spellEnd"/>
      <w:r w:rsidRPr="00987B5A">
        <w:rPr>
          <w:rFonts w:ascii="Garamond" w:eastAsia="Times New Roman" w:hAnsi="Garamond" w:cs="Times New Roman"/>
          <w:color w:val="333333"/>
          <w:sz w:val="24"/>
          <w:szCs w:val="24"/>
        </w:rPr>
        <w:t>, 2011;</w:t>
      </w:r>
      <w:r w:rsidRPr="00987B5A">
        <w:rPr>
          <w:rFonts w:ascii="Arial" w:eastAsia="Times New Roman" w:hAnsi="Arial" w:cs="Arial"/>
          <w:color w:val="333333"/>
          <w:sz w:val="24"/>
          <w:szCs w:val="24"/>
        </w:rPr>
        <w:t xml:space="preserve"> </w:t>
      </w:r>
      <w:r w:rsidRPr="00987B5A">
        <w:rPr>
          <w:rFonts w:ascii="Garamond" w:eastAsia="Times New Roman" w:hAnsi="Garamond" w:cs="Times New Roman"/>
          <w:color w:val="000000"/>
        </w:rPr>
        <w:t>Weber et al., 2015,). These socioeconomic variables include percent of population age 65 and older, percent of population age 25 and older with less than a high school education, percent of population living in limited English-speaking households, percent of non-white population (including Hispanic/Latino), percent of population 65 and older living alone, and percent of population below the federal poverty level. </w:t>
      </w:r>
    </w:p>
    <w:p w14:paraId="281D3FC3" w14:textId="77777777" w:rsidR="00987B5A" w:rsidRPr="00987B5A" w:rsidRDefault="00987B5A" w:rsidP="00987B5A">
      <w:pPr>
        <w:spacing w:after="0" w:line="240" w:lineRule="auto"/>
        <w:rPr>
          <w:rFonts w:ascii="Times New Roman" w:eastAsia="Times New Roman" w:hAnsi="Times New Roman" w:cs="Times New Roman"/>
          <w:sz w:val="24"/>
          <w:szCs w:val="24"/>
        </w:rPr>
      </w:pPr>
    </w:p>
    <w:p w14:paraId="0523E9B2" w14:textId="3FACE64E" w:rsidR="00987B5A" w:rsidRPr="00987B5A" w:rsidRDefault="00987B5A" w:rsidP="00987B5A">
      <w:pPr>
        <w:spacing w:after="0" w:line="240" w:lineRule="auto"/>
        <w:rPr>
          <w:rFonts w:ascii="Times New Roman" w:eastAsia="Times New Roman" w:hAnsi="Times New Roman" w:cs="Times New Roman"/>
          <w:sz w:val="24"/>
          <w:szCs w:val="24"/>
        </w:rPr>
      </w:pPr>
      <w:r w:rsidRPr="00987B5A">
        <w:rPr>
          <w:rFonts w:ascii="Garamond" w:eastAsia="Times New Roman" w:hAnsi="Garamond" w:cs="Times New Roman"/>
          <w:color w:val="000000"/>
        </w:rPr>
        <w:t>Data on population health status were downloaded from the 2018 Center for Disease Control and Prevention (CDC) 500-cities data set. Variables included hypertension, asthma, coronary heart disease, chronic obstructive pulmonary disease</w:t>
      </w:r>
      <w:r w:rsidR="00D61A30">
        <w:rPr>
          <w:rFonts w:ascii="Garamond" w:eastAsia="Times New Roman" w:hAnsi="Garamond" w:cs="Times New Roman"/>
          <w:color w:val="000000"/>
        </w:rPr>
        <w:t xml:space="preserve"> (COPD)</w:t>
      </w:r>
      <w:r w:rsidRPr="00987B5A">
        <w:rPr>
          <w:rFonts w:ascii="Garamond" w:eastAsia="Times New Roman" w:hAnsi="Garamond" w:cs="Times New Roman"/>
          <w:color w:val="000000"/>
        </w:rPr>
        <w:t>, diabetes, and obesity, which are correlated with heat</w:t>
      </w:r>
      <w:r w:rsidR="004C66D9">
        <w:rPr>
          <w:rFonts w:ascii="Garamond" w:eastAsia="Times New Roman" w:hAnsi="Garamond" w:cs="Times New Roman"/>
          <w:color w:val="000000"/>
        </w:rPr>
        <w:t>-</w:t>
      </w:r>
      <w:r w:rsidRPr="00987B5A">
        <w:rPr>
          <w:rFonts w:ascii="Garamond" w:eastAsia="Times New Roman" w:hAnsi="Garamond" w:cs="Times New Roman"/>
          <w:color w:val="000000"/>
        </w:rPr>
        <w:t xml:space="preserve">related illness and mortality (Harlan, </w:t>
      </w:r>
      <w:proofErr w:type="spellStart"/>
      <w:r w:rsidRPr="00987B5A">
        <w:rPr>
          <w:rFonts w:ascii="Garamond" w:eastAsia="Times New Roman" w:hAnsi="Garamond" w:cs="Times New Roman"/>
          <w:color w:val="000000"/>
        </w:rPr>
        <w:t>Declet-Barreto</w:t>
      </w:r>
      <w:proofErr w:type="spellEnd"/>
      <w:r w:rsidRPr="00987B5A">
        <w:rPr>
          <w:rFonts w:ascii="Garamond" w:eastAsia="Times New Roman" w:hAnsi="Garamond" w:cs="Times New Roman"/>
          <w:color w:val="000000"/>
        </w:rPr>
        <w:t xml:space="preserve">, </w:t>
      </w:r>
      <w:proofErr w:type="spellStart"/>
      <w:r w:rsidRPr="00987B5A">
        <w:rPr>
          <w:rFonts w:ascii="Garamond" w:eastAsia="Times New Roman" w:hAnsi="Garamond" w:cs="Times New Roman"/>
          <w:color w:val="000000"/>
        </w:rPr>
        <w:t>Stefanov</w:t>
      </w:r>
      <w:proofErr w:type="spellEnd"/>
      <w:r w:rsidRPr="00987B5A">
        <w:rPr>
          <w:rFonts w:ascii="Garamond" w:eastAsia="Times New Roman" w:hAnsi="Garamond" w:cs="Times New Roman"/>
          <w:color w:val="000000"/>
        </w:rPr>
        <w:t xml:space="preserve">, &amp; </w:t>
      </w:r>
      <w:proofErr w:type="spellStart"/>
      <w:r w:rsidRPr="00987B5A">
        <w:rPr>
          <w:rFonts w:ascii="Garamond" w:eastAsia="Times New Roman" w:hAnsi="Garamond" w:cs="Times New Roman"/>
          <w:color w:val="000000"/>
        </w:rPr>
        <w:t>Petitti</w:t>
      </w:r>
      <w:proofErr w:type="spellEnd"/>
      <w:r w:rsidRPr="00987B5A">
        <w:rPr>
          <w:rFonts w:ascii="Garamond" w:eastAsia="Times New Roman" w:hAnsi="Garamond" w:cs="Times New Roman"/>
          <w:color w:val="000000"/>
        </w:rPr>
        <w:t xml:space="preserve">, 2013). GIS-friendly data at the census tract level were downloaded from the CDC website for the whole US and </w:t>
      </w:r>
      <w:proofErr w:type="spellStart"/>
      <w:r w:rsidRPr="00987B5A">
        <w:rPr>
          <w:rFonts w:ascii="Garamond" w:eastAsia="Times New Roman" w:hAnsi="Garamond" w:cs="Times New Roman"/>
          <w:color w:val="000000"/>
        </w:rPr>
        <w:t>subsetted</w:t>
      </w:r>
      <w:proofErr w:type="spellEnd"/>
      <w:r w:rsidRPr="00987B5A">
        <w:rPr>
          <w:rFonts w:ascii="Garamond" w:eastAsia="Times New Roman" w:hAnsi="Garamond" w:cs="Times New Roman"/>
          <w:color w:val="000000"/>
        </w:rPr>
        <w:t xml:space="preserve"> to Philadelphia. Satellite data were retrieved using Google Earth Engine</w:t>
      </w:r>
      <w:r w:rsidRPr="00891D2D">
        <w:rPr>
          <w:rFonts w:ascii="Garamond" w:eastAsia="Times New Roman" w:hAnsi="Garamond" w:cs="Times New Roman"/>
          <w:color w:val="000000"/>
        </w:rPr>
        <w:t>.</w:t>
      </w:r>
      <w:r w:rsidR="00891D2D" w:rsidRPr="00891D2D">
        <w:rPr>
          <w:rFonts w:ascii="Helvetica" w:hAnsi="Helvetica"/>
          <w:spacing w:val="6"/>
          <w:sz w:val="30"/>
          <w:szCs w:val="30"/>
          <w:shd w:val="clear" w:color="auto" w:fill="FFFFFF"/>
        </w:rPr>
        <w:t xml:space="preserve"> </w:t>
      </w:r>
      <w:r w:rsidR="00891D2D" w:rsidRPr="00891D2D">
        <w:rPr>
          <w:rFonts w:ascii="Garamond" w:hAnsi="Garamond"/>
          <w:spacing w:val="6"/>
          <w:shd w:val="clear" w:color="auto" w:fill="FFFFFF"/>
        </w:rPr>
        <w:t>LANDSAT/LC08/C01/T1_SR</w:t>
      </w:r>
      <w:r w:rsidR="00891D2D">
        <w:rPr>
          <w:rFonts w:ascii="Garamond" w:hAnsi="Garamond"/>
          <w:spacing w:val="6"/>
          <w:shd w:val="clear" w:color="auto" w:fill="FFFFFF"/>
        </w:rPr>
        <w:t xml:space="preserve"> </w:t>
      </w:r>
      <w:r w:rsidR="00891D2D" w:rsidRPr="00891D2D">
        <w:rPr>
          <w:rFonts w:ascii="Garamond" w:eastAsia="Times New Roman" w:hAnsi="Garamond" w:cs="Times New Roman"/>
          <w:color w:val="000000"/>
        </w:rPr>
        <w:t>USGS Landsat 8 Surface Reflectance Tier 1</w:t>
      </w:r>
      <w:r w:rsidRPr="00891D2D">
        <w:rPr>
          <w:rFonts w:ascii="Garamond" w:eastAsia="Times New Roman" w:hAnsi="Garamond" w:cs="Times New Roman"/>
          <w:color w:val="000000"/>
        </w:rPr>
        <w:t xml:space="preserve"> images</w:t>
      </w:r>
      <w:r w:rsidR="00891D2D" w:rsidRPr="00891D2D">
        <w:rPr>
          <w:rFonts w:ascii="Garamond" w:eastAsia="Times New Roman" w:hAnsi="Garamond" w:cs="Times New Roman"/>
          <w:color w:val="000000"/>
        </w:rPr>
        <w:t>,</w:t>
      </w:r>
      <w:r w:rsidR="00891D2D" w:rsidRPr="00891D2D">
        <w:rPr>
          <w:rFonts w:ascii="Helvetica" w:hAnsi="Helvetica"/>
          <w:spacing w:val="6"/>
          <w:sz w:val="30"/>
          <w:szCs w:val="30"/>
          <w:shd w:val="clear" w:color="auto" w:fill="FFFFFF"/>
        </w:rPr>
        <w:t xml:space="preserve"> </w:t>
      </w:r>
      <w:r w:rsidR="00891D2D" w:rsidRPr="00891D2D">
        <w:rPr>
          <w:rFonts w:ascii="Garamond" w:eastAsia="Times New Roman" w:hAnsi="Garamond" w:cs="Times New Roman"/>
          <w:color w:val="000000"/>
        </w:rPr>
        <w:t>MYD09GA.006 MODIS/Aqua Surface Reflectance Daily L2G Global 1km and 500m images, and</w:t>
      </w:r>
      <w:r w:rsidRPr="00891D2D">
        <w:rPr>
          <w:rFonts w:ascii="Garamond" w:eastAsia="Times New Roman" w:hAnsi="Garamond" w:cs="Times New Roman"/>
          <w:color w:val="000000"/>
        </w:rPr>
        <w:t xml:space="preserve"> </w:t>
      </w:r>
      <w:r w:rsidR="00891D2D" w:rsidRPr="00891D2D">
        <w:rPr>
          <w:rFonts w:ascii="Garamond" w:eastAsia="Times New Roman" w:hAnsi="Garamond" w:cs="Times New Roman"/>
          <w:color w:val="000000"/>
        </w:rPr>
        <w:t xml:space="preserve">MYD11A1.006 MODIS/Aqua Land Surface Temperature and Emissivity Daily Global 1km </w:t>
      </w:r>
      <w:r w:rsidRPr="00891D2D">
        <w:rPr>
          <w:rFonts w:ascii="Garamond" w:eastAsia="Times New Roman" w:hAnsi="Garamond" w:cs="Times New Roman"/>
          <w:color w:val="000000"/>
        </w:rPr>
        <w:t>images were downloaded for 2017-2019</w:t>
      </w:r>
      <w:r w:rsidRPr="00987B5A">
        <w:rPr>
          <w:rFonts w:ascii="Garamond" w:eastAsia="Times New Roman" w:hAnsi="Garamond" w:cs="Times New Roman"/>
          <w:color w:val="000000"/>
        </w:rPr>
        <w:t xml:space="preserve">. A detailed overview of </w:t>
      </w:r>
      <w:r w:rsidR="004C66D9">
        <w:rPr>
          <w:rFonts w:ascii="Garamond" w:eastAsia="Times New Roman" w:hAnsi="Garamond" w:cs="Times New Roman"/>
          <w:color w:val="000000"/>
        </w:rPr>
        <w:t xml:space="preserve">the </w:t>
      </w:r>
      <w:r w:rsidRPr="00987B5A">
        <w:rPr>
          <w:rFonts w:ascii="Garamond" w:eastAsia="Times New Roman" w:hAnsi="Garamond" w:cs="Times New Roman"/>
          <w:color w:val="000000"/>
        </w:rPr>
        <w:t>datasets used in this analysis is shown in Table A1.</w:t>
      </w:r>
    </w:p>
    <w:p w14:paraId="7E6F3030" w14:textId="77777777" w:rsidR="00A43059" w:rsidRPr="0066138C" w:rsidRDefault="00A43059" w:rsidP="0066138C">
      <w:pPr>
        <w:spacing w:after="0" w:line="240" w:lineRule="auto"/>
        <w:rPr>
          <w:rFonts w:ascii="Garamond" w:hAnsi="Garamond" w:cs="Arial"/>
        </w:rPr>
      </w:pPr>
    </w:p>
    <w:p w14:paraId="76007EF6" w14:textId="0D5278D8"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lastRenderedPageBreak/>
        <w:t>3.2 Data Processing</w:t>
      </w:r>
    </w:p>
    <w:p w14:paraId="4A12EEF1" w14:textId="77777777" w:rsidR="00987B5A" w:rsidRPr="00987B5A" w:rsidRDefault="00987B5A" w:rsidP="00987B5A">
      <w:pPr>
        <w:spacing w:after="0" w:line="240" w:lineRule="auto"/>
        <w:rPr>
          <w:rFonts w:ascii="Times New Roman" w:eastAsia="Times New Roman" w:hAnsi="Times New Roman" w:cs="Times New Roman"/>
          <w:sz w:val="24"/>
          <w:szCs w:val="24"/>
        </w:rPr>
      </w:pPr>
      <w:r w:rsidRPr="00987B5A">
        <w:rPr>
          <w:rFonts w:ascii="Garamond" w:eastAsia="Times New Roman" w:hAnsi="Garamond" w:cs="Times New Roman"/>
          <w:color w:val="000000"/>
        </w:rPr>
        <w:t>Each socioeconomic variable was calculated as a percent population based on the total number of respondents per question. The age, education, and language variables required pooling several sub-categories (age categories by sex, education by grade level, language by language family) before normalization.</w:t>
      </w:r>
      <w:r w:rsidRPr="00987B5A">
        <w:rPr>
          <w:rFonts w:ascii="Times New Roman" w:eastAsia="Times New Roman" w:hAnsi="Times New Roman" w:cs="Times New Roman"/>
          <w:color w:val="000000"/>
          <w:sz w:val="24"/>
          <w:szCs w:val="24"/>
        </w:rPr>
        <w:t xml:space="preserve"> </w:t>
      </w:r>
      <w:r w:rsidRPr="00987B5A">
        <w:rPr>
          <w:rFonts w:ascii="Garamond" w:eastAsia="Times New Roman" w:hAnsi="Garamond" w:cs="Times New Roman"/>
          <w:color w:val="000000"/>
        </w:rPr>
        <w:t>Socioeconomic and health status data sets were then joined in R by their unique geographical identifiers to create one dataset with all 12 socioeconomic and health indicators.</w:t>
      </w:r>
    </w:p>
    <w:p w14:paraId="53658212" w14:textId="77777777" w:rsidR="00987B5A" w:rsidRPr="00987B5A" w:rsidRDefault="00987B5A" w:rsidP="00987B5A">
      <w:pPr>
        <w:spacing w:after="0" w:line="240" w:lineRule="auto"/>
        <w:rPr>
          <w:rFonts w:ascii="Times New Roman" w:eastAsia="Times New Roman" w:hAnsi="Times New Roman" w:cs="Times New Roman"/>
          <w:sz w:val="24"/>
          <w:szCs w:val="24"/>
        </w:rPr>
      </w:pPr>
    </w:p>
    <w:p w14:paraId="783BC34E" w14:textId="7AD65ABE" w:rsidR="00987B5A" w:rsidRPr="00987B5A" w:rsidRDefault="00987B5A" w:rsidP="00987B5A">
      <w:pPr>
        <w:spacing w:after="0" w:line="240" w:lineRule="auto"/>
        <w:rPr>
          <w:rFonts w:ascii="Times New Roman" w:eastAsia="Times New Roman" w:hAnsi="Times New Roman" w:cs="Times New Roman"/>
          <w:sz w:val="24"/>
          <w:szCs w:val="24"/>
        </w:rPr>
      </w:pPr>
      <w:r w:rsidRPr="00987B5A">
        <w:rPr>
          <w:rFonts w:ascii="Garamond" w:eastAsia="Times New Roman" w:hAnsi="Garamond" w:cs="Times New Roman"/>
          <w:color w:val="000000"/>
        </w:rPr>
        <w:t>In addition to socioeconomic, the six environmental variables of LST, NDVI, NDBI, NDWI, daytime and nighttime LST, and albedo were included in the analysis. Images spanning a three-year period from 2017-2019 were included to increase data availability and confidence in results in a similar manner to the multi-year averages used in the American Community Survey (ACS) data set. The image collection was further filtered by season. Only images captured during the northern hemisphere summer (June 1 - September 1) were included to reflect the period of concern for heat</w:t>
      </w:r>
      <w:r w:rsidR="004C66D9">
        <w:rPr>
          <w:rFonts w:ascii="Garamond" w:eastAsia="Times New Roman" w:hAnsi="Garamond" w:cs="Times New Roman"/>
          <w:color w:val="000000"/>
        </w:rPr>
        <w:t>-</w:t>
      </w:r>
      <w:r w:rsidRPr="00987B5A">
        <w:rPr>
          <w:rFonts w:ascii="Garamond" w:eastAsia="Times New Roman" w:hAnsi="Garamond" w:cs="Times New Roman"/>
          <w:color w:val="000000"/>
        </w:rPr>
        <w:t>related health effects and maximize intra-urban temperature heterogeneity. </w:t>
      </w:r>
    </w:p>
    <w:p w14:paraId="27C06E37" w14:textId="77777777" w:rsidR="00987B5A" w:rsidRPr="00987B5A" w:rsidRDefault="00987B5A" w:rsidP="00987B5A">
      <w:pPr>
        <w:spacing w:after="0" w:line="240" w:lineRule="auto"/>
        <w:rPr>
          <w:rFonts w:ascii="Times New Roman" w:eastAsia="Times New Roman" w:hAnsi="Times New Roman" w:cs="Times New Roman"/>
          <w:sz w:val="24"/>
          <w:szCs w:val="24"/>
        </w:rPr>
      </w:pPr>
    </w:p>
    <w:p w14:paraId="1C50F698" w14:textId="33E6A552" w:rsidR="00987B5A" w:rsidRPr="00987B5A" w:rsidRDefault="00987B5A" w:rsidP="00987B5A">
      <w:pPr>
        <w:spacing w:after="0" w:line="240" w:lineRule="auto"/>
        <w:rPr>
          <w:rFonts w:ascii="Times New Roman" w:eastAsia="Times New Roman" w:hAnsi="Times New Roman" w:cs="Times New Roman"/>
          <w:sz w:val="24"/>
          <w:szCs w:val="24"/>
        </w:rPr>
      </w:pPr>
      <w:r w:rsidRPr="00987B5A">
        <w:rPr>
          <w:rFonts w:ascii="Garamond" w:eastAsia="Times New Roman" w:hAnsi="Garamond" w:cs="Times New Roman"/>
          <w:color w:val="000000"/>
        </w:rPr>
        <w:t>The most recent available 3-year summer averages of LST, NDVI, and NDBI were retrieved from</w:t>
      </w:r>
      <w:r w:rsidRPr="00987B5A">
        <w:rPr>
          <w:rFonts w:ascii="Garamond" w:eastAsia="Times New Roman" w:hAnsi="Garamond" w:cs="Times New Roman"/>
          <w:color w:val="252525"/>
          <w:shd w:val="clear" w:color="auto" w:fill="FFFFFF"/>
        </w:rPr>
        <w:t xml:space="preserve"> </w:t>
      </w:r>
      <w:r w:rsidRPr="00987B5A">
        <w:rPr>
          <w:rFonts w:ascii="Garamond" w:eastAsia="Times New Roman" w:hAnsi="Garamond" w:cs="Times New Roman"/>
          <w:color w:val="000000"/>
        </w:rPr>
        <w:t xml:space="preserve">Landsat 8 Surface Reflectance data collected using the </w:t>
      </w:r>
      <w:r w:rsidRPr="00987B5A">
        <w:rPr>
          <w:rFonts w:ascii="Garamond" w:eastAsia="Times New Roman" w:hAnsi="Garamond" w:cs="Times New Roman"/>
          <w:color w:val="252525"/>
          <w:shd w:val="clear" w:color="auto" w:fill="FFFFFF"/>
        </w:rPr>
        <w:t>Operational Land Imager (OLI) and the Thermal Infrared Sensor (TIRS). These data are available at sufficiently high resolution (30 m and 100 m)</w:t>
      </w:r>
      <w:r w:rsidRPr="00987B5A">
        <w:rPr>
          <w:rFonts w:ascii="Garamond" w:eastAsia="Times New Roman" w:hAnsi="Garamond" w:cs="Times New Roman"/>
          <w:color w:val="000000"/>
        </w:rPr>
        <w:t xml:space="preserve"> for intra-urban analyses (</w:t>
      </w:r>
      <w:proofErr w:type="spellStart"/>
      <w:r w:rsidRPr="00987B5A">
        <w:rPr>
          <w:rFonts w:ascii="Garamond" w:eastAsia="Times New Roman" w:hAnsi="Garamond" w:cs="Times New Roman"/>
          <w:color w:val="000000"/>
        </w:rPr>
        <w:t>Alhawiti</w:t>
      </w:r>
      <w:proofErr w:type="spellEnd"/>
      <w:r w:rsidRPr="00987B5A">
        <w:rPr>
          <w:rFonts w:ascii="Garamond" w:eastAsia="Times New Roman" w:hAnsi="Garamond" w:cs="Times New Roman"/>
          <w:color w:val="000000"/>
        </w:rPr>
        <w:t xml:space="preserve"> &amp; </w:t>
      </w:r>
      <w:proofErr w:type="spellStart"/>
      <w:r w:rsidRPr="00987B5A">
        <w:rPr>
          <w:rFonts w:ascii="Garamond" w:eastAsia="Times New Roman" w:hAnsi="Garamond" w:cs="Times New Roman"/>
          <w:color w:val="000000"/>
        </w:rPr>
        <w:t>Mitsova</w:t>
      </w:r>
      <w:proofErr w:type="spellEnd"/>
      <w:r w:rsidRPr="00987B5A">
        <w:rPr>
          <w:rFonts w:ascii="Garamond" w:eastAsia="Times New Roman" w:hAnsi="Garamond" w:cs="Times New Roman"/>
          <w:color w:val="000000"/>
        </w:rPr>
        <w:t xml:space="preserve">, 2016; Kaplan, U. </w:t>
      </w:r>
      <w:proofErr w:type="spellStart"/>
      <w:r w:rsidRPr="00987B5A">
        <w:rPr>
          <w:rFonts w:ascii="Garamond" w:eastAsia="Times New Roman" w:hAnsi="Garamond" w:cs="Times New Roman"/>
          <w:color w:val="000000"/>
        </w:rPr>
        <w:t>Avdan</w:t>
      </w:r>
      <w:proofErr w:type="spellEnd"/>
      <w:r w:rsidRPr="00987B5A">
        <w:rPr>
          <w:rFonts w:ascii="Garamond" w:eastAsia="Times New Roman" w:hAnsi="Garamond" w:cs="Times New Roman"/>
          <w:color w:val="000000"/>
        </w:rPr>
        <w:t xml:space="preserve">, &amp; Z. </w:t>
      </w:r>
      <w:proofErr w:type="spellStart"/>
      <w:r w:rsidRPr="00987B5A">
        <w:rPr>
          <w:rFonts w:ascii="Garamond" w:eastAsia="Times New Roman" w:hAnsi="Garamond" w:cs="Times New Roman"/>
          <w:color w:val="000000"/>
        </w:rPr>
        <w:t>Avdan</w:t>
      </w:r>
      <w:proofErr w:type="spellEnd"/>
      <w:r w:rsidRPr="00987B5A">
        <w:rPr>
          <w:rFonts w:ascii="Garamond" w:eastAsia="Times New Roman" w:hAnsi="Garamond" w:cs="Times New Roman"/>
          <w:color w:val="000000"/>
        </w:rPr>
        <w:t>, 2018)</w:t>
      </w:r>
      <w:r w:rsidRPr="00987B5A">
        <w:rPr>
          <w:rFonts w:ascii="Times New Roman" w:eastAsia="Times New Roman" w:hAnsi="Times New Roman" w:cs="Times New Roman"/>
          <w:color w:val="000000"/>
          <w:sz w:val="24"/>
          <w:szCs w:val="24"/>
        </w:rPr>
        <w:t xml:space="preserve">. </w:t>
      </w:r>
      <w:r w:rsidRPr="00987B5A">
        <w:rPr>
          <w:rFonts w:ascii="Garamond" w:eastAsia="Times New Roman" w:hAnsi="Garamond" w:cs="Times New Roman"/>
          <w:color w:val="000000"/>
        </w:rPr>
        <w:t>Cloud and cloud shadow, specified in the quality assurance band of the Landsat 8 Surface Reflectance dataset, were excluded from the image collection. The final Landsat 8 image collection of images from June 1-September 1</w:t>
      </w:r>
      <w:r w:rsidR="004C66D9">
        <w:rPr>
          <w:rFonts w:ascii="Garamond" w:eastAsia="Times New Roman" w:hAnsi="Garamond" w:cs="Times New Roman"/>
          <w:color w:val="000000"/>
        </w:rPr>
        <w:t>,</w:t>
      </w:r>
      <w:r w:rsidRPr="00987B5A">
        <w:rPr>
          <w:rFonts w:ascii="Garamond" w:eastAsia="Times New Roman" w:hAnsi="Garamond" w:cs="Times New Roman"/>
          <w:color w:val="000000"/>
        </w:rPr>
        <w:t xml:space="preserve"> 2017-2019, included 16 images and about nine pixels per location on average.</w:t>
      </w:r>
    </w:p>
    <w:p w14:paraId="0C26B541" w14:textId="135C29D5" w:rsidR="00A212CE" w:rsidRPr="0066138C" w:rsidRDefault="00987B5A" w:rsidP="00987B5A">
      <w:pPr>
        <w:spacing w:after="0" w:line="240" w:lineRule="auto"/>
        <w:rPr>
          <w:rFonts w:ascii="Garamond" w:eastAsia="Times New Roman" w:hAnsi="Garamond" w:cs="Arial"/>
          <w:bCs/>
        </w:rPr>
      </w:pPr>
      <w:r w:rsidRPr="00987B5A">
        <w:rPr>
          <w:rFonts w:ascii="Times New Roman" w:eastAsia="Times New Roman" w:hAnsi="Times New Roman" w:cs="Times New Roman"/>
          <w:sz w:val="24"/>
          <w:szCs w:val="24"/>
        </w:rPr>
        <w:br/>
      </w:r>
      <w:r w:rsidRPr="00987B5A">
        <w:rPr>
          <w:rFonts w:ascii="Garamond" w:eastAsia="Times New Roman" w:hAnsi="Garamond" w:cs="Times New Roman"/>
          <w:color w:val="252525"/>
          <w:shd w:val="clear" w:color="auto" w:fill="FFFFFF"/>
        </w:rPr>
        <w:t xml:space="preserve">Landsat 8 does not collect </w:t>
      </w:r>
      <w:r w:rsidRPr="00987B5A">
        <w:rPr>
          <w:rFonts w:ascii="Garamond" w:eastAsia="Times New Roman" w:hAnsi="Garamond" w:cs="Times New Roman"/>
          <w:color w:val="000000"/>
        </w:rPr>
        <w:t>nighttime images. Thus, Aqua MODIS images were used to collect nighttime temperature in Philadelphia. Aqua MODIS provides a Land Surface Temperature and Emissivity Daily product with LST in Kelvin at 1km resolution, which was restricted to night images only for this work. Pixels where LST was not produced due to cloud effects or other reasons than clouds, as well as pixels with an error of &gt;3 degrees Kelvin (per QC Night quality indicators), were removed from the image collection.</w:t>
      </w:r>
      <w:r w:rsidR="00976411">
        <w:rPr>
          <w:rFonts w:ascii="Garamond" w:eastAsia="Times New Roman" w:hAnsi="Garamond" w:cs="Times New Roman"/>
          <w:color w:val="000000"/>
        </w:rPr>
        <w:t xml:space="preserve"> </w:t>
      </w:r>
      <w:r w:rsidRPr="00987B5A">
        <w:rPr>
          <w:rFonts w:ascii="Garamond" w:eastAsia="Times New Roman" w:hAnsi="Garamond" w:cs="Times New Roman"/>
          <w:color w:val="000000"/>
        </w:rPr>
        <w:t>The</w:t>
      </w:r>
      <w:r w:rsidR="00976411">
        <w:rPr>
          <w:rFonts w:ascii="Garamond" w:eastAsia="Times New Roman" w:hAnsi="Garamond" w:cs="Times New Roman"/>
          <w:color w:val="000000"/>
        </w:rPr>
        <w:t xml:space="preserve"> </w:t>
      </w:r>
      <w:r w:rsidRPr="00987B5A">
        <w:rPr>
          <w:rFonts w:ascii="Garamond" w:eastAsia="Times New Roman" w:hAnsi="Garamond" w:cs="Times New Roman"/>
          <w:color w:val="000000"/>
        </w:rPr>
        <w:t>final image collection included 278 images with about 80 pixels per location. NDWI was derived from the Aqua MODIS Surface Reflectance Daily L2G Global dataset with a resolution of 500 meters. Data was limited to pixels produced at ideal quality across all bands (per 500-meter Reflectance Band Quality). The final image collection used to calculate NDWI comprised</w:t>
      </w:r>
      <w:r w:rsidR="004C66D9">
        <w:rPr>
          <w:rFonts w:ascii="Garamond" w:eastAsia="Times New Roman" w:hAnsi="Garamond" w:cs="Times New Roman"/>
          <w:color w:val="000000"/>
        </w:rPr>
        <w:t xml:space="preserve"> of</w:t>
      </w:r>
      <w:r w:rsidRPr="00987B5A">
        <w:rPr>
          <w:rFonts w:ascii="Garamond" w:eastAsia="Times New Roman" w:hAnsi="Garamond" w:cs="Times New Roman"/>
          <w:color w:val="000000"/>
        </w:rPr>
        <w:t xml:space="preserve"> 279 images with ~260 pixels per location.</w:t>
      </w:r>
    </w:p>
    <w:p w14:paraId="073B424E" w14:textId="4E7D12F9" w:rsidR="00BD1A87" w:rsidRPr="0066138C" w:rsidRDefault="00BD1A87" w:rsidP="00976411">
      <w:pPr>
        <w:keepNext/>
        <w:spacing w:after="0" w:line="240" w:lineRule="auto"/>
        <w:jc w:val="center"/>
        <w:rPr>
          <w:rFonts w:ascii="Garamond" w:hAnsi="Garamond" w:cs="Arial"/>
          <w:b/>
          <w:szCs w:val="24"/>
        </w:rPr>
      </w:pPr>
    </w:p>
    <w:p w14:paraId="538A5F1D" w14:textId="20BE9355" w:rsidR="00A43059" w:rsidRPr="0066138C" w:rsidRDefault="00A43059" w:rsidP="0066138C">
      <w:pPr>
        <w:spacing w:after="0" w:line="240" w:lineRule="auto"/>
        <w:rPr>
          <w:rFonts w:ascii="Garamond" w:hAnsi="Garamond" w:cs="Arial"/>
          <w:b/>
          <w:i/>
          <w:szCs w:val="24"/>
        </w:rPr>
      </w:pPr>
      <w:r w:rsidRPr="00CC3FA0">
        <w:rPr>
          <w:rFonts w:ascii="Garamond" w:hAnsi="Garamond" w:cs="Arial"/>
          <w:b/>
          <w:i/>
          <w:szCs w:val="24"/>
        </w:rPr>
        <w:t>3.3 Data Analysis</w:t>
      </w:r>
    </w:p>
    <w:p w14:paraId="193B3628" w14:textId="34C1FD94" w:rsidR="007C2C43" w:rsidRDefault="00987B5A" w:rsidP="007C2C43">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Daytime LST, NDVI, NDBI, NDWI, and albedo were calculated from thermal, near-infrared, and infrared wavelengths. LST is a function of brightness temperature (band 10 in </w:t>
      </w:r>
      <w:r w:rsidR="004C66D9">
        <w:rPr>
          <w:rFonts w:ascii="Garamond" w:hAnsi="Garamond"/>
          <w:color w:val="000000"/>
          <w:sz w:val="22"/>
          <w:szCs w:val="22"/>
        </w:rPr>
        <w:t xml:space="preserve">the </w:t>
      </w:r>
      <w:r>
        <w:rPr>
          <w:rFonts w:ascii="Garamond" w:hAnsi="Garamond"/>
          <w:color w:val="000000"/>
          <w:sz w:val="22"/>
          <w:szCs w:val="22"/>
        </w:rPr>
        <w:t>Landsat 8 Surface Reflectance product) and emissivity, a measurement of an object’s ability to emit infrared energy (</w:t>
      </w:r>
      <w:proofErr w:type="spellStart"/>
      <w:r>
        <w:rPr>
          <w:rFonts w:ascii="Garamond" w:hAnsi="Garamond"/>
          <w:color w:val="000000"/>
          <w:sz w:val="22"/>
          <w:szCs w:val="22"/>
        </w:rPr>
        <w:t>Jin</w:t>
      </w:r>
      <w:proofErr w:type="spellEnd"/>
      <w:r>
        <w:rPr>
          <w:rFonts w:ascii="Garamond" w:hAnsi="Garamond"/>
          <w:color w:val="000000"/>
          <w:sz w:val="22"/>
          <w:szCs w:val="22"/>
        </w:rPr>
        <w:t xml:space="preserve"> &amp; Liang, 2005; Zhang, Wang, Li, 2006). LST can be described by the following, Equation 1:</w:t>
      </w:r>
    </w:p>
    <w:p w14:paraId="03668A4A" w14:textId="07DC0756" w:rsidR="007C2C43" w:rsidRPr="007C2C43" w:rsidRDefault="007C2C43" w:rsidP="007C2C43">
      <w:pPr>
        <w:pStyle w:val="NormalWeb"/>
        <w:spacing w:before="0" w:beforeAutospacing="0" w:after="0" w:afterAutospacing="0"/>
      </w:pPr>
      <w:r>
        <w:rPr>
          <w:noProof/>
        </w:rPr>
        <mc:AlternateContent>
          <mc:Choice Requires="wps">
            <w:drawing>
              <wp:anchor distT="0" distB="0" distL="114300" distR="114300" simplePos="0" relativeHeight="251659264" behindDoc="0" locked="0" layoutInCell="1" allowOverlap="1" wp14:anchorId="6529A611" wp14:editId="01D7BF02">
                <wp:simplePos x="0" y="0"/>
                <wp:positionH relativeFrom="column">
                  <wp:posOffset>5715000</wp:posOffset>
                </wp:positionH>
                <wp:positionV relativeFrom="page">
                  <wp:posOffset>7096125</wp:posOffset>
                </wp:positionV>
                <wp:extent cx="371475" cy="2667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4C32270D" w14:textId="3741C1F9" w:rsidR="0050690A" w:rsidRPr="0050690A" w:rsidRDefault="0050690A">
                            <w:pPr>
                              <w:rPr>
                                <w:rFonts w:ascii="Garamond" w:hAnsi="Garamond"/>
                              </w:rPr>
                            </w:pPr>
                            <w:r w:rsidRPr="0050690A">
                              <w:rPr>
                                <w:rFonts w:ascii="Garamond" w:hAnsi="Garamon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29A611" id="_x0000_t202" coordsize="21600,21600" o:spt="202" path="m,l,21600r21600,l21600,xe">
                <v:stroke joinstyle="miter"/>
                <v:path gradientshapeok="t" o:connecttype="rect"/>
              </v:shapetype>
              <v:shape id="Text Box 12" o:spid="_x0000_s1026" type="#_x0000_t202" style="position:absolute;margin-left:450pt;margin-top:558.75pt;width:29.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" fillcolor="white [3201]" stroked="f" strokeweight=".5pt">
                <v:textbox>
                  <w:txbxContent>
                    <w:p w14:paraId="4C32270D" w14:textId="3741C1F9" w:rsidR="0050690A" w:rsidRPr="0050690A" w:rsidRDefault="0050690A">
                      <w:pPr>
                        <w:rPr>
                          <w:rFonts w:ascii="Garamond" w:hAnsi="Garamond"/>
                        </w:rPr>
                      </w:pPr>
                      <w:r w:rsidRPr="0050690A">
                        <w:rPr>
                          <w:rFonts w:ascii="Garamond" w:hAnsi="Garamond"/>
                        </w:rPr>
                        <w:t>(1)</w:t>
                      </w:r>
                    </w:p>
                  </w:txbxContent>
                </v:textbox>
                <w10:wrap anchory="page"/>
              </v:shape>
            </w:pict>
          </mc:Fallback>
        </mc:AlternateContent>
      </w:r>
    </w:p>
    <w:p w14:paraId="70375F4C" w14:textId="1F1229AA" w:rsidR="0050690A" w:rsidRDefault="0050690A" w:rsidP="007C2C43">
      <w:pPr>
        <w:jc w:val="center"/>
      </w:pPr>
      <m:oMath>
        <m:r>
          <m:rPr>
            <m:nor/>
          </m:rPr>
          <w:rPr>
            <w:rFonts w:ascii="Garamond" w:eastAsia="Arial" w:hAnsi="Garamond" w:cs="Arial"/>
          </w:rPr>
          <m:t xml:space="preserve">LST= </m:t>
        </m:r>
        <m:f>
          <m:fPr>
            <m:ctrlPr>
              <w:rPr>
                <w:rFonts w:ascii="Cambria Math" w:eastAsia="Arial" w:hAnsi="Cambria Math" w:cs="Arial"/>
              </w:rPr>
            </m:ctrlPr>
          </m:fPr>
          <m:num>
            <m:r>
              <m:rPr>
                <m:sty m:val="p"/>
              </m:rPr>
              <w:rPr>
                <w:rFonts w:ascii="Cambria Math" w:eastAsia="Arial" w:hAnsi="Cambria Math" w:cs="Arial"/>
              </w:rPr>
              <m:t>BT</m:t>
            </m:r>
          </m:num>
          <m:den>
            <m:r>
              <m:rPr>
                <m:nor/>
              </m:rPr>
              <w:rPr>
                <w:rFonts w:ascii="Garamond" w:eastAsia="Arial" w:hAnsi="Garamond" w:cs="Arial"/>
              </w:rPr>
              <m:t>(1 + (</m:t>
            </m:r>
            <m:r>
              <m:rPr>
                <m:nor/>
              </m:rPr>
              <w:rPr>
                <w:rFonts w:ascii="Garamond" w:hAnsi="Garamond"/>
              </w:rPr>
              <m:t>0.0000109 * (BT/0.01438) * ln(E)))</m:t>
            </m:r>
          </m:den>
        </m:f>
      </m:oMath>
      <w:r w:rsidR="007C2C43">
        <w:t xml:space="preserve"> </w:t>
      </w:r>
    </w:p>
    <w:p w14:paraId="39E33330" w14:textId="121BD528" w:rsidR="00987B5A" w:rsidRDefault="00987B5A" w:rsidP="004C66D9">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 xml:space="preserve">where BT is brightness temperature in Kelvin and E is dimensionless emissivity (Kumar, </w:t>
      </w:r>
      <w:proofErr w:type="spellStart"/>
      <w:r>
        <w:rPr>
          <w:rFonts w:ascii="Garamond" w:hAnsi="Garamond"/>
          <w:color w:val="000000"/>
          <w:sz w:val="22"/>
          <w:szCs w:val="22"/>
        </w:rPr>
        <w:t>Bhaskar</w:t>
      </w:r>
      <w:proofErr w:type="spellEnd"/>
      <w:r>
        <w:rPr>
          <w:rFonts w:ascii="Garamond" w:hAnsi="Garamond"/>
          <w:color w:val="000000"/>
          <w:sz w:val="22"/>
          <w:szCs w:val="22"/>
        </w:rPr>
        <w:t xml:space="preserve">, &amp; </w:t>
      </w:r>
      <w:proofErr w:type="spellStart"/>
      <w:r>
        <w:rPr>
          <w:rFonts w:ascii="Garamond" w:hAnsi="Garamond"/>
          <w:color w:val="000000"/>
          <w:sz w:val="22"/>
          <w:szCs w:val="22"/>
        </w:rPr>
        <w:t>Padmakumari</w:t>
      </w:r>
      <w:proofErr w:type="spellEnd"/>
      <w:r>
        <w:rPr>
          <w:rFonts w:ascii="Garamond" w:hAnsi="Garamond"/>
          <w:color w:val="000000"/>
          <w:sz w:val="22"/>
          <w:szCs w:val="22"/>
        </w:rPr>
        <w:t>, 2012). </w:t>
      </w:r>
    </w:p>
    <w:p w14:paraId="50CD1002" w14:textId="77777777" w:rsidR="004C66D9" w:rsidRDefault="004C66D9" w:rsidP="004C66D9">
      <w:pPr>
        <w:pStyle w:val="NormalWeb"/>
        <w:spacing w:before="0" w:beforeAutospacing="0" w:after="0" w:afterAutospacing="0"/>
      </w:pPr>
    </w:p>
    <w:p w14:paraId="5C2F9054" w14:textId="7BA59B6B" w:rsidR="00987B5A" w:rsidRDefault="00987B5A" w:rsidP="00987B5A">
      <w:pPr>
        <w:pStyle w:val="NormalWeb"/>
        <w:spacing w:before="0" w:beforeAutospacing="0" w:after="0" w:afterAutospacing="0"/>
      </w:pPr>
      <w:r>
        <w:rPr>
          <w:rFonts w:ascii="Garamond" w:hAnsi="Garamond"/>
          <w:color w:val="000000"/>
          <w:sz w:val="22"/>
          <w:szCs w:val="22"/>
        </w:rPr>
        <w:t>Albedo is the fraction of incident radiation that is reflected by a surface. It can be represented by Equation 2:</w:t>
      </w:r>
    </w:p>
    <w:p w14:paraId="45E51FFE" w14:textId="1B4846EB" w:rsidR="00976411" w:rsidRDefault="004503BF" w:rsidP="00987B5A">
      <w:pPr>
        <w:rPr>
          <w:rFonts w:ascii="Times New Roman" w:eastAsia="Times New Roman" w:hAnsi="Times New Roman" w:cs="Times New Roman"/>
        </w:rPr>
      </w:pPr>
      <w:r>
        <w:rPr>
          <w:noProof/>
        </w:rPr>
        <mc:AlternateContent>
          <mc:Choice Requires="wps">
            <w:drawing>
              <wp:anchor distT="0" distB="0" distL="114300" distR="114300" simplePos="0" relativeHeight="251661312" behindDoc="0" locked="0" layoutInCell="1" allowOverlap="1" wp14:anchorId="4D3265E0" wp14:editId="253E4FA8">
                <wp:simplePos x="0" y="0"/>
                <wp:positionH relativeFrom="column">
                  <wp:posOffset>5715000</wp:posOffset>
                </wp:positionH>
                <wp:positionV relativeFrom="page">
                  <wp:posOffset>8580120</wp:posOffset>
                </wp:positionV>
                <wp:extent cx="371475" cy="2667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182145E9" w14:textId="16C548CB" w:rsidR="0050690A" w:rsidRPr="0050690A" w:rsidRDefault="0050690A" w:rsidP="0050690A">
                            <w:pPr>
                              <w:rPr>
                                <w:rFonts w:ascii="Garamond" w:hAnsi="Garamond"/>
                              </w:rPr>
                            </w:pPr>
                            <w:r w:rsidRPr="0050690A">
                              <w:rPr>
                                <w:rFonts w:ascii="Garamond" w:hAnsi="Garamond"/>
                              </w:rPr>
                              <w:t>(</w:t>
                            </w:r>
                            <w:r>
                              <w:rPr>
                                <w:rFonts w:ascii="Garamond" w:hAnsi="Garamond"/>
                              </w:rPr>
                              <w:t>2</w:t>
                            </w:r>
                            <w:r w:rsidRPr="0050690A">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265E0" id="Text Box 13" o:spid="_x0000_s1027" type="#_x0000_t202" style="position:absolute;margin-left:450pt;margin-top:675.6pt;width:29.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" fillcolor="white [3201]" stroked="f" strokeweight=".5pt">
                <v:textbox>
                  <w:txbxContent>
                    <w:p w14:paraId="182145E9" w14:textId="16C548CB" w:rsidR="0050690A" w:rsidRPr="0050690A" w:rsidRDefault="0050690A" w:rsidP="0050690A">
                      <w:pPr>
                        <w:rPr>
                          <w:rFonts w:ascii="Garamond" w:hAnsi="Garamond"/>
                        </w:rPr>
                      </w:pPr>
                      <w:r w:rsidRPr="0050690A">
                        <w:rPr>
                          <w:rFonts w:ascii="Garamond" w:hAnsi="Garamond"/>
                        </w:rPr>
                        <w:t>(</w:t>
                      </w:r>
                      <w:r>
                        <w:rPr>
                          <w:rFonts w:ascii="Garamond" w:hAnsi="Garamond"/>
                        </w:rPr>
                        <w:t>2</w:t>
                      </w:r>
                      <w:r w:rsidRPr="0050690A">
                        <w:rPr>
                          <w:rFonts w:ascii="Garamond" w:hAnsi="Garamond"/>
                        </w:rPr>
                        <w:t>)</w:t>
                      </w:r>
                    </w:p>
                  </w:txbxContent>
                </v:textbox>
                <w10:wrap anchory="page"/>
              </v:shape>
            </w:pict>
          </mc:Fallback>
        </mc:AlternateContent>
      </w:r>
    </w:p>
    <w:p w14:paraId="4EDE7750" w14:textId="120F0441" w:rsidR="00976411" w:rsidRPr="00976411" w:rsidRDefault="004C66D9" w:rsidP="00987B5A">
      <w:pPr>
        <w:rPr>
          <w:rFonts w:ascii="Garamond" w:hAnsi="Garamond"/>
        </w:rPr>
      </w:pPr>
      <m:oMathPara>
        <m:oMathParaPr>
          <m:jc m:val="center"/>
        </m:oMathParaPr>
        <m:oMath>
          <m:r>
            <m:rPr>
              <m:nor/>
            </m:rPr>
            <w:rPr>
              <w:rFonts w:ascii="Garamond" w:hAnsi="Garamond"/>
            </w:rPr>
            <m:t>Albedo</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0.246 Blue</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0.146 Green</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0.191 Red</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0.304 NIR</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0.105 SWIR1</m:t>
          </m:r>
          <m:r>
            <m:rPr>
              <m:nor/>
            </m:rPr>
            <w:rPr>
              <w:rFonts w:ascii="Cambria Math" w:hAnsi="Garamond"/>
            </w:rPr>
            <m:t xml:space="preserve"> </m:t>
          </m:r>
          <m:r>
            <m:rPr>
              <m:nor/>
            </m:rPr>
            <w:rPr>
              <w:rFonts w:ascii="Garamond" w:hAnsi="Garamond"/>
            </w:rPr>
            <m:t>+</m:t>
          </m:r>
          <m:r>
            <m:rPr>
              <m:nor/>
            </m:rPr>
            <w:rPr>
              <w:rFonts w:ascii="Cambria Math" w:hAnsi="Garamond"/>
            </w:rPr>
            <m:t xml:space="preserve"> </m:t>
          </m:r>
          <m:r>
            <m:rPr>
              <m:nor/>
            </m:rPr>
            <w:rPr>
              <w:rFonts w:ascii="Garamond" w:hAnsi="Garamond"/>
            </w:rPr>
            <m:t>0.008 SWIR2</m:t>
          </m:r>
        </m:oMath>
      </m:oMathPara>
    </w:p>
    <w:p w14:paraId="27C0C2D4" w14:textId="5842D8D2" w:rsidR="00987B5A" w:rsidRDefault="00987B5A" w:rsidP="00987B5A"/>
    <w:p w14:paraId="6F0F6C11" w14:textId="7911DF80" w:rsidR="00987B5A" w:rsidRDefault="00987B5A" w:rsidP="00987B5A">
      <w:pPr>
        <w:pStyle w:val="NormalWeb"/>
        <w:spacing w:before="0" w:beforeAutospacing="0" w:after="0" w:afterAutospacing="0"/>
      </w:pPr>
      <w:r>
        <w:rPr>
          <w:rFonts w:ascii="Garamond" w:hAnsi="Garamond"/>
          <w:color w:val="000000"/>
          <w:sz w:val="22"/>
          <w:szCs w:val="22"/>
        </w:rPr>
        <w:lastRenderedPageBreak/>
        <w:t>where B</w:t>
      </w:r>
      <w:r w:rsidR="004C66D9">
        <w:rPr>
          <w:rFonts w:ascii="Garamond" w:hAnsi="Garamond"/>
          <w:color w:val="000000"/>
          <w:sz w:val="22"/>
          <w:szCs w:val="22"/>
        </w:rPr>
        <w:t>lue</w:t>
      </w:r>
      <w:r>
        <w:rPr>
          <w:rFonts w:ascii="Garamond" w:hAnsi="Garamond"/>
          <w:color w:val="000000"/>
          <w:sz w:val="22"/>
          <w:szCs w:val="22"/>
        </w:rPr>
        <w:t>, G</w:t>
      </w:r>
      <w:r w:rsidR="004C66D9">
        <w:rPr>
          <w:rFonts w:ascii="Garamond" w:hAnsi="Garamond"/>
          <w:color w:val="000000"/>
          <w:sz w:val="22"/>
          <w:szCs w:val="22"/>
        </w:rPr>
        <w:t>reen</w:t>
      </w:r>
      <w:r>
        <w:rPr>
          <w:rFonts w:ascii="Garamond" w:hAnsi="Garamond"/>
          <w:color w:val="000000"/>
          <w:sz w:val="22"/>
          <w:szCs w:val="22"/>
        </w:rPr>
        <w:t>, R</w:t>
      </w:r>
      <w:r w:rsidR="004C66D9">
        <w:rPr>
          <w:rFonts w:ascii="Garamond" w:hAnsi="Garamond"/>
          <w:color w:val="000000"/>
          <w:sz w:val="22"/>
          <w:szCs w:val="22"/>
        </w:rPr>
        <w:t>ed</w:t>
      </w:r>
      <w:r>
        <w:rPr>
          <w:rFonts w:ascii="Garamond" w:hAnsi="Garamond"/>
          <w:color w:val="000000"/>
          <w:sz w:val="22"/>
          <w:szCs w:val="22"/>
        </w:rPr>
        <w:t>, NIR, SWIR1 and SWIR2 are bands 2, 3, 4, 5, 6, and 7, respectively, in Landsat 8 Surface Reflectance images and the coefficients are empirically derived weighting coefficients (</w:t>
      </w:r>
      <w:proofErr w:type="spellStart"/>
      <w:r>
        <w:rPr>
          <w:rFonts w:ascii="Garamond" w:hAnsi="Garamond"/>
          <w:color w:val="000000"/>
          <w:sz w:val="22"/>
          <w:szCs w:val="22"/>
          <w:shd w:val="clear" w:color="auto" w:fill="FFFFFF"/>
        </w:rPr>
        <w:t>Olmedo</w:t>
      </w:r>
      <w:proofErr w:type="spellEnd"/>
      <w:r>
        <w:rPr>
          <w:rFonts w:ascii="Garamond" w:hAnsi="Garamond"/>
          <w:color w:val="000000"/>
          <w:sz w:val="22"/>
          <w:szCs w:val="22"/>
          <w:shd w:val="clear" w:color="auto" w:fill="FFFFFF"/>
        </w:rPr>
        <w:t>, Ortega-</w:t>
      </w:r>
      <w:proofErr w:type="spellStart"/>
      <w:r>
        <w:rPr>
          <w:rFonts w:ascii="Garamond" w:hAnsi="Garamond"/>
          <w:color w:val="000000"/>
          <w:sz w:val="22"/>
          <w:szCs w:val="22"/>
          <w:shd w:val="clear" w:color="auto" w:fill="FFFFFF"/>
        </w:rPr>
        <w:t>Farías</w:t>
      </w:r>
      <w:proofErr w:type="spellEnd"/>
      <w:r>
        <w:rPr>
          <w:rFonts w:ascii="Garamond" w:hAnsi="Garamond"/>
          <w:color w:val="000000"/>
          <w:sz w:val="22"/>
          <w:szCs w:val="22"/>
          <w:shd w:val="clear" w:color="auto" w:fill="FFFFFF"/>
        </w:rPr>
        <w:t>, de la Fuente-</w:t>
      </w:r>
      <w:proofErr w:type="spellStart"/>
      <w:r>
        <w:rPr>
          <w:rFonts w:ascii="Garamond" w:hAnsi="Garamond"/>
          <w:color w:val="000000"/>
          <w:sz w:val="22"/>
          <w:szCs w:val="22"/>
          <w:shd w:val="clear" w:color="auto" w:fill="FFFFFF"/>
        </w:rPr>
        <w:t>Sáiz</w:t>
      </w:r>
      <w:proofErr w:type="spellEnd"/>
      <w:r>
        <w:rPr>
          <w:rFonts w:ascii="Garamond" w:hAnsi="Garamond"/>
          <w:color w:val="000000"/>
          <w:sz w:val="22"/>
          <w:szCs w:val="22"/>
          <w:shd w:val="clear" w:color="auto" w:fill="FFFFFF"/>
        </w:rPr>
        <w:t xml:space="preserve">, Fonseca- </w:t>
      </w:r>
      <w:proofErr w:type="spellStart"/>
      <w:r>
        <w:rPr>
          <w:rFonts w:ascii="Garamond" w:hAnsi="Garamond"/>
          <w:color w:val="000000"/>
          <w:sz w:val="22"/>
          <w:szCs w:val="22"/>
          <w:shd w:val="clear" w:color="auto" w:fill="FFFFFF"/>
        </w:rPr>
        <w:t>Luego</w:t>
      </w:r>
      <w:proofErr w:type="spellEnd"/>
      <w:r>
        <w:rPr>
          <w:rFonts w:ascii="Garamond" w:hAnsi="Garamond"/>
          <w:color w:val="000000"/>
          <w:sz w:val="22"/>
          <w:szCs w:val="22"/>
          <w:shd w:val="clear" w:color="auto" w:fill="FFFFFF"/>
        </w:rPr>
        <w:t>, &amp; Fuentes-</w:t>
      </w:r>
      <w:proofErr w:type="spellStart"/>
      <w:r>
        <w:rPr>
          <w:rFonts w:ascii="Garamond" w:hAnsi="Garamond"/>
          <w:color w:val="000000"/>
          <w:sz w:val="22"/>
          <w:szCs w:val="22"/>
          <w:shd w:val="clear" w:color="auto" w:fill="FFFFFF"/>
        </w:rPr>
        <w:t>Peñailillo</w:t>
      </w:r>
      <w:proofErr w:type="spellEnd"/>
      <w:r>
        <w:rPr>
          <w:rFonts w:ascii="Garamond" w:hAnsi="Garamond"/>
          <w:color w:val="000000"/>
          <w:sz w:val="22"/>
          <w:szCs w:val="22"/>
        </w:rPr>
        <w:t>, 2016). </w:t>
      </w:r>
    </w:p>
    <w:p w14:paraId="3DB1B92B" w14:textId="77777777" w:rsidR="00987B5A" w:rsidRDefault="00987B5A" w:rsidP="00987B5A"/>
    <w:p w14:paraId="66197D29" w14:textId="0C7DBE5C" w:rsidR="00987B5A" w:rsidRDefault="004503BF" w:rsidP="00987B5A">
      <w:pPr>
        <w:pStyle w:val="NormalWeb"/>
        <w:spacing w:before="0" w:beforeAutospacing="0" w:after="0" w:afterAutospacing="0"/>
      </w:pPr>
      <w:r>
        <w:rPr>
          <w:noProof/>
        </w:rPr>
        <mc:AlternateContent>
          <mc:Choice Requires="wps">
            <w:drawing>
              <wp:anchor distT="0" distB="0" distL="114300" distR="114300" simplePos="0" relativeHeight="251663360" behindDoc="0" locked="0" layoutInCell="1" allowOverlap="1" wp14:anchorId="4BFD9A6F" wp14:editId="4778CBC3">
                <wp:simplePos x="0" y="0"/>
                <wp:positionH relativeFrom="column">
                  <wp:posOffset>5648325</wp:posOffset>
                </wp:positionH>
                <wp:positionV relativeFrom="page">
                  <wp:posOffset>2011680</wp:posOffset>
                </wp:positionV>
                <wp:extent cx="371475" cy="2667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09E944A4" w14:textId="7DC85EA3" w:rsidR="004503BF" w:rsidRPr="0050690A" w:rsidRDefault="004503BF" w:rsidP="004503BF">
                            <w:pPr>
                              <w:rPr>
                                <w:rFonts w:ascii="Garamond" w:hAnsi="Garamond"/>
                              </w:rPr>
                            </w:pPr>
                            <w:r w:rsidRPr="0050690A">
                              <w:rPr>
                                <w:rFonts w:ascii="Garamond" w:hAnsi="Garamond"/>
                              </w:rPr>
                              <w:t>(</w:t>
                            </w:r>
                            <w:r>
                              <w:rPr>
                                <w:rFonts w:ascii="Garamond" w:hAnsi="Garamond"/>
                              </w:rPr>
                              <w:t>3</w:t>
                            </w:r>
                            <w:r w:rsidRPr="0050690A">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D9A6F" id="Text Box 14" o:spid="_x0000_s1028" type="#_x0000_t202" style="position:absolute;margin-left:444.75pt;margin-top:158.4pt;width:29.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" fillcolor="white [3201]" stroked="f" strokeweight=".5pt">
                <v:textbox>
                  <w:txbxContent>
                    <w:p w14:paraId="09E944A4" w14:textId="7DC85EA3" w:rsidR="004503BF" w:rsidRPr="0050690A" w:rsidRDefault="004503BF" w:rsidP="004503BF">
                      <w:pPr>
                        <w:rPr>
                          <w:rFonts w:ascii="Garamond" w:hAnsi="Garamond"/>
                        </w:rPr>
                      </w:pPr>
                      <w:r w:rsidRPr="0050690A">
                        <w:rPr>
                          <w:rFonts w:ascii="Garamond" w:hAnsi="Garamond"/>
                        </w:rPr>
                        <w:t>(</w:t>
                      </w:r>
                      <w:r>
                        <w:rPr>
                          <w:rFonts w:ascii="Garamond" w:hAnsi="Garamond"/>
                        </w:rPr>
                        <w:t>3</w:t>
                      </w:r>
                      <w:r w:rsidRPr="0050690A">
                        <w:rPr>
                          <w:rFonts w:ascii="Garamond" w:hAnsi="Garamond"/>
                        </w:rPr>
                        <w:t>)</w:t>
                      </w:r>
                    </w:p>
                  </w:txbxContent>
                </v:textbox>
                <w10:wrap anchory="page"/>
              </v:shape>
            </w:pict>
          </mc:Fallback>
        </mc:AlternateContent>
      </w:r>
      <w:r w:rsidR="00987B5A">
        <w:rPr>
          <w:rFonts w:ascii="Garamond" w:hAnsi="Garamond"/>
          <w:color w:val="000000"/>
          <w:sz w:val="22"/>
          <w:szCs w:val="22"/>
        </w:rPr>
        <w:t>NDVI is the normalized difference between near-infrared (NIR) and red reflectance (Red) following Equation 3:</w:t>
      </w:r>
    </w:p>
    <w:p w14:paraId="192D2510" w14:textId="3A7296EB" w:rsidR="00987B5A" w:rsidRPr="004503BF" w:rsidRDefault="004503BF" w:rsidP="004503BF">
      <w:pPr>
        <w:jc w:val="center"/>
        <w:rPr>
          <w:rFonts w:ascii="Garamond" w:hAnsi="Garamond"/>
        </w:rPr>
      </w:pPr>
      <m:oMath>
        <m:r>
          <m:rPr>
            <m:nor/>
          </m:rPr>
          <w:rPr>
            <w:rFonts w:ascii="Garamond" w:hAnsi="Garamond"/>
          </w:rPr>
          <m:t xml:space="preserve">NDVI = </m:t>
        </m:r>
        <m:f>
          <m:fPr>
            <m:ctrlPr>
              <w:rPr>
                <w:rFonts w:ascii="Cambria Math" w:hAnsi="Cambria Math"/>
                <w:i/>
              </w:rPr>
            </m:ctrlPr>
          </m:fPr>
          <m:num>
            <m:r>
              <m:rPr>
                <m:nor/>
              </m:rPr>
              <w:rPr>
                <w:rFonts w:ascii="Garamond" w:hAnsi="Garamond"/>
              </w:rPr>
              <m:t>NIR - Red</m:t>
            </m:r>
          </m:num>
          <m:den>
            <m:r>
              <m:rPr>
                <m:nor/>
              </m:rPr>
              <w:rPr>
                <w:rFonts w:ascii="Garamond" w:hAnsi="Garamond"/>
              </w:rPr>
              <m:t>NIR + Red</m:t>
            </m:r>
          </m:den>
        </m:f>
      </m:oMath>
      <w:r>
        <w:rPr>
          <w:rFonts w:ascii="Garamond" w:hAnsi="Garamond"/>
        </w:rPr>
        <w:t xml:space="preserve"> </w:t>
      </w:r>
    </w:p>
    <w:p w14:paraId="73F384AA" w14:textId="45652178" w:rsidR="00987B5A" w:rsidRDefault="00987B5A" w:rsidP="00987B5A">
      <w:pPr>
        <w:pStyle w:val="NormalWeb"/>
        <w:spacing w:before="0" w:beforeAutospacing="0" w:after="0" w:afterAutospacing="0"/>
      </w:pPr>
      <w:r>
        <w:rPr>
          <w:rFonts w:ascii="Garamond" w:hAnsi="Garamond"/>
          <w:color w:val="000000"/>
          <w:sz w:val="22"/>
          <w:szCs w:val="22"/>
        </w:rPr>
        <w:t>where NIR and Red correspond to band 5 and band 4 in the Landsat 8 surface reflectance product, respectively (</w:t>
      </w:r>
      <w:proofErr w:type="spellStart"/>
      <w:r>
        <w:rPr>
          <w:rFonts w:ascii="Garamond" w:hAnsi="Garamond"/>
          <w:color w:val="000000"/>
          <w:sz w:val="22"/>
          <w:szCs w:val="22"/>
        </w:rPr>
        <w:t>Orusa</w:t>
      </w:r>
      <w:proofErr w:type="spellEnd"/>
      <w:r>
        <w:rPr>
          <w:rFonts w:ascii="Garamond" w:hAnsi="Garamond"/>
          <w:color w:val="000000"/>
          <w:sz w:val="22"/>
          <w:szCs w:val="22"/>
        </w:rPr>
        <w:t xml:space="preserve"> &amp; </w:t>
      </w:r>
      <w:proofErr w:type="spellStart"/>
      <w:r>
        <w:rPr>
          <w:rFonts w:ascii="Garamond" w:hAnsi="Garamond"/>
          <w:color w:val="000000"/>
          <w:sz w:val="22"/>
          <w:szCs w:val="22"/>
        </w:rPr>
        <w:t>Mondino</w:t>
      </w:r>
      <w:proofErr w:type="spellEnd"/>
      <w:r>
        <w:rPr>
          <w:rFonts w:ascii="Garamond" w:hAnsi="Garamond"/>
          <w:color w:val="000000"/>
          <w:sz w:val="22"/>
          <w:szCs w:val="22"/>
        </w:rPr>
        <w:t>, 2019). </w:t>
      </w:r>
    </w:p>
    <w:p w14:paraId="60357441" w14:textId="08701994" w:rsidR="00987B5A" w:rsidRDefault="00987B5A" w:rsidP="00987B5A"/>
    <w:p w14:paraId="7DB9BD3F" w14:textId="01FBDF06" w:rsidR="00987B5A" w:rsidRDefault="00987B5A" w:rsidP="00987B5A">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NDBI is the normalized difference between shortwave infrared (SWIR) and near</w:t>
      </w:r>
      <w:r w:rsidR="008E2E74">
        <w:rPr>
          <w:rFonts w:ascii="Garamond" w:hAnsi="Garamond"/>
          <w:color w:val="000000"/>
          <w:sz w:val="22"/>
          <w:szCs w:val="22"/>
        </w:rPr>
        <w:t>-</w:t>
      </w:r>
      <w:r>
        <w:rPr>
          <w:rFonts w:ascii="Garamond" w:hAnsi="Garamond"/>
          <w:color w:val="000000"/>
          <w:sz w:val="22"/>
          <w:szCs w:val="22"/>
        </w:rPr>
        <w:t xml:space="preserve">infrared (NIR) which are stored in bands 6 and 5, respectively and can be represented by Equation </w:t>
      </w:r>
      <w:r w:rsidR="004503BF">
        <w:rPr>
          <w:rFonts w:ascii="Garamond" w:hAnsi="Garamond"/>
          <w:color w:val="000000"/>
          <w:sz w:val="22"/>
          <w:szCs w:val="22"/>
        </w:rPr>
        <w:t>4</w:t>
      </w:r>
      <w:r>
        <w:rPr>
          <w:rFonts w:ascii="Garamond" w:hAnsi="Garamond"/>
          <w:color w:val="000000"/>
          <w:sz w:val="22"/>
          <w:szCs w:val="22"/>
        </w:rPr>
        <w:t>:</w:t>
      </w:r>
    </w:p>
    <w:p w14:paraId="3E8E4B1A" w14:textId="2C597391" w:rsidR="007C2C43" w:rsidRDefault="007C2C43" w:rsidP="00987B5A">
      <w:pPr>
        <w:pStyle w:val="NormalWeb"/>
        <w:spacing w:before="0" w:beforeAutospacing="0" w:after="0" w:afterAutospacing="0"/>
      </w:pPr>
      <w:r>
        <w:rPr>
          <w:noProof/>
        </w:rPr>
        <mc:AlternateContent>
          <mc:Choice Requires="wps">
            <w:drawing>
              <wp:anchor distT="0" distB="0" distL="114300" distR="114300" simplePos="0" relativeHeight="251665408" behindDoc="0" locked="0" layoutInCell="1" allowOverlap="1" wp14:anchorId="2863394B" wp14:editId="5FB6864D">
                <wp:simplePos x="0" y="0"/>
                <wp:positionH relativeFrom="column">
                  <wp:posOffset>5648325</wp:posOffset>
                </wp:positionH>
                <wp:positionV relativeFrom="page">
                  <wp:posOffset>3478530</wp:posOffset>
                </wp:positionV>
                <wp:extent cx="371475" cy="2667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4C50FF3D" w14:textId="2B61E167" w:rsidR="004503BF" w:rsidRPr="0050690A" w:rsidRDefault="004503BF" w:rsidP="004503BF">
                            <w:pPr>
                              <w:rPr>
                                <w:rFonts w:ascii="Garamond" w:hAnsi="Garamond"/>
                              </w:rPr>
                            </w:pPr>
                            <w:r w:rsidRPr="0050690A">
                              <w:rPr>
                                <w:rFonts w:ascii="Garamond" w:hAnsi="Garamond"/>
                              </w:rPr>
                              <w:t>(</w:t>
                            </w:r>
                            <w:r>
                              <w:rPr>
                                <w:rFonts w:ascii="Garamond" w:hAnsi="Garamond"/>
                              </w:rPr>
                              <w:t>4</w:t>
                            </w:r>
                            <w:r w:rsidRPr="0050690A">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3394B" id="Text Box 15" o:spid="_x0000_s1029" type="#_x0000_t202" style="position:absolute;margin-left:444.75pt;margin-top:273.9pt;width:29.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" fillcolor="white [3201]" stroked="f" strokeweight=".5pt">
                <v:textbox>
                  <w:txbxContent>
                    <w:p w14:paraId="4C50FF3D" w14:textId="2B61E167" w:rsidR="004503BF" w:rsidRPr="0050690A" w:rsidRDefault="004503BF" w:rsidP="004503BF">
                      <w:pPr>
                        <w:rPr>
                          <w:rFonts w:ascii="Garamond" w:hAnsi="Garamond"/>
                        </w:rPr>
                      </w:pPr>
                      <w:r w:rsidRPr="0050690A">
                        <w:rPr>
                          <w:rFonts w:ascii="Garamond" w:hAnsi="Garamond"/>
                        </w:rPr>
                        <w:t>(</w:t>
                      </w:r>
                      <w:r>
                        <w:rPr>
                          <w:rFonts w:ascii="Garamond" w:hAnsi="Garamond"/>
                        </w:rPr>
                        <w:t>4</w:t>
                      </w:r>
                      <w:r w:rsidRPr="0050690A">
                        <w:rPr>
                          <w:rFonts w:ascii="Garamond" w:hAnsi="Garamond"/>
                        </w:rPr>
                        <w:t>)</w:t>
                      </w:r>
                    </w:p>
                  </w:txbxContent>
                </v:textbox>
                <w10:wrap anchory="page"/>
              </v:shape>
            </w:pict>
          </mc:Fallback>
        </mc:AlternateContent>
      </w:r>
    </w:p>
    <w:p w14:paraId="599E1FB5" w14:textId="0163F3BF" w:rsidR="00987B5A" w:rsidRPr="004503BF" w:rsidRDefault="004503BF" w:rsidP="004503BF">
      <w:pPr>
        <w:jc w:val="center"/>
        <w:rPr>
          <w:rFonts w:ascii="Garamond" w:hAnsi="Garamond"/>
        </w:rPr>
      </w:pPr>
      <m:oMath>
        <m:r>
          <m:rPr>
            <m:nor/>
          </m:rPr>
          <w:rPr>
            <w:rFonts w:ascii="Garamond" w:eastAsia="Arial" w:hAnsi="Garamond" w:cs="Arial"/>
          </w:rPr>
          <m:t xml:space="preserve">NDBI = </m:t>
        </m:r>
        <m:f>
          <m:fPr>
            <m:ctrlPr>
              <w:rPr>
                <w:rFonts w:ascii="Cambria Math" w:eastAsia="Arial" w:hAnsi="Cambria Math" w:cs="Arial"/>
              </w:rPr>
            </m:ctrlPr>
          </m:fPr>
          <m:num>
            <m:r>
              <m:rPr>
                <m:nor/>
              </m:rPr>
              <w:rPr>
                <w:rFonts w:ascii="Garamond" w:eastAsia="Arial" w:hAnsi="Garamond" w:cs="Arial"/>
              </w:rPr>
              <m:t>SWIR - NIR</m:t>
            </m:r>
          </m:num>
          <m:den>
            <m:r>
              <m:rPr>
                <m:nor/>
              </m:rPr>
              <w:rPr>
                <w:rFonts w:ascii="Garamond" w:eastAsia="Arial" w:hAnsi="Garamond" w:cs="Arial"/>
              </w:rPr>
              <m:t>SWIR + NIR</m:t>
            </m:r>
          </m:den>
        </m:f>
      </m:oMath>
      <w:r>
        <w:rPr>
          <w:rFonts w:ascii="Garamond" w:hAnsi="Garamond"/>
        </w:rPr>
        <w:t xml:space="preserve"> </w:t>
      </w:r>
    </w:p>
    <w:p w14:paraId="0383090B" w14:textId="57B02504" w:rsidR="00987B5A" w:rsidRDefault="00987B5A" w:rsidP="00987B5A">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NDWI is a measure of surface water content in plants and represents vegetation health when combined with NDVI. It is the normalized difference between the high plant reflectance wavelengths of 0.86-μm and 1.24-μm (Gao et al., 1996). In Aqua MODIS surface reflectance images these wavelengths are contained in the near</w:t>
      </w:r>
      <w:r w:rsidR="008E2E74">
        <w:rPr>
          <w:rFonts w:ascii="Garamond" w:hAnsi="Garamond"/>
          <w:color w:val="000000"/>
          <w:sz w:val="22"/>
          <w:szCs w:val="22"/>
        </w:rPr>
        <w:t>-</w:t>
      </w:r>
      <w:r>
        <w:rPr>
          <w:rFonts w:ascii="Garamond" w:hAnsi="Garamond"/>
          <w:color w:val="000000"/>
          <w:sz w:val="22"/>
          <w:szCs w:val="22"/>
        </w:rPr>
        <w:t xml:space="preserve">infrared band 2 and the short-wave infrared band 5, and NDWI is calculated using Equation </w:t>
      </w:r>
      <w:r w:rsidR="004503BF">
        <w:rPr>
          <w:rFonts w:ascii="Garamond" w:hAnsi="Garamond"/>
          <w:color w:val="000000"/>
          <w:sz w:val="22"/>
          <w:szCs w:val="22"/>
        </w:rPr>
        <w:t>5</w:t>
      </w:r>
      <w:r>
        <w:rPr>
          <w:rFonts w:ascii="Garamond" w:hAnsi="Garamond"/>
          <w:color w:val="000000"/>
          <w:sz w:val="22"/>
          <w:szCs w:val="22"/>
        </w:rPr>
        <w:t>:</w:t>
      </w:r>
    </w:p>
    <w:p w14:paraId="1F00D931" w14:textId="7CDC5F17" w:rsidR="007C2C43" w:rsidRDefault="007C2C43" w:rsidP="00987B5A">
      <w:pPr>
        <w:pStyle w:val="NormalWeb"/>
        <w:spacing w:before="0" w:beforeAutospacing="0" w:after="0" w:afterAutospacing="0"/>
      </w:pPr>
      <w:r>
        <w:rPr>
          <w:noProof/>
        </w:rPr>
        <mc:AlternateContent>
          <mc:Choice Requires="wps">
            <w:drawing>
              <wp:anchor distT="0" distB="0" distL="114300" distR="114300" simplePos="0" relativeHeight="251667456" behindDoc="0" locked="0" layoutInCell="1" allowOverlap="1" wp14:anchorId="3C129305" wp14:editId="3387ED2E">
                <wp:simplePos x="0" y="0"/>
                <wp:positionH relativeFrom="column">
                  <wp:posOffset>5648325</wp:posOffset>
                </wp:positionH>
                <wp:positionV relativeFrom="page">
                  <wp:posOffset>4728210</wp:posOffset>
                </wp:positionV>
                <wp:extent cx="371475" cy="2667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5FD8A1E2" w14:textId="710D10B4" w:rsidR="007C2C43" w:rsidRPr="0050690A" w:rsidRDefault="007C2C43" w:rsidP="007C2C43">
                            <w:pPr>
                              <w:rPr>
                                <w:rFonts w:ascii="Garamond" w:hAnsi="Garamond"/>
                              </w:rPr>
                            </w:pPr>
                            <w:r w:rsidRPr="0050690A">
                              <w:rPr>
                                <w:rFonts w:ascii="Garamond" w:hAnsi="Garamond"/>
                              </w:rPr>
                              <w:t>(</w:t>
                            </w:r>
                            <w:r>
                              <w:rPr>
                                <w:rFonts w:ascii="Garamond" w:hAnsi="Garamond"/>
                              </w:rPr>
                              <w:t>5</w:t>
                            </w:r>
                            <w:r w:rsidRPr="0050690A">
                              <w:rPr>
                                <w:rFonts w:ascii="Garamond" w:hAnsi="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29305" id="Text Box 17" o:spid="_x0000_s1030" type="#_x0000_t202" style="position:absolute;margin-left:444.75pt;margin-top:372.3pt;width:29.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" fillcolor="white [3201]" stroked="f" strokeweight=".5pt">
                <v:textbox>
                  <w:txbxContent>
                    <w:p w14:paraId="5FD8A1E2" w14:textId="710D10B4" w:rsidR="007C2C43" w:rsidRPr="0050690A" w:rsidRDefault="007C2C43" w:rsidP="007C2C43">
                      <w:pPr>
                        <w:rPr>
                          <w:rFonts w:ascii="Garamond" w:hAnsi="Garamond"/>
                        </w:rPr>
                      </w:pPr>
                      <w:r w:rsidRPr="0050690A">
                        <w:rPr>
                          <w:rFonts w:ascii="Garamond" w:hAnsi="Garamond"/>
                        </w:rPr>
                        <w:t>(</w:t>
                      </w:r>
                      <w:r>
                        <w:rPr>
                          <w:rFonts w:ascii="Garamond" w:hAnsi="Garamond"/>
                        </w:rPr>
                        <w:t>5</w:t>
                      </w:r>
                      <w:r w:rsidRPr="0050690A">
                        <w:rPr>
                          <w:rFonts w:ascii="Garamond" w:hAnsi="Garamond"/>
                        </w:rPr>
                        <w:t>)</w:t>
                      </w:r>
                    </w:p>
                  </w:txbxContent>
                </v:textbox>
                <w10:wrap anchory="page"/>
              </v:shape>
            </w:pict>
          </mc:Fallback>
        </mc:AlternateContent>
      </w:r>
    </w:p>
    <w:p w14:paraId="2B301CB0" w14:textId="7FBDBFE3" w:rsidR="007C2C43" w:rsidRDefault="004503BF" w:rsidP="007C2C43">
      <w:pPr>
        <w:jc w:val="center"/>
        <w:rPr>
          <w:rFonts w:ascii="Garamond" w:hAnsi="Garamond"/>
        </w:rPr>
      </w:pPr>
      <m:oMath>
        <m:r>
          <m:rPr>
            <m:nor/>
          </m:rPr>
          <w:rPr>
            <w:rFonts w:ascii="Garamond" w:eastAsia="Arial" w:hAnsi="Garamond" w:cs="Arial"/>
          </w:rPr>
          <m:t xml:space="preserve">NDWI = </m:t>
        </m:r>
        <m:f>
          <m:fPr>
            <m:ctrlPr>
              <w:rPr>
                <w:rFonts w:ascii="Cambria Math" w:eastAsia="Arial" w:hAnsi="Cambria Math" w:cs="Arial"/>
              </w:rPr>
            </m:ctrlPr>
          </m:fPr>
          <m:num>
            <m:r>
              <m:rPr>
                <m:nor/>
              </m:rPr>
              <w:rPr>
                <w:rFonts w:ascii="Garamond" w:eastAsia="Arial" w:hAnsi="Garamond" w:cs="Arial"/>
              </w:rPr>
              <m:t>NIR - SWIR</m:t>
            </m:r>
          </m:num>
          <m:den>
            <m:r>
              <m:rPr>
                <m:nor/>
              </m:rPr>
              <w:rPr>
                <w:rFonts w:ascii="Garamond" w:eastAsia="Arial" w:hAnsi="Garamond" w:cs="Arial"/>
              </w:rPr>
              <m:t>NIR + SWIR</m:t>
            </m:r>
          </m:den>
        </m:f>
      </m:oMath>
      <w:r>
        <w:rPr>
          <w:rFonts w:ascii="Garamond" w:hAnsi="Garamond"/>
        </w:rPr>
        <w:t xml:space="preserve"> </w:t>
      </w:r>
    </w:p>
    <w:p w14:paraId="44D24193" w14:textId="1B88DEFA" w:rsidR="00987B5A" w:rsidRDefault="00987B5A" w:rsidP="008E2E74">
      <w:pPr>
        <w:spacing w:line="240" w:lineRule="auto"/>
      </w:pPr>
      <w:r>
        <w:rPr>
          <w:rFonts w:ascii="Garamond" w:hAnsi="Garamond"/>
          <w:color w:val="000000"/>
        </w:rPr>
        <w:t>For all six variables</w:t>
      </w:r>
      <w:r w:rsidR="008E2E74">
        <w:rPr>
          <w:rFonts w:ascii="Garamond" w:hAnsi="Garamond"/>
          <w:color w:val="000000"/>
        </w:rPr>
        <w:t>,</w:t>
      </w:r>
      <w:r>
        <w:rPr>
          <w:rFonts w:ascii="Garamond" w:hAnsi="Garamond"/>
          <w:color w:val="000000"/>
        </w:rPr>
        <w:t xml:space="preserve"> we calculated median values for each location, as the number of pixels available for most locations was too low to assume a normal distribution of the data and calculate a sample mean. Mean values were then calculated for each census tract. Nighttime LST did not require a calculation as the band is already available in the Aqua MODIS product. The NDVI, NDBI, NDWI, day and nighttime LST, and albedo variables were added to the image collection and exported from GEE as a shapefile. </w:t>
      </w:r>
    </w:p>
    <w:p w14:paraId="512A6D28" w14:textId="0BB15329" w:rsidR="00987B5A" w:rsidRDefault="00987B5A" w:rsidP="00987B5A">
      <w:pPr>
        <w:pStyle w:val="NormalWeb"/>
        <w:spacing w:before="0" w:beforeAutospacing="0" w:after="0" w:afterAutospacing="0"/>
      </w:pPr>
      <w:r>
        <w:rPr>
          <w:rFonts w:ascii="Garamond" w:hAnsi="Garamond"/>
          <w:color w:val="000000"/>
          <w:sz w:val="22"/>
          <w:szCs w:val="22"/>
        </w:rPr>
        <w:t xml:space="preserve">Based on the above variables, we developed three indexes to inform heat management policies: 1) a Heat Sensitivity Index (HSI, health and socioeconomic variables only), 2) a Heat Exposure Index (HEI, environmental variables only) and 3) a Heat Vulnerability Index (HVI, all variables) using Principal Component Analysis (PCA). PCA condenses complex patterns across variables into main drivers of data variability. These </w:t>
      </w:r>
      <w:hyperlink r:id="rId9" w:history="1">
        <w:r w:rsidRPr="007C2C43">
          <w:rPr>
            <w:rStyle w:val="Hyperlink"/>
            <w:rFonts w:ascii="Garamond" w:hAnsi="Garamond"/>
            <w:color w:val="000000"/>
            <w:sz w:val="22"/>
            <w:szCs w:val="22"/>
            <w:u w:val="none"/>
          </w:rPr>
          <w:t>linearly uncorrelated</w:t>
        </w:r>
      </w:hyperlink>
      <w:r>
        <w:rPr>
          <w:rFonts w:ascii="Garamond" w:hAnsi="Garamond"/>
          <w:color w:val="000000"/>
          <w:sz w:val="22"/>
          <w:szCs w:val="22"/>
          <w:shd w:val="clear" w:color="auto" w:fill="FFFFFF"/>
        </w:rPr>
        <w:t xml:space="preserve"> variables are called </w:t>
      </w:r>
      <w:r>
        <w:rPr>
          <w:rFonts w:ascii="Garamond" w:hAnsi="Garamond"/>
          <w:color w:val="000000"/>
          <w:sz w:val="22"/>
          <w:szCs w:val="22"/>
        </w:rPr>
        <w:t>principal components. As such</w:t>
      </w:r>
      <w:r w:rsidR="00364100">
        <w:rPr>
          <w:rFonts w:ascii="Garamond" w:hAnsi="Garamond"/>
          <w:color w:val="000000"/>
          <w:sz w:val="22"/>
          <w:szCs w:val="22"/>
        </w:rPr>
        <w:t>,</w:t>
      </w:r>
      <w:r>
        <w:rPr>
          <w:rFonts w:ascii="Garamond" w:hAnsi="Garamond"/>
          <w:color w:val="000000"/>
          <w:sz w:val="22"/>
          <w:szCs w:val="22"/>
        </w:rPr>
        <w:t xml:space="preserve"> PCA can be used to identify spatial clusters of key factors driving heat vulnerability.  The HSI includes the 12 socioeconomic and health variables described previously, and the HEI is derived from the six environmental variables described above. All 18 variables were included in the overall HVI.</w:t>
      </w:r>
    </w:p>
    <w:p w14:paraId="23E8C8DC" w14:textId="77777777" w:rsidR="007C2C43" w:rsidRDefault="007C2C43" w:rsidP="00987B5A">
      <w:pPr>
        <w:pStyle w:val="NormalWeb"/>
        <w:spacing w:before="0" w:beforeAutospacing="0" w:after="0" w:afterAutospacing="0"/>
        <w:rPr>
          <w:rFonts w:ascii="Garamond" w:hAnsi="Garamond"/>
          <w:color w:val="000000"/>
          <w:sz w:val="22"/>
          <w:szCs w:val="22"/>
        </w:rPr>
      </w:pPr>
    </w:p>
    <w:p w14:paraId="1EF1227C" w14:textId="56C93C4E" w:rsidR="00987B5A" w:rsidRDefault="00987B5A" w:rsidP="00987B5A">
      <w:pPr>
        <w:pStyle w:val="NormalWeb"/>
        <w:spacing w:before="0" w:beforeAutospacing="0" w:after="0" w:afterAutospacing="0"/>
      </w:pPr>
      <w:r>
        <w:rPr>
          <w:rFonts w:ascii="Garamond" w:hAnsi="Garamond"/>
          <w:color w:val="000000"/>
          <w:sz w:val="22"/>
          <w:szCs w:val="22"/>
        </w:rPr>
        <w:t xml:space="preserve">PCA was performed on the input variables using R. The same PCA procedure was followed for all three indices. Prior to the PCA, input variables were transformed to z-scores (mean of 0, standard deviation of 1) to improve numerical stability and comparability between variables with widely differing units and ranges. </w:t>
      </w:r>
      <w:r w:rsidR="00364100">
        <w:rPr>
          <w:rFonts w:ascii="Garamond" w:hAnsi="Garamond"/>
          <w:color w:val="000000"/>
          <w:sz w:val="22"/>
          <w:szCs w:val="22"/>
        </w:rPr>
        <w:t>PCA</w:t>
      </w:r>
      <w:r>
        <w:rPr>
          <w:rFonts w:ascii="Garamond" w:hAnsi="Garamond"/>
          <w:color w:val="000000"/>
          <w:sz w:val="22"/>
          <w:szCs w:val="22"/>
        </w:rPr>
        <w:t xml:space="preserve"> was done using the principal-function in base R with a varimax rotation. Only principal components that had eigenvalues greater than one were retained (Kaiser, 1960). Components also were required to cumulatively explain approximately 80% of data variance and have eigenvalues higher than those that would have been generated by random data sets with the same number of variables and observations (Horn’s method) using the </w:t>
      </w:r>
      <w:proofErr w:type="spellStart"/>
      <w:r>
        <w:rPr>
          <w:rFonts w:ascii="Garamond" w:hAnsi="Garamond"/>
          <w:color w:val="000000"/>
          <w:sz w:val="22"/>
          <w:szCs w:val="22"/>
        </w:rPr>
        <w:t>paran</w:t>
      </w:r>
      <w:proofErr w:type="spellEnd"/>
      <w:r>
        <w:rPr>
          <w:rFonts w:ascii="Garamond" w:hAnsi="Garamond"/>
          <w:color w:val="000000"/>
          <w:sz w:val="22"/>
          <w:szCs w:val="22"/>
        </w:rPr>
        <w:t>-package in R (</w:t>
      </w:r>
      <w:proofErr w:type="spellStart"/>
      <w:r>
        <w:rPr>
          <w:rFonts w:ascii="Garamond" w:hAnsi="Garamond"/>
          <w:color w:val="000000"/>
          <w:sz w:val="22"/>
          <w:szCs w:val="22"/>
        </w:rPr>
        <w:t>Glorfeld</w:t>
      </w:r>
      <w:proofErr w:type="spellEnd"/>
      <w:r>
        <w:rPr>
          <w:rFonts w:ascii="Garamond" w:hAnsi="Garamond"/>
          <w:color w:val="000000"/>
          <w:sz w:val="22"/>
          <w:szCs w:val="22"/>
        </w:rPr>
        <w:t xml:space="preserve">, 1995). Components were further assessed for their scientific consistency. For example, certain chronic diseases are expected to co-vary spatially and these known patterns should be reflected in the components. We further evaluated whether the sign, positive or negative, of each </w:t>
      </w:r>
      <w:r>
        <w:rPr>
          <w:rFonts w:ascii="Garamond" w:hAnsi="Garamond"/>
          <w:color w:val="000000"/>
          <w:sz w:val="22"/>
          <w:szCs w:val="22"/>
        </w:rPr>
        <w:lastRenderedPageBreak/>
        <w:t>component produced by the PCA represented the best current scientific understanding of the real-world relationship between that variable and heat vulnerability. For example, the sign on the component related to LST would be expected to be positive, since an increase in temperature would produce an increase in heat vulnerability. However, since the PCA only detects patterns among input variables and is ignorant of the outcome variable of interest</w:t>
      </w:r>
      <w:r w:rsidR="00364100">
        <w:rPr>
          <w:rFonts w:ascii="Garamond" w:hAnsi="Garamond"/>
          <w:color w:val="000000"/>
          <w:sz w:val="22"/>
          <w:szCs w:val="22"/>
        </w:rPr>
        <w:t>,</w:t>
      </w:r>
      <w:r>
        <w:rPr>
          <w:rFonts w:ascii="Garamond" w:hAnsi="Garamond"/>
          <w:color w:val="000000"/>
          <w:sz w:val="22"/>
          <w:szCs w:val="22"/>
        </w:rPr>
        <w:t xml:space="preserve"> this is not accounted for in the raw PCA output. We thus used scien</w:t>
      </w:r>
      <w:r w:rsidR="00364100">
        <w:rPr>
          <w:rFonts w:ascii="Garamond" w:hAnsi="Garamond"/>
          <w:color w:val="000000"/>
          <w:sz w:val="22"/>
          <w:szCs w:val="22"/>
        </w:rPr>
        <w:t>tific</w:t>
      </w:r>
      <w:r>
        <w:rPr>
          <w:rFonts w:ascii="Garamond" w:hAnsi="Garamond"/>
          <w:color w:val="000000"/>
          <w:sz w:val="22"/>
          <w:szCs w:val="22"/>
        </w:rPr>
        <w:t xml:space="preserve"> knowledge to determine whether the clustering of variables and sign on components identified by the PCA was plausible.</w:t>
      </w:r>
    </w:p>
    <w:p w14:paraId="09B5A862" w14:textId="77777777" w:rsidR="007C2C43" w:rsidRDefault="007C2C43" w:rsidP="00987B5A">
      <w:pPr>
        <w:pStyle w:val="NormalWeb"/>
        <w:spacing w:before="0" w:beforeAutospacing="0" w:after="0" w:afterAutospacing="0"/>
        <w:rPr>
          <w:rFonts w:ascii="Garamond" w:hAnsi="Garamond"/>
          <w:color w:val="000000"/>
          <w:sz w:val="22"/>
          <w:szCs w:val="22"/>
        </w:rPr>
      </w:pPr>
    </w:p>
    <w:p w14:paraId="4C50812F" w14:textId="011B6E9B" w:rsidR="00987B5A" w:rsidRDefault="00987B5A" w:rsidP="00987B5A">
      <w:pPr>
        <w:pStyle w:val="NormalWeb"/>
        <w:spacing w:before="0" w:beforeAutospacing="0" w:after="0" w:afterAutospacing="0"/>
      </w:pPr>
      <w:r>
        <w:rPr>
          <w:rFonts w:ascii="Garamond" w:hAnsi="Garamond"/>
          <w:color w:val="000000"/>
          <w:sz w:val="22"/>
          <w:szCs w:val="22"/>
        </w:rPr>
        <w:t>We then calculated scores for each component and census tract. Factor scores for each component and census tract were calculated by weighing the z-score of each variable by the 18x4 matrix product of the inverse correlation matrix of the data and the loadings resulting from the PCA. The resulting factor scores (number of census tracts times number of components</w:t>
      </w:r>
      <w:r w:rsidR="00364100">
        <w:rPr>
          <w:rFonts w:ascii="Garamond" w:hAnsi="Garamond"/>
          <w:color w:val="000000"/>
          <w:sz w:val="22"/>
          <w:szCs w:val="22"/>
        </w:rPr>
        <w:t>)</w:t>
      </w:r>
      <w:r>
        <w:rPr>
          <w:rFonts w:ascii="Garamond" w:hAnsi="Garamond"/>
          <w:color w:val="000000"/>
          <w:sz w:val="22"/>
          <w:szCs w:val="22"/>
        </w:rPr>
        <w:t xml:space="preserve"> were summed to a single score. To create priority areas, the overall sensitivity index scores were then ranked by quintile, and classified as very low, low, medium, high and very high priority areas. </w:t>
      </w:r>
    </w:p>
    <w:p w14:paraId="2437B264" w14:textId="77777777" w:rsidR="00E97812" w:rsidRDefault="00E97812" w:rsidP="00987B5A">
      <w:pPr>
        <w:pStyle w:val="NormalWeb"/>
        <w:spacing w:before="0" w:beforeAutospacing="0" w:after="0" w:afterAutospacing="0"/>
        <w:rPr>
          <w:rFonts w:ascii="Garamond" w:hAnsi="Garamond"/>
          <w:color w:val="000000"/>
          <w:sz w:val="22"/>
          <w:szCs w:val="22"/>
        </w:rPr>
      </w:pPr>
    </w:p>
    <w:p w14:paraId="7F469915" w14:textId="6649CBC2" w:rsidR="00987B5A" w:rsidRDefault="00987B5A" w:rsidP="00987B5A">
      <w:pPr>
        <w:pStyle w:val="NormalWeb"/>
        <w:spacing w:before="0" w:beforeAutospacing="0" w:after="0" w:afterAutospacing="0"/>
      </w:pPr>
      <w:r>
        <w:rPr>
          <w:rFonts w:ascii="Garamond" w:hAnsi="Garamond"/>
          <w:color w:val="000000"/>
          <w:sz w:val="22"/>
          <w:szCs w:val="22"/>
        </w:rPr>
        <w:t>We then calculated the average street tree density for each census tract. To select priority areas for street trees in Philadelphia, which have the potential to reduce temperature and thus improve health and quality of life, areas with very high HVI (top 20%) were compared to street tree density. Street tree density by census tract was calculated by converting street segment vertices to center points. Length and number of trees as identified by the Department of Parks and Recreation were then summed by census tracts. The average number of street trees per 100 yards of street was calculated for each census tract, and binned into quintiles. The resulting street tree density map was overlaid onto the areas with very high heat vulnerability in ArcGIS Desktop 10.6.1. Areas that were in the upper quintile of the HVI and the bottom quintile of tree density were identified as tree initiative priority areas.</w:t>
      </w:r>
    </w:p>
    <w:p w14:paraId="1C1AF7CD" w14:textId="77777777" w:rsidR="00F121FB" w:rsidRPr="0066138C" w:rsidRDefault="00F121FB" w:rsidP="0066138C">
      <w:pPr>
        <w:spacing w:after="0" w:line="240" w:lineRule="auto"/>
        <w:rPr>
          <w:rFonts w:ascii="Garamond" w:hAnsi="Garamond" w:cs="Arial"/>
        </w:rPr>
      </w:pPr>
    </w:p>
    <w:p w14:paraId="1F53876F" w14:textId="3A06559D" w:rsidR="00E41324" w:rsidRPr="0066138C" w:rsidRDefault="00621AB9" w:rsidP="0066138C">
      <w:pPr>
        <w:pStyle w:val="Heading1"/>
        <w:spacing w:before="0" w:line="240" w:lineRule="auto"/>
        <w:rPr>
          <w:rFonts w:ascii="Garamond" w:hAnsi="Garamond"/>
        </w:rPr>
      </w:pPr>
      <w:bookmarkStart w:id="3"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3AB7CD2F" w14:textId="6C09BC92" w:rsidR="00E41324" w:rsidRPr="0066138C" w:rsidRDefault="00621AB9" w:rsidP="0066138C">
      <w:pPr>
        <w:spacing w:after="0" w:line="240" w:lineRule="auto"/>
        <w:rPr>
          <w:rFonts w:ascii="Garamond" w:hAnsi="Garamond"/>
          <w:b/>
          <w:i/>
          <w:szCs w:val="24"/>
        </w:rPr>
      </w:pPr>
      <w:r w:rsidRPr="0066138C">
        <w:rPr>
          <w:rFonts w:ascii="Garamond" w:hAnsi="Garamond"/>
          <w:b/>
          <w:i/>
          <w:szCs w:val="24"/>
        </w:rPr>
        <w:t xml:space="preserve">4.1 </w:t>
      </w:r>
      <w:r w:rsidR="00E97812">
        <w:rPr>
          <w:rFonts w:ascii="Garamond" w:hAnsi="Garamond"/>
          <w:b/>
          <w:bCs/>
          <w:i/>
          <w:iCs/>
          <w:color w:val="000000"/>
        </w:rPr>
        <w:t>Principal Component Analysis Results</w:t>
      </w:r>
    </w:p>
    <w:p w14:paraId="23C6BBF2" w14:textId="0E048BCF" w:rsidR="003C1630" w:rsidRDefault="00E97812" w:rsidP="003C1630">
      <w:pPr>
        <w:spacing w:after="0" w:line="240" w:lineRule="auto"/>
        <w:rPr>
          <w:rFonts w:ascii="Garamond" w:hAnsi="Garamond"/>
          <w:color w:val="000000"/>
        </w:rPr>
      </w:pPr>
      <w:bookmarkStart w:id="4" w:name="_Toc334198734"/>
      <w:r>
        <w:rPr>
          <w:rFonts w:ascii="Garamond" w:hAnsi="Garamond"/>
          <w:color w:val="000000"/>
        </w:rPr>
        <w:t>The 18 risk factors included in the Principal Component Analysis for the Heat Vulnerability Index (which includes socioeconomic, health, and environmental variables) clustered into four principal components which together explained 78 percent of variance observed in the data (</w:t>
      </w:r>
      <w:r w:rsidRPr="00D61A30">
        <w:rPr>
          <w:rFonts w:ascii="Garamond" w:hAnsi="Garamond"/>
          <w:i/>
          <w:iCs/>
          <w:color w:val="000000"/>
        </w:rPr>
        <w:t>Figure 1</w:t>
      </w:r>
      <w:r>
        <w:rPr>
          <w:rFonts w:ascii="Garamond" w:hAnsi="Garamond"/>
          <w:color w:val="000000"/>
        </w:rPr>
        <w:t xml:space="preserve">). The first component summarizes various socioeconomic and chronic health variables and has strong loadings on percent population below the federal poverty level, percent of non-white population as well as prevalence of asthma, COPD, hypertension, asthma, diabetes, and obesity. The second component is representative of heat exposure and contains strong loadings for daytime LST, NDBI, NDVI, and NDWI. Following </w:t>
      </w:r>
      <w:r w:rsidR="00EB36FD">
        <w:rPr>
          <w:rFonts w:ascii="Garamond" w:hAnsi="Garamond"/>
          <w:color w:val="000000"/>
        </w:rPr>
        <w:t xml:space="preserve">a </w:t>
      </w:r>
      <w:r>
        <w:rPr>
          <w:rFonts w:ascii="Garamond" w:hAnsi="Garamond"/>
          <w:color w:val="000000"/>
        </w:rPr>
        <w:t>scientific understanding o</w:t>
      </w:r>
      <w:r w:rsidR="002948F6">
        <w:rPr>
          <w:rFonts w:ascii="Garamond" w:hAnsi="Garamond"/>
          <w:color w:val="000000"/>
        </w:rPr>
        <w:t>f</w:t>
      </w:r>
      <w:r>
        <w:rPr>
          <w:rFonts w:ascii="Garamond" w:hAnsi="Garamond"/>
          <w:color w:val="000000"/>
        </w:rPr>
        <w:t xml:space="preserve"> environmental risk factors of heat vulnerability</w:t>
      </w:r>
      <w:r w:rsidR="00D61A30">
        <w:rPr>
          <w:rFonts w:ascii="Garamond" w:hAnsi="Garamond"/>
          <w:color w:val="000000"/>
        </w:rPr>
        <w:t>,</w:t>
      </w:r>
      <w:r>
        <w:rPr>
          <w:rFonts w:ascii="Garamond" w:hAnsi="Garamond"/>
          <w:color w:val="000000"/>
        </w:rPr>
        <w:t xml:space="preserve"> daytime LST and NDBI are anti-correlated with NDWI and NDVI. These two principal components alone explain 62 percent of overall variance observed in the data. The third and fourth principal components are representative of age-related health conditions and education, respectively, and explain an additional 16 percent of </w:t>
      </w:r>
      <w:r w:rsidR="00EB36FD">
        <w:rPr>
          <w:rFonts w:ascii="Garamond" w:hAnsi="Garamond"/>
          <w:color w:val="000000"/>
        </w:rPr>
        <w:t xml:space="preserve">the </w:t>
      </w:r>
      <w:r>
        <w:rPr>
          <w:rFonts w:ascii="Garamond" w:hAnsi="Garamond"/>
          <w:color w:val="000000"/>
        </w:rPr>
        <w:t>observed variance.</w:t>
      </w:r>
    </w:p>
    <w:p w14:paraId="0A3F18AA" w14:textId="31A1DE91" w:rsidR="00300C10" w:rsidRDefault="00300C10" w:rsidP="003C1630">
      <w:pPr>
        <w:spacing w:after="0" w:line="240" w:lineRule="auto"/>
        <w:rPr>
          <w:rFonts w:ascii="Garamond" w:eastAsia="Gungsuh" w:hAnsi="Garamond" w:cs="Gungsuh"/>
          <w:color w:val="000000"/>
        </w:rPr>
      </w:pPr>
    </w:p>
    <w:p w14:paraId="29E42BFB" w14:textId="13CFFAE2" w:rsidR="00300C10" w:rsidRDefault="00300C10" w:rsidP="003C1630">
      <w:pPr>
        <w:spacing w:after="0" w:line="240" w:lineRule="auto"/>
        <w:rPr>
          <w:rFonts w:ascii="Garamond" w:eastAsia="Gungsuh" w:hAnsi="Garamond" w:cs="Gungsuh"/>
          <w:color w:val="000000"/>
        </w:rPr>
      </w:pPr>
      <w:r>
        <w:rPr>
          <w:rFonts w:ascii="Garamond" w:eastAsia="Gungsuh" w:hAnsi="Garamond" w:cs="Gungsuh"/>
          <w:noProof/>
          <w:color w:val="000000"/>
        </w:rPr>
        <w:lastRenderedPageBreak/>
        <w:drawing>
          <wp:inline distT="0" distB="0" distL="0" distR="0" wp14:anchorId="2CD85D5C" wp14:editId="3570CCAA">
            <wp:extent cx="5943600" cy="3964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map_HVI_4PC.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1B5F8B7C" w14:textId="79FEFF7E" w:rsidR="00300C10" w:rsidRDefault="00300C10" w:rsidP="00300C10">
      <w:pPr>
        <w:pStyle w:val="NormalWeb"/>
        <w:spacing w:before="0" w:beforeAutospacing="0" w:after="0" w:afterAutospacing="0"/>
        <w:jc w:val="center"/>
      </w:pPr>
      <w:r w:rsidRPr="00300C10">
        <w:rPr>
          <w:rFonts w:ascii="Garamond" w:hAnsi="Garamond"/>
          <w:i/>
          <w:sz w:val="22"/>
          <w:szCs w:val="22"/>
        </w:rPr>
        <w:t xml:space="preserve">Figure </w:t>
      </w:r>
      <w:r w:rsidRPr="00300C10">
        <w:rPr>
          <w:rFonts w:ascii="Garamond" w:hAnsi="Garamond"/>
          <w:i/>
          <w:sz w:val="22"/>
          <w:szCs w:val="22"/>
        </w:rPr>
        <w:fldChar w:fldCharType="begin"/>
      </w:r>
      <w:r w:rsidRPr="00300C10">
        <w:rPr>
          <w:rFonts w:ascii="Garamond" w:hAnsi="Garamond"/>
          <w:i/>
          <w:sz w:val="22"/>
          <w:szCs w:val="22"/>
        </w:rPr>
        <w:instrText xml:space="preserve"> SEQ Figure \* ARABIC </w:instrText>
      </w:r>
      <w:r w:rsidRPr="00300C10">
        <w:rPr>
          <w:rFonts w:ascii="Garamond" w:hAnsi="Garamond"/>
          <w:i/>
          <w:sz w:val="22"/>
          <w:szCs w:val="22"/>
        </w:rPr>
        <w:fldChar w:fldCharType="separate"/>
      </w:r>
      <w:r w:rsidRPr="00300C10">
        <w:rPr>
          <w:rFonts w:ascii="Garamond" w:hAnsi="Garamond"/>
          <w:i/>
          <w:noProof/>
          <w:sz w:val="22"/>
          <w:szCs w:val="22"/>
        </w:rPr>
        <w:t>1</w:t>
      </w:r>
      <w:r w:rsidRPr="00300C10">
        <w:rPr>
          <w:rFonts w:ascii="Garamond" w:hAnsi="Garamond"/>
          <w:i/>
          <w:sz w:val="22"/>
          <w:szCs w:val="22"/>
        </w:rPr>
        <w:fldChar w:fldCharType="end"/>
      </w:r>
      <w:r w:rsidRPr="00300C10">
        <w:rPr>
          <w:rFonts w:ascii="Garamond" w:hAnsi="Garamond"/>
          <w:i/>
          <w:sz w:val="22"/>
          <w:szCs w:val="22"/>
        </w:rPr>
        <w:t>.</w:t>
      </w:r>
      <w:r w:rsidRPr="0066138C">
        <w:rPr>
          <w:rFonts w:ascii="Garamond" w:hAnsi="Garamond"/>
          <w:sz w:val="22"/>
          <w:szCs w:val="22"/>
        </w:rPr>
        <w:t xml:space="preserve"> </w:t>
      </w:r>
      <w:r w:rsidRPr="00300C10">
        <w:rPr>
          <w:rFonts w:ascii="Garamond" w:hAnsi="Garamond"/>
          <w:b/>
          <w:bCs/>
          <w:color w:val="000000"/>
        </w:rPr>
        <w:t xml:space="preserve"> </w:t>
      </w:r>
      <w:r>
        <w:rPr>
          <w:rFonts w:ascii="Garamond" w:hAnsi="Garamond"/>
          <w:b/>
          <w:bCs/>
          <w:color w:val="000000"/>
          <w:sz w:val="22"/>
          <w:szCs w:val="22"/>
        </w:rPr>
        <w:t> </w:t>
      </w:r>
      <w:r>
        <w:rPr>
          <w:rFonts w:ascii="Garamond" w:hAnsi="Garamond"/>
          <w:color w:val="000000"/>
          <w:sz w:val="22"/>
          <w:szCs w:val="22"/>
        </w:rPr>
        <w:t xml:space="preserve">Loadings of Principal Component Analysis for 18 variables included in Heat Vulnerability Index. The principal component 1 (PC1) is driven by socioeconomic factors and chronic health </w:t>
      </w:r>
      <w:proofErr w:type="gramStart"/>
      <w:r>
        <w:rPr>
          <w:rFonts w:ascii="Garamond" w:hAnsi="Garamond"/>
          <w:color w:val="000000"/>
          <w:sz w:val="22"/>
          <w:szCs w:val="22"/>
        </w:rPr>
        <w:t>conditions,</w:t>
      </w:r>
      <w:proofErr w:type="gramEnd"/>
      <w:r>
        <w:rPr>
          <w:rFonts w:ascii="Garamond" w:hAnsi="Garamond"/>
          <w:color w:val="000000"/>
          <w:sz w:val="22"/>
          <w:szCs w:val="22"/>
        </w:rPr>
        <w:t xml:space="preserve"> PC2 is representative of heat exposure and driven by satellite</w:t>
      </w:r>
      <w:r w:rsidR="002948F6">
        <w:rPr>
          <w:rFonts w:ascii="Garamond" w:hAnsi="Garamond"/>
          <w:color w:val="000000"/>
          <w:sz w:val="22"/>
          <w:szCs w:val="22"/>
        </w:rPr>
        <w:t>-</w:t>
      </w:r>
      <w:r>
        <w:rPr>
          <w:rFonts w:ascii="Garamond" w:hAnsi="Garamond"/>
          <w:color w:val="000000"/>
          <w:sz w:val="22"/>
          <w:szCs w:val="22"/>
        </w:rPr>
        <w:t>derived environmental variables. PC3 is representative of old age and age-related illnesses and PC4 represent socio-cultural drivers of heat vulnerability. Together the 4 components explain 78 percent of data variance.</w:t>
      </w:r>
    </w:p>
    <w:p w14:paraId="5A7BC348" w14:textId="45F0C450" w:rsidR="00300C10" w:rsidRDefault="00300C10" w:rsidP="00300C10">
      <w:pPr>
        <w:pStyle w:val="Caption"/>
        <w:spacing w:after="0"/>
        <w:jc w:val="center"/>
        <w:rPr>
          <w:rFonts w:ascii="Garamond" w:hAnsi="Garamond"/>
          <w:sz w:val="22"/>
          <w:szCs w:val="22"/>
        </w:rPr>
      </w:pPr>
    </w:p>
    <w:p w14:paraId="57DDD037" w14:textId="69B223F1" w:rsidR="00300C10" w:rsidRDefault="00300C10" w:rsidP="00300C10">
      <w:pPr>
        <w:pStyle w:val="NormalWeb"/>
        <w:spacing w:before="0" w:beforeAutospacing="0" w:after="0" w:afterAutospacing="0"/>
      </w:pPr>
      <w:r>
        <w:rPr>
          <w:rFonts w:ascii="Garamond" w:hAnsi="Garamond"/>
          <w:color w:val="000000"/>
          <w:sz w:val="22"/>
          <w:szCs w:val="22"/>
        </w:rPr>
        <w:t xml:space="preserve">The Heat Sensitivity Index and Heat Exposure Index allow for an in-depth and separate examination of the relationships of variables included within the two variable subgroups included in this analysis, namely the socioeconomic and health variables subgroup and the environmental variables subgroup. Accordingly, the resulting components in each of these indexes mirror the four components described in </w:t>
      </w:r>
      <w:r w:rsidRPr="00D61A30">
        <w:rPr>
          <w:rFonts w:ascii="Garamond" w:hAnsi="Garamond"/>
          <w:i/>
          <w:iCs/>
          <w:color w:val="000000"/>
          <w:sz w:val="22"/>
          <w:szCs w:val="22"/>
        </w:rPr>
        <w:t xml:space="preserve">Figure </w:t>
      </w:r>
      <w:r w:rsidR="00801FB9" w:rsidRPr="00D61A30">
        <w:rPr>
          <w:rFonts w:ascii="Garamond" w:hAnsi="Garamond"/>
          <w:i/>
          <w:iCs/>
          <w:color w:val="000000"/>
          <w:sz w:val="22"/>
          <w:szCs w:val="22"/>
        </w:rPr>
        <w:t>1</w:t>
      </w:r>
      <w:r w:rsidR="00801FB9">
        <w:rPr>
          <w:rFonts w:ascii="Garamond" w:hAnsi="Garamond"/>
          <w:color w:val="000000"/>
          <w:sz w:val="22"/>
          <w:szCs w:val="22"/>
        </w:rPr>
        <w:t xml:space="preserve"> but</w:t>
      </w:r>
      <w:r>
        <w:rPr>
          <w:rFonts w:ascii="Garamond" w:hAnsi="Garamond"/>
          <w:color w:val="000000"/>
          <w:sz w:val="22"/>
          <w:szCs w:val="22"/>
        </w:rPr>
        <w:t xml:space="preserve"> show additional weaker components that were not included. The Heat Sensitivity Index consists of three principal components, which explain 83 percent of data variance (</w:t>
      </w:r>
      <w:r w:rsidRPr="00801FB9">
        <w:rPr>
          <w:rFonts w:ascii="Garamond" w:hAnsi="Garamond"/>
          <w:i/>
          <w:iCs/>
          <w:color w:val="000000"/>
          <w:sz w:val="22"/>
          <w:szCs w:val="22"/>
        </w:rPr>
        <w:t>Figure A1</w:t>
      </w:r>
      <w:r>
        <w:rPr>
          <w:rFonts w:ascii="Garamond" w:hAnsi="Garamond"/>
          <w:color w:val="000000"/>
          <w:sz w:val="22"/>
          <w:szCs w:val="22"/>
        </w:rPr>
        <w:t>). The first component mirrors the socioeconomic and chronic health component in the Heat Vulnerability Index closely and explains 51 percent of data variance. The second component reflects the third component in the heat vulnerability index, and comprises age and age-related health conditions, namely hypertension and coronary heart disease. The third component can be described as socio-cultural and has strong loadings on limited English-speaking households, less than high school education, and percent population below the federal poverty level. The Heat Exposure Index consists of two principal components, which together explain 81 percent of data variance (Figure A1). The first component consists of loadings for daytime LST, NDBI, NDVI, and NDWI of greater than absolute (0.8) and a loading of 0.6 on nighttime LST. The second component relates to heat retention and is driven by nighttime temperature and albedo. </w:t>
      </w:r>
    </w:p>
    <w:p w14:paraId="40A81E15" w14:textId="11BA4413" w:rsidR="00300C10" w:rsidRDefault="00300C10" w:rsidP="00300C10"/>
    <w:p w14:paraId="6459B3B9" w14:textId="77777777" w:rsidR="00300C10" w:rsidRPr="00300C10" w:rsidRDefault="00300C10" w:rsidP="00CC3FA0">
      <w:pPr>
        <w:jc w:val="center"/>
      </w:pPr>
      <w:r>
        <w:rPr>
          <w:noProof/>
        </w:rPr>
        <w:lastRenderedPageBreak/>
        <w:drawing>
          <wp:inline distT="0" distB="0" distL="0" distR="0" wp14:anchorId="768B2932" wp14:editId="5DF4EDFC">
            <wp:extent cx="5943600" cy="293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BI_NDVI.png"/>
                    <pic:cNvPicPr/>
                  </pic:nvPicPr>
                  <pic:blipFill rotWithShape="1">
                    <a:blip r:embed="rId11">
                      <a:extLst>
                        <a:ext uri="{28A0092B-C50C-407E-A947-70E740481C1C}">
                          <a14:useLocalDpi xmlns:a14="http://schemas.microsoft.com/office/drawing/2010/main" val="0"/>
                        </a:ext>
                      </a:extLst>
                    </a:blip>
                    <a:srcRect b="2635"/>
                    <a:stretch/>
                  </pic:blipFill>
                  <pic:spPr bwMode="auto">
                    <a:xfrm>
                      <a:off x="0" y="0"/>
                      <a:ext cx="5943600" cy="2933700"/>
                    </a:xfrm>
                    <a:prstGeom prst="rect">
                      <a:avLst/>
                    </a:prstGeom>
                    <a:ln>
                      <a:noFill/>
                    </a:ln>
                    <a:extLst>
                      <a:ext uri="{53640926-AAD7-44D8-BBD7-CCE9431645EC}">
                        <a14:shadowObscured xmlns:a14="http://schemas.microsoft.com/office/drawing/2010/main"/>
                      </a:ext>
                    </a:extLst>
                  </pic:spPr>
                </pic:pic>
              </a:graphicData>
            </a:graphic>
          </wp:inline>
        </w:drawing>
      </w:r>
    </w:p>
    <w:p w14:paraId="478ABE70" w14:textId="16F7D10D" w:rsidR="00300C10" w:rsidRDefault="00300C10" w:rsidP="00300C10">
      <w:pPr>
        <w:pStyle w:val="NormalWeb"/>
        <w:spacing w:before="0" w:beforeAutospacing="0" w:after="0" w:afterAutospacing="0"/>
        <w:jc w:val="center"/>
      </w:pPr>
      <w:r w:rsidRPr="00300C10">
        <w:rPr>
          <w:rFonts w:ascii="Garamond" w:hAnsi="Garamond"/>
          <w:i/>
          <w:sz w:val="22"/>
          <w:szCs w:val="22"/>
        </w:rPr>
        <w:t>Figure</w:t>
      </w:r>
      <w:r>
        <w:rPr>
          <w:rFonts w:ascii="Garamond" w:hAnsi="Garamond"/>
          <w:i/>
          <w:sz w:val="22"/>
          <w:szCs w:val="22"/>
        </w:rPr>
        <w:t xml:space="preserve"> 2</w:t>
      </w:r>
      <w:r w:rsidRPr="00300C10">
        <w:rPr>
          <w:rFonts w:ascii="Garamond" w:hAnsi="Garamond"/>
          <w:i/>
          <w:sz w:val="22"/>
          <w:szCs w:val="22"/>
        </w:rPr>
        <w:t>.</w:t>
      </w:r>
      <w:r w:rsidRPr="0066138C">
        <w:rPr>
          <w:rFonts w:ascii="Garamond" w:hAnsi="Garamond"/>
          <w:sz w:val="22"/>
          <w:szCs w:val="22"/>
        </w:rPr>
        <w:t xml:space="preserve"> </w:t>
      </w:r>
      <w:r w:rsidRPr="00300C10">
        <w:rPr>
          <w:rFonts w:ascii="Garamond" w:hAnsi="Garamond"/>
          <w:b/>
          <w:bCs/>
          <w:color w:val="000000"/>
        </w:rPr>
        <w:t xml:space="preserve"> </w:t>
      </w:r>
      <w:r>
        <w:rPr>
          <w:rFonts w:ascii="Garamond" w:hAnsi="Garamond"/>
          <w:b/>
          <w:bCs/>
          <w:color w:val="000000"/>
          <w:sz w:val="22"/>
          <w:szCs w:val="22"/>
        </w:rPr>
        <w:t> </w:t>
      </w:r>
      <w:r>
        <w:rPr>
          <w:rFonts w:ascii="Garamond" w:hAnsi="Garamond"/>
          <w:color w:val="000000"/>
          <w:sz w:val="22"/>
          <w:szCs w:val="22"/>
        </w:rPr>
        <w:t>NDBI and NDVI in Philadelphia. Map A (left) shows NDBI in Philadelphia by census tract as a difference from the city mean. Map B (right) shows NDVI in Philadelphia by census tract as a difference from the city mean. Both maps are displayed in quintiles.</w:t>
      </w:r>
    </w:p>
    <w:p w14:paraId="1E5E6944" w14:textId="77777777" w:rsidR="008D3DC5" w:rsidRDefault="008D3DC5" w:rsidP="008D3DC5">
      <w:pPr>
        <w:pStyle w:val="NormalWeb"/>
        <w:spacing w:before="0" w:beforeAutospacing="0" w:after="0" w:afterAutospacing="0"/>
        <w:rPr>
          <w:rFonts w:ascii="Garamond" w:hAnsi="Garamond"/>
          <w:color w:val="000000"/>
          <w:sz w:val="22"/>
          <w:szCs w:val="22"/>
        </w:rPr>
      </w:pPr>
    </w:p>
    <w:p w14:paraId="44D3BDC4" w14:textId="7219D38D" w:rsidR="008D3DC5" w:rsidRDefault="008D3DC5" w:rsidP="008D3DC5">
      <w:pPr>
        <w:pStyle w:val="NormalWeb"/>
        <w:spacing w:before="0" w:beforeAutospacing="0" w:after="0" w:afterAutospacing="0"/>
      </w:pPr>
      <w:r>
        <w:rPr>
          <w:rFonts w:ascii="Garamond" w:hAnsi="Garamond"/>
          <w:color w:val="000000"/>
          <w:sz w:val="22"/>
          <w:szCs w:val="22"/>
        </w:rPr>
        <w:t xml:space="preserve">The strong inverse relationship between NDBI and NDVI indicated by the loadings from the PCA are confirmed in the raw data (see </w:t>
      </w:r>
      <w:r w:rsidRPr="00801FB9">
        <w:rPr>
          <w:rFonts w:ascii="Garamond" w:hAnsi="Garamond"/>
          <w:i/>
          <w:iCs/>
          <w:color w:val="000000"/>
          <w:sz w:val="22"/>
          <w:szCs w:val="22"/>
        </w:rPr>
        <w:t>Figure 1</w:t>
      </w:r>
      <w:r>
        <w:rPr>
          <w:rFonts w:ascii="Garamond" w:hAnsi="Garamond"/>
          <w:color w:val="000000"/>
          <w:sz w:val="22"/>
          <w:szCs w:val="22"/>
        </w:rPr>
        <w:t xml:space="preserve">). In </w:t>
      </w:r>
      <w:r w:rsidRPr="00801FB9">
        <w:rPr>
          <w:rFonts w:ascii="Garamond" w:hAnsi="Garamond"/>
          <w:i/>
          <w:iCs/>
          <w:color w:val="000000"/>
          <w:sz w:val="22"/>
          <w:szCs w:val="22"/>
        </w:rPr>
        <w:t>Figure 2</w:t>
      </w:r>
      <w:r>
        <w:rPr>
          <w:rFonts w:ascii="Garamond" w:hAnsi="Garamond"/>
          <w:color w:val="000000"/>
          <w:sz w:val="22"/>
          <w:szCs w:val="22"/>
        </w:rPr>
        <w:t>, it is evident that the spatial concentrations of high NDBI are correlated to areas of low NDVI, such as in Downtown and South Philadelphia. This can be explained by the high concentration of impervious surfaces in Downtown and South Philadelphia, such as buildings</w:t>
      </w:r>
      <w:r w:rsidR="00801FB9">
        <w:rPr>
          <w:rFonts w:ascii="Garamond" w:hAnsi="Garamond"/>
          <w:color w:val="000000"/>
          <w:sz w:val="22"/>
          <w:szCs w:val="22"/>
        </w:rPr>
        <w:t>,</w:t>
      </w:r>
      <w:r>
        <w:rPr>
          <w:rFonts w:ascii="Garamond" w:hAnsi="Garamond"/>
          <w:color w:val="000000"/>
          <w:sz w:val="22"/>
          <w:szCs w:val="22"/>
        </w:rPr>
        <w:t xml:space="preserve"> and also the lack of yards and trees. Moreover, areas of particularly low NDBI are associated with areas of high NDVI, such as in the Far Northeast and the Germantown/Chestnut Hill areas in western Philadelphia. This can be explained by the low density of buildings and houses, as well as greater green spaces from parks and yards.</w:t>
      </w:r>
    </w:p>
    <w:p w14:paraId="18C62773" w14:textId="26F90968" w:rsidR="00300C10" w:rsidRDefault="00300C10" w:rsidP="003C1630">
      <w:pPr>
        <w:spacing w:after="0" w:line="240" w:lineRule="auto"/>
        <w:rPr>
          <w:rFonts w:ascii="Garamond" w:eastAsia="Gungsuh" w:hAnsi="Garamond" w:cs="Gungsuh"/>
          <w:color w:val="000000"/>
        </w:rPr>
      </w:pPr>
    </w:p>
    <w:p w14:paraId="3AEA9AFF" w14:textId="6B054A1B" w:rsidR="008D3DC5" w:rsidRDefault="008D3DC5" w:rsidP="00CC3FA0">
      <w:pPr>
        <w:spacing w:after="0" w:line="240" w:lineRule="auto"/>
        <w:jc w:val="center"/>
        <w:rPr>
          <w:rFonts w:ascii="Garamond" w:eastAsia="Gungsuh" w:hAnsi="Garamond" w:cs="Gungsuh"/>
          <w:color w:val="000000"/>
        </w:rPr>
      </w:pPr>
      <w:r>
        <w:rPr>
          <w:rFonts w:ascii="Garamond" w:eastAsia="Gungsuh" w:hAnsi="Garamond" w:cs="Gungsuh"/>
          <w:noProof/>
          <w:color w:val="000000"/>
        </w:rPr>
        <w:drawing>
          <wp:inline distT="0" distB="0" distL="0" distR="0" wp14:anchorId="44F8D55C" wp14:editId="18EEFABC">
            <wp:extent cx="5943600" cy="301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LST_dLS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13075"/>
                    </a:xfrm>
                    <a:prstGeom prst="rect">
                      <a:avLst/>
                    </a:prstGeom>
                  </pic:spPr>
                </pic:pic>
              </a:graphicData>
            </a:graphic>
          </wp:inline>
        </w:drawing>
      </w:r>
    </w:p>
    <w:p w14:paraId="1BA63686" w14:textId="0AB5948D" w:rsidR="00300C10" w:rsidRDefault="008D3DC5" w:rsidP="008D3DC5">
      <w:pPr>
        <w:spacing w:after="0" w:line="240" w:lineRule="auto"/>
        <w:jc w:val="center"/>
        <w:rPr>
          <w:rFonts w:ascii="Garamond" w:hAnsi="Garamond"/>
          <w:color w:val="000000"/>
        </w:rPr>
      </w:pPr>
      <w:r w:rsidRPr="008D3DC5">
        <w:rPr>
          <w:rFonts w:ascii="Garamond" w:eastAsia="Gungsuh" w:hAnsi="Garamond" w:cs="Gungsuh"/>
          <w:i/>
          <w:color w:val="000000"/>
        </w:rPr>
        <w:lastRenderedPageBreak/>
        <w:t>Figure 3</w:t>
      </w:r>
      <w:r>
        <w:rPr>
          <w:rFonts w:ascii="Garamond" w:eastAsia="Gungsuh" w:hAnsi="Garamond" w:cs="Gungsuh"/>
          <w:color w:val="000000"/>
        </w:rPr>
        <w:t xml:space="preserve">. </w:t>
      </w:r>
      <w:r>
        <w:rPr>
          <w:rFonts w:ascii="Garamond" w:hAnsi="Garamond"/>
          <w:color w:val="000000"/>
        </w:rPr>
        <w:t>Daytime LST and Nighttime LST in Philadelphia. Map A (left) shows the difference from Philadelphia’s mean daytime LST in degrees Fahrenheit. Map B (right) displays nighttime LST as a difference from the city mean. Both maps are displayed in quintiles. Note the variance of temperature is much larger on the daytime LST map.</w:t>
      </w:r>
    </w:p>
    <w:p w14:paraId="7310A881" w14:textId="611D6169" w:rsidR="008D3DC5" w:rsidRDefault="008D3DC5" w:rsidP="008D3DC5">
      <w:pPr>
        <w:spacing w:after="0" w:line="240" w:lineRule="auto"/>
        <w:jc w:val="center"/>
        <w:rPr>
          <w:rFonts w:ascii="Garamond" w:eastAsia="Gungsuh" w:hAnsi="Garamond" w:cs="Gungsuh"/>
          <w:color w:val="000000"/>
        </w:rPr>
      </w:pPr>
    </w:p>
    <w:p w14:paraId="3F2EDF6C" w14:textId="719B27E3" w:rsidR="008D3DC5" w:rsidRDefault="008D3DC5" w:rsidP="008D3DC5">
      <w:pPr>
        <w:spacing w:after="0" w:line="240" w:lineRule="auto"/>
        <w:rPr>
          <w:rFonts w:ascii="Garamond" w:eastAsia="Gungsuh" w:hAnsi="Garamond" w:cs="Gungsuh"/>
          <w:color w:val="000000"/>
        </w:rPr>
      </w:pPr>
      <w:r>
        <w:rPr>
          <w:rFonts w:ascii="Garamond" w:hAnsi="Garamond"/>
          <w:color w:val="000000"/>
        </w:rPr>
        <w:t xml:space="preserve">There were also some more unexpected results from the analysis. In the PCA of all 18 variables (heat vulnerability index), nighttime LST only showed a weak loading on the second component. In Figure 3, the noticeable spatial correlations and differences between daytime and nighttime LST are apparent. In both maps, it is clear that North Philadelphia has much higher day and night temperatures than most of the city, while those in Germantown/Chestnut Hill in western Philadelphia and the Far Northeast appear to have lower temperatures for both day and night. There are also several differences between the maps, as Downtown and the area north of it appear to be cooler on average during the night, while it is average to hotter than average during the day. Areas close to Philadelphia’s northwestern boundary appear to be much hotter than average at night and vary greatly during the day. In the PCA of the environmental variables only (Heat Exposure Index, </w:t>
      </w:r>
      <w:r w:rsidRPr="00801FB9">
        <w:rPr>
          <w:rFonts w:ascii="Garamond" w:hAnsi="Garamond"/>
          <w:i/>
          <w:iCs/>
          <w:color w:val="000000"/>
        </w:rPr>
        <w:t>Figure A1</w:t>
      </w:r>
      <w:r>
        <w:rPr>
          <w:rFonts w:ascii="Garamond" w:hAnsi="Garamond"/>
          <w:color w:val="000000"/>
        </w:rPr>
        <w:t xml:space="preserve">), night LST and albedo are identified as a separate principal component, indicating that their spatial variance differs statistically from other environmental variables (in particular NDVI, NDWI, and NDBI). This could indicate that places with a low albedo, and thus low reflectivity, retain heat more successfully throughout the day, than places with high albedo such as Downtown. It is also to be noted that the range of daytime temperature difference from the city mean is more than 3 times higher that of </w:t>
      </w:r>
      <w:r w:rsidR="00DC1C92">
        <w:rPr>
          <w:rFonts w:ascii="Garamond" w:hAnsi="Garamond"/>
          <w:color w:val="000000"/>
        </w:rPr>
        <w:t>nighttime</w:t>
      </w:r>
      <w:r>
        <w:rPr>
          <w:rFonts w:ascii="Garamond" w:hAnsi="Garamond"/>
          <w:color w:val="000000"/>
        </w:rPr>
        <w:t xml:space="preserve"> </w:t>
      </w:r>
      <w:r w:rsidR="003136C8">
        <w:rPr>
          <w:rFonts w:ascii="Garamond" w:hAnsi="Garamond"/>
          <w:color w:val="000000"/>
        </w:rPr>
        <w:t xml:space="preserve">temperature </w:t>
      </w:r>
      <w:r>
        <w:rPr>
          <w:rFonts w:ascii="Garamond" w:hAnsi="Garamond"/>
          <w:color w:val="000000"/>
        </w:rPr>
        <w:t xml:space="preserve">differences from the city mean (10.881 to -18.727 vs 4.427 to -4.262 degrees Fahrenheit). While this indicates that </w:t>
      </w:r>
      <w:r w:rsidR="006E5832">
        <w:rPr>
          <w:rFonts w:ascii="Garamond" w:hAnsi="Garamond"/>
          <w:color w:val="000000"/>
        </w:rPr>
        <w:t>nighttime</w:t>
      </w:r>
      <w:r>
        <w:rPr>
          <w:rFonts w:ascii="Garamond" w:hAnsi="Garamond"/>
          <w:color w:val="000000"/>
        </w:rPr>
        <w:t xml:space="preserve"> does provide some leveling of temperatures across the city, the higher nighttime temperatures in certain areas may nonetheless preclude relief from the day’s heat in certain areas of the city.</w:t>
      </w:r>
    </w:p>
    <w:p w14:paraId="099BF48F" w14:textId="77777777" w:rsidR="0056152E" w:rsidRPr="0066138C" w:rsidRDefault="0056152E" w:rsidP="0066138C">
      <w:pPr>
        <w:pStyle w:val="NoSpacing"/>
        <w:rPr>
          <w:rFonts w:ascii="Garamond" w:hAnsi="Garamond"/>
          <w:b/>
          <w:i/>
          <w:szCs w:val="24"/>
        </w:rPr>
      </w:pPr>
    </w:p>
    <w:p w14:paraId="4EB6DFAB" w14:textId="5BB47850" w:rsidR="00621AB9" w:rsidRPr="0066138C" w:rsidRDefault="00621AB9" w:rsidP="0066138C">
      <w:pPr>
        <w:pStyle w:val="NoSpacing"/>
        <w:rPr>
          <w:rFonts w:ascii="Garamond" w:hAnsi="Garamond"/>
          <w:b/>
          <w:i/>
          <w:szCs w:val="24"/>
        </w:rPr>
      </w:pPr>
      <w:r w:rsidRPr="0066138C">
        <w:rPr>
          <w:rFonts w:ascii="Garamond" w:hAnsi="Garamond"/>
          <w:b/>
          <w:i/>
          <w:szCs w:val="24"/>
        </w:rPr>
        <w:t xml:space="preserve">4.2 </w:t>
      </w:r>
      <w:r w:rsidR="008D3DC5">
        <w:rPr>
          <w:rFonts w:ascii="Garamond" w:hAnsi="Garamond"/>
          <w:b/>
          <w:i/>
          <w:szCs w:val="24"/>
        </w:rPr>
        <w:t>Priority Maps</w:t>
      </w:r>
    </w:p>
    <w:p w14:paraId="2E861ABB" w14:textId="24B38502" w:rsidR="0056152E" w:rsidRDefault="008D3DC5" w:rsidP="008D3DC5">
      <w:pPr>
        <w:pStyle w:val="Heading1"/>
        <w:spacing w:before="0" w:line="240" w:lineRule="auto"/>
        <w:jc w:val="center"/>
        <w:rPr>
          <w:rFonts w:ascii="Garamond" w:hAnsi="Garamond"/>
          <w:sz w:val="22"/>
        </w:rPr>
      </w:pPr>
      <w:bookmarkStart w:id="5" w:name="_Toc334198735"/>
      <w:bookmarkEnd w:id="4"/>
      <w:r>
        <w:rPr>
          <w:rFonts w:ascii="Garamond" w:hAnsi="Garamond"/>
          <w:noProof/>
          <w:sz w:val="22"/>
        </w:rPr>
        <w:drawing>
          <wp:inline distT="0" distB="0" distL="0" distR="0" wp14:anchorId="160264D6" wp14:editId="75481CBD">
            <wp:extent cx="3428384" cy="344805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 of HeatVulnerabilityIndex_map.png"/>
                    <pic:cNvPicPr/>
                  </pic:nvPicPr>
                  <pic:blipFill rotWithShape="1">
                    <a:blip r:embed="rId13" cstate="print">
                      <a:extLst>
                        <a:ext uri="{28A0092B-C50C-407E-A947-70E740481C1C}">
                          <a14:useLocalDpi xmlns:a14="http://schemas.microsoft.com/office/drawing/2010/main" val="0"/>
                        </a:ext>
                      </a:extLst>
                    </a:blip>
                    <a:srcRect l="1" t="23281" r="1282"/>
                    <a:stretch/>
                  </pic:blipFill>
                  <pic:spPr bwMode="auto">
                    <a:xfrm>
                      <a:off x="0" y="0"/>
                      <a:ext cx="3436685" cy="345639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68A52131" w14:textId="029C3BFC" w:rsidR="008D3DC5" w:rsidRDefault="008D3DC5" w:rsidP="00EB36FD">
      <w:pPr>
        <w:spacing w:line="240" w:lineRule="auto"/>
        <w:jc w:val="center"/>
        <w:rPr>
          <w:rFonts w:ascii="Garamond" w:hAnsi="Garamond"/>
          <w:color w:val="000000"/>
        </w:rPr>
      </w:pPr>
      <w:r w:rsidRPr="008D3DC5">
        <w:rPr>
          <w:rFonts w:ascii="Garamond" w:hAnsi="Garamond"/>
          <w:i/>
        </w:rPr>
        <w:t>Figure 4</w:t>
      </w:r>
      <w:r>
        <w:rPr>
          <w:rFonts w:ascii="Garamond" w:hAnsi="Garamond"/>
        </w:rPr>
        <w:t xml:space="preserve">. </w:t>
      </w:r>
      <w:r>
        <w:rPr>
          <w:rFonts w:ascii="Garamond" w:hAnsi="Garamond"/>
          <w:color w:val="000000"/>
        </w:rPr>
        <w:t>2018 Heat Vulnerability Index for Philadelphia by census tract. The scores are categorized in quintiles. The Heat Vulnerability Index scores are based on all 18 socioeconomic, health and environmental variables.</w:t>
      </w:r>
    </w:p>
    <w:p w14:paraId="0BA4F9E9" w14:textId="4E3E7B8E"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lastRenderedPageBreak/>
        <w:t>Priority maps are categorized in quintiles as this will maintain the same number of census tracts in each category, making targeted efforts by policymakers more precise, especially as values and distributions change in future studies, the number of target areas will remain approximately the same (i.e. each category will always have approximately 75 census tracts). 74 census tracts were identified as very high heat vulnerability areas (Figure 4). They clustered in four areas of Philadelphia</w:t>
      </w:r>
      <w:r w:rsidR="00DC1C92">
        <w:rPr>
          <w:rFonts w:ascii="Garamond" w:eastAsia="Times New Roman" w:hAnsi="Garamond" w:cs="Times New Roman"/>
          <w:color w:val="000000"/>
        </w:rPr>
        <w:t>,</w:t>
      </w:r>
      <w:r w:rsidRPr="008D3DC5">
        <w:rPr>
          <w:rFonts w:ascii="Garamond" w:eastAsia="Times New Roman" w:hAnsi="Garamond" w:cs="Times New Roman"/>
          <w:color w:val="000000"/>
        </w:rPr>
        <w:t xml:space="preserve"> </w:t>
      </w:r>
      <w:r w:rsidR="003136C8">
        <w:rPr>
          <w:rFonts w:ascii="Garamond" w:eastAsia="Times New Roman" w:hAnsi="Garamond" w:cs="Times New Roman"/>
          <w:color w:val="000000"/>
        </w:rPr>
        <w:t>t</w:t>
      </w:r>
      <w:r w:rsidR="003136C8" w:rsidRPr="008D3DC5">
        <w:rPr>
          <w:rFonts w:ascii="Garamond" w:eastAsia="Times New Roman" w:hAnsi="Garamond" w:cs="Times New Roman"/>
          <w:color w:val="000000"/>
        </w:rPr>
        <w:t>he</w:t>
      </w:r>
      <w:r w:rsidRPr="008D3DC5">
        <w:rPr>
          <w:rFonts w:ascii="Garamond" w:eastAsia="Times New Roman" w:hAnsi="Garamond" w:cs="Times New Roman"/>
          <w:color w:val="000000"/>
        </w:rPr>
        <w:t xml:space="preserve"> South, the Northeast, the Central Northeast, and the Far Northeast districts. The census tract with the highest heat vulnerability score (&gt;2.5 standard deviations) was located in the Far Northeast district, but this area has very low population density and would likely not be a priority area for public outreach and cooling initiatives. </w:t>
      </w:r>
    </w:p>
    <w:p w14:paraId="53140C9A"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4334492F" w14:textId="26916250"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The South and Northeast districts</w:t>
      </w:r>
      <w:r w:rsidR="002948F6">
        <w:rPr>
          <w:rFonts w:ascii="Garamond" w:eastAsia="Times New Roman" w:hAnsi="Garamond" w:cs="Times New Roman"/>
          <w:color w:val="000000"/>
        </w:rPr>
        <w:t>, however,</w:t>
      </w:r>
      <w:r w:rsidRPr="008D3DC5">
        <w:rPr>
          <w:rFonts w:ascii="Garamond" w:eastAsia="Times New Roman" w:hAnsi="Garamond" w:cs="Times New Roman"/>
          <w:color w:val="000000"/>
        </w:rPr>
        <w:t xml:space="preserve"> are some of the most densely populated areas in the US. The team’s analysis indicates that these areas are subject to the highest concentration of socioeconomic and health risk factors resulting in very high heat vulnerability. Census tracts with very low heat vulnerability cluster in downtown and western Philadelphia. The Heat Sensitivity Index and the Heat Exposure Index identify the drivers of heat vulnerability clusters. Very high heat vulnerability in the South district is driven by high heat sensitivity (</w:t>
      </w:r>
      <w:r w:rsidRPr="00DC1C92">
        <w:rPr>
          <w:rFonts w:ascii="Garamond" w:eastAsia="Times New Roman" w:hAnsi="Garamond" w:cs="Times New Roman"/>
          <w:i/>
          <w:iCs/>
          <w:color w:val="000000"/>
        </w:rPr>
        <w:t>Figure A2</w:t>
      </w:r>
      <w:r w:rsidRPr="008D3DC5">
        <w:rPr>
          <w:rFonts w:ascii="Garamond" w:eastAsia="Times New Roman" w:hAnsi="Garamond" w:cs="Times New Roman"/>
          <w:color w:val="000000"/>
        </w:rPr>
        <w:t xml:space="preserve">). Heat exposure is medium to high in this area. Downtown, which has low to very low heat vulnerability due to </w:t>
      </w:r>
      <w:r w:rsidR="00A36FA7" w:rsidRPr="008D3DC5">
        <w:rPr>
          <w:rFonts w:ascii="Garamond" w:eastAsia="Times New Roman" w:hAnsi="Garamond" w:cs="Times New Roman"/>
          <w:color w:val="000000"/>
        </w:rPr>
        <w:t>its</w:t>
      </w:r>
      <w:r w:rsidRPr="008D3DC5">
        <w:rPr>
          <w:rFonts w:ascii="Garamond" w:eastAsia="Times New Roman" w:hAnsi="Garamond" w:cs="Times New Roman"/>
          <w:color w:val="000000"/>
        </w:rPr>
        <w:t xml:space="preserve"> low very low to low heat exposure, nonetheless shows elevated heat sensitivity in the Heat Sensitivity Index. The Northeast district</w:t>
      </w:r>
      <w:r w:rsidR="00DC1C92">
        <w:rPr>
          <w:rFonts w:ascii="Garamond" w:eastAsia="Times New Roman" w:hAnsi="Garamond" w:cs="Times New Roman"/>
          <w:color w:val="000000"/>
        </w:rPr>
        <w:t>’</w:t>
      </w:r>
      <w:r w:rsidRPr="008D3DC5">
        <w:rPr>
          <w:rFonts w:ascii="Garamond" w:eastAsia="Times New Roman" w:hAnsi="Garamond" w:cs="Times New Roman"/>
          <w:color w:val="000000"/>
        </w:rPr>
        <w:t xml:space="preserve">s high to very </w:t>
      </w:r>
      <w:r w:rsidR="00DC1C92">
        <w:rPr>
          <w:rFonts w:ascii="Garamond" w:eastAsia="Times New Roman" w:hAnsi="Garamond" w:cs="Times New Roman"/>
          <w:color w:val="000000"/>
        </w:rPr>
        <w:t xml:space="preserve">high </w:t>
      </w:r>
      <w:r w:rsidRPr="008D3DC5">
        <w:rPr>
          <w:rFonts w:ascii="Garamond" w:eastAsia="Times New Roman" w:hAnsi="Garamond" w:cs="Times New Roman"/>
          <w:color w:val="000000"/>
        </w:rPr>
        <w:t>heat vulnerability is a result of medium to very high heat sensitivity, and high to very high heat exposure. The cluster in the far northeast is primarily driven by elevated heat exposure (</w:t>
      </w:r>
      <w:r w:rsidRPr="00DC1C92">
        <w:rPr>
          <w:rFonts w:ascii="Garamond" w:eastAsia="Times New Roman" w:hAnsi="Garamond" w:cs="Times New Roman"/>
          <w:i/>
          <w:iCs/>
          <w:color w:val="000000"/>
        </w:rPr>
        <w:t>Figure A3</w:t>
      </w:r>
      <w:r w:rsidRPr="008D3DC5">
        <w:rPr>
          <w:rFonts w:ascii="Garamond" w:eastAsia="Times New Roman" w:hAnsi="Garamond" w:cs="Times New Roman"/>
          <w:color w:val="000000"/>
        </w:rPr>
        <w:t>). Some census tracts in the southwest of Philadelphia also showed very high heat sensitivity, but had mixed scores in the heat exposure index.</w:t>
      </w:r>
    </w:p>
    <w:p w14:paraId="47E876BA"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3C1F9191" w14:textId="222032E8"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The team also created a street tree density map of the census tracts deemed to have very high heat vulnerability. The map showed that the lowest quintile of census tracts for street tree density (bottom 20%) had on average less than 1.347 street trees per 100 yards of street. Among the 74 census tracts with very high heat vulnerability, 15 census tracts were also in the lowest street tree density category (</w:t>
      </w:r>
      <w:r w:rsidRPr="00F04E6B">
        <w:rPr>
          <w:rFonts w:ascii="Garamond" w:eastAsia="Times New Roman" w:hAnsi="Garamond" w:cs="Times New Roman"/>
          <w:i/>
          <w:iCs/>
          <w:color w:val="000000"/>
        </w:rPr>
        <w:t>Figure 5</w:t>
      </w:r>
      <w:r w:rsidRPr="008D3DC5">
        <w:rPr>
          <w:rFonts w:ascii="Garamond" w:eastAsia="Times New Roman" w:hAnsi="Garamond" w:cs="Times New Roman"/>
          <w:color w:val="000000"/>
        </w:rPr>
        <w:t>). Three of these 15 census tracts were located in the Central Northeast district and three were located in the South district, suggesting that street tree planting initiatives targeted at these areas may be particularly beneficial to local residents. In contrast, several areas with high heat vulnerability also have quite high street trees, such as in areas just north of Downtown, as well as a couple in the Far Northeast. These areas would likely benefit less from street tree planting to reduce vulnerability, and other options should be explored by policymakers to address their high vulnerability.</w:t>
      </w:r>
    </w:p>
    <w:p w14:paraId="3EB5EE31" w14:textId="05B760A4" w:rsidR="008D3DC5" w:rsidRDefault="008D3DC5" w:rsidP="008D3DC5">
      <w:pPr>
        <w:jc w:val="center"/>
      </w:pPr>
      <w:r>
        <w:rPr>
          <w:noProof/>
        </w:rPr>
        <w:lastRenderedPageBreak/>
        <w:drawing>
          <wp:inline distT="0" distB="0" distL="0" distR="0" wp14:anchorId="60A88BA3" wp14:editId="6FD0559D">
            <wp:extent cx="4030987" cy="4015053"/>
            <wp:effectExtent l="19050" t="19050" r="26670" b="241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 of StreetTreePriorityArea_map.png"/>
                    <pic:cNvPicPr/>
                  </pic:nvPicPr>
                  <pic:blipFill rotWithShape="1">
                    <a:blip r:embed="rId14" cstate="print">
                      <a:extLst>
                        <a:ext uri="{28A0092B-C50C-407E-A947-70E740481C1C}">
                          <a14:useLocalDpi xmlns:a14="http://schemas.microsoft.com/office/drawing/2010/main" val="0"/>
                        </a:ext>
                      </a:extLst>
                    </a:blip>
                    <a:srcRect t="23033"/>
                    <a:stretch/>
                  </pic:blipFill>
                  <pic:spPr bwMode="auto">
                    <a:xfrm>
                      <a:off x="0" y="0"/>
                      <a:ext cx="4039117" cy="402315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670327A7" w14:textId="29B2BB0B" w:rsidR="008D3DC5" w:rsidRDefault="008D3DC5" w:rsidP="00F04E6B">
      <w:pPr>
        <w:spacing w:line="240" w:lineRule="auto"/>
        <w:jc w:val="center"/>
        <w:rPr>
          <w:rFonts w:ascii="Garamond" w:hAnsi="Garamond"/>
          <w:color w:val="000000"/>
        </w:rPr>
      </w:pPr>
      <w:r w:rsidRPr="008D3DC5">
        <w:rPr>
          <w:rFonts w:ascii="Garamond" w:hAnsi="Garamond"/>
          <w:bCs/>
          <w:i/>
          <w:color w:val="000000"/>
        </w:rPr>
        <w:t>Figure 5.</w:t>
      </w:r>
      <w:r>
        <w:rPr>
          <w:rFonts w:ascii="Garamond" w:hAnsi="Garamond"/>
          <w:color w:val="000000"/>
        </w:rPr>
        <w:t xml:space="preserve"> Density of street trees in census tracts with Very High Heat Vulnerability (top 20 percent). Street tree density is categorized in quintiles. Census tracts in the top category are in the lowest twenty percent of census tracts by street tree density and in the top 20 percent of heat vulnerability, and therefore priority areas for street tree planting.</w:t>
      </w:r>
    </w:p>
    <w:p w14:paraId="562BFA61"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b/>
          <w:bCs/>
          <w:i/>
          <w:iCs/>
          <w:color w:val="000000"/>
        </w:rPr>
        <w:t>4.3 Error Analysis/ Limitations</w:t>
      </w:r>
    </w:p>
    <w:p w14:paraId="70313CB8"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The heat vulnerability index that the team created was based on the twelve socioeconomic variables indicated by the partners at the City of Philadelphia as being of most concern. There were many additional factors that could have been considered in the creation of this index, which could have impacted the strength and results of the analysis and potentially influenced which areas were selected as the highest priority areas for cooling interventions. Some of these factors could include additional diseases, younger age groups, or different measures of financial attainment such as income. Additionally, land surface temperature measures the temperature on the surface of the Earth. A different measurement, such as apparent temperature, would provide a better measure for what temperature people in the city experience by taking into account humidity and wind speed. Unfortunately, wind data collected at ground level across the city was not available for this calculation. </w:t>
      </w:r>
    </w:p>
    <w:p w14:paraId="2BF344BF"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2EA12E6D" w14:textId="4236640C"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 xml:space="preserve">Another factor to </w:t>
      </w:r>
      <w:proofErr w:type="gramStart"/>
      <w:r w:rsidRPr="008D3DC5">
        <w:rPr>
          <w:rFonts w:ascii="Garamond" w:eastAsia="Times New Roman" w:hAnsi="Garamond" w:cs="Times New Roman"/>
          <w:color w:val="000000"/>
        </w:rPr>
        <w:t>be considered</w:t>
      </w:r>
      <w:proofErr w:type="gramEnd"/>
      <w:r w:rsidRPr="008D3DC5">
        <w:rPr>
          <w:rFonts w:ascii="Garamond" w:eastAsia="Times New Roman" w:hAnsi="Garamond" w:cs="Times New Roman"/>
          <w:color w:val="000000"/>
        </w:rPr>
        <w:t xml:space="preserve"> is that the ACS dataset leaves room for error because </w:t>
      </w:r>
      <w:r w:rsidR="00EB36FD">
        <w:rPr>
          <w:rFonts w:ascii="Garamond" w:eastAsia="Times New Roman" w:hAnsi="Garamond" w:cs="Times New Roman"/>
          <w:color w:val="000000"/>
        </w:rPr>
        <w:t xml:space="preserve">the spatial </w:t>
      </w:r>
      <w:r w:rsidRPr="008D3DC5">
        <w:rPr>
          <w:rFonts w:ascii="Garamond" w:eastAsia="Times New Roman" w:hAnsi="Garamond" w:cs="Times New Roman"/>
          <w:color w:val="000000"/>
        </w:rPr>
        <w:t xml:space="preserve">resolution is coarse at the census tract level and the data were a few years old. The CDC data were scaled down from block group resolution to census tract resolution to match the ACS dataset. Decennial Census data from 2010 would have been more informative in our analysis of priority areas by providing a finer spatial resolution for our analysis, but would have been much less current than the available CDC and ACS datasets. Another limitation is that this analysis does not represent true heat exposure, but rather assumes individuals remain near their homes. In reality, individuals move throughout the city during the day for work, school, or other activities. Whereas one person may be in an air-conditioned building at work and have a lower true heat </w:t>
      </w:r>
      <w:r w:rsidRPr="008D3DC5">
        <w:rPr>
          <w:rFonts w:ascii="Garamond" w:eastAsia="Times New Roman" w:hAnsi="Garamond" w:cs="Times New Roman"/>
          <w:color w:val="000000"/>
        </w:rPr>
        <w:lastRenderedPageBreak/>
        <w:t>exposure, a neighboring individual may have a higher true heat exposure by working outside. Heat exposure as represented in this work, however, will likely be more accurate for sensitive populations, like elderly or children, since these population groups are more likely to only move within a census tract throughout the day.</w:t>
      </w:r>
    </w:p>
    <w:p w14:paraId="787ED9AB"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35717FAA"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b/>
          <w:bCs/>
          <w:i/>
          <w:iCs/>
          <w:color w:val="000000"/>
        </w:rPr>
        <w:t>4.4 Future Work</w:t>
      </w:r>
    </w:p>
    <w:p w14:paraId="51C7CE4F" w14:textId="214AB11A" w:rsidR="00265765" w:rsidRDefault="008D3DC5" w:rsidP="0026576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This project could benefit from using 2020 Decennial Census data as Decennial Census data provides more accurate spatial representation of socioeconomic characteristics by census data. This would also allow for greater confidence in our estimate when determining priority areas based on the vulnerability index. Air quality data, including ozone and PM</w:t>
      </w:r>
      <w:r w:rsidRPr="008D3DC5">
        <w:rPr>
          <w:rFonts w:ascii="Garamond" w:eastAsia="Times New Roman" w:hAnsi="Garamond" w:cs="Times New Roman"/>
          <w:color w:val="000000"/>
          <w:sz w:val="13"/>
          <w:szCs w:val="13"/>
          <w:vertAlign w:val="subscript"/>
        </w:rPr>
        <w:t>2.5</w:t>
      </w:r>
      <w:r w:rsidRPr="008D3DC5">
        <w:rPr>
          <w:rFonts w:ascii="Garamond" w:eastAsia="Times New Roman" w:hAnsi="Garamond" w:cs="Times New Roman"/>
          <w:color w:val="000000"/>
        </w:rPr>
        <w:t>, could be added to the study if it were available at a finer resolution. The City is planning to do a large-scale air quality monitoring campaign in the near future covering several pollutants of interest. Once it is completed</w:t>
      </w:r>
      <w:r w:rsidR="00265765">
        <w:rPr>
          <w:rFonts w:ascii="Garamond" w:eastAsia="Times New Roman" w:hAnsi="Garamond" w:cs="Times New Roman"/>
          <w:color w:val="000000"/>
        </w:rPr>
        <w:t xml:space="preserve">, </w:t>
      </w:r>
      <w:r w:rsidRPr="008D3DC5">
        <w:rPr>
          <w:rFonts w:ascii="Garamond" w:eastAsia="Times New Roman" w:hAnsi="Garamond" w:cs="Times New Roman"/>
          <w:color w:val="000000"/>
        </w:rPr>
        <w:t xml:space="preserve">these data could be included as an exposure variable to the vulnerability study. Temperature readings from ground stations throughout Philadelphia would help confirm temperature differences between neighborhoods which we estimated through </w:t>
      </w:r>
      <w:r w:rsidR="00265765" w:rsidRPr="008D3DC5">
        <w:rPr>
          <w:rFonts w:ascii="Garamond" w:eastAsia="Times New Roman" w:hAnsi="Garamond" w:cs="Times New Roman"/>
          <w:color w:val="000000"/>
        </w:rPr>
        <w:t>satellite</w:t>
      </w:r>
      <w:r w:rsidR="00265765">
        <w:rPr>
          <w:rFonts w:ascii="Garamond" w:eastAsia="Times New Roman" w:hAnsi="Garamond" w:cs="Times New Roman"/>
          <w:color w:val="000000"/>
        </w:rPr>
        <w:t xml:space="preserve"> retrieved</w:t>
      </w:r>
      <w:r w:rsidRPr="008D3DC5">
        <w:rPr>
          <w:rFonts w:ascii="Garamond" w:eastAsia="Times New Roman" w:hAnsi="Garamond" w:cs="Times New Roman"/>
          <w:color w:val="000000"/>
        </w:rPr>
        <w:t xml:space="preserve"> LST. Additionally, monitoring health outcomes, such as mortality rates, would help confirm whether the cooling initiatives based o</w:t>
      </w:r>
      <w:r w:rsidR="002948F6">
        <w:rPr>
          <w:rFonts w:ascii="Garamond" w:eastAsia="Times New Roman" w:hAnsi="Garamond" w:cs="Times New Roman"/>
          <w:color w:val="000000"/>
        </w:rPr>
        <w:t>n</w:t>
      </w:r>
      <w:r w:rsidRPr="008D3DC5">
        <w:rPr>
          <w:rFonts w:ascii="Garamond" w:eastAsia="Times New Roman" w:hAnsi="Garamond" w:cs="Times New Roman"/>
          <w:color w:val="000000"/>
        </w:rPr>
        <w:t xml:space="preserve"> this work are having a positive impact on resident wellness. They would also allow weighting our input variables in accordance with their importance for heat</w:t>
      </w:r>
      <w:r w:rsidR="002948F6">
        <w:rPr>
          <w:rFonts w:ascii="Garamond" w:eastAsia="Times New Roman" w:hAnsi="Garamond" w:cs="Times New Roman"/>
          <w:color w:val="000000"/>
        </w:rPr>
        <w:t>-</w:t>
      </w:r>
      <w:r w:rsidRPr="008D3DC5">
        <w:rPr>
          <w:rFonts w:ascii="Garamond" w:eastAsia="Times New Roman" w:hAnsi="Garamond" w:cs="Times New Roman"/>
          <w:color w:val="000000"/>
        </w:rPr>
        <w:t>related health outcomes, rather than weighting them equally. This would allow estimating actual health risk from heat, rather than just an assessment of spatial clustering in the variability of heat vulnerability indicator as provided by a PCA. All of these additional study components could improve confidence in the selection of priority areas for targeting public outreach, urban planning decisions</w:t>
      </w:r>
      <w:r w:rsidR="00265765">
        <w:rPr>
          <w:rFonts w:ascii="Garamond" w:eastAsia="Times New Roman" w:hAnsi="Garamond" w:cs="Times New Roman"/>
          <w:color w:val="000000"/>
        </w:rPr>
        <w:t>,</w:t>
      </w:r>
      <w:r w:rsidRPr="008D3DC5">
        <w:rPr>
          <w:rFonts w:ascii="Garamond" w:eastAsia="Times New Roman" w:hAnsi="Garamond" w:cs="Times New Roman"/>
          <w:color w:val="000000"/>
        </w:rPr>
        <w:t xml:space="preserve"> and implementing cooling initiatives, such as street tree planting initiatives.</w:t>
      </w:r>
    </w:p>
    <w:p w14:paraId="77421A02" w14:textId="77777777" w:rsidR="00265765" w:rsidRPr="00265765" w:rsidRDefault="00265765" w:rsidP="00265765">
      <w:pPr>
        <w:spacing w:after="0" w:line="240" w:lineRule="auto"/>
        <w:rPr>
          <w:rFonts w:ascii="Times New Roman" w:eastAsia="Times New Roman" w:hAnsi="Times New Roman" w:cs="Times New Roman"/>
          <w:sz w:val="24"/>
          <w:szCs w:val="24"/>
        </w:rPr>
      </w:pPr>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72CA71E4" w14:textId="77777777" w:rsidR="008D3DC5" w:rsidRPr="008D3DC5" w:rsidRDefault="008D3DC5" w:rsidP="008D3DC5">
      <w:pPr>
        <w:spacing w:after="0" w:line="240" w:lineRule="auto"/>
        <w:rPr>
          <w:rFonts w:ascii="Times New Roman" w:eastAsia="Times New Roman" w:hAnsi="Times New Roman" w:cs="Times New Roman"/>
          <w:sz w:val="24"/>
          <w:szCs w:val="24"/>
        </w:rPr>
      </w:pPr>
      <w:bookmarkStart w:id="6" w:name="_Toc334198736"/>
      <w:r w:rsidRPr="008D3DC5">
        <w:rPr>
          <w:rFonts w:ascii="Garamond" w:eastAsia="Times New Roman" w:hAnsi="Garamond" w:cs="Times New Roman"/>
          <w:color w:val="000000"/>
        </w:rPr>
        <w:t>This project demonstrates that NASA Earth observations can be used to assist a city by indicating which areas of the city would benefit most from public outreach, urban planning strategies, and cooling initiatives. The City of Philadelphia is concerned that vulnerable populations are disproportionately at risk for heat-related illness and knows that measures must be taken to curb the human health cost of increased intensity and frequency of extreme heat events in urban environments They believe that those areas of the city that are inhabited by vulnerable populations and have the highest temperatures should be prioritized for public outreach and urban planning strategies and that the results of the NASA Earth observations analysis in this project will improve their ability to identify and prioritize such areas.</w:t>
      </w:r>
    </w:p>
    <w:p w14:paraId="5B80345C"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60658310" w14:textId="4CBB986A"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The results of the project indicate that the most densely populated residential areas of Philadelphia have the highest heat exposure. Average census tract summer daytime surface temperatures ranged from 75 to 105 degrees Fahrenheit. Four components resulting from the PCA explained 80 percent of the observed variance in the socioeconomic, health, and environmental variables included in this study. Based on the total scores derived from the PCA</w:t>
      </w:r>
      <w:r w:rsidR="003E3646">
        <w:rPr>
          <w:rFonts w:ascii="Garamond" w:eastAsia="Times New Roman" w:hAnsi="Garamond" w:cs="Times New Roman"/>
          <w:color w:val="000000"/>
        </w:rPr>
        <w:t>,</w:t>
      </w:r>
      <w:r w:rsidRPr="008D3DC5">
        <w:rPr>
          <w:rFonts w:ascii="Garamond" w:eastAsia="Times New Roman" w:hAnsi="Garamond" w:cs="Times New Roman"/>
          <w:color w:val="000000"/>
        </w:rPr>
        <w:t xml:space="preserve"> seventy-four census tracts in Philadelphia were determined to have very high heat vulnerability and should be targeted by city planners for public outreach, urban planning strategies, and heat reduction measures. These census tracts are clustered in the South, Northeast, Central Northeast, and Far Northeast districts. A street tree planting program would be particularly beneficial in 15 census tracts which are home to communities with very high heat vulnerability and have few street trees. </w:t>
      </w:r>
    </w:p>
    <w:p w14:paraId="3161EE41"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14FE0D9B" w14:textId="67136D74"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 xml:space="preserve">The city previously created a vulnerability index web application to show which census tracts were most sensitive to extreme heat based on a variety of socioeconomic and health risk indicators, but the ability to assess heat exposure was limited to LST. The DEVELOP team updated this app using more recent data for socioeconomic and health indicators in addition to extending the data on heat exposure to up-to-date measurements of albedo, day LST, night LST, NDVI, NDBI, and NDWI data from NASA Earth observations. These observations together with the three priority indexes produced in this study will allow the partners to identify priority areas of heat sensitivity, heat exposure and overall vulnerability in Philadelphia, as well as provide them with access to detailed maps of the underlying variables. This will allow the partners at the City of Philadelphia </w:t>
      </w:r>
      <w:r w:rsidR="002948F6">
        <w:rPr>
          <w:rFonts w:ascii="Garamond" w:eastAsia="Times New Roman" w:hAnsi="Garamond" w:cs="Times New Roman"/>
          <w:color w:val="000000"/>
        </w:rPr>
        <w:t xml:space="preserve">to </w:t>
      </w:r>
      <w:r w:rsidRPr="008D3DC5">
        <w:rPr>
          <w:rFonts w:ascii="Garamond" w:eastAsia="Times New Roman" w:hAnsi="Garamond" w:cs="Times New Roman"/>
          <w:color w:val="000000"/>
        </w:rPr>
        <w:t>target public outreach at communities most affected by heat</w:t>
      </w:r>
      <w:r w:rsidR="002948F6">
        <w:rPr>
          <w:rFonts w:ascii="Garamond" w:eastAsia="Times New Roman" w:hAnsi="Garamond" w:cs="Times New Roman"/>
          <w:color w:val="000000"/>
        </w:rPr>
        <w:t>-</w:t>
      </w:r>
      <w:r w:rsidRPr="008D3DC5">
        <w:rPr>
          <w:rFonts w:ascii="Garamond" w:eastAsia="Times New Roman" w:hAnsi="Garamond" w:cs="Times New Roman"/>
          <w:color w:val="000000"/>
        </w:rPr>
        <w:t xml:space="preserve">related health issues, </w:t>
      </w:r>
      <w:r w:rsidRPr="008D3DC5">
        <w:rPr>
          <w:rFonts w:ascii="Garamond" w:eastAsia="Times New Roman" w:hAnsi="Garamond" w:cs="Times New Roman"/>
          <w:color w:val="000000"/>
        </w:rPr>
        <w:lastRenderedPageBreak/>
        <w:t>mitigate extreme heat in urban areas, and eventually decrease heat morbidity and mortality rates. NASA Earth observations are a useful and innovative tool to identify urban heat patterns for urban planning strategies such as cooling initiatives. The utilization of this technology by cities for decision making will result in improved welfare of residents and an overall healthier environment. </w:t>
      </w:r>
    </w:p>
    <w:p w14:paraId="7EF42CEC" w14:textId="77777777" w:rsidR="0056152E" w:rsidRPr="00040AE0" w:rsidRDefault="0056152E" w:rsidP="0066138C">
      <w:pPr>
        <w:pStyle w:val="Heading1"/>
        <w:spacing w:before="0" w:line="240" w:lineRule="auto"/>
        <w:rPr>
          <w:rFonts w:ascii="Garamond" w:hAnsi="Garamond"/>
          <w:sz w:val="22"/>
        </w:rPr>
      </w:pP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754DA28C" w14:textId="029CE8E7" w:rsidR="008D3DC5" w:rsidRPr="008D3DC5" w:rsidRDefault="008D3DC5" w:rsidP="008D3DC5">
      <w:pPr>
        <w:spacing w:after="0" w:line="240" w:lineRule="auto"/>
        <w:rPr>
          <w:rFonts w:ascii="Times New Roman" w:eastAsia="Times New Roman" w:hAnsi="Times New Roman" w:cs="Times New Roman"/>
          <w:sz w:val="24"/>
          <w:szCs w:val="24"/>
        </w:rPr>
      </w:pPr>
      <w:bookmarkStart w:id="7" w:name="_Toc334198737"/>
      <w:r w:rsidRPr="008D3DC5">
        <w:rPr>
          <w:rFonts w:ascii="Garamond" w:eastAsia="Times New Roman" w:hAnsi="Garamond" w:cs="Times New Roman"/>
          <w:color w:val="000000"/>
        </w:rPr>
        <w:t xml:space="preserve">A special thanks to everyone at the Arizona </w:t>
      </w:r>
      <w:r w:rsidR="002948F6">
        <w:rPr>
          <w:rFonts w:ascii="Garamond" w:eastAsia="Times New Roman" w:hAnsi="Garamond" w:cs="Times New Roman"/>
          <w:color w:val="000000"/>
        </w:rPr>
        <w:t>–</w:t>
      </w:r>
      <w:r w:rsidRPr="008D3DC5">
        <w:rPr>
          <w:rFonts w:ascii="Garamond" w:eastAsia="Times New Roman" w:hAnsi="Garamond" w:cs="Times New Roman"/>
          <w:color w:val="000000"/>
        </w:rPr>
        <w:t xml:space="preserve"> Tempe DEVELOP location for </w:t>
      </w:r>
      <w:proofErr w:type="gramStart"/>
      <w:r w:rsidRPr="008D3DC5">
        <w:rPr>
          <w:rFonts w:ascii="Garamond" w:eastAsia="Times New Roman" w:hAnsi="Garamond" w:cs="Times New Roman"/>
          <w:color w:val="000000"/>
        </w:rPr>
        <w:t>their</w:t>
      </w:r>
      <w:proofErr w:type="gramEnd"/>
      <w:r w:rsidRPr="008D3DC5">
        <w:rPr>
          <w:rFonts w:ascii="Garamond" w:eastAsia="Times New Roman" w:hAnsi="Garamond" w:cs="Times New Roman"/>
          <w:color w:val="000000"/>
        </w:rPr>
        <w:t xml:space="preserve"> support and guidance in the creation of this project.</w:t>
      </w:r>
    </w:p>
    <w:p w14:paraId="3E61BEBC"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Dr. David Hondula (Arizona State University)</w:t>
      </w:r>
    </w:p>
    <w:p w14:paraId="46DEFF19"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Crystal Wespestad (NASA DEVELOP, Fellow/Lead)</w:t>
      </w:r>
    </w:p>
    <w:p w14:paraId="73ED42E3"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702BF260"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Thanks also to our project partners who provided us with data and their expertise throughout this project. </w:t>
      </w:r>
    </w:p>
    <w:p w14:paraId="60FE4D13"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 xml:space="preserve">Philadelphia Department of Public Health: Jason Hammer, Jessica </w:t>
      </w:r>
      <w:proofErr w:type="spellStart"/>
      <w:r w:rsidRPr="008D3DC5">
        <w:rPr>
          <w:rFonts w:ascii="Garamond" w:eastAsia="Times New Roman" w:hAnsi="Garamond" w:cs="Times New Roman"/>
          <w:color w:val="000000"/>
        </w:rPr>
        <w:t>Caum</w:t>
      </w:r>
      <w:proofErr w:type="spellEnd"/>
      <w:r w:rsidRPr="008D3DC5">
        <w:rPr>
          <w:rFonts w:ascii="Garamond" w:eastAsia="Times New Roman" w:hAnsi="Garamond" w:cs="Times New Roman"/>
          <w:color w:val="000000"/>
        </w:rPr>
        <w:t xml:space="preserve">, and Alexandra </w:t>
      </w:r>
      <w:proofErr w:type="spellStart"/>
      <w:r w:rsidRPr="008D3DC5">
        <w:rPr>
          <w:rFonts w:ascii="Garamond" w:eastAsia="Times New Roman" w:hAnsi="Garamond" w:cs="Times New Roman"/>
          <w:color w:val="000000"/>
        </w:rPr>
        <w:t>Skula</w:t>
      </w:r>
      <w:proofErr w:type="spellEnd"/>
      <w:r w:rsidRPr="008D3DC5">
        <w:rPr>
          <w:rFonts w:ascii="Garamond" w:eastAsia="Times New Roman" w:hAnsi="Garamond" w:cs="Times New Roman"/>
          <w:color w:val="000000"/>
        </w:rPr>
        <w:t> </w:t>
      </w:r>
    </w:p>
    <w:p w14:paraId="16DFCA04"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City of Philadelphia, Office of Sustainability: Saleem Chapman </w:t>
      </w:r>
    </w:p>
    <w:p w14:paraId="2255B573"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4D1EC6E2"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30C0983B" w14:textId="77777777" w:rsidR="008D3DC5" w:rsidRPr="008D3DC5" w:rsidRDefault="008D3DC5" w:rsidP="008D3DC5">
      <w:pPr>
        <w:spacing w:after="0" w:line="240" w:lineRule="auto"/>
        <w:rPr>
          <w:rFonts w:ascii="Times New Roman" w:eastAsia="Times New Roman" w:hAnsi="Times New Roman" w:cs="Times New Roman"/>
          <w:sz w:val="24"/>
          <w:szCs w:val="24"/>
        </w:rPr>
      </w:pPr>
    </w:p>
    <w:p w14:paraId="679CD7E3" w14:textId="77777777" w:rsidR="008D3DC5" w:rsidRPr="008D3DC5" w:rsidRDefault="008D3DC5" w:rsidP="008D3DC5">
      <w:pPr>
        <w:spacing w:after="0" w:line="240" w:lineRule="auto"/>
        <w:rPr>
          <w:rFonts w:ascii="Times New Roman" w:eastAsia="Times New Roman" w:hAnsi="Times New Roman" w:cs="Times New Roman"/>
          <w:sz w:val="24"/>
          <w:szCs w:val="24"/>
        </w:rPr>
      </w:pPr>
      <w:r w:rsidRPr="008D3DC5">
        <w:rPr>
          <w:rFonts w:ascii="Garamond" w:eastAsia="Times New Roman" w:hAnsi="Garamond" w:cs="Times New Roman"/>
          <w:color w:val="000000"/>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25089A4F" w14:textId="77777777" w:rsidR="00792D03" w:rsidRDefault="00792D03" w:rsidP="00792D03">
      <w:pPr>
        <w:pStyle w:val="NormalWeb"/>
        <w:spacing w:before="0" w:beforeAutospacing="0" w:after="0" w:afterAutospacing="0"/>
      </w:pPr>
      <w:r>
        <w:rPr>
          <w:rFonts w:ascii="Garamond" w:hAnsi="Garamond"/>
          <w:b/>
          <w:bCs/>
          <w:color w:val="000000"/>
          <w:sz w:val="22"/>
          <w:szCs w:val="22"/>
        </w:rPr>
        <w:t>Centers for Disease Control and Prevention (CDC)</w:t>
      </w:r>
      <w:r>
        <w:rPr>
          <w:rFonts w:ascii="Garamond" w:hAnsi="Garamond"/>
          <w:color w:val="000000"/>
          <w:sz w:val="22"/>
          <w:szCs w:val="22"/>
        </w:rPr>
        <w:t xml:space="preserve"> – Federal public health agency in the United States.</w:t>
      </w:r>
    </w:p>
    <w:p w14:paraId="5614A0D0" w14:textId="77777777" w:rsidR="00792D03" w:rsidRDefault="00792D03" w:rsidP="00792D03">
      <w:pPr>
        <w:pStyle w:val="NormalWeb"/>
        <w:spacing w:before="0" w:beforeAutospacing="0" w:after="0" w:afterAutospacing="0"/>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706A3CC7" w14:textId="77777777" w:rsidR="00792D03" w:rsidRDefault="00792D03" w:rsidP="00792D03">
      <w:pPr>
        <w:pStyle w:val="NormalWeb"/>
        <w:spacing w:before="0" w:beforeAutospacing="0" w:after="0" w:afterAutospacing="0"/>
      </w:pPr>
      <w:r>
        <w:rPr>
          <w:rFonts w:ascii="Garamond" w:hAnsi="Garamond"/>
          <w:b/>
          <w:bCs/>
          <w:color w:val="000000"/>
          <w:sz w:val="22"/>
          <w:szCs w:val="22"/>
        </w:rPr>
        <w:t>Land Surface Temperature (LST)</w:t>
      </w:r>
      <w:r>
        <w:rPr>
          <w:rFonts w:ascii="Garamond" w:hAnsi="Garamond"/>
          <w:color w:val="000000"/>
          <w:sz w:val="22"/>
          <w:szCs w:val="22"/>
        </w:rPr>
        <w:t xml:space="preserve"> – A measurement of how hot a surface on Earth would feel to the touch. A satellite measures the temperature of the first object that comes into its view when looking at the Earth </w:t>
      </w:r>
    </w:p>
    <w:p w14:paraId="36AA89BE" w14:textId="77777777" w:rsidR="00792D03" w:rsidRDefault="00792D03" w:rsidP="00792D03">
      <w:pPr>
        <w:pStyle w:val="NormalWeb"/>
        <w:spacing w:before="0" w:beforeAutospacing="0" w:after="0" w:afterAutospacing="0"/>
      </w:pPr>
      <w:proofErr w:type="spellStart"/>
      <w:r>
        <w:rPr>
          <w:rFonts w:ascii="Garamond" w:hAnsi="Garamond"/>
          <w:b/>
          <w:bCs/>
          <w:color w:val="000000"/>
          <w:sz w:val="22"/>
          <w:szCs w:val="22"/>
        </w:rPr>
        <w:t>MODerate</w:t>
      </w:r>
      <w:proofErr w:type="spellEnd"/>
      <w:r>
        <w:rPr>
          <w:rFonts w:ascii="Garamond" w:hAnsi="Garamond"/>
          <w:b/>
          <w:bCs/>
          <w:color w:val="000000"/>
          <w:sz w:val="22"/>
          <w:szCs w:val="22"/>
        </w:rPr>
        <w:t xml:space="preserve"> resolution Imaging </w:t>
      </w:r>
      <w:proofErr w:type="spellStart"/>
      <w:r>
        <w:rPr>
          <w:rFonts w:ascii="Garamond" w:hAnsi="Garamond"/>
          <w:b/>
          <w:bCs/>
          <w:color w:val="000000"/>
          <w:sz w:val="22"/>
          <w:szCs w:val="22"/>
        </w:rPr>
        <w:t>Spectroradiometer</w:t>
      </w:r>
      <w:proofErr w:type="spellEnd"/>
      <w:r>
        <w:rPr>
          <w:rFonts w:ascii="Garamond" w:hAnsi="Garamond"/>
          <w:b/>
          <w:bCs/>
          <w:color w:val="000000"/>
          <w:sz w:val="22"/>
          <w:szCs w:val="22"/>
        </w:rPr>
        <w:t xml:space="preserve"> (MODIS)</w:t>
      </w:r>
      <w:r>
        <w:rPr>
          <w:rFonts w:ascii="Garamond" w:hAnsi="Garamond"/>
          <w:color w:val="000000"/>
          <w:sz w:val="22"/>
          <w:szCs w:val="22"/>
        </w:rPr>
        <w:t xml:space="preserve"> – Imaging instrument aboard NASA’s Terra and Aqua satellites. MODIS has 36 spectral bands and views the entire Earth’s surface every 1 to 2 days. </w:t>
      </w:r>
    </w:p>
    <w:p w14:paraId="477303C8" w14:textId="77777777" w:rsidR="00792D03" w:rsidRDefault="00792D03" w:rsidP="00792D03">
      <w:pPr>
        <w:pStyle w:val="NormalWeb"/>
        <w:spacing w:before="0" w:beforeAutospacing="0" w:after="0" w:afterAutospacing="0"/>
      </w:pPr>
      <w:r>
        <w:rPr>
          <w:rFonts w:ascii="Garamond" w:hAnsi="Garamond"/>
          <w:b/>
          <w:bCs/>
          <w:color w:val="000000"/>
          <w:sz w:val="22"/>
          <w:szCs w:val="22"/>
        </w:rPr>
        <w:t xml:space="preserve">Normalized Difference Built-Up Index (NDBI) </w:t>
      </w:r>
      <w:r>
        <w:rPr>
          <w:rFonts w:ascii="Garamond" w:hAnsi="Garamond"/>
          <w:color w:val="000000"/>
          <w:sz w:val="22"/>
          <w:szCs w:val="22"/>
        </w:rPr>
        <w:t>– The quantifiable presence of urban land cover measured by the difference between shortwave infrared and infrared reflectance. </w:t>
      </w:r>
    </w:p>
    <w:p w14:paraId="2264ED9E" w14:textId="65028339" w:rsidR="00792D03" w:rsidRDefault="00792D03" w:rsidP="00792D03">
      <w:pPr>
        <w:pStyle w:val="NormalWeb"/>
        <w:spacing w:before="0" w:beforeAutospacing="0" w:after="0" w:afterAutospacing="0"/>
        <w:rPr>
          <w:rFonts w:ascii="Garamond" w:hAnsi="Garamond"/>
          <w:color w:val="000000"/>
          <w:sz w:val="22"/>
          <w:szCs w:val="22"/>
        </w:rPr>
      </w:pPr>
      <w:r>
        <w:rPr>
          <w:rFonts w:ascii="Garamond" w:hAnsi="Garamond"/>
          <w:b/>
          <w:bCs/>
          <w:color w:val="000000"/>
          <w:sz w:val="22"/>
          <w:szCs w:val="22"/>
        </w:rPr>
        <w:t>Normalized Difference Vegetation Index (NDVI)</w:t>
      </w:r>
      <w:r>
        <w:rPr>
          <w:rFonts w:ascii="Garamond" w:hAnsi="Garamond"/>
          <w:color w:val="000000"/>
          <w:sz w:val="22"/>
          <w:szCs w:val="22"/>
        </w:rPr>
        <w:t xml:space="preserve"> – The quantifiable presence of living vegetation measured using </w:t>
      </w:r>
      <w:proofErr w:type="gramStart"/>
      <w:r>
        <w:rPr>
          <w:rFonts w:ascii="Garamond" w:hAnsi="Garamond"/>
          <w:color w:val="000000"/>
          <w:sz w:val="22"/>
          <w:szCs w:val="22"/>
        </w:rPr>
        <w:t>near-infrared</w:t>
      </w:r>
      <w:proofErr w:type="gramEnd"/>
      <w:r>
        <w:rPr>
          <w:rFonts w:ascii="Garamond" w:hAnsi="Garamond"/>
          <w:color w:val="000000"/>
          <w:sz w:val="22"/>
          <w:szCs w:val="22"/>
        </w:rPr>
        <w:t xml:space="preserve"> and red-light reflectance. </w:t>
      </w:r>
    </w:p>
    <w:p w14:paraId="2C70FD6C" w14:textId="5D09962B" w:rsidR="00441266" w:rsidRPr="00441266" w:rsidRDefault="00441266" w:rsidP="00792D03">
      <w:pPr>
        <w:pStyle w:val="NormalWeb"/>
        <w:spacing w:before="0" w:beforeAutospacing="0" w:after="0" w:afterAutospacing="0"/>
      </w:pPr>
      <w:r>
        <w:rPr>
          <w:rFonts w:ascii="Garamond" w:hAnsi="Garamond"/>
          <w:b/>
          <w:color w:val="000000"/>
          <w:sz w:val="22"/>
          <w:szCs w:val="22"/>
        </w:rPr>
        <w:t>Normalized Difference Water Index (NDWI)</w:t>
      </w:r>
      <w:r>
        <w:rPr>
          <w:rFonts w:ascii="Garamond" w:hAnsi="Garamond"/>
          <w:color w:val="000000"/>
          <w:sz w:val="22"/>
          <w:szCs w:val="22"/>
        </w:rPr>
        <w:t xml:space="preserve"> – An index estimating the surface water content of vegetation using </w:t>
      </w:r>
      <w:proofErr w:type="gramStart"/>
      <w:r>
        <w:rPr>
          <w:rFonts w:ascii="Garamond" w:hAnsi="Garamond"/>
          <w:color w:val="000000"/>
          <w:sz w:val="22"/>
          <w:szCs w:val="22"/>
        </w:rPr>
        <w:t>near-infrared</w:t>
      </w:r>
      <w:proofErr w:type="gramEnd"/>
      <w:r>
        <w:rPr>
          <w:rFonts w:ascii="Garamond" w:hAnsi="Garamond"/>
          <w:color w:val="000000"/>
          <w:sz w:val="22"/>
          <w:szCs w:val="22"/>
        </w:rPr>
        <w:t xml:space="preserve"> and shortwave infrared reflectance.</w:t>
      </w:r>
      <w:bookmarkStart w:id="8" w:name="_GoBack"/>
      <w:bookmarkEnd w:id="8"/>
    </w:p>
    <w:p w14:paraId="14FC97B3" w14:textId="77777777" w:rsidR="00792D03" w:rsidRDefault="00792D03" w:rsidP="00792D03">
      <w:pPr>
        <w:pStyle w:val="NormalWeb"/>
        <w:spacing w:before="0" w:beforeAutospacing="0" w:after="0" w:afterAutospacing="0"/>
      </w:pPr>
      <w:r>
        <w:rPr>
          <w:rFonts w:ascii="Garamond" w:hAnsi="Garamond"/>
          <w:b/>
          <w:bCs/>
          <w:color w:val="000000"/>
          <w:sz w:val="22"/>
          <w:szCs w:val="22"/>
        </w:rPr>
        <w:t>Operational Land Imager (OLI)</w:t>
      </w:r>
      <w:r>
        <w:rPr>
          <w:rFonts w:ascii="Garamond" w:hAnsi="Garamond"/>
          <w:color w:val="000000"/>
          <w:sz w:val="22"/>
          <w:szCs w:val="22"/>
        </w:rPr>
        <w:t xml:space="preserve"> – Imaging instrument aboard the Landsat 8 satellite. OLI can measure visible, near-infrared, and shortwave infrared wavelengths. </w:t>
      </w:r>
    </w:p>
    <w:p w14:paraId="39546493" w14:textId="518BC395" w:rsidR="00792D03" w:rsidRDefault="00792D03" w:rsidP="00792D03">
      <w:pPr>
        <w:pStyle w:val="NormalWeb"/>
        <w:spacing w:before="0" w:beforeAutospacing="0" w:after="0" w:afterAutospacing="0"/>
      </w:pPr>
      <w:r>
        <w:rPr>
          <w:rFonts w:ascii="Garamond" w:hAnsi="Garamond"/>
          <w:b/>
          <w:bCs/>
          <w:color w:val="000000"/>
          <w:sz w:val="22"/>
          <w:szCs w:val="22"/>
        </w:rPr>
        <w:t>Thermal Infrared Sensor (TIRS)</w:t>
      </w:r>
      <w:r>
        <w:rPr>
          <w:rFonts w:ascii="Garamond" w:hAnsi="Garamond"/>
          <w:color w:val="000000"/>
          <w:sz w:val="22"/>
          <w:szCs w:val="22"/>
        </w:rPr>
        <w:t xml:space="preserve"> – Instrument aboard the Landsat 8 satellite. TIRS uses two thermal infrared wavelength bands in order to differentiate between the temperature of Earth’s surface and that of Earth’s atmosphere.  </w:t>
      </w:r>
    </w:p>
    <w:p w14:paraId="00E0B8C0" w14:textId="7DA16C14" w:rsidR="0056152E" w:rsidRDefault="00792D03" w:rsidP="00792D03">
      <w:pPr>
        <w:pStyle w:val="Heading1"/>
        <w:spacing w:before="0" w:line="240" w:lineRule="auto"/>
        <w:rPr>
          <w:rFonts w:ascii="Garamond" w:hAnsi="Garamond"/>
          <w:color w:val="000000"/>
          <w:sz w:val="22"/>
          <w:szCs w:val="22"/>
        </w:rPr>
      </w:pPr>
      <w:r w:rsidRPr="00792D03">
        <w:rPr>
          <w:rFonts w:ascii="Garamond" w:hAnsi="Garamond"/>
          <w:bCs w:val="0"/>
          <w:color w:val="000000"/>
          <w:sz w:val="22"/>
          <w:szCs w:val="22"/>
        </w:rPr>
        <w:t>Urban Heat Island (UHI) effect</w:t>
      </w:r>
      <w:r>
        <w:rPr>
          <w:rFonts w:ascii="Garamond" w:hAnsi="Garamond"/>
          <w:color w:val="000000"/>
          <w:sz w:val="22"/>
          <w:szCs w:val="22"/>
        </w:rPr>
        <w:t xml:space="preserve"> – </w:t>
      </w:r>
      <w:r w:rsidRPr="00792D03">
        <w:rPr>
          <w:rFonts w:ascii="Garamond" w:hAnsi="Garamond"/>
          <w:b w:val="0"/>
          <w:color w:val="000000"/>
          <w:sz w:val="22"/>
          <w:szCs w:val="22"/>
        </w:rPr>
        <w:t>The phenomenon of relatively high temperatures in an urban area compared to the temperatures of surrounding rural areas.</w:t>
      </w:r>
      <w:r>
        <w:rPr>
          <w:rFonts w:ascii="Garamond" w:hAnsi="Garamond"/>
          <w:color w:val="000000"/>
          <w:sz w:val="22"/>
          <w:szCs w:val="22"/>
        </w:rPr>
        <w:t> </w:t>
      </w:r>
    </w:p>
    <w:p w14:paraId="34BC38C6" w14:textId="1831B92B" w:rsidR="00CC3FA0" w:rsidRDefault="00CC3FA0" w:rsidP="00CC3FA0"/>
    <w:p w14:paraId="469957D9" w14:textId="33A82ECF" w:rsidR="002948F6" w:rsidRDefault="002948F6" w:rsidP="00CC3FA0"/>
    <w:p w14:paraId="56188022" w14:textId="24FF31EC" w:rsidR="002948F6" w:rsidRDefault="002948F6" w:rsidP="00CC3FA0"/>
    <w:p w14:paraId="6D2AE939" w14:textId="77777777" w:rsidR="002948F6" w:rsidRPr="00CC3FA0" w:rsidRDefault="002948F6" w:rsidP="00CC3FA0"/>
    <w:p w14:paraId="6A686CFC" w14:textId="63B3B983" w:rsidR="00E41324" w:rsidRPr="0066138C" w:rsidRDefault="001A67C2" w:rsidP="0066138C">
      <w:pPr>
        <w:pStyle w:val="Heading1"/>
        <w:spacing w:before="0" w:line="240" w:lineRule="auto"/>
        <w:rPr>
          <w:rFonts w:ascii="Garamond" w:hAnsi="Garamond"/>
        </w:rPr>
      </w:pPr>
      <w:r w:rsidRPr="0066138C">
        <w:rPr>
          <w:rFonts w:ascii="Garamond" w:hAnsi="Garamond"/>
        </w:rPr>
        <w:lastRenderedPageBreak/>
        <w:t xml:space="preserve">8. </w:t>
      </w:r>
      <w:r w:rsidR="00E41324" w:rsidRPr="0066138C">
        <w:rPr>
          <w:rFonts w:ascii="Garamond" w:hAnsi="Garamond"/>
        </w:rPr>
        <w:t>References</w:t>
      </w:r>
      <w:bookmarkEnd w:id="7"/>
    </w:p>
    <w:p w14:paraId="13749CB6" w14:textId="4209A206" w:rsidR="001B7914" w:rsidRPr="001B7914" w:rsidRDefault="001B7914" w:rsidP="001B7914">
      <w:pPr>
        <w:spacing w:after="0" w:line="240" w:lineRule="auto"/>
        <w:ind w:left="720" w:hanging="720"/>
        <w:rPr>
          <w:rFonts w:ascii="Garamond" w:hAnsi="Garamond"/>
          <w:color w:val="000000"/>
        </w:rPr>
      </w:pPr>
      <w:proofErr w:type="spellStart"/>
      <w:r w:rsidRPr="001B7914">
        <w:rPr>
          <w:rFonts w:ascii="Garamond" w:hAnsi="Garamond"/>
          <w:color w:val="000000"/>
        </w:rPr>
        <w:t>Alhawiti</w:t>
      </w:r>
      <w:proofErr w:type="spellEnd"/>
      <w:r w:rsidRPr="001B7914">
        <w:rPr>
          <w:rFonts w:ascii="Garamond" w:hAnsi="Garamond"/>
          <w:color w:val="000000"/>
        </w:rPr>
        <w:t xml:space="preserve">, R. H., &amp; </w:t>
      </w:r>
      <w:proofErr w:type="spellStart"/>
      <w:r w:rsidRPr="001B7914">
        <w:rPr>
          <w:rFonts w:ascii="Garamond" w:hAnsi="Garamond"/>
          <w:color w:val="000000"/>
        </w:rPr>
        <w:t>Mitsova</w:t>
      </w:r>
      <w:proofErr w:type="spellEnd"/>
      <w:r w:rsidRPr="001B7914">
        <w:rPr>
          <w:rFonts w:ascii="Garamond" w:hAnsi="Garamond"/>
          <w:color w:val="000000"/>
        </w:rPr>
        <w:t xml:space="preserve">, D. (2016). Urban Landsat-8 </w:t>
      </w:r>
      <w:r w:rsidR="003E3646">
        <w:rPr>
          <w:rFonts w:ascii="Garamond" w:hAnsi="Garamond"/>
          <w:color w:val="000000"/>
        </w:rPr>
        <w:t>d</w:t>
      </w:r>
      <w:r w:rsidRPr="001B7914">
        <w:rPr>
          <w:rFonts w:ascii="Garamond" w:hAnsi="Garamond"/>
          <w:color w:val="000000"/>
        </w:rPr>
        <w:t xml:space="preserve">ata to </w:t>
      </w:r>
      <w:r w:rsidR="003E3646">
        <w:rPr>
          <w:rFonts w:ascii="Garamond" w:hAnsi="Garamond"/>
          <w:color w:val="000000"/>
        </w:rPr>
        <w:t>e</w:t>
      </w:r>
      <w:r w:rsidRPr="001B7914">
        <w:rPr>
          <w:rFonts w:ascii="Garamond" w:hAnsi="Garamond"/>
          <w:color w:val="000000"/>
        </w:rPr>
        <w:t xml:space="preserve">xplore </w:t>
      </w:r>
      <w:r w:rsidR="003E3646">
        <w:rPr>
          <w:rFonts w:ascii="Garamond" w:hAnsi="Garamond"/>
          <w:color w:val="000000"/>
        </w:rPr>
        <w:t>t</w:t>
      </w:r>
      <w:r w:rsidRPr="001B7914">
        <w:rPr>
          <w:rFonts w:ascii="Garamond" w:hAnsi="Garamond"/>
          <w:color w:val="000000"/>
        </w:rPr>
        <w:t xml:space="preserve">he </w:t>
      </w:r>
      <w:r w:rsidR="003E3646">
        <w:rPr>
          <w:rFonts w:ascii="Garamond" w:hAnsi="Garamond"/>
          <w:color w:val="000000"/>
        </w:rPr>
        <w:t>c</w:t>
      </w:r>
      <w:r w:rsidRPr="001B7914">
        <w:rPr>
          <w:rFonts w:ascii="Garamond" w:hAnsi="Garamond"/>
          <w:color w:val="000000"/>
        </w:rPr>
        <w:t xml:space="preserve">orrelation </w:t>
      </w:r>
      <w:r w:rsidR="003E3646">
        <w:rPr>
          <w:rFonts w:ascii="Garamond" w:hAnsi="Garamond"/>
          <w:color w:val="000000"/>
        </w:rPr>
        <w:t>b</w:t>
      </w:r>
      <w:r w:rsidRPr="001B7914">
        <w:rPr>
          <w:rFonts w:ascii="Garamond" w:hAnsi="Garamond"/>
          <w:color w:val="000000"/>
        </w:rPr>
        <w:t xml:space="preserve">etween </w:t>
      </w:r>
      <w:r w:rsidR="003E3646">
        <w:rPr>
          <w:rFonts w:ascii="Garamond" w:hAnsi="Garamond"/>
          <w:color w:val="000000"/>
        </w:rPr>
        <w:t>u</w:t>
      </w:r>
      <w:r w:rsidRPr="001B7914">
        <w:rPr>
          <w:rFonts w:ascii="Garamond" w:hAnsi="Garamond"/>
          <w:color w:val="000000"/>
        </w:rPr>
        <w:t xml:space="preserve">rban </w:t>
      </w:r>
      <w:r w:rsidR="003E3646">
        <w:rPr>
          <w:rFonts w:ascii="Garamond" w:hAnsi="Garamond"/>
          <w:color w:val="000000"/>
        </w:rPr>
        <w:t>h</w:t>
      </w:r>
      <w:r w:rsidRPr="001B7914">
        <w:rPr>
          <w:rFonts w:ascii="Garamond" w:hAnsi="Garamond"/>
          <w:color w:val="000000"/>
        </w:rPr>
        <w:t xml:space="preserve">eat </w:t>
      </w:r>
      <w:r w:rsidR="003E3646">
        <w:rPr>
          <w:rFonts w:ascii="Garamond" w:hAnsi="Garamond"/>
          <w:color w:val="000000"/>
        </w:rPr>
        <w:t>i</w:t>
      </w:r>
      <w:r w:rsidRPr="001B7914">
        <w:rPr>
          <w:rFonts w:ascii="Garamond" w:hAnsi="Garamond"/>
          <w:color w:val="000000"/>
        </w:rPr>
        <w:t xml:space="preserve">sland </w:t>
      </w:r>
      <w:r w:rsidR="003E3646">
        <w:rPr>
          <w:rFonts w:ascii="Garamond" w:hAnsi="Garamond"/>
          <w:color w:val="000000"/>
        </w:rPr>
        <w:t>a</w:t>
      </w:r>
      <w:r w:rsidRPr="001B7914">
        <w:rPr>
          <w:rFonts w:ascii="Garamond" w:hAnsi="Garamond"/>
          <w:color w:val="000000"/>
        </w:rPr>
        <w:t xml:space="preserve">nd </w:t>
      </w:r>
      <w:r w:rsidR="003E3646">
        <w:rPr>
          <w:rFonts w:ascii="Garamond" w:hAnsi="Garamond"/>
          <w:color w:val="000000"/>
        </w:rPr>
        <w:t>u</w:t>
      </w:r>
      <w:r w:rsidRPr="001B7914">
        <w:rPr>
          <w:rFonts w:ascii="Garamond" w:hAnsi="Garamond"/>
          <w:color w:val="000000"/>
        </w:rPr>
        <w:t xml:space="preserve">rban </w:t>
      </w:r>
      <w:r w:rsidR="003E3646">
        <w:rPr>
          <w:rFonts w:ascii="Garamond" w:hAnsi="Garamond"/>
          <w:color w:val="000000"/>
        </w:rPr>
        <w:t>l</w:t>
      </w:r>
      <w:r w:rsidRPr="001B7914">
        <w:rPr>
          <w:rFonts w:ascii="Garamond" w:hAnsi="Garamond"/>
          <w:color w:val="000000"/>
        </w:rPr>
        <w:t xml:space="preserve">and </w:t>
      </w:r>
      <w:r w:rsidR="003E3646">
        <w:rPr>
          <w:rFonts w:ascii="Garamond" w:hAnsi="Garamond"/>
          <w:color w:val="000000"/>
        </w:rPr>
        <w:t>u</w:t>
      </w:r>
      <w:r w:rsidRPr="001B7914">
        <w:rPr>
          <w:rFonts w:ascii="Garamond" w:hAnsi="Garamond"/>
          <w:color w:val="000000"/>
        </w:rPr>
        <w:t xml:space="preserve">ses. </w:t>
      </w:r>
      <w:r w:rsidRPr="001B7914">
        <w:rPr>
          <w:rFonts w:ascii="Garamond" w:hAnsi="Garamond"/>
          <w:i/>
          <w:iCs/>
          <w:color w:val="000000"/>
        </w:rPr>
        <w:t>IJRET: International Journal of Research in Engineering and Technology, 5</w:t>
      </w:r>
      <w:r w:rsidRPr="001B7914">
        <w:rPr>
          <w:rFonts w:ascii="Garamond" w:hAnsi="Garamond"/>
          <w:color w:val="000000"/>
        </w:rPr>
        <w:t>(3), 457-466.</w:t>
      </w:r>
    </w:p>
    <w:p w14:paraId="7BACAB6F" w14:textId="77777777" w:rsidR="001B7914" w:rsidRPr="001B7914" w:rsidRDefault="001B7914" w:rsidP="001B7914">
      <w:pPr>
        <w:spacing w:after="0" w:line="240" w:lineRule="auto"/>
        <w:ind w:left="720" w:hanging="720"/>
        <w:rPr>
          <w:rFonts w:ascii="Garamond" w:hAnsi="Garamond"/>
          <w:color w:val="000000"/>
        </w:rPr>
      </w:pPr>
    </w:p>
    <w:p w14:paraId="04800CB1" w14:textId="4D57AC41"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Bao, J., Li, X., &amp; Yu, C. (2015). The </w:t>
      </w:r>
      <w:r w:rsidR="003E3646">
        <w:rPr>
          <w:rFonts w:ascii="Garamond" w:hAnsi="Garamond"/>
          <w:color w:val="000000"/>
        </w:rPr>
        <w:t>c</w:t>
      </w:r>
      <w:r w:rsidRPr="001B7914">
        <w:rPr>
          <w:rFonts w:ascii="Garamond" w:hAnsi="Garamond"/>
          <w:color w:val="000000"/>
        </w:rPr>
        <w:t xml:space="preserve">onstruction and </w:t>
      </w:r>
      <w:r w:rsidR="003E3646">
        <w:rPr>
          <w:rFonts w:ascii="Garamond" w:hAnsi="Garamond"/>
          <w:color w:val="000000"/>
        </w:rPr>
        <w:t>v</w:t>
      </w:r>
      <w:r w:rsidRPr="001B7914">
        <w:rPr>
          <w:rFonts w:ascii="Garamond" w:hAnsi="Garamond"/>
          <w:color w:val="000000"/>
        </w:rPr>
        <w:t xml:space="preserve">alidation of the </w:t>
      </w:r>
      <w:r w:rsidR="003E3646">
        <w:rPr>
          <w:rFonts w:ascii="Garamond" w:hAnsi="Garamond"/>
          <w:color w:val="000000"/>
        </w:rPr>
        <w:t>h</w:t>
      </w:r>
      <w:r w:rsidRPr="001B7914">
        <w:rPr>
          <w:rFonts w:ascii="Garamond" w:hAnsi="Garamond"/>
          <w:color w:val="000000"/>
        </w:rPr>
        <w:t xml:space="preserve">eat </w:t>
      </w:r>
      <w:r w:rsidR="003E3646">
        <w:rPr>
          <w:rFonts w:ascii="Garamond" w:hAnsi="Garamond"/>
          <w:color w:val="000000"/>
        </w:rPr>
        <w:t>v</w:t>
      </w:r>
      <w:r w:rsidRPr="001B7914">
        <w:rPr>
          <w:rFonts w:ascii="Garamond" w:hAnsi="Garamond"/>
          <w:color w:val="000000"/>
        </w:rPr>
        <w:t xml:space="preserve">ulnerability </w:t>
      </w:r>
      <w:r w:rsidR="003E3646">
        <w:rPr>
          <w:rFonts w:ascii="Garamond" w:hAnsi="Garamond"/>
          <w:color w:val="000000"/>
        </w:rPr>
        <w:t>i</w:t>
      </w:r>
      <w:r w:rsidRPr="001B7914">
        <w:rPr>
          <w:rFonts w:ascii="Garamond" w:hAnsi="Garamond"/>
          <w:color w:val="000000"/>
        </w:rPr>
        <w:t xml:space="preserve">ndex, a </w:t>
      </w:r>
      <w:r w:rsidR="003E3646">
        <w:rPr>
          <w:rFonts w:ascii="Garamond" w:hAnsi="Garamond"/>
          <w:color w:val="000000"/>
        </w:rPr>
        <w:t>r</w:t>
      </w:r>
      <w:r w:rsidRPr="001B7914">
        <w:rPr>
          <w:rFonts w:ascii="Garamond" w:hAnsi="Garamond"/>
          <w:color w:val="000000"/>
        </w:rPr>
        <w:t xml:space="preserve">eview. </w:t>
      </w:r>
      <w:r w:rsidRPr="001B7914">
        <w:rPr>
          <w:rFonts w:ascii="Garamond" w:hAnsi="Garamond"/>
          <w:i/>
          <w:iCs/>
          <w:color w:val="000000"/>
        </w:rPr>
        <w:t>International Journal of Environmental Research and Public Health</w:t>
      </w:r>
      <w:r w:rsidRPr="001B7914">
        <w:rPr>
          <w:rFonts w:ascii="Garamond" w:hAnsi="Garamond"/>
          <w:color w:val="000000"/>
        </w:rPr>
        <w:t xml:space="preserve">, </w:t>
      </w:r>
      <w:r w:rsidRPr="001B7914">
        <w:rPr>
          <w:rFonts w:ascii="Garamond" w:hAnsi="Garamond"/>
          <w:i/>
          <w:iCs/>
          <w:color w:val="000000"/>
        </w:rPr>
        <w:t>12</w:t>
      </w:r>
      <w:r w:rsidRPr="001B7914">
        <w:rPr>
          <w:rFonts w:ascii="Garamond" w:hAnsi="Garamond"/>
          <w:color w:val="000000"/>
        </w:rPr>
        <w:t>(7), 7220–7234.</w:t>
      </w:r>
      <w:r>
        <w:rPr>
          <w:rFonts w:ascii="Garamond" w:hAnsi="Garamond"/>
          <w:color w:val="000000"/>
        </w:rPr>
        <w:t xml:space="preserve"> </w:t>
      </w:r>
      <w:r w:rsidRPr="001B7914">
        <w:rPr>
          <w:rFonts w:ascii="Garamond" w:hAnsi="Garamond"/>
          <w:color w:val="000000"/>
          <w:u w:val="single"/>
        </w:rPr>
        <w:t>https://doi.org/10.3390/ijerph120707220</w:t>
      </w:r>
    </w:p>
    <w:p w14:paraId="3F73A763" w14:textId="77777777" w:rsidR="001B7914" w:rsidRPr="001B7914" w:rsidRDefault="001B7914" w:rsidP="001B7914">
      <w:pPr>
        <w:spacing w:after="0" w:line="240" w:lineRule="auto"/>
        <w:ind w:left="720" w:hanging="720"/>
        <w:rPr>
          <w:rFonts w:ascii="Garamond" w:hAnsi="Garamond"/>
          <w:color w:val="000000"/>
        </w:rPr>
      </w:pPr>
    </w:p>
    <w:p w14:paraId="52E94693"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Centers for Disease Control and Prevention (2019, February 2019). CDC’s Tracking Network in Action: Extreme Heat. Retrieved February 20, 2019 from </w:t>
      </w:r>
      <w:r w:rsidRPr="001B7914">
        <w:rPr>
          <w:rFonts w:ascii="Garamond" w:hAnsi="Garamond"/>
          <w:color w:val="000000"/>
          <w:u w:val="single"/>
        </w:rPr>
        <w:t>https://www.cdc.gov/features/trackingheat/index.html.</w:t>
      </w:r>
    </w:p>
    <w:p w14:paraId="5A45456D" w14:textId="77777777" w:rsidR="001B7914" w:rsidRPr="001B7914" w:rsidRDefault="001B7914" w:rsidP="001B7914">
      <w:pPr>
        <w:spacing w:after="0" w:line="240" w:lineRule="auto"/>
        <w:ind w:left="720" w:hanging="720"/>
        <w:rPr>
          <w:rFonts w:ascii="Garamond" w:hAnsi="Garamond"/>
          <w:color w:val="000000"/>
        </w:rPr>
      </w:pPr>
    </w:p>
    <w:p w14:paraId="2E854023"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Davis, A. Y., Jung, J., </w:t>
      </w:r>
      <w:proofErr w:type="spellStart"/>
      <w:r w:rsidRPr="001B7914">
        <w:rPr>
          <w:rFonts w:ascii="Garamond" w:hAnsi="Garamond"/>
          <w:color w:val="000000"/>
        </w:rPr>
        <w:t>Pijanowski</w:t>
      </w:r>
      <w:proofErr w:type="spellEnd"/>
      <w:r w:rsidRPr="001B7914">
        <w:rPr>
          <w:rFonts w:ascii="Garamond" w:hAnsi="Garamond"/>
          <w:color w:val="000000"/>
        </w:rPr>
        <w:t xml:space="preserve">, B. C., &amp; Minor, E. S. (2016). Combined vegetation volume and “greenness” affect urban air temperature. </w:t>
      </w:r>
      <w:r w:rsidRPr="001B7914">
        <w:rPr>
          <w:rFonts w:ascii="Garamond" w:hAnsi="Garamond"/>
          <w:i/>
          <w:iCs/>
          <w:color w:val="000000"/>
        </w:rPr>
        <w:t>Applied Geography</w:t>
      </w:r>
      <w:r w:rsidRPr="001B7914">
        <w:rPr>
          <w:rFonts w:ascii="Garamond" w:hAnsi="Garamond"/>
          <w:color w:val="000000"/>
        </w:rPr>
        <w:t xml:space="preserve">, </w:t>
      </w:r>
      <w:r w:rsidRPr="001B7914">
        <w:rPr>
          <w:rFonts w:ascii="Garamond" w:hAnsi="Garamond"/>
          <w:i/>
          <w:iCs/>
          <w:color w:val="000000"/>
        </w:rPr>
        <w:t>71,</w:t>
      </w:r>
      <w:r w:rsidRPr="001B7914">
        <w:rPr>
          <w:rFonts w:ascii="Garamond" w:hAnsi="Garamond"/>
          <w:color w:val="000000"/>
        </w:rPr>
        <w:t xml:space="preserve"> 106–114. </w:t>
      </w:r>
      <w:r w:rsidRPr="001B7914">
        <w:rPr>
          <w:rFonts w:ascii="Garamond" w:hAnsi="Garamond"/>
          <w:color w:val="000000"/>
          <w:u w:val="single"/>
        </w:rPr>
        <w:t>https://doi.org/10.1016/j.apgeog.2016.04.010</w:t>
      </w:r>
    </w:p>
    <w:p w14:paraId="48FA5AE0" w14:textId="77777777" w:rsidR="001B7914" w:rsidRPr="001B7914" w:rsidRDefault="001B7914" w:rsidP="001B7914">
      <w:pPr>
        <w:spacing w:after="0" w:line="240" w:lineRule="auto"/>
        <w:ind w:left="720" w:hanging="720"/>
        <w:rPr>
          <w:rFonts w:ascii="Garamond" w:hAnsi="Garamond"/>
          <w:color w:val="000000"/>
        </w:rPr>
      </w:pPr>
    </w:p>
    <w:p w14:paraId="477D2D40" w14:textId="19FAAD49"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Gao, B.-C. (1996). NDWI—A normalized difference water index for remote sensing of vegetation liquid water from space. </w:t>
      </w:r>
      <w:r w:rsidRPr="001B7914">
        <w:rPr>
          <w:rFonts w:ascii="Garamond" w:hAnsi="Garamond"/>
          <w:i/>
          <w:iCs/>
          <w:color w:val="000000"/>
        </w:rPr>
        <w:t>Remote Sensing of Environment</w:t>
      </w:r>
      <w:r w:rsidRPr="001B7914">
        <w:rPr>
          <w:rFonts w:ascii="Garamond" w:hAnsi="Garamond"/>
          <w:color w:val="000000"/>
        </w:rPr>
        <w:t xml:space="preserve">, </w:t>
      </w:r>
      <w:r w:rsidRPr="00950867">
        <w:rPr>
          <w:rFonts w:ascii="Garamond" w:hAnsi="Garamond"/>
          <w:i/>
          <w:iCs/>
          <w:color w:val="000000"/>
        </w:rPr>
        <w:t>58</w:t>
      </w:r>
      <w:r w:rsidR="00950867">
        <w:rPr>
          <w:rFonts w:ascii="Garamond" w:hAnsi="Garamond"/>
          <w:color w:val="000000"/>
        </w:rPr>
        <w:t>(</w:t>
      </w:r>
      <w:r w:rsidRPr="001B7914">
        <w:rPr>
          <w:rFonts w:ascii="Garamond" w:hAnsi="Garamond"/>
          <w:color w:val="000000"/>
        </w:rPr>
        <w:t>3</w:t>
      </w:r>
      <w:r w:rsidR="00950867">
        <w:rPr>
          <w:rFonts w:ascii="Garamond" w:hAnsi="Garamond"/>
          <w:color w:val="000000"/>
        </w:rPr>
        <w:t xml:space="preserve">), </w:t>
      </w:r>
      <w:r w:rsidRPr="001B7914">
        <w:rPr>
          <w:rFonts w:ascii="Garamond" w:hAnsi="Garamond"/>
          <w:color w:val="000000"/>
        </w:rPr>
        <w:t xml:space="preserve">257-266. </w:t>
      </w:r>
      <w:r w:rsidRPr="001B7914">
        <w:rPr>
          <w:rFonts w:ascii="Garamond" w:hAnsi="Garamond"/>
          <w:color w:val="000000"/>
          <w:u w:val="single"/>
        </w:rPr>
        <w:t>https://doi.org/10.1016/S0034-4257(96)00067-3</w:t>
      </w:r>
    </w:p>
    <w:p w14:paraId="283DBCFA" w14:textId="77777777" w:rsidR="001B7914" w:rsidRPr="001B7914" w:rsidRDefault="001B7914" w:rsidP="001B7914">
      <w:pPr>
        <w:spacing w:after="0" w:line="240" w:lineRule="auto"/>
        <w:ind w:left="720" w:hanging="720"/>
        <w:rPr>
          <w:rFonts w:ascii="Garamond" w:hAnsi="Garamond"/>
          <w:color w:val="000000"/>
        </w:rPr>
      </w:pPr>
    </w:p>
    <w:p w14:paraId="63879CA8" w14:textId="77777777" w:rsidR="001B7914" w:rsidRPr="001B7914" w:rsidRDefault="001B7914" w:rsidP="001B7914">
      <w:pPr>
        <w:spacing w:after="0" w:line="240" w:lineRule="auto"/>
        <w:ind w:left="720" w:hanging="720"/>
        <w:rPr>
          <w:rFonts w:ascii="Garamond" w:hAnsi="Garamond"/>
          <w:color w:val="000000"/>
        </w:rPr>
      </w:pPr>
      <w:proofErr w:type="spellStart"/>
      <w:r w:rsidRPr="001B7914">
        <w:rPr>
          <w:rFonts w:ascii="Garamond" w:hAnsi="Garamond"/>
          <w:color w:val="000000"/>
        </w:rPr>
        <w:t>Glorfeld</w:t>
      </w:r>
      <w:proofErr w:type="spellEnd"/>
      <w:r w:rsidRPr="001B7914">
        <w:rPr>
          <w:rFonts w:ascii="Garamond" w:hAnsi="Garamond"/>
          <w:color w:val="000000"/>
        </w:rPr>
        <w:t xml:space="preserve">, L. W. (1995). An improvement on Horn's parallel analysis methodology for selecting the correct number of factors to retain. </w:t>
      </w:r>
      <w:r w:rsidRPr="001B7914">
        <w:rPr>
          <w:rFonts w:ascii="Garamond" w:hAnsi="Garamond"/>
          <w:i/>
          <w:iCs/>
          <w:color w:val="000000"/>
        </w:rPr>
        <w:t>Educational and Psychological Measurement, 55</w:t>
      </w:r>
      <w:r w:rsidRPr="001B7914">
        <w:rPr>
          <w:rFonts w:ascii="Garamond" w:hAnsi="Garamond"/>
          <w:color w:val="000000"/>
        </w:rPr>
        <w:t xml:space="preserve">(3), 377–393. </w:t>
      </w:r>
      <w:hyperlink r:id="rId15" w:history="1">
        <w:r w:rsidRPr="001B7914">
          <w:rPr>
            <w:rStyle w:val="Hyperlink"/>
            <w:rFonts w:ascii="Garamond" w:hAnsi="Garamond"/>
            <w:color w:val="auto"/>
          </w:rPr>
          <w:t>https://doi.org/10.1177/0013164495055003002</w:t>
        </w:r>
      </w:hyperlink>
    </w:p>
    <w:p w14:paraId="6491D111" w14:textId="77777777" w:rsidR="001B7914" w:rsidRPr="001B7914" w:rsidRDefault="001B7914" w:rsidP="001B7914">
      <w:pPr>
        <w:spacing w:after="0" w:line="240" w:lineRule="auto"/>
        <w:ind w:left="720" w:hanging="720"/>
        <w:rPr>
          <w:rFonts w:ascii="Garamond" w:hAnsi="Garamond"/>
          <w:color w:val="000000"/>
        </w:rPr>
      </w:pPr>
    </w:p>
    <w:p w14:paraId="490E5291"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Green, H., Bailey, J., Schwarz, L., </w:t>
      </w:r>
      <w:proofErr w:type="spellStart"/>
      <w:r w:rsidRPr="001B7914">
        <w:rPr>
          <w:rFonts w:ascii="Garamond" w:hAnsi="Garamond"/>
          <w:color w:val="000000"/>
        </w:rPr>
        <w:t>Vanos</w:t>
      </w:r>
      <w:proofErr w:type="spellEnd"/>
      <w:r w:rsidRPr="001B7914">
        <w:rPr>
          <w:rFonts w:ascii="Garamond" w:hAnsi="Garamond"/>
          <w:color w:val="000000"/>
        </w:rPr>
        <w:t xml:space="preserve">, J., </w:t>
      </w:r>
      <w:proofErr w:type="spellStart"/>
      <w:r w:rsidRPr="001B7914">
        <w:rPr>
          <w:rFonts w:ascii="Garamond" w:hAnsi="Garamond"/>
          <w:color w:val="000000"/>
        </w:rPr>
        <w:t>Ebi</w:t>
      </w:r>
      <w:proofErr w:type="spellEnd"/>
      <w:r w:rsidRPr="001B7914">
        <w:rPr>
          <w:rFonts w:ascii="Garamond" w:hAnsi="Garamond"/>
          <w:color w:val="000000"/>
        </w:rPr>
        <w:t xml:space="preserve">, K., &amp; </w:t>
      </w:r>
      <w:proofErr w:type="spellStart"/>
      <w:r w:rsidRPr="001B7914">
        <w:rPr>
          <w:rFonts w:ascii="Garamond" w:hAnsi="Garamond"/>
          <w:color w:val="000000"/>
        </w:rPr>
        <w:t>Benmarhnia</w:t>
      </w:r>
      <w:proofErr w:type="spellEnd"/>
      <w:r w:rsidRPr="001B7914">
        <w:rPr>
          <w:rFonts w:ascii="Garamond" w:hAnsi="Garamond"/>
          <w:color w:val="000000"/>
        </w:rPr>
        <w:t xml:space="preserve">, T. (2019). Impact of heat on mortality and morbidity in low and </w:t>
      </w:r>
      <w:proofErr w:type="gramStart"/>
      <w:r w:rsidRPr="001B7914">
        <w:rPr>
          <w:rFonts w:ascii="Garamond" w:hAnsi="Garamond"/>
          <w:color w:val="000000"/>
        </w:rPr>
        <w:t>middle income</w:t>
      </w:r>
      <w:proofErr w:type="gramEnd"/>
      <w:r w:rsidRPr="001B7914">
        <w:rPr>
          <w:rFonts w:ascii="Garamond" w:hAnsi="Garamond"/>
          <w:color w:val="000000"/>
        </w:rPr>
        <w:t xml:space="preserve"> countries: A review of the epidemiological evidence and considerations for future research. </w:t>
      </w:r>
      <w:r w:rsidRPr="001B7914">
        <w:rPr>
          <w:rFonts w:ascii="Garamond" w:hAnsi="Garamond"/>
          <w:i/>
          <w:iCs/>
          <w:color w:val="000000"/>
        </w:rPr>
        <w:t>Environmental Research</w:t>
      </w:r>
      <w:r w:rsidRPr="001B7914">
        <w:rPr>
          <w:rFonts w:ascii="Garamond" w:hAnsi="Garamond"/>
          <w:color w:val="000000"/>
        </w:rPr>
        <w:t xml:space="preserve">, </w:t>
      </w:r>
      <w:r w:rsidRPr="001B7914">
        <w:rPr>
          <w:rFonts w:ascii="Garamond" w:hAnsi="Garamond"/>
          <w:i/>
          <w:iCs/>
          <w:color w:val="000000"/>
        </w:rPr>
        <w:t>171</w:t>
      </w:r>
      <w:r w:rsidRPr="001B7914">
        <w:rPr>
          <w:rFonts w:ascii="Garamond" w:hAnsi="Garamond"/>
          <w:color w:val="000000"/>
        </w:rPr>
        <w:t>, 80–91.</w:t>
      </w:r>
    </w:p>
    <w:p w14:paraId="458252E7" w14:textId="77777777" w:rsidR="001B7914" w:rsidRPr="001B7914" w:rsidRDefault="001B7914" w:rsidP="001B7914">
      <w:pPr>
        <w:spacing w:after="0" w:line="240" w:lineRule="auto"/>
        <w:ind w:left="720" w:hanging="720"/>
        <w:rPr>
          <w:rFonts w:ascii="Garamond" w:hAnsi="Garamond"/>
          <w:color w:val="000000"/>
          <w:u w:val="single"/>
        </w:rPr>
      </w:pPr>
      <w:r w:rsidRPr="001B7914">
        <w:rPr>
          <w:rFonts w:ascii="Garamond" w:hAnsi="Garamond"/>
          <w:color w:val="000000"/>
        </w:rPr>
        <w:tab/>
      </w:r>
      <w:r w:rsidRPr="001B7914">
        <w:rPr>
          <w:rFonts w:ascii="Garamond" w:hAnsi="Garamond"/>
          <w:color w:val="000000"/>
          <w:u w:val="single"/>
        </w:rPr>
        <w:t>https://doi.org/10.1016/j.envres.2019.01.010</w:t>
      </w:r>
    </w:p>
    <w:p w14:paraId="33B333AC" w14:textId="77777777" w:rsidR="001B7914" w:rsidRPr="001B7914" w:rsidRDefault="001B7914" w:rsidP="001B7914">
      <w:pPr>
        <w:spacing w:after="0" w:line="240" w:lineRule="auto"/>
        <w:ind w:left="720" w:hanging="720"/>
        <w:rPr>
          <w:rFonts w:ascii="Garamond" w:hAnsi="Garamond"/>
          <w:color w:val="000000"/>
        </w:rPr>
      </w:pPr>
    </w:p>
    <w:p w14:paraId="7CD21975"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Harlan, S. L., </w:t>
      </w:r>
      <w:proofErr w:type="spellStart"/>
      <w:r w:rsidRPr="001B7914">
        <w:rPr>
          <w:rFonts w:ascii="Garamond" w:hAnsi="Garamond"/>
          <w:color w:val="000000"/>
        </w:rPr>
        <w:t>Declet-Barreto</w:t>
      </w:r>
      <w:proofErr w:type="spellEnd"/>
      <w:r w:rsidRPr="001B7914">
        <w:rPr>
          <w:rFonts w:ascii="Garamond" w:hAnsi="Garamond"/>
          <w:color w:val="000000"/>
        </w:rPr>
        <w:t xml:space="preserve">, J. H., </w:t>
      </w:r>
      <w:proofErr w:type="spellStart"/>
      <w:r w:rsidRPr="001B7914">
        <w:rPr>
          <w:rFonts w:ascii="Garamond" w:hAnsi="Garamond"/>
          <w:color w:val="000000"/>
        </w:rPr>
        <w:t>Stefanov</w:t>
      </w:r>
      <w:proofErr w:type="spellEnd"/>
      <w:r w:rsidRPr="001B7914">
        <w:rPr>
          <w:rFonts w:ascii="Garamond" w:hAnsi="Garamond"/>
          <w:color w:val="000000"/>
        </w:rPr>
        <w:t xml:space="preserve">, W. L., &amp; </w:t>
      </w:r>
      <w:proofErr w:type="spellStart"/>
      <w:r w:rsidRPr="001B7914">
        <w:rPr>
          <w:rFonts w:ascii="Garamond" w:hAnsi="Garamond"/>
          <w:color w:val="000000"/>
        </w:rPr>
        <w:t>Petitti</w:t>
      </w:r>
      <w:proofErr w:type="spellEnd"/>
      <w:r w:rsidRPr="001B7914">
        <w:rPr>
          <w:rFonts w:ascii="Garamond" w:hAnsi="Garamond"/>
          <w:color w:val="000000"/>
        </w:rPr>
        <w:t xml:space="preserve">, D. B. (2013). Neighborhood effects on heat deaths: social and environmental predictors of vulnerability in Maricopa County, Arizona. </w:t>
      </w:r>
      <w:r w:rsidRPr="001B7914">
        <w:rPr>
          <w:rFonts w:ascii="Garamond" w:hAnsi="Garamond"/>
          <w:i/>
          <w:iCs/>
          <w:color w:val="000000"/>
        </w:rPr>
        <w:t>Environmental Health Perspectives</w:t>
      </w:r>
      <w:r w:rsidRPr="001B7914">
        <w:rPr>
          <w:rFonts w:ascii="Garamond" w:hAnsi="Garamond"/>
          <w:color w:val="000000"/>
        </w:rPr>
        <w:t xml:space="preserve">, </w:t>
      </w:r>
      <w:r w:rsidRPr="001B7914">
        <w:rPr>
          <w:rFonts w:ascii="Garamond" w:hAnsi="Garamond"/>
          <w:i/>
          <w:iCs/>
          <w:color w:val="000000"/>
        </w:rPr>
        <w:t>121</w:t>
      </w:r>
      <w:r w:rsidRPr="001B7914">
        <w:rPr>
          <w:rFonts w:ascii="Garamond" w:hAnsi="Garamond"/>
          <w:color w:val="000000"/>
        </w:rPr>
        <w:t xml:space="preserve">(2), 197–204. </w:t>
      </w:r>
      <w:r w:rsidRPr="001B7914">
        <w:rPr>
          <w:rFonts w:ascii="Garamond" w:hAnsi="Garamond"/>
          <w:color w:val="000000"/>
          <w:u w:val="single"/>
        </w:rPr>
        <w:t>https://doi.org/10.1289/ehp.1104625</w:t>
      </w:r>
    </w:p>
    <w:p w14:paraId="2327A4C0" w14:textId="77777777" w:rsidR="001B7914" w:rsidRPr="001B7914" w:rsidRDefault="001B7914" w:rsidP="001B7914">
      <w:pPr>
        <w:spacing w:after="0" w:line="240" w:lineRule="auto"/>
        <w:ind w:left="720" w:hanging="720"/>
        <w:rPr>
          <w:rFonts w:ascii="Garamond" w:hAnsi="Garamond"/>
          <w:color w:val="000000"/>
        </w:rPr>
      </w:pPr>
    </w:p>
    <w:p w14:paraId="42E82E58" w14:textId="7F2D1B18"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Hondula, D., Davis, R. E., </w:t>
      </w:r>
      <w:proofErr w:type="spellStart"/>
      <w:r w:rsidRPr="001B7914">
        <w:rPr>
          <w:rFonts w:ascii="Garamond" w:hAnsi="Garamond"/>
          <w:color w:val="000000"/>
        </w:rPr>
        <w:t>Leisten</w:t>
      </w:r>
      <w:proofErr w:type="spellEnd"/>
      <w:r w:rsidRPr="001B7914">
        <w:rPr>
          <w:rFonts w:ascii="Garamond" w:hAnsi="Garamond"/>
          <w:color w:val="000000"/>
        </w:rPr>
        <w:t xml:space="preserve">, M. J., </w:t>
      </w:r>
      <w:proofErr w:type="spellStart"/>
      <w:r w:rsidRPr="001B7914">
        <w:rPr>
          <w:rFonts w:ascii="Garamond" w:hAnsi="Garamond"/>
          <w:color w:val="000000"/>
        </w:rPr>
        <w:t>Saha</w:t>
      </w:r>
      <w:proofErr w:type="spellEnd"/>
      <w:r w:rsidRPr="001B7914">
        <w:rPr>
          <w:rFonts w:ascii="Garamond" w:hAnsi="Garamond"/>
          <w:color w:val="000000"/>
        </w:rPr>
        <w:t xml:space="preserve">, M. V., </w:t>
      </w:r>
      <w:proofErr w:type="spellStart"/>
      <w:r w:rsidRPr="001B7914">
        <w:rPr>
          <w:rFonts w:ascii="Garamond" w:hAnsi="Garamond"/>
          <w:color w:val="000000"/>
        </w:rPr>
        <w:t>Veazey</w:t>
      </w:r>
      <w:proofErr w:type="spellEnd"/>
      <w:r w:rsidRPr="001B7914">
        <w:rPr>
          <w:rFonts w:ascii="Garamond" w:hAnsi="Garamond"/>
          <w:color w:val="000000"/>
        </w:rPr>
        <w:t>, L. M., &amp; Wegner, C. R. (2012). Fine-scale spatial variability of heat-related mortality in Philadelph</w:t>
      </w:r>
      <w:r w:rsidR="002948F6">
        <w:rPr>
          <w:rFonts w:ascii="Garamond" w:hAnsi="Garamond"/>
          <w:color w:val="000000"/>
        </w:rPr>
        <w:t>ia County, USA from 1983-2008: A</w:t>
      </w:r>
      <w:r w:rsidRPr="001B7914">
        <w:rPr>
          <w:rFonts w:ascii="Garamond" w:hAnsi="Garamond"/>
          <w:color w:val="000000"/>
        </w:rPr>
        <w:t xml:space="preserve"> case-series analysis.</w:t>
      </w:r>
      <w:r w:rsidRPr="001B7914">
        <w:rPr>
          <w:rFonts w:ascii="Garamond" w:hAnsi="Garamond"/>
          <w:i/>
          <w:iCs/>
          <w:color w:val="000000"/>
        </w:rPr>
        <w:t xml:space="preserve"> Environmental Health</w:t>
      </w:r>
      <w:r w:rsidRPr="001B7914">
        <w:rPr>
          <w:rFonts w:ascii="Garamond" w:hAnsi="Garamond"/>
          <w:color w:val="000000"/>
        </w:rPr>
        <w:t xml:space="preserve"> </w:t>
      </w:r>
      <w:r w:rsidRPr="001B7914">
        <w:rPr>
          <w:rFonts w:ascii="Garamond" w:hAnsi="Garamond"/>
          <w:i/>
          <w:iCs/>
          <w:color w:val="000000"/>
        </w:rPr>
        <w:t>11</w:t>
      </w:r>
      <w:r w:rsidRPr="001B7914">
        <w:rPr>
          <w:rFonts w:ascii="Garamond" w:hAnsi="Garamond"/>
          <w:color w:val="000000"/>
        </w:rPr>
        <w:t xml:space="preserve">(1), 1-11. </w:t>
      </w:r>
      <w:r w:rsidRPr="001B7914">
        <w:rPr>
          <w:rFonts w:ascii="Garamond" w:hAnsi="Garamond"/>
          <w:color w:val="000000"/>
          <w:u w:val="single"/>
        </w:rPr>
        <w:t>https://doi.org/10.1186/1476-069X-11-16</w:t>
      </w:r>
    </w:p>
    <w:p w14:paraId="6046C294" w14:textId="77777777" w:rsidR="001B7914" w:rsidRPr="001B7914" w:rsidRDefault="001B7914" w:rsidP="001B7914">
      <w:pPr>
        <w:spacing w:after="0" w:line="240" w:lineRule="auto"/>
        <w:ind w:left="720" w:hanging="720"/>
        <w:rPr>
          <w:rFonts w:ascii="Garamond" w:hAnsi="Garamond"/>
          <w:color w:val="000000"/>
        </w:rPr>
      </w:pPr>
    </w:p>
    <w:p w14:paraId="15A39517"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Hondula, D. M., Davis, R. E., </w:t>
      </w:r>
      <w:proofErr w:type="spellStart"/>
      <w:r w:rsidRPr="001B7914">
        <w:rPr>
          <w:rFonts w:ascii="Garamond" w:hAnsi="Garamond"/>
          <w:color w:val="000000"/>
        </w:rPr>
        <w:t>Saha</w:t>
      </w:r>
      <w:proofErr w:type="spellEnd"/>
      <w:r w:rsidRPr="001B7914">
        <w:rPr>
          <w:rFonts w:ascii="Garamond" w:hAnsi="Garamond"/>
          <w:color w:val="000000"/>
        </w:rPr>
        <w:t xml:space="preserve">, M. V., Wegner, C. R., &amp; </w:t>
      </w:r>
      <w:proofErr w:type="spellStart"/>
      <w:r w:rsidRPr="001B7914">
        <w:rPr>
          <w:rFonts w:ascii="Garamond" w:hAnsi="Garamond"/>
          <w:color w:val="000000"/>
        </w:rPr>
        <w:t>Veazey</w:t>
      </w:r>
      <w:proofErr w:type="spellEnd"/>
      <w:r w:rsidRPr="001B7914">
        <w:rPr>
          <w:rFonts w:ascii="Garamond" w:hAnsi="Garamond"/>
          <w:color w:val="000000"/>
        </w:rPr>
        <w:t xml:space="preserve">, L. M. (2014). Geographic dimensions of heat-related mortality in seven U.S. cities. </w:t>
      </w:r>
      <w:r w:rsidRPr="001B7914">
        <w:rPr>
          <w:rFonts w:ascii="Garamond" w:hAnsi="Garamond"/>
          <w:i/>
          <w:iCs/>
          <w:color w:val="000000"/>
        </w:rPr>
        <w:t>Environmental Research</w:t>
      </w:r>
      <w:r w:rsidRPr="001B7914">
        <w:rPr>
          <w:rFonts w:ascii="Garamond" w:hAnsi="Garamond"/>
          <w:color w:val="000000"/>
        </w:rPr>
        <w:t xml:space="preserve">, </w:t>
      </w:r>
      <w:r w:rsidRPr="001B7914">
        <w:rPr>
          <w:rFonts w:ascii="Garamond" w:hAnsi="Garamond"/>
          <w:i/>
          <w:iCs/>
          <w:color w:val="000000"/>
        </w:rPr>
        <w:t>138</w:t>
      </w:r>
      <w:r w:rsidRPr="001B7914">
        <w:rPr>
          <w:rFonts w:ascii="Garamond" w:hAnsi="Garamond"/>
          <w:color w:val="000000"/>
        </w:rPr>
        <w:t xml:space="preserve">, 439–452. </w:t>
      </w:r>
      <w:r w:rsidRPr="001B7914">
        <w:rPr>
          <w:rFonts w:ascii="Garamond" w:hAnsi="Garamond"/>
          <w:color w:val="000000"/>
          <w:u w:val="single"/>
        </w:rPr>
        <w:t>https://doi.org/10.1016/j.envres.2015.02.033</w:t>
      </w:r>
    </w:p>
    <w:p w14:paraId="3F9B475B" w14:textId="77777777" w:rsidR="001B7914" w:rsidRPr="001B7914" w:rsidRDefault="001B7914" w:rsidP="001B7914">
      <w:pPr>
        <w:spacing w:after="0" w:line="240" w:lineRule="auto"/>
        <w:ind w:left="720" w:hanging="720"/>
        <w:rPr>
          <w:rFonts w:ascii="Garamond" w:hAnsi="Garamond"/>
          <w:color w:val="000000"/>
        </w:rPr>
      </w:pPr>
    </w:p>
    <w:p w14:paraId="430D4A25"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Hondula, D. M., Davis, R. E., &amp; Georgescu, M. (2018). Clarifying the connections between green space, </w:t>
      </w:r>
    </w:p>
    <w:p w14:paraId="6FE25058" w14:textId="416A9E23"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urban climate, and heat-related mortality.</w:t>
      </w:r>
      <w:r w:rsidR="00950867">
        <w:rPr>
          <w:rFonts w:ascii="Garamond" w:hAnsi="Garamond"/>
          <w:color w:val="000000"/>
        </w:rPr>
        <w:t xml:space="preserve"> </w:t>
      </w:r>
      <w:r w:rsidR="00950867">
        <w:rPr>
          <w:rFonts w:ascii="Garamond" w:hAnsi="Garamond"/>
          <w:i/>
          <w:iCs/>
          <w:color w:val="000000"/>
        </w:rPr>
        <w:t xml:space="preserve">American Journal of Public Health, </w:t>
      </w:r>
      <w:r w:rsidR="00950867" w:rsidRPr="00950867">
        <w:rPr>
          <w:rFonts w:ascii="Garamond" w:hAnsi="Garamond"/>
          <w:i/>
          <w:iCs/>
          <w:color w:val="000000"/>
        </w:rPr>
        <w:t>108</w:t>
      </w:r>
      <w:r w:rsidR="00950867">
        <w:rPr>
          <w:rFonts w:ascii="Garamond" w:hAnsi="Garamond"/>
          <w:color w:val="000000"/>
        </w:rPr>
        <w:t>(S2), S62-S63.</w:t>
      </w:r>
      <w:r w:rsidRPr="001B7914">
        <w:rPr>
          <w:rFonts w:ascii="Garamond" w:hAnsi="Garamond"/>
          <w:color w:val="000000"/>
        </w:rPr>
        <w:t xml:space="preserve"> </w:t>
      </w:r>
      <w:r w:rsidRPr="001B7914">
        <w:rPr>
          <w:rFonts w:ascii="Garamond" w:hAnsi="Garamond"/>
          <w:color w:val="000000"/>
          <w:u w:val="single"/>
        </w:rPr>
        <w:t>https://doi.org/10.2105/AJPH.2017.304295</w:t>
      </w:r>
    </w:p>
    <w:p w14:paraId="5831372E" w14:textId="77777777" w:rsidR="001B7914" w:rsidRPr="001B7914" w:rsidRDefault="001B7914" w:rsidP="001B7914">
      <w:pPr>
        <w:spacing w:after="0" w:line="240" w:lineRule="auto"/>
        <w:ind w:left="720" w:hanging="720"/>
        <w:rPr>
          <w:rFonts w:ascii="Garamond" w:hAnsi="Garamond"/>
          <w:color w:val="000000"/>
        </w:rPr>
      </w:pPr>
    </w:p>
    <w:p w14:paraId="731EB93F"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Johnson, D. P., &amp; Wilson, J. S. (2009). The socio-spatial dynamics of extreme urban heat events: The case of heat-related deaths in Philadelphia. </w:t>
      </w:r>
      <w:r w:rsidRPr="001B7914">
        <w:rPr>
          <w:rFonts w:ascii="Garamond" w:hAnsi="Garamond"/>
          <w:i/>
          <w:iCs/>
          <w:color w:val="000000"/>
        </w:rPr>
        <w:t>Applied Geography</w:t>
      </w:r>
      <w:r w:rsidRPr="001B7914">
        <w:rPr>
          <w:rFonts w:ascii="Garamond" w:hAnsi="Garamond"/>
          <w:color w:val="000000"/>
        </w:rPr>
        <w:t xml:space="preserve">, </w:t>
      </w:r>
      <w:r w:rsidRPr="001B7914">
        <w:rPr>
          <w:rFonts w:ascii="Garamond" w:hAnsi="Garamond"/>
          <w:i/>
          <w:iCs/>
          <w:color w:val="000000"/>
        </w:rPr>
        <w:t>29</w:t>
      </w:r>
      <w:r w:rsidRPr="001B7914">
        <w:rPr>
          <w:rFonts w:ascii="Garamond" w:hAnsi="Garamond"/>
          <w:color w:val="000000"/>
        </w:rPr>
        <w:t xml:space="preserve">(3), 419–434. </w:t>
      </w:r>
      <w:r w:rsidRPr="001B7914">
        <w:rPr>
          <w:rFonts w:ascii="Garamond" w:hAnsi="Garamond"/>
          <w:color w:val="000000"/>
          <w:u w:val="single"/>
        </w:rPr>
        <w:t>https://doi.org/10.1016/j.apgeog.2008.11.004</w:t>
      </w:r>
    </w:p>
    <w:p w14:paraId="7CB5A869" w14:textId="77777777" w:rsidR="001B7914" w:rsidRPr="001B7914" w:rsidRDefault="001B7914" w:rsidP="001B7914">
      <w:pPr>
        <w:spacing w:after="0" w:line="240" w:lineRule="auto"/>
        <w:ind w:left="720" w:hanging="720"/>
        <w:rPr>
          <w:rFonts w:ascii="Garamond" w:hAnsi="Garamond"/>
          <w:color w:val="000000"/>
        </w:rPr>
      </w:pPr>
    </w:p>
    <w:p w14:paraId="600AAE2B" w14:textId="7C501A59" w:rsidR="001B7914" w:rsidRPr="001B7914" w:rsidRDefault="001B7914" w:rsidP="001B7914">
      <w:pPr>
        <w:spacing w:after="0" w:line="240" w:lineRule="auto"/>
        <w:ind w:left="720" w:hanging="720"/>
        <w:rPr>
          <w:rFonts w:ascii="Garamond" w:hAnsi="Garamond"/>
          <w:color w:val="000000"/>
        </w:rPr>
      </w:pPr>
      <w:proofErr w:type="spellStart"/>
      <w:r w:rsidRPr="001B7914">
        <w:rPr>
          <w:rFonts w:ascii="Garamond" w:hAnsi="Garamond"/>
          <w:color w:val="000000"/>
        </w:rPr>
        <w:t>Jin</w:t>
      </w:r>
      <w:proofErr w:type="spellEnd"/>
      <w:r w:rsidRPr="001B7914">
        <w:rPr>
          <w:rFonts w:ascii="Garamond" w:hAnsi="Garamond"/>
          <w:color w:val="000000"/>
        </w:rPr>
        <w:t xml:space="preserve">, M., &amp; Liang, S. (2006). An </w:t>
      </w:r>
      <w:r w:rsidR="00950867">
        <w:rPr>
          <w:rFonts w:ascii="Garamond" w:hAnsi="Garamond"/>
          <w:color w:val="000000"/>
        </w:rPr>
        <w:t>i</w:t>
      </w:r>
      <w:r w:rsidRPr="001B7914">
        <w:rPr>
          <w:rFonts w:ascii="Garamond" w:hAnsi="Garamond"/>
          <w:color w:val="000000"/>
        </w:rPr>
        <w:t xml:space="preserve">mproved </w:t>
      </w:r>
      <w:r w:rsidR="00950867">
        <w:rPr>
          <w:rFonts w:ascii="Garamond" w:hAnsi="Garamond"/>
          <w:color w:val="000000"/>
        </w:rPr>
        <w:t>l</w:t>
      </w:r>
      <w:r w:rsidRPr="001B7914">
        <w:rPr>
          <w:rFonts w:ascii="Garamond" w:hAnsi="Garamond"/>
          <w:color w:val="000000"/>
        </w:rPr>
        <w:t xml:space="preserve">and </w:t>
      </w:r>
      <w:r w:rsidR="00950867">
        <w:rPr>
          <w:rFonts w:ascii="Garamond" w:hAnsi="Garamond"/>
          <w:color w:val="000000"/>
        </w:rPr>
        <w:t>s</w:t>
      </w:r>
      <w:r w:rsidRPr="001B7914">
        <w:rPr>
          <w:rFonts w:ascii="Garamond" w:hAnsi="Garamond"/>
          <w:color w:val="000000"/>
        </w:rPr>
        <w:t xml:space="preserve">urface </w:t>
      </w:r>
      <w:r w:rsidR="00950867">
        <w:rPr>
          <w:rFonts w:ascii="Garamond" w:hAnsi="Garamond"/>
          <w:color w:val="000000"/>
        </w:rPr>
        <w:t>p</w:t>
      </w:r>
      <w:r w:rsidRPr="001B7914">
        <w:rPr>
          <w:rFonts w:ascii="Garamond" w:hAnsi="Garamond"/>
          <w:color w:val="000000"/>
        </w:rPr>
        <w:t xml:space="preserve">arameter for </w:t>
      </w:r>
      <w:r w:rsidR="00950867">
        <w:rPr>
          <w:rFonts w:ascii="Garamond" w:hAnsi="Garamond"/>
          <w:color w:val="000000"/>
        </w:rPr>
        <w:t>l</w:t>
      </w:r>
      <w:r w:rsidRPr="001B7914">
        <w:rPr>
          <w:rFonts w:ascii="Garamond" w:hAnsi="Garamond"/>
          <w:color w:val="000000"/>
        </w:rPr>
        <w:t xml:space="preserve">and </w:t>
      </w:r>
      <w:r w:rsidR="00950867">
        <w:rPr>
          <w:rFonts w:ascii="Garamond" w:hAnsi="Garamond"/>
          <w:color w:val="000000"/>
        </w:rPr>
        <w:t>s</w:t>
      </w:r>
      <w:r w:rsidRPr="001B7914">
        <w:rPr>
          <w:rFonts w:ascii="Garamond" w:hAnsi="Garamond"/>
          <w:color w:val="000000"/>
        </w:rPr>
        <w:t xml:space="preserve">urface </w:t>
      </w:r>
      <w:r w:rsidR="00950867">
        <w:rPr>
          <w:rFonts w:ascii="Garamond" w:hAnsi="Garamond"/>
          <w:color w:val="000000"/>
        </w:rPr>
        <w:t>m</w:t>
      </w:r>
      <w:r w:rsidRPr="001B7914">
        <w:rPr>
          <w:rFonts w:ascii="Garamond" w:hAnsi="Garamond"/>
          <w:color w:val="000000"/>
        </w:rPr>
        <w:t xml:space="preserve">odels </w:t>
      </w:r>
      <w:r w:rsidR="00950867">
        <w:rPr>
          <w:rFonts w:ascii="Garamond" w:hAnsi="Garamond"/>
          <w:color w:val="000000"/>
        </w:rPr>
        <w:t>u</w:t>
      </w:r>
      <w:r w:rsidRPr="001B7914">
        <w:rPr>
          <w:rFonts w:ascii="Garamond" w:hAnsi="Garamond"/>
          <w:color w:val="000000"/>
        </w:rPr>
        <w:t xml:space="preserve">sing </w:t>
      </w:r>
      <w:r w:rsidR="00950867">
        <w:rPr>
          <w:rFonts w:ascii="Garamond" w:hAnsi="Garamond"/>
          <w:color w:val="000000"/>
        </w:rPr>
        <w:t>g</w:t>
      </w:r>
      <w:r w:rsidRPr="001B7914">
        <w:rPr>
          <w:rFonts w:ascii="Garamond" w:hAnsi="Garamond"/>
          <w:color w:val="000000"/>
        </w:rPr>
        <w:t xml:space="preserve">lobal </w:t>
      </w:r>
      <w:r w:rsidR="00950867">
        <w:rPr>
          <w:rFonts w:ascii="Garamond" w:hAnsi="Garamond"/>
          <w:color w:val="000000"/>
        </w:rPr>
        <w:t>r</w:t>
      </w:r>
      <w:r w:rsidRPr="001B7914">
        <w:rPr>
          <w:rFonts w:ascii="Garamond" w:hAnsi="Garamond"/>
          <w:color w:val="000000"/>
        </w:rPr>
        <w:t xml:space="preserve">emote </w:t>
      </w:r>
      <w:r w:rsidR="00950867">
        <w:rPr>
          <w:rFonts w:ascii="Garamond" w:hAnsi="Garamond"/>
          <w:color w:val="000000"/>
        </w:rPr>
        <w:t>s</w:t>
      </w:r>
      <w:r w:rsidRPr="001B7914">
        <w:rPr>
          <w:rFonts w:ascii="Garamond" w:hAnsi="Garamond"/>
          <w:color w:val="000000"/>
        </w:rPr>
        <w:t xml:space="preserve">ensing </w:t>
      </w:r>
      <w:r w:rsidR="00950867">
        <w:rPr>
          <w:rFonts w:ascii="Garamond" w:hAnsi="Garamond"/>
          <w:color w:val="000000"/>
        </w:rPr>
        <w:t>o</w:t>
      </w:r>
      <w:r w:rsidRPr="001B7914">
        <w:rPr>
          <w:rFonts w:ascii="Garamond" w:hAnsi="Garamond"/>
          <w:color w:val="000000"/>
        </w:rPr>
        <w:t xml:space="preserve">bservations. </w:t>
      </w:r>
      <w:r w:rsidRPr="001B7914">
        <w:rPr>
          <w:rFonts w:ascii="Garamond" w:hAnsi="Garamond"/>
          <w:i/>
          <w:iCs/>
          <w:color w:val="000000"/>
        </w:rPr>
        <w:t>American Meteorological Society</w:t>
      </w:r>
      <w:r w:rsidRPr="001B7914">
        <w:rPr>
          <w:rFonts w:ascii="Garamond" w:hAnsi="Garamond"/>
          <w:color w:val="000000"/>
        </w:rPr>
        <w:t xml:space="preserve">, 2867-2881. </w:t>
      </w:r>
      <w:r w:rsidRPr="001B7914">
        <w:rPr>
          <w:rFonts w:ascii="Garamond" w:hAnsi="Garamond"/>
          <w:color w:val="000000"/>
          <w:u w:val="single"/>
        </w:rPr>
        <w:t>https://doi.org/10.1175/JCLI3720.1</w:t>
      </w:r>
    </w:p>
    <w:p w14:paraId="14C8825D" w14:textId="77777777" w:rsidR="001B7914" w:rsidRPr="001B7914" w:rsidRDefault="001B7914" w:rsidP="001B7914">
      <w:pPr>
        <w:spacing w:after="0" w:line="240" w:lineRule="auto"/>
        <w:ind w:left="720" w:hanging="720"/>
        <w:rPr>
          <w:rFonts w:ascii="Garamond" w:hAnsi="Garamond"/>
          <w:color w:val="000000"/>
        </w:rPr>
      </w:pPr>
    </w:p>
    <w:p w14:paraId="6B3DDBFC" w14:textId="4DA12A6C"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Kaiser, H. F. (1960). The </w:t>
      </w:r>
      <w:r w:rsidR="00950867">
        <w:rPr>
          <w:rFonts w:ascii="Garamond" w:hAnsi="Garamond"/>
          <w:color w:val="000000"/>
        </w:rPr>
        <w:t>a</w:t>
      </w:r>
      <w:r w:rsidRPr="001B7914">
        <w:rPr>
          <w:rFonts w:ascii="Garamond" w:hAnsi="Garamond"/>
          <w:color w:val="000000"/>
        </w:rPr>
        <w:t xml:space="preserve">pplication of </w:t>
      </w:r>
      <w:r w:rsidR="00950867">
        <w:rPr>
          <w:rFonts w:ascii="Garamond" w:hAnsi="Garamond"/>
          <w:color w:val="000000"/>
        </w:rPr>
        <w:t>e</w:t>
      </w:r>
      <w:r w:rsidRPr="001B7914">
        <w:rPr>
          <w:rFonts w:ascii="Garamond" w:hAnsi="Garamond"/>
          <w:color w:val="000000"/>
        </w:rPr>
        <w:t xml:space="preserve">lectronic </w:t>
      </w:r>
      <w:r w:rsidR="00950867">
        <w:rPr>
          <w:rFonts w:ascii="Garamond" w:hAnsi="Garamond"/>
          <w:color w:val="000000"/>
        </w:rPr>
        <w:t>c</w:t>
      </w:r>
      <w:r w:rsidRPr="001B7914">
        <w:rPr>
          <w:rFonts w:ascii="Garamond" w:hAnsi="Garamond"/>
          <w:color w:val="000000"/>
        </w:rPr>
        <w:t xml:space="preserve">omputers to </w:t>
      </w:r>
      <w:r w:rsidR="00950867">
        <w:rPr>
          <w:rFonts w:ascii="Garamond" w:hAnsi="Garamond"/>
          <w:color w:val="000000"/>
        </w:rPr>
        <w:t>f</w:t>
      </w:r>
      <w:r w:rsidRPr="001B7914">
        <w:rPr>
          <w:rFonts w:ascii="Garamond" w:hAnsi="Garamond"/>
          <w:color w:val="000000"/>
        </w:rPr>
        <w:t xml:space="preserve">actor </w:t>
      </w:r>
      <w:r w:rsidR="00950867">
        <w:rPr>
          <w:rFonts w:ascii="Garamond" w:hAnsi="Garamond"/>
          <w:color w:val="000000"/>
        </w:rPr>
        <w:t>a</w:t>
      </w:r>
      <w:r w:rsidRPr="001B7914">
        <w:rPr>
          <w:rFonts w:ascii="Garamond" w:hAnsi="Garamond"/>
          <w:color w:val="000000"/>
        </w:rPr>
        <w:t xml:space="preserve">nalysis. </w:t>
      </w:r>
      <w:r w:rsidRPr="001B7914">
        <w:rPr>
          <w:rFonts w:ascii="Garamond" w:hAnsi="Garamond"/>
          <w:i/>
          <w:iCs/>
          <w:color w:val="000000"/>
        </w:rPr>
        <w:t>Educational and Psychological Measurement</w:t>
      </w:r>
      <w:r w:rsidRPr="001B7914">
        <w:rPr>
          <w:rFonts w:ascii="Garamond" w:hAnsi="Garamond"/>
          <w:color w:val="000000"/>
        </w:rPr>
        <w:t xml:space="preserve">, </w:t>
      </w:r>
      <w:r w:rsidRPr="001B7914">
        <w:rPr>
          <w:rFonts w:ascii="Garamond" w:hAnsi="Garamond"/>
          <w:i/>
          <w:iCs/>
          <w:color w:val="000000"/>
        </w:rPr>
        <w:t>20</w:t>
      </w:r>
      <w:r w:rsidRPr="001B7914">
        <w:rPr>
          <w:rFonts w:ascii="Garamond" w:hAnsi="Garamond"/>
          <w:color w:val="000000"/>
        </w:rPr>
        <w:t xml:space="preserve">(1), 141–151. </w:t>
      </w:r>
      <w:r w:rsidRPr="001B7914">
        <w:rPr>
          <w:rFonts w:ascii="Garamond" w:hAnsi="Garamond"/>
          <w:color w:val="000000"/>
          <w:u w:val="single"/>
        </w:rPr>
        <w:t>https://doi.org/10.1177/001316446002000116</w:t>
      </w:r>
    </w:p>
    <w:p w14:paraId="3F2D4736" w14:textId="77777777" w:rsidR="001B7914" w:rsidRPr="001B7914" w:rsidRDefault="001B7914" w:rsidP="001B7914">
      <w:pPr>
        <w:spacing w:after="0" w:line="240" w:lineRule="auto"/>
        <w:ind w:left="720" w:hanging="720"/>
        <w:rPr>
          <w:rFonts w:ascii="Garamond" w:hAnsi="Garamond"/>
          <w:color w:val="000000"/>
        </w:rPr>
      </w:pPr>
    </w:p>
    <w:p w14:paraId="4711B56A" w14:textId="087D3DC1"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Kaplan, G., </w:t>
      </w:r>
      <w:proofErr w:type="spellStart"/>
      <w:r w:rsidRPr="001B7914">
        <w:rPr>
          <w:rFonts w:ascii="Garamond" w:hAnsi="Garamond"/>
          <w:color w:val="000000"/>
        </w:rPr>
        <w:t>Avdan</w:t>
      </w:r>
      <w:proofErr w:type="spellEnd"/>
      <w:r w:rsidRPr="001B7914">
        <w:rPr>
          <w:rFonts w:ascii="Garamond" w:hAnsi="Garamond"/>
          <w:color w:val="000000"/>
        </w:rPr>
        <w:t xml:space="preserve">, U., &amp; </w:t>
      </w:r>
      <w:proofErr w:type="spellStart"/>
      <w:r w:rsidRPr="001B7914">
        <w:rPr>
          <w:rFonts w:ascii="Garamond" w:hAnsi="Garamond"/>
          <w:color w:val="000000"/>
        </w:rPr>
        <w:t>Avdan</w:t>
      </w:r>
      <w:proofErr w:type="spellEnd"/>
      <w:r w:rsidRPr="001B7914">
        <w:rPr>
          <w:rFonts w:ascii="Garamond" w:hAnsi="Garamond"/>
          <w:color w:val="000000"/>
        </w:rPr>
        <w:t xml:space="preserve">, Z. Y. (2018). Urban </w:t>
      </w:r>
      <w:r w:rsidR="00950867">
        <w:rPr>
          <w:rFonts w:ascii="Garamond" w:hAnsi="Garamond"/>
          <w:color w:val="000000"/>
        </w:rPr>
        <w:t>h</w:t>
      </w:r>
      <w:r w:rsidRPr="001B7914">
        <w:rPr>
          <w:rFonts w:ascii="Garamond" w:hAnsi="Garamond"/>
          <w:color w:val="000000"/>
        </w:rPr>
        <w:t xml:space="preserve">eat </w:t>
      </w:r>
      <w:r w:rsidR="00950867">
        <w:rPr>
          <w:rFonts w:ascii="Garamond" w:hAnsi="Garamond"/>
          <w:color w:val="000000"/>
        </w:rPr>
        <w:t>is</w:t>
      </w:r>
      <w:r w:rsidRPr="001B7914">
        <w:rPr>
          <w:rFonts w:ascii="Garamond" w:hAnsi="Garamond"/>
          <w:color w:val="000000"/>
        </w:rPr>
        <w:t xml:space="preserve">land </w:t>
      </w:r>
      <w:r w:rsidR="00950867">
        <w:rPr>
          <w:rFonts w:ascii="Garamond" w:hAnsi="Garamond"/>
          <w:color w:val="000000"/>
        </w:rPr>
        <w:t>a</w:t>
      </w:r>
      <w:r w:rsidRPr="001B7914">
        <w:rPr>
          <w:rFonts w:ascii="Garamond" w:hAnsi="Garamond"/>
          <w:color w:val="000000"/>
        </w:rPr>
        <w:t xml:space="preserve">nalysis </w:t>
      </w:r>
      <w:r w:rsidR="00950867">
        <w:rPr>
          <w:rFonts w:ascii="Garamond" w:hAnsi="Garamond"/>
          <w:color w:val="000000"/>
        </w:rPr>
        <w:t>u</w:t>
      </w:r>
      <w:r w:rsidRPr="001B7914">
        <w:rPr>
          <w:rFonts w:ascii="Garamond" w:hAnsi="Garamond"/>
          <w:color w:val="000000"/>
        </w:rPr>
        <w:t>sing the Landsat</w:t>
      </w:r>
      <w:r w:rsidR="00950867">
        <w:rPr>
          <w:rFonts w:ascii="Garamond" w:hAnsi="Garamond"/>
          <w:color w:val="000000"/>
        </w:rPr>
        <w:t xml:space="preserve"> 8</w:t>
      </w:r>
      <w:r w:rsidRPr="001B7914">
        <w:rPr>
          <w:rFonts w:ascii="Garamond" w:hAnsi="Garamond"/>
          <w:color w:val="000000"/>
        </w:rPr>
        <w:t xml:space="preserve"> </w:t>
      </w:r>
      <w:r w:rsidR="00950867">
        <w:rPr>
          <w:rFonts w:ascii="Garamond" w:hAnsi="Garamond"/>
          <w:color w:val="000000"/>
        </w:rPr>
        <w:t>s</w:t>
      </w:r>
      <w:r w:rsidRPr="001B7914">
        <w:rPr>
          <w:rFonts w:ascii="Garamond" w:hAnsi="Garamond"/>
          <w:color w:val="000000"/>
        </w:rPr>
        <w:t xml:space="preserve">atellite </w:t>
      </w:r>
      <w:r w:rsidR="00950867">
        <w:rPr>
          <w:rFonts w:ascii="Garamond" w:hAnsi="Garamond"/>
          <w:color w:val="000000"/>
        </w:rPr>
        <w:t>d</w:t>
      </w:r>
      <w:r w:rsidRPr="001B7914">
        <w:rPr>
          <w:rFonts w:ascii="Garamond" w:hAnsi="Garamond"/>
          <w:color w:val="000000"/>
        </w:rPr>
        <w:t xml:space="preserve">ata: </w:t>
      </w:r>
      <w:r w:rsidR="00950867">
        <w:rPr>
          <w:rFonts w:ascii="Garamond" w:hAnsi="Garamond"/>
          <w:color w:val="000000"/>
        </w:rPr>
        <w:t>a</w:t>
      </w:r>
      <w:r w:rsidRPr="001B7914">
        <w:rPr>
          <w:rFonts w:ascii="Garamond" w:hAnsi="Garamond"/>
          <w:color w:val="000000"/>
        </w:rPr>
        <w:t xml:space="preserve"> </w:t>
      </w:r>
      <w:r w:rsidR="00950867">
        <w:rPr>
          <w:rFonts w:ascii="Garamond" w:hAnsi="Garamond"/>
          <w:color w:val="000000"/>
        </w:rPr>
        <w:t>c</w:t>
      </w:r>
      <w:r w:rsidRPr="001B7914">
        <w:rPr>
          <w:rFonts w:ascii="Garamond" w:hAnsi="Garamond"/>
          <w:color w:val="000000"/>
        </w:rPr>
        <w:t xml:space="preserve">ase </w:t>
      </w:r>
      <w:r w:rsidR="00950867">
        <w:rPr>
          <w:rFonts w:ascii="Garamond" w:hAnsi="Garamond"/>
          <w:color w:val="000000"/>
        </w:rPr>
        <w:t>s</w:t>
      </w:r>
      <w:r w:rsidRPr="001B7914">
        <w:rPr>
          <w:rFonts w:ascii="Garamond" w:hAnsi="Garamond"/>
          <w:color w:val="000000"/>
        </w:rPr>
        <w:t xml:space="preserve">tudy in </w:t>
      </w:r>
      <w:r w:rsidR="00950867">
        <w:rPr>
          <w:rFonts w:ascii="Garamond" w:hAnsi="Garamond"/>
          <w:color w:val="000000"/>
        </w:rPr>
        <w:t>S</w:t>
      </w:r>
      <w:r w:rsidRPr="001B7914">
        <w:rPr>
          <w:rFonts w:ascii="Garamond" w:hAnsi="Garamond"/>
          <w:color w:val="000000"/>
        </w:rPr>
        <w:t xml:space="preserve">kopje, Macedonia. </w:t>
      </w:r>
      <w:r w:rsidRPr="001B7914">
        <w:rPr>
          <w:rFonts w:ascii="Garamond" w:hAnsi="Garamond"/>
          <w:i/>
          <w:iCs/>
          <w:color w:val="000000"/>
        </w:rPr>
        <w:t>Proceedings, 2</w:t>
      </w:r>
      <w:r w:rsidRPr="001B7914">
        <w:rPr>
          <w:rFonts w:ascii="Garamond" w:hAnsi="Garamond"/>
          <w:color w:val="000000"/>
        </w:rPr>
        <w:t xml:space="preserve">(258), 1-5. </w:t>
      </w:r>
      <w:r w:rsidRPr="001B7914">
        <w:rPr>
          <w:rFonts w:ascii="Garamond" w:hAnsi="Garamond"/>
          <w:color w:val="000000"/>
          <w:u w:val="single"/>
        </w:rPr>
        <w:t>https://doi.org/10.3390/ecrs-2-05171</w:t>
      </w:r>
    </w:p>
    <w:p w14:paraId="0D697256" w14:textId="77777777" w:rsidR="001B7914" w:rsidRPr="001B7914" w:rsidRDefault="001B7914" w:rsidP="001B7914">
      <w:pPr>
        <w:spacing w:after="0" w:line="240" w:lineRule="auto"/>
        <w:ind w:left="720" w:hanging="720"/>
        <w:rPr>
          <w:rFonts w:ascii="Garamond" w:hAnsi="Garamond"/>
          <w:color w:val="000000"/>
        </w:rPr>
      </w:pPr>
    </w:p>
    <w:p w14:paraId="21540404" w14:textId="4D8B8911"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Kumar, K. S., Bhaskar, P. U., &amp; </w:t>
      </w:r>
      <w:proofErr w:type="spellStart"/>
      <w:r w:rsidRPr="001B7914">
        <w:rPr>
          <w:rFonts w:ascii="Garamond" w:hAnsi="Garamond"/>
          <w:color w:val="000000"/>
        </w:rPr>
        <w:t>Padmakumari</w:t>
      </w:r>
      <w:proofErr w:type="spellEnd"/>
      <w:r w:rsidRPr="001B7914">
        <w:rPr>
          <w:rFonts w:ascii="Garamond" w:hAnsi="Garamond"/>
          <w:color w:val="000000"/>
        </w:rPr>
        <w:t xml:space="preserve">, K. (2012). Estimation of </w:t>
      </w:r>
      <w:r w:rsidR="00950867">
        <w:rPr>
          <w:rFonts w:ascii="Garamond" w:hAnsi="Garamond"/>
          <w:color w:val="000000"/>
        </w:rPr>
        <w:t>l</w:t>
      </w:r>
      <w:r w:rsidRPr="001B7914">
        <w:rPr>
          <w:rFonts w:ascii="Garamond" w:hAnsi="Garamond"/>
          <w:color w:val="000000"/>
        </w:rPr>
        <w:t xml:space="preserve">and </w:t>
      </w:r>
      <w:r w:rsidR="00950867">
        <w:rPr>
          <w:rFonts w:ascii="Garamond" w:hAnsi="Garamond"/>
          <w:color w:val="000000"/>
        </w:rPr>
        <w:t>s</w:t>
      </w:r>
      <w:r w:rsidRPr="001B7914">
        <w:rPr>
          <w:rFonts w:ascii="Garamond" w:hAnsi="Garamond"/>
          <w:color w:val="000000"/>
        </w:rPr>
        <w:t xml:space="preserve">urface </w:t>
      </w:r>
      <w:r w:rsidR="00950867">
        <w:rPr>
          <w:rFonts w:ascii="Garamond" w:hAnsi="Garamond"/>
          <w:color w:val="000000"/>
        </w:rPr>
        <w:t>t</w:t>
      </w:r>
      <w:r w:rsidRPr="001B7914">
        <w:rPr>
          <w:rFonts w:ascii="Garamond" w:hAnsi="Garamond"/>
          <w:color w:val="000000"/>
        </w:rPr>
        <w:t xml:space="preserve">emperature </w:t>
      </w:r>
      <w:r w:rsidR="00950867">
        <w:rPr>
          <w:rFonts w:ascii="Garamond" w:hAnsi="Garamond"/>
          <w:color w:val="000000"/>
        </w:rPr>
        <w:t>t</w:t>
      </w:r>
      <w:r w:rsidRPr="001B7914">
        <w:rPr>
          <w:rFonts w:ascii="Garamond" w:hAnsi="Garamond"/>
          <w:color w:val="000000"/>
        </w:rPr>
        <w:t xml:space="preserve">o </w:t>
      </w:r>
      <w:r w:rsidR="00950867">
        <w:rPr>
          <w:rFonts w:ascii="Garamond" w:hAnsi="Garamond"/>
          <w:color w:val="000000"/>
        </w:rPr>
        <w:t>s</w:t>
      </w:r>
      <w:r w:rsidRPr="001B7914">
        <w:rPr>
          <w:rFonts w:ascii="Garamond" w:hAnsi="Garamond"/>
          <w:color w:val="000000"/>
        </w:rPr>
        <w:t xml:space="preserve">tudy </w:t>
      </w:r>
      <w:r w:rsidR="00950867">
        <w:rPr>
          <w:rFonts w:ascii="Garamond" w:hAnsi="Garamond"/>
          <w:color w:val="000000"/>
        </w:rPr>
        <w:t>u</w:t>
      </w:r>
      <w:r w:rsidRPr="001B7914">
        <w:rPr>
          <w:rFonts w:ascii="Garamond" w:hAnsi="Garamond"/>
          <w:color w:val="000000"/>
        </w:rPr>
        <w:t xml:space="preserve">rban </w:t>
      </w:r>
      <w:r w:rsidR="00950867">
        <w:rPr>
          <w:rFonts w:ascii="Garamond" w:hAnsi="Garamond"/>
          <w:color w:val="000000"/>
        </w:rPr>
        <w:t>h</w:t>
      </w:r>
      <w:r w:rsidRPr="001B7914">
        <w:rPr>
          <w:rFonts w:ascii="Garamond" w:hAnsi="Garamond"/>
          <w:color w:val="000000"/>
        </w:rPr>
        <w:t xml:space="preserve">eat </w:t>
      </w:r>
      <w:r w:rsidR="00950867">
        <w:rPr>
          <w:rFonts w:ascii="Garamond" w:hAnsi="Garamond"/>
          <w:color w:val="000000"/>
        </w:rPr>
        <w:t>i</w:t>
      </w:r>
      <w:r w:rsidRPr="001B7914">
        <w:rPr>
          <w:rFonts w:ascii="Garamond" w:hAnsi="Garamond"/>
          <w:color w:val="000000"/>
        </w:rPr>
        <w:t xml:space="preserve">sland </w:t>
      </w:r>
      <w:r w:rsidR="00950867">
        <w:rPr>
          <w:rFonts w:ascii="Garamond" w:hAnsi="Garamond"/>
          <w:color w:val="000000"/>
        </w:rPr>
        <w:t>e</w:t>
      </w:r>
      <w:r w:rsidRPr="001B7914">
        <w:rPr>
          <w:rFonts w:ascii="Garamond" w:hAnsi="Garamond"/>
          <w:color w:val="000000"/>
        </w:rPr>
        <w:t xml:space="preserve">ffect </w:t>
      </w:r>
      <w:r w:rsidR="00950867">
        <w:rPr>
          <w:rFonts w:ascii="Garamond" w:hAnsi="Garamond"/>
          <w:color w:val="000000"/>
        </w:rPr>
        <w:t>u</w:t>
      </w:r>
      <w:r w:rsidRPr="001B7914">
        <w:rPr>
          <w:rFonts w:ascii="Garamond" w:hAnsi="Garamond"/>
          <w:color w:val="000000"/>
        </w:rPr>
        <w:t xml:space="preserve">sing Landsat ETM+ </w:t>
      </w:r>
      <w:r w:rsidR="00950867">
        <w:rPr>
          <w:rFonts w:ascii="Garamond" w:hAnsi="Garamond"/>
          <w:color w:val="000000"/>
        </w:rPr>
        <w:t>i</w:t>
      </w:r>
      <w:r w:rsidRPr="001B7914">
        <w:rPr>
          <w:rFonts w:ascii="Garamond" w:hAnsi="Garamond"/>
          <w:color w:val="000000"/>
        </w:rPr>
        <w:t xml:space="preserve">mage. </w:t>
      </w:r>
      <w:r w:rsidRPr="001B7914">
        <w:rPr>
          <w:rFonts w:ascii="Garamond" w:hAnsi="Garamond"/>
          <w:i/>
          <w:iCs/>
          <w:color w:val="000000"/>
        </w:rPr>
        <w:t>International Journal of Engineering Science and Technology</w:t>
      </w:r>
      <w:r w:rsidRPr="001B7914">
        <w:rPr>
          <w:rFonts w:ascii="Garamond" w:hAnsi="Garamond"/>
          <w:color w:val="000000"/>
        </w:rPr>
        <w:t xml:space="preserve">, </w:t>
      </w:r>
      <w:r w:rsidRPr="001B7914">
        <w:rPr>
          <w:rFonts w:ascii="Garamond" w:hAnsi="Garamond"/>
          <w:i/>
          <w:iCs/>
          <w:color w:val="000000"/>
        </w:rPr>
        <w:t>4</w:t>
      </w:r>
      <w:r w:rsidRPr="001B7914">
        <w:rPr>
          <w:rFonts w:ascii="Garamond" w:hAnsi="Garamond"/>
          <w:color w:val="000000"/>
        </w:rPr>
        <w:t>(02), 771-778</w:t>
      </w:r>
    </w:p>
    <w:p w14:paraId="2F2ADED4" w14:textId="77777777" w:rsidR="001B7914" w:rsidRPr="001B7914" w:rsidRDefault="001B7914" w:rsidP="001B7914">
      <w:pPr>
        <w:spacing w:after="0" w:line="240" w:lineRule="auto"/>
        <w:ind w:left="720" w:hanging="720"/>
        <w:rPr>
          <w:rFonts w:ascii="Garamond" w:hAnsi="Garamond"/>
          <w:color w:val="000000"/>
        </w:rPr>
      </w:pPr>
    </w:p>
    <w:p w14:paraId="1AB32889" w14:textId="67C29C71"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Lugo-Amador, N. M., </w:t>
      </w:r>
      <w:proofErr w:type="spellStart"/>
      <w:r w:rsidRPr="001B7914">
        <w:rPr>
          <w:rFonts w:ascii="Garamond" w:hAnsi="Garamond"/>
          <w:color w:val="000000"/>
        </w:rPr>
        <w:t>Rothenhaus</w:t>
      </w:r>
      <w:proofErr w:type="spellEnd"/>
      <w:r w:rsidRPr="001B7914">
        <w:rPr>
          <w:rFonts w:ascii="Garamond" w:hAnsi="Garamond"/>
          <w:color w:val="000000"/>
        </w:rPr>
        <w:t xml:space="preserve">, T., &amp; Moyer, P. (2004). Heat-related illness. </w:t>
      </w:r>
      <w:r w:rsidRPr="00F74A1B">
        <w:rPr>
          <w:rFonts w:ascii="Garamond" w:hAnsi="Garamond"/>
          <w:i/>
          <w:iCs/>
          <w:color w:val="000000"/>
        </w:rPr>
        <w:t xml:space="preserve">Emergency </w:t>
      </w:r>
      <w:r w:rsidR="00F74A1B" w:rsidRPr="00F74A1B">
        <w:rPr>
          <w:rFonts w:ascii="Garamond" w:hAnsi="Garamond"/>
          <w:i/>
          <w:iCs/>
          <w:color w:val="000000"/>
        </w:rPr>
        <w:t>M</w:t>
      </w:r>
      <w:r w:rsidRPr="00F74A1B">
        <w:rPr>
          <w:rFonts w:ascii="Garamond" w:hAnsi="Garamond"/>
          <w:i/>
          <w:iCs/>
          <w:color w:val="000000"/>
        </w:rPr>
        <w:t xml:space="preserve">edicine </w:t>
      </w:r>
      <w:r w:rsidR="00F74A1B" w:rsidRPr="00F74A1B">
        <w:rPr>
          <w:rFonts w:ascii="Garamond" w:hAnsi="Garamond"/>
          <w:i/>
          <w:iCs/>
          <w:color w:val="000000"/>
        </w:rPr>
        <w:t>C</w:t>
      </w:r>
      <w:r w:rsidRPr="00F74A1B">
        <w:rPr>
          <w:rFonts w:ascii="Garamond" w:hAnsi="Garamond"/>
          <w:i/>
          <w:iCs/>
          <w:color w:val="000000"/>
        </w:rPr>
        <w:t>linics of North America</w:t>
      </w:r>
      <w:r w:rsidRPr="001B7914">
        <w:rPr>
          <w:rFonts w:ascii="Garamond" w:hAnsi="Garamond"/>
          <w:color w:val="000000"/>
        </w:rPr>
        <w:t xml:space="preserve">, </w:t>
      </w:r>
      <w:r w:rsidRPr="001B7914">
        <w:rPr>
          <w:rFonts w:ascii="Garamond" w:hAnsi="Garamond"/>
          <w:i/>
          <w:iCs/>
          <w:color w:val="000000"/>
        </w:rPr>
        <w:t>22</w:t>
      </w:r>
      <w:r w:rsidRPr="001B7914">
        <w:rPr>
          <w:rFonts w:ascii="Garamond" w:hAnsi="Garamond"/>
          <w:color w:val="000000"/>
        </w:rPr>
        <w:t>(2), 315–</w:t>
      </w:r>
      <w:r w:rsidR="00F74A1B">
        <w:rPr>
          <w:rFonts w:ascii="Garamond" w:hAnsi="Garamond"/>
          <w:color w:val="000000"/>
        </w:rPr>
        <w:t>3</w:t>
      </w:r>
      <w:r w:rsidRPr="001B7914">
        <w:rPr>
          <w:rFonts w:ascii="Garamond" w:hAnsi="Garamond"/>
          <w:color w:val="000000"/>
        </w:rPr>
        <w:t xml:space="preserve">27. </w:t>
      </w:r>
      <w:r w:rsidRPr="001B7914">
        <w:rPr>
          <w:rFonts w:ascii="Garamond" w:hAnsi="Garamond"/>
          <w:color w:val="000000"/>
          <w:u w:val="single"/>
        </w:rPr>
        <w:t>https://doi.org/10.1016/j.emc.2004.01.004</w:t>
      </w:r>
    </w:p>
    <w:p w14:paraId="6626C81D" w14:textId="77777777" w:rsidR="001B7914" w:rsidRPr="001B7914" w:rsidRDefault="001B7914" w:rsidP="001B7914">
      <w:pPr>
        <w:spacing w:after="0" w:line="240" w:lineRule="auto"/>
        <w:ind w:left="720" w:hanging="720"/>
        <w:rPr>
          <w:rFonts w:ascii="Garamond" w:hAnsi="Garamond"/>
          <w:color w:val="000000"/>
        </w:rPr>
      </w:pPr>
    </w:p>
    <w:p w14:paraId="78D7F126" w14:textId="77777777" w:rsidR="001B7914" w:rsidRPr="001B7914" w:rsidRDefault="001B7914" w:rsidP="001B7914">
      <w:pPr>
        <w:spacing w:after="0" w:line="240" w:lineRule="auto"/>
        <w:ind w:left="720" w:hanging="720"/>
        <w:rPr>
          <w:rFonts w:ascii="Garamond" w:hAnsi="Garamond"/>
          <w:color w:val="000000"/>
        </w:rPr>
      </w:pPr>
      <w:proofErr w:type="spellStart"/>
      <w:r w:rsidRPr="001B7914">
        <w:rPr>
          <w:rFonts w:ascii="Garamond" w:hAnsi="Garamond"/>
          <w:color w:val="000000"/>
        </w:rPr>
        <w:t>McGeehin</w:t>
      </w:r>
      <w:proofErr w:type="spellEnd"/>
      <w:r w:rsidRPr="001B7914">
        <w:rPr>
          <w:rFonts w:ascii="Garamond" w:hAnsi="Garamond"/>
          <w:color w:val="000000"/>
        </w:rPr>
        <w:t xml:space="preserve">, M. A., &amp; </w:t>
      </w:r>
      <w:proofErr w:type="spellStart"/>
      <w:r w:rsidRPr="001B7914">
        <w:rPr>
          <w:rFonts w:ascii="Garamond" w:hAnsi="Garamond"/>
          <w:color w:val="000000"/>
        </w:rPr>
        <w:t>Mirabelli</w:t>
      </w:r>
      <w:proofErr w:type="spellEnd"/>
      <w:r w:rsidRPr="001B7914">
        <w:rPr>
          <w:rFonts w:ascii="Garamond" w:hAnsi="Garamond"/>
          <w:color w:val="000000"/>
        </w:rPr>
        <w:t xml:space="preserve">, M. (2001). The potential impacts of climate variability and change on temperature-related morbidity and mortality in the United States. </w:t>
      </w:r>
      <w:r w:rsidRPr="001B7914">
        <w:rPr>
          <w:rFonts w:ascii="Garamond" w:hAnsi="Garamond"/>
          <w:i/>
          <w:iCs/>
          <w:color w:val="000000"/>
        </w:rPr>
        <w:t>Environmental Health Perspectives</w:t>
      </w:r>
      <w:r w:rsidRPr="001B7914">
        <w:rPr>
          <w:rFonts w:ascii="Garamond" w:hAnsi="Garamond"/>
          <w:color w:val="000000"/>
        </w:rPr>
        <w:t xml:space="preserve">, </w:t>
      </w:r>
      <w:r w:rsidRPr="001B7914">
        <w:rPr>
          <w:rFonts w:ascii="Garamond" w:hAnsi="Garamond"/>
          <w:i/>
          <w:iCs/>
          <w:color w:val="000000"/>
        </w:rPr>
        <w:t>109</w:t>
      </w:r>
      <w:r w:rsidRPr="001B7914">
        <w:rPr>
          <w:rFonts w:ascii="Garamond" w:hAnsi="Garamond"/>
          <w:color w:val="000000"/>
        </w:rPr>
        <w:t xml:space="preserve"> Suppl 2, 185–189. </w:t>
      </w:r>
      <w:r w:rsidRPr="001B7914">
        <w:rPr>
          <w:rFonts w:ascii="Garamond" w:hAnsi="Garamond"/>
          <w:color w:val="000000"/>
          <w:u w:val="single"/>
        </w:rPr>
        <w:t>https://doi.org/10.1289/ehp.109-1240665</w:t>
      </w:r>
    </w:p>
    <w:p w14:paraId="0F4B3F3C" w14:textId="77777777" w:rsidR="001B7914" w:rsidRPr="001B7914" w:rsidRDefault="001B7914" w:rsidP="001B7914">
      <w:pPr>
        <w:spacing w:after="0" w:line="240" w:lineRule="auto"/>
        <w:ind w:left="720" w:hanging="720"/>
        <w:rPr>
          <w:rFonts w:ascii="Garamond" w:hAnsi="Garamond"/>
          <w:color w:val="000000"/>
        </w:rPr>
      </w:pPr>
    </w:p>
    <w:p w14:paraId="54C5A129" w14:textId="77777777" w:rsidR="001B7914" w:rsidRPr="001B7914" w:rsidRDefault="001B7914" w:rsidP="001B7914">
      <w:pPr>
        <w:spacing w:after="0" w:line="240" w:lineRule="auto"/>
        <w:ind w:left="720" w:hanging="720"/>
        <w:rPr>
          <w:rFonts w:ascii="Garamond" w:hAnsi="Garamond"/>
          <w:color w:val="000000"/>
        </w:rPr>
      </w:pPr>
      <w:proofErr w:type="spellStart"/>
      <w:r w:rsidRPr="001B7914">
        <w:rPr>
          <w:rFonts w:ascii="Garamond" w:hAnsi="Garamond"/>
          <w:color w:val="000000"/>
        </w:rPr>
        <w:t>Mushore</w:t>
      </w:r>
      <w:proofErr w:type="spellEnd"/>
      <w:r w:rsidRPr="001B7914">
        <w:rPr>
          <w:rFonts w:ascii="Garamond" w:hAnsi="Garamond"/>
          <w:color w:val="000000"/>
        </w:rPr>
        <w:t xml:space="preserve">, T. D., </w:t>
      </w:r>
      <w:proofErr w:type="spellStart"/>
      <w:r w:rsidRPr="001B7914">
        <w:rPr>
          <w:rFonts w:ascii="Garamond" w:hAnsi="Garamond"/>
          <w:color w:val="000000"/>
        </w:rPr>
        <w:t>Mutanga</w:t>
      </w:r>
      <w:proofErr w:type="spellEnd"/>
      <w:r w:rsidRPr="001B7914">
        <w:rPr>
          <w:rFonts w:ascii="Garamond" w:hAnsi="Garamond"/>
          <w:color w:val="000000"/>
        </w:rPr>
        <w:t xml:space="preserve">, O., </w:t>
      </w:r>
      <w:proofErr w:type="spellStart"/>
      <w:r w:rsidRPr="001B7914">
        <w:rPr>
          <w:rFonts w:ascii="Garamond" w:hAnsi="Garamond"/>
          <w:color w:val="000000"/>
        </w:rPr>
        <w:t>Odindi</w:t>
      </w:r>
      <w:proofErr w:type="spellEnd"/>
      <w:r w:rsidRPr="001B7914">
        <w:rPr>
          <w:rFonts w:ascii="Garamond" w:hAnsi="Garamond"/>
          <w:color w:val="000000"/>
        </w:rPr>
        <w:t xml:space="preserve">, J., &amp; Dube, T. (2018). Determining extreme heat vulnerability of Harare Metropolitan City using multispectral remote sensing and socio-economic data. </w:t>
      </w:r>
      <w:r w:rsidRPr="00F74A1B">
        <w:rPr>
          <w:rFonts w:ascii="Garamond" w:hAnsi="Garamond"/>
          <w:i/>
          <w:iCs/>
          <w:color w:val="000000"/>
        </w:rPr>
        <w:t>Journal of Spatial Science, 63</w:t>
      </w:r>
      <w:r w:rsidRPr="00F74A1B">
        <w:rPr>
          <w:rFonts w:ascii="Garamond" w:hAnsi="Garamond"/>
          <w:color w:val="000000"/>
        </w:rPr>
        <w:t>(</w:t>
      </w:r>
      <w:r w:rsidRPr="001B7914">
        <w:rPr>
          <w:rFonts w:ascii="Garamond" w:hAnsi="Garamond"/>
          <w:color w:val="000000"/>
        </w:rPr>
        <w:t xml:space="preserve">1), 173–191. </w:t>
      </w:r>
      <w:r w:rsidRPr="001B7914">
        <w:rPr>
          <w:rFonts w:ascii="Garamond" w:hAnsi="Garamond"/>
          <w:color w:val="000000"/>
          <w:u w:val="single"/>
        </w:rPr>
        <w:t>https://doi.org/10.1080/14498596.2017.1290558</w:t>
      </w:r>
    </w:p>
    <w:p w14:paraId="3CC47CDC" w14:textId="77777777" w:rsidR="001B7914" w:rsidRPr="001B7914" w:rsidRDefault="001B7914" w:rsidP="001B7914">
      <w:pPr>
        <w:spacing w:after="0" w:line="240" w:lineRule="auto"/>
        <w:ind w:left="720" w:hanging="720"/>
        <w:rPr>
          <w:rFonts w:ascii="Garamond" w:hAnsi="Garamond"/>
          <w:color w:val="000000"/>
        </w:rPr>
      </w:pPr>
    </w:p>
    <w:p w14:paraId="58F6CB07" w14:textId="70C63A55" w:rsidR="001B7914" w:rsidRPr="00F74A1B" w:rsidRDefault="001B7914" w:rsidP="00F74A1B">
      <w:pPr>
        <w:spacing w:after="0" w:line="240" w:lineRule="auto"/>
        <w:ind w:left="720" w:hanging="720"/>
        <w:rPr>
          <w:rFonts w:ascii="Garamond" w:hAnsi="Garamond"/>
          <w:color w:val="000000"/>
          <w:u w:val="single"/>
        </w:rPr>
      </w:pPr>
      <w:proofErr w:type="spellStart"/>
      <w:r w:rsidRPr="001B7914">
        <w:rPr>
          <w:rFonts w:ascii="Garamond" w:hAnsi="Garamond"/>
          <w:color w:val="000000"/>
        </w:rPr>
        <w:t>Oke</w:t>
      </w:r>
      <w:proofErr w:type="spellEnd"/>
      <w:r w:rsidRPr="001B7914">
        <w:rPr>
          <w:rFonts w:ascii="Garamond" w:hAnsi="Garamond"/>
          <w:color w:val="000000"/>
        </w:rPr>
        <w:t xml:space="preserve">, T.R. (1982). The energetic basis of the urban heat island. </w:t>
      </w:r>
      <w:r w:rsidRPr="001B7914">
        <w:rPr>
          <w:rFonts w:ascii="Garamond" w:hAnsi="Garamond"/>
          <w:i/>
          <w:iCs/>
          <w:color w:val="000000"/>
        </w:rPr>
        <w:t>Quarterly Journal of the Royal Meteorological Society</w:t>
      </w:r>
      <w:r w:rsidRPr="001B7914">
        <w:rPr>
          <w:rFonts w:ascii="Garamond" w:hAnsi="Garamond"/>
          <w:color w:val="000000"/>
        </w:rPr>
        <w:t xml:space="preserve">, </w:t>
      </w:r>
      <w:r w:rsidRPr="001B7914">
        <w:rPr>
          <w:rFonts w:ascii="Garamond" w:hAnsi="Garamond"/>
          <w:i/>
          <w:iCs/>
          <w:color w:val="000000"/>
        </w:rPr>
        <w:t>108</w:t>
      </w:r>
      <w:r w:rsidRPr="001B7914">
        <w:rPr>
          <w:rFonts w:ascii="Garamond" w:hAnsi="Garamond"/>
          <w:color w:val="000000"/>
        </w:rPr>
        <w:t xml:space="preserve">, 1-24. </w:t>
      </w:r>
      <w:r w:rsidR="00F74A1B" w:rsidRPr="00F74A1B">
        <w:rPr>
          <w:rFonts w:ascii="Garamond" w:hAnsi="Garamond"/>
          <w:color w:val="000000"/>
          <w:u w:val="single"/>
        </w:rPr>
        <w:t>https://doi.org/10.1002/qj.49710845502</w:t>
      </w:r>
    </w:p>
    <w:p w14:paraId="0ED7B3D9" w14:textId="77777777" w:rsidR="001B7914" w:rsidRPr="001B7914" w:rsidRDefault="001B7914" w:rsidP="001B7914">
      <w:pPr>
        <w:spacing w:after="0" w:line="240" w:lineRule="auto"/>
        <w:ind w:left="720" w:hanging="720"/>
        <w:rPr>
          <w:rFonts w:ascii="Garamond" w:hAnsi="Garamond"/>
          <w:color w:val="000000"/>
        </w:rPr>
      </w:pPr>
    </w:p>
    <w:p w14:paraId="041B3951" w14:textId="2B7E10DC" w:rsidR="001B7914" w:rsidRPr="001B7914" w:rsidRDefault="001B7914" w:rsidP="001B7914">
      <w:pPr>
        <w:spacing w:after="0" w:line="240" w:lineRule="auto"/>
        <w:ind w:left="720" w:hanging="720"/>
        <w:rPr>
          <w:rFonts w:ascii="Garamond" w:hAnsi="Garamond"/>
          <w:color w:val="000000"/>
        </w:rPr>
      </w:pPr>
      <w:r w:rsidRPr="001D6AFB">
        <w:rPr>
          <w:rFonts w:ascii="Garamond" w:hAnsi="Garamond"/>
          <w:color w:val="000000"/>
        </w:rPr>
        <w:t>Olmedo, G. F., Ortega-</w:t>
      </w:r>
      <w:proofErr w:type="spellStart"/>
      <w:r w:rsidRPr="001D6AFB">
        <w:rPr>
          <w:rFonts w:ascii="Garamond" w:hAnsi="Garamond"/>
          <w:color w:val="000000"/>
        </w:rPr>
        <w:t>Farías</w:t>
      </w:r>
      <w:proofErr w:type="spellEnd"/>
      <w:r w:rsidRPr="001D6AFB">
        <w:rPr>
          <w:rFonts w:ascii="Garamond" w:hAnsi="Garamond"/>
          <w:color w:val="000000"/>
        </w:rPr>
        <w:t>, S., de la Fuente-</w:t>
      </w:r>
      <w:proofErr w:type="spellStart"/>
      <w:r w:rsidRPr="001D6AFB">
        <w:rPr>
          <w:rFonts w:ascii="Garamond" w:hAnsi="Garamond"/>
          <w:color w:val="000000"/>
        </w:rPr>
        <w:t>Sáiz</w:t>
      </w:r>
      <w:proofErr w:type="spellEnd"/>
      <w:r w:rsidRPr="001D6AFB">
        <w:rPr>
          <w:rFonts w:ascii="Garamond" w:hAnsi="Garamond"/>
          <w:color w:val="000000"/>
        </w:rPr>
        <w:t>, D., Fonseca-</w:t>
      </w:r>
      <w:proofErr w:type="spellStart"/>
      <w:r w:rsidRPr="001D6AFB">
        <w:rPr>
          <w:rFonts w:ascii="Garamond" w:hAnsi="Garamond"/>
          <w:color w:val="000000"/>
        </w:rPr>
        <w:t>Luego</w:t>
      </w:r>
      <w:proofErr w:type="spellEnd"/>
      <w:r w:rsidRPr="001D6AFB">
        <w:rPr>
          <w:rFonts w:ascii="Garamond" w:hAnsi="Garamond"/>
          <w:color w:val="000000"/>
        </w:rPr>
        <w:t>, D. &amp; Fuentes-</w:t>
      </w:r>
      <w:proofErr w:type="spellStart"/>
      <w:r w:rsidRPr="001D6AFB">
        <w:rPr>
          <w:rFonts w:ascii="Garamond" w:hAnsi="Garamond"/>
          <w:color w:val="000000"/>
        </w:rPr>
        <w:t>Peñailillo</w:t>
      </w:r>
      <w:proofErr w:type="spellEnd"/>
      <w:r w:rsidRPr="001D6AFB">
        <w:rPr>
          <w:rFonts w:ascii="Garamond" w:hAnsi="Garamond"/>
          <w:color w:val="000000"/>
        </w:rPr>
        <w:t xml:space="preserve">, F. (2016) </w:t>
      </w:r>
      <w:r w:rsidR="00F74A1B">
        <w:rPr>
          <w:rFonts w:ascii="Garamond" w:hAnsi="Garamond"/>
          <w:color w:val="000000"/>
        </w:rPr>
        <w:t xml:space="preserve">Water: tools and function to estimate actual evapotranspiration using land surface energy balance models in R. </w:t>
      </w:r>
      <w:r w:rsidRPr="001D6AFB">
        <w:rPr>
          <w:rFonts w:ascii="Garamond" w:hAnsi="Garamond"/>
          <w:i/>
          <w:iCs/>
          <w:color w:val="000000"/>
        </w:rPr>
        <w:t>The R Journal</w:t>
      </w:r>
      <w:r w:rsidRPr="001D6AFB">
        <w:rPr>
          <w:rFonts w:ascii="Garamond" w:hAnsi="Garamond"/>
          <w:color w:val="000000"/>
        </w:rPr>
        <w:t>, 8:2, 352-369.</w:t>
      </w:r>
    </w:p>
    <w:p w14:paraId="237295B8" w14:textId="77777777" w:rsidR="001B7914" w:rsidRPr="001B7914" w:rsidRDefault="001B7914" w:rsidP="001B7914">
      <w:pPr>
        <w:spacing w:after="0" w:line="240" w:lineRule="auto"/>
        <w:ind w:left="720" w:hanging="720"/>
        <w:rPr>
          <w:rFonts w:ascii="Garamond" w:hAnsi="Garamond"/>
          <w:color w:val="000000"/>
        </w:rPr>
      </w:pPr>
    </w:p>
    <w:p w14:paraId="7DE67DA5" w14:textId="77777777" w:rsidR="001B7914" w:rsidRPr="001B7914" w:rsidRDefault="001B7914" w:rsidP="001B7914">
      <w:pPr>
        <w:spacing w:after="0" w:line="240" w:lineRule="auto"/>
        <w:ind w:left="720" w:hanging="720"/>
        <w:rPr>
          <w:rFonts w:ascii="Garamond" w:hAnsi="Garamond"/>
          <w:color w:val="000000"/>
          <w:u w:val="single"/>
        </w:rPr>
      </w:pPr>
      <w:r w:rsidRPr="001B7914">
        <w:rPr>
          <w:rFonts w:ascii="Garamond" w:hAnsi="Garamond"/>
          <w:color w:val="000000"/>
        </w:rPr>
        <w:t xml:space="preserve">City of Philadelphia, Office of Sustainability (2019). Beat the Heat - Hunting Park. Retrieved February 20, 2019 from </w:t>
      </w:r>
      <w:r w:rsidRPr="001B7914">
        <w:rPr>
          <w:rFonts w:ascii="Garamond" w:hAnsi="Garamond"/>
          <w:color w:val="000000"/>
          <w:u w:val="single"/>
        </w:rPr>
        <w:t>https://www.phila.gov/media/20190719092954/HP_R8print-1.pdf</w:t>
      </w:r>
    </w:p>
    <w:p w14:paraId="0E6F1FED" w14:textId="77777777" w:rsidR="001B7914" w:rsidRPr="001B7914" w:rsidRDefault="001B7914" w:rsidP="001B7914">
      <w:pPr>
        <w:spacing w:after="0" w:line="240" w:lineRule="auto"/>
        <w:ind w:left="720" w:hanging="720"/>
        <w:rPr>
          <w:rFonts w:ascii="Garamond" w:hAnsi="Garamond"/>
          <w:color w:val="000000"/>
        </w:rPr>
      </w:pPr>
    </w:p>
    <w:p w14:paraId="582879AC" w14:textId="1B94BFA8"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Steadman, R (1984). A universal scale of apparent temperature. </w:t>
      </w:r>
      <w:r w:rsidRPr="001B7914">
        <w:rPr>
          <w:rFonts w:ascii="Garamond" w:hAnsi="Garamond"/>
          <w:i/>
          <w:iCs/>
          <w:color w:val="000000"/>
        </w:rPr>
        <w:t>Journal of Climate and Applied Meteorology, 23</w:t>
      </w:r>
      <w:r w:rsidRPr="001B7914">
        <w:rPr>
          <w:rFonts w:ascii="Garamond" w:hAnsi="Garamond"/>
          <w:color w:val="000000"/>
        </w:rPr>
        <w:t xml:space="preserve">, 1674–1687. </w:t>
      </w:r>
      <w:r w:rsidR="00F74A1B" w:rsidRPr="00F74A1B">
        <w:rPr>
          <w:rFonts w:ascii="Garamond" w:hAnsi="Garamond"/>
          <w:color w:val="000000"/>
          <w:u w:val="single"/>
        </w:rPr>
        <w:t>https://doi.org/10.1175/1520-</w:t>
      </w:r>
      <w:proofErr w:type="gramStart"/>
      <w:r w:rsidR="00F74A1B" w:rsidRPr="00F74A1B">
        <w:rPr>
          <w:rFonts w:ascii="Garamond" w:hAnsi="Garamond"/>
          <w:color w:val="000000"/>
          <w:u w:val="single"/>
        </w:rPr>
        <w:t>0450(</w:t>
      </w:r>
      <w:proofErr w:type="gramEnd"/>
      <w:r w:rsidR="00F74A1B" w:rsidRPr="00F74A1B">
        <w:rPr>
          <w:rFonts w:ascii="Garamond" w:hAnsi="Garamond"/>
          <w:color w:val="000000"/>
          <w:u w:val="single"/>
        </w:rPr>
        <w:t>1984)023&lt;1674:AUSOAT&gt;2.0.CO;2</w:t>
      </w:r>
    </w:p>
    <w:p w14:paraId="23D0ACA1" w14:textId="77777777" w:rsidR="001B7914" w:rsidRPr="001B7914" w:rsidRDefault="001B7914" w:rsidP="001B7914">
      <w:pPr>
        <w:spacing w:after="0" w:line="240" w:lineRule="auto"/>
        <w:ind w:left="720" w:hanging="720"/>
        <w:rPr>
          <w:rFonts w:ascii="Garamond" w:hAnsi="Garamond"/>
          <w:color w:val="000000"/>
        </w:rPr>
      </w:pPr>
    </w:p>
    <w:p w14:paraId="177B5A9B" w14:textId="77777777" w:rsidR="001B7914" w:rsidRPr="001B7914" w:rsidRDefault="001B7914" w:rsidP="001B7914">
      <w:pPr>
        <w:spacing w:after="0" w:line="240" w:lineRule="auto"/>
        <w:ind w:left="720" w:hanging="720"/>
        <w:rPr>
          <w:rFonts w:ascii="Garamond" w:hAnsi="Garamond"/>
          <w:color w:val="000000"/>
        </w:rPr>
      </w:pPr>
      <w:proofErr w:type="spellStart"/>
      <w:r w:rsidRPr="001B7914">
        <w:rPr>
          <w:rFonts w:ascii="Garamond" w:hAnsi="Garamond"/>
          <w:color w:val="000000"/>
        </w:rPr>
        <w:t>Uejio</w:t>
      </w:r>
      <w:proofErr w:type="spellEnd"/>
      <w:r w:rsidRPr="001B7914">
        <w:rPr>
          <w:rFonts w:ascii="Garamond" w:hAnsi="Garamond"/>
          <w:color w:val="000000"/>
        </w:rPr>
        <w:t xml:space="preserve">, C. K., </w:t>
      </w:r>
      <w:proofErr w:type="spellStart"/>
      <w:r w:rsidRPr="001B7914">
        <w:rPr>
          <w:rFonts w:ascii="Garamond" w:hAnsi="Garamond"/>
          <w:color w:val="000000"/>
        </w:rPr>
        <w:t>Wilhelmi</w:t>
      </w:r>
      <w:proofErr w:type="spellEnd"/>
      <w:r w:rsidRPr="001B7914">
        <w:rPr>
          <w:rFonts w:ascii="Garamond" w:hAnsi="Garamond"/>
          <w:color w:val="000000"/>
        </w:rPr>
        <w:t xml:space="preserve">, O. V., Golden, J. S., Mills, D. M., </w:t>
      </w:r>
      <w:proofErr w:type="spellStart"/>
      <w:r w:rsidRPr="001B7914">
        <w:rPr>
          <w:rFonts w:ascii="Garamond" w:hAnsi="Garamond"/>
          <w:color w:val="000000"/>
        </w:rPr>
        <w:t>Gulino</w:t>
      </w:r>
      <w:proofErr w:type="spellEnd"/>
      <w:r w:rsidRPr="001B7914">
        <w:rPr>
          <w:rFonts w:ascii="Garamond" w:hAnsi="Garamond"/>
          <w:color w:val="000000"/>
        </w:rPr>
        <w:t xml:space="preserve">, S. P., &amp; </w:t>
      </w:r>
      <w:proofErr w:type="spellStart"/>
      <w:r w:rsidRPr="001B7914">
        <w:rPr>
          <w:rFonts w:ascii="Garamond" w:hAnsi="Garamond"/>
          <w:color w:val="000000"/>
        </w:rPr>
        <w:t>Samenow</w:t>
      </w:r>
      <w:proofErr w:type="spellEnd"/>
      <w:r w:rsidRPr="001B7914">
        <w:rPr>
          <w:rFonts w:ascii="Garamond" w:hAnsi="Garamond"/>
          <w:color w:val="000000"/>
        </w:rPr>
        <w:t xml:space="preserve">, J. P. (2011). Intra-urban societal vulnerability to extreme heat: the role of heat exposure and the built environment, socioeconomics, and neighborhood stability. Health &amp; place, 17(2), 498-507. </w:t>
      </w:r>
      <w:r w:rsidRPr="001B7914">
        <w:rPr>
          <w:rFonts w:ascii="Garamond" w:hAnsi="Garamond"/>
          <w:color w:val="000000"/>
          <w:u w:val="single"/>
        </w:rPr>
        <w:t>https://doi.org/10.1016/j.healthplace.2010.12.005</w:t>
      </w:r>
    </w:p>
    <w:p w14:paraId="724FB609" w14:textId="77777777" w:rsidR="001B7914" w:rsidRPr="001B7914" w:rsidRDefault="001B7914" w:rsidP="001B7914">
      <w:pPr>
        <w:spacing w:after="0" w:line="240" w:lineRule="auto"/>
        <w:ind w:left="720" w:hanging="720"/>
        <w:rPr>
          <w:rFonts w:ascii="Garamond" w:hAnsi="Garamond"/>
          <w:color w:val="000000"/>
        </w:rPr>
      </w:pPr>
    </w:p>
    <w:p w14:paraId="77076D47"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U.S. Geological Survey Earth Resources Observation </w:t>
      </w:r>
      <w:proofErr w:type="gramStart"/>
      <w:r w:rsidRPr="001B7914">
        <w:rPr>
          <w:rFonts w:ascii="Garamond" w:hAnsi="Garamond"/>
          <w:color w:val="000000"/>
        </w:rPr>
        <w:t>And</w:t>
      </w:r>
      <w:proofErr w:type="gramEnd"/>
      <w:r w:rsidRPr="001B7914">
        <w:rPr>
          <w:rFonts w:ascii="Garamond" w:hAnsi="Garamond"/>
          <w:color w:val="000000"/>
        </w:rPr>
        <w:t xml:space="preserve"> Science Center. (2014). Landsat 8 OLI Level-2 Surface Reflectance (SR) Science Product [Data set]. U.S. Geological Survey. </w:t>
      </w:r>
      <w:r w:rsidRPr="001B7914">
        <w:rPr>
          <w:rFonts w:ascii="Garamond" w:hAnsi="Garamond"/>
          <w:color w:val="000000"/>
          <w:u w:val="single"/>
        </w:rPr>
        <w:t>https://doi.org/10.5066/f78s4mzj</w:t>
      </w:r>
    </w:p>
    <w:p w14:paraId="72F8404A" w14:textId="77777777" w:rsidR="001B7914" w:rsidRPr="001B7914" w:rsidRDefault="001B7914" w:rsidP="001B7914">
      <w:pPr>
        <w:spacing w:after="0" w:line="240" w:lineRule="auto"/>
        <w:ind w:left="720" w:hanging="720"/>
        <w:rPr>
          <w:rFonts w:ascii="Garamond" w:hAnsi="Garamond"/>
          <w:color w:val="000000"/>
        </w:rPr>
      </w:pPr>
    </w:p>
    <w:p w14:paraId="38C74EB2"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Urban, A., &amp; </w:t>
      </w:r>
      <w:proofErr w:type="spellStart"/>
      <w:r w:rsidRPr="001B7914">
        <w:rPr>
          <w:rFonts w:ascii="Garamond" w:hAnsi="Garamond"/>
          <w:color w:val="000000"/>
        </w:rPr>
        <w:t>Kyselý</w:t>
      </w:r>
      <w:proofErr w:type="spellEnd"/>
      <w:r w:rsidRPr="001B7914">
        <w:rPr>
          <w:rFonts w:ascii="Garamond" w:hAnsi="Garamond"/>
          <w:color w:val="000000"/>
        </w:rPr>
        <w:t xml:space="preserve">, J. (2014). Comparison of UTCI with other thermal indices in the assessment of heat and cold effects on cardiovascular mortality in the Czech Republic. </w:t>
      </w:r>
      <w:r w:rsidRPr="001B7914">
        <w:rPr>
          <w:rFonts w:ascii="Garamond" w:hAnsi="Garamond"/>
          <w:i/>
          <w:iCs/>
          <w:color w:val="000000"/>
        </w:rPr>
        <w:t>International Journal of Environmental Research and Public Health, 11</w:t>
      </w:r>
      <w:r w:rsidRPr="001B7914">
        <w:rPr>
          <w:rFonts w:ascii="Garamond" w:hAnsi="Garamond"/>
          <w:color w:val="000000"/>
        </w:rPr>
        <w:t xml:space="preserve">(1), 952–967. </w:t>
      </w:r>
      <w:r w:rsidRPr="001B7914">
        <w:rPr>
          <w:rFonts w:ascii="Garamond" w:hAnsi="Garamond"/>
          <w:color w:val="000000"/>
          <w:u w:val="single"/>
        </w:rPr>
        <w:t>https://dx.doi.org/10.3390%2Fijerph110100952</w:t>
      </w:r>
    </w:p>
    <w:p w14:paraId="5122C739" w14:textId="77777777" w:rsidR="001B7914" w:rsidRPr="001B7914" w:rsidRDefault="001B7914" w:rsidP="001B7914">
      <w:pPr>
        <w:spacing w:after="0" w:line="240" w:lineRule="auto"/>
        <w:ind w:left="720" w:hanging="720"/>
        <w:rPr>
          <w:rFonts w:ascii="Garamond" w:hAnsi="Garamond"/>
          <w:color w:val="000000"/>
        </w:rPr>
      </w:pPr>
    </w:p>
    <w:p w14:paraId="3E41B744" w14:textId="77777777" w:rsidR="001B7914" w:rsidRPr="001B7914" w:rsidRDefault="001B7914" w:rsidP="001B7914">
      <w:pPr>
        <w:spacing w:after="0" w:line="240" w:lineRule="auto"/>
        <w:ind w:left="720" w:hanging="720"/>
        <w:rPr>
          <w:rFonts w:ascii="Garamond" w:hAnsi="Garamond"/>
          <w:color w:val="000000"/>
        </w:rPr>
      </w:pPr>
      <w:proofErr w:type="spellStart"/>
      <w:r w:rsidRPr="001B7914">
        <w:rPr>
          <w:rFonts w:ascii="Garamond" w:hAnsi="Garamond"/>
          <w:color w:val="000000"/>
        </w:rPr>
        <w:t>Vermote</w:t>
      </w:r>
      <w:proofErr w:type="spellEnd"/>
      <w:r w:rsidRPr="001B7914">
        <w:rPr>
          <w:rFonts w:ascii="Garamond" w:hAnsi="Garamond"/>
          <w:color w:val="000000"/>
        </w:rPr>
        <w:t xml:space="preserve">, E., Wolfe, R. (2015). MYD09GA MODIS/Aqua Surface Reflectance Daily L2G Global 1km and 500m SIN Grid V006 [Data set]. NASA EOSDIS Land Processes DAAC. Accessed 2020-04-03 from </w:t>
      </w:r>
      <w:r w:rsidRPr="001B7914">
        <w:rPr>
          <w:rFonts w:ascii="Garamond" w:hAnsi="Garamond"/>
          <w:color w:val="000000"/>
          <w:u w:val="single"/>
        </w:rPr>
        <w:t>https://doi.org/10.5067/MODIS/MYD09GA.006</w:t>
      </w:r>
    </w:p>
    <w:p w14:paraId="7A207235" w14:textId="77777777" w:rsidR="001B7914" w:rsidRPr="001B7914" w:rsidRDefault="001B7914" w:rsidP="001B7914">
      <w:pPr>
        <w:spacing w:after="0" w:line="240" w:lineRule="auto"/>
        <w:ind w:left="720" w:hanging="720"/>
        <w:rPr>
          <w:rFonts w:ascii="Garamond" w:hAnsi="Garamond"/>
          <w:color w:val="000000"/>
        </w:rPr>
      </w:pPr>
    </w:p>
    <w:p w14:paraId="49CA5889"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lastRenderedPageBreak/>
        <w:t xml:space="preserve">Wan, Z., Hook, S., </w:t>
      </w:r>
      <w:proofErr w:type="spellStart"/>
      <w:r w:rsidRPr="001B7914">
        <w:rPr>
          <w:rFonts w:ascii="Garamond" w:hAnsi="Garamond"/>
          <w:color w:val="000000"/>
        </w:rPr>
        <w:t>Hulley</w:t>
      </w:r>
      <w:proofErr w:type="spellEnd"/>
      <w:r w:rsidRPr="001B7914">
        <w:rPr>
          <w:rFonts w:ascii="Garamond" w:hAnsi="Garamond"/>
          <w:color w:val="000000"/>
        </w:rPr>
        <w:t xml:space="preserve">, G. (2015). MYD11A1 MODIS/Aqua Land Surface Temperature/Emissivity Daily L3 Global 1km SIN Grid V006 [Data set]. NASA EOSDIS Land Processes DAAC. Accessed 2020-04-03 from </w:t>
      </w:r>
      <w:r w:rsidRPr="001B7914">
        <w:rPr>
          <w:rFonts w:ascii="Garamond" w:hAnsi="Garamond"/>
          <w:color w:val="000000"/>
          <w:u w:val="single"/>
        </w:rPr>
        <w:t>https://doi.org/10.5067/MODIS/MYD11A1.006</w:t>
      </w:r>
    </w:p>
    <w:p w14:paraId="72B34E37" w14:textId="77777777" w:rsidR="001B7914" w:rsidRPr="001B7914" w:rsidRDefault="001B7914" w:rsidP="001B7914">
      <w:pPr>
        <w:spacing w:after="0" w:line="240" w:lineRule="auto"/>
        <w:ind w:left="720" w:hanging="720"/>
        <w:rPr>
          <w:rFonts w:ascii="Garamond" w:hAnsi="Garamond"/>
          <w:color w:val="000000"/>
        </w:rPr>
      </w:pPr>
    </w:p>
    <w:p w14:paraId="63CC9B00" w14:textId="77777777"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Weber, S., </w:t>
      </w:r>
      <w:proofErr w:type="spellStart"/>
      <w:r w:rsidRPr="001B7914">
        <w:rPr>
          <w:rFonts w:ascii="Garamond" w:hAnsi="Garamond"/>
          <w:color w:val="000000"/>
        </w:rPr>
        <w:t>Sadoff</w:t>
      </w:r>
      <w:proofErr w:type="spellEnd"/>
      <w:r w:rsidRPr="001B7914">
        <w:rPr>
          <w:rFonts w:ascii="Garamond" w:hAnsi="Garamond"/>
          <w:color w:val="000000"/>
        </w:rPr>
        <w:t xml:space="preserve">, N., Zell, E., &amp; de </w:t>
      </w:r>
      <w:proofErr w:type="spellStart"/>
      <w:r w:rsidRPr="001B7914">
        <w:rPr>
          <w:rFonts w:ascii="Garamond" w:hAnsi="Garamond"/>
          <w:color w:val="000000"/>
        </w:rPr>
        <w:t>Sherbinin</w:t>
      </w:r>
      <w:proofErr w:type="spellEnd"/>
      <w:r w:rsidRPr="001B7914">
        <w:rPr>
          <w:rFonts w:ascii="Garamond" w:hAnsi="Garamond"/>
          <w:color w:val="000000"/>
        </w:rPr>
        <w:t xml:space="preserve">, A. (2015). Policy-relevant indicators for mapping the vulnerability of urban populations to extreme heat events: A case study of Philadelphia. </w:t>
      </w:r>
      <w:r w:rsidRPr="0099475F">
        <w:rPr>
          <w:rFonts w:ascii="Garamond" w:hAnsi="Garamond"/>
          <w:i/>
          <w:iCs/>
          <w:color w:val="000000"/>
        </w:rPr>
        <w:t>Applied Geography, 63,</w:t>
      </w:r>
      <w:r w:rsidRPr="001B7914">
        <w:rPr>
          <w:rFonts w:ascii="Garamond" w:hAnsi="Garamond"/>
          <w:color w:val="000000"/>
        </w:rPr>
        <w:t xml:space="preserve"> 231-243. </w:t>
      </w:r>
      <w:r w:rsidRPr="001B7914">
        <w:rPr>
          <w:rFonts w:ascii="Garamond" w:hAnsi="Garamond"/>
          <w:color w:val="000000"/>
          <w:u w:val="single"/>
        </w:rPr>
        <w:t>https://doi.org/10.1016/j.apgeog.2015.07.006</w:t>
      </w:r>
    </w:p>
    <w:p w14:paraId="16C9D12A" w14:textId="77777777" w:rsidR="001B7914" w:rsidRDefault="001B7914" w:rsidP="001B7914">
      <w:pPr>
        <w:spacing w:after="0" w:line="240" w:lineRule="auto"/>
        <w:ind w:left="720" w:hanging="720"/>
        <w:rPr>
          <w:rFonts w:ascii="Garamond" w:hAnsi="Garamond"/>
          <w:color w:val="000000"/>
        </w:rPr>
      </w:pPr>
    </w:p>
    <w:p w14:paraId="6035DFF5" w14:textId="72278241" w:rsidR="001B7914" w:rsidRPr="001B7914" w:rsidRDefault="001B7914" w:rsidP="001B7914">
      <w:pPr>
        <w:spacing w:after="0" w:line="240" w:lineRule="auto"/>
        <w:ind w:left="720" w:hanging="720"/>
        <w:rPr>
          <w:rFonts w:ascii="Garamond" w:hAnsi="Garamond"/>
          <w:color w:val="000000"/>
        </w:rPr>
      </w:pPr>
      <w:r w:rsidRPr="001B7914">
        <w:rPr>
          <w:rFonts w:ascii="Garamond" w:hAnsi="Garamond"/>
          <w:color w:val="000000"/>
        </w:rPr>
        <w:t xml:space="preserve">Zhang, J., Wang, Y., &amp; Li, Y. (2006). A C++ program for retrieving land surface temperature from the data of Landsat TM/ETM+ band6. </w:t>
      </w:r>
      <w:r w:rsidRPr="001B7914">
        <w:rPr>
          <w:rFonts w:ascii="Garamond" w:hAnsi="Garamond"/>
          <w:i/>
          <w:iCs/>
          <w:color w:val="000000"/>
        </w:rPr>
        <w:t>Computers &amp; Geosciences, 32</w:t>
      </w:r>
      <w:r w:rsidR="0099475F">
        <w:rPr>
          <w:rFonts w:ascii="Garamond" w:hAnsi="Garamond"/>
          <w:color w:val="000000"/>
        </w:rPr>
        <w:t>(10)</w:t>
      </w:r>
      <w:r w:rsidRPr="001B7914">
        <w:rPr>
          <w:rFonts w:ascii="Garamond" w:hAnsi="Garamond"/>
          <w:i/>
          <w:iCs/>
          <w:color w:val="000000"/>
        </w:rPr>
        <w:t xml:space="preserve">, </w:t>
      </w:r>
      <w:r w:rsidRPr="001B7914">
        <w:rPr>
          <w:rFonts w:ascii="Garamond" w:hAnsi="Garamond"/>
          <w:color w:val="000000"/>
        </w:rPr>
        <w:t>1</w:t>
      </w:r>
      <w:r w:rsidR="0099475F">
        <w:rPr>
          <w:rFonts w:ascii="Garamond" w:hAnsi="Garamond"/>
          <w:color w:val="000000"/>
        </w:rPr>
        <w:t>796-</w:t>
      </w:r>
      <w:r w:rsidRPr="001B7914">
        <w:rPr>
          <w:rFonts w:ascii="Garamond" w:hAnsi="Garamond"/>
          <w:color w:val="000000"/>
        </w:rPr>
        <w:t xml:space="preserve">1805. </w:t>
      </w:r>
      <w:r w:rsidRPr="001B7914">
        <w:rPr>
          <w:rFonts w:ascii="Garamond" w:hAnsi="Garamond"/>
          <w:color w:val="000000"/>
          <w:u w:val="single"/>
        </w:rPr>
        <w:t>https://doi.org/10.1016/j.cageo.2006.05.001</w:t>
      </w:r>
    </w:p>
    <w:p w14:paraId="5F6B12C3" w14:textId="22B409DF" w:rsidR="00792D03" w:rsidRDefault="00792D03" w:rsidP="00792D03">
      <w:pPr>
        <w:spacing w:after="0" w:line="240" w:lineRule="auto"/>
        <w:rPr>
          <w:rFonts w:ascii="Garamond" w:hAnsi="Garamond"/>
          <w:szCs w:val="24"/>
        </w:rPr>
      </w:pPr>
    </w:p>
    <w:p w14:paraId="6FEB71A5" w14:textId="36E0EB3C" w:rsidR="002948F6" w:rsidRDefault="002948F6" w:rsidP="00792D03">
      <w:pPr>
        <w:spacing w:after="0" w:line="240" w:lineRule="auto"/>
        <w:rPr>
          <w:rFonts w:ascii="Garamond" w:hAnsi="Garamond"/>
          <w:szCs w:val="24"/>
        </w:rPr>
      </w:pPr>
    </w:p>
    <w:p w14:paraId="6DAD3D61" w14:textId="1D04C0DC" w:rsidR="002948F6" w:rsidRDefault="002948F6" w:rsidP="00792D03">
      <w:pPr>
        <w:spacing w:after="0" w:line="240" w:lineRule="auto"/>
        <w:rPr>
          <w:rFonts w:ascii="Garamond" w:hAnsi="Garamond"/>
          <w:szCs w:val="24"/>
        </w:rPr>
      </w:pPr>
    </w:p>
    <w:p w14:paraId="5A6772BD" w14:textId="7662B876" w:rsidR="002948F6" w:rsidRDefault="002948F6" w:rsidP="00792D03">
      <w:pPr>
        <w:spacing w:after="0" w:line="240" w:lineRule="auto"/>
        <w:rPr>
          <w:rFonts w:ascii="Garamond" w:hAnsi="Garamond"/>
          <w:szCs w:val="24"/>
        </w:rPr>
      </w:pPr>
    </w:p>
    <w:p w14:paraId="444B7922" w14:textId="2F048AB4" w:rsidR="002948F6" w:rsidRDefault="002948F6" w:rsidP="00792D03">
      <w:pPr>
        <w:spacing w:after="0" w:line="240" w:lineRule="auto"/>
        <w:rPr>
          <w:rFonts w:ascii="Garamond" w:hAnsi="Garamond"/>
          <w:szCs w:val="24"/>
        </w:rPr>
      </w:pPr>
    </w:p>
    <w:p w14:paraId="5C49E9D7" w14:textId="4A4D96D9" w:rsidR="002948F6" w:rsidRDefault="002948F6" w:rsidP="00792D03">
      <w:pPr>
        <w:spacing w:after="0" w:line="240" w:lineRule="auto"/>
        <w:rPr>
          <w:rFonts w:ascii="Garamond" w:hAnsi="Garamond"/>
          <w:szCs w:val="24"/>
        </w:rPr>
      </w:pPr>
    </w:p>
    <w:p w14:paraId="1DA0D388" w14:textId="761DB238" w:rsidR="002948F6" w:rsidRDefault="002948F6" w:rsidP="00792D03">
      <w:pPr>
        <w:spacing w:after="0" w:line="240" w:lineRule="auto"/>
        <w:rPr>
          <w:rFonts w:ascii="Garamond" w:hAnsi="Garamond"/>
          <w:szCs w:val="24"/>
        </w:rPr>
      </w:pPr>
    </w:p>
    <w:p w14:paraId="6C4B081A" w14:textId="6441EA4E" w:rsidR="002948F6" w:rsidRDefault="002948F6" w:rsidP="00792D03">
      <w:pPr>
        <w:spacing w:after="0" w:line="240" w:lineRule="auto"/>
        <w:rPr>
          <w:rFonts w:ascii="Garamond" w:hAnsi="Garamond"/>
          <w:szCs w:val="24"/>
        </w:rPr>
      </w:pPr>
    </w:p>
    <w:p w14:paraId="4FC6A0C8" w14:textId="0136A472" w:rsidR="002948F6" w:rsidRDefault="002948F6" w:rsidP="00792D03">
      <w:pPr>
        <w:spacing w:after="0" w:line="240" w:lineRule="auto"/>
        <w:rPr>
          <w:rFonts w:ascii="Garamond" w:hAnsi="Garamond"/>
          <w:szCs w:val="24"/>
        </w:rPr>
      </w:pPr>
    </w:p>
    <w:p w14:paraId="284F5B5B" w14:textId="1A69E136" w:rsidR="002948F6" w:rsidRDefault="002948F6" w:rsidP="00792D03">
      <w:pPr>
        <w:spacing w:after="0" w:line="240" w:lineRule="auto"/>
        <w:rPr>
          <w:rFonts w:ascii="Garamond" w:hAnsi="Garamond"/>
          <w:szCs w:val="24"/>
        </w:rPr>
      </w:pPr>
    </w:p>
    <w:p w14:paraId="6AF1A3E4" w14:textId="329ABF2B" w:rsidR="002948F6" w:rsidRDefault="002948F6" w:rsidP="00792D03">
      <w:pPr>
        <w:spacing w:after="0" w:line="240" w:lineRule="auto"/>
        <w:rPr>
          <w:rFonts w:ascii="Garamond" w:hAnsi="Garamond"/>
          <w:szCs w:val="24"/>
        </w:rPr>
      </w:pPr>
    </w:p>
    <w:p w14:paraId="75A49A14" w14:textId="1CE35C7F" w:rsidR="002948F6" w:rsidRDefault="002948F6" w:rsidP="00792D03">
      <w:pPr>
        <w:spacing w:after="0" w:line="240" w:lineRule="auto"/>
        <w:rPr>
          <w:rFonts w:ascii="Garamond" w:hAnsi="Garamond"/>
          <w:szCs w:val="24"/>
        </w:rPr>
      </w:pPr>
    </w:p>
    <w:p w14:paraId="59603672" w14:textId="436DB1D0" w:rsidR="002948F6" w:rsidRDefault="002948F6" w:rsidP="00792D03">
      <w:pPr>
        <w:spacing w:after="0" w:line="240" w:lineRule="auto"/>
        <w:rPr>
          <w:rFonts w:ascii="Garamond" w:hAnsi="Garamond"/>
          <w:szCs w:val="24"/>
        </w:rPr>
      </w:pPr>
    </w:p>
    <w:p w14:paraId="624B63EF" w14:textId="18F50411" w:rsidR="002948F6" w:rsidRDefault="002948F6" w:rsidP="00792D03">
      <w:pPr>
        <w:spacing w:after="0" w:line="240" w:lineRule="auto"/>
        <w:rPr>
          <w:rFonts w:ascii="Garamond" w:hAnsi="Garamond"/>
          <w:szCs w:val="24"/>
        </w:rPr>
      </w:pPr>
    </w:p>
    <w:p w14:paraId="0AA9AFFC" w14:textId="64E1DBED" w:rsidR="002948F6" w:rsidRDefault="002948F6" w:rsidP="00792D03">
      <w:pPr>
        <w:spacing w:after="0" w:line="240" w:lineRule="auto"/>
        <w:rPr>
          <w:rFonts w:ascii="Garamond" w:hAnsi="Garamond"/>
          <w:szCs w:val="24"/>
        </w:rPr>
      </w:pPr>
    </w:p>
    <w:p w14:paraId="47BEF1F5" w14:textId="4CCC59E0" w:rsidR="002948F6" w:rsidRDefault="002948F6" w:rsidP="00792D03">
      <w:pPr>
        <w:spacing w:after="0" w:line="240" w:lineRule="auto"/>
        <w:rPr>
          <w:rFonts w:ascii="Garamond" w:hAnsi="Garamond"/>
          <w:szCs w:val="24"/>
        </w:rPr>
      </w:pPr>
    </w:p>
    <w:p w14:paraId="56A0C35C" w14:textId="08C5AFE3" w:rsidR="002948F6" w:rsidRDefault="002948F6" w:rsidP="00792D03">
      <w:pPr>
        <w:spacing w:after="0" w:line="240" w:lineRule="auto"/>
        <w:rPr>
          <w:rFonts w:ascii="Garamond" w:hAnsi="Garamond"/>
          <w:szCs w:val="24"/>
        </w:rPr>
      </w:pPr>
    </w:p>
    <w:p w14:paraId="22F9544F" w14:textId="73256FD7" w:rsidR="002948F6" w:rsidRDefault="002948F6" w:rsidP="00792D03">
      <w:pPr>
        <w:spacing w:after="0" w:line="240" w:lineRule="auto"/>
        <w:rPr>
          <w:rFonts w:ascii="Garamond" w:hAnsi="Garamond"/>
          <w:szCs w:val="24"/>
        </w:rPr>
      </w:pPr>
    </w:p>
    <w:p w14:paraId="7E4072CE" w14:textId="09EB19B6" w:rsidR="002948F6" w:rsidRDefault="002948F6" w:rsidP="00792D03">
      <w:pPr>
        <w:spacing w:after="0" w:line="240" w:lineRule="auto"/>
        <w:rPr>
          <w:rFonts w:ascii="Garamond" w:hAnsi="Garamond"/>
          <w:szCs w:val="24"/>
        </w:rPr>
      </w:pPr>
    </w:p>
    <w:p w14:paraId="1B46236D" w14:textId="56195D03" w:rsidR="002948F6" w:rsidRDefault="002948F6" w:rsidP="00792D03">
      <w:pPr>
        <w:spacing w:after="0" w:line="240" w:lineRule="auto"/>
        <w:rPr>
          <w:rFonts w:ascii="Garamond" w:hAnsi="Garamond"/>
          <w:szCs w:val="24"/>
        </w:rPr>
      </w:pPr>
    </w:p>
    <w:p w14:paraId="2612213F" w14:textId="62D6E7DD" w:rsidR="002948F6" w:rsidRDefault="002948F6" w:rsidP="00792D03">
      <w:pPr>
        <w:spacing w:after="0" w:line="240" w:lineRule="auto"/>
        <w:rPr>
          <w:rFonts w:ascii="Garamond" w:hAnsi="Garamond"/>
          <w:szCs w:val="24"/>
        </w:rPr>
      </w:pPr>
    </w:p>
    <w:p w14:paraId="698A00B8" w14:textId="25173CCA" w:rsidR="002948F6" w:rsidRDefault="002948F6" w:rsidP="00792D03">
      <w:pPr>
        <w:spacing w:after="0" w:line="240" w:lineRule="auto"/>
        <w:rPr>
          <w:rFonts w:ascii="Garamond" w:hAnsi="Garamond"/>
          <w:szCs w:val="24"/>
        </w:rPr>
      </w:pPr>
    </w:p>
    <w:p w14:paraId="0783E8FA" w14:textId="30A3113F" w:rsidR="002948F6" w:rsidRDefault="002948F6" w:rsidP="00792D03">
      <w:pPr>
        <w:spacing w:after="0" w:line="240" w:lineRule="auto"/>
        <w:rPr>
          <w:rFonts w:ascii="Garamond" w:hAnsi="Garamond"/>
          <w:szCs w:val="24"/>
        </w:rPr>
      </w:pPr>
    </w:p>
    <w:p w14:paraId="7AD97207" w14:textId="72B7A003" w:rsidR="002948F6" w:rsidRDefault="002948F6" w:rsidP="00792D03">
      <w:pPr>
        <w:spacing w:after="0" w:line="240" w:lineRule="auto"/>
        <w:rPr>
          <w:rFonts w:ascii="Garamond" w:hAnsi="Garamond"/>
          <w:szCs w:val="24"/>
        </w:rPr>
      </w:pPr>
    </w:p>
    <w:p w14:paraId="098278D9" w14:textId="4C2FB173" w:rsidR="002948F6" w:rsidRDefault="002948F6" w:rsidP="00792D03">
      <w:pPr>
        <w:spacing w:after="0" w:line="240" w:lineRule="auto"/>
        <w:rPr>
          <w:rFonts w:ascii="Garamond" w:hAnsi="Garamond"/>
          <w:szCs w:val="24"/>
        </w:rPr>
      </w:pPr>
    </w:p>
    <w:p w14:paraId="5CB7567A" w14:textId="02E3974B" w:rsidR="002948F6" w:rsidRDefault="002948F6" w:rsidP="00792D03">
      <w:pPr>
        <w:spacing w:after="0" w:line="240" w:lineRule="auto"/>
        <w:rPr>
          <w:rFonts w:ascii="Garamond" w:hAnsi="Garamond"/>
          <w:szCs w:val="24"/>
        </w:rPr>
      </w:pPr>
    </w:p>
    <w:p w14:paraId="702FC2E1" w14:textId="24C54CA8" w:rsidR="002948F6" w:rsidRDefault="002948F6" w:rsidP="00792D03">
      <w:pPr>
        <w:spacing w:after="0" w:line="240" w:lineRule="auto"/>
        <w:rPr>
          <w:rFonts w:ascii="Garamond" w:hAnsi="Garamond"/>
          <w:szCs w:val="24"/>
        </w:rPr>
      </w:pPr>
    </w:p>
    <w:p w14:paraId="401A97B5" w14:textId="3ABB40BA" w:rsidR="002948F6" w:rsidRDefault="002948F6" w:rsidP="00792D03">
      <w:pPr>
        <w:spacing w:after="0" w:line="240" w:lineRule="auto"/>
        <w:rPr>
          <w:rFonts w:ascii="Garamond" w:hAnsi="Garamond"/>
          <w:szCs w:val="24"/>
        </w:rPr>
      </w:pPr>
    </w:p>
    <w:p w14:paraId="3CAEF763" w14:textId="1616E8BE" w:rsidR="002948F6" w:rsidRDefault="002948F6" w:rsidP="00792D03">
      <w:pPr>
        <w:spacing w:after="0" w:line="240" w:lineRule="auto"/>
        <w:rPr>
          <w:rFonts w:ascii="Garamond" w:hAnsi="Garamond"/>
          <w:szCs w:val="24"/>
        </w:rPr>
      </w:pPr>
    </w:p>
    <w:p w14:paraId="07EB6F55" w14:textId="22118041" w:rsidR="002948F6" w:rsidRDefault="002948F6" w:rsidP="00792D03">
      <w:pPr>
        <w:spacing w:after="0" w:line="240" w:lineRule="auto"/>
        <w:rPr>
          <w:rFonts w:ascii="Garamond" w:hAnsi="Garamond"/>
          <w:szCs w:val="24"/>
        </w:rPr>
      </w:pPr>
    </w:p>
    <w:p w14:paraId="1471FC68" w14:textId="7CA67C75" w:rsidR="002948F6" w:rsidRDefault="002948F6" w:rsidP="00792D03">
      <w:pPr>
        <w:spacing w:after="0" w:line="240" w:lineRule="auto"/>
        <w:rPr>
          <w:rFonts w:ascii="Garamond" w:hAnsi="Garamond"/>
          <w:szCs w:val="24"/>
        </w:rPr>
      </w:pPr>
    </w:p>
    <w:p w14:paraId="1A018533" w14:textId="2BB688A1" w:rsidR="002948F6" w:rsidRDefault="002948F6" w:rsidP="00792D03">
      <w:pPr>
        <w:spacing w:after="0" w:line="240" w:lineRule="auto"/>
        <w:rPr>
          <w:rFonts w:ascii="Garamond" w:hAnsi="Garamond"/>
          <w:szCs w:val="24"/>
        </w:rPr>
      </w:pPr>
    </w:p>
    <w:p w14:paraId="14A461E1" w14:textId="2A2AE78C" w:rsidR="002948F6" w:rsidRDefault="002948F6" w:rsidP="00792D03">
      <w:pPr>
        <w:spacing w:after="0" w:line="240" w:lineRule="auto"/>
        <w:rPr>
          <w:rFonts w:ascii="Garamond" w:hAnsi="Garamond"/>
          <w:szCs w:val="24"/>
        </w:rPr>
      </w:pPr>
    </w:p>
    <w:p w14:paraId="4B01AACB" w14:textId="3A275F67" w:rsidR="002948F6" w:rsidRDefault="002948F6" w:rsidP="00792D03">
      <w:pPr>
        <w:spacing w:after="0" w:line="240" w:lineRule="auto"/>
        <w:rPr>
          <w:rFonts w:ascii="Garamond" w:hAnsi="Garamond"/>
          <w:szCs w:val="24"/>
        </w:rPr>
      </w:pPr>
    </w:p>
    <w:p w14:paraId="1383D028" w14:textId="69BBC99F" w:rsidR="002948F6" w:rsidRDefault="002948F6" w:rsidP="00792D03">
      <w:pPr>
        <w:spacing w:after="0" w:line="240" w:lineRule="auto"/>
        <w:rPr>
          <w:rFonts w:ascii="Garamond" w:hAnsi="Garamond"/>
          <w:szCs w:val="24"/>
        </w:rPr>
      </w:pPr>
    </w:p>
    <w:p w14:paraId="6432CC39" w14:textId="3B87A449" w:rsidR="002948F6" w:rsidRDefault="002948F6" w:rsidP="00792D03">
      <w:pPr>
        <w:spacing w:after="0" w:line="240" w:lineRule="auto"/>
        <w:rPr>
          <w:rFonts w:ascii="Garamond" w:hAnsi="Garamond"/>
          <w:szCs w:val="24"/>
        </w:rPr>
      </w:pPr>
    </w:p>
    <w:p w14:paraId="5DB65866" w14:textId="0BF2B8E6" w:rsidR="002948F6" w:rsidRDefault="002948F6" w:rsidP="00792D03">
      <w:pPr>
        <w:spacing w:after="0" w:line="240" w:lineRule="auto"/>
        <w:rPr>
          <w:rFonts w:ascii="Garamond" w:hAnsi="Garamond"/>
          <w:szCs w:val="24"/>
        </w:rPr>
      </w:pPr>
    </w:p>
    <w:p w14:paraId="79ABFDB5" w14:textId="46377F6A" w:rsidR="002948F6" w:rsidRDefault="002948F6" w:rsidP="00792D03">
      <w:pPr>
        <w:spacing w:after="0" w:line="240" w:lineRule="auto"/>
        <w:rPr>
          <w:rFonts w:ascii="Garamond" w:hAnsi="Garamond"/>
          <w:szCs w:val="24"/>
        </w:rPr>
      </w:pPr>
    </w:p>
    <w:p w14:paraId="5A1FEEDB" w14:textId="251D1C68" w:rsidR="002948F6" w:rsidRDefault="002948F6" w:rsidP="00792D03">
      <w:pPr>
        <w:spacing w:after="0" w:line="240" w:lineRule="auto"/>
        <w:rPr>
          <w:rFonts w:ascii="Garamond" w:hAnsi="Garamond"/>
          <w:szCs w:val="24"/>
        </w:rPr>
      </w:pPr>
    </w:p>
    <w:p w14:paraId="68D78BBC" w14:textId="77777777" w:rsidR="002948F6" w:rsidRPr="0066138C" w:rsidRDefault="002948F6" w:rsidP="00792D03">
      <w:pPr>
        <w:spacing w:after="0" w:line="240" w:lineRule="auto"/>
        <w:rPr>
          <w:rFonts w:ascii="Garamond" w:hAnsi="Garamond"/>
          <w:szCs w:val="24"/>
        </w:rPr>
      </w:pPr>
    </w:p>
    <w:p w14:paraId="7CA9A253" w14:textId="20E8E550" w:rsidR="00615E3A" w:rsidRPr="0066138C" w:rsidRDefault="00824CC4" w:rsidP="00CC3FA0">
      <w:pPr>
        <w:pStyle w:val="Heading1"/>
        <w:spacing w:before="0" w:line="240" w:lineRule="auto"/>
        <w:jc w:val="center"/>
        <w:rPr>
          <w:rFonts w:ascii="Garamond" w:hAnsi="Garamond"/>
        </w:rPr>
      </w:pPr>
      <w:r w:rsidRPr="0066138C">
        <w:rPr>
          <w:rFonts w:ascii="Garamond" w:hAnsi="Garamond"/>
        </w:rPr>
        <w:lastRenderedPageBreak/>
        <w:t>9</w:t>
      </w:r>
      <w:r w:rsidR="00615E3A" w:rsidRPr="0066138C">
        <w:rPr>
          <w:rFonts w:ascii="Garamond" w:hAnsi="Garamond"/>
        </w:rPr>
        <w:t>. Appendi</w:t>
      </w:r>
      <w:r w:rsidR="001B7914">
        <w:rPr>
          <w:rFonts w:ascii="Garamond" w:hAnsi="Garamond"/>
        </w:rPr>
        <w:t>x</w:t>
      </w:r>
    </w:p>
    <w:p w14:paraId="39BCD67A" w14:textId="77777777" w:rsidR="008E5453" w:rsidRPr="0066138C" w:rsidRDefault="008E5453" w:rsidP="0066138C">
      <w:pPr>
        <w:spacing w:after="0" w:line="240" w:lineRule="auto"/>
        <w:rPr>
          <w:rFonts w:ascii="Garamond" w:hAnsi="Garamond"/>
        </w:rPr>
      </w:pPr>
    </w:p>
    <w:p w14:paraId="4DD3382F" w14:textId="77777777" w:rsidR="00A36FA7" w:rsidRDefault="00A36FA7" w:rsidP="00A36FA7">
      <w:pPr>
        <w:pStyle w:val="NormalWeb"/>
        <w:spacing w:before="0" w:beforeAutospacing="0" w:after="0" w:afterAutospacing="0"/>
      </w:pPr>
      <w:r>
        <w:rPr>
          <w:rFonts w:ascii="Garamond" w:hAnsi="Garamond"/>
          <w:color w:val="000000"/>
          <w:sz w:val="22"/>
          <w:szCs w:val="22"/>
        </w:rPr>
        <w:t>Table A1</w:t>
      </w:r>
      <w:r>
        <w:rPr>
          <w:rFonts w:ascii="Garamond" w:hAnsi="Garamond"/>
          <w:i/>
          <w:iCs/>
          <w:color w:val="000000"/>
          <w:sz w:val="22"/>
          <w:szCs w:val="22"/>
        </w:rPr>
        <w:t>: Overview of data set name, spatial resolution, temporal coverage, creator, and retrieval date of datasets included in this analysis.</w:t>
      </w:r>
    </w:p>
    <w:tbl>
      <w:tblPr>
        <w:tblW w:w="0" w:type="auto"/>
        <w:tblCellMar>
          <w:top w:w="15" w:type="dxa"/>
          <w:left w:w="15" w:type="dxa"/>
          <w:bottom w:w="15" w:type="dxa"/>
          <w:right w:w="15" w:type="dxa"/>
        </w:tblCellMar>
        <w:tblLook w:val="04A0" w:firstRow="1" w:lastRow="0" w:firstColumn="1" w:lastColumn="0" w:noHBand="0" w:noVBand="1"/>
      </w:tblPr>
      <w:tblGrid>
        <w:gridCol w:w="3120"/>
        <w:gridCol w:w="1550"/>
        <w:gridCol w:w="1787"/>
        <w:gridCol w:w="1303"/>
        <w:gridCol w:w="1580"/>
      </w:tblGrid>
      <w:tr w:rsidR="00A36FA7" w14:paraId="749FEBA6" w14:textId="77777777" w:rsidTr="002948F6">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B1F41B6" w14:textId="77777777" w:rsidR="00A36FA7" w:rsidRDefault="00A36FA7">
            <w:pPr>
              <w:pStyle w:val="NormalWeb"/>
              <w:spacing w:before="0" w:beforeAutospacing="0" w:after="0" w:afterAutospacing="0"/>
            </w:pPr>
            <w:r>
              <w:rPr>
                <w:rFonts w:ascii="Garamond" w:hAnsi="Garamond"/>
                <w:color w:val="000000"/>
                <w:sz w:val="22"/>
                <w:szCs w:val="22"/>
              </w:rPr>
              <w:t>Dataset</w:t>
            </w:r>
          </w:p>
        </w:tc>
        <w:tc>
          <w:tcPr>
            <w:tcW w:w="15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1DBF88E" w14:textId="77777777" w:rsidR="00F74A1B" w:rsidRDefault="00A36FA7">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Subdivisions/</w:t>
            </w:r>
          </w:p>
          <w:p w14:paraId="3928A667" w14:textId="220C6DC6" w:rsidR="00A36FA7" w:rsidRDefault="00A36FA7">
            <w:pPr>
              <w:pStyle w:val="NormalWeb"/>
              <w:spacing w:before="0" w:beforeAutospacing="0" w:after="0" w:afterAutospacing="0"/>
            </w:pPr>
            <w:r>
              <w:rPr>
                <w:rFonts w:ascii="Garamond" w:hAnsi="Garamond"/>
                <w:color w:val="000000"/>
                <w:sz w:val="22"/>
                <w:szCs w:val="22"/>
              </w:rPr>
              <w:t>Resolution</w:t>
            </w:r>
          </w:p>
        </w:tc>
        <w:tc>
          <w:tcPr>
            <w:tcW w:w="1787"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C143250" w14:textId="77777777" w:rsidR="00F74A1B" w:rsidRDefault="00A36FA7">
            <w:pPr>
              <w:pStyle w:val="NormalWeb"/>
              <w:spacing w:before="0" w:beforeAutospacing="0" w:after="0" w:afterAutospacing="0"/>
              <w:rPr>
                <w:rFonts w:ascii="Garamond" w:hAnsi="Garamond"/>
                <w:color w:val="000000"/>
                <w:sz w:val="22"/>
                <w:szCs w:val="22"/>
              </w:rPr>
            </w:pPr>
            <w:r>
              <w:rPr>
                <w:rFonts w:ascii="Garamond" w:hAnsi="Garamond"/>
                <w:color w:val="000000"/>
                <w:sz w:val="22"/>
                <w:szCs w:val="22"/>
              </w:rPr>
              <w:t>Date/</w:t>
            </w:r>
          </w:p>
          <w:p w14:paraId="67849B9A" w14:textId="7EDB3F31" w:rsidR="00A36FA7" w:rsidRDefault="00A36FA7">
            <w:pPr>
              <w:pStyle w:val="NormalWeb"/>
              <w:spacing w:before="0" w:beforeAutospacing="0" w:after="0" w:afterAutospacing="0"/>
            </w:pPr>
            <w:r>
              <w:rPr>
                <w:rFonts w:ascii="Garamond" w:hAnsi="Garamond"/>
                <w:color w:val="000000"/>
                <w:sz w:val="22"/>
                <w:szCs w:val="22"/>
              </w:rPr>
              <w:t>Time</w:t>
            </w:r>
          </w:p>
        </w:tc>
        <w:tc>
          <w:tcPr>
            <w:tcW w:w="1303"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65524925" w14:textId="77777777" w:rsidR="00A36FA7" w:rsidRDefault="00A36FA7">
            <w:pPr>
              <w:pStyle w:val="NormalWeb"/>
              <w:spacing w:before="0" w:beforeAutospacing="0" w:after="0" w:afterAutospacing="0"/>
            </w:pPr>
            <w:r>
              <w:rPr>
                <w:rFonts w:ascii="Garamond" w:hAnsi="Garamond"/>
                <w:color w:val="000000"/>
                <w:sz w:val="22"/>
                <w:szCs w:val="22"/>
              </w:rPr>
              <w:t>Creator</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0CD075B" w14:textId="77777777" w:rsidR="00A36FA7" w:rsidRDefault="00A36FA7">
            <w:pPr>
              <w:pStyle w:val="NormalWeb"/>
              <w:spacing w:before="0" w:beforeAutospacing="0" w:after="0" w:afterAutospacing="0"/>
            </w:pPr>
            <w:r>
              <w:rPr>
                <w:rFonts w:ascii="Garamond" w:hAnsi="Garamond"/>
                <w:color w:val="000000"/>
                <w:sz w:val="22"/>
                <w:szCs w:val="22"/>
              </w:rPr>
              <w:t>Retrieval</w:t>
            </w:r>
          </w:p>
        </w:tc>
      </w:tr>
      <w:tr w:rsidR="00A36FA7" w14:paraId="3D6E8AD8"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024FC" w14:textId="77777777" w:rsidR="00A36FA7" w:rsidRDefault="00A36FA7">
            <w:pPr>
              <w:pStyle w:val="NormalWeb"/>
              <w:spacing w:before="0" w:beforeAutospacing="0" w:after="0" w:afterAutospacing="0"/>
            </w:pPr>
            <w:r>
              <w:rPr>
                <w:rFonts w:ascii="Garamond" w:hAnsi="Garamond"/>
                <w:color w:val="000000"/>
                <w:sz w:val="22"/>
                <w:szCs w:val="22"/>
              </w:rPr>
              <w:t>B01001: Sex by Age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79DC2" w14:textId="77777777" w:rsidR="00A36FA7" w:rsidRDefault="00A36FA7">
            <w:pPr>
              <w:pStyle w:val="NormalWeb"/>
              <w:spacing w:before="0" w:beforeAutospacing="0" w:after="0" w:afterAutospacing="0"/>
            </w:pPr>
            <w:r>
              <w:rPr>
                <w:rFonts w:ascii="Garamond" w:hAnsi="Garamond"/>
                <w:color w:val="000000"/>
                <w:sz w:val="22"/>
                <w:szCs w:val="22"/>
              </w:rPr>
              <w:t>Census Tracts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BD686" w14:textId="77777777" w:rsidR="00A36FA7" w:rsidRDefault="00A36FA7">
            <w:pPr>
              <w:pStyle w:val="NormalWeb"/>
              <w:spacing w:before="0" w:beforeAutospacing="0" w:after="0" w:afterAutospacing="0"/>
            </w:pPr>
            <w:r>
              <w:rPr>
                <w:rFonts w:ascii="Garamond" w:hAnsi="Garamond"/>
                <w:color w:val="000000"/>
                <w:sz w:val="22"/>
                <w:szCs w:val="22"/>
              </w:rPr>
              <w:t>2018, 5-year estimate (2014-2018)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18B40" w14:textId="77777777" w:rsidR="00A36FA7" w:rsidRDefault="00A36FA7">
            <w:pPr>
              <w:pStyle w:val="NormalWeb"/>
              <w:spacing w:before="0" w:beforeAutospacing="0" w:after="0" w:afterAutospacing="0"/>
            </w:pPr>
            <w:r>
              <w:rPr>
                <w:rFonts w:ascii="Garamond" w:hAnsi="Garamond"/>
                <w:color w:val="000000"/>
                <w:sz w:val="22"/>
                <w:szCs w:val="22"/>
              </w:rPr>
              <w:t>American Community Survey (ACS)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7F56A" w14:textId="77777777" w:rsidR="00A36FA7" w:rsidRDefault="00A36FA7">
            <w:pPr>
              <w:pStyle w:val="NormalWeb"/>
              <w:spacing w:before="0" w:beforeAutospacing="0" w:after="0" w:afterAutospacing="0"/>
            </w:pPr>
            <w:proofErr w:type="spellStart"/>
            <w:r>
              <w:rPr>
                <w:rFonts w:ascii="Garamond" w:hAnsi="Garamond"/>
                <w:color w:val="000000"/>
                <w:sz w:val="22"/>
                <w:szCs w:val="22"/>
              </w:rPr>
              <w:t>Tidycensus</w:t>
            </w:r>
            <w:proofErr w:type="spellEnd"/>
            <w:r>
              <w:rPr>
                <w:rFonts w:ascii="Garamond" w:hAnsi="Garamond"/>
                <w:color w:val="000000"/>
                <w:sz w:val="22"/>
                <w:szCs w:val="22"/>
              </w:rPr>
              <w:t xml:space="preserve"> package in R</w:t>
            </w:r>
          </w:p>
        </w:tc>
      </w:tr>
      <w:tr w:rsidR="00A36FA7" w14:paraId="65D029FB"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1682B" w14:textId="77777777" w:rsidR="00A36FA7" w:rsidRDefault="00A36FA7">
            <w:pPr>
              <w:pStyle w:val="NormalWeb"/>
              <w:spacing w:before="0" w:beforeAutospacing="0" w:after="0" w:afterAutospacing="0"/>
            </w:pPr>
            <w:r>
              <w:rPr>
                <w:rFonts w:ascii="Garamond" w:hAnsi="Garamond"/>
                <w:color w:val="000000"/>
                <w:sz w:val="22"/>
                <w:szCs w:val="22"/>
              </w:rPr>
              <w:t>B15003: Educational Attainment for the Population 25 Years and Over</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62273" w14:textId="77777777" w:rsidR="00A36FA7" w:rsidRDefault="00A36FA7">
            <w:pPr>
              <w:pStyle w:val="NormalWeb"/>
              <w:spacing w:before="0" w:beforeAutospacing="0" w:after="0" w:afterAutospacing="0"/>
            </w:pPr>
            <w:r>
              <w:rPr>
                <w:rFonts w:ascii="Garamond" w:hAnsi="Garamond"/>
                <w:color w:val="000000"/>
                <w:sz w:val="22"/>
                <w:szCs w:val="22"/>
              </w:rPr>
              <w:t>Census Tracts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44DAD" w14:textId="77777777" w:rsidR="00A36FA7" w:rsidRDefault="00A36FA7">
            <w:pPr>
              <w:pStyle w:val="NormalWeb"/>
              <w:spacing w:before="0" w:beforeAutospacing="0" w:after="0" w:afterAutospacing="0"/>
            </w:pPr>
            <w:r>
              <w:rPr>
                <w:rFonts w:ascii="Garamond" w:hAnsi="Garamond"/>
                <w:color w:val="000000"/>
                <w:sz w:val="22"/>
                <w:szCs w:val="22"/>
              </w:rPr>
              <w:t>2018, 5-year estimate (2014-2018)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4ACA9" w14:textId="77777777" w:rsidR="00A36FA7" w:rsidRDefault="00A36FA7">
            <w:pPr>
              <w:pStyle w:val="NormalWeb"/>
              <w:spacing w:before="0" w:beforeAutospacing="0" w:after="0" w:afterAutospacing="0"/>
            </w:pPr>
            <w:r>
              <w:rPr>
                <w:rFonts w:ascii="Garamond" w:hAnsi="Garamond"/>
                <w:color w:val="000000"/>
                <w:sz w:val="22"/>
                <w:szCs w:val="22"/>
              </w:rPr>
              <w:t>ACS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080F6" w14:textId="77777777" w:rsidR="00A36FA7" w:rsidRDefault="00A36FA7">
            <w:pPr>
              <w:pStyle w:val="NormalWeb"/>
              <w:spacing w:before="0" w:beforeAutospacing="0" w:after="0" w:afterAutospacing="0"/>
            </w:pPr>
            <w:proofErr w:type="spellStart"/>
            <w:r>
              <w:rPr>
                <w:rFonts w:ascii="Garamond" w:hAnsi="Garamond"/>
                <w:color w:val="000000"/>
                <w:sz w:val="22"/>
                <w:szCs w:val="22"/>
              </w:rPr>
              <w:t>Tidycensus</w:t>
            </w:r>
            <w:proofErr w:type="spellEnd"/>
            <w:r>
              <w:rPr>
                <w:rFonts w:ascii="Garamond" w:hAnsi="Garamond"/>
                <w:color w:val="000000"/>
                <w:sz w:val="22"/>
                <w:szCs w:val="22"/>
              </w:rPr>
              <w:t xml:space="preserve"> package in R</w:t>
            </w:r>
          </w:p>
        </w:tc>
      </w:tr>
      <w:tr w:rsidR="00A36FA7" w14:paraId="003D72D2"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764C9" w14:textId="77777777" w:rsidR="00A36FA7" w:rsidRDefault="00A36FA7">
            <w:pPr>
              <w:pStyle w:val="NormalWeb"/>
              <w:spacing w:before="0" w:beforeAutospacing="0" w:after="0" w:afterAutospacing="0"/>
            </w:pPr>
            <w:r>
              <w:rPr>
                <w:rFonts w:ascii="Garamond" w:hAnsi="Garamond"/>
                <w:color w:val="000000"/>
                <w:sz w:val="22"/>
                <w:szCs w:val="22"/>
              </w:rPr>
              <w:t>C16002: Household Language by Household Limited English-Speaking Status</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274B9" w14:textId="77777777" w:rsidR="00A36FA7" w:rsidRDefault="00A36FA7">
            <w:pPr>
              <w:pStyle w:val="NormalWeb"/>
              <w:spacing w:before="0" w:beforeAutospacing="0" w:after="0" w:afterAutospacing="0"/>
            </w:pPr>
            <w:r>
              <w:rPr>
                <w:rFonts w:ascii="Garamond" w:hAnsi="Garamond"/>
                <w:color w:val="000000"/>
                <w:sz w:val="22"/>
                <w:szCs w:val="22"/>
              </w:rPr>
              <w:t>Census Tracts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4A0DE" w14:textId="77777777" w:rsidR="00A36FA7" w:rsidRDefault="00A36FA7">
            <w:pPr>
              <w:pStyle w:val="NormalWeb"/>
              <w:spacing w:before="0" w:beforeAutospacing="0" w:after="0" w:afterAutospacing="0"/>
            </w:pPr>
            <w:r>
              <w:rPr>
                <w:rFonts w:ascii="Garamond" w:hAnsi="Garamond"/>
                <w:color w:val="000000"/>
                <w:sz w:val="22"/>
                <w:szCs w:val="22"/>
              </w:rPr>
              <w:t>2018, 5-year estimate (2014-2018)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C3F50" w14:textId="77777777" w:rsidR="00A36FA7" w:rsidRDefault="00A36FA7">
            <w:pPr>
              <w:pStyle w:val="NormalWeb"/>
              <w:spacing w:before="0" w:beforeAutospacing="0" w:after="0" w:afterAutospacing="0"/>
            </w:pPr>
            <w:r>
              <w:rPr>
                <w:rFonts w:ascii="Garamond" w:hAnsi="Garamond"/>
                <w:color w:val="000000"/>
                <w:sz w:val="22"/>
                <w:szCs w:val="22"/>
              </w:rPr>
              <w:t>ACS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5B1AA" w14:textId="77777777" w:rsidR="00A36FA7" w:rsidRDefault="00A36FA7">
            <w:pPr>
              <w:pStyle w:val="NormalWeb"/>
              <w:spacing w:before="0" w:beforeAutospacing="0" w:after="0" w:afterAutospacing="0"/>
            </w:pPr>
            <w:proofErr w:type="spellStart"/>
            <w:r>
              <w:rPr>
                <w:rFonts w:ascii="Garamond" w:hAnsi="Garamond"/>
                <w:color w:val="000000"/>
                <w:sz w:val="22"/>
                <w:szCs w:val="22"/>
              </w:rPr>
              <w:t>Tidycensus</w:t>
            </w:r>
            <w:proofErr w:type="spellEnd"/>
            <w:r>
              <w:rPr>
                <w:rFonts w:ascii="Garamond" w:hAnsi="Garamond"/>
                <w:color w:val="000000"/>
                <w:sz w:val="22"/>
                <w:szCs w:val="22"/>
              </w:rPr>
              <w:t xml:space="preserve"> package in R</w:t>
            </w:r>
          </w:p>
        </w:tc>
      </w:tr>
      <w:tr w:rsidR="00A36FA7" w14:paraId="56868FBE"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A8E45" w14:textId="77777777" w:rsidR="00A36FA7" w:rsidRDefault="00A36FA7">
            <w:pPr>
              <w:pStyle w:val="NormalWeb"/>
              <w:spacing w:before="0" w:beforeAutospacing="0" w:after="0" w:afterAutospacing="0"/>
            </w:pPr>
            <w:r>
              <w:rPr>
                <w:rFonts w:ascii="Garamond" w:hAnsi="Garamond"/>
                <w:color w:val="000000"/>
                <w:sz w:val="22"/>
                <w:szCs w:val="22"/>
              </w:rPr>
              <w:t>B17020: Poverty Status by Age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0DED0" w14:textId="77777777" w:rsidR="00A36FA7" w:rsidRDefault="00A36FA7">
            <w:pPr>
              <w:pStyle w:val="NormalWeb"/>
              <w:spacing w:before="0" w:beforeAutospacing="0" w:after="0" w:afterAutospacing="0"/>
            </w:pPr>
            <w:r>
              <w:rPr>
                <w:rFonts w:ascii="Garamond" w:hAnsi="Garamond"/>
                <w:color w:val="000000"/>
                <w:sz w:val="22"/>
                <w:szCs w:val="22"/>
              </w:rPr>
              <w:t>Census Tracts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08916" w14:textId="77777777" w:rsidR="00A36FA7" w:rsidRDefault="00A36FA7">
            <w:pPr>
              <w:pStyle w:val="NormalWeb"/>
              <w:spacing w:before="0" w:beforeAutospacing="0" w:after="0" w:afterAutospacing="0"/>
            </w:pPr>
            <w:r>
              <w:rPr>
                <w:rFonts w:ascii="Garamond" w:hAnsi="Garamond"/>
                <w:color w:val="000000"/>
                <w:sz w:val="22"/>
                <w:szCs w:val="22"/>
              </w:rPr>
              <w:t>2018, 5-year estimate (2014-2018)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7DB53" w14:textId="77777777" w:rsidR="00A36FA7" w:rsidRDefault="00A36FA7">
            <w:pPr>
              <w:pStyle w:val="NormalWeb"/>
              <w:spacing w:before="0" w:beforeAutospacing="0" w:after="0" w:afterAutospacing="0"/>
            </w:pPr>
            <w:r>
              <w:rPr>
                <w:rFonts w:ascii="Garamond" w:hAnsi="Garamond"/>
                <w:color w:val="000000"/>
                <w:sz w:val="22"/>
                <w:szCs w:val="22"/>
              </w:rPr>
              <w:t>ACS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5B9D2" w14:textId="77777777" w:rsidR="00A36FA7" w:rsidRDefault="00A36FA7">
            <w:pPr>
              <w:pStyle w:val="NormalWeb"/>
              <w:spacing w:before="0" w:beforeAutospacing="0" w:after="0" w:afterAutospacing="0"/>
            </w:pPr>
            <w:proofErr w:type="spellStart"/>
            <w:r>
              <w:rPr>
                <w:rFonts w:ascii="Garamond" w:hAnsi="Garamond"/>
                <w:color w:val="000000"/>
                <w:sz w:val="22"/>
                <w:szCs w:val="22"/>
              </w:rPr>
              <w:t>Tidycensus</w:t>
            </w:r>
            <w:proofErr w:type="spellEnd"/>
            <w:r>
              <w:rPr>
                <w:rFonts w:ascii="Garamond" w:hAnsi="Garamond"/>
                <w:color w:val="000000"/>
                <w:sz w:val="22"/>
                <w:szCs w:val="22"/>
              </w:rPr>
              <w:t xml:space="preserve"> package in R</w:t>
            </w:r>
          </w:p>
        </w:tc>
      </w:tr>
      <w:tr w:rsidR="00A36FA7" w14:paraId="75A958A9"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55FCB" w14:textId="77777777" w:rsidR="00A36FA7" w:rsidRDefault="00A36FA7">
            <w:pPr>
              <w:pStyle w:val="NormalWeb"/>
              <w:spacing w:before="0" w:beforeAutospacing="0" w:after="0" w:afterAutospacing="0"/>
            </w:pPr>
            <w:r>
              <w:rPr>
                <w:rFonts w:ascii="Garamond" w:hAnsi="Garamond"/>
                <w:color w:val="000000"/>
                <w:sz w:val="22"/>
                <w:szCs w:val="22"/>
              </w:rPr>
              <w:t>B02001: Race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89437" w14:textId="77777777" w:rsidR="00A36FA7" w:rsidRDefault="00A36FA7">
            <w:pPr>
              <w:pStyle w:val="NormalWeb"/>
              <w:spacing w:before="0" w:beforeAutospacing="0" w:after="0" w:afterAutospacing="0"/>
            </w:pPr>
            <w:r>
              <w:rPr>
                <w:rFonts w:ascii="Garamond" w:hAnsi="Garamond"/>
                <w:color w:val="000000"/>
                <w:sz w:val="22"/>
                <w:szCs w:val="22"/>
              </w:rPr>
              <w:t>Census Tracts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AAE92" w14:textId="77777777" w:rsidR="00A36FA7" w:rsidRDefault="00A36FA7">
            <w:pPr>
              <w:pStyle w:val="NormalWeb"/>
              <w:spacing w:before="0" w:beforeAutospacing="0" w:after="0" w:afterAutospacing="0"/>
            </w:pPr>
            <w:r>
              <w:rPr>
                <w:rFonts w:ascii="Garamond" w:hAnsi="Garamond"/>
                <w:color w:val="000000"/>
                <w:sz w:val="22"/>
                <w:szCs w:val="22"/>
              </w:rPr>
              <w:t>2018, 5-year estimate (2014-2018)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7BE13" w14:textId="77777777" w:rsidR="00A36FA7" w:rsidRDefault="00A36FA7">
            <w:pPr>
              <w:pStyle w:val="NormalWeb"/>
              <w:spacing w:before="0" w:beforeAutospacing="0" w:after="0" w:afterAutospacing="0"/>
            </w:pPr>
            <w:r>
              <w:rPr>
                <w:rFonts w:ascii="Garamond" w:hAnsi="Garamond"/>
                <w:color w:val="000000"/>
                <w:sz w:val="22"/>
                <w:szCs w:val="22"/>
              </w:rPr>
              <w:t>ACS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3D119" w14:textId="77777777" w:rsidR="00A36FA7" w:rsidRDefault="00A36FA7">
            <w:pPr>
              <w:pStyle w:val="NormalWeb"/>
              <w:spacing w:before="0" w:beforeAutospacing="0" w:after="0" w:afterAutospacing="0"/>
            </w:pPr>
            <w:proofErr w:type="spellStart"/>
            <w:r>
              <w:rPr>
                <w:rFonts w:ascii="Garamond" w:hAnsi="Garamond"/>
                <w:color w:val="000000"/>
                <w:sz w:val="22"/>
                <w:szCs w:val="22"/>
              </w:rPr>
              <w:t>Tidycensus</w:t>
            </w:r>
            <w:proofErr w:type="spellEnd"/>
            <w:r>
              <w:rPr>
                <w:rFonts w:ascii="Garamond" w:hAnsi="Garamond"/>
                <w:color w:val="000000"/>
                <w:sz w:val="22"/>
                <w:szCs w:val="22"/>
              </w:rPr>
              <w:t xml:space="preserve"> package in R</w:t>
            </w:r>
          </w:p>
        </w:tc>
      </w:tr>
      <w:tr w:rsidR="00A36FA7" w14:paraId="35657E04"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B4E84" w14:textId="77777777" w:rsidR="00A36FA7" w:rsidRDefault="00A36FA7">
            <w:pPr>
              <w:pStyle w:val="NormalWeb"/>
              <w:spacing w:before="0" w:beforeAutospacing="0" w:after="0" w:afterAutospacing="0"/>
            </w:pPr>
            <w:r>
              <w:rPr>
                <w:rFonts w:ascii="Garamond" w:hAnsi="Garamond"/>
                <w:color w:val="000000"/>
                <w:sz w:val="22"/>
                <w:szCs w:val="22"/>
              </w:rPr>
              <w:t>B11007: Households by Presence of People 65 Years and Over, Household Size and Household Type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0195C" w14:textId="77777777" w:rsidR="00A36FA7" w:rsidRDefault="00A36FA7">
            <w:pPr>
              <w:pStyle w:val="NormalWeb"/>
              <w:spacing w:before="0" w:beforeAutospacing="0" w:after="0" w:afterAutospacing="0"/>
            </w:pPr>
            <w:r>
              <w:rPr>
                <w:rFonts w:ascii="Garamond" w:hAnsi="Garamond"/>
                <w:color w:val="000000"/>
                <w:sz w:val="22"/>
                <w:szCs w:val="22"/>
              </w:rPr>
              <w:t>Census Tracts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9BE8E" w14:textId="77777777" w:rsidR="00A36FA7" w:rsidRDefault="00A36FA7">
            <w:pPr>
              <w:pStyle w:val="NormalWeb"/>
              <w:spacing w:before="0" w:beforeAutospacing="0" w:after="0" w:afterAutospacing="0"/>
            </w:pPr>
            <w:r>
              <w:rPr>
                <w:rFonts w:ascii="Garamond" w:hAnsi="Garamond"/>
                <w:color w:val="000000"/>
                <w:sz w:val="22"/>
                <w:szCs w:val="22"/>
              </w:rPr>
              <w:t>2018, 5-year estimate (2014-2018)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2925" w14:textId="77777777" w:rsidR="00A36FA7" w:rsidRDefault="00A36FA7">
            <w:pPr>
              <w:pStyle w:val="NormalWeb"/>
              <w:spacing w:before="0" w:beforeAutospacing="0" w:after="0" w:afterAutospacing="0"/>
            </w:pPr>
            <w:r>
              <w:rPr>
                <w:rFonts w:ascii="Garamond" w:hAnsi="Garamond"/>
                <w:color w:val="000000"/>
                <w:sz w:val="22"/>
                <w:szCs w:val="22"/>
              </w:rPr>
              <w:t>ACS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76F4B" w14:textId="77777777" w:rsidR="00A36FA7" w:rsidRDefault="00A36FA7">
            <w:pPr>
              <w:pStyle w:val="NormalWeb"/>
              <w:spacing w:before="0" w:beforeAutospacing="0" w:after="0" w:afterAutospacing="0"/>
            </w:pPr>
            <w:proofErr w:type="spellStart"/>
            <w:r>
              <w:rPr>
                <w:rFonts w:ascii="Garamond" w:hAnsi="Garamond"/>
                <w:color w:val="000000"/>
                <w:sz w:val="22"/>
                <w:szCs w:val="22"/>
              </w:rPr>
              <w:t>Tidycensus</w:t>
            </w:r>
            <w:proofErr w:type="spellEnd"/>
            <w:r>
              <w:rPr>
                <w:rFonts w:ascii="Garamond" w:hAnsi="Garamond"/>
                <w:color w:val="000000"/>
                <w:sz w:val="22"/>
                <w:szCs w:val="22"/>
              </w:rPr>
              <w:t xml:space="preserve"> package in R</w:t>
            </w:r>
          </w:p>
        </w:tc>
      </w:tr>
      <w:tr w:rsidR="00A36FA7" w14:paraId="51E9F8F1"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03D44" w14:textId="77777777" w:rsidR="00A36FA7" w:rsidRDefault="00A36FA7">
            <w:pPr>
              <w:pStyle w:val="NormalWeb"/>
              <w:spacing w:before="0" w:beforeAutospacing="0" w:after="0" w:afterAutospacing="0"/>
            </w:pPr>
            <w:r>
              <w:rPr>
                <w:rFonts w:ascii="Garamond" w:hAnsi="Garamond"/>
                <w:color w:val="000000"/>
                <w:sz w:val="22"/>
                <w:szCs w:val="22"/>
              </w:rPr>
              <w:t>500 Cities: Census Tract-level Data (GIS Friendly Format), 2018 release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B1D10" w14:textId="77777777" w:rsidR="00A36FA7" w:rsidRDefault="00A36FA7">
            <w:pPr>
              <w:pStyle w:val="NormalWeb"/>
              <w:spacing w:before="0" w:beforeAutospacing="0" w:after="0" w:afterAutospacing="0"/>
            </w:pPr>
            <w:r>
              <w:rPr>
                <w:rFonts w:ascii="Garamond" w:hAnsi="Garamond"/>
                <w:color w:val="000000"/>
                <w:sz w:val="22"/>
                <w:szCs w:val="22"/>
              </w:rPr>
              <w:t>Census Tracts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6D3F8" w14:textId="77777777" w:rsidR="00A36FA7" w:rsidRDefault="00A36FA7">
            <w:pPr>
              <w:pStyle w:val="NormalWeb"/>
              <w:spacing w:before="0" w:beforeAutospacing="0" w:after="0" w:afterAutospacing="0"/>
            </w:pPr>
            <w:r>
              <w:rPr>
                <w:rFonts w:ascii="Garamond" w:hAnsi="Garamond"/>
                <w:color w:val="000000"/>
                <w:sz w:val="22"/>
                <w:szCs w:val="22"/>
              </w:rPr>
              <w:t>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E8CD0" w14:textId="77777777" w:rsidR="00A36FA7" w:rsidRDefault="00A36FA7">
            <w:pPr>
              <w:pStyle w:val="NormalWeb"/>
              <w:spacing w:before="0" w:beforeAutospacing="0" w:after="0" w:afterAutospacing="0"/>
            </w:pPr>
            <w:r>
              <w:rPr>
                <w:rFonts w:ascii="Garamond" w:hAnsi="Garamond"/>
                <w:color w:val="000000"/>
                <w:sz w:val="22"/>
                <w:szCs w:val="22"/>
              </w:rPr>
              <w:t>Center for Disease Control and Prevention (CDC)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CD87D" w14:textId="77777777" w:rsidR="00A36FA7" w:rsidRDefault="00575A57">
            <w:pPr>
              <w:pStyle w:val="NormalWeb"/>
              <w:spacing w:before="0" w:beforeAutospacing="0" w:after="0" w:afterAutospacing="0"/>
            </w:pPr>
            <w:hyperlink r:id="rId16" w:history="1">
              <w:r w:rsidR="00A36FA7">
                <w:rPr>
                  <w:rStyle w:val="Hyperlink"/>
                  <w:rFonts w:ascii="Garamond" w:hAnsi="Garamond"/>
                  <w:color w:val="000000"/>
                  <w:sz w:val="22"/>
                  <w:szCs w:val="22"/>
                </w:rPr>
                <w:t>CDC Website</w:t>
              </w:r>
            </w:hyperlink>
          </w:p>
        </w:tc>
      </w:tr>
      <w:tr w:rsidR="00A36FA7" w14:paraId="6DBAE9B6"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024F9" w14:textId="77777777" w:rsidR="00A36FA7" w:rsidRDefault="00A36FA7">
            <w:pPr>
              <w:pStyle w:val="NormalWeb"/>
              <w:spacing w:before="0" w:beforeAutospacing="0" w:after="0" w:afterAutospacing="0"/>
            </w:pPr>
            <w:r>
              <w:rPr>
                <w:rFonts w:ascii="Garamond" w:hAnsi="Garamond"/>
                <w:color w:val="000000"/>
                <w:sz w:val="22"/>
                <w:szCs w:val="22"/>
                <w:shd w:val="clear" w:color="auto" w:fill="FFFFFF"/>
              </w:rPr>
              <w:t>USGS Landsat 8 Collection 1 Tier 1 Surface Reflectance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71BC1" w14:textId="77777777" w:rsidR="00A36FA7" w:rsidRDefault="00A36FA7">
            <w:pPr>
              <w:pStyle w:val="NormalWeb"/>
              <w:spacing w:before="0" w:beforeAutospacing="0" w:after="0" w:afterAutospacing="0"/>
            </w:pPr>
            <w:r>
              <w:rPr>
                <w:rFonts w:ascii="Garamond" w:hAnsi="Garamond"/>
                <w:color w:val="000000"/>
                <w:sz w:val="22"/>
                <w:szCs w:val="22"/>
              </w:rPr>
              <w:t>30 meter</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096E7" w14:textId="77777777" w:rsidR="00A36FA7" w:rsidRDefault="00A36FA7">
            <w:pPr>
              <w:pStyle w:val="NormalWeb"/>
              <w:spacing w:before="0" w:beforeAutospacing="0" w:after="0" w:afterAutospacing="0"/>
            </w:pPr>
            <w:r>
              <w:rPr>
                <w:rFonts w:ascii="Garamond" w:hAnsi="Garamond"/>
                <w:color w:val="000000"/>
                <w:sz w:val="22"/>
                <w:szCs w:val="22"/>
              </w:rPr>
              <w:t>June 1 to September 1, 2017-2019</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9E2F3" w14:textId="77777777" w:rsidR="00A36FA7" w:rsidRDefault="00A36FA7">
            <w:pPr>
              <w:pStyle w:val="NormalWeb"/>
              <w:spacing w:before="0" w:beforeAutospacing="0" w:after="0" w:afterAutospacing="0"/>
            </w:pPr>
            <w:r>
              <w:rPr>
                <w:rFonts w:ascii="Garamond" w:hAnsi="Garamond"/>
                <w:color w:val="000000"/>
                <w:sz w:val="22"/>
                <w:szCs w:val="22"/>
              </w:rPr>
              <w:t>NASA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4659C" w14:textId="77777777" w:rsidR="00A36FA7" w:rsidRDefault="00A36FA7">
            <w:pPr>
              <w:pStyle w:val="NormalWeb"/>
              <w:spacing w:before="0" w:beforeAutospacing="0" w:after="0" w:afterAutospacing="0"/>
            </w:pPr>
            <w:r>
              <w:rPr>
                <w:rFonts w:ascii="Garamond" w:hAnsi="Garamond"/>
                <w:color w:val="000000"/>
                <w:sz w:val="22"/>
                <w:szCs w:val="22"/>
              </w:rPr>
              <w:t>Google Earth Engine</w:t>
            </w:r>
          </w:p>
        </w:tc>
      </w:tr>
      <w:tr w:rsidR="00A36FA7" w14:paraId="615CD6B8"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4D55E" w14:textId="77777777" w:rsidR="00A36FA7" w:rsidRDefault="00A36FA7">
            <w:pPr>
              <w:pStyle w:val="NormalWeb"/>
              <w:spacing w:before="0" w:beforeAutospacing="0" w:after="0" w:afterAutospacing="0"/>
            </w:pPr>
            <w:r>
              <w:rPr>
                <w:rFonts w:ascii="Garamond" w:hAnsi="Garamond"/>
                <w:color w:val="000000"/>
                <w:sz w:val="22"/>
                <w:szCs w:val="22"/>
                <w:shd w:val="clear" w:color="auto" w:fill="FFFFFF"/>
              </w:rPr>
              <w:t>MODIS Aqua Surface Reflectance  </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A4080" w14:textId="77777777" w:rsidR="00A36FA7" w:rsidRDefault="00A36FA7">
            <w:pPr>
              <w:pStyle w:val="NormalWeb"/>
              <w:spacing w:before="0" w:beforeAutospacing="0" w:after="0" w:afterAutospacing="0"/>
            </w:pPr>
            <w:r>
              <w:rPr>
                <w:rFonts w:ascii="Garamond" w:hAnsi="Garamond"/>
                <w:color w:val="000000"/>
                <w:sz w:val="22"/>
                <w:szCs w:val="22"/>
              </w:rPr>
              <w:t>500m</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96808" w14:textId="77777777" w:rsidR="00A36FA7" w:rsidRDefault="00A36FA7">
            <w:pPr>
              <w:pStyle w:val="NormalWeb"/>
              <w:spacing w:before="0" w:beforeAutospacing="0" w:after="0" w:afterAutospacing="0"/>
            </w:pPr>
            <w:r>
              <w:rPr>
                <w:rFonts w:ascii="Garamond" w:hAnsi="Garamond"/>
                <w:color w:val="000000"/>
                <w:sz w:val="22"/>
                <w:szCs w:val="22"/>
              </w:rPr>
              <w:t>June 1 to September 1, 2017-2019</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8ECB9" w14:textId="77777777" w:rsidR="00A36FA7" w:rsidRDefault="00A36FA7">
            <w:pPr>
              <w:pStyle w:val="NormalWeb"/>
              <w:spacing w:before="0" w:beforeAutospacing="0" w:after="0" w:afterAutospacing="0"/>
            </w:pPr>
            <w:r>
              <w:rPr>
                <w:rFonts w:ascii="Garamond" w:hAnsi="Garamond"/>
                <w:color w:val="000000"/>
                <w:sz w:val="22"/>
                <w:szCs w:val="22"/>
              </w:rPr>
              <w:t>NASA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E4BC0" w14:textId="77777777" w:rsidR="00A36FA7" w:rsidRDefault="00A36FA7">
            <w:pPr>
              <w:pStyle w:val="NormalWeb"/>
              <w:spacing w:before="0" w:beforeAutospacing="0" w:after="0" w:afterAutospacing="0"/>
            </w:pPr>
            <w:r>
              <w:rPr>
                <w:rFonts w:ascii="Garamond" w:hAnsi="Garamond"/>
                <w:color w:val="000000"/>
                <w:sz w:val="22"/>
                <w:szCs w:val="22"/>
              </w:rPr>
              <w:t>Google Earth Engine</w:t>
            </w:r>
          </w:p>
        </w:tc>
      </w:tr>
      <w:tr w:rsidR="00A36FA7" w14:paraId="1FB56484"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6461B" w14:textId="77777777" w:rsidR="00A36FA7" w:rsidRDefault="00A36FA7">
            <w:pPr>
              <w:pStyle w:val="NormalWeb"/>
              <w:spacing w:before="0" w:beforeAutospacing="0" w:after="0" w:afterAutospacing="0"/>
            </w:pPr>
            <w:r>
              <w:rPr>
                <w:rFonts w:ascii="Garamond" w:hAnsi="Garamond"/>
                <w:color w:val="000000"/>
                <w:sz w:val="22"/>
                <w:szCs w:val="22"/>
                <w:shd w:val="clear" w:color="auto" w:fill="FFFFFF"/>
              </w:rPr>
              <w:t>MODIS Aqua Land Surface Temperature and Emissivity</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C5DEA" w14:textId="77777777" w:rsidR="00A36FA7" w:rsidRDefault="00A36FA7">
            <w:pPr>
              <w:pStyle w:val="NormalWeb"/>
              <w:spacing w:before="0" w:beforeAutospacing="0" w:after="0" w:afterAutospacing="0"/>
            </w:pPr>
            <w:r>
              <w:rPr>
                <w:rFonts w:ascii="Garamond" w:hAnsi="Garamond"/>
                <w:color w:val="000000"/>
                <w:sz w:val="22"/>
                <w:szCs w:val="22"/>
              </w:rPr>
              <w:t>1km</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BA741" w14:textId="77777777" w:rsidR="00A36FA7" w:rsidRDefault="00A36FA7">
            <w:pPr>
              <w:pStyle w:val="NormalWeb"/>
              <w:spacing w:before="0" w:beforeAutospacing="0" w:after="0" w:afterAutospacing="0"/>
            </w:pPr>
            <w:r>
              <w:rPr>
                <w:rFonts w:ascii="Garamond" w:hAnsi="Garamond"/>
                <w:color w:val="000000"/>
                <w:sz w:val="22"/>
                <w:szCs w:val="22"/>
              </w:rPr>
              <w:t>June 1 to September 1, 2017-2019</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C733C" w14:textId="77777777" w:rsidR="00A36FA7" w:rsidRDefault="00A36FA7">
            <w:pPr>
              <w:pStyle w:val="NormalWeb"/>
              <w:spacing w:before="0" w:beforeAutospacing="0" w:after="0" w:afterAutospacing="0"/>
            </w:pPr>
            <w:r>
              <w:rPr>
                <w:rFonts w:ascii="Garamond" w:hAnsi="Garamond"/>
                <w:color w:val="000000"/>
                <w:sz w:val="22"/>
                <w:szCs w:val="22"/>
              </w:rPr>
              <w:t>NASA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D79C6" w14:textId="77777777" w:rsidR="00A36FA7" w:rsidRDefault="00A36FA7">
            <w:pPr>
              <w:pStyle w:val="NormalWeb"/>
              <w:spacing w:before="0" w:beforeAutospacing="0" w:after="0" w:afterAutospacing="0"/>
            </w:pPr>
            <w:r>
              <w:rPr>
                <w:rFonts w:ascii="Garamond" w:hAnsi="Garamond"/>
                <w:color w:val="000000"/>
                <w:sz w:val="22"/>
                <w:szCs w:val="22"/>
              </w:rPr>
              <w:t>Google Earth Engine</w:t>
            </w:r>
          </w:p>
        </w:tc>
      </w:tr>
      <w:tr w:rsidR="00A36FA7" w14:paraId="3192279C"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DEFA7" w14:textId="77777777" w:rsidR="00A36FA7" w:rsidRDefault="00A36FA7">
            <w:pPr>
              <w:pStyle w:val="NormalWeb"/>
              <w:spacing w:before="0" w:beforeAutospacing="0" w:after="0" w:afterAutospacing="0"/>
            </w:pPr>
            <w:r>
              <w:rPr>
                <w:rFonts w:ascii="Garamond" w:hAnsi="Garamond"/>
                <w:color w:val="000000"/>
                <w:sz w:val="22"/>
                <w:szCs w:val="22"/>
                <w:shd w:val="clear" w:color="auto" w:fill="FFFFFF"/>
              </w:rPr>
              <w:lastRenderedPageBreak/>
              <w:t>Philadelphia City Limits Shapefile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F8906" w14:textId="77777777" w:rsidR="00A36FA7" w:rsidRDefault="00A36FA7">
            <w:pPr>
              <w:pStyle w:val="NormalWeb"/>
              <w:spacing w:before="0" w:beforeAutospacing="0" w:after="0" w:afterAutospacing="0"/>
            </w:pPr>
            <w:r>
              <w:rPr>
                <w:rFonts w:ascii="Garamond" w:hAnsi="Garamond"/>
                <w:color w:val="000000"/>
                <w:sz w:val="22"/>
                <w:szCs w:val="22"/>
              </w:rPr>
              <w:t>City of Philadelphia</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87D3A" w14:textId="77777777" w:rsidR="00A36FA7" w:rsidRDefault="00A36FA7">
            <w:pPr>
              <w:pStyle w:val="NormalWeb"/>
              <w:spacing w:before="0" w:beforeAutospacing="0" w:after="0" w:afterAutospacing="0"/>
            </w:pPr>
            <w:r>
              <w:rPr>
                <w:rFonts w:ascii="Garamond" w:hAnsi="Garamond"/>
                <w:color w:val="000000"/>
                <w:sz w:val="22"/>
                <w:szCs w:val="22"/>
              </w:rPr>
              <w:t>2014</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8EFF1" w14:textId="77777777" w:rsidR="00A36FA7" w:rsidRDefault="00A36FA7">
            <w:pPr>
              <w:pStyle w:val="NormalWeb"/>
              <w:spacing w:before="0" w:beforeAutospacing="0" w:after="0" w:afterAutospacing="0"/>
            </w:pPr>
            <w:r>
              <w:rPr>
                <w:rFonts w:ascii="Garamond" w:hAnsi="Garamond"/>
                <w:color w:val="000000"/>
                <w:sz w:val="22"/>
                <w:szCs w:val="22"/>
              </w:rPr>
              <w:t>City of Philadelphia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9AA2B" w14:textId="77777777" w:rsidR="00A36FA7" w:rsidRDefault="00575A57">
            <w:pPr>
              <w:pStyle w:val="NormalWeb"/>
              <w:spacing w:before="0" w:beforeAutospacing="0" w:after="0" w:afterAutospacing="0"/>
            </w:pPr>
            <w:hyperlink r:id="rId17" w:history="1">
              <w:proofErr w:type="spellStart"/>
              <w:r w:rsidR="00A36FA7">
                <w:rPr>
                  <w:rStyle w:val="Hyperlink"/>
                  <w:rFonts w:ascii="Garamond" w:hAnsi="Garamond"/>
                  <w:color w:val="000000"/>
                  <w:sz w:val="22"/>
                  <w:szCs w:val="22"/>
                </w:rPr>
                <w:t>OpenDataPhilly</w:t>
              </w:r>
              <w:proofErr w:type="spellEnd"/>
            </w:hyperlink>
          </w:p>
        </w:tc>
      </w:tr>
      <w:tr w:rsidR="00A36FA7" w14:paraId="7F9E2EAC"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66C67" w14:textId="77777777" w:rsidR="00A36FA7" w:rsidRDefault="00A36FA7">
            <w:pPr>
              <w:pStyle w:val="NormalWeb"/>
              <w:spacing w:before="0" w:beforeAutospacing="0" w:after="0" w:afterAutospacing="0"/>
            </w:pPr>
            <w:r>
              <w:rPr>
                <w:rFonts w:ascii="Garamond" w:hAnsi="Garamond"/>
                <w:color w:val="000000"/>
                <w:sz w:val="22"/>
                <w:szCs w:val="22"/>
                <w:shd w:val="clear" w:color="auto" w:fill="FFFFFF"/>
              </w:rPr>
              <w:t>TIGER/Line Shapefile, 2018, state, Pennsylvania, Current Census Tract State-based</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9985D" w14:textId="77777777" w:rsidR="00A36FA7" w:rsidRDefault="00A36FA7">
            <w:pPr>
              <w:pStyle w:val="NormalWeb"/>
              <w:spacing w:before="0" w:beforeAutospacing="0" w:after="0" w:afterAutospacing="0"/>
            </w:pPr>
            <w:r>
              <w:rPr>
                <w:rFonts w:ascii="Garamond" w:hAnsi="Garamond"/>
                <w:color w:val="000000"/>
                <w:sz w:val="22"/>
                <w:szCs w:val="22"/>
              </w:rPr>
              <w:t>Pennsylvania</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705AD" w14:textId="77777777" w:rsidR="00A36FA7" w:rsidRDefault="00A36FA7">
            <w:pPr>
              <w:pStyle w:val="NormalWeb"/>
              <w:spacing w:before="0" w:beforeAutospacing="0" w:after="0" w:afterAutospacing="0"/>
            </w:pPr>
            <w:r>
              <w:rPr>
                <w:rFonts w:ascii="Garamond" w:hAnsi="Garamond"/>
                <w:color w:val="000000"/>
                <w:sz w:val="22"/>
                <w:szCs w:val="22"/>
              </w:rPr>
              <w:t>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161D0" w14:textId="77777777" w:rsidR="00A36FA7" w:rsidRDefault="00A36FA7">
            <w:pPr>
              <w:pStyle w:val="NormalWeb"/>
              <w:spacing w:before="0" w:beforeAutospacing="0" w:after="0" w:afterAutospacing="0"/>
            </w:pPr>
            <w:r>
              <w:rPr>
                <w:rFonts w:ascii="Garamond" w:hAnsi="Garamond"/>
                <w:color w:val="000000"/>
                <w:sz w:val="22"/>
                <w:szCs w:val="22"/>
              </w:rPr>
              <w:t>US Census Bureau, Department of Commerce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24998" w14:textId="77777777" w:rsidR="00A36FA7" w:rsidRDefault="00575A57">
            <w:pPr>
              <w:pStyle w:val="NormalWeb"/>
              <w:spacing w:before="0" w:beforeAutospacing="0" w:after="0" w:afterAutospacing="0"/>
            </w:pPr>
            <w:hyperlink r:id="rId18" w:history="1">
              <w:r w:rsidR="00A36FA7">
                <w:rPr>
                  <w:rStyle w:val="Hyperlink"/>
                  <w:rFonts w:ascii="Garamond" w:hAnsi="Garamond"/>
                  <w:color w:val="000000"/>
                  <w:sz w:val="22"/>
                  <w:szCs w:val="22"/>
                </w:rPr>
                <w:t>Data.gov</w:t>
              </w:r>
            </w:hyperlink>
          </w:p>
        </w:tc>
      </w:tr>
      <w:tr w:rsidR="00A36FA7" w14:paraId="1539B612"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1703F" w14:textId="77777777" w:rsidR="00A36FA7" w:rsidRDefault="00A36FA7">
            <w:pPr>
              <w:pStyle w:val="NormalWeb"/>
              <w:spacing w:before="0" w:beforeAutospacing="0" w:after="0" w:afterAutospacing="0"/>
            </w:pPr>
            <w:r>
              <w:rPr>
                <w:rFonts w:ascii="Garamond" w:hAnsi="Garamond"/>
                <w:color w:val="000000"/>
                <w:sz w:val="22"/>
                <w:szCs w:val="22"/>
                <w:shd w:val="clear" w:color="auto" w:fill="FFFFFF"/>
              </w:rPr>
              <w:t>Citywide_StreetTreeDensity_2017</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C1328" w14:textId="77777777" w:rsidR="00A36FA7" w:rsidRDefault="00A36FA7">
            <w:pPr>
              <w:pStyle w:val="NormalWeb"/>
              <w:spacing w:before="0" w:beforeAutospacing="0" w:after="0" w:afterAutospacing="0"/>
            </w:pPr>
            <w:r>
              <w:rPr>
                <w:rFonts w:ascii="Garamond" w:hAnsi="Garamond"/>
                <w:color w:val="000000"/>
                <w:sz w:val="22"/>
                <w:szCs w:val="22"/>
              </w:rPr>
              <w:t>street level vector file  </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79927" w14:textId="77777777" w:rsidR="00A36FA7" w:rsidRDefault="00A36FA7">
            <w:pPr>
              <w:pStyle w:val="NormalWeb"/>
              <w:spacing w:before="0" w:beforeAutospacing="0" w:after="0" w:afterAutospacing="0"/>
            </w:pPr>
            <w:r>
              <w:rPr>
                <w:rFonts w:ascii="Garamond" w:hAnsi="Garamond"/>
                <w:color w:val="000000"/>
                <w:sz w:val="22"/>
                <w:szCs w:val="22"/>
              </w:rPr>
              <w:t>2017</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B7325" w14:textId="77777777" w:rsidR="00A36FA7" w:rsidRDefault="00A36FA7">
            <w:pPr>
              <w:pStyle w:val="NormalWeb"/>
              <w:spacing w:before="0" w:beforeAutospacing="0" w:after="0" w:afterAutospacing="0"/>
            </w:pPr>
            <w:r>
              <w:rPr>
                <w:rFonts w:ascii="Garamond" w:hAnsi="Garamond"/>
                <w:color w:val="000000"/>
                <w:sz w:val="22"/>
                <w:szCs w:val="22"/>
              </w:rPr>
              <w:t xml:space="preserve">Lauren </w:t>
            </w:r>
            <w:proofErr w:type="spellStart"/>
            <w:r>
              <w:rPr>
                <w:rFonts w:ascii="Garamond" w:hAnsi="Garamond"/>
                <w:color w:val="000000"/>
                <w:sz w:val="22"/>
                <w:szCs w:val="22"/>
              </w:rPr>
              <w:t>Medsker</w:t>
            </w:r>
            <w:proofErr w:type="spellEnd"/>
            <w:r>
              <w:rPr>
                <w:rFonts w:ascii="Garamond" w:hAnsi="Garamond"/>
                <w:color w:val="000000"/>
                <w:sz w:val="22"/>
                <w:szCs w:val="22"/>
              </w:rPr>
              <w:t xml:space="preserve">, Philadelphia Horticultural Society modified from Philadelphia Parks and Recreation </w:t>
            </w:r>
            <w:hyperlink r:id="rId19" w:history="1">
              <w:r>
                <w:rPr>
                  <w:rStyle w:val="Hyperlink"/>
                  <w:rFonts w:ascii="Garamond" w:hAnsi="Garamond"/>
                  <w:color w:val="000000"/>
                  <w:sz w:val="22"/>
                  <w:szCs w:val="22"/>
                </w:rPr>
                <w:t>Street Tree Inventory</w:t>
              </w:r>
            </w:hyperlink>
            <w:r>
              <w:rPr>
                <w:rFonts w:ascii="Garamond" w:hAnsi="Garamond"/>
                <w:color w:val="000000"/>
                <w:sz w:val="22"/>
                <w:szCs w:val="22"/>
              </w:rPr>
              <w:t> </w:t>
            </w:r>
          </w:p>
          <w:p w14:paraId="4B6CFD3A" w14:textId="77777777" w:rsidR="00A36FA7" w:rsidRDefault="00A36FA7"/>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B690C" w14:textId="77777777" w:rsidR="00A36FA7" w:rsidRDefault="00575A57">
            <w:pPr>
              <w:pStyle w:val="NormalWeb"/>
              <w:spacing w:before="0" w:beforeAutospacing="0" w:after="0" w:afterAutospacing="0"/>
            </w:pPr>
            <w:hyperlink r:id="rId20" w:history="1">
              <w:r w:rsidR="00A36FA7">
                <w:rPr>
                  <w:rStyle w:val="Hyperlink"/>
                  <w:rFonts w:ascii="Garamond" w:hAnsi="Garamond"/>
                  <w:color w:val="000000"/>
                  <w:sz w:val="22"/>
                  <w:szCs w:val="22"/>
                </w:rPr>
                <w:t>ArcGIS Online</w:t>
              </w:r>
            </w:hyperlink>
          </w:p>
        </w:tc>
      </w:tr>
      <w:tr w:rsidR="00A36FA7" w14:paraId="5434A4AB" w14:textId="77777777" w:rsidTr="002948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A99AB" w14:textId="77777777" w:rsidR="00A36FA7" w:rsidRDefault="00A36FA7">
            <w:pPr>
              <w:pStyle w:val="NormalWeb"/>
              <w:spacing w:before="0" w:beforeAutospacing="0" w:after="0" w:afterAutospacing="0"/>
            </w:pPr>
            <w:r>
              <w:rPr>
                <w:rFonts w:ascii="Garamond" w:hAnsi="Garamond"/>
                <w:color w:val="000000"/>
                <w:sz w:val="22"/>
                <w:szCs w:val="22"/>
                <w:shd w:val="clear" w:color="auto" w:fill="FFFFFF"/>
              </w:rPr>
              <w:t>TIGER/Line Shapefile, 2018, county, Philadelphia County, PA, All Roads County-based Shapefile</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619C0" w14:textId="77777777" w:rsidR="00A36FA7" w:rsidRDefault="00A36FA7">
            <w:pPr>
              <w:pStyle w:val="NormalWeb"/>
              <w:spacing w:before="0" w:beforeAutospacing="0" w:after="0" w:afterAutospacing="0"/>
            </w:pPr>
            <w:r>
              <w:rPr>
                <w:rFonts w:ascii="Garamond" w:hAnsi="Garamond"/>
                <w:color w:val="000000"/>
                <w:sz w:val="22"/>
                <w:szCs w:val="22"/>
              </w:rPr>
              <w:t>Philadelphia County</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6B26B" w14:textId="77777777" w:rsidR="00A36FA7" w:rsidRDefault="00A36FA7">
            <w:pPr>
              <w:pStyle w:val="NormalWeb"/>
              <w:spacing w:before="0" w:beforeAutospacing="0" w:after="0" w:afterAutospacing="0"/>
            </w:pPr>
            <w:r>
              <w:rPr>
                <w:rFonts w:ascii="Garamond" w:hAnsi="Garamond"/>
                <w:color w:val="000000"/>
                <w:sz w:val="22"/>
                <w:szCs w:val="22"/>
              </w:rPr>
              <w:t>2018</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77A47" w14:textId="77777777" w:rsidR="00A36FA7" w:rsidRDefault="00A36FA7">
            <w:pPr>
              <w:pStyle w:val="NormalWeb"/>
              <w:spacing w:before="0" w:beforeAutospacing="0" w:after="0" w:afterAutospacing="0"/>
            </w:pPr>
            <w:r>
              <w:rPr>
                <w:rFonts w:ascii="Garamond" w:hAnsi="Garamond"/>
                <w:color w:val="000000"/>
                <w:sz w:val="22"/>
                <w:szCs w:val="22"/>
              </w:rPr>
              <w:t>US Census Bureau, Department of Commerce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D39A" w14:textId="77777777" w:rsidR="00A36FA7" w:rsidRDefault="00575A57">
            <w:pPr>
              <w:pStyle w:val="NormalWeb"/>
              <w:spacing w:before="0" w:beforeAutospacing="0" w:after="0" w:afterAutospacing="0"/>
            </w:pPr>
            <w:hyperlink r:id="rId21" w:history="1">
              <w:r w:rsidR="00A36FA7">
                <w:rPr>
                  <w:rStyle w:val="Hyperlink"/>
                  <w:rFonts w:ascii="Garamond" w:hAnsi="Garamond"/>
                  <w:color w:val="000000"/>
                  <w:sz w:val="22"/>
                  <w:szCs w:val="22"/>
                </w:rPr>
                <w:t>Data.gov</w:t>
              </w:r>
            </w:hyperlink>
          </w:p>
        </w:tc>
      </w:tr>
    </w:tbl>
    <w:p w14:paraId="029E1947" w14:textId="77777777" w:rsidR="00A36FA7" w:rsidRDefault="00A36FA7" w:rsidP="00A36FA7"/>
    <w:p w14:paraId="326E8094" w14:textId="77777777" w:rsidR="00A36FA7" w:rsidRDefault="00A36FA7" w:rsidP="00A36FA7">
      <w:pPr>
        <w:pStyle w:val="NormalWeb"/>
        <w:spacing w:before="0" w:beforeAutospacing="0" w:after="0" w:afterAutospacing="0"/>
        <w:rPr>
          <w:rFonts w:ascii="Garamond" w:hAnsi="Garamond"/>
          <w:b/>
          <w:bCs/>
          <w:color w:val="000000"/>
          <w:sz w:val="22"/>
          <w:szCs w:val="22"/>
        </w:rPr>
      </w:pPr>
    </w:p>
    <w:p w14:paraId="537B4166" w14:textId="2C7E371F" w:rsidR="00A36FA7" w:rsidRDefault="00A36FA7" w:rsidP="00A36FA7">
      <w:pPr>
        <w:pStyle w:val="NormalWeb"/>
        <w:spacing w:before="0" w:beforeAutospacing="0" w:after="0" w:afterAutospacing="0"/>
        <w:rPr>
          <w:rFonts w:ascii="Garamond" w:hAnsi="Garamond"/>
          <w:b/>
          <w:bCs/>
          <w:color w:val="000000"/>
          <w:sz w:val="22"/>
          <w:szCs w:val="22"/>
        </w:rPr>
      </w:pPr>
      <w:r>
        <w:rPr>
          <w:rFonts w:ascii="Garamond" w:hAnsi="Garamond"/>
          <w:b/>
          <w:bCs/>
          <w:noProof/>
          <w:color w:val="000000"/>
          <w:sz w:val="22"/>
          <w:szCs w:val="22"/>
        </w:rPr>
        <w:lastRenderedPageBreak/>
        <w:drawing>
          <wp:inline distT="0" distB="0" distL="0" distR="0" wp14:anchorId="01157037" wp14:editId="4B119ED8">
            <wp:extent cx="5943600" cy="3964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tmaps_HSIHEIP_Appendix.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3565D91C" w14:textId="7E07A353" w:rsidR="00A36FA7" w:rsidRDefault="00A36FA7" w:rsidP="00A36FA7">
      <w:pPr>
        <w:pStyle w:val="NormalWeb"/>
        <w:spacing w:before="0" w:beforeAutospacing="0" w:after="0" w:afterAutospacing="0"/>
        <w:jc w:val="center"/>
        <w:rPr>
          <w:rFonts w:ascii="Garamond" w:hAnsi="Garamond"/>
          <w:color w:val="000000"/>
          <w:sz w:val="22"/>
          <w:szCs w:val="22"/>
        </w:rPr>
      </w:pPr>
      <w:r w:rsidRPr="00A36FA7">
        <w:rPr>
          <w:rFonts w:ascii="Garamond" w:hAnsi="Garamond"/>
          <w:bCs/>
          <w:i/>
          <w:color w:val="000000"/>
          <w:sz w:val="22"/>
          <w:szCs w:val="22"/>
        </w:rPr>
        <w:t>Figure A1</w:t>
      </w:r>
      <w:r>
        <w:rPr>
          <w:rFonts w:ascii="Garamond" w:hAnsi="Garamond"/>
          <w:color w:val="000000"/>
          <w:sz w:val="22"/>
          <w:szCs w:val="22"/>
        </w:rPr>
        <w:t>.  Loadings of Principal Component Analyses for A) Heat Sensitivity Index and B) Heat Exposure Index. For the Heat Sensitivity Index, the principal component 1 (PC1) is driven by socioeconomic factors and chronic health conditions and accounts for 51 percent of data variance. PC2 is representative of age and age-related health conditions. PC3 can be described as the socio-cultural component with strong loadings on percent population in limited English-speaking households, with less than a high school education, and living below the federal poverty level. Together the three components explain 83 percent of data variance. In the Heat Exposure Index, PC1 is driven by daytime LST, NDBI, NDVI, and NDWI. PC2 is representative of heat retention and driven by nighttime LST and albedo. Together the two components account for 81 percent of data variance.</w:t>
      </w:r>
    </w:p>
    <w:p w14:paraId="0611A5B6" w14:textId="6E0EE2A6" w:rsidR="00A36FA7" w:rsidRDefault="00A36FA7" w:rsidP="00A36FA7">
      <w:pPr>
        <w:pStyle w:val="NormalWeb"/>
        <w:spacing w:before="0" w:beforeAutospacing="0" w:after="0" w:afterAutospacing="0"/>
        <w:jc w:val="center"/>
      </w:pPr>
    </w:p>
    <w:p w14:paraId="4C19E899" w14:textId="18FD1DCF" w:rsidR="00A36FA7" w:rsidRDefault="00A36FA7" w:rsidP="00A36FA7">
      <w:pPr>
        <w:pStyle w:val="NormalWeb"/>
        <w:spacing w:before="0" w:beforeAutospacing="0" w:after="0" w:afterAutospacing="0"/>
        <w:jc w:val="center"/>
      </w:pPr>
    </w:p>
    <w:p w14:paraId="4E5457B0" w14:textId="7A814EDF" w:rsidR="00A36FA7" w:rsidRDefault="00A36FA7" w:rsidP="00A36FA7">
      <w:pPr>
        <w:pStyle w:val="NormalWeb"/>
        <w:spacing w:before="0" w:beforeAutospacing="0" w:after="0" w:afterAutospacing="0"/>
        <w:jc w:val="center"/>
        <w:rPr>
          <w:rFonts w:ascii="Garamond" w:hAnsi="Garamond"/>
          <w:bCs/>
          <w:i/>
          <w:color w:val="000000"/>
          <w:sz w:val="22"/>
          <w:szCs w:val="22"/>
        </w:rPr>
      </w:pPr>
      <w:r>
        <w:rPr>
          <w:rFonts w:ascii="Garamond" w:hAnsi="Garamond"/>
          <w:bCs/>
          <w:i/>
          <w:noProof/>
          <w:color w:val="000000"/>
          <w:sz w:val="22"/>
          <w:szCs w:val="22"/>
        </w:rPr>
        <w:lastRenderedPageBreak/>
        <w:drawing>
          <wp:inline distT="0" distB="0" distL="0" distR="0" wp14:anchorId="4DBBC6E8" wp14:editId="7AE5FA70">
            <wp:extent cx="4791075" cy="4779814"/>
            <wp:effectExtent l="19050" t="19050" r="952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y of HeatSensitivityIndex_map.png"/>
                    <pic:cNvPicPr/>
                  </pic:nvPicPr>
                  <pic:blipFill rotWithShape="1">
                    <a:blip r:embed="rId23" cstate="print">
                      <a:extLst>
                        <a:ext uri="{28A0092B-C50C-407E-A947-70E740481C1C}">
                          <a14:useLocalDpi xmlns:a14="http://schemas.microsoft.com/office/drawing/2010/main" val="0"/>
                        </a:ext>
                      </a:extLst>
                    </a:blip>
                    <a:srcRect t="22909"/>
                    <a:stretch/>
                  </pic:blipFill>
                  <pic:spPr bwMode="auto">
                    <a:xfrm>
                      <a:off x="0" y="0"/>
                      <a:ext cx="4812290" cy="480097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416D5B13" w14:textId="606CF087" w:rsidR="00A36FA7" w:rsidRDefault="00A36FA7" w:rsidP="00A36FA7">
      <w:pPr>
        <w:pStyle w:val="NormalWeb"/>
        <w:spacing w:before="0" w:beforeAutospacing="0" w:after="0" w:afterAutospacing="0"/>
        <w:jc w:val="center"/>
      </w:pPr>
      <w:r w:rsidRPr="00A36FA7">
        <w:rPr>
          <w:rFonts w:ascii="Garamond" w:hAnsi="Garamond"/>
          <w:bCs/>
          <w:i/>
          <w:color w:val="000000"/>
          <w:sz w:val="22"/>
          <w:szCs w:val="22"/>
        </w:rPr>
        <w:t>Figure A2.</w:t>
      </w:r>
      <w:r>
        <w:rPr>
          <w:rFonts w:ascii="Garamond" w:hAnsi="Garamond"/>
          <w:b/>
          <w:bCs/>
          <w:color w:val="000000"/>
          <w:sz w:val="22"/>
          <w:szCs w:val="22"/>
        </w:rPr>
        <w:t xml:space="preserve"> </w:t>
      </w:r>
      <w:r>
        <w:rPr>
          <w:rFonts w:ascii="Garamond" w:hAnsi="Garamond"/>
          <w:color w:val="000000"/>
          <w:sz w:val="22"/>
          <w:szCs w:val="22"/>
        </w:rPr>
        <w:t>2018 Heat Sensitivity Index for Philadelphia by census tract. The scores are categorized in quintiles. The Heat Sensitivity Index based on socioeconomic and health indicators only.</w:t>
      </w:r>
    </w:p>
    <w:p w14:paraId="7A0443AC" w14:textId="083662AD" w:rsidR="00A36FA7" w:rsidRDefault="00A36FA7" w:rsidP="0066138C">
      <w:pPr>
        <w:spacing w:after="0" w:line="240" w:lineRule="auto"/>
        <w:rPr>
          <w:rFonts w:ascii="Garamond" w:hAnsi="Garamond"/>
        </w:rPr>
      </w:pPr>
    </w:p>
    <w:p w14:paraId="2974487D" w14:textId="7296A84C" w:rsidR="00A36FA7" w:rsidRDefault="00A36FA7" w:rsidP="00A36FA7">
      <w:pPr>
        <w:spacing w:after="0" w:line="240" w:lineRule="auto"/>
        <w:jc w:val="center"/>
        <w:rPr>
          <w:rFonts w:ascii="Garamond" w:hAnsi="Garamond"/>
        </w:rPr>
      </w:pPr>
      <w:r>
        <w:rPr>
          <w:rFonts w:ascii="Garamond" w:hAnsi="Garamond"/>
          <w:noProof/>
        </w:rPr>
        <w:lastRenderedPageBreak/>
        <w:drawing>
          <wp:inline distT="0" distB="0" distL="0" distR="0" wp14:anchorId="58C36DB1" wp14:editId="49FF1591">
            <wp:extent cx="5211727" cy="5191125"/>
            <wp:effectExtent l="19050" t="19050" r="273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y of HeatExposureIndex_map.png"/>
                    <pic:cNvPicPr/>
                  </pic:nvPicPr>
                  <pic:blipFill rotWithShape="1">
                    <a:blip r:embed="rId24" cstate="print">
                      <a:extLst>
                        <a:ext uri="{28A0092B-C50C-407E-A947-70E740481C1C}">
                          <a14:useLocalDpi xmlns:a14="http://schemas.microsoft.com/office/drawing/2010/main" val="0"/>
                        </a:ext>
                      </a:extLst>
                    </a:blip>
                    <a:srcRect t="23033"/>
                    <a:stretch/>
                  </pic:blipFill>
                  <pic:spPr bwMode="auto">
                    <a:xfrm>
                      <a:off x="0" y="0"/>
                      <a:ext cx="5227941" cy="520727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8C36D3D" w14:textId="6828274A" w:rsidR="00A36FA7" w:rsidRPr="0066138C" w:rsidRDefault="00A36FA7" w:rsidP="00A36FA7">
      <w:pPr>
        <w:spacing w:after="0" w:line="240" w:lineRule="auto"/>
        <w:jc w:val="center"/>
        <w:rPr>
          <w:rFonts w:ascii="Garamond" w:hAnsi="Garamond"/>
        </w:rPr>
      </w:pPr>
      <w:r w:rsidRPr="00A36FA7">
        <w:rPr>
          <w:rFonts w:ascii="Garamond" w:hAnsi="Garamond"/>
          <w:bCs/>
          <w:i/>
          <w:color w:val="000000"/>
        </w:rPr>
        <w:t>Figure A3.</w:t>
      </w:r>
      <w:r>
        <w:rPr>
          <w:rFonts w:ascii="Garamond" w:hAnsi="Garamond"/>
          <w:b/>
          <w:bCs/>
          <w:color w:val="000000"/>
        </w:rPr>
        <w:t xml:space="preserve"> </w:t>
      </w:r>
      <w:r>
        <w:rPr>
          <w:rFonts w:ascii="Garamond" w:hAnsi="Garamond"/>
          <w:color w:val="000000"/>
        </w:rPr>
        <w:t>2018 Heat Exposure Index for Philadelphia by census tract. The scores are categorized in quintiles. The Heat Exposure Index is based on environmental variables only.</w:t>
      </w:r>
    </w:p>
    <w:sectPr w:rsidR="00A36FA7" w:rsidRPr="0066138C" w:rsidSect="0064280B">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78952" w14:textId="77777777" w:rsidR="00575A57" w:rsidRDefault="00575A57" w:rsidP="00242822">
      <w:pPr>
        <w:spacing w:after="0" w:line="240" w:lineRule="auto"/>
      </w:pPr>
      <w:r>
        <w:separator/>
      </w:r>
    </w:p>
  </w:endnote>
  <w:endnote w:type="continuationSeparator" w:id="0">
    <w:p w14:paraId="4F6C7436" w14:textId="77777777" w:rsidR="00575A57" w:rsidRDefault="00575A5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6BF9143F" w:rsidR="00A36FA7" w:rsidRDefault="00A36FA7">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441266">
          <w:rPr>
            <w:rFonts w:ascii="Garamond" w:hAnsi="Garamond"/>
            <w:noProof/>
          </w:rPr>
          <w:t>13</w:t>
        </w:r>
        <w:r w:rsidRPr="0056152E">
          <w:rPr>
            <w:rFonts w:ascii="Garamond" w:hAnsi="Garamond"/>
            <w:noProof/>
          </w:rPr>
          <w:fldChar w:fldCharType="end"/>
        </w:r>
      </w:p>
    </w:sdtContent>
  </w:sdt>
  <w:p w14:paraId="472788A1" w14:textId="77777777" w:rsidR="00A36FA7" w:rsidRDefault="00A36F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A36FA7" w:rsidRDefault="00A36FA7"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C8691" w14:textId="77777777" w:rsidR="00575A57" w:rsidRDefault="00575A57" w:rsidP="00242822">
      <w:pPr>
        <w:spacing w:after="0" w:line="240" w:lineRule="auto"/>
      </w:pPr>
      <w:r>
        <w:separator/>
      </w:r>
    </w:p>
  </w:footnote>
  <w:footnote w:type="continuationSeparator" w:id="0">
    <w:p w14:paraId="2FF07BB8" w14:textId="77777777" w:rsidR="00575A57" w:rsidRDefault="00575A57"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A36FA7" w:rsidRPr="000B6E68" w:rsidRDefault="00A36FA7"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F89C78A" w:rsidR="00A36FA7" w:rsidRPr="000B6E68" w:rsidRDefault="00A36FA7" w:rsidP="00552C75">
    <w:pPr>
      <w:spacing w:after="0" w:line="240" w:lineRule="auto"/>
      <w:jc w:val="right"/>
      <w:rPr>
        <w:rFonts w:ascii="Garamond" w:hAnsi="Garamond"/>
        <w:b/>
        <w:sz w:val="32"/>
        <w:szCs w:val="32"/>
      </w:rPr>
    </w:pPr>
    <w:r w:rsidRPr="009B076E">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9B076E">
      <w:rPr>
        <w:rFonts w:ascii="Garamond" w:hAnsi="Garamond"/>
        <w:b/>
        <w:sz w:val="32"/>
        <w:szCs w:val="32"/>
      </w:rPr>
      <w:t>Arizona – Tempe</w:t>
    </w:r>
  </w:p>
  <w:p w14:paraId="77B49D9A" w14:textId="55984A9A" w:rsidR="00A36FA7" w:rsidRDefault="00A36FA7" w:rsidP="000D5104">
    <w:pPr>
      <w:pStyle w:val="Header"/>
      <w:jc w:val="right"/>
      <w:rPr>
        <w:rFonts w:ascii="Garamond" w:hAnsi="Garamond"/>
        <w:i/>
        <w:sz w:val="32"/>
        <w:szCs w:val="32"/>
      </w:rPr>
    </w:pPr>
    <w:r>
      <w:rPr>
        <w:rFonts w:ascii="Garamond" w:hAnsi="Garamond"/>
        <w:i/>
        <w:sz w:val="32"/>
        <w:szCs w:val="32"/>
      </w:rPr>
      <w:t xml:space="preserve"> Spring 2020</w:t>
    </w:r>
  </w:p>
  <w:p w14:paraId="2F683015" w14:textId="77777777" w:rsidR="00A36FA7" w:rsidRPr="0077554A" w:rsidRDefault="00A36FA7"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96016"/>
    <w:rsid w:val="000B3F87"/>
    <w:rsid w:val="000B6E68"/>
    <w:rsid w:val="000C58B8"/>
    <w:rsid w:val="000D5104"/>
    <w:rsid w:val="000D6939"/>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4FE1"/>
    <w:rsid w:val="00195D23"/>
    <w:rsid w:val="001A67C2"/>
    <w:rsid w:val="001B7914"/>
    <w:rsid w:val="001D6AFB"/>
    <w:rsid w:val="001E158F"/>
    <w:rsid w:val="001F1328"/>
    <w:rsid w:val="001F2623"/>
    <w:rsid w:val="00206AB6"/>
    <w:rsid w:val="002148A3"/>
    <w:rsid w:val="0022176E"/>
    <w:rsid w:val="00221CE5"/>
    <w:rsid w:val="00234F37"/>
    <w:rsid w:val="0023574D"/>
    <w:rsid w:val="00242822"/>
    <w:rsid w:val="002539A7"/>
    <w:rsid w:val="00265765"/>
    <w:rsid w:val="00265D20"/>
    <w:rsid w:val="002842F8"/>
    <w:rsid w:val="0029214C"/>
    <w:rsid w:val="00293F47"/>
    <w:rsid w:val="002948F6"/>
    <w:rsid w:val="002A2D97"/>
    <w:rsid w:val="002A37F8"/>
    <w:rsid w:val="002B1159"/>
    <w:rsid w:val="002B2BE4"/>
    <w:rsid w:val="002C28E6"/>
    <w:rsid w:val="002C4C2E"/>
    <w:rsid w:val="002D5DCD"/>
    <w:rsid w:val="002D5F9B"/>
    <w:rsid w:val="002D6167"/>
    <w:rsid w:val="002E2A19"/>
    <w:rsid w:val="002F204B"/>
    <w:rsid w:val="00300C10"/>
    <w:rsid w:val="00307D86"/>
    <w:rsid w:val="003136C8"/>
    <w:rsid w:val="0035532B"/>
    <w:rsid w:val="00364100"/>
    <w:rsid w:val="00366BA2"/>
    <w:rsid w:val="003A6D33"/>
    <w:rsid w:val="003C1630"/>
    <w:rsid w:val="003C3508"/>
    <w:rsid w:val="003D3A5B"/>
    <w:rsid w:val="003E3646"/>
    <w:rsid w:val="003F318B"/>
    <w:rsid w:val="003F39BF"/>
    <w:rsid w:val="0041150E"/>
    <w:rsid w:val="0041500B"/>
    <w:rsid w:val="00417A61"/>
    <w:rsid w:val="0043112E"/>
    <w:rsid w:val="00436161"/>
    <w:rsid w:val="00436E69"/>
    <w:rsid w:val="00441266"/>
    <w:rsid w:val="0044423A"/>
    <w:rsid w:val="004503BF"/>
    <w:rsid w:val="00451695"/>
    <w:rsid w:val="00482519"/>
    <w:rsid w:val="00482CE3"/>
    <w:rsid w:val="00494746"/>
    <w:rsid w:val="004951A9"/>
    <w:rsid w:val="004A2010"/>
    <w:rsid w:val="004C4352"/>
    <w:rsid w:val="004C66D9"/>
    <w:rsid w:val="004D19D3"/>
    <w:rsid w:val="004D7212"/>
    <w:rsid w:val="004D75BF"/>
    <w:rsid w:val="004D75CF"/>
    <w:rsid w:val="004E726C"/>
    <w:rsid w:val="004E730A"/>
    <w:rsid w:val="004F3873"/>
    <w:rsid w:val="0050690A"/>
    <w:rsid w:val="00524715"/>
    <w:rsid w:val="005418C9"/>
    <w:rsid w:val="005447A6"/>
    <w:rsid w:val="00552032"/>
    <w:rsid w:val="00552C75"/>
    <w:rsid w:val="0056152E"/>
    <w:rsid w:val="00561C9E"/>
    <w:rsid w:val="00571F90"/>
    <w:rsid w:val="00575A57"/>
    <w:rsid w:val="00583B86"/>
    <w:rsid w:val="005974B9"/>
    <w:rsid w:val="005A457F"/>
    <w:rsid w:val="005A5711"/>
    <w:rsid w:val="005B6AE3"/>
    <w:rsid w:val="005C723F"/>
    <w:rsid w:val="005D5E63"/>
    <w:rsid w:val="005E75E3"/>
    <w:rsid w:val="005F6188"/>
    <w:rsid w:val="005F6AD4"/>
    <w:rsid w:val="006043FF"/>
    <w:rsid w:val="00615E3A"/>
    <w:rsid w:val="00621AB9"/>
    <w:rsid w:val="00624E1E"/>
    <w:rsid w:val="006368EC"/>
    <w:rsid w:val="0064280B"/>
    <w:rsid w:val="006528A0"/>
    <w:rsid w:val="0066075C"/>
    <w:rsid w:val="0066138C"/>
    <w:rsid w:val="0066727D"/>
    <w:rsid w:val="006822ED"/>
    <w:rsid w:val="00684FE5"/>
    <w:rsid w:val="00695331"/>
    <w:rsid w:val="006A0BCE"/>
    <w:rsid w:val="006A440C"/>
    <w:rsid w:val="006B4F1E"/>
    <w:rsid w:val="006B6FAA"/>
    <w:rsid w:val="006C6154"/>
    <w:rsid w:val="006C7B8F"/>
    <w:rsid w:val="006D1A28"/>
    <w:rsid w:val="006D5E8B"/>
    <w:rsid w:val="006E1497"/>
    <w:rsid w:val="006E2A1C"/>
    <w:rsid w:val="006E2B65"/>
    <w:rsid w:val="006E5832"/>
    <w:rsid w:val="006E74BC"/>
    <w:rsid w:val="006F0FAB"/>
    <w:rsid w:val="00703C4B"/>
    <w:rsid w:val="007152DE"/>
    <w:rsid w:val="00716586"/>
    <w:rsid w:val="0072613C"/>
    <w:rsid w:val="00732B10"/>
    <w:rsid w:val="00753B16"/>
    <w:rsid w:val="007566D3"/>
    <w:rsid w:val="00756C0F"/>
    <w:rsid w:val="00770650"/>
    <w:rsid w:val="00771691"/>
    <w:rsid w:val="0077554A"/>
    <w:rsid w:val="007775D4"/>
    <w:rsid w:val="00781908"/>
    <w:rsid w:val="00791881"/>
    <w:rsid w:val="00792D03"/>
    <w:rsid w:val="00793FBF"/>
    <w:rsid w:val="007A20DC"/>
    <w:rsid w:val="007C1AEA"/>
    <w:rsid w:val="007C2C43"/>
    <w:rsid w:val="007D0214"/>
    <w:rsid w:val="007E508C"/>
    <w:rsid w:val="007E68B5"/>
    <w:rsid w:val="007E7C44"/>
    <w:rsid w:val="007F5769"/>
    <w:rsid w:val="007F6093"/>
    <w:rsid w:val="00801FB9"/>
    <w:rsid w:val="0081261B"/>
    <w:rsid w:val="0082104E"/>
    <w:rsid w:val="00824CC4"/>
    <w:rsid w:val="00832B48"/>
    <w:rsid w:val="0083391E"/>
    <w:rsid w:val="00855532"/>
    <w:rsid w:val="00865A53"/>
    <w:rsid w:val="00870E95"/>
    <w:rsid w:val="00871621"/>
    <w:rsid w:val="00872A13"/>
    <w:rsid w:val="008741CE"/>
    <w:rsid w:val="00876DBF"/>
    <w:rsid w:val="00887B07"/>
    <w:rsid w:val="00891D2D"/>
    <w:rsid w:val="008921B2"/>
    <w:rsid w:val="00893A40"/>
    <w:rsid w:val="008975BD"/>
    <w:rsid w:val="008A357F"/>
    <w:rsid w:val="008B2FF6"/>
    <w:rsid w:val="008B7071"/>
    <w:rsid w:val="008C0234"/>
    <w:rsid w:val="008C7380"/>
    <w:rsid w:val="008C783C"/>
    <w:rsid w:val="008D3DC5"/>
    <w:rsid w:val="008D4B2B"/>
    <w:rsid w:val="008D5500"/>
    <w:rsid w:val="008E14C4"/>
    <w:rsid w:val="008E2E74"/>
    <w:rsid w:val="008E5453"/>
    <w:rsid w:val="009046BB"/>
    <w:rsid w:val="0091079C"/>
    <w:rsid w:val="00916AAB"/>
    <w:rsid w:val="009228EC"/>
    <w:rsid w:val="00922F76"/>
    <w:rsid w:val="009230CB"/>
    <w:rsid w:val="00933965"/>
    <w:rsid w:val="00935394"/>
    <w:rsid w:val="00950867"/>
    <w:rsid w:val="009518A0"/>
    <w:rsid w:val="0097212D"/>
    <w:rsid w:val="00976411"/>
    <w:rsid w:val="009830D6"/>
    <w:rsid w:val="00985DD4"/>
    <w:rsid w:val="00987B5A"/>
    <w:rsid w:val="0099475F"/>
    <w:rsid w:val="009A19B3"/>
    <w:rsid w:val="009A20C2"/>
    <w:rsid w:val="009A20ED"/>
    <w:rsid w:val="009A4203"/>
    <w:rsid w:val="009A5F2A"/>
    <w:rsid w:val="009B0301"/>
    <w:rsid w:val="009B076E"/>
    <w:rsid w:val="009C04A3"/>
    <w:rsid w:val="009E13E2"/>
    <w:rsid w:val="009F5966"/>
    <w:rsid w:val="009F5B6F"/>
    <w:rsid w:val="009F60A9"/>
    <w:rsid w:val="00A0128A"/>
    <w:rsid w:val="00A11DB7"/>
    <w:rsid w:val="00A12C21"/>
    <w:rsid w:val="00A212CE"/>
    <w:rsid w:val="00A2773A"/>
    <w:rsid w:val="00A36FA7"/>
    <w:rsid w:val="00A402E2"/>
    <w:rsid w:val="00A43059"/>
    <w:rsid w:val="00A44FFF"/>
    <w:rsid w:val="00A462A1"/>
    <w:rsid w:val="00A546FC"/>
    <w:rsid w:val="00A60645"/>
    <w:rsid w:val="00A715D8"/>
    <w:rsid w:val="00A774D7"/>
    <w:rsid w:val="00A84352"/>
    <w:rsid w:val="00A95E7B"/>
    <w:rsid w:val="00AA4C5F"/>
    <w:rsid w:val="00AB12D0"/>
    <w:rsid w:val="00AD5D0D"/>
    <w:rsid w:val="00AD6E52"/>
    <w:rsid w:val="00B00BCB"/>
    <w:rsid w:val="00B07E78"/>
    <w:rsid w:val="00B173A5"/>
    <w:rsid w:val="00B1778F"/>
    <w:rsid w:val="00B2307C"/>
    <w:rsid w:val="00B23CC7"/>
    <w:rsid w:val="00B24E61"/>
    <w:rsid w:val="00B265D9"/>
    <w:rsid w:val="00B3322E"/>
    <w:rsid w:val="00B35B60"/>
    <w:rsid w:val="00B365F0"/>
    <w:rsid w:val="00B468A3"/>
    <w:rsid w:val="00B564AC"/>
    <w:rsid w:val="00B64CCF"/>
    <w:rsid w:val="00B8577D"/>
    <w:rsid w:val="00BA41F7"/>
    <w:rsid w:val="00BB1B7B"/>
    <w:rsid w:val="00BB78A4"/>
    <w:rsid w:val="00BC113C"/>
    <w:rsid w:val="00BC47BB"/>
    <w:rsid w:val="00BC5578"/>
    <w:rsid w:val="00BD1A87"/>
    <w:rsid w:val="00BD38D8"/>
    <w:rsid w:val="00BF2838"/>
    <w:rsid w:val="00C15E9C"/>
    <w:rsid w:val="00C3045C"/>
    <w:rsid w:val="00C46DF0"/>
    <w:rsid w:val="00C50F66"/>
    <w:rsid w:val="00C53F96"/>
    <w:rsid w:val="00C570A7"/>
    <w:rsid w:val="00C60F7D"/>
    <w:rsid w:val="00C737CC"/>
    <w:rsid w:val="00C8129B"/>
    <w:rsid w:val="00C82473"/>
    <w:rsid w:val="00C86E0B"/>
    <w:rsid w:val="00CB0C33"/>
    <w:rsid w:val="00CB1C0F"/>
    <w:rsid w:val="00CB7AFE"/>
    <w:rsid w:val="00CC3FA0"/>
    <w:rsid w:val="00CC6A0E"/>
    <w:rsid w:val="00CD092A"/>
    <w:rsid w:val="00CE7909"/>
    <w:rsid w:val="00CE7FDD"/>
    <w:rsid w:val="00CF17F8"/>
    <w:rsid w:val="00CF6083"/>
    <w:rsid w:val="00D076A5"/>
    <w:rsid w:val="00D1374C"/>
    <w:rsid w:val="00D15940"/>
    <w:rsid w:val="00D3013B"/>
    <w:rsid w:val="00D37248"/>
    <w:rsid w:val="00D41203"/>
    <w:rsid w:val="00D41B46"/>
    <w:rsid w:val="00D523CD"/>
    <w:rsid w:val="00D61206"/>
    <w:rsid w:val="00D61A30"/>
    <w:rsid w:val="00D7644D"/>
    <w:rsid w:val="00D94371"/>
    <w:rsid w:val="00DA5145"/>
    <w:rsid w:val="00DA6C24"/>
    <w:rsid w:val="00DA7B77"/>
    <w:rsid w:val="00DA7F96"/>
    <w:rsid w:val="00DB15B2"/>
    <w:rsid w:val="00DB17D1"/>
    <w:rsid w:val="00DB4735"/>
    <w:rsid w:val="00DC1C92"/>
    <w:rsid w:val="00DC52E2"/>
    <w:rsid w:val="00DE048E"/>
    <w:rsid w:val="00E00E6B"/>
    <w:rsid w:val="00E02B08"/>
    <w:rsid w:val="00E03B8E"/>
    <w:rsid w:val="00E139E4"/>
    <w:rsid w:val="00E16257"/>
    <w:rsid w:val="00E20566"/>
    <w:rsid w:val="00E40B9D"/>
    <w:rsid w:val="00E41324"/>
    <w:rsid w:val="00E43BB7"/>
    <w:rsid w:val="00E578D6"/>
    <w:rsid w:val="00E6105B"/>
    <w:rsid w:val="00E64FEA"/>
    <w:rsid w:val="00E74845"/>
    <w:rsid w:val="00E75D54"/>
    <w:rsid w:val="00E8440F"/>
    <w:rsid w:val="00E91B1A"/>
    <w:rsid w:val="00E91C8B"/>
    <w:rsid w:val="00E97812"/>
    <w:rsid w:val="00EB1428"/>
    <w:rsid w:val="00EB36FD"/>
    <w:rsid w:val="00ED281B"/>
    <w:rsid w:val="00ED4EBF"/>
    <w:rsid w:val="00F04E6B"/>
    <w:rsid w:val="00F121FB"/>
    <w:rsid w:val="00F24FCE"/>
    <w:rsid w:val="00F309D0"/>
    <w:rsid w:val="00F37B0F"/>
    <w:rsid w:val="00F425A7"/>
    <w:rsid w:val="00F54C5E"/>
    <w:rsid w:val="00F608C9"/>
    <w:rsid w:val="00F74A1B"/>
    <w:rsid w:val="00F74D78"/>
    <w:rsid w:val="00F85D9B"/>
    <w:rsid w:val="00FA2B26"/>
    <w:rsid w:val="00FB2F9A"/>
    <w:rsid w:val="00FB5846"/>
    <w:rsid w:val="00FB5D9B"/>
    <w:rsid w:val="00FC670A"/>
    <w:rsid w:val="00FD2E28"/>
    <w:rsid w:val="00FE08DD"/>
    <w:rsid w:val="00FE5203"/>
    <w:rsid w:val="00FF7D1E"/>
  </w:rsids>
  <m:mathPr>
    <m:mathFont m:val="Cambria Math"/>
    <m:brkBin m:val="before"/>
    <m:brkBinSub m:val="--"/>
    <m:smallFrac m:val="0"/>
    <m:dispDef/>
    <m:lMargin m:val="0"/>
    <m:rMargin m:val="0"/>
    <m:defJc m:val="center"/>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987B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92D03"/>
  </w:style>
  <w:style w:type="character" w:customStyle="1" w:styleId="UnresolvedMention">
    <w:name w:val="Unresolved Mention"/>
    <w:basedOn w:val="DefaultParagraphFont"/>
    <w:uiPriority w:val="99"/>
    <w:semiHidden/>
    <w:unhideWhenUsed/>
    <w:rsid w:val="00792D03"/>
    <w:rPr>
      <w:color w:val="605E5C"/>
      <w:shd w:val="clear" w:color="auto" w:fill="E1DFDD"/>
    </w:rPr>
  </w:style>
  <w:style w:type="character" w:styleId="PlaceholderText">
    <w:name w:val="Placeholder Text"/>
    <w:basedOn w:val="DefaultParagraphFont"/>
    <w:uiPriority w:val="99"/>
    <w:semiHidden/>
    <w:rsid w:val="009764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2808">
      <w:bodyDiv w:val="1"/>
      <w:marLeft w:val="0"/>
      <w:marRight w:val="0"/>
      <w:marTop w:val="0"/>
      <w:marBottom w:val="0"/>
      <w:divBdr>
        <w:top w:val="none" w:sz="0" w:space="0" w:color="auto"/>
        <w:left w:val="none" w:sz="0" w:space="0" w:color="auto"/>
        <w:bottom w:val="none" w:sz="0" w:space="0" w:color="auto"/>
        <w:right w:val="none" w:sz="0" w:space="0" w:color="auto"/>
      </w:divBdr>
    </w:div>
    <w:div w:id="203712622">
      <w:bodyDiv w:val="1"/>
      <w:marLeft w:val="0"/>
      <w:marRight w:val="0"/>
      <w:marTop w:val="0"/>
      <w:marBottom w:val="0"/>
      <w:divBdr>
        <w:top w:val="none" w:sz="0" w:space="0" w:color="auto"/>
        <w:left w:val="none" w:sz="0" w:space="0" w:color="auto"/>
        <w:bottom w:val="none" w:sz="0" w:space="0" w:color="auto"/>
        <w:right w:val="none" w:sz="0" w:space="0" w:color="auto"/>
      </w:divBdr>
    </w:div>
    <w:div w:id="301353371">
      <w:bodyDiv w:val="1"/>
      <w:marLeft w:val="0"/>
      <w:marRight w:val="0"/>
      <w:marTop w:val="0"/>
      <w:marBottom w:val="0"/>
      <w:divBdr>
        <w:top w:val="none" w:sz="0" w:space="0" w:color="auto"/>
        <w:left w:val="none" w:sz="0" w:space="0" w:color="auto"/>
        <w:bottom w:val="none" w:sz="0" w:space="0" w:color="auto"/>
        <w:right w:val="none" w:sz="0" w:space="0" w:color="auto"/>
      </w:divBdr>
    </w:div>
    <w:div w:id="42238161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004278851">
      <w:bodyDiv w:val="1"/>
      <w:marLeft w:val="0"/>
      <w:marRight w:val="0"/>
      <w:marTop w:val="0"/>
      <w:marBottom w:val="0"/>
      <w:divBdr>
        <w:top w:val="none" w:sz="0" w:space="0" w:color="auto"/>
        <w:left w:val="none" w:sz="0" w:space="0" w:color="auto"/>
        <w:bottom w:val="none" w:sz="0" w:space="0" w:color="auto"/>
        <w:right w:val="none" w:sz="0" w:space="0" w:color="auto"/>
      </w:divBdr>
      <w:divsChild>
        <w:div w:id="1252079678">
          <w:marLeft w:val="0"/>
          <w:marRight w:val="0"/>
          <w:marTop w:val="0"/>
          <w:marBottom w:val="0"/>
          <w:divBdr>
            <w:top w:val="none" w:sz="0" w:space="0" w:color="auto"/>
            <w:left w:val="none" w:sz="0" w:space="0" w:color="auto"/>
            <w:bottom w:val="none" w:sz="0" w:space="0" w:color="auto"/>
            <w:right w:val="none" w:sz="0" w:space="0" w:color="auto"/>
          </w:divBdr>
        </w:div>
        <w:div w:id="930627830">
          <w:marLeft w:val="0"/>
          <w:marRight w:val="0"/>
          <w:marTop w:val="0"/>
          <w:marBottom w:val="0"/>
          <w:divBdr>
            <w:top w:val="none" w:sz="0" w:space="0" w:color="auto"/>
            <w:left w:val="none" w:sz="0" w:space="0" w:color="auto"/>
            <w:bottom w:val="none" w:sz="0" w:space="0" w:color="auto"/>
            <w:right w:val="none" w:sz="0" w:space="0" w:color="auto"/>
          </w:divBdr>
        </w:div>
      </w:divsChild>
    </w:div>
    <w:div w:id="1113598440">
      <w:bodyDiv w:val="1"/>
      <w:marLeft w:val="0"/>
      <w:marRight w:val="0"/>
      <w:marTop w:val="0"/>
      <w:marBottom w:val="0"/>
      <w:divBdr>
        <w:top w:val="none" w:sz="0" w:space="0" w:color="auto"/>
        <w:left w:val="none" w:sz="0" w:space="0" w:color="auto"/>
        <w:bottom w:val="none" w:sz="0" w:space="0" w:color="auto"/>
        <w:right w:val="none" w:sz="0" w:space="0" w:color="auto"/>
      </w:divBdr>
    </w:div>
    <w:div w:id="1143234429">
      <w:bodyDiv w:val="1"/>
      <w:marLeft w:val="0"/>
      <w:marRight w:val="0"/>
      <w:marTop w:val="0"/>
      <w:marBottom w:val="0"/>
      <w:divBdr>
        <w:top w:val="none" w:sz="0" w:space="0" w:color="auto"/>
        <w:left w:val="none" w:sz="0" w:space="0" w:color="auto"/>
        <w:bottom w:val="none" w:sz="0" w:space="0" w:color="auto"/>
        <w:right w:val="none" w:sz="0" w:space="0" w:color="auto"/>
      </w:divBdr>
    </w:div>
    <w:div w:id="1148791553">
      <w:bodyDiv w:val="1"/>
      <w:marLeft w:val="0"/>
      <w:marRight w:val="0"/>
      <w:marTop w:val="0"/>
      <w:marBottom w:val="0"/>
      <w:divBdr>
        <w:top w:val="none" w:sz="0" w:space="0" w:color="auto"/>
        <w:left w:val="none" w:sz="0" w:space="0" w:color="auto"/>
        <w:bottom w:val="none" w:sz="0" w:space="0" w:color="auto"/>
        <w:right w:val="none" w:sz="0" w:space="0" w:color="auto"/>
      </w:divBdr>
      <w:divsChild>
        <w:div w:id="457723030">
          <w:marLeft w:val="-100"/>
          <w:marRight w:val="0"/>
          <w:marTop w:val="0"/>
          <w:marBottom w:val="0"/>
          <w:divBdr>
            <w:top w:val="none" w:sz="0" w:space="0" w:color="auto"/>
            <w:left w:val="none" w:sz="0" w:space="0" w:color="auto"/>
            <w:bottom w:val="none" w:sz="0" w:space="0" w:color="auto"/>
            <w:right w:val="none" w:sz="0" w:space="0" w:color="auto"/>
          </w:divBdr>
        </w:div>
      </w:divsChild>
    </w:div>
    <w:div w:id="1152722873">
      <w:bodyDiv w:val="1"/>
      <w:marLeft w:val="0"/>
      <w:marRight w:val="0"/>
      <w:marTop w:val="0"/>
      <w:marBottom w:val="0"/>
      <w:divBdr>
        <w:top w:val="none" w:sz="0" w:space="0" w:color="auto"/>
        <w:left w:val="none" w:sz="0" w:space="0" w:color="auto"/>
        <w:bottom w:val="none" w:sz="0" w:space="0" w:color="auto"/>
        <w:right w:val="none" w:sz="0" w:space="0" w:color="auto"/>
      </w:divBdr>
    </w:div>
    <w:div w:id="1188712683">
      <w:bodyDiv w:val="1"/>
      <w:marLeft w:val="0"/>
      <w:marRight w:val="0"/>
      <w:marTop w:val="0"/>
      <w:marBottom w:val="0"/>
      <w:divBdr>
        <w:top w:val="none" w:sz="0" w:space="0" w:color="auto"/>
        <w:left w:val="none" w:sz="0" w:space="0" w:color="auto"/>
        <w:bottom w:val="none" w:sz="0" w:space="0" w:color="auto"/>
        <w:right w:val="none" w:sz="0" w:space="0" w:color="auto"/>
      </w:divBdr>
    </w:div>
    <w:div w:id="1360397276">
      <w:bodyDiv w:val="1"/>
      <w:marLeft w:val="0"/>
      <w:marRight w:val="0"/>
      <w:marTop w:val="0"/>
      <w:marBottom w:val="0"/>
      <w:divBdr>
        <w:top w:val="none" w:sz="0" w:space="0" w:color="auto"/>
        <w:left w:val="none" w:sz="0" w:space="0" w:color="auto"/>
        <w:bottom w:val="none" w:sz="0" w:space="0" w:color="auto"/>
        <w:right w:val="none" w:sz="0" w:space="0" w:color="auto"/>
      </w:divBdr>
    </w:div>
    <w:div w:id="1395662663">
      <w:bodyDiv w:val="1"/>
      <w:marLeft w:val="0"/>
      <w:marRight w:val="0"/>
      <w:marTop w:val="0"/>
      <w:marBottom w:val="0"/>
      <w:divBdr>
        <w:top w:val="none" w:sz="0" w:space="0" w:color="auto"/>
        <w:left w:val="none" w:sz="0" w:space="0" w:color="auto"/>
        <w:bottom w:val="none" w:sz="0" w:space="0" w:color="auto"/>
        <w:right w:val="none" w:sz="0" w:space="0" w:color="auto"/>
      </w:divBdr>
      <w:divsChild>
        <w:div w:id="805125737">
          <w:marLeft w:val="0"/>
          <w:marRight w:val="0"/>
          <w:marTop w:val="0"/>
          <w:marBottom w:val="0"/>
          <w:divBdr>
            <w:top w:val="none" w:sz="0" w:space="0" w:color="auto"/>
            <w:left w:val="none" w:sz="0" w:space="0" w:color="auto"/>
            <w:bottom w:val="none" w:sz="0" w:space="0" w:color="auto"/>
            <w:right w:val="none" w:sz="0" w:space="0" w:color="auto"/>
          </w:divBdr>
          <w:divsChild>
            <w:div w:id="1692491560">
              <w:marLeft w:val="0"/>
              <w:marRight w:val="0"/>
              <w:marTop w:val="0"/>
              <w:marBottom w:val="0"/>
              <w:divBdr>
                <w:top w:val="none" w:sz="0" w:space="0" w:color="auto"/>
                <w:left w:val="none" w:sz="0" w:space="0" w:color="auto"/>
                <w:bottom w:val="none" w:sz="0" w:space="0" w:color="auto"/>
                <w:right w:val="none" w:sz="0" w:space="0" w:color="auto"/>
              </w:divBdr>
              <w:divsChild>
                <w:div w:id="1696426157">
                  <w:marLeft w:val="0"/>
                  <w:marRight w:val="0"/>
                  <w:marTop w:val="0"/>
                  <w:marBottom w:val="0"/>
                  <w:divBdr>
                    <w:top w:val="none" w:sz="0" w:space="0" w:color="auto"/>
                    <w:left w:val="none" w:sz="0" w:space="0" w:color="auto"/>
                    <w:bottom w:val="none" w:sz="0" w:space="0" w:color="auto"/>
                    <w:right w:val="none" w:sz="0" w:space="0" w:color="auto"/>
                  </w:divBdr>
                  <w:divsChild>
                    <w:div w:id="58987120">
                      <w:marLeft w:val="0"/>
                      <w:marRight w:val="0"/>
                      <w:marTop w:val="0"/>
                      <w:marBottom w:val="0"/>
                      <w:divBdr>
                        <w:top w:val="none" w:sz="0" w:space="0" w:color="auto"/>
                        <w:left w:val="none" w:sz="0" w:space="0" w:color="auto"/>
                        <w:bottom w:val="none" w:sz="0" w:space="0" w:color="auto"/>
                        <w:right w:val="none" w:sz="0" w:space="0" w:color="auto"/>
                      </w:divBdr>
                      <w:divsChild>
                        <w:div w:id="1200899107">
                          <w:marLeft w:val="0"/>
                          <w:marRight w:val="0"/>
                          <w:marTop w:val="0"/>
                          <w:marBottom w:val="0"/>
                          <w:divBdr>
                            <w:top w:val="none" w:sz="0" w:space="0" w:color="auto"/>
                            <w:left w:val="none" w:sz="0" w:space="0" w:color="auto"/>
                            <w:bottom w:val="none" w:sz="0" w:space="0" w:color="auto"/>
                            <w:right w:val="none" w:sz="0" w:space="0" w:color="auto"/>
                          </w:divBdr>
                          <w:divsChild>
                            <w:div w:id="1634823350">
                              <w:marLeft w:val="0"/>
                              <w:marRight w:val="0"/>
                              <w:marTop w:val="0"/>
                              <w:marBottom w:val="0"/>
                              <w:divBdr>
                                <w:top w:val="none" w:sz="0" w:space="0" w:color="auto"/>
                                <w:left w:val="none" w:sz="0" w:space="0" w:color="auto"/>
                                <w:bottom w:val="none" w:sz="0" w:space="0" w:color="auto"/>
                                <w:right w:val="none" w:sz="0" w:space="0" w:color="auto"/>
                              </w:divBdr>
                              <w:divsChild>
                                <w:div w:id="249049248">
                                  <w:marLeft w:val="0"/>
                                  <w:marRight w:val="0"/>
                                  <w:marTop w:val="0"/>
                                  <w:marBottom w:val="0"/>
                                  <w:divBdr>
                                    <w:top w:val="none" w:sz="0" w:space="0" w:color="auto"/>
                                    <w:left w:val="none" w:sz="0" w:space="0" w:color="auto"/>
                                    <w:bottom w:val="none" w:sz="0" w:space="0" w:color="auto"/>
                                    <w:right w:val="none" w:sz="0" w:space="0" w:color="auto"/>
                                  </w:divBdr>
                                </w:div>
                                <w:div w:id="178475726">
                                  <w:marLeft w:val="0"/>
                                  <w:marRight w:val="0"/>
                                  <w:marTop w:val="0"/>
                                  <w:marBottom w:val="0"/>
                                  <w:divBdr>
                                    <w:top w:val="none" w:sz="0" w:space="0" w:color="auto"/>
                                    <w:left w:val="none" w:sz="0" w:space="0" w:color="auto"/>
                                    <w:bottom w:val="none" w:sz="0" w:space="0" w:color="auto"/>
                                    <w:right w:val="none" w:sz="0" w:space="0" w:color="auto"/>
                                  </w:divBdr>
                                </w:div>
                                <w:div w:id="1121260748">
                                  <w:marLeft w:val="0"/>
                                  <w:marRight w:val="0"/>
                                  <w:marTop w:val="0"/>
                                  <w:marBottom w:val="0"/>
                                  <w:divBdr>
                                    <w:top w:val="none" w:sz="0" w:space="0" w:color="auto"/>
                                    <w:left w:val="none" w:sz="0" w:space="0" w:color="auto"/>
                                    <w:bottom w:val="none" w:sz="0" w:space="0" w:color="auto"/>
                                    <w:right w:val="none" w:sz="0" w:space="0" w:color="auto"/>
                                  </w:divBdr>
                                </w:div>
                              </w:divsChild>
                            </w:div>
                            <w:div w:id="1989436458">
                              <w:marLeft w:val="0"/>
                              <w:marRight w:val="0"/>
                              <w:marTop w:val="0"/>
                              <w:marBottom w:val="0"/>
                              <w:divBdr>
                                <w:top w:val="none" w:sz="0" w:space="0" w:color="auto"/>
                                <w:left w:val="none" w:sz="0" w:space="0" w:color="auto"/>
                                <w:bottom w:val="none" w:sz="0" w:space="0" w:color="auto"/>
                                <w:right w:val="none" w:sz="0" w:space="0" w:color="auto"/>
                              </w:divBdr>
                              <w:divsChild>
                                <w:div w:id="878083641">
                                  <w:marLeft w:val="0"/>
                                  <w:marRight w:val="0"/>
                                  <w:marTop w:val="0"/>
                                  <w:marBottom w:val="0"/>
                                  <w:divBdr>
                                    <w:top w:val="none" w:sz="0" w:space="0" w:color="auto"/>
                                    <w:left w:val="none" w:sz="0" w:space="0" w:color="auto"/>
                                    <w:bottom w:val="none" w:sz="0" w:space="0" w:color="auto"/>
                                    <w:right w:val="none" w:sz="0" w:space="0" w:color="auto"/>
                                  </w:divBdr>
                                  <w:divsChild>
                                    <w:div w:id="394396300">
                                      <w:marLeft w:val="0"/>
                                      <w:marRight w:val="0"/>
                                      <w:marTop w:val="0"/>
                                      <w:marBottom w:val="0"/>
                                      <w:divBdr>
                                        <w:top w:val="none" w:sz="0" w:space="0" w:color="auto"/>
                                        <w:left w:val="none" w:sz="0" w:space="0" w:color="auto"/>
                                        <w:bottom w:val="none" w:sz="0" w:space="0" w:color="auto"/>
                                        <w:right w:val="none" w:sz="0" w:space="0" w:color="auto"/>
                                      </w:divBdr>
                                      <w:divsChild>
                                        <w:div w:id="1738629684">
                                          <w:marLeft w:val="0"/>
                                          <w:marRight w:val="0"/>
                                          <w:marTop w:val="0"/>
                                          <w:marBottom w:val="0"/>
                                          <w:divBdr>
                                            <w:top w:val="none" w:sz="0" w:space="0" w:color="auto"/>
                                            <w:left w:val="none" w:sz="0" w:space="0" w:color="auto"/>
                                            <w:bottom w:val="none" w:sz="0" w:space="0" w:color="auto"/>
                                            <w:right w:val="none" w:sz="0" w:space="0" w:color="auto"/>
                                          </w:divBdr>
                                          <w:divsChild>
                                            <w:div w:id="1418869643">
                                              <w:marLeft w:val="0"/>
                                              <w:marRight w:val="0"/>
                                              <w:marTop w:val="0"/>
                                              <w:marBottom w:val="0"/>
                                              <w:divBdr>
                                                <w:top w:val="none" w:sz="0" w:space="0" w:color="auto"/>
                                                <w:left w:val="none" w:sz="0" w:space="0" w:color="auto"/>
                                                <w:bottom w:val="none" w:sz="0" w:space="0" w:color="auto"/>
                                                <w:right w:val="none" w:sz="0" w:space="0" w:color="auto"/>
                                              </w:divBdr>
                                              <w:divsChild>
                                                <w:div w:id="756487739">
                                                  <w:marLeft w:val="0"/>
                                                  <w:marRight w:val="0"/>
                                                  <w:marTop w:val="0"/>
                                                  <w:marBottom w:val="0"/>
                                                  <w:divBdr>
                                                    <w:top w:val="none" w:sz="0" w:space="0" w:color="auto"/>
                                                    <w:left w:val="none" w:sz="0" w:space="0" w:color="auto"/>
                                                    <w:bottom w:val="none" w:sz="0" w:space="0" w:color="auto"/>
                                                    <w:right w:val="none" w:sz="0" w:space="0" w:color="auto"/>
                                                  </w:divBdr>
                                                  <w:divsChild>
                                                    <w:div w:id="262761230">
                                                      <w:marLeft w:val="0"/>
                                                      <w:marRight w:val="0"/>
                                                      <w:marTop w:val="0"/>
                                                      <w:marBottom w:val="0"/>
                                                      <w:divBdr>
                                                        <w:top w:val="none" w:sz="0" w:space="0" w:color="auto"/>
                                                        <w:left w:val="none" w:sz="0" w:space="0" w:color="auto"/>
                                                        <w:bottom w:val="none" w:sz="0" w:space="0" w:color="auto"/>
                                                        <w:right w:val="none" w:sz="0" w:space="0" w:color="auto"/>
                                                      </w:divBdr>
                                                    </w:div>
                                                  </w:divsChild>
                                                </w:div>
                                                <w:div w:id="14517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613654">
          <w:marLeft w:val="0"/>
          <w:marRight w:val="0"/>
          <w:marTop w:val="0"/>
          <w:marBottom w:val="0"/>
          <w:divBdr>
            <w:top w:val="none" w:sz="0" w:space="0" w:color="auto"/>
            <w:left w:val="none" w:sz="0" w:space="0" w:color="auto"/>
            <w:bottom w:val="none" w:sz="0" w:space="0" w:color="auto"/>
            <w:right w:val="none" w:sz="0" w:space="0" w:color="auto"/>
          </w:divBdr>
          <w:divsChild>
            <w:div w:id="505749203">
              <w:marLeft w:val="0"/>
              <w:marRight w:val="0"/>
              <w:marTop w:val="0"/>
              <w:marBottom w:val="0"/>
              <w:divBdr>
                <w:top w:val="none" w:sz="0" w:space="0" w:color="auto"/>
                <w:left w:val="none" w:sz="0" w:space="0" w:color="auto"/>
                <w:bottom w:val="none" w:sz="0" w:space="0" w:color="auto"/>
                <w:right w:val="none" w:sz="0" w:space="0" w:color="auto"/>
              </w:divBdr>
              <w:divsChild>
                <w:div w:id="1511260557">
                  <w:marLeft w:val="0"/>
                  <w:marRight w:val="0"/>
                  <w:marTop w:val="0"/>
                  <w:marBottom w:val="0"/>
                  <w:divBdr>
                    <w:top w:val="none" w:sz="0" w:space="0" w:color="auto"/>
                    <w:left w:val="none" w:sz="0" w:space="0" w:color="auto"/>
                    <w:bottom w:val="none" w:sz="0" w:space="0" w:color="auto"/>
                    <w:right w:val="none" w:sz="0" w:space="0" w:color="auto"/>
                  </w:divBdr>
                  <w:divsChild>
                    <w:div w:id="779371120">
                      <w:marLeft w:val="0"/>
                      <w:marRight w:val="0"/>
                      <w:marTop w:val="0"/>
                      <w:marBottom w:val="0"/>
                      <w:divBdr>
                        <w:top w:val="none" w:sz="0" w:space="0" w:color="auto"/>
                        <w:left w:val="none" w:sz="0" w:space="0" w:color="auto"/>
                        <w:bottom w:val="none" w:sz="0" w:space="0" w:color="auto"/>
                        <w:right w:val="none" w:sz="0" w:space="0" w:color="auto"/>
                      </w:divBdr>
                      <w:divsChild>
                        <w:div w:id="1801191679">
                          <w:marLeft w:val="0"/>
                          <w:marRight w:val="0"/>
                          <w:marTop w:val="0"/>
                          <w:marBottom w:val="0"/>
                          <w:divBdr>
                            <w:top w:val="none" w:sz="0" w:space="0" w:color="auto"/>
                            <w:left w:val="none" w:sz="0" w:space="0" w:color="auto"/>
                            <w:bottom w:val="none" w:sz="0" w:space="0" w:color="auto"/>
                            <w:right w:val="none" w:sz="0" w:space="0" w:color="auto"/>
                          </w:divBdr>
                          <w:divsChild>
                            <w:div w:id="13307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4917">
                  <w:marLeft w:val="0"/>
                  <w:marRight w:val="0"/>
                  <w:marTop w:val="0"/>
                  <w:marBottom w:val="0"/>
                  <w:divBdr>
                    <w:top w:val="none" w:sz="0" w:space="0" w:color="auto"/>
                    <w:left w:val="none" w:sz="0" w:space="0" w:color="auto"/>
                    <w:bottom w:val="none" w:sz="0" w:space="0" w:color="auto"/>
                    <w:right w:val="none" w:sz="0" w:space="0" w:color="auto"/>
                  </w:divBdr>
                  <w:divsChild>
                    <w:div w:id="1952399358">
                      <w:marLeft w:val="0"/>
                      <w:marRight w:val="0"/>
                      <w:marTop w:val="0"/>
                      <w:marBottom w:val="0"/>
                      <w:divBdr>
                        <w:top w:val="none" w:sz="0" w:space="0" w:color="auto"/>
                        <w:left w:val="none" w:sz="0" w:space="0" w:color="auto"/>
                        <w:bottom w:val="none" w:sz="0" w:space="0" w:color="auto"/>
                        <w:right w:val="none" w:sz="0" w:space="0" w:color="auto"/>
                      </w:divBdr>
                    </w:div>
                  </w:divsChild>
                </w:div>
                <w:div w:id="573707260">
                  <w:marLeft w:val="0"/>
                  <w:marRight w:val="0"/>
                  <w:marTop w:val="0"/>
                  <w:marBottom w:val="0"/>
                  <w:divBdr>
                    <w:top w:val="none" w:sz="0" w:space="0" w:color="auto"/>
                    <w:left w:val="none" w:sz="0" w:space="0" w:color="auto"/>
                    <w:bottom w:val="none" w:sz="0" w:space="0" w:color="auto"/>
                    <w:right w:val="none" w:sz="0" w:space="0" w:color="auto"/>
                  </w:divBdr>
                  <w:divsChild>
                    <w:div w:id="116416770">
                      <w:marLeft w:val="0"/>
                      <w:marRight w:val="0"/>
                      <w:marTop w:val="0"/>
                      <w:marBottom w:val="0"/>
                      <w:divBdr>
                        <w:top w:val="none" w:sz="0" w:space="0" w:color="auto"/>
                        <w:left w:val="none" w:sz="0" w:space="0" w:color="auto"/>
                        <w:bottom w:val="none" w:sz="0" w:space="0" w:color="auto"/>
                        <w:right w:val="none" w:sz="0" w:space="0" w:color="auto"/>
                      </w:divBdr>
                      <w:divsChild>
                        <w:div w:id="1088162623">
                          <w:marLeft w:val="0"/>
                          <w:marRight w:val="0"/>
                          <w:marTop w:val="0"/>
                          <w:marBottom w:val="0"/>
                          <w:divBdr>
                            <w:top w:val="none" w:sz="0" w:space="0" w:color="auto"/>
                            <w:left w:val="none" w:sz="0" w:space="0" w:color="auto"/>
                            <w:bottom w:val="none" w:sz="0" w:space="0" w:color="auto"/>
                            <w:right w:val="none" w:sz="0" w:space="0" w:color="auto"/>
                          </w:divBdr>
                          <w:divsChild>
                            <w:div w:id="677737265">
                              <w:marLeft w:val="0"/>
                              <w:marRight w:val="0"/>
                              <w:marTop w:val="0"/>
                              <w:marBottom w:val="0"/>
                              <w:divBdr>
                                <w:top w:val="none" w:sz="0" w:space="0" w:color="auto"/>
                                <w:left w:val="none" w:sz="0" w:space="0" w:color="auto"/>
                                <w:bottom w:val="none" w:sz="0" w:space="0" w:color="auto"/>
                                <w:right w:val="none" w:sz="0" w:space="0" w:color="auto"/>
                              </w:divBdr>
                              <w:divsChild>
                                <w:div w:id="959724646">
                                  <w:marLeft w:val="0"/>
                                  <w:marRight w:val="0"/>
                                  <w:marTop w:val="0"/>
                                  <w:marBottom w:val="0"/>
                                  <w:divBdr>
                                    <w:top w:val="none" w:sz="0" w:space="0" w:color="auto"/>
                                    <w:left w:val="none" w:sz="0" w:space="0" w:color="auto"/>
                                    <w:bottom w:val="none" w:sz="0" w:space="0" w:color="auto"/>
                                    <w:right w:val="none" w:sz="0" w:space="0" w:color="auto"/>
                                  </w:divBdr>
                                  <w:divsChild>
                                    <w:div w:id="163669658">
                                      <w:marLeft w:val="0"/>
                                      <w:marRight w:val="0"/>
                                      <w:marTop w:val="0"/>
                                      <w:marBottom w:val="0"/>
                                      <w:divBdr>
                                        <w:top w:val="none" w:sz="0" w:space="0" w:color="auto"/>
                                        <w:left w:val="none" w:sz="0" w:space="0" w:color="auto"/>
                                        <w:bottom w:val="none" w:sz="0" w:space="0" w:color="auto"/>
                                        <w:right w:val="none" w:sz="0" w:space="0" w:color="auto"/>
                                      </w:divBdr>
                                      <w:divsChild>
                                        <w:div w:id="85150205">
                                          <w:marLeft w:val="0"/>
                                          <w:marRight w:val="0"/>
                                          <w:marTop w:val="0"/>
                                          <w:marBottom w:val="0"/>
                                          <w:divBdr>
                                            <w:top w:val="none" w:sz="0" w:space="0" w:color="auto"/>
                                            <w:left w:val="none" w:sz="0" w:space="0" w:color="auto"/>
                                            <w:bottom w:val="none" w:sz="0" w:space="0" w:color="auto"/>
                                            <w:right w:val="none" w:sz="0" w:space="0" w:color="auto"/>
                                          </w:divBdr>
                                          <w:divsChild>
                                            <w:div w:id="971443871">
                                              <w:marLeft w:val="0"/>
                                              <w:marRight w:val="0"/>
                                              <w:marTop w:val="0"/>
                                              <w:marBottom w:val="0"/>
                                              <w:divBdr>
                                                <w:top w:val="none" w:sz="0" w:space="0" w:color="auto"/>
                                                <w:left w:val="none" w:sz="0" w:space="0" w:color="auto"/>
                                                <w:bottom w:val="none" w:sz="0" w:space="0" w:color="auto"/>
                                                <w:right w:val="none" w:sz="0" w:space="0" w:color="auto"/>
                                              </w:divBdr>
                                              <w:divsChild>
                                                <w:div w:id="1121537681">
                                                  <w:marLeft w:val="0"/>
                                                  <w:marRight w:val="0"/>
                                                  <w:marTop w:val="0"/>
                                                  <w:marBottom w:val="0"/>
                                                  <w:divBdr>
                                                    <w:top w:val="none" w:sz="0" w:space="0" w:color="auto"/>
                                                    <w:left w:val="none" w:sz="0" w:space="0" w:color="auto"/>
                                                    <w:bottom w:val="none" w:sz="0" w:space="0" w:color="auto"/>
                                                    <w:right w:val="none" w:sz="0" w:space="0" w:color="auto"/>
                                                  </w:divBdr>
                                                  <w:divsChild>
                                                    <w:div w:id="273100274">
                                                      <w:marLeft w:val="0"/>
                                                      <w:marRight w:val="0"/>
                                                      <w:marTop w:val="0"/>
                                                      <w:marBottom w:val="0"/>
                                                      <w:divBdr>
                                                        <w:top w:val="none" w:sz="0" w:space="0" w:color="auto"/>
                                                        <w:left w:val="none" w:sz="0" w:space="0" w:color="auto"/>
                                                        <w:bottom w:val="none" w:sz="0" w:space="0" w:color="auto"/>
                                                        <w:right w:val="none" w:sz="0" w:space="0" w:color="auto"/>
                                                      </w:divBdr>
                                                      <w:divsChild>
                                                        <w:div w:id="953633414">
                                                          <w:marLeft w:val="0"/>
                                                          <w:marRight w:val="0"/>
                                                          <w:marTop w:val="0"/>
                                                          <w:marBottom w:val="0"/>
                                                          <w:divBdr>
                                                            <w:top w:val="none" w:sz="0" w:space="0" w:color="auto"/>
                                                            <w:left w:val="none" w:sz="0" w:space="0" w:color="auto"/>
                                                            <w:bottom w:val="none" w:sz="0" w:space="0" w:color="auto"/>
                                                            <w:right w:val="none" w:sz="0" w:space="0" w:color="auto"/>
                                                          </w:divBdr>
                                                          <w:divsChild>
                                                            <w:div w:id="889151833">
                                                              <w:marLeft w:val="0"/>
                                                              <w:marRight w:val="0"/>
                                                              <w:marTop w:val="0"/>
                                                              <w:marBottom w:val="0"/>
                                                              <w:divBdr>
                                                                <w:top w:val="none" w:sz="0" w:space="0" w:color="auto"/>
                                                                <w:left w:val="none" w:sz="0" w:space="0" w:color="auto"/>
                                                                <w:bottom w:val="none" w:sz="0" w:space="0" w:color="auto"/>
                                                                <w:right w:val="none" w:sz="0" w:space="0" w:color="auto"/>
                                                              </w:divBdr>
                                                              <w:divsChild>
                                                                <w:div w:id="1977487956">
                                                                  <w:marLeft w:val="0"/>
                                                                  <w:marRight w:val="0"/>
                                                                  <w:marTop w:val="0"/>
                                                                  <w:marBottom w:val="0"/>
                                                                  <w:divBdr>
                                                                    <w:top w:val="none" w:sz="0" w:space="0" w:color="auto"/>
                                                                    <w:left w:val="none" w:sz="0" w:space="0" w:color="auto"/>
                                                                    <w:bottom w:val="none" w:sz="0" w:space="0" w:color="auto"/>
                                                                    <w:right w:val="none" w:sz="0" w:space="0" w:color="auto"/>
                                                                  </w:divBdr>
                                                                  <w:divsChild>
                                                                    <w:div w:id="1954508023">
                                                                      <w:marLeft w:val="0"/>
                                                                      <w:marRight w:val="0"/>
                                                                      <w:marTop w:val="0"/>
                                                                      <w:marBottom w:val="0"/>
                                                                      <w:divBdr>
                                                                        <w:top w:val="none" w:sz="0" w:space="0" w:color="auto"/>
                                                                        <w:left w:val="none" w:sz="0" w:space="0" w:color="auto"/>
                                                                        <w:bottom w:val="none" w:sz="0" w:space="0" w:color="auto"/>
                                                                        <w:right w:val="none" w:sz="0" w:space="0" w:color="auto"/>
                                                                      </w:divBdr>
                                                                      <w:divsChild>
                                                                        <w:div w:id="1584336351">
                                                                          <w:marLeft w:val="0"/>
                                                                          <w:marRight w:val="0"/>
                                                                          <w:marTop w:val="0"/>
                                                                          <w:marBottom w:val="0"/>
                                                                          <w:divBdr>
                                                                            <w:top w:val="none" w:sz="0" w:space="0" w:color="auto"/>
                                                                            <w:left w:val="none" w:sz="0" w:space="0" w:color="auto"/>
                                                                            <w:bottom w:val="none" w:sz="0" w:space="0" w:color="auto"/>
                                                                            <w:right w:val="none" w:sz="0" w:space="0" w:color="auto"/>
                                                                          </w:divBdr>
                                                                          <w:divsChild>
                                                                            <w:div w:id="1101023703">
                                                                              <w:marLeft w:val="0"/>
                                                                              <w:marRight w:val="0"/>
                                                                              <w:marTop w:val="0"/>
                                                                              <w:marBottom w:val="0"/>
                                                                              <w:divBdr>
                                                                                <w:top w:val="none" w:sz="0" w:space="0" w:color="auto"/>
                                                                                <w:left w:val="none" w:sz="0" w:space="0" w:color="auto"/>
                                                                                <w:bottom w:val="none" w:sz="0" w:space="0" w:color="auto"/>
                                                                                <w:right w:val="none" w:sz="0" w:space="0" w:color="auto"/>
                                                                              </w:divBdr>
                                                                            </w:div>
                                                                            <w:div w:id="1737582013">
                                                                              <w:marLeft w:val="0"/>
                                                                              <w:marRight w:val="0"/>
                                                                              <w:marTop w:val="0"/>
                                                                              <w:marBottom w:val="0"/>
                                                                              <w:divBdr>
                                                                                <w:top w:val="none" w:sz="0" w:space="0" w:color="auto"/>
                                                                                <w:left w:val="none" w:sz="0" w:space="0" w:color="auto"/>
                                                                                <w:bottom w:val="none" w:sz="0" w:space="0" w:color="auto"/>
                                                                                <w:right w:val="none" w:sz="0" w:space="0" w:color="auto"/>
                                                                              </w:divBdr>
                                                                            </w:div>
                                                                            <w:div w:id="609313529">
                                                                              <w:marLeft w:val="0"/>
                                                                              <w:marRight w:val="0"/>
                                                                              <w:marTop w:val="0"/>
                                                                              <w:marBottom w:val="0"/>
                                                                              <w:divBdr>
                                                                                <w:top w:val="none" w:sz="0" w:space="0" w:color="auto"/>
                                                                                <w:left w:val="none" w:sz="0" w:space="0" w:color="auto"/>
                                                                                <w:bottom w:val="none" w:sz="0" w:space="0" w:color="auto"/>
                                                                                <w:right w:val="none" w:sz="0" w:space="0" w:color="auto"/>
                                                                              </w:divBdr>
                                                                            </w:div>
                                                                            <w:div w:id="135800091">
                                                                              <w:marLeft w:val="0"/>
                                                                              <w:marRight w:val="0"/>
                                                                              <w:marTop w:val="0"/>
                                                                              <w:marBottom w:val="0"/>
                                                                              <w:divBdr>
                                                                                <w:top w:val="none" w:sz="0" w:space="0" w:color="auto"/>
                                                                                <w:left w:val="none" w:sz="0" w:space="0" w:color="auto"/>
                                                                                <w:bottom w:val="none" w:sz="0" w:space="0" w:color="auto"/>
                                                                                <w:right w:val="none" w:sz="0" w:space="0" w:color="auto"/>
                                                                              </w:divBdr>
                                                                            </w:div>
                                                                          </w:divsChild>
                                                                        </w:div>
                                                                        <w:div w:id="604267616">
                                                                          <w:marLeft w:val="0"/>
                                                                          <w:marRight w:val="0"/>
                                                                          <w:marTop w:val="0"/>
                                                                          <w:marBottom w:val="0"/>
                                                                          <w:divBdr>
                                                                            <w:top w:val="none" w:sz="0" w:space="0" w:color="auto"/>
                                                                            <w:left w:val="none" w:sz="0" w:space="0" w:color="auto"/>
                                                                            <w:bottom w:val="none" w:sz="0" w:space="0" w:color="auto"/>
                                                                            <w:right w:val="none" w:sz="0" w:space="0" w:color="auto"/>
                                                                          </w:divBdr>
                                                                        </w:div>
                                                                        <w:div w:id="1873491553">
                                                                          <w:marLeft w:val="0"/>
                                                                          <w:marRight w:val="0"/>
                                                                          <w:marTop w:val="0"/>
                                                                          <w:marBottom w:val="0"/>
                                                                          <w:divBdr>
                                                                            <w:top w:val="none" w:sz="0" w:space="0" w:color="auto"/>
                                                                            <w:left w:val="none" w:sz="0" w:space="0" w:color="auto"/>
                                                                            <w:bottom w:val="none" w:sz="0" w:space="0" w:color="auto"/>
                                                                            <w:right w:val="none" w:sz="0" w:space="0" w:color="auto"/>
                                                                          </w:divBdr>
                                                                        </w:div>
                                                                        <w:div w:id="758595853">
                                                                          <w:marLeft w:val="0"/>
                                                                          <w:marRight w:val="0"/>
                                                                          <w:marTop w:val="0"/>
                                                                          <w:marBottom w:val="0"/>
                                                                          <w:divBdr>
                                                                            <w:top w:val="none" w:sz="0" w:space="0" w:color="auto"/>
                                                                            <w:left w:val="none" w:sz="0" w:space="0" w:color="auto"/>
                                                                            <w:bottom w:val="none" w:sz="0" w:space="0" w:color="auto"/>
                                                                            <w:right w:val="none" w:sz="0" w:space="0" w:color="auto"/>
                                                                          </w:divBdr>
                                                                        </w:div>
                                                                        <w:div w:id="512913135">
                                                                          <w:marLeft w:val="0"/>
                                                                          <w:marRight w:val="0"/>
                                                                          <w:marTop w:val="0"/>
                                                                          <w:marBottom w:val="0"/>
                                                                          <w:divBdr>
                                                                            <w:top w:val="none" w:sz="0" w:space="0" w:color="auto"/>
                                                                            <w:left w:val="none" w:sz="0" w:space="0" w:color="auto"/>
                                                                            <w:bottom w:val="none" w:sz="0" w:space="0" w:color="auto"/>
                                                                            <w:right w:val="none" w:sz="0" w:space="0" w:color="auto"/>
                                                                          </w:divBdr>
                                                                        </w:div>
                                                                        <w:div w:id="1510559531">
                                                                          <w:marLeft w:val="0"/>
                                                                          <w:marRight w:val="0"/>
                                                                          <w:marTop w:val="0"/>
                                                                          <w:marBottom w:val="0"/>
                                                                          <w:divBdr>
                                                                            <w:top w:val="none" w:sz="0" w:space="0" w:color="auto"/>
                                                                            <w:left w:val="none" w:sz="0" w:space="0" w:color="auto"/>
                                                                            <w:bottom w:val="none" w:sz="0" w:space="0" w:color="auto"/>
                                                                            <w:right w:val="none" w:sz="0" w:space="0" w:color="auto"/>
                                                                          </w:divBdr>
                                                                          <w:divsChild>
                                                                            <w:div w:id="1228690750">
                                                                              <w:marLeft w:val="0"/>
                                                                              <w:marRight w:val="0"/>
                                                                              <w:marTop w:val="0"/>
                                                                              <w:marBottom w:val="0"/>
                                                                              <w:divBdr>
                                                                                <w:top w:val="none" w:sz="0" w:space="0" w:color="auto"/>
                                                                                <w:left w:val="none" w:sz="0" w:space="0" w:color="auto"/>
                                                                                <w:bottom w:val="none" w:sz="0" w:space="0" w:color="auto"/>
                                                                                <w:right w:val="none" w:sz="0" w:space="0" w:color="auto"/>
                                                                              </w:divBdr>
                                                                            </w:div>
                                                                            <w:div w:id="1117332061">
                                                                              <w:marLeft w:val="0"/>
                                                                              <w:marRight w:val="0"/>
                                                                              <w:marTop w:val="0"/>
                                                                              <w:marBottom w:val="0"/>
                                                                              <w:divBdr>
                                                                                <w:top w:val="none" w:sz="0" w:space="0" w:color="auto"/>
                                                                                <w:left w:val="none" w:sz="0" w:space="0" w:color="auto"/>
                                                                                <w:bottom w:val="none" w:sz="0" w:space="0" w:color="auto"/>
                                                                                <w:right w:val="none" w:sz="0" w:space="0" w:color="auto"/>
                                                                              </w:divBdr>
                                                                            </w:div>
                                                                            <w:div w:id="1529904760">
                                                                              <w:marLeft w:val="0"/>
                                                                              <w:marRight w:val="0"/>
                                                                              <w:marTop w:val="0"/>
                                                                              <w:marBottom w:val="0"/>
                                                                              <w:divBdr>
                                                                                <w:top w:val="none" w:sz="0" w:space="0" w:color="auto"/>
                                                                                <w:left w:val="none" w:sz="0" w:space="0" w:color="auto"/>
                                                                                <w:bottom w:val="none" w:sz="0" w:space="0" w:color="auto"/>
                                                                                <w:right w:val="none" w:sz="0" w:space="0" w:color="auto"/>
                                                                              </w:divBdr>
                                                                            </w:div>
                                                                            <w:div w:id="1874418358">
                                                                              <w:marLeft w:val="0"/>
                                                                              <w:marRight w:val="0"/>
                                                                              <w:marTop w:val="0"/>
                                                                              <w:marBottom w:val="0"/>
                                                                              <w:divBdr>
                                                                                <w:top w:val="none" w:sz="0" w:space="0" w:color="auto"/>
                                                                                <w:left w:val="none" w:sz="0" w:space="0" w:color="auto"/>
                                                                                <w:bottom w:val="none" w:sz="0" w:space="0" w:color="auto"/>
                                                                                <w:right w:val="none" w:sz="0" w:space="0" w:color="auto"/>
                                                                              </w:divBdr>
                                                                            </w:div>
                                                                          </w:divsChild>
                                                                        </w:div>
                                                                        <w:div w:id="908229126">
                                                                          <w:marLeft w:val="0"/>
                                                                          <w:marRight w:val="0"/>
                                                                          <w:marTop w:val="0"/>
                                                                          <w:marBottom w:val="0"/>
                                                                          <w:divBdr>
                                                                            <w:top w:val="none" w:sz="0" w:space="0" w:color="auto"/>
                                                                            <w:left w:val="none" w:sz="0" w:space="0" w:color="auto"/>
                                                                            <w:bottom w:val="none" w:sz="0" w:space="0" w:color="auto"/>
                                                                            <w:right w:val="none" w:sz="0" w:space="0" w:color="auto"/>
                                                                          </w:divBdr>
                                                                        </w:div>
                                                                        <w:div w:id="1422606633">
                                                                          <w:marLeft w:val="0"/>
                                                                          <w:marRight w:val="0"/>
                                                                          <w:marTop w:val="0"/>
                                                                          <w:marBottom w:val="0"/>
                                                                          <w:divBdr>
                                                                            <w:top w:val="none" w:sz="0" w:space="0" w:color="auto"/>
                                                                            <w:left w:val="none" w:sz="0" w:space="0" w:color="auto"/>
                                                                            <w:bottom w:val="none" w:sz="0" w:space="0" w:color="auto"/>
                                                                            <w:right w:val="none" w:sz="0" w:space="0" w:color="auto"/>
                                                                          </w:divBdr>
                                                                        </w:div>
                                                                        <w:div w:id="1491406628">
                                                                          <w:marLeft w:val="0"/>
                                                                          <w:marRight w:val="0"/>
                                                                          <w:marTop w:val="0"/>
                                                                          <w:marBottom w:val="0"/>
                                                                          <w:divBdr>
                                                                            <w:top w:val="none" w:sz="0" w:space="0" w:color="auto"/>
                                                                            <w:left w:val="none" w:sz="0" w:space="0" w:color="auto"/>
                                                                            <w:bottom w:val="none" w:sz="0" w:space="0" w:color="auto"/>
                                                                            <w:right w:val="none" w:sz="0" w:space="0" w:color="auto"/>
                                                                          </w:divBdr>
                                                                        </w:div>
                                                                        <w:div w:id="1394156686">
                                                                          <w:marLeft w:val="0"/>
                                                                          <w:marRight w:val="0"/>
                                                                          <w:marTop w:val="0"/>
                                                                          <w:marBottom w:val="0"/>
                                                                          <w:divBdr>
                                                                            <w:top w:val="none" w:sz="0" w:space="0" w:color="auto"/>
                                                                            <w:left w:val="none" w:sz="0" w:space="0" w:color="auto"/>
                                                                            <w:bottom w:val="none" w:sz="0" w:space="0" w:color="auto"/>
                                                                            <w:right w:val="none" w:sz="0" w:space="0" w:color="auto"/>
                                                                          </w:divBdr>
                                                                        </w:div>
                                                                        <w:div w:id="1913932699">
                                                                          <w:marLeft w:val="0"/>
                                                                          <w:marRight w:val="0"/>
                                                                          <w:marTop w:val="0"/>
                                                                          <w:marBottom w:val="0"/>
                                                                          <w:divBdr>
                                                                            <w:top w:val="none" w:sz="0" w:space="0" w:color="auto"/>
                                                                            <w:left w:val="none" w:sz="0" w:space="0" w:color="auto"/>
                                                                            <w:bottom w:val="none" w:sz="0" w:space="0" w:color="auto"/>
                                                                            <w:right w:val="none" w:sz="0" w:space="0" w:color="auto"/>
                                                                          </w:divBdr>
                                                                          <w:divsChild>
                                                                            <w:div w:id="1837261720">
                                                                              <w:marLeft w:val="0"/>
                                                                              <w:marRight w:val="0"/>
                                                                              <w:marTop w:val="0"/>
                                                                              <w:marBottom w:val="0"/>
                                                                              <w:divBdr>
                                                                                <w:top w:val="none" w:sz="0" w:space="0" w:color="auto"/>
                                                                                <w:left w:val="none" w:sz="0" w:space="0" w:color="auto"/>
                                                                                <w:bottom w:val="none" w:sz="0" w:space="0" w:color="auto"/>
                                                                                <w:right w:val="none" w:sz="0" w:space="0" w:color="auto"/>
                                                                              </w:divBdr>
                                                                            </w:div>
                                                                            <w:div w:id="1807579368">
                                                                              <w:marLeft w:val="0"/>
                                                                              <w:marRight w:val="0"/>
                                                                              <w:marTop w:val="0"/>
                                                                              <w:marBottom w:val="0"/>
                                                                              <w:divBdr>
                                                                                <w:top w:val="none" w:sz="0" w:space="0" w:color="auto"/>
                                                                                <w:left w:val="none" w:sz="0" w:space="0" w:color="auto"/>
                                                                                <w:bottom w:val="none" w:sz="0" w:space="0" w:color="auto"/>
                                                                                <w:right w:val="none" w:sz="0" w:space="0" w:color="auto"/>
                                                                              </w:divBdr>
                                                                            </w:div>
                                                                            <w:div w:id="252668582">
                                                                              <w:marLeft w:val="0"/>
                                                                              <w:marRight w:val="0"/>
                                                                              <w:marTop w:val="0"/>
                                                                              <w:marBottom w:val="0"/>
                                                                              <w:divBdr>
                                                                                <w:top w:val="none" w:sz="0" w:space="0" w:color="auto"/>
                                                                                <w:left w:val="none" w:sz="0" w:space="0" w:color="auto"/>
                                                                                <w:bottom w:val="none" w:sz="0" w:space="0" w:color="auto"/>
                                                                                <w:right w:val="none" w:sz="0" w:space="0" w:color="auto"/>
                                                                              </w:divBdr>
                                                                            </w:div>
                                                                            <w:div w:id="345715666">
                                                                              <w:marLeft w:val="0"/>
                                                                              <w:marRight w:val="0"/>
                                                                              <w:marTop w:val="0"/>
                                                                              <w:marBottom w:val="0"/>
                                                                              <w:divBdr>
                                                                                <w:top w:val="none" w:sz="0" w:space="0" w:color="auto"/>
                                                                                <w:left w:val="none" w:sz="0" w:space="0" w:color="auto"/>
                                                                                <w:bottom w:val="none" w:sz="0" w:space="0" w:color="auto"/>
                                                                                <w:right w:val="none" w:sz="0" w:space="0" w:color="auto"/>
                                                                              </w:divBdr>
                                                                            </w:div>
                                                                          </w:divsChild>
                                                                        </w:div>
                                                                        <w:div w:id="383989954">
                                                                          <w:marLeft w:val="0"/>
                                                                          <w:marRight w:val="0"/>
                                                                          <w:marTop w:val="0"/>
                                                                          <w:marBottom w:val="0"/>
                                                                          <w:divBdr>
                                                                            <w:top w:val="none" w:sz="0" w:space="0" w:color="auto"/>
                                                                            <w:left w:val="none" w:sz="0" w:space="0" w:color="auto"/>
                                                                            <w:bottom w:val="none" w:sz="0" w:space="0" w:color="auto"/>
                                                                            <w:right w:val="none" w:sz="0" w:space="0" w:color="auto"/>
                                                                          </w:divBdr>
                                                                        </w:div>
                                                                        <w:div w:id="201016550">
                                                                          <w:marLeft w:val="0"/>
                                                                          <w:marRight w:val="0"/>
                                                                          <w:marTop w:val="0"/>
                                                                          <w:marBottom w:val="0"/>
                                                                          <w:divBdr>
                                                                            <w:top w:val="none" w:sz="0" w:space="0" w:color="auto"/>
                                                                            <w:left w:val="none" w:sz="0" w:space="0" w:color="auto"/>
                                                                            <w:bottom w:val="none" w:sz="0" w:space="0" w:color="auto"/>
                                                                            <w:right w:val="none" w:sz="0" w:space="0" w:color="auto"/>
                                                                          </w:divBdr>
                                                                        </w:div>
                                                                        <w:div w:id="1122652444">
                                                                          <w:marLeft w:val="0"/>
                                                                          <w:marRight w:val="0"/>
                                                                          <w:marTop w:val="0"/>
                                                                          <w:marBottom w:val="0"/>
                                                                          <w:divBdr>
                                                                            <w:top w:val="none" w:sz="0" w:space="0" w:color="auto"/>
                                                                            <w:left w:val="none" w:sz="0" w:space="0" w:color="auto"/>
                                                                            <w:bottom w:val="none" w:sz="0" w:space="0" w:color="auto"/>
                                                                            <w:right w:val="none" w:sz="0" w:space="0" w:color="auto"/>
                                                                          </w:divBdr>
                                                                        </w:div>
                                                                        <w:div w:id="8105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0429794">
                  <w:marLeft w:val="0"/>
                  <w:marRight w:val="0"/>
                  <w:marTop w:val="0"/>
                  <w:marBottom w:val="0"/>
                  <w:divBdr>
                    <w:top w:val="none" w:sz="0" w:space="0" w:color="auto"/>
                    <w:left w:val="none" w:sz="0" w:space="0" w:color="auto"/>
                    <w:bottom w:val="none" w:sz="0" w:space="0" w:color="auto"/>
                    <w:right w:val="none" w:sz="0" w:space="0" w:color="auto"/>
                  </w:divBdr>
                  <w:divsChild>
                    <w:div w:id="89392966">
                      <w:marLeft w:val="0"/>
                      <w:marRight w:val="0"/>
                      <w:marTop w:val="0"/>
                      <w:marBottom w:val="0"/>
                      <w:divBdr>
                        <w:top w:val="none" w:sz="0" w:space="0" w:color="auto"/>
                        <w:left w:val="none" w:sz="0" w:space="0" w:color="auto"/>
                        <w:bottom w:val="none" w:sz="0" w:space="0" w:color="auto"/>
                        <w:right w:val="none" w:sz="0" w:space="0" w:color="auto"/>
                      </w:divBdr>
                      <w:divsChild>
                        <w:div w:id="547316">
                          <w:marLeft w:val="0"/>
                          <w:marRight w:val="0"/>
                          <w:marTop w:val="0"/>
                          <w:marBottom w:val="0"/>
                          <w:divBdr>
                            <w:top w:val="none" w:sz="0" w:space="0" w:color="auto"/>
                            <w:left w:val="none" w:sz="0" w:space="0" w:color="auto"/>
                            <w:bottom w:val="none" w:sz="0" w:space="0" w:color="auto"/>
                            <w:right w:val="none" w:sz="0" w:space="0" w:color="auto"/>
                          </w:divBdr>
                          <w:divsChild>
                            <w:div w:id="1261838608">
                              <w:marLeft w:val="0"/>
                              <w:marRight w:val="0"/>
                              <w:marTop w:val="0"/>
                              <w:marBottom w:val="0"/>
                              <w:divBdr>
                                <w:top w:val="none" w:sz="0" w:space="0" w:color="auto"/>
                                <w:left w:val="none" w:sz="0" w:space="0" w:color="auto"/>
                                <w:bottom w:val="none" w:sz="0" w:space="0" w:color="auto"/>
                                <w:right w:val="none" w:sz="0" w:space="0" w:color="auto"/>
                              </w:divBdr>
                            </w:div>
                            <w:div w:id="28654544">
                              <w:marLeft w:val="0"/>
                              <w:marRight w:val="0"/>
                              <w:marTop w:val="0"/>
                              <w:marBottom w:val="0"/>
                              <w:divBdr>
                                <w:top w:val="none" w:sz="0" w:space="0" w:color="auto"/>
                                <w:left w:val="none" w:sz="0" w:space="0" w:color="auto"/>
                                <w:bottom w:val="none" w:sz="0" w:space="0" w:color="auto"/>
                                <w:right w:val="none" w:sz="0" w:space="0" w:color="auto"/>
                              </w:divBdr>
                            </w:div>
                            <w:div w:id="1052921702">
                              <w:marLeft w:val="0"/>
                              <w:marRight w:val="0"/>
                              <w:marTop w:val="0"/>
                              <w:marBottom w:val="0"/>
                              <w:divBdr>
                                <w:top w:val="none" w:sz="0" w:space="0" w:color="auto"/>
                                <w:left w:val="none" w:sz="0" w:space="0" w:color="auto"/>
                                <w:bottom w:val="none" w:sz="0" w:space="0" w:color="auto"/>
                                <w:right w:val="none" w:sz="0" w:space="0" w:color="auto"/>
                              </w:divBdr>
                            </w:div>
                            <w:div w:id="560596473">
                              <w:marLeft w:val="0"/>
                              <w:marRight w:val="0"/>
                              <w:marTop w:val="0"/>
                              <w:marBottom w:val="0"/>
                              <w:divBdr>
                                <w:top w:val="none" w:sz="0" w:space="0" w:color="auto"/>
                                <w:left w:val="none" w:sz="0" w:space="0" w:color="auto"/>
                                <w:bottom w:val="none" w:sz="0" w:space="0" w:color="auto"/>
                                <w:right w:val="none" w:sz="0" w:space="0" w:color="auto"/>
                              </w:divBdr>
                            </w:div>
                            <w:div w:id="659700064">
                              <w:marLeft w:val="0"/>
                              <w:marRight w:val="0"/>
                              <w:marTop w:val="0"/>
                              <w:marBottom w:val="0"/>
                              <w:divBdr>
                                <w:top w:val="none" w:sz="0" w:space="0" w:color="auto"/>
                                <w:left w:val="none" w:sz="0" w:space="0" w:color="auto"/>
                                <w:bottom w:val="none" w:sz="0" w:space="0" w:color="auto"/>
                                <w:right w:val="none" w:sz="0" w:space="0" w:color="auto"/>
                              </w:divBdr>
                            </w:div>
                            <w:div w:id="560136683">
                              <w:marLeft w:val="0"/>
                              <w:marRight w:val="0"/>
                              <w:marTop w:val="0"/>
                              <w:marBottom w:val="0"/>
                              <w:divBdr>
                                <w:top w:val="none" w:sz="0" w:space="0" w:color="auto"/>
                                <w:left w:val="none" w:sz="0" w:space="0" w:color="auto"/>
                                <w:bottom w:val="none" w:sz="0" w:space="0" w:color="auto"/>
                                <w:right w:val="none" w:sz="0" w:space="0" w:color="auto"/>
                              </w:divBdr>
                            </w:div>
                            <w:div w:id="272054817">
                              <w:marLeft w:val="0"/>
                              <w:marRight w:val="0"/>
                              <w:marTop w:val="0"/>
                              <w:marBottom w:val="0"/>
                              <w:divBdr>
                                <w:top w:val="none" w:sz="0" w:space="0" w:color="auto"/>
                                <w:left w:val="none" w:sz="0" w:space="0" w:color="auto"/>
                                <w:bottom w:val="none" w:sz="0" w:space="0" w:color="auto"/>
                                <w:right w:val="none" w:sz="0" w:space="0" w:color="auto"/>
                              </w:divBdr>
                            </w:div>
                            <w:div w:id="726801053">
                              <w:marLeft w:val="0"/>
                              <w:marRight w:val="0"/>
                              <w:marTop w:val="0"/>
                              <w:marBottom w:val="0"/>
                              <w:divBdr>
                                <w:top w:val="none" w:sz="0" w:space="0" w:color="auto"/>
                                <w:left w:val="none" w:sz="0" w:space="0" w:color="auto"/>
                                <w:bottom w:val="none" w:sz="0" w:space="0" w:color="auto"/>
                                <w:right w:val="none" w:sz="0" w:space="0" w:color="auto"/>
                              </w:divBdr>
                            </w:div>
                            <w:div w:id="294524497">
                              <w:marLeft w:val="0"/>
                              <w:marRight w:val="0"/>
                              <w:marTop w:val="0"/>
                              <w:marBottom w:val="0"/>
                              <w:divBdr>
                                <w:top w:val="none" w:sz="0" w:space="0" w:color="auto"/>
                                <w:left w:val="none" w:sz="0" w:space="0" w:color="auto"/>
                                <w:bottom w:val="none" w:sz="0" w:space="0" w:color="auto"/>
                                <w:right w:val="none" w:sz="0" w:space="0" w:color="auto"/>
                              </w:divBdr>
                            </w:div>
                            <w:div w:id="6171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905229">
      <w:bodyDiv w:val="1"/>
      <w:marLeft w:val="0"/>
      <w:marRight w:val="0"/>
      <w:marTop w:val="0"/>
      <w:marBottom w:val="0"/>
      <w:divBdr>
        <w:top w:val="none" w:sz="0" w:space="0" w:color="auto"/>
        <w:left w:val="none" w:sz="0" w:space="0" w:color="auto"/>
        <w:bottom w:val="none" w:sz="0" w:space="0" w:color="auto"/>
        <w:right w:val="none" w:sz="0" w:space="0" w:color="auto"/>
      </w:divBdr>
    </w:div>
    <w:div w:id="169010903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68269070">
      <w:bodyDiv w:val="1"/>
      <w:marLeft w:val="0"/>
      <w:marRight w:val="0"/>
      <w:marTop w:val="0"/>
      <w:marBottom w:val="0"/>
      <w:divBdr>
        <w:top w:val="none" w:sz="0" w:space="0" w:color="auto"/>
        <w:left w:val="none" w:sz="0" w:space="0" w:color="auto"/>
        <w:bottom w:val="none" w:sz="0" w:space="0" w:color="auto"/>
        <w:right w:val="none" w:sz="0" w:space="0" w:color="auto"/>
      </w:divBdr>
    </w:div>
    <w:div w:id="2125340448">
      <w:bodyDiv w:val="1"/>
      <w:marLeft w:val="0"/>
      <w:marRight w:val="0"/>
      <w:marTop w:val="0"/>
      <w:marBottom w:val="0"/>
      <w:divBdr>
        <w:top w:val="none" w:sz="0" w:space="0" w:color="auto"/>
        <w:left w:val="none" w:sz="0" w:space="0" w:color="auto"/>
        <w:bottom w:val="none" w:sz="0" w:space="0" w:color="auto"/>
        <w:right w:val="none" w:sz="0" w:space="0" w:color="auto"/>
      </w:divBdr>
    </w:div>
    <w:div w:id="2131701759">
      <w:bodyDiv w:val="1"/>
      <w:marLeft w:val="0"/>
      <w:marRight w:val="0"/>
      <w:marTop w:val="0"/>
      <w:marBottom w:val="0"/>
      <w:divBdr>
        <w:top w:val="none" w:sz="0" w:space="0" w:color="auto"/>
        <w:left w:val="none" w:sz="0" w:space="0" w:color="auto"/>
        <w:bottom w:val="none" w:sz="0" w:space="0" w:color="auto"/>
        <w:right w:val="none" w:sz="0" w:space="0" w:color="auto"/>
      </w:divBdr>
    </w:div>
    <w:div w:id="214624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atalog.data.gov/dataset/tiger-line-shapefile-2018-state-pennsylvania-current-census-tract-state-based"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atalog.data.gov/dataset/tiger-line-shapefile-2018-county-philadelphia-county-pa-all-roads-county-based-shapefil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opendataphilly.org/dataset/city-limi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hronicdata.cdc.gov/500-Cities/500-Cities-Census-Tract-level-Data-GIS-Friendly-Fo/k25u-mg9b" TargetMode="External"/><Relationship Id="rId20" Type="http://schemas.openxmlformats.org/officeDocument/2006/relationships/hyperlink" Target="https://www.arcgis.com/home/item.html?id=36a876803cec47fda760d3800d67065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sycnet.apa.org/doi/10.1177/0013164495055003002"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opendataphilly.org/dataset/philadelphia-street-tree-inventory" TargetMode="External"/><Relationship Id="rId4" Type="http://schemas.openxmlformats.org/officeDocument/2006/relationships/settings" Target="settings.xml"/><Relationship Id="rId9" Type="http://schemas.openxmlformats.org/officeDocument/2006/relationships/hyperlink" Target="https://en.wikipedia.org/wiki/Correlation_and_dependence" TargetMode="External"/><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78FAB-58CA-4DB3-BD20-595C84717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21</Pages>
  <Words>7357</Words>
  <Characters>41939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nasadev</dc:creator>
  <cp:keywords/>
  <dc:description/>
  <cp:lastModifiedBy>Clayton, Amanda L. (LARC-E3)[SSAI DEVELOP]</cp:lastModifiedBy>
  <cp:revision>9</cp:revision>
  <dcterms:created xsi:type="dcterms:W3CDTF">2020-04-09T17:22:00Z</dcterms:created>
  <dcterms:modified xsi:type="dcterms:W3CDTF">2020-04-17T18:17:00Z</dcterms:modified>
</cp:coreProperties>
</file>