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60C16" w:rsidRDefault="00671E79" w14:paraId="495BF287" w14:textId="77777777">
      <w:pPr>
        <w:spacing w:after="0" w:line="240" w:lineRule="auto"/>
        <w:jc w:val="right"/>
        <w:rPr>
          <w:rFonts w:ascii="Garamond" w:hAnsi="Garamond" w:eastAsia="Garamond" w:cs="Garamond"/>
          <w:color w:val="000000"/>
          <w:sz w:val="31"/>
          <w:szCs w:val="31"/>
        </w:rPr>
      </w:pPr>
      <w:bookmarkStart w:name="_heading=h.gjdgxs" w:colFirst="0" w:colLast="0" w:id="0"/>
      <w:bookmarkEnd w:id="0"/>
      <w:r>
        <w:rPr>
          <w:rFonts w:ascii="Garamond" w:hAnsi="Garamond" w:eastAsia="Garamond" w:cs="Garamond"/>
          <w:color w:val="000000"/>
          <w:sz w:val="40"/>
          <w:szCs w:val="40"/>
        </w:rPr>
        <w:t xml:space="preserve"> San Joaquin Valley Health &amp; Air Quality II</w:t>
      </w:r>
    </w:p>
    <w:p w:rsidR="00060C16" w:rsidRDefault="00671E79" w14:paraId="6773EF12" w14:textId="77777777">
      <w:pPr>
        <w:spacing w:after="0" w:line="240" w:lineRule="auto"/>
        <w:jc w:val="right"/>
        <w:rPr>
          <w:rFonts w:ascii="Garamond" w:hAnsi="Garamond" w:eastAsia="Garamond" w:cs="Garamond"/>
          <w:color w:val="000000"/>
          <w:sz w:val="28"/>
          <w:szCs w:val="28"/>
        </w:rPr>
      </w:pPr>
      <w:r>
        <w:rPr>
          <w:rFonts w:ascii="Garamond" w:hAnsi="Garamond" w:eastAsia="Garamond" w:cs="Garamond"/>
          <w:color w:val="000000"/>
          <w:sz w:val="28"/>
          <w:szCs w:val="28"/>
        </w:rPr>
        <w:t>Assessing Urban Heat Island Distribution and its Intersections with Air Quality to Understand Converging Vulnerabilities</w:t>
      </w:r>
    </w:p>
    <w:p w:rsidR="00060C16" w:rsidRDefault="00060C16" w14:paraId="65A7710F" w14:textId="77777777">
      <w:pPr>
        <w:spacing w:after="0" w:line="240" w:lineRule="auto"/>
        <w:jc w:val="right"/>
        <w:rPr>
          <w:rFonts w:ascii="Garamond" w:hAnsi="Garamond" w:eastAsia="Garamond" w:cs="Garamond"/>
          <w:color w:val="000000"/>
          <w:sz w:val="28"/>
          <w:szCs w:val="28"/>
        </w:rPr>
      </w:pPr>
    </w:p>
    <w:p w:rsidR="00060C16" w:rsidRDefault="00060C16" w14:paraId="63A93F63" w14:textId="77777777">
      <w:pPr>
        <w:spacing w:after="0" w:line="240" w:lineRule="auto"/>
        <w:jc w:val="right"/>
        <w:rPr>
          <w:rFonts w:ascii="Garamond" w:hAnsi="Garamond" w:eastAsia="Garamond" w:cs="Garamond"/>
          <w:color w:val="000000"/>
          <w:sz w:val="31"/>
          <w:szCs w:val="31"/>
        </w:rPr>
      </w:pPr>
    </w:p>
    <w:p w:rsidR="00060C16" w:rsidRDefault="00060C16" w14:paraId="6EF1AB3A" w14:textId="77777777">
      <w:pPr>
        <w:spacing w:after="0" w:line="240" w:lineRule="auto"/>
        <w:jc w:val="right"/>
        <w:rPr>
          <w:rFonts w:ascii="Garamond" w:hAnsi="Garamond" w:eastAsia="Garamond" w:cs="Garamond"/>
          <w:color w:val="000000"/>
          <w:sz w:val="31"/>
          <w:szCs w:val="31"/>
        </w:rPr>
      </w:pPr>
    </w:p>
    <w:p w:rsidR="00060C16" w:rsidRDefault="00060C16" w14:paraId="4842D059" w14:textId="77777777">
      <w:pPr>
        <w:spacing w:after="0" w:line="240" w:lineRule="auto"/>
        <w:rPr>
          <w:rFonts w:ascii="Garamond" w:hAnsi="Garamond" w:eastAsia="Garamond" w:cs="Garamond"/>
          <w:color w:val="000000"/>
          <w:sz w:val="31"/>
          <w:szCs w:val="31"/>
        </w:rPr>
      </w:pPr>
    </w:p>
    <w:p w:rsidR="00060C16" w:rsidRDefault="00060C16" w14:paraId="463FBEF9" w14:textId="77777777">
      <w:pPr>
        <w:spacing w:after="0" w:line="240" w:lineRule="auto"/>
        <w:jc w:val="center"/>
        <w:rPr>
          <w:rFonts w:ascii="Garamond" w:hAnsi="Garamond" w:eastAsia="Garamond" w:cs="Garamond"/>
          <w:color w:val="000000"/>
          <w:sz w:val="31"/>
          <w:szCs w:val="31"/>
        </w:rPr>
      </w:pPr>
    </w:p>
    <w:p w:rsidR="00060C16" w:rsidRDefault="00060C16" w14:paraId="168E2BBA" w14:textId="77777777">
      <w:pPr>
        <w:spacing w:after="0" w:line="240" w:lineRule="auto"/>
        <w:jc w:val="center"/>
        <w:rPr>
          <w:rFonts w:ascii="Garamond" w:hAnsi="Garamond" w:eastAsia="Garamond" w:cs="Garamond"/>
          <w:color w:val="000000"/>
          <w:sz w:val="31"/>
          <w:szCs w:val="31"/>
        </w:rPr>
      </w:pPr>
    </w:p>
    <w:p w:rsidR="00060C16" w:rsidRDefault="00671E79" w14:paraId="67304D2B" w14:textId="77777777">
      <w:pPr>
        <w:spacing w:after="0" w:line="240" w:lineRule="auto"/>
        <w:jc w:val="center"/>
        <w:rPr>
          <w:rFonts w:ascii="Garamond" w:hAnsi="Garamond" w:eastAsia="Garamond" w:cs="Garamond"/>
          <w:color w:val="000000"/>
          <w:sz w:val="31"/>
          <w:szCs w:val="31"/>
        </w:rPr>
      </w:pPr>
      <w:r>
        <w:rPr>
          <w:noProof/>
        </w:rPr>
        <w:drawing>
          <wp:inline distT="0" distB="0" distL="0" distR="0" wp14:anchorId="6CF4DD75" wp14:editId="08E0D53B">
            <wp:extent cx="971550" cy="190500"/>
            <wp:effectExtent l="0" t="0" r="0" b="0"/>
            <wp:docPr id="21055390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71550" cy="190500"/>
                    </a:xfrm>
                    <a:prstGeom prst="rect">
                      <a:avLst/>
                    </a:prstGeom>
                    <a:ln/>
                  </pic:spPr>
                </pic:pic>
              </a:graphicData>
            </a:graphic>
          </wp:inline>
        </w:drawing>
      </w:r>
      <w:r>
        <w:rPr>
          <w:rFonts w:ascii="Garamond" w:hAnsi="Garamond" w:eastAsia="Garamond" w:cs="Garamond"/>
          <w:b/>
          <w:color w:val="000000"/>
          <w:sz w:val="31"/>
          <w:szCs w:val="31"/>
        </w:rPr>
        <w:t>Technical Report</w:t>
      </w:r>
    </w:p>
    <w:p w:rsidR="00060C16" w:rsidRDefault="00671E79" w14:paraId="430D5937" w14:textId="77777777">
      <w:pPr>
        <w:spacing w:after="0" w:line="240" w:lineRule="auto"/>
        <w:jc w:val="center"/>
        <w:rPr>
          <w:rFonts w:ascii="Garamond" w:hAnsi="Garamond" w:eastAsia="Garamond" w:cs="Garamond"/>
          <w:color w:val="000000"/>
          <w:sz w:val="28"/>
          <w:szCs w:val="28"/>
        </w:rPr>
      </w:pPr>
      <w:r>
        <w:rPr>
          <w:rFonts w:ascii="Garamond" w:hAnsi="Garamond" w:eastAsia="Garamond" w:cs="Garamond"/>
          <w:color w:val="000000"/>
          <w:sz w:val="28"/>
          <w:szCs w:val="28"/>
        </w:rPr>
        <w:t>March 29</w:t>
      </w:r>
      <w:r>
        <w:rPr>
          <w:rFonts w:ascii="Garamond" w:hAnsi="Garamond" w:eastAsia="Garamond" w:cs="Garamond"/>
          <w:color w:val="000000"/>
          <w:sz w:val="28"/>
          <w:szCs w:val="28"/>
          <w:vertAlign w:val="superscript"/>
        </w:rPr>
        <w:t>th</w:t>
      </w:r>
      <w:r>
        <w:rPr>
          <w:rFonts w:ascii="Garamond" w:hAnsi="Garamond" w:eastAsia="Garamond" w:cs="Garamond"/>
          <w:color w:val="000000"/>
          <w:sz w:val="28"/>
          <w:szCs w:val="28"/>
        </w:rPr>
        <w:t>, 2024</w:t>
      </w:r>
    </w:p>
    <w:p w:rsidR="00060C16" w:rsidRDefault="00060C16" w14:paraId="722470B7" w14:textId="77777777">
      <w:pPr>
        <w:spacing w:after="0" w:line="240" w:lineRule="auto"/>
        <w:jc w:val="center"/>
        <w:rPr>
          <w:rFonts w:ascii="Garamond" w:hAnsi="Garamond" w:eastAsia="Garamond" w:cs="Garamond"/>
          <w:color w:val="000000"/>
          <w:sz w:val="19"/>
          <w:szCs w:val="19"/>
        </w:rPr>
      </w:pPr>
    </w:p>
    <w:p w:rsidRPr="00E359FB" w:rsidR="00060C16" w:rsidRDefault="00671E79" w14:paraId="7B04FF3C"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Shea Rousseau (Project Lead)</w:t>
      </w:r>
    </w:p>
    <w:p w:rsidRPr="00E359FB" w:rsidR="00060C16" w:rsidRDefault="00671E79" w14:paraId="09C08A3A"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Gabriela Colombo</w:t>
      </w:r>
    </w:p>
    <w:p w:rsidRPr="00E359FB" w:rsidR="00060C16" w:rsidRDefault="00671E79" w14:paraId="3A837610"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Tyler C. Padua</w:t>
      </w:r>
    </w:p>
    <w:p w:rsidRPr="00E359FB" w:rsidR="00060C16" w:rsidRDefault="00671E79" w14:paraId="605516FB"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Carlo Gomez</w:t>
      </w:r>
    </w:p>
    <w:p w:rsidRPr="00E359FB" w:rsidR="00060C16" w:rsidRDefault="00060C16" w14:paraId="3B5F8CDA" w14:textId="77777777">
      <w:pPr>
        <w:spacing w:after="0" w:line="240" w:lineRule="auto"/>
        <w:jc w:val="center"/>
        <w:rPr>
          <w:rFonts w:ascii="Garamond" w:hAnsi="Garamond" w:eastAsia="Garamond" w:cs="Garamond"/>
          <w:color w:val="000000"/>
          <w:sz w:val="20"/>
          <w:szCs w:val="20"/>
        </w:rPr>
      </w:pPr>
    </w:p>
    <w:p w:rsidRPr="00E359FB" w:rsidR="00060C16" w:rsidRDefault="00671E79" w14:paraId="5BAB4FB9"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b/>
          <w:i/>
          <w:color w:val="000000"/>
          <w:sz w:val="20"/>
          <w:szCs w:val="20"/>
        </w:rPr>
        <w:t>Advisors:</w:t>
      </w:r>
    </w:p>
    <w:p w:rsidRPr="00E359FB" w:rsidR="00060C16" w:rsidRDefault="00671E79" w14:paraId="561E65D1" w14:textId="77777777">
      <w:pPr>
        <w:spacing w:after="0" w:line="240" w:lineRule="auto"/>
        <w:jc w:val="center"/>
        <w:rPr>
          <w:rFonts w:ascii="Garamond" w:hAnsi="Garamond" w:eastAsia="Garamond" w:cs="Garamond"/>
          <w:sz w:val="20"/>
          <w:szCs w:val="20"/>
        </w:rPr>
      </w:pPr>
      <w:r w:rsidRPr="00E359FB">
        <w:rPr>
          <w:rFonts w:ascii="Garamond" w:hAnsi="Garamond" w:eastAsia="Garamond" w:cs="Garamond"/>
          <w:color w:val="000000"/>
          <w:sz w:val="20"/>
          <w:szCs w:val="20"/>
        </w:rPr>
        <w:t>Dr. Juan Torres-Pérez, NASA Ames Research Center (Science Advisor)</w:t>
      </w:r>
    </w:p>
    <w:p w:rsidRPr="00E359FB" w:rsidR="00060C16" w:rsidRDefault="00671E79" w14:paraId="6734D532" w14:textId="77777777">
      <w:pPr>
        <w:spacing w:after="0"/>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Dr. Kenton Ross, NASA Langley Research Center (Science Advisor)</w:t>
      </w:r>
    </w:p>
    <w:p w:rsidRPr="00E359FB" w:rsidR="00060C16" w:rsidRDefault="00671E79" w14:paraId="70E3C9EF"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Dr. Morgan Gilmour, NASA Ames Research Center (Science Advisor)</w:t>
      </w:r>
    </w:p>
    <w:p w:rsidRPr="00E359FB" w:rsidR="00060C16" w:rsidRDefault="00671E79" w14:paraId="6DC6CFCE"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Dr. Xia Cai, NASA Langley Research Center (Science Advisor)</w:t>
      </w:r>
    </w:p>
    <w:p w:rsidRPr="00E359FB" w:rsidR="00060C16" w:rsidRDefault="00671E79" w14:paraId="7F1F06F2"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 xml:space="preserve">Dr. Joshua </w:t>
      </w:r>
      <w:proofErr w:type="spellStart"/>
      <w:r w:rsidRPr="00E359FB">
        <w:rPr>
          <w:rFonts w:ascii="Garamond" w:hAnsi="Garamond" w:eastAsia="Garamond" w:cs="Garamond"/>
          <w:color w:val="000000"/>
          <w:sz w:val="20"/>
          <w:szCs w:val="20"/>
        </w:rPr>
        <w:t>Dimon</w:t>
      </w:r>
      <w:proofErr w:type="spellEnd"/>
      <w:r w:rsidRPr="00E359FB">
        <w:rPr>
          <w:rFonts w:ascii="Garamond" w:hAnsi="Garamond" w:eastAsia="Garamond" w:cs="Garamond"/>
          <w:color w:val="000000"/>
          <w:sz w:val="20"/>
          <w:szCs w:val="20"/>
        </w:rPr>
        <w:t>, University of California Berkeley, Disasters Laboratory (Science Advisor)</w:t>
      </w:r>
    </w:p>
    <w:p w:rsidRPr="00E359FB" w:rsidR="00060C16" w:rsidRDefault="00671E79" w14:paraId="645A6E85"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Lisa Tanh, Esri (Science Advisor)</w:t>
      </w:r>
    </w:p>
    <w:p w:rsidRPr="00E359FB" w:rsidR="00060C16" w:rsidRDefault="00060C16" w14:paraId="7C4EC0D9" w14:textId="77777777">
      <w:pPr>
        <w:spacing w:after="0" w:line="240" w:lineRule="auto"/>
        <w:jc w:val="center"/>
        <w:rPr>
          <w:rFonts w:ascii="Garamond" w:hAnsi="Garamond" w:eastAsia="Garamond" w:cs="Garamond"/>
          <w:color w:val="000000"/>
          <w:sz w:val="20"/>
          <w:szCs w:val="20"/>
        </w:rPr>
      </w:pPr>
    </w:p>
    <w:p w:rsidRPr="00E359FB" w:rsidR="00060C16" w:rsidRDefault="00671E79" w14:paraId="7449518B"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b/>
          <w:i/>
          <w:color w:val="000000"/>
          <w:sz w:val="20"/>
          <w:szCs w:val="20"/>
        </w:rPr>
        <w:t>Previous Contributors:</w:t>
      </w:r>
    </w:p>
    <w:p w:rsidRPr="00E359FB" w:rsidR="00060C16" w:rsidRDefault="00671E79" w14:paraId="3BCA467F"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color w:val="000000"/>
          <w:sz w:val="20"/>
          <w:szCs w:val="20"/>
        </w:rPr>
        <w:t>Jonathan Szeto</w:t>
      </w:r>
    </w:p>
    <w:p w:rsidRPr="00E359FB" w:rsidR="00060C16" w:rsidRDefault="00671E79" w14:paraId="59FF397F" w14:textId="77777777">
      <w:pPr>
        <w:spacing w:after="0" w:line="240" w:lineRule="auto"/>
        <w:jc w:val="center"/>
        <w:rPr>
          <w:sz w:val="20"/>
          <w:szCs w:val="20"/>
        </w:rPr>
      </w:pPr>
      <w:r w:rsidRPr="00E359FB">
        <w:rPr>
          <w:rFonts w:ascii="Garamond" w:hAnsi="Garamond" w:eastAsia="Garamond" w:cs="Garamond"/>
          <w:color w:val="000000"/>
          <w:sz w:val="20"/>
          <w:szCs w:val="20"/>
        </w:rPr>
        <w:t>Jasper Beardslee</w:t>
      </w:r>
    </w:p>
    <w:p w:rsidRPr="00E359FB" w:rsidR="00060C16" w:rsidRDefault="00671E79" w14:paraId="2F4DA24B" w14:textId="77777777">
      <w:pPr>
        <w:spacing w:after="0" w:line="240" w:lineRule="auto"/>
        <w:jc w:val="center"/>
        <w:rPr>
          <w:sz w:val="20"/>
          <w:szCs w:val="20"/>
        </w:rPr>
      </w:pPr>
      <w:r w:rsidRPr="00E359FB">
        <w:rPr>
          <w:rFonts w:ascii="Garamond" w:hAnsi="Garamond" w:eastAsia="Garamond" w:cs="Garamond"/>
          <w:color w:val="000000"/>
          <w:sz w:val="20"/>
          <w:szCs w:val="20"/>
        </w:rPr>
        <w:t>Piper Christian</w:t>
      </w:r>
    </w:p>
    <w:p w:rsidRPr="00E359FB" w:rsidR="00060C16" w:rsidRDefault="00671E79" w14:paraId="5057D2F7" w14:textId="77777777">
      <w:pPr>
        <w:spacing w:after="0" w:line="240" w:lineRule="auto"/>
        <w:jc w:val="center"/>
        <w:rPr>
          <w:sz w:val="20"/>
          <w:szCs w:val="20"/>
        </w:rPr>
      </w:pPr>
      <w:r w:rsidRPr="00E359FB">
        <w:rPr>
          <w:rFonts w:ascii="Garamond" w:hAnsi="Garamond" w:eastAsia="Garamond" w:cs="Garamond"/>
          <w:color w:val="000000"/>
          <w:sz w:val="20"/>
          <w:szCs w:val="20"/>
        </w:rPr>
        <w:t>Bethany MacCarter</w:t>
      </w:r>
    </w:p>
    <w:p w:rsidRPr="00E359FB" w:rsidR="00060C16" w:rsidRDefault="00671E79" w14:paraId="54451EA7" w14:textId="77777777">
      <w:pPr>
        <w:spacing w:after="0" w:line="240" w:lineRule="auto"/>
        <w:jc w:val="center"/>
        <w:rPr>
          <w:sz w:val="20"/>
          <w:szCs w:val="20"/>
        </w:rPr>
      </w:pPr>
      <w:r w:rsidRPr="00E359FB">
        <w:rPr>
          <w:rFonts w:ascii="Garamond" w:hAnsi="Garamond" w:eastAsia="Garamond" w:cs="Garamond"/>
          <w:color w:val="000000"/>
          <w:sz w:val="20"/>
          <w:szCs w:val="20"/>
        </w:rPr>
        <w:t>Alma Quintero</w:t>
      </w:r>
    </w:p>
    <w:p w:rsidRPr="00E359FB" w:rsidR="00060C16" w:rsidRDefault="00060C16" w14:paraId="7AB5CD19" w14:textId="77777777">
      <w:pPr>
        <w:spacing w:after="0" w:line="240" w:lineRule="auto"/>
        <w:jc w:val="center"/>
        <w:rPr>
          <w:rFonts w:ascii="Garamond" w:hAnsi="Garamond" w:eastAsia="Garamond" w:cs="Garamond"/>
          <w:color w:val="000000"/>
          <w:sz w:val="20"/>
          <w:szCs w:val="20"/>
        </w:rPr>
      </w:pPr>
    </w:p>
    <w:p w:rsidRPr="00E359FB" w:rsidR="00060C16" w:rsidRDefault="00671E79" w14:paraId="2B8A2F85" w14:textId="77777777">
      <w:pPr>
        <w:spacing w:after="0" w:line="240" w:lineRule="auto"/>
        <w:jc w:val="center"/>
        <w:rPr>
          <w:rFonts w:ascii="Garamond" w:hAnsi="Garamond" w:eastAsia="Garamond" w:cs="Garamond"/>
          <w:color w:val="000000"/>
          <w:sz w:val="20"/>
          <w:szCs w:val="20"/>
        </w:rPr>
      </w:pPr>
      <w:r w:rsidRPr="00E359FB">
        <w:rPr>
          <w:rFonts w:ascii="Garamond" w:hAnsi="Garamond" w:eastAsia="Garamond" w:cs="Garamond"/>
          <w:b/>
          <w:i/>
          <w:color w:val="000000"/>
          <w:sz w:val="20"/>
          <w:szCs w:val="20"/>
        </w:rPr>
        <w:t>Lead:</w:t>
      </w:r>
      <w:r w:rsidRPr="00E359FB">
        <w:rPr>
          <w:sz w:val="20"/>
          <w:szCs w:val="20"/>
        </w:rPr>
        <w:br/>
      </w:r>
      <w:r w:rsidRPr="00E359FB">
        <w:rPr>
          <w:rFonts w:ascii="Garamond" w:hAnsi="Garamond" w:eastAsia="Garamond" w:cs="Garamond"/>
          <w:color w:val="000000"/>
          <w:sz w:val="20"/>
          <w:szCs w:val="20"/>
        </w:rPr>
        <w:t>Lauren Webster (ARC)</w:t>
      </w:r>
    </w:p>
    <w:p w:rsidR="00060C16" w:rsidRDefault="00060C16" w14:paraId="6F4DC978" w14:textId="77777777">
      <w:pPr>
        <w:spacing w:after="0" w:line="240" w:lineRule="auto"/>
        <w:jc w:val="center"/>
        <w:rPr>
          <w:rFonts w:ascii="Garamond" w:hAnsi="Garamond" w:eastAsia="Garamond" w:cs="Garamond"/>
          <w:color w:val="000000"/>
          <w:sz w:val="19"/>
          <w:szCs w:val="19"/>
        </w:rPr>
      </w:pPr>
    </w:p>
    <w:p w:rsidR="00060C16" w:rsidRDefault="00060C16" w14:paraId="1636FDBA" w14:textId="77777777">
      <w:pPr>
        <w:spacing w:after="0" w:line="240" w:lineRule="auto"/>
        <w:rPr>
          <w:rFonts w:ascii="Garamond" w:hAnsi="Garamond" w:eastAsia="Garamond" w:cs="Garamond"/>
          <w:color w:val="000000"/>
          <w:sz w:val="19"/>
          <w:szCs w:val="19"/>
        </w:rPr>
      </w:pPr>
    </w:p>
    <w:p w:rsidR="00060C16" w:rsidRDefault="00060C16" w14:paraId="56B0893B" w14:textId="77777777">
      <w:pPr>
        <w:spacing w:after="0" w:line="240" w:lineRule="auto"/>
        <w:rPr>
          <w:rFonts w:ascii="Garamond" w:hAnsi="Garamond" w:eastAsia="Garamond" w:cs="Garamond"/>
          <w:color w:val="000000"/>
          <w:sz w:val="19"/>
          <w:szCs w:val="19"/>
        </w:rPr>
      </w:pPr>
    </w:p>
    <w:p w:rsidR="00060C16" w:rsidRDefault="00060C16" w14:paraId="4D8D9345" w14:textId="77777777">
      <w:pPr>
        <w:spacing w:after="0" w:line="240" w:lineRule="auto"/>
        <w:rPr>
          <w:rFonts w:ascii="Garamond" w:hAnsi="Garamond" w:eastAsia="Garamond" w:cs="Garamond"/>
          <w:color w:val="000000"/>
          <w:sz w:val="19"/>
          <w:szCs w:val="19"/>
        </w:rPr>
      </w:pPr>
    </w:p>
    <w:p w:rsidR="00060C16" w:rsidRDefault="00060C16" w14:paraId="4B579B0D" w14:textId="77777777">
      <w:pPr>
        <w:spacing w:after="0" w:line="240" w:lineRule="auto"/>
        <w:rPr>
          <w:rFonts w:ascii="Garamond" w:hAnsi="Garamond" w:eastAsia="Garamond" w:cs="Garamond"/>
          <w:color w:val="000000"/>
          <w:sz w:val="19"/>
          <w:szCs w:val="19"/>
        </w:rPr>
      </w:pPr>
    </w:p>
    <w:p w:rsidR="00060C16" w:rsidRDefault="00060C16" w14:paraId="7AE42B85" w14:textId="77777777">
      <w:pPr>
        <w:spacing w:after="0" w:line="240" w:lineRule="auto"/>
        <w:rPr>
          <w:rFonts w:ascii="Garamond" w:hAnsi="Garamond" w:eastAsia="Garamond" w:cs="Garamond"/>
          <w:color w:val="000000"/>
          <w:sz w:val="19"/>
          <w:szCs w:val="19"/>
        </w:rPr>
      </w:pPr>
    </w:p>
    <w:p w:rsidR="00060C16" w:rsidRDefault="00671E79" w14:paraId="1E667971" w14:textId="77777777">
      <w:pPr>
        <w:rPr>
          <w:rFonts w:ascii="Garamond" w:hAnsi="Garamond" w:eastAsia="Garamond" w:cs="Garamond"/>
          <w:color w:val="000000"/>
          <w:sz w:val="19"/>
          <w:szCs w:val="19"/>
        </w:rPr>
      </w:pPr>
      <w:r>
        <w:br w:type="page"/>
      </w:r>
    </w:p>
    <w:p w:rsidR="006F766B" w:rsidP="67EB5AAA" w:rsidRDefault="00671E79" w14:paraId="46AE63F0" w14:textId="0A419C74">
      <w:pPr>
        <w:pStyle w:val="Heading1"/>
        <w:spacing w:before="0" w:after="0" w:line="240" w:lineRule="auto"/>
        <w:rPr>
          <w:rFonts w:ascii="Garamond" w:hAnsi="Garamond" w:eastAsia="Garamond" w:cs="Garamond"/>
          <w:b/>
          <w:bCs/>
          <w:color w:val="365F91"/>
          <w:sz w:val="28"/>
          <w:szCs w:val="28"/>
        </w:rPr>
      </w:pPr>
      <w:r w:rsidRPr="67EB5AAA">
        <w:rPr>
          <w:rFonts w:ascii="Garamond" w:hAnsi="Garamond" w:eastAsia="Garamond" w:cs="Garamond"/>
          <w:b/>
          <w:bCs/>
          <w:color w:val="365F91"/>
          <w:sz w:val="28"/>
          <w:szCs w:val="28"/>
        </w:rPr>
        <w:lastRenderedPageBreak/>
        <w:t>1. Abstract</w:t>
      </w:r>
    </w:p>
    <w:p w:rsidR="00060C16" w:rsidRDefault="00671E79" w14:paraId="285BE079" w14:textId="53179DDE">
      <w:pPr>
        <w:spacing w:after="0" w:line="240" w:lineRule="auto"/>
        <w:rPr>
          <w:rFonts w:ascii="Garamond" w:hAnsi="Garamond" w:eastAsia="Garamond" w:cs="Garamond"/>
          <w:sz w:val="22"/>
          <w:szCs w:val="22"/>
        </w:rPr>
      </w:pPr>
      <w:r w:rsidRPr="6DEE4987" w:rsidR="00671E79">
        <w:rPr>
          <w:rFonts w:ascii="Garamond" w:hAnsi="Garamond" w:eastAsia="Garamond" w:cs="Garamond"/>
          <w:sz w:val="22"/>
          <w:szCs w:val="22"/>
        </w:rPr>
        <w:t xml:space="preserve">The city of Stockton, California, </w:t>
      </w:r>
      <w:r w:rsidRPr="6DEE4987" w:rsidR="00671E79">
        <w:rPr>
          <w:rFonts w:ascii="Garamond" w:hAnsi="Garamond" w:eastAsia="Garamond" w:cs="Garamond"/>
          <w:sz w:val="22"/>
          <w:szCs w:val="22"/>
        </w:rPr>
        <w:t>located</w:t>
      </w:r>
      <w:r w:rsidRPr="6DEE4987" w:rsidR="00671E79">
        <w:rPr>
          <w:rFonts w:ascii="Garamond" w:hAnsi="Garamond" w:eastAsia="Garamond" w:cs="Garamond"/>
          <w:sz w:val="22"/>
          <w:szCs w:val="22"/>
        </w:rPr>
        <w:t xml:space="preserve"> within the San Joaquin Valley (SJV), is a major hub for agricultural production and has endured the continuous threat to community health from nitrogen dioxide (NO</w:t>
      </w:r>
      <w:r w:rsidRPr="6DEE4987" w:rsidR="00671E79">
        <w:rPr>
          <w:rFonts w:ascii="Garamond" w:hAnsi="Garamond" w:eastAsia="Garamond" w:cs="Garamond"/>
          <w:sz w:val="22"/>
          <w:szCs w:val="22"/>
          <w:vertAlign w:val="subscript"/>
        </w:rPr>
        <w:t>2</w:t>
      </w:r>
      <w:r w:rsidRPr="6DEE4987" w:rsidR="00671E79">
        <w:rPr>
          <w:rFonts w:ascii="Garamond" w:hAnsi="Garamond" w:eastAsia="Garamond" w:cs="Garamond"/>
          <w:sz w:val="22"/>
          <w:szCs w:val="22"/>
        </w:rPr>
        <w:t xml:space="preserve">) and increasing temperatures. The convergence of these issues occurs within historically segregated communities that are disproportionately facing health risks related to heat and air quality. Little Manila Rising (LMR), a social and environmental justice (EJ) advocacy non-profit, partnered with NASA DEVELOP for a second term project to evaluate county wide urban heat islands, sociodemographic vulnerability, landcover classification, and the convergence of these variables. We </w:t>
      </w:r>
      <w:r w:rsidRPr="6DEE4987" w:rsidR="00671E79">
        <w:rPr>
          <w:rFonts w:ascii="Garamond" w:hAnsi="Garamond" w:eastAsia="Garamond" w:cs="Garamond"/>
          <w:sz w:val="22"/>
          <w:szCs w:val="22"/>
        </w:rPr>
        <w:t>utilized</w:t>
      </w:r>
      <w:r w:rsidRPr="6DEE4987" w:rsidR="00671E79">
        <w:rPr>
          <w:rFonts w:ascii="Garamond" w:hAnsi="Garamond" w:eastAsia="Garamond" w:cs="Garamond"/>
          <w:sz w:val="22"/>
          <w:szCs w:val="22"/>
        </w:rPr>
        <w:t xml:space="preserve"> Landsat 8 Thermal Infrared Sensor (TIRS) and Operational Land Imager (OLI) data to produce a land surface temperature (LST) and Normalized Difference Vegetation Index</w:t>
      </w:r>
      <w:r w:rsidRPr="6DEE4987" w:rsidR="7A44B520">
        <w:rPr>
          <w:rFonts w:ascii="Garamond" w:hAnsi="Garamond" w:eastAsia="Garamond" w:cs="Garamond"/>
          <w:sz w:val="22"/>
          <w:szCs w:val="22"/>
        </w:rPr>
        <w:t xml:space="preserve"> (NDVI)</w:t>
      </w:r>
      <w:r w:rsidRPr="6DEE4987" w:rsidR="00671E79">
        <w:rPr>
          <w:rFonts w:ascii="Garamond" w:hAnsi="Garamond" w:eastAsia="Garamond" w:cs="Garamond"/>
          <w:sz w:val="22"/>
          <w:szCs w:val="22"/>
        </w:rPr>
        <w:t xml:space="preserve"> map. They added Centers for Disease Control (CDC) socioeconomic data from 2020 to </w:t>
      </w:r>
      <w:r w:rsidRPr="6DEE4987" w:rsidR="00671E79">
        <w:rPr>
          <w:rFonts w:ascii="Garamond" w:hAnsi="Garamond" w:eastAsia="Garamond" w:cs="Garamond"/>
          <w:sz w:val="22"/>
          <w:szCs w:val="22"/>
        </w:rPr>
        <w:t>identify</w:t>
      </w:r>
      <w:r w:rsidRPr="6DEE4987" w:rsidR="00671E79">
        <w:rPr>
          <w:rFonts w:ascii="Garamond" w:hAnsi="Garamond" w:eastAsia="Garamond" w:cs="Garamond"/>
          <w:sz w:val="22"/>
          <w:szCs w:val="22"/>
        </w:rPr>
        <w:t xml:space="preserve"> which communities in Stockton were more susceptible to these environmental factors. Additionally, we used </w:t>
      </w:r>
      <w:r w:rsidRPr="6DEE4987" w:rsidR="00671E79">
        <w:rPr>
          <w:rFonts w:ascii="Garamond" w:hAnsi="Garamond" w:eastAsia="Garamond" w:cs="Garamond"/>
          <w:sz w:val="22"/>
          <w:szCs w:val="22"/>
        </w:rPr>
        <w:t xml:space="preserve">imagery </w:t>
      </w:r>
      <w:r w:rsidRPr="6DEE4987" w:rsidR="3080E1BD">
        <w:rPr>
          <w:rFonts w:ascii="Garamond" w:hAnsi="Garamond" w:eastAsia="Garamond" w:cs="Garamond"/>
          <w:sz w:val="22"/>
          <w:szCs w:val="22"/>
        </w:rPr>
        <w:t xml:space="preserve">from National Agriculture Imagery Program (NAIP) </w:t>
      </w:r>
      <w:r w:rsidRPr="6DEE4987" w:rsidR="00671E79">
        <w:rPr>
          <w:rFonts w:ascii="Garamond" w:hAnsi="Garamond" w:eastAsia="Garamond" w:cs="Garamond"/>
          <w:sz w:val="22"/>
          <w:szCs w:val="22"/>
        </w:rPr>
        <w:t xml:space="preserve">to create a landcover map differentiating developed infrastructure from tree canopy cover. We discovered that south Stockton, where LMR </w:t>
      </w:r>
      <w:r w:rsidRPr="6DEE4987" w:rsidR="00671E79">
        <w:rPr>
          <w:rFonts w:ascii="Garamond" w:hAnsi="Garamond" w:eastAsia="Garamond" w:cs="Garamond"/>
          <w:sz w:val="22"/>
          <w:szCs w:val="22"/>
        </w:rPr>
        <w:t>resides</w:t>
      </w:r>
      <w:r w:rsidRPr="6DEE4987" w:rsidR="00671E79">
        <w:rPr>
          <w:rFonts w:ascii="Garamond" w:hAnsi="Garamond" w:eastAsia="Garamond" w:cs="Garamond"/>
          <w:sz w:val="22"/>
          <w:szCs w:val="22"/>
        </w:rPr>
        <w:t xml:space="preserve">, had the worst convergence of </w:t>
      </w:r>
      <w:r w:rsidRPr="6DEE4987" w:rsidR="2A31218A">
        <w:rPr>
          <w:rFonts w:ascii="Garamond" w:hAnsi="Garamond" w:eastAsia="Garamond" w:cs="Garamond"/>
          <w:sz w:val="22"/>
          <w:szCs w:val="22"/>
        </w:rPr>
        <w:t xml:space="preserve">urban </w:t>
      </w:r>
      <w:r w:rsidRPr="6DEE4987" w:rsidR="00671E79">
        <w:rPr>
          <w:rFonts w:ascii="Garamond" w:hAnsi="Garamond" w:eastAsia="Garamond" w:cs="Garamond"/>
          <w:sz w:val="22"/>
          <w:szCs w:val="22"/>
        </w:rPr>
        <w:t xml:space="preserve">heat, air pollution, low canopy coverage and sociodemographic vulnerability compared to northern and rural parts of the city. This was further substantiated by statistical analysis showing a strong positive relationship between areas of high LST and low vegetation. The results provided LMR with compelling evidence to </w:t>
      </w:r>
      <w:r w:rsidRPr="6DEE4987" w:rsidR="3ADF46DB">
        <w:rPr>
          <w:rFonts w:ascii="Garamond" w:hAnsi="Garamond" w:eastAsia="Garamond" w:cs="Garamond"/>
          <w:sz w:val="22"/>
          <w:szCs w:val="22"/>
        </w:rPr>
        <w:t>support</w:t>
      </w:r>
      <w:r w:rsidRPr="6DEE4987" w:rsidR="00671E79">
        <w:rPr>
          <w:rFonts w:ascii="Garamond" w:hAnsi="Garamond" w:eastAsia="Garamond" w:cs="Garamond"/>
          <w:sz w:val="22"/>
          <w:szCs w:val="22"/>
        </w:rPr>
        <w:t xml:space="preserve"> in their EJ advocacy, and in their efforts to inform state officials of the discriminatory issues they face.</w:t>
      </w:r>
    </w:p>
    <w:p w:rsidR="00060C16" w:rsidRDefault="00060C16" w14:paraId="67BF5ABF" w14:textId="77777777">
      <w:pPr>
        <w:spacing w:after="0"/>
        <w:rPr>
          <w:rFonts w:ascii="Garamond" w:hAnsi="Garamond" w:eastAsia="Garamond" w:cs="Garamond"/>
          <w:color w:val="404040"/>
          <w:sz w:val="22"/>
          <w:szCs w:val="22"/>
        </w:rPr>
      </w:pPr>
    </w:p>
    <w:p w:rsidR="00060C16" w:rsidRDefault="00671E79" w14:paraId="33093498" w14:textId="77777777">
      <w:pPr>
        <w:spacing w:after="0" w:line="240" w:lineRule="auto"/>
        <w:rPr>
          <w:rFonts w:ascii="Times New Roman" w:hAnsi="Times New Roman" w:eastAsia="Times New Roman" w:cs="Times New Roman"/>
          <w:b/>
          <w:color w:val="000000"/>
        </w:rPr>
      </w:pPr>
      <w:r>
        <w:rPr>
          <w:rFonts w:ascii="Times New Roman" w:hAnsi="Times New Roman" w:eastAsia="Times New Roman" w:cs="Times New Roman"/>
          <w:b/>
          <w:color w:val="000000"/>
        </w:rPr>
        <w:t>Key Terms</w:t>
      </w:r>
    </w:p>
    <w:p w:rsidR="00060C16" w:rsidRDefault="00671E79" w14:paraId="03337195"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Urban heat islands, environmental justice, air pollution, sociodemographic vulnerability, land surface temperature, nitrogen dioxide</w:t>
      </w:r>
    </w:p>
    <w:p w:rsidR="00060C16" w:rsidRDefault="00060C16" w14:paraId="679903BE" w14:textId="77777777">
      <w:pPr>
        <w:spacing w:after="0" w:line="240" w:lineRule="auto"/>
        <w:rPr>
          <w:rFonts w:ascii="Garamond" w:hAnsi="Garamond" w:eastAsia="Garamond" w:cs="Garamond"/>
          <w:sz w:val="22"/>
          <w:szCs w:val="22"/>
        </w:rPr>
      </w:pPr>
    </w:p>
    <w:p w:rsidR="00060C16" w:rsidP="67EB5AAA" w:rsidRDefault="00671E79" w14:paraId="2BFE2F2E" w14:textId="3DB5D9B6">
      <w:pPr>
        <w:pStyle w:val="Heading1"/>
        <w:spacing w:before="0" w:after="0" w:line="240" w:lineRule="auto"/>
        <w:rPr>
          <w:rFonts w:ascii="Garamond" w:hAnsi="Garamond" w:eastAsia="Garamond" w:cs="Garamond"/>
          <w:b/>
          <w:bCs/>
          <w:color w:val="000000"/>
          <w:sz w:val="28"/>
          <w:szCs w:val="28"/>
        </w:rPr>
      </w:pPr>
      <w:r w:rsidRPr="67EB5AAA">
        <w:rPr>
          <w:rFonts w:ascii="Garamond" w:hAnsi="Garamond" w:eastAsia="Garamond" w:cs="Garamond"/>
          <w:b/>
          <w:bCs/>
          <w:color w:val="365F91"/>
          <w:sz w:val="28"/>
          <w:szCs w:val="28"/>
        </w:rPr>
        <w:t>2. Introduction</w:t>
      </w:r>
    </w:p>
    <w:p w:rsidR="00060C16" w:rsidRDefault="00671E79" w14:paraId="5164B560" w14:textId="77777777">
      <w:pPr>
        <w:spacing w:after="0" w:line="240" w:lineRule="auto"/>
        <w:rPr>
          <w:rFonts w:ascii="Garamond" w:hAnsi="Garamond" w:eastAsia="Garamond" w:cs="Garamond"/>
          <w:b/>
          <w:color w:val="000000"/>
          <w:sz w:val="22"/>
          <w:szCs w:val="22"/>
        </w:rPr>
      </w:pPr>
      <w:r>
        <w:rPr>
          <w:rFonts w:ascii="Garamond" w:hAnsi="Garamond" w:eastAsia="Garamond" w:cs="Garamond"/>
          <w:b/>
          <w:sz w:val="22"/>
          <w:szCs w:val="22"/>
        </w:rPr>
        <w:t>2.1 Background Information</w:t>
      </w:r>
    </w:p>
    <w:p w:rsidR="00060C16" w:rsidRDefault="00671E79" w14:paraId="1F8F1086"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The city of Stockton lies within the greater San Joaquin Valley (SJV) of California and is a community of over 320,000 inhabitants with a culturally and economically diverse population of residents (US Census Bureau, 2022). In 2018, Stockton was named the most culturally diverse city in the United States, with a population of 11.6% identifying as Black or African American, 45.2% Hispanic or Latino, 20.9% Asian, and 17.6% white, not including Hispanic or Latino (Galvin, 2020, U.S. Census Bureau, n.d.). The city also includes a total population of 54,000 unauthorized individuals, 71% of which traveled from Mexico and 11% from the Philippines within SJV (Profile of the Unauthorized Population - County Data, n.d.). </w:t>
      </w:r>
    </w:p>
    <w:p w:rsidR="00060C16" w:rsidRDefault="00060C16" w14:paraId="4E79A6B1" w14:textId="77777777">
      <w:pPr>
        <w:spacing w:after="0" w:line="240" w:lineRule="auto"/>
        <w:rPr>
          <w:rFonts w:ascii="Garamond" w:hAnsi="Garamond" w:eastAsia="Garamond" w:cs="Garamond"/>
          <w:color w:val="000000"/>
          <w:sz w:val="22"/>
          <w:szCs w:val="22"/>
        </w:rPr>
      </w:pPr>
    </w:p>
    <w:p w:rsidR="00060C16" w:rsidRDefault="00671E79" w14:paraId="2BFCAF1E" w14:textId="01BB34CD">
      <w:pPr>
        <w:spacing w:after="0" w:line="240" w:lineRule="auto"/>
        <w:rPr>
          <w:rFonts w:ascii="Garamond" w:hAnsi="Garamond" w:eastAsia="Garamond" w:cs="Garamond"/>
          <w:sz w:val="22"/>
          <w:szCs w:val="22"/>
        </w:rPr>
      </w:pPr>
      <w:r w:rsidRPr="6DEE4987" w:rsidR="00671E79">
        <w:rPr>
          <w:rFonts w:ascii="Garamond" w:hAnsi="Garamond" w:eastAsia="Garamond" w:cs="Garamond"/>
          <w:color w:val="000000" w:themeColor="text1" w:themeTint="FF" w:themeShade="FF"/>
          <w:sz w:val="22"/>
          <w:szCs w:val="22"/>
        </w:rPr>
        <w:t>Increased urban development has resulted in extensive impervious surfaces and limited vegetation throughout Stockton, which causes the city to experience abnormal temperatures and climate anomalies (</w:t>
      </w:r>
      <w:r w:rsidRPr="6DEE4987" w:rsidR="00671E79">
        <w:rPr>
          <w:rFonts w:ascii="Garamond" w:hAnsi="Garamond" w:eastAsia="Garamond" w:cs="Garamond"/>
          <w:color w:val="000000" w:themeColor="text1" w:themeTint="FF" w:themeShade="FF"/>
          <w:sz w:val="22"/>
          <w:szCs w:val="22"/>
        </w:rPr>
        <w:t>Jumari</w:t>
      </w:r>
      <w:r w:rsidRPr="6DEE4987" w:rsidR="00671E79">
        <w:rPr>
          <w:rFonts w:ascii="Garamond" w:hAnsi="Garamond" w:eastAsia="Garamond" w:cs="Garamond"/>
          <w:color w:val="000000" w:themeColor="text1" w:themeTint="FF" w:themeShade="FF"/>
          <w:sz w:val="22"/>
          <w:szCs w:val="22"/>
        </w:rPr>
        <w:t xml:space="preserve"> et al., 2023). Impervious surfaces are artificial surfaces that do not allow water infiltration and contribute to heat by </w:t>
      </w:r>
      <w:r w:rsidRPr="6DEE4987" w:rsidR="00671E79">
        <w:rPr>
          <w:rFonts w:ascii="Garamond" w:hAnsi="Garamond" w:eastAsia="Garamond" w:cs="Garamond"/>
          <w:color w:val="000000" w:themeColor="text1" w:themeTint="FF" w:themeShade="FF"/>
          <w:sz w:val="22"/>
          <w:szCs w:val="22"/>
        </w:rPr>
        <w:t>modifying</w:t>
      </w:r>
      <w:r w:rsidRPr="6DEE4987" w:rsidR="00671E79">
        <w:rPr>
          <w:rFonts w:ascii="Garamond" w:hAnsi="Garamond" w:eastAsia="Garamond" w:cs="Garamond"/>
          <w:color w:val="000000" w:themeColor="text1" w:themeTint="FF" w:themeShade="FF"/>
          <w:sz w:val="22"/>
          <w:szCs w:val="22"/>
        </w:rPr>
        <w:t xml:space="preserve"> the surface albedo (Ma </w:t>
      </w:r>
      <w:r w:rsidRPr="6DEE4987" w:rsidR="5373784E">
        <w:rPr>
          <w:rFonts w:ascii="Garamond" w:hAnsi="Garamond" w:eastAsia="Garamond" w:cs="Garamond"/>
          <w:color w:val="000000" w:themeColor="text1" w:themeTint="FF" w:themeShade="FF"/>
          <w:sz w:val="22"/>
          <w:szCs w:val="22"/>
        </w:rPr>
        <w:t>and</w:t>
      </w:r>
      <w:r w:rsidRPr="6DEE4987" w:rsidR="00671E79">
        <w:rPr>
          <w:rFonts w:ascii="Garamond" w:hAnsi="Garamond" w:eastAsia="Garamond" w:cs="Garamond"/>
          <w:color w:val="000000" w:themeColor="text1" w:themeTint="FF" w:themeShade="FF"/>
          <w:sz w:val="22"/>
          <w:szCs w:val="22"/>
        </w:rPr>
        <w:t xml:space="preserve"> Peng, 2021). They alter the absorption and retention of heat in cities</w:t>
      </w:r>
      <w:r w:rsidRPr="6DEE4987" w:rsidR="00671E79">
        <w:rPr>
          <w:rFonts w:ascii="Garamond" w:hAnsi="Garamond" w:eastAsia="Garamond" w:cs="Garamond"/>
          <w:color w:val="000000" w:themeColor="text1" w:themeTint="FF" w:themeShade="FF"/>
        </w:rPr>
        <w:t xml:space="preserve"> and</w:t>
      </w:r>
      <w:r w:rsidRPr="6DEE4987" w:rsidR="00671E79">
        <w:rPr>
          <w:rFonts w:ascii="Garamond" w:hAnsi="Garamond" w:eastAsia="Garamond" w:cs="Garamond"/>
          <w:color w:val="000000" w:themeColor="text1" w:themeTint="FF" w:themeShade="FF"/>
          <w:sz w:val="22"/>
          <w:szCs w:val="22"/>
        </w:rPr>
        <w:t xml:space="preserve"> contribute</w:t>
      </w:r>
      <w:r w:rsidRPr="6DEE4987" w:rsidR="00671E79">
        <w:rPr>
          <w:rFonts w:ascii="Garamond" w:hAnsi="Garamond" w:eastAsia="Garamond" w:cs="Garamond"/>
          <w:color w:val="000000" w:themeColor="text1" w:themeTint="FF" w:themeShade="FF"/>
        </w:rPr>
        <w:t xml:space="preserve"> </w:t>
      </w:r>
      <w:r w:rsidRPr="6DEE4987" w:rsidR="00671E79">
        <w:rPr>
          <w:rFonts w:ascii="Garamond" w:hAnsi="Garamond" w:eastAsia="Garamond" w:cs="Garamond"/>
          <w:color w:val="000000" w:themeColor="text1" w:themeTint="FF" w:themeShade="FF"/>
          <w:sz w:val="22"/>
          <w:szCs w:val="22"/>
        </w:rPr>
        <w:t>to a phenomenon known as the Urban Heat Island (UHI) effect (</w:t>
      </w:r>
      <w:r w:rsidRPr="6DEE4987" w:rsidR="00671E79">
        <w:rPr>
          <w:rFonts w:ascii="Garamond" w:hAnsi="Garamond" w:eastAsia="Garamond" w:cs="Garamond"/>
          <w:color w:val="000000" w:themeColor="text1" w:themeTint="FF" w:themeShade="FF"/>
          <w:sz w:val="22"/>
          <w:szCs w:val="22"/>
        </w:rPr>
        <w:t>Jumari</w:t>
      </w:r>
      <w:r w:rsidRPr="6DEE4987" w:rsidR="00671E79">
        <w:rPr>
          <w:rFonts w:ascii="Garamond" w:hAnsi="Garamond" w:eastAsia="Garamond" w:cs="Garamond"/>
          <w:color w:val="000000" w:themeColor="text1" w:themeTint="FF" w:themeShade="FF"/>
          <w:sz w:val="22"/>
          <w:szCs w:val="22"/>
        </w:rPr>
        <w:t xml:space="preserve"> et al., 2023). Higher temperatures derived from UHIs pose risks to public health such as heatstroke</w:t>
      </w:r>
      <w:r w:rsidRPr="6DEE4987" w:rsidR="00671E79">
        <w:rPr>
          <w:rFonts w:ascii="Garamond" w:hAnsi="Garamond" w:eastAsia="Garamond" w:cs="Garamond"/>
          <w:color w:val="000000" w:themeColor="text1" w:themeTint="FF" w:themeShade="FF"/>
        </w:rPr>
        <w:t xml:space="preserve">, </w:t>
      </w:r>
      <w:r w:rsidRPr="6DEE4987" w:rsidR="00671E79">
        <w:rPr>
          <w:rFonts w:ascii="Garamond" w:hAnsi="Garamond" w:eastAsia="Garamond" w:cs="Garamond"/>
          <w:color w:val="000000" w:themeColor="text1" w:themeTint="FF" w:themeShade="FF"/>
          <w:sz w:val="22"/>
          <w:szCs w:val="22"/>
        </w:rPr>
        <w:t>heat exhaustion,</w:t>
      </w:r>
      <w:r w:rsidRPr="6DEE4987" w:rsidR="00671E79">
        <w:rPr>
          <w:rFonts w:ascii="Garamond" w:hAnsi="Garamond" w:eastAsia="Garamond" w:cs="Garamond"/>
          <w:color w:val="000000" w:themeColor="text1" w:themeTint="FF" w:themeShade="FF"/>
        </w:rPr>
        <w:t xml:space="preserve"> air </w:t>
      </w:r>
      <w:r w:rsidRPr="6DEE4987" w:rsidR="00671E79">
        <w:rPr>
          <w:rFonts w:ascii="Garamond" w:hAnsi="Garamond" w:eastAsia="Garamond" w:cs="Garamond"/>
          <w:color w:val="000000" w:themeColor="text1" w:themeTint="FF" w:themeShade="FF"/>
          <w:sz w:val="22"/>
          <w:szCs w:val="22"/>
        </w:rPr>
        <w:t>quality degradation and energy consumption (</w:t>
      </w:r>
      <w:r w:rsidRPr="6DEE4987" w:rsidR="00671E79">
        <w:rPr>
          <w:rFonts w:ascii="Garamond" w:hAnsi="Garamond" w:eastAsia="Garamond" w:cs="Garamond"/>
          <w:sz w:val="22"/>
          <w:szCs w:val="22"/>
        </w:rPr>
        <w:t>Tong et al., 2021</w:t>
      </w:r>
      <w:r w:rsidRPr="6DEE4987" w:rsidR="00671E79">
        <w:rPr>
          <w:rFonts w:ascii="Garamond" w:hAnsi="Garamond" w:eastAsia="Garamond" w:cs="Garamond"/>
          <w:color w:val="000000" w:themeColor="text1" w:themeTint="FF" w:themeShade="FF"/>
          <w:sz w:val="22"/>
          <w:szCs w:val="22"/>
        </w:rPr>
        <w:t xml:space="preserve">). In addition, UHIs often disproportionately affect communities that have historically been affected by redlining </w:t>
      </w:r>
      <w:r w:rsidRPr="6DEE4987" w:rsidR="00671E79">
        <w:rPr>
          <w:rFonts w:ascii="Garamond" w:hAnsi="Garamond" w:eastAsia="Garamond" w:cs="Garamond"/>
          <w:sz w:val="22"/>
          <w:szCs w:val="22"/>
        </w:rPr>
        <w:t xml:space="preserve">(Chakraborty et al., 2019). </w:t>
      </w:r>
      <w:r w:rsidRPr="6DEE4987" w:rsidR="00671E79">
        <w:rPr>
          <w:rFonts w:ascii="Garamond" w:hAnsi="Garamond" w:eastAsia="Garamond" w:cs="Garamond"/>
          <w:color w:val="000000" w:themeColor="text1" w:themeTint="FF" w:themeShade="FF"/>
          <w:sz w:val="22"/>
          <w:szCs w:val="22"/>
        </w:rPr>
        <w:t xml:space="preserve">The combination of extreme heat and poor air quality has been proven to have compounding effects on health and is shown to increase chances of heart related mortality in women and older adults </w:t>
      </w:r>
      <w:r w:rsidRPr="6DEE4987" w:rsidR="00671E79">
        <w:rPr>
          <w:rFonts w:ascii="Garamond" w:hAnsi="Garamond" w:eastAsia="Garamond" w:cs="Garamond"/>
          <w:sz w:val="22"/>
          <w:szCs w:val="22"/>
        </w:rPr>
        <w:t>(Xu, 2023).</w:t>
      </w:r>
    </w:p>
    <w:p w:rsidR="00060C16" w:rsidRDefault="00060C16" w14:paraId="17D6CB12" w14:textId="77777777">
      <w:pPr>
        <w:spacing w:after="0" w:line="240" w:lineRule="auto"/>
        <w:rPr>
          <w:rFonts w:ascii="Garamond" w:hAnsi="Garamond" w:eastAsia="Garamond" w:cs="Garamond"/>
          <w:b/>
          <w:color w:val="000000"/>
          <w:sz w:val="22"/>
          <w:szCs w:val="22"/>
        </w:rPr>
      </w:pPr>
    </w:p>
    <w:p w:rsidR="00060C16" w:rsidRDefault="00671E79" w14:paraId="26393BB8" w14:textId="77777777">
      <w:pPr>
        <w:spacing w:after="0" w:line="240" w:lineRule="auto"/>
        <w:rPr>
          <w:rFonts w:ascii="Garamond" w:hAnsi="Garamond" w:eastAsia="Garamond" w:cs="Garamond"/>
          <w:b/>
          <w:color w:val="000000"/>
          <w:sz w:val="22"/>
          <w:szCs w:val="22"/>
        </w:rPr>
      </w:pPr>
      <w:r>
        <w:rPr>
          <w:rFonts w:ascii="Garamond" w:hAnsi="Garamond" w:eastAsia="Garamond" w:cs="Garamond"/>
          <w:b/>
          <w:color w:val="000000"/>
          <w:sz w:val="22"/>
          <w:szCs w:val="22"/>
        </w:rPr>
        <w:t>2.2 Scientific Basis</w:t>
      </w:r>
    </w:p>
    <w:p w:rsidR="00060C16" w:rsidRDefault="00671E79" w14:paraId="7CB4D4F0" w14:textId="62C0BC79">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We </w:t>
      </w:r>
      <w:r w:rsidRPr="6DEE4987" w:rsidR="00671E79">
        <w:rPr>
          <w:rFonts w:ascii="Garamond" w:hAnsi="Garamond" w:eastAsia="Garamond" w:cs="Garamond"/>
          <w:color w:val="000000" w:themeColor="text1" w:themeTint="FF" w:themeShade="FF"/>
          <w:sz w:val="22"/>
          <w:szCs w:val="22"/>
        </w:rPr>
        <w:t>utilized</w:t>
      </w:r>
      <w:r w:rsidRPr="6DEE4987" w:rsidR="00671E79">
        <w:rPr>
          <w:rFonts w:ascii="Garamond" w:hAnsi="Garamond" w:eastAsia="Garamond" w:cs="Garamond"/>
          <w:color w:val="000000" w:themeColor="text1" w:themeTint="FF" w:themeShade="FF"/>
          <w:sz w:val="22"/>
          <w:szCs w:val="22"/>
        </w:rPr>
        <w:t xml:space="preserve"> remote sensing tools and techniques to </w:t>
      </w:r>
      <w:r w:rsidRPr="6DEE4987" w:rsidR="09789343">
        <w:rPr>
          <w:rFonts w:ascii="Garamond" w:hAnsi="Garamond" w:eastAsia="Garamond" w:cs="Garamond"/>
          <w:color w:val="000000" w:themeColor="text1" w:themeTint="FF" w:themeShade="FF"/>
          <w:sz w:val="22"/>
          <w:szCs w:val="22"/>
        </w:rPr>
        <w:t>examine</w:t>
      </w:r>
      <w:r w:rsidRPr="6DEE4987" w:rsidR="00671E79">
        <w:rPr>
          <w:rFonts w:ascii="Garamond" w:hAnsi="Garamond" w:eastAsia="Garamond" w:cs="Garamond"/>
          <w:color w:val="000000" w:themeColor="text1" w:themeTint="FF" w:themeShade="FF"/>
          <w:sz w:val="22"/>
          <w:szCs w:val="22"/>
        </w:rPr>
        <w:t xml:space="preserve"> differences in heat, air quality, vegetation, and land </w:t>
      </w:r>
      <w:r w:rsidRPr="6DEE4987" w:rsidR="00671E79">
        <w:rPr>
          <w:rFonts w:ascii="Garamond" w:hAnsi="Garamond" w:eastAsia="Garamond" w:cs="Garamond"/>
          <w:color w:val="000000" w:themeColor="text1" w:themeTint="FF" w:themeShade="FF"/>
          <w:sz w:val="22"/>
          <w:szCs w:val="22"/>
        </w:rPr>
        <w:t xml:space="preserve">cover </w:t>
      </w:r>
      <w:r w:rsidRPr="6DEE4987" w:rsidR="00671E79">
        <w:rPr>
          <w:rFonts w:ascii="Garamond" w:hAnsi="Garamond" w:eastAsia="Garamond" w:cs="Garamond"/>
          <w:color w:val="000000" w:themeColor="text1" w:themeTint="FF" w:themeShade="FF"/>
          <w:sz w:val="22"/>
          <w:szCs w:val="22"/>
        </w:rPr>
        <w:t xml:space="preserve"> to</w:t>
      </w:r>
      <w:r w:rsidRPr="6DEE4987" w:rsidR="00671E79">
        <w:rPr>
          <w:rFonts w:ascii="Garamond" w:hAnsi="Garamond" w:eastAsia="Garamond" w:cs="Garamond"/>
          <w:color w:val="000000" w:themeColor="text1" w:themeTint="FF" w:themeShade="FF"/>
          <w:sz w:val="22"/>
          <w:szCs w:val="22"/>
        </w:rPr>
        <w:t xml:space="preserve"> calculate trends and relationships between environmental factors. Calculating land surface temperature (LST) works best as an indicator of overall heat in an area (Plott et al., 2023). </w:t>
      </w:r>
      <w:r w:rsidRPr="6DEE4987" w:rsidR="00671E79">
        <w:rPr>
          <w:rFonts w:ascii="Garamond" w:hAnsi="Garamond" w:eastAsia="Garamond" w:cs="Garamond"/>
          <w:color w:val="000000" w:themeColor="text1" w:themeTint="FF" w:themeShade="FF"/>
          <w:sz w:val="22"/>
          <w:szCs w:val="22"/>
        </w:rPr>
        <w:t>Previous</w:t>
      </w:r>
      <w:r w:rsidRPr="6DEE4987" w:rsidR="00671E79">
        <w:rPr>
          <w:rFonts w:ascii="Garamond" w:hAnsi="Garamond" w:eastAsia="Garamond" w:cs="Garamond"/>
          <w:color w:val="000000" w:themeColor="text1" w:themeTint="FF" w:themeShade="FF"/>
          <w:sz w:val="22"/>
          <w:szCs w:val="22"/>
        </w:rPr>
        <w:t xml:space="preserve"> studies have </w:t>
      </w:r>
      <w:r w:rsidRPr="6DEE4987" w:rsidR="00671E79">
        <w:rPr>
          <w:rFonts w:ascii="Garamond" w:hAnsi="Garamond" w:eastAsia="Garamond" w:cs="Garamond"/>
          <w:color w:val="000000" w:themeColor="text1" w:themeTint="FF" w:themeShade="FF"/>
          <w:sz w:val="22"/>
          <w:szCs w:val="22"/>
        </w:rPr>
        <w:t>used rem</w:t>
      </w:r>
      <w:r w:rsidRPr="6DEE4987" w:rsidR="00671E79">
        <w:rPr>
          <w:rFonts w:ascii="Garamond" w:hAnsi="Garamond" w:eastAsia="Garamond" w:cs="Garamond"/>
          <w:color w:val="000000" w:themeColor="text1" w:themeTint="FF" w:themeShade="FF"/>
          <w:sz w:val="22"/>
          <w:szCs w:val="22"/>
        </w:rPr>
        <w:t xml:space="preserve">ote sensing from space-borne satellites to demonstrate UHI analysis </w:t>
      </w:r>
      <w:r w:rsidRPr="6DEE4987" w:rsidR="00671E79">
        <w:rPr>
          <w:rFonts w:ascii="Garamond" w:hAnsi="Garamond" w:eastAsia="Garamond" w:cs="Garamond"/>
          <w:color w:val="000000" w:themeColor="text1" w:themeTint="FF" w:themeShade="FF"/>
          <w:sz w:val="22"/>
          <w:szCs w:val="22"/>
        </w:rPr>
        <w:t>and its relationship to LST (</w:t>
      </w:r>
      <w:r w:rsidRPr="6DEE4987" w:rsidR="00671E79">
        <w:rPr>
          <w:rFonts w:ascii="Garamond" w:hAnsi="Garamond" w:eastAsia="Garamond" w:cs="Garamond"/>
          <w:color w:val="000000" w:themeColor="text1" w:themeTint="FF" w:themeShade="FF"/>
          <w:sz w:val="22"/>
          <w:szCs w:val="22"/>
        </w:rPr>
        <w:t>Jumari</w:t>
      </w:r>
      <w:r w:rsidRPr="6DEE4987" w:rsidR="00671E79">
        <w:rPr>
          <w:rFonts w:ascii="Garamond" w:hAnsi="Garamond" w:eastAsia="Garamond" w:cs="Garamond"/>
          <w:color w:val="000000" w:themeColor="text1" w:themeTint="FF" w:themeShade="FF"/>
          <w:sz w:val="22"/>
          <w:szCs w:val="22"/>
        </w:rPr>
        <w:t xml:space="preserve"> et al., 2023). LST as a measure of heat does not include ambient heat, which is the temperature felt within the air. </w:t>
      </w:r>
      <w:r w:rsidRPr="6DEE4987" w:rsidR="00671E79">
        <w:rPr>
          <w:rFonts w:ascii="Garamond" w:hAnsi="Garamond" w:eastAsia="Garamond" w:cs="Garamond"/>
          <w:color w:val="000000" w:themeColor="text1" w:themeTint="FF" w:themeShade="FF"/>
        </w:rPr>
        <w:t>L</w:t>
      </w:r>
      <w:r w:rsidRPr="6DEE4987" w:rsidR="00671E79">
        <w:rPr>
          <w:rFonts w:ascii="Garamond" w:hAnsi="Garamond" w:eastAsia="Garamond" w:cs="Garamond"/>
          <w:color w:val="000000" w:themeColor="text1" w:themeTint="FF" w:themeShade="FF"/>
          <w:sz w:val="22"/>
          <w:szCs w:val="22"/>
        </w:rPr>
        <w:t xml:space="preserve">arge spatial and temporal variations of UHI effects are influenced by factors such as impervious surface area, vegetation cover, landscape structure, and climate (Zhou et al., 2019). Vegetation indices, such as the normalized difference vegetation index (NDVI), produced on 16-day intervals and at multiple spatial resolutions, provide consistent spatial and temporal </w:t>
      </w:r>
      <w:r w:rsidRPr="6DEE4987" w:rsidR="7FCFB893">
        <w:rPr>
          <w:rFonts w:ascii="Garamond" w:hAnsi="Garamond" w:eastAsia="Garamond" w:cs="Garamond"/>
          <w:color w:val="000000" w:themeColor="text1" w:themeTint="FF" w:themeShade="FF"/>
          <w:sz w:val="22"/>
          <w:szCs w:val="22"/>
        </w:rPr>
        <w:t>monitoring</w:t>
      </w:r>
      <w:r w:rsidRPr="6DEE4987" w:rsidR="00671E79">
        <w:rPr>
          <w:rFonts w:ascii="Garamond" w:hAnsi="Garamond" w:eastAsia="Garamond" w:cs="Garamond"/>
          <w:color w:val="000000" w:themeColor="text1" w:themeTint="FF" w:themeShade="FF"/>
          <w:sz w:val="22"/>
          <w:szCs w:val="22"/>
        </w:rPr>
        <w:t xml:space="preserve"> of vegetation canopy greenness, a composite property of leaf area, and chlorophyll (MODIS Web, n.d.). Land cover classification data from National Agriculture Imagery Program (NAIP) are available for the continental US and include multi-decadal imagery collected at high spatial resolution with </w:t>
      </w:r>
      <w:r w:rsidRPr="6DEE4987" w:rsidR="00671E79">
        <w:rPr>
          <w:rFonts w:ascii="Garamond" w:hAnsi="Garamond" w:eastAsia="Garamond" w:cs="Garamond"/>
          <w:color w:val="000000" w:themeColor="text1" w:themeTint="FF" w:themeShade="FF"/>
          <w:sz w:val="22"/>
          <w:szCs w:val="22"/>
        </w:rPr>
        <w:t>very low</w:t>
      </w:r>
      <w:r w:rsidRPr="6DEE4987" w:rsidR="00671E79">
        <w:rPr>
          <w:rFonts w:ascii="Garamond" w:hAnsi="Garamond" w:eastAsia="Garamond" w:cs="Garamond"/>
          <w:color w:val="000000" w:themeColor="text1" w:themeTint="FF" w:themeShade="FF"/>
          <w:sz w:val="22"/>
          <w:szCs w:val="22"/>
        </w:rPr>
        <w:t xml:space="preserve"> cloud coverag</w:t>
      </w:r>
      <w:r w:rsidRPr="6DEE4987" w:rsidR="00671E79">
        <w:rPr>
          <w:rFonts w:ascii="Garamond" w:hAnsi="Garamond" w:eastAsia="Garamond" w:cs="Garamond"/>
          <w:color w:val="000000" w:themeColor="text1" w:themeTint="FF" w:themeShade="FF"/>
          <w:sz w:val="22"/>
          <w:szCs w:val="22"/>
        </w:rPr>
        <w:t>e (Maxwe</w:t>
      </w:r>
      <w:r w:rsidRPr="6DEE4987" w:rsidR="00671E79">
        <w:rPr>
          <w:rFonts w:ascii="Garamond" w:hAnsi="Garamond" w:eastAsia="Garamond" w:cs="Garamond"/>
          <w:color w:val="000000" w:themeColor="text1" w:themeTint="FF" w:themeShade="FF"/>
          <w:sz w:val="22"/>
          <w:szCs w:val="22"/>
        </w:rPr>
        <w:t xml:space="preserve">ll et al., 2017). Analyzing NDVI data, along with land cover classification of landscape structure, proved to be essential techniques when understanding the broader representation of UHIs in the San Joaquin County. By also including sociodemographic data such as level of education, race, and income, we </w:t>
      </w:r>
      <w:r w:rsidRPr="6DEE4987" w:rsidR="00671E79">
        <w:rPr>
          <w:rFonts w:ascii="Garamond" w:hAnsi="Garamond" w:eastAsia="Garamond" w:cs="Garamond"/>
          <w:color w:val="000000" w:themeColor="text1" w:themeTint="FF" w:themeShade="FF"/>
          <w:sz w:val="22"/>
          <w:szCs w:val="22"/>
        </w:rPr>
        <w:t>identified</w:t>
      </w:r>
      <w:r w:rsidRPr="6DEE4987" w:rsidR="00671E79">
        <w:rPr>
          <w:rFonts w:ascii="Garamond" w:hAnsi="Garamond" w:eastAsia="Garamond" w:cs="Garamond"/>
          <w:color w:val="000000" w:themeColor="text1" w:themeTint="FF" w:themeShade="FF"/>
          <w:sz w:val="22"/>
          <w:szCs w:val="22"/>
        </w:rPr>
        <w:t xml:space="preserve"> locations w</w:t>
      </w:r>
      <w:r w:rsidRPr="6DEE4987" w:rsidR="00671E79">
        <w:rPr>
          <w:rFonts w:ascii="Garamond" w:hAnsi="Garamond" w:eastAsia="Garamond" w:cs="Garamond"/>
          <w:color w:val="000000" w:themeColor="text1" w:themeTint="FF" w:themeShade="FF"/>
          <w:sz w:val="22"/>
          <w:szCs w:val="22"/>
        </w:rPr>
        <w:t>ith a comp</w:t>
      </w:r>
      <w:r w:rsidRPr="6DEE4987" w:rsidR="00671E79">
        <w:rPr>
          <w:rFonts w:ascii="Garamond" w:hAnsi="Garamond" w:eastAsia="Garamond" w:cs="Garamond"/>
          <w:color w:val="000000" w:themeColor="text1" w:themeTint="FF" w:themeShade="FF"/>
          <w:sz w:val="22"/>
          <w:szCs w:val="22"/>
        </w:rPr>
        <w:t>ounding effect of both social and environmental vulnerability.</w:t>
      </w:r>
    </w:p>
    <w:p w:rsidR="00060C16" w:rsidRDefault="00060C16" w14:paraId="4059E5E3" w14:textId="77777777">
      <w:pPr>
        <w:spacing w:after="0" w:line="240" w:lineRule="auto"/>
        <w:rPr>
          <w:rFonts w:ascii="Garamond" w:hAnsi="Garamond" w:eastAsia="Garamond" w:cs="Garamond"/>
          <w:color w:val="000000"/>
          <w:sz w:val="22"/>
          <w:szCs w:val="22"/>
        </w:rPr>
      </w:pPr>
    </w:p>
    <w:p w:rsidR="00060C16" w:rsidRDefault="00671E79" w14:paraId="53D5021E" w14:textId="77777777">
      <w:pPr>
        <w:spacing w:after="0" w:line="240" w:lineRule="auto"/>
        <w:rPr>
          <w:rFonts w:ascii="Garamond" w:hAnsi="Garamond" w:eastAsia="Garamond" w:cs="Garamond"/>
          <w:b/>
          <w:color w:val="000000"/>
          <w:sz w:val="22"/>
          <w:szCs w:val="22"/>
        </w:rPr>
      </w:pPr>
      <w:r>
        <w:rPr>
          <w:rFonts w:ascii="Garamond" w:hAnsi="Garamond" w:eastAsia="Garamond" w:cs="Garamond"/>
          <w:b/>
          <w:color w:val="000000"/>
          <w:sz w:val="22"/>
          <w:szCs w:val="22"/>
        </w:rPr>
        <w:t>2.3 Study Area and Period</w:t>
      </w:r>
    </w:p>
    <w:p w:rsidR="00060C16" w:rsidRDefault="00060C16" w14:paraId="6E1E546F" w14:textId="138C906F">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The study area encompassed all of San Joaquin County (SJC), which includes the cities of Stockton, Lodi, Tracy, and Manteca (Figure 1</w:t>
      </w:r>
      <w:r w:rsidRPr="6DEE4987" w:rsidR="00671E79">
        <w:rPr>
          <w:rFonts w:ascii="Garamond" w:hAnsi="Garamond" w:eastAsia="Garamond" w:cs="Garamond"/>
          <w:i w:val="1"/>
          <w:iCs w:val="1"/>
          <w:color w:val="000000" w:themeColor="text1" w:themeTint="FF" w:themeShade="FF"/>
          <w:sz w:val="22"/>
          <w:szCs w:val="22"/>
        </w:rPr>
        <w:t>)</w:t>
      </w:r>
      <w:r w:rsidRPr="6DEE4987" w:rsidR="00671E79">
        <w:rPr>
          <w:rFonts w:ascii="Garamond" w:hAnsi="Garamond" w:eastAsia="Garamond" w:cs="Garamond"/>
          <w:color w:val="000000" w:themeColor="text1" w:themeTint="FF" w:themeShade="FF"/>
          <w:sz w:val="22"/>
          <w:szCs w:val="22"/>
        </w:rPr>
        <w:t xml:space="preserve">. Much of the study focused on Stockton, specifically south Stockton where our partners Little Manila Rising (LMR) are </w:t>
      </w:r>
      <w:r w:rsidRPr="6DEE4987" w:rsidR="00671E79">
        <w:rPr>
          <w:rFonts w:ascii="Garamond" w:hAnsi="Garamond" w:eastAsia="Garamond" w:cs="Garamond"/>
          <w:color w:val="000000" w:themeColor="text1" w:themeTint="FF" w:themeShade="FF"/>
          <w:sz w:val="22"/>
          <w:szCs w:val="22"/>
        </w:rPr>
        <w:t>located</w:t>
      </w:r>
      <w:r w:rsidRPr="6DEE4987" w:rsidR="00671E79">
        <w:rPr>
          <w:rFonts w:ascii="Garamond" w:hAnsi="Garamond" w:eastAsia="Garamond" w:cs="Garamond"/>
          <w:color w:val="000000" w:themeColor="text1" w:themeTint="FF" w:themeShade="FF"/>
          <w:sz w:val="22"/>
          <w:szCs w:val="22"/>
        </w:rPr>
        <w:t>. The study period spanned from 2012 to 2023 and focused on summertime months when extreme heat waves were more prevalent and air pollution congregated within the SJV. Investigating this decadal stretch of time allowed us to analyze patterns of abnormal heat experiences.</w:t>
      </w:r>
    </w:p>
    <w:p w:rsidR="6DEE4987" w:rsidP="6DEE4987" w:rsidRDefault="6DEE4987" w14:paraId="6EACBD8B" w14:textId="462B8D29">
      <w:pPr>
        <w:pStyle w:val="Normal"/>
        <w:spacing w:after="0" w:line="240" w:lineRule="auto"/>
        <w:rPr>
          <w:rFonts w:ascii="Garamond" w:hAnsi="Garamond" w:eastAsia="Garamond" w:cs="Garamond"/>
          <w:color w:val="000000" w:themeColor="text1" w:themeTint="FF" w:themeShade="FF"/>
          <w:sz w:val="22"/>
          <w:szCs w:val="22"/>
        </w:rPr>
      </w:pPr>
    </w:p>
    <w:p w:rsidR="00060C16" w:rsidRDefault="00671E79" w14:paraId="1C9A1E70" w14:textId="77777777" w14:noSpellErr="1">
      <w:pPr>
        <w:spacing w:after="0" w:line="240" w:lineRule="auto"/>
        <w:jc w:val="center"/>
      </w:pPr>
      <w:r>
        <w:rPr>
          <w:noProof/>
        </w:rPr>
        <w:drawing>
          <wp:inline distT="0" distB="0" distL="0" distR="0" wp14:anchorId="3460F880" wp14:editId="072A0598">
            <wp:extent cx="4060481" cy="2628900"/>
            <wp:effectExtent l="0" t="0" r="0" b="0"/>
            <wp:docPr id="2105539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60481" cy="2628900"/>
                    </a:xfrm>
                    <a:prstGeom prst="rect">
                      <a:avLst/>
                    </a:prstGeom>
                    <a:ln/>
                  </pic:spPr>
                </pic:pic>
              </a:graphicData>
            </a:graphic>
          </wp:inline>
        </w:drawing>
      </w:r>
    </w:p>
    <w:p w:rsidR="6DEE4987" w:rsidP="6DEE4987" w:rsidRDefault="6DEE4987" w14:paraId="44A19997" w14:textId="3476DC99">
      <w:pPr>
        <w:pStyle w:val="Normal"/>
        <w:spacing w:after="0" w:line="240" w:lineRule="auto"/>
        <w:jc w:val="center"/>
      </w:pPr>
    </w:p>
    <w:p w:rsidR="00060C16" w:rsidRDefault="00671E79" w14:paraId="5F8E68C1" w14:textId="77777777">
      <w:pPr>
        <w:spacing w:after="0" w:line="240" w:lineRule="auto"/>
        <w:jc w:val="center"/>
        <w:rPr>
          <w:rFonts w:ascii="Garamond" w:hAnsi="Garamond" w:eastAsia="Garamond" w:cs="Garamond"/>
          <w:color w:val="404040"/>
          <w:sz w:val="22"/>
          <w:szCs w:val="22"/>
        </w:rPr>
      </w:pPr>
      <w:r>
        <w:rPr>
          <w:rFonts w:ascii="Garamond" w:hAnsi="Garamond" w:eastAsia="Garamond" w:cs="Garamond"/>
          <w:i/>
          <w:color w:val="404040"/>
          <w:sz w:val="22"/>
          <w:szCs w:val="22"/>
        </w:rPr>
        <w:t>Figure 1</w:t>
      </w:r>
      <w:r>
        <w:rPr>
          <w:rFonts w:ascii="Garamond" w:hAnsi="Garamond" w:eastAsia="Garamond" w:cs="Garamond"/>
          <w:color w:val="404040"/>
          <w:sz w:val="22"/>
          <w:szCs w:val="22"/>
        </w:rPr>
        <w:t>. Study Area of the San Joaquin County border (black lines) and the Stockton city limits (blue lines). Inset: Location of study area within the state of California.</w:t>
      </w:r>
    </w:p>
    <w:p w:rsidR="00060C16" w:rsidRDefault="00060C16" w14:paraId="7555AB8C" w14:textId="77777777">
      <w:pPr>
        <w:spacing w:after="0" w:line="240" w:lineRule="auto"/>
      </w:pPr>
    </w:p>
    <w:p w:rsidR="00060C16" w:rsidRDefault="00671E79" w14:paraId="72A3083A" w14:textId="77777777">
      <w:pPr>
        <w:spacing w:after="0" w:line="240" w:lineRule="auto"/>
        <w:rPr>
          <w:rFonts w:ascii="Garamond" w:hAnsi="Garamond" w:eastAsia="Garamond" w:cs="Garamond"/>
          <w:b/>
          <w:color w:val="000000"/>
          <w:sz w:val="22"/>
          <w:szCs w:val="22"/>
        </w:rPr>
      </w:pPr>
      <w:r>
        <w:rPr>
          <w:rFonts w:ascii="Garamond" w:hAnsi="Garamond" w:eastAsia="Garamond" w:cs="Garamond"/>
          <w:b/>
          <w:color w:val="000000"/>
          <w:sz w:val="22"/>
          <w:szCs w:val="22"/>
        </w:rPr>
        <w:t>2.4 Term I Results</w:t>
      </w:r>
    </w:p>
    <w:p w:rsidR="00060C16" w:rsidRDefault="00671E79" w14:paraId="737F8856" w14:textId="6873E820">
      <w:pPr>
        <w:spacing w:after="0" w:line="240" w:lineRule="auto"/>
        <w:rPr>
          <w:rFonts w:ascii="Garamond" w:hAnsi="Garamond" w:eastAsia="Garamond" w:cs="Garamond"/>
          <w:color w:val="000000"/>
          <w:sz w:val="22"/>
          <w:szCs w:val="22"/>
        </w:rPr>
      </w:pPr>
      <w:r w:rsidRPr="1A6E15A5" w:rsidR="00671E79">
        <w:rPr>
          <w:rFonts w:ascii="Garamond" w:hAnsi="Garamond" w:eastAsia="Garamond" w:cs="Garamond"/>
          <w:color w:val="000000" w:themeColor="text1" w:themeTint="FF" w:themeShade="FF"/>
          <w:sz w:val="22"/>
          <w:szCs w:val="22"/>
        </w:rPr>
        <w:t>In the summer of 2023, DEVELOP participants analyzed the relationship between air quality and social disparities across the SJV (Szeto et al., 2023). In partnership with LMR, they found that air pollution is not equitably distributed throughout the SJV, with NO</w:t>
      </w:r>
      <w:r w:rsidRPr="1A6E15A5" w:rsidR="00671E79">
        <w:rPr>
          <w:rFonts w:ascii="Garamond" w:hAnsi="Garamond" w:eastAsia="Garamond" w:cs="Garamond"/>
          <w:color w:val="000000" w:themeColor="text1" w:themeTint="FF" w:themeShade="FF"/>
          <w:sz w:val="22"/>
          <w:szCs w:val="22"/>
          <w:vertAlign w:val="subscript"/>
        </w:rPr>
        <w:t>2</w:t>
      </w:r>
      <w:r w:rsidRPr="1A6E15A5" w:rsidR="00671E79">
        <w:rPr>
          <w:rFonts w:ascii="Garamond" w:hAnsi="Garamond" w:eastAsia="Garamond" w:cs="Garamond"/>
          <w:color w:val="000000" w:themeColor="text1" w:themeTint="FF" w:themeShade="FF"/>
          <w:sz w:val="22"/>
          <w:szCs w:val="22"/>
        </w:rPr>
        <w:t xml:space="preserve"> specifically concentrated around urban areas and </w:t>
      </w:r>
      <w:r w:rsidRPr="1A6E15A5" w:rsidR="7C2EC7F5">
        <w:rPr>
          <w:rFonts w:ascii="Garamond" w:hAnsi="Garamond" w:eastAsia="Garamond" w:cs="Garamond"/>
          <w:color w:val="000000" w:themeColor="text1" w:themeTint="FF" w:themeShade="FF"/>
          <w:sz w:val="22"/>
          <w:szCs w:val="22"/>
        </w:rPr>
        <w:t xml:space="preserve">particulate matter (PM) </w:t>
      </w:r>
      <w:r w:rsidRPr="1A6E15A5" w:rsidR="67CA3534">
        <w:rPr>
          <w:rFonts w:ascii="Garamond" w:hAnsi="Garamond" w:eastAsia="Garamond" w:cs="Garamond"/>
          <w:color w:val="000000" w:themeColor="text1" w:themeTint="FF" w:themeShade="FF"/>
          <w:sz w:val="22"/>
          <w:szCs w:val="22"/>
        </w:rPr>
        <w:t>enhanced</w:t>
      </w:r>
      <w:r w:rsidRPr="1A6E15A5" w:rsidR="00671E79">
        <w:rPr>
          <w:rFonts w:ascii="Garamond" w:hAnsi="Garamond" w:eastAsia="Garamond" w:cs="Garamond"/>
          <w:color w:val="000000" w:themeColor="text1" w:themeTint="FF" w:themeShade="FF"/>
          <w:sz w:val="22"/>
          <w:szCs w:val="22"/>
        </w:rPr>
        <w:t xml:space="preserve"> in</w:t>
      </w:r>
      <w:r w:rsidRPr="1A6E15A5" w:rsidR="00671E79">
        <w:rPr>
          <w:rFonts w:ascii="Garamond" w:hAnsi="Garamond" w:eastAsia="Garamond" w:cs="Garamond"/>
          <w:color w:val="000000" w:themeColor="text1" w:themeTint="FF" w:themeShade="FF"/>
          <w:sz w:val="22"/>
          <w:szCs w:val="22"/>
        </w:rPr>
        <w:t xml:space="preserve"> locations with high agricultural burning. This contributed to the accumulation of fine particulate matter 2.5 (PM 2.5), which is a mixture of solids and aerosols and is defined as particles that are 2.5 microns in diameter or less (</w:t>
      </w:r>
      <w:r w:rsidRPr="1A6E15A5" w:rsidR="00671E79">
        <w:rPr>
          <w:rFonts w:ascii="Garamond" w:hAnsi="Garamond" w:eastAsia="Garamond" w:cs="Garamond"/>
          <w:sz w:val="22"/>
          <w:szCs w:val="22"/>
        </w:rPr>
        <w:t>California Air Resources Board, n.d.).</w:t>
      </w:r>
      <w:r w:rsidRPr="1A6E15A5" w:rsidR="00671E79">
        <w:rPr>
          <w:rFonts w:ascii="Garamond" w:hAnsi="Garamond" w:eastAsia="Garamond" w:cs="Garamond"/>
          <w:color w:val="000000" w:themeColor="text1" w:themeTint="FF" w:themeShade="FF"/>
          <w:sz w:val="22"/>
          <w:szCs w:val="22"/>
        </w:rPr>
        <w:t xml:space="preserve"> Long term exposure to PM 2.5 can severely </w:t>
      </w:r>
      <w:r w:rsidRPr="1A6E15A5" w:rsidR="00671E79">
        <w:rPr>
          <w:rFonts w:ascii="Garamond" w:hAnsi="Garamond" w:eastAsia="Garamond" w:cs="Garamond"/>
          <w:color w:val="000000" w:themeColor="text1" w:themeTint="FF" w:themeShade="FF"/>
          <w:sz w:val="22"/>
          <w:szCs w:val="22"/>
        </w:rPr>
        <w:t>impact</w:t>
      </w:r>
      <w:r w:rsidRPr="1A6E15A5" w:rsidR="00671E79">
        <w:rPr>
          <w:rFonts w:ascii="Garamond" w:hAnsi="Garamond" w:eastAsia="Garamond" w:cs="Garamond"/>
          <w:color w:val="000000" w:themeColor="text1" w:themeTint="FF" w:themeShade="FF"/>
          <w:sz w:val="22"/>
          <w:szCs w:val="22"/>
        </w:rPr>
        <w:t xml:space="preserve"> a person’s lungs and heart (US EPA, n.d.).</w:t>
      </w:r>
    </w:p>
    <w:p w:rsidR="00060C16" w:rsidRDefault="00060C16" w14:paraId="7E9E4167" w14:textId="77777777">
      <w:pPr>
        <w:spacing w:after="0" w:line="240" w:lineRule="auto"/>
        <w:rPr>
          <w:rFonts w:ascii="Garamond" w:hAnsi="Garamond" w:eastAsia="Garamond" w:cs="Garamond"/>
          <w:color w:val="000000"/>
          <w:sz w:val="22"/>
          <w:szCs w:val="22"/>
        </w:rPr>
      </w:pPr>
    </w:p>
    <w:p w:rsidR="00060C16" w:rsidRDefault="00671E79" w14:paraId="183FF77E" w14:textId="77777777">
      <w:pPr>
        <w:spacing w:after="0" w:line="240" w:lineRule="auto"/>
        <w:rPr>
          <w:rFonts w:ascii="Garamond" w:hAnsi="Garamond" w:eastAsia="Garamond" w:cs="Garamond"/>
          <w:color w:val="000000"/>
          <w:sz w:val="22"/>
          <w:szCs w:val="22"/>
        </w:rPr>
      </w:pPr>
      <w:r>
        <w:rPr>
          <w:rFonts w:ascii="Garamond" w:hAnsi="Garamond" w:eastAsia="Garamond" w:cs="Garamond"/>
          <w:b/>
          <w:color w:val="000000"/>
          <w:sz w:val="22"/>
          <w:szCs w:val="22"/>
        </w:rPr>
        <w:t>2.5 Project Partners &amp; Objectives</w:t>
      </w:r>
    </w:p>
    <w:p w:rsidR="00060C16" w:rsidRDefault="00671E79" w14:paraId="690665FA"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LMR is a </w:t>
      </w:r>
      <w:r>
        <w:rPr>
          <w:rFonts w:ascii="Garamond" w:hAnsi="Garamond" w:eastAsia="Garamond" w:cs="Garamond"/>
          <w:sz w:val="22"/>
          <w:szCs w:val="22"/>
        </w:rPr>
        <w:t>social and EJ advocacy non-profit located in southern Stockton</w:t>
      </w:r>
      <w:r>
        <w:rPr>
          <w:rFonts w:ascii="Garamond" w:hAnsi="Garamond" w:eastAsia="Garamond" w:cs="Garamond"/>
          <w:color w:val="000000"/>
          <w:sz w:val="22"/>
          <w:szCs w:val="22"/>
        </w:rPr>
        <w:t xml:space="preserve"> that emerged from the mass migration of Filipinos after the Philippine-American war in 1902 (</w:t>
      </w:r>
      <w:r>
        <w:rPr>
          <w:rFonts w:ascii="Garamond" w:hAnsi="Garamond" w:eastAsia="Garamond" w:cs="Garamond"/>
          <w:sz w:val="22"/>
          <w:szCs w:val="22"/>
        </w:rPr>
        <w:t>Milestones: 1899–1913 - Office of the Historian, n.d.)</w:t>
      </w:r>
      <w:r>
        <w:rPr>
          <w:rFonts w:ascii="Garamond" w:hAnsi="Garamond" w:eastAsia="Garamond" w:cs="Garamond"/>
          <w:color w:val="000000"/>
          <w:sz w:val="22"/>
          <w:szCs w:val="22"/>
        </w:rPr>
        <w:t>. LMR supports marginalized communities by developing solutions to harmful public policy and institutionalized racism through focusing its initiatives on programs such as urban tree planting, air quality control, and community outreach. Our project will provide LMR with a detailed understanding of urban heat and its convergences with air quality concerns. The results will be shared within LMR and its Urban Forestry program, community members, and stakeholders to incorporate into their mission to achieve multifaceted equity in Stockton.</w:t>
      </w:r>
    </w:p>
    <w:p w:rsidR="00060C16" w:rsidRDefault="00060C16" w14:paraId="3583136B" w14:textId="77777777">
      <w:pPr>
        <w:spacing w:after="0" w:line="240" w:lineRule="auto"/>
        <w:rPr>
          <w:rFonts w:ascii="Garamond" w:hAnsi="Garamond" w:eastAsia="Garamond" w:cs="Garamond"/>
          <w:color w:val="000000"/>
          <w:sz w:val="22"/>
          <w:szCs w:val="22"/>
        </w:rPr>
      </w:pPr>
    </w:p>
    <w:p w:rsidR="00060C16" w:rsidRDefault="00671E79" w14:paraId="008CC36C" w14:textId="77777777">
      <w:pPr>
        <w:spacing w:after="0" w:line="240" w:lineRule="auto"/>
        <w:rPr>
          <w:rFonts w:ascii="Garamond" w:hAnsi="Garamond" w:eastAsia="Garamond" w:cs="Garamond"/>
          <w:b/>
          <w:color w:val="000000"/>
          <w:sz w:val="22"/>
          <w:szCs w:val="22"/>
        </w:rPr>
      </w:pPr>
      <w:r>
        <w:rPr>
          <w:rFonts w:ascii="Garamond" w:hAnsi="Garamond" w:eastAsia="Garamond" w:cs="Garamond"/>
          <w:color w:val="000000"/>
          <w:sz w:val="22"/>
          <w:szCs w:val="22"/>
        </w:rPr>
        <w:t>Our objectives were to produce a social vulnerability index (SVI) based on sociodemographic variables and identify areas experiencing extreme heat and poor air quality within SJC. We also aimed to map socially vulnerable regions against neighborhoods experiencing high concentrations of NO</w:t>
      </w:r>
      <w:r>
        <w:rPr>
          <w:rFonts w:ascii="Garamond" w:hAnsi="Garamond" w:eastAsia="Garamond" w:cs="Garamond"/>
          <w:color w:val="000000"/>
          <w:sz w:val="22"/>
          <w:szCs w:val="22"/>
          <w:vertAlign w:val="subscript"/>
        </w:rPr>
        <w:t>2</w:t>
      </w:r>
      <w:r>
        <w:rPr>
          <w:rFonts w:ascii="Garamond" w:hAnsi="Garamond" w:eastAsia="Garamond" w:cs="Garamond"/>
          <w:color w:val="000000"/>
          <w:sz w:val="22"/>
          <w:szCs w:val="22"/>
        </w:rPr>
        <w:t xml:space="preserve"> and increased LST, noting any overlap between the converging layers.</w:t>
      </w:r>
    </w:p>
    <w:p w:rsidR="00060C16" w:rsidRDefault="00060C16" w14:paraId="3331A7A7" w14:textId="77777777">
      <w:pPr>
        <w:spacing w:after="0" w:line="240" w:lineRule="auto"/>
        <w:rPr>
          <w:rFonts w:ascii="Garamond" w:hAnsi="Garamond" w:eastAsia="Garamond" w:cs="Garamond"/>
          <w:color w:val="000000"/>
          <w:sz w:val="22"/>
          <w:szCs w:val="22"/>
        </w:rPr>
      </w:pPr>
    </w:p>
    <w:p w:rsidR="00060C16" w:rsidP="185496FE" w:rsidRDefault="00671E79" w14:paraId="7481EFC3" w14:textId="36EA71CC">
      <w:pPr>
        <w:pStyle w:val="Heading1"/>
        <w:spacing w:before="0" w:after="0" w:line="240" w:lineRule="auto"/>
        <w:rPr>
          <w:rFonts w:ascii="Garamond" w:hAnsi="Garamond" w:eastAsia="Garamond" w:cs="Garamond"/>
          <w:color w:val="000000" w:themeColor="text1" w:themeTint="FF" w:themeShade="FF"/>
          <w:sz w:val="22"/>
          <w:szCs w:val="22"/>
        </w:rPr>
      </w:pPr>
      <w:r w:rsidRPr="185496FE" w:rsidR="00671E79">
        <w:rPr>
          <w:rFonts w:ascii="Garamond" w:hAnsi="Garamond" w:eastAsia="Garamond" w:cs="Garamond"/>
          <w:b w:val="1"/>
          <w:bCs w:val="1"/>
          <w:color w:val="365F91"/>
          <w:sz w:val="28"/>
          <w:szCs w:val="28"/>
        </w:rPr>
        <w:t>3. Methodology</w:t>
      </w:r>
    </w:p>
    <w:p w:rsidR="00060C16" w:rsidP="6DEE4987" w:rsidRDefault="00671E79" w14:paraId="2F1FC770" w14:textId="24644036">
      <w:pPr>
        <w:pStyle w:val="Heading1"/>
        <w:spacing w:before="0" w:after="0" w:line="240" w:lineRule="auto"/>
        <w:rPr>
          <w:rFonts w:ascii="Garamond" w:hAnsi="Garamond" w:eastAsia="Garamond" w:cs="Garamond"/>
          <w:color w:val="000000"/>
          <w:sz w:val="22"/>
          <w:szCs w:val="22"/>
        </w:rPr>
      </w:pPr>
      <w:r w:rsidRPr="185496FE" w:rsidR="00671E79">
        <w:rPr>
          <w:rFonts w:ascii="Garamond" w:hAnsi="Garamond" w:eastAsia="Garamond" w:cs="Garamond"/>
          <w:b w:val="1"/>
          <w:bCs w:val="1"/>
          <w:color w:val="000000" w:themeColor="text1" w:themeTint="FF" w:themeShade="FF"/>
          <w:sz w:val="22"/>
          <w:szCs w:val="22"/>
        </w:rPr>
        <w:t xml:space="preserve">3.1 Data Acquisition </w:t>
      </w:r>
    </w:p>
    <w:p w:rsidR="67EB5AAA" w:rsidP="67EB5AAA" w:rsidRDefault="67EB5AAA" w14:paraId="5B0EDA6B" w14:textId="77EF0D1F">
      <w:pPr>
        <w:spacing w:after="0" w:line="240" w:lineRule="auto"/>
        <w:rPr>
          <w:rFonts w:ascii="Garamond" w:hAnsi="Garamond" w:eastAsia="Garamond" w:cs="Garamond"/>
          <w:b/>
          <w:bCs/>
          <w:color w:val="000000" w:themeColor="text1"/>
          <w:sz w:val="22"/>
          <w:szCs w:val="22"/>
        </w:rPr>
      </w:pPr>
    </w:p>
    <w:p w:rsidR="00060C16" w:rsidRDefault="00671E79" w14:paraId="7132E492" w14:textId="77777777">
      <w:pPr>
        <w:spacing w:after="0" w:line="240" w:lineRule="auto"/>
        <w:rPr>
          <w:rFonts w:ascii="Garamond" w:hAnsi="Garamond" w:eastAsia="Garamond" w:cs="Garamond"/>
          <w:color w:val="8764B8"/>
          <w:sz w:val="22"/>
          <w:szCs w:val="22"/>
        </w:rPr>
      </w:pPr>
      <w:r>
        <w:rPr>
          <w:rFonts w:ascii="Garamond" w:hAnsi="Garamond" w:eastAsia="Garamond" w:cs="Garamond"/>
          <w:i/>
          <w:color w:val="000000"/>
          <w:sz w:val="22"/>
          <w:szCs w:val="22"/>
        </w:rPr>
        <w:t xml:space="preserve">3.1.1 Earth Observations Datasets for Land Surface Temperature, Vegetation, and Landcover Classification </w:t>
      </w:r>
    </w:p>
    <w:p w:rsidR="00060C16" w:rsidRDefault="00671E79" w14:paraId="4877A52B" w14:textId="7DDD0F76">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We collected open-source data for each variable that we examined, listed in Table 1. This included raster images from Landsat 8 Thermal Infrared Sensor (TIRS), Landsat 8 Operational Land Imager (OLI), Sentinel 5 TROPOMI, and NAIP. We </w:t>
      </w:r>
      <w:r w:rsidRPr="6DEE4987" w:rsidR="00671E79">
        <w:rPr>
          <w:rFonts w:ascii="Garamond" w:hAnsi="Garamond" w:eastAsia="Garamond" w:cs="Garamond"/>
          <w:color w:val="000000" w:themeColor="text1" w:themeTint="FF" w:themeShade="FF"/>
          <w:sz w:val="22"/>
          <w:szCs w:val="22"/>
        </w:rPr>
        <w:t>acquired</w:t>
      </w:r>
      <w:r w:rsidRPr="6DEE4987" w:rsidR="00671E79">
        <w:rPr>
          <w:rFonts w:ascii="Garamond" w:hAnsi="Garamond" w:eastAsia="Garamond" w:cs="Garamond"/>
          <w:color w:val="000000" w:themeColor="text1" w:themeTint="FF" w:themeShade="FF"/>
          <w:sz w:val="22"/>
          <w:szCs w:val="22"/>
        </w:rPr>
        <w:t xml:space="preserve"> Landsat 8 TIRS from Google Earth Engine (GEE) for our analysis of L</w:t>
      </w:r>
      <w:r w:rsidRPr="6DEE4987" w:rsidR="412A9E1A">
        <w:rPr>
          <w:rFonts w:ascii="Garamond" w:hAnsi="Garamond" w:eastAsia="Garamond" w:cs="Garamond"/>
          <w:color w:val="000000" w:themeColor="text1" w:themeTint="FF" w:themeShade="FF"/>
          <w:sz w:val="22"/>
          <w:szCs w:val="22"/>
        </w:rPr>
        <w:t>ST</w:t>
      </w:r>
      <w:r w:rsidRPr="6DEE4987" w:rsidR="00671E79">
        <w:rPr>
          <w:rFonts w:ascii="Garamond" w:hAnsi="Garamond" w:eastAsia="Garamond" w:cs="Garamond"/>
          <w:color w:val="000000" w:themeColor="text1" w:themeTint="FF" w:themeShade="FF"/>
          <w:sz w:val="22"/>
          <w:szCs w:val="22"/>
        </w:rPr>
        <w:t xml:space="preserve"> within the date range of 2012 – 2023 overlooking San Joaquin County. The TIRS sensor provided high resolution imagery of the thermal radiation reflecting off land surfaces such as asphalt and rooftops.</w:t>
      </w:r>
    </w:p>
    <w:p w:rsidR="00060C16" w:rsidRDefault="00060C16" w14:paraId="3108490D" w14:textId="77777777">
      <w:pPr>
        <w:spacing w:after="0" w:line="240" w:lineRule="auto"/>
        <w:rPr>
          <w:rFonts w:ascii="Garamond" w:hAnsi="Garamond" w:eastAsia="Garamond" w:cs="Garamond"/>
          <w:color w:val="000000"/>
          <w:sz w:val="22"/>
          <w:szCs w:val="22"/>
        </w:rPr>
      </w:pPr>
    </w:p>
    <w:p w:rsidR="00060C16" w:rsidRDefault="00671E79" w14:paraId="25E736D0" w14:textId="4648F2F9">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We replicated this process in GEE to collect Landsat 8 OLI satellite imagery within the date range of 2012 – 2022. The </w:t>
      </w:r>
      <w:r w:rsidRPr="6DEE4987" w:rsidR="00671E79">
        <w:rPr>
          <w:rFonts w:ascii="Garamond" w:hAnsi="Garamond" w:eastAsia="Garamond" w:cs="Garamond"/>
          <w:color w:val="000000" w:themeColor="text1" w:themeTint="FF" w:themeShade="FF"/>
          <w:sz w:val="22"/>
          <w:szCs w:val="22"/>
        </w:rPr>
        <w:t>OLI</w:t>
      </w:r>
      <w:r w:rsidRPr="6DEE4987" w:rsidR="00671E79">
        <w:rPr>
          <w:rFonts w:ascii="Garamond" w:hAnsi="Garamond" w:eastAsia="Garamond" w:cs="Garamond"/>
          <w:color w:val="000000" w:themeColor="text1" w:themeTint="FF" w:themeShade="FF"/>
          <w:sz w:val="22"/>
          <w:szCs w:val="22"/>
        </w:rPr>
        <w:t xml:space="preserve"> sensor provided us with a vegetation coverage map of San Joaquin County. We collected term I’s Sentinel-5 TROPOMI imagery that supplied the NO</w:t>
      </w:r>
      <w:r w:rsidRPr="6DEE4987" w:rsidR="00671E79">
        <w:rPr>
          <w:rFonts w:ascii="Garamond" w:hAnsi="Garamond" w:eastAsia="Garamond" w:cs="Garamond"/>
          <w:color w:val="000000" w:themeColor="text1" w:themeTint="FF" w:themeShade="FF"/>
          <w:sz w:val="22"/>
          <w:szCs w:val="22"/>
          <w:vertAlign w:val="subscript"/>
        </w:rPr>
        <w:t>2</w:t>
      </w:r>
      <w:r w:rsidRPr="6DEE4987" w:rsidR="00671E79">
        <w:rPr>
          <w:rFonts w:ascii="Garamond" w:hAnsi="Garamond" w:eastAsia="Garamond" w:cs="Garamond"/>
          <w:color w:val="000000" w:themeColor="text1" w:themeTint="FF" w:themeShade="FF"/>
          <w:sz w:val="22"/>
          <w:szCs w:val="22"/>
        </w:rPr>
        <w:t xml:space="preserve"> measurements to calculate our index for air pollution exposure. Lastly, we obtained National Agricultural Imagery Program (NAIP) data from the USGS </w:t>
      </w:r>
      <w:r w:rsidRPr="6DEE4987" w:rsidR="00671E79">
        <w:rPr>
          <w:rFonts w:ascii="Garamond" w:hAnsi="Garamond" w:eastAsia="Garamond" w:cs="Garamond"/>
          <w:color w:val="000000" w:themeColor="text1" w:themeTint="FF" w:themeShade="FF"/>
          <w:sz w:val="22"/>
          <w:szCs w:val="22"/>
        </w:rPr>
        <w:t>EarthExplorer</w:t>
      </w:r>
      <w:r w:rsidRPr="6DEE4987" w:rsidR="00671E79">
        <w:rPr>
          <w:rFonts w:ascii="Garamond" w:hAnsi="Garamond" w:eastAsia="Garamond" w:cs="Garamond"/>
          <w:color w:val="000000" w:themeColor="text1" w:themeTint="FF" w:themeShade="FF"/>
          <w:sz w:val="22"/>
          <w:szCs w:val="22"/>
        </w:rPr>
        <w:t xml:space="preserve"> online program to </w:t>
      </w:r>
      <w:r w:rsidRPr="6DEE4987" w:rsidR="00671E79">
        <w:rPr>
          <w:rFonts w:ascii="Garamond" w:hAnsi="Garamond" w:eastAsia="Garamond" w:cs="Garamond"/>
          <w:color w:val="000000" w:themeColor="text1" w:themeTint="FF" w:themeShade="FF"/>
          <w:sz w:val="22"/>
          <w:szCs w:val="22"/>
        </w:rPr>
        <w:t>observe</w:t>
      </w:r>
      <w:r w:rsidRPr="6DEE4987" w:rsidR="00671E79">
        <w:rPr>
          <w:rFonts w:ascii="Garamond" w:hAnsi="Garamond" w:eastAsia="Garamond" w:cs="Garamond"/>
          <w:color w:val="000000" w:themeColor="text1" w:themeTint="FF" w:themeShade="FF"/>
          <w:sz w:val="22"/>
          <w:szCs w:val="22"/>
        </w:rPr>
        <w:t xml:space="preserve"> different land cover types with a resolution of one-by-one meter squared, filtering for cloud free images from 2022</w:t>
      </w:r>
      <w:r w:rsidRPr="6DEE4987" w:rsidR="00671E79">
        <w:rPr>
          <w:rFonts w:ascii="Garamond" w:hAnsi="Garamond" w:eastAsia="Garamond" w:cs="Garamond"/>
          <w:color w:val="000000" w:themeColor="text1" w:themeTint="FF" w:themeShade="FF"/>
          <w:sz w:val="22"/>
          <w:szCs w:val="22"/>
        </w:rPr>
        <w:t xml:space="preserve">.  </w:t>
      </w:r>
      <w:r w:rsidRPr="6DEE4987" w:rsidR="00671E79">
        <w:rPr>
          <w:rFonts w:ascii="Garamond" w:hAnsi="Garamond" w:eastAsia="Garamond" w:cs="Garamond"/>
          <w:color w:val="000000" w:themeColor="text1" w:themeTint="FF" w:themeShade="FF"/>
          <w:sz w:val="22"/>
          <w:szCs w:val="22"/>
        </w:rPr>
        <w:t xml:space="preserve">   </w:t>
      </w:r>
    </w:p>
    <w:p w:rsidR="00060C16" w:rsidRDefault="00060C16" w14:paraId="322EA128" w14:textId="77777777">
      <w:pPr>
        <w:spacing w:after="0" w:line="240" w:lineRule="auto"/>
        <w:rPr>
          <w:rFonts w:ascii="Garamond" w:hAnsi="Garamond" w:eastAsia="Garamond" w:cs="Garamond"/>
          <w:color w:val="000000"/>
          <w:sz w:val="22"/>
          <w:szCs w:val="22"/>
        </w:rPr>
      </w:pPr>
    </w:p>
    <w:p w:rsidR="00060C16" w:rsidRDefault="00671E79" w14:paraId="2BAE7B07" w14:textId="0FAA3F9F">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404040" w:themeColor="text1" w:themeTint="BF" w:themeShade="FF"/>
          <w:sz w:val="22"/>
          <w:szCs w:val="22"/>
        </w:rPr>
        <w:t xml:space="preserve">Table 1. </w:t>
      </w:r>
      <w:r w:rsidRPr="6DEE4987" w:rsidR="00671E79">
        <w:rPr>
          <w:rFonts w:ascii="Garamond" w:hAnsi="Garamond" w:eastAsia="Garamond" w:cs="Garamond"/>
          <w:i w:val="1"/>
          <w:iCs w:val="1"/>
          <w:color w:val="000000" w:themeColor="text1" w:themeTint="FF" w:themeShade="FF"/>
          <w:sz w:val="22"/>
          <w:szCs w:val="22"/>
        </w:rPr>
        <w:t xml:space="preserve">List of Sensors and Data Products </w:t>
      </w:r>
    </w:p>
    <w:tbl>
      <w:tblPr>
        <w:tblW w:w="9359"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1365"/>
        <w:gridCol w:w="2505"/>
        <w:gridCol w:w="1260"/>
        <w:gridCol w:w="2715"/>
        <w:gridCol w:w="1514"/>
      </w:tblGrid>
      <w:tr w:rsidR="00060C16" w:rsidTr="6DEE4987" w14:paraId="442A8245" w14:textId="77777777">
        <w:trPr>
          <w:trHeight w:val="30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45B0E1" w:themeFill="accent1" w:themeFillTint="99"/>
            <w:tcMar>
              <w:left w:w="105" w:type="dxa"/>
              <w:right w:w="105" w:type="dxa"/>
            </w:tcMar>
            <w:vAlign w:val="center"/>
          </w:tcPr>
          <w:p w:rsidR="00060C16" w:rsidRDefault="00671E79" w14:paraId="5FB27E87"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Platform &amp; Sensor</w:t>
            </w:r>
          </w:p>
        </w:tc>
        <w:tc>
          <w:tcPr>
            <w:tcW w:w="25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45B0E1" w:themeFill="accent1" w:themeFillTint="99"/>
            <w:tcMar>
              <w:left w:w="105" w:type="dxa"/>
              <w:right w:w="105" w:type="dxa"/>
            </w:tcMar>
            <w:vAlign w:val="center"/>
          </w:tcPr>
          <w:p w:rsidR="00060C16" w:rsidRDefault="00671E79" w14:paraId="5DACE9B7"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Parameter(s)</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45B0E1" w:themeFill="accent1" w:themeFillTint="99"/>
            <w:tcMar>
              <w:left w:w="105" w:type="dxa"/>
              <w:right w:w="105" w:type="dxa"/>
            </w:tcMar>
            <w:vAlign w:val="center"/>
          </w:tcPr>
          <w:p w:rsidR="00060C16" w:rsidRDefault="00671E79" w14:paraId="4D8F082B"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Date Ranges</w:t>
            </w:r>
          </w:p>
        </w:tc>
        <w:tc>
          <w:tcPr>
            <w:tcW w:w="271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45B0E1" w:themeFill="accent1" w:themeFillTint="99"/>
            <w:tcMar>
              <w:left w:w="105" w:type="dxa"/>
              <w:right w:w="105" w:type="dxa"/>
            </w:tcMar>
            <w:vAlign w:val="center"/>
          </w:tcPr>
          <w:p w:rsidR="00060C16" w:rsidRDefault="00671E79" w14:paraId="033928AD"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Purpose</w:t>
            </w:r>
          </w:p>
        </w:tc>
        <w:tc>
          <w:tcPr>
            <w:tcW w:w="151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45B0E1" w:themeFill="accent1" w:themeFillTint="99"/>
            <w:tcMar>
              <w:left w:w="105" w:type="dxa"/>
              <w:right w:w="105" w:type="dxa"/>
            </w:tcMar>
            <w:vAlign w:val="center"/>
          </w:tcPr>
          <w:p w:rsidR="00060C16" w:rsidRDefault="00671E79" w14:paraId="42DA1A29"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xml:space="preserve">Source </w:t>
            </w:r>
          </w:p>
        </w:tc>
      </w:tr>
      <w:tr w:rsidR="00060C16" w:rsidTr="6DEE4987" w14:paraId="3A6ED020" w14:textId="77777777">
        <w:trPr>
          <w:trHeight w:val="30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2DD466B6" w14:textId="77777777">
            <w:pPr>
              <w:rPr>
                <w:rFonts w:ascii="Garamond" w:hAnsi="Garamond" w:eastAsia="Garamond" w:cs="Garamond"/>
                <w:color w:val="000000"/>
                <w:sz w:val="22"/>
                <w:szCs w:val="22"/>
              </w:rPr>
            </w:pPr>
            <w:r>
              <w:rPr>
                <w:rFonts w:ascii="Garamond" w:hAnsi="Garamond" w:eastAsia="Garamond" w:cs="Garamond"/>
                <w:b/>
                <w:color w:val="000000"/>
                <w:sz w:val="22"/>
                <w:szCs w:val="22"/>
              </w:rPr>
              <w:t>Landsat 8 OLI</w:t>
            </w:r>
            <w:r>
              <w:rPr>
                <w:rFonts w:ascii="Garamond" w:hAnsi="Garamond" w:eastAsia="Garamond" w:cs="Garamond"/>
                <w:color w:val="000000"/>
                <w:sz w:val="22"/>
                <w:szCs w:val="22"/>
              </w:rPr>
              <w:t> </w:t>
            </w:r>
          </w:p>
        </w:tc>
        <w:tc>
          <w:tcPr>
            <w:tcW w:w="25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48751F32" w14:textId="77777777">
            <w:pPr>
              <w:spacing w:after="0"/>
              <w:rPr>
                <w:rFonts w:ascii="Garamond" w:hAnsi="Garamond" w:eastAsia="Garamond" w:cs="Garamond"/>
                <w:color w:val="000000"/>
                <w:sz w:val="22"/>
                <w:szCs w:val="22"/>
              </w:rPr>
            </w:pPr>
            <w:r>
              <w:rPr>
                <w:rFonts w:ascii="Garamond" w:hAnsi="Garamond" w:eastAsia="Garamond" w:cs="Garamond"/>
                <w:color w:val="000000"/>
                <w:sz w:val="22"/>
                <w:szCs w:val="22"/>
              </w:rPr>
              <w:t>Surface reflectance  </w:t>
            </w:r>
          </w:p>
          <w:p w:rsidR="00060C16" w:rsidRDefault="00671E79" w14:paraId="503A9B27" w14:textId="77777777">
            <w:pPr>
              <w:rPr>
                <w:rFonts w:ascii="Garamond" w:hAnsi="Garamond" w:eastAsia="Garamond" w:cs="Garamond"/>
                <w:color w:val="000000"/>
                <w:sz w:val="22"/>
                <w:szCs w:val="22"/>
              </w:rPr>
            </w:pPr>
            <w:r>
              <w:rPr>
                <w:rFonts w:ascii="Garamond" w:hAnsi="Garamond" w:eastAsia="Garamond" w:cs="Garamond"/>
                <w:color w:val="000000"/>
                <w:sz w:val="22"/>
                <w:szCs w:val="22"/>
              </w:rPr>
              <w:t>(albedo)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735F06C6"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2012 - 2022</w:t>
            </w:r>
          </w:p>
        </w:tc>
        <w:tc>
          <w:tcPr>
            <w:tcW w:w="2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1F93D171" w14:textId="77777777">
            <w:pPr>
              <w:rPr>
                <w:rFonts w:ascii="Garamond" w:hAnsi="Garamond" w:eastAsia="Garamond" w:cs="Garamond"/>
                <w:color w:val="000000"/>
                <w:sz w:val="22"/>
                <w:szCs w:val="22"/>
              </w:rPr>
            </w:pPr>
            <w:r>
              <w:rPr>
                <w:rFonts w:ascii="Garamond" w:hAnsi="Garamond" w:eastAsia="Garamond" w:cs="Garamond"/>
                <w:color w:val="000000"/>
                <w:sz w:val="22"/>
                <w:szCs w:val="22"/>
              </w:rPr>
              <w:t>OLI provided thermal analysis data for vegetation greenness.</w:t>
            </w:r>
          </w:p>
        </w:tc>
        <w:tc>
          <w:tcPr>
            <w:tcW w:w="151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04D6AB1B"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GEE</w:t>
            </w:r>
          </w:p>
        </w:tc>
      </w:tr>
      <w:tr w:rsidR="00060C16" w:rsidTr="6DEE4987" w14:paraId="49DA9621" w14:textId="77777777">
        <w:trPr>
          <w:trHeight w:val="30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483320A2" w14:textId="77777777">
            <w:pPr>
              <w:rPr>
                <w:rFonts w:ascii="Garamond" w:hAnsi="Garamond" w:eastAsia="Garamond" w:cs="Garamond"/>
                <w:color w:val="000000"/>
                <w:sz w:val="22"/>
                <w:szCs w:val="22"/>
              </w:rPr>
            </w:pPr>
            <w:r>
              <w:rPr>
                <w:rFonts w:ascii="Garamond" w:hAnsi="Garamond" w:eastAsia="Garamond" w:cs="Garamond"/>
                <w:b/>
                <w:color w:val="000000"/>
                <w:sz w:val="22"/>
                <w:szCs w:val="22"/>
              </w:rPr>
              <w:t>Landsat 8 TIRS</w:t>
            </w:r>
            <w:r>
              <w:rPr>
                <w:rFonts w:ascii="Garamond" w:hAnsi="Garamond" w:eastAsia="Garamond" w:cs="Garamond"/>
                <w:color w:val="000000"/>
                <w:sz w:val="22"/>
                <w:szCs w:val="22"/>
              </w:rPr>
              <w:t> </w:t>
            </w:r>
          </w:p>
        </w:tc>
        <w:tc>
          <w:tcPr>
            <w:tcW w:w="25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6C77CBDA" w14:textId="77777777">
            <w:pPr>
              <w:spacing w:after="0"/>
              <w:rPr>
                <w:rFonts w:ascii="Garamond" w:hAnsi="Garamond" w:eastAsia="Garamond" w:cs="Garamond"/>
                <w:color w:val="000000"/>
                <w:sz w:val="22"/>
                <w:szCs w:val="22"/>
              </w:rPr>
            </w:pPr>
            <w:r>
              <w:rPr>
                <w:rFonts w:ascii="Garamond" w:hAnsi="Garamond" w:eastAsia="Garamond" w:cs="Garamond"/>
                <w:color w:val="000000"/>
                <w:sz w:val="22"/>
                <w:szCs w:val="22"/>
              </w:rPr>
              <w:t>Land surface temperature  </w:t>
            </w:r>
          </w:p>
          <w:p w:rsidR="00060C16" w:rsidRDefault="00671E79" w14:paraId="4AD464B4" w14:textId="77777777">
            <w:pPr>
              <w:rPr>
                <w:rFonts w:ascii="Garamond" w:hAnsi="Garamond" w:eastAsia="Garamond" w:cs="Garamond"/>
                <w:color w:val="000000"/>
                <w:sz w:val="22"/>
                <w:szCs w:val="22"/>
              </w:rPr>
            </w:pPr>
            <w:r>
              <w:rPr>
                <w:rFonts w:ascii="Garamond" w:hAnsi="Garamond" w:eastAsia="Garamond" w:cs="Garamond"/>
                <w:color w:val="000000"/>
                <w:sz w:val="22"/>
                <w:szCs w:val="22"/>
              </w:rPr>
              <w:t>(</w:t>
            </w:r>
            <w:proofErr w:type="gramStart"/>
            <w:r>
              <w:rPr>
                <w:rFonts w:ascii="Garamond" w:hAnsi="Garamond" w:eastAsia="Garamond" w:cs="Garamond"/>
                <w:color w:val="000000"/>
                <w:sz w:val="22"/>
                <w:szCs w:val="22"/>
              </w:rPr>
              <w:t>temperature</w:t>
            </w:r>
            <w:proofErr w:type="gramEnd"/>
            <w:r>
              <w:rPr>
                <w:rFonts w:ascii="Garamond" w:hAnsi="Garamond" w:eastAsia="Garamond" w:cs="Garamond"/>
                <w:color w:val="000000"/>
                <w:sz w:val="22"/>
                <w:szCs w:val="22"/>
              </w:rPr>
              <w:t xml:space="preserve"> anomaly)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512826A1"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2012 - 2023</w:t>
            </w:r>
          </w:p>
        </w:tc>
        <w:tc>
          <w:tcPr>
            <w:tcW w:w="2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0C5ED525" w14:textId="77777777">
            <w:pPr>
              <w:rPr>
                <w:rFonts w:ascii="Garamond" w:hAnsi="Garamond" w:eastAsia="Garamond" w:cs="Garamond"/>
                <w:color w:val="000000"/>
                <w:sz w:val="22"/>
                <w:szCs w:val="22"/>
              </w:rPr>
            </w:pPr>
            <w:r>
              <w:rPr>
                <w:rFonts w:ascii="Garamond" w:hAnsi="Garamond" w:eastAsia="Garamond" w:cs="Garamond"/>
                <w:color w:val="000000"/>
                <w:sz w:val="22"/>
                <w:szCs w:val="22"/>
              </w:rPr>
              <w:t>TIRS provided thermal analysis data for daytime land temperatures. </w:t>
            </w:r>
          </w:p>
        </w:tc>
        <w:tc>
          <w:tcPr>
            <w:tcW w:w="151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2D239A13"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GEE</w:t>
            </w:r>
          </w:p>
        </w:tc>
      </w:tr>
      <w:tr w:rsidR="00060C16" w:rsidTr="6DEE4987" w14:paraId="45EF20AE" w14:textId="77777777">
        <w:trPr>
          <w:trHeight w:val="87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61BE57E9" w14:textId="77777777">
            <w:pPr>
              <w:rPr>
                <w:rFonts w:ascii="Garamond" w:hAnsi="Garamond" w:eastAsia="Garamond" w:cs="Garamond"/>
                <w:b/>
                <w:color w:val="000000"/>
                <w:sz w:val="22"/>
                <w:szCs w:val="22"/>
              </w:rPr>
            </w:pPr>
            <w:r>
              <w:rPr>
                <w:rFonts w:ascii="Garamond" w:hAnsi="Garamond" w:eastAsia="Garamond" w:cs="Garamond"/>
                <w:b/>
                <w:color w:val="000000"/>
                <w:sz w:val="22"/>
                <w:szCs w:val="22"/>
              </w:rPr>
              <w:lastRenderedPageBreak/>
              <w:t>Sentinel 5 TROPOMI</w:t>
            </w:r>
          </w:p>
        </w:tc>
        <w:tc>
          <w:tcPr>
            <w:tcW w:w="25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5E3F835F" w14:textId="77777777">
            <w:pPr>
              <w:rPr>
                <w:rFonts w:ascii="Garamond" w:hAnsi="Garamond" w:eastAsia="Garamond" w:cs="Garamond"/>
                <w:color w:val="000000"/>
                <w:sz w:val="22"/>
                <w:szCs w:val="22"/>
              </w:rPr>
            </w:pPr>
            <w:r>
              <w:rPr>
                <w:rFonts w:ascii="Garamond" w:hAnsi="Garamond" w:eastAsia="Garamond" w:cs="Garamond"/>
                <w:color w:val="000000"/>
                <w:sz w:val="22"/>
                <w:szCs w:val="22"/>
              </w:rPr>
              <w:t>Average NO</w:t>
            </w:r>
            <w:r>
              <w:rPr>
                <w:rFonts w:ascii="Garamond" w:hAnsi="Garamond" w:eastAsia="Garamond" w:cs="Garamond"/>
                <w:color w:val="000000"/>
                <w:vertAlign w:val="subscript"/>
              </w:rPr>
              <w:t>2</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459FCBC6"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2019, 2021, 2022</w:t>
            </w:r>
          </w:p>
        </w:tc>
        <w:tc>
          <w:tcPr>
            <w:tcW w:w="2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1E5932DD" w14:textId="77777777">
            <w:pPr>
              <w:spacing w:after="0"/>
              <w:rPr>
                <w:rFonts w:ascii="Garamond" w:hAnsi="Garamond" w:eastAsia="Garamond" w:cs="Garamond"/>
                <w:color w:val="000000"/>
                <w:sz w:val="22"/>
                <w:szCs w:val="22"/>
              </w:rPr>
            </w:pPr>
            <w:r>
              <w:rPr>
                <w:rFonts w:ascii="Garamond" w:hAnsi="Garamond" w:eastAsia="Garamond" w:cs="Garamond"/>
                <w:color w:val="000000"/>
                <w:sz w:val="22"/>
                <w:szCs w:val="22"/>
              </w:rPr>
              <w:t xml:space="preserve">TROPOMI provided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data for the study area.</w:t>
            </w:r>
          </w:p>
        </w:tc>
        <w:tc>
          <w:tcPr>
            <w:tcW w:w="151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5F010A25"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GEE</w:t>
            </w:r>
          </w:p>
        </w:tc>
      </w:tr>
      <w:tr w:rsidR="00060C16" w:rsidTr="6DEE4987" w14:paraId="6011297E" w14:textId="77777777">
        <w:trPr>
          <w:trHeight w:val="1380"/>
        </w:trPr>
        <w:tc>
          <w:tcPr>
            <w:tcW w:w="136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01C59AFE" w14:textId="77777777">
            <w:pPr>
              <w:rPr>
                <w:rFonts w:ascii="Garamond" w:hAnsi="Garamond" w:eastAsia="Garamond" w:cs="Garamond"/>
                <w:b/>
                <w:color w:val="000000"/>
                <w:sz w:val="22"/>
                <w:szCs w:val="22"/>
              </w:rPr>
            </w:pPr>
            <w:r>
              <w:rPr>
                <w:rFonts w:ascii="Garamond" w:hAnsi="Garamond" w:eastAsia="Garamond" w:cs="Garamond"/>
                <w:b/>
                <w:color w:val="000000"/>
                <w:sz w:val="22"/>
                <w:szCs w:val="22"/>
              </w:rPr>
              <w:t>NAIP</w:t>
            </w:r>
          </w:p>
        </w:tc>
        <w:tc>
          <w:tcPr>
            <w:tcW w:w="25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14D7A558" w14:textId="77777777">
            <w:pPr>
              <w:rPr>
                <w:rFonts w:ascii="Garamond" w:hAnsi="Garamond" w:eastAsia="Garamond" w:cs="Garamond"/>
                <w:color w:val="000000"/>
                <w:sz w:val="22"/>
                <w:szCs w:val="22"/>
              </w:rPr>
            </w:pPr>
            <w:r>
              <w:rPr>
                <w:rFonts w:ascii="Garamond" w:hAnsi="Garamond" w:eastAsia="Garamond" w:cs="Garamond"/>
                <w:color w:val="000000"/>
                <w:sz w:val="22"/>
                <w:szCs w:val="22"/>
              </w:rPr>
              <w:t xml:space="preserve">Aerial Imagery </w:t>
            </w:r>
          </w:p>
        </w:tc>
        <w:tc>
          <w:tcPr>
            <w:tcW w:w="12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2FEED4BF"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2022</w:t>
            </w:r>
          </w:p>
        </w:tc>
        <w:tc>
          <w:tcPr>
            <w:tcW w:w="2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78648192" w14:textId="77777777">
            <w:pPr>
              <w:rPr>
                <w:rFonts w:ascii="Garamond" w:hAnsi="Garamond" w:eastAsia="Garamond" w:cs="Garamond"/>
                <w:color w:val="000000"/>
                <w:sz w:val="22"/>
                <w:szCs w:val="22"/>
              </w:rPr>
            </w:pPr>
            <w:r>
              <w:rPr>
                <w:rFonts w:ascii="Garamond" w:hAnsi="Garamond" w:eastAsia="Garamond" w:cs="Garamond"/>
                <w:color w:val="000000"/>
                <w:sz w:val="22"/>
                <w:szCs w:val="22"/>
              </w:rPr>
              <w:t xml:space="preserve">NAIP provided high resolution raster images utilized for landcover classification </w:t>
            </w:r>
          </w:p>
        </w:tc>
        <w:tc>
          <w:tcPr>
            <w:tcW w:w="151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vAlign w:val="center"/>
          </w:tcPr>
          <w:p w:rsidR="00060C16" w:rsidRDefault="00671E79" w14:paraId="42CBA43E"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 xml:space="preserve">USGS </w:t>
            </w:r>
            <w:proofErr w:type="spellStart"/>
            <w:r>
              <w:rPr>
                <w:rFonts w:ascii="Garamond" w:hAnsi="Garamond" w:eastAsia="Garamond" w:cs="Garamond"/>
                <w:color w:val="000000"/>
                <w:sz w:val="22"/>
                <w:szCs w:val="22"/>
              </w:rPr>
              <w:t>EarthExplorer</w:t>
            </w:r>
            <w:proofErr w:type="spellEnd"/>
          </w:p>
          <w:p w:rsidR="00060C16" w:rsidRDefault="00060C16" w14:paraId="1968AF13" w14:textId="77777777">
            <w:pPr>
              <w:jc w:val="center"/>
              <w:rPr>
                <w:rFonts w:ascii="Garamond" w:hAnsi="Garamond" w:eastAsia="Garamond" w:cs="Garamond"/>
                <w:color w:val="000000"/>
                <w:sz w:val="22"/>
                <w:szCs w:val="22"/>
              </w:rPr>
            </w:pPr>
          </w:p>
        </w:tc>
      </w:tr>
    </w:tbl>
    <w:p w:rsidR="00060C16" w:rsidP="185496FE" w:rsidRDefault="00060C16" w14:paraId="5CF1A446" w14:textId="79DCD475">
      <w:pPr>
        <w:pStyle w:val="Normal"/>
        <w:spacing w:after="0" w:line="240" w:lineRule="auto"/>
        <w:rPr>
          <w:rFonts w:ascii="Garamond" w:hAnsi="Garamond" w:eastAsia="Garamond" w:cs="Garamond"/>
          <w:i w:val="1"/>
          <w:iCs w:val="1"/>
          <w:color w:val="000000"/>
          <w:sz w:val="22"/>
          <w:szCs w:val="22"/>
        </w:rPr>
      </w:pPr>
    </w:p>
    <w:p w:rsidR="00060C16" w:rsidRDefault="00671E79" w14:paraId="3D37EBDE"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 xml:space="preserve">3.1.2 Ancillary Data </w:t>
      </w:r>
    </w:p>
    <w:p w:rsidR="00060C16" w:rsidRDefault="00671E79" w14:paraId="256086B5" w14:textId="3843C68D">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In addition to the satellite data, we </w:t>
      </w:r>
      <w:r w:rsidRPr="6DEE4987" w:rsidR="00671E79">
        <w:rPr>
          <w:rFonts w:ascii="Garamond" w:hAnsi="Garamond" w:eastAsia="Garamond" w:cs="Garamond"/>
          <w:color w:val="000000" w:themeColor="text1" w:themeTint="FF" w:themeShade="FF"/>
          <w:sz w:val="22"/>
          <w:szCs w:val="22"/>
        </w:rPr>
        <w:t>acquired</w:t>
      </w:r>
      <w:r w:rsidRPr="6DEE4987" w:rsidR="00671E79">
        <w:rPr>
          <w:rFonts w:ascii="Garamond" w:hAnsi="Garamond" w:eastAsia="Garamond" w:cs="Garamond"/>
          <w:color w:val="000000" w:themeColor="text1" w:themeTint="FF" w:themeShade="FF"/>
          <w:sz w:val="22"/>
          <w:szCs w:val="22"/>
        </w:rPr>
        <w:t xml:space="preserve"> demographic datasets from term I of the San Joaquin Health and Air Quality Project. This included datasets from EPA’s Environmental Justice Screening and Mapping tool, and U.S. Census Bureau California 2020 census tracts (Table 2). Next, we isolated the variables that aligned with our partners' biggest concerns which included: </w:t>
      </w:r>
      <w:r w:rsidRPr="6DEE4987" w:rsidR="30FC2495">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ercent </w:t>
      </w:r>
      <w:r w:rsidRPr="6DEE4987" w:rsidR="2079BFBC">
        <w:rPr>
          <w:rFonts w:ascii="Garamond" w:hAnsi="Garamond" w:eastAsia="Garamond" w:cs="Garamond"/>
          <w:color w:val="000000" w:themeColor="text1" w:themeTint="FF" w:themeShade="FF"/>
          <w:sz w:val="22"/>
          <w:szCs w:val="22"/>
        </w:rPr>
        <w:t>l</w:t>
      </w:r>
      <w:r w:rsidRPr="6DEE4987" w:rsidR="00671E79">
        <w:rPr>
          <w:rFonts w:ascii="Garamond" w:hAnsi="Garamond" w:eastAsia="Garamond" w:cs="Garamond"/>
          <w:color w:val="000000" w:themeColor="text1" w:themeTint="FF" w:themeShade="FF"/>
          <w:sz w:val="22"/>
          <w:szCs w:val="22"/>
        </w:rPr>
        <w:t xml:space="preserve">ow </w:t>
      </w:r>
      <w:r w:rsidRPr="6DEE4987" w:rsidR="23DCC21B">
        <w:rPr>
          <w:rFonts w:ascii="Garamond" w:hAnsi="Garamond" w:eastAsia="Garamond" w:cs="Garamond"/>
          <w:color w:val="000000" w:themeColor="text1" w:themeTint="FF" w:themeShade="FF"/>
          <w:sz w:val="22"/>
          <w:szCs w:val="22"/>
        </w:rPr>
        <w:t>i</w:t>
      </w:r>
      <w:r w:rsidRPr="6DEE4987" w:rsidR="00671E79">
        <w:rPr>
          <w:rFonts w:ascii="Garamond" w:hAnsi="Garamond" w:eastAsia="Garamond" w:cs="Garamond"/>
          <w:color w:val="000000" w:themeColor="text1" w:themeTint="FF" w:themeShade="FF"/>
          <w:sz w:val="22"/>
          <w:szCs w:val="22"/>
        </w:rPr>
        <w:t xml:space="preserve">ncome, </w:t>
      </w:r>
      <w:r w:rsidRPr="6DEE4987" w:rsidR="46EBF0EB">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ercent </w:t>
      </w:r>
      <w:r w:rsidRPr="6DEE4987" w:rsidR="664D606D">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eople of </w:t>
      </w:r>
      <w:r w:rsidRPr="6DEE4987" w:rsidR="17B4BAE5">
        <w:rPr>
          <w:rFonts w:ascii="Garamond" w:hAnsi="Garamond" w:eastAsia="Garamond" w:cs="Garamond"/>
          <w:color w:val="000000" w:themeColor="text1" w:themeTint="FF" w:themeShade="FF"/>
          <w:sz w:val="22"/>
          <w:szCs w:val="22"/>
        </w:rPr>
        <w:t>c</w:t>
      </w:r>
      <w:r w:rsidRPr="6DEE4987" w:rsidR="00671E79">
        <w:rPr>
          <w:rFonts w:ascii="Garamond" w:hAnsi="Garamond" w:eastAsia="Garamond" w:cs="Garamond"/>
          <w:color w:val="000000" w:themeColor="text1" w:themeTint="FF" w:themeShade="FF"/>
          <w:sz w:val="22"/>
          <w:szCs w:val="22"/>
        </w:rPr>
        <w:t xml:space="preserve">olor, </w:t>
      </w:r>
      <w:r w:rsidRPr="6DEE4987" w:rsidR="7E6D8A8D">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opulation in </w:t>
      </w:r>
      <w:r w:rsidRPr="6DEE4987" w:rsidR="338B9ED7">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overty, </w:t>
      </w:r>
      <w:r w:rsidRPr="6DEE4987" w:rsidR="37B6D979">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ercent </w:t>
      </w:r>
      <w:r w:rsidRPr="6DEE4987" w:rsidR="5D469698">
        <w:rPr>
          <w:rFonts w:ascii="Garamond" w:hAnsi="Garamond" w:eastAsia="Garamond" w:cs="Garamond"/>
          <w:color w:val="000000" w:themeColor="text1" w:themeTint="FF" w:themeShade="FF"/>
          <w:sz w:val="22"/>
          <w:szCs w:val="22"/>
        </w:rPr>
        <w:t>l</w:t>
      </w:r>
      <w:r w:rsidRPr="6DEE4987" w:rsidR="00671E79">
        <w:rPr>
          <w:rFonts w:ascii="Garamond" w:hAnsi="Garamond" w:eastAsia="Garamond" w:cs="Garamond"/>
          <w:color w:val="000000" w:themeColor="text1" w:themeTint="FF" w:themeShade="FF"/>
          <w:sz w:val="22"/>
          <w:szCs w:val="22"/>
        </w:rPr>
        <w:t xml:space="preserve">ess than </w:t>
      </w:r>
      <w:r w:rsidRPr="6DEE4987" w:rsidR="45AA1FF6">
        <w:rPr>
          <w:rFonts w:ascii="Garamond" w:hAnsi="Garamond" w:eastAsia="Garamond" w:cs="Garamond"/>
          <w:color w:val="000000" w:themeColor="text1" w:themeTint="FF" w:themeShade="FF"/>
          <w:sz w:val="22"/>
          <w:szCs w:val="22"/>
        </w:rPr>
        <w:t>h</w:t>
      </w:r>
      <w:r w:rsidRPr="6DEE4987" w:rsidR="00671E79">
        <w:rPr>
          <w:rFonts w:ascii="Garamond" w:hAnsi="Garamond" w:eastAsia="Garamond" w:cs="Garamond"/>
          <w:color w:val="000000" w:themeColor="text1" w:themeTint="FF" w:themeShade="FF"/>
          <w:sz w:val="22"/>
          <w:szCs w:val="22"/>
        </w:rPr>
        <w:t xml:space="preserve">igh </w:t>
      </w:r>
      <w:r w:rsidRPr="6DEE4987" w:rsidR="24FB2D49">
        <w:rPr>
          <w:rFonts w:ascii="Garamond" w:hAnsi="Garamond" w:eastAsia="Garamond" w:cs="Garamond"/>
          <w:color w:val="000000" w:themeColor="text1" w:themeTint="FF" w:themeShade="FF"/>
          <w:sz w:val="22"/>
          <w:szCs w:val="22"/>
        </w:rPr>
        <w:t>s</w:t>
      </w:r>
      <w:r w:rsidRPr="6DEE4987" w:rsidR="00671E79">
        <w:rPr>
          <w:rFonts w:ascii="Garamond" w:hAnsi="Garamond" w:eastAsia="Garamond" w:cs="Garamond"/>
          <w:color w:val="000000" w:themeColor="text1" w:themeTint="FF" w:themeShade="FF"/>
          <w:sz w:val="22"/>
          <w:szCs w:val="22"/>
        </w:rPr>
        <w:t xml:space="preserve">chool </w:t>
      </w:r>
      <w:r w:rsidRPr="6DEE4987" w:rsidR="6CDBEC1D">
        <w:rPr>
          <w:rFonts w:ascii="Garamond" w:hAnsi="Garamond" w:eastAsia="Garamond" w:cs="Garamond"/>
          <w:color w:val="000000" w:themeColor="text1" w:themeTint="FF" w:themeShade="FF"/>
          <w:sz w:val="22"/>
          <w:szCs w:val="22"/>
        </w:rPr>
        <w:t>e</w:t>
      </w:r>
      <w:r w:rsidRPr="6DEE4987" w:rsidR="00671E79">
        <w:rPr>
          <w:rFonts w:ascii="Garamond" w:hAnsi="Garamond" w:eastAsia="Garamond" w:cs="Garamond"/>
          <w:color w:val="000000" w:themeColor="text1" w:themeTint="FF" w:themeShade="FF"/>
          <w:sz w:val="22"/>
          <w:szCs w:val="22"/>
        </w:rPr>
        <w:t xml:space="preserve">ducation, </w:t>
      </w:r>
      <w:r w:rsidRPr="6DEE4987" w:rsidR="5A5E5A08">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ercent </w:t>
      </w:r>
      <w:r w:rsidRPr="6DEE4987" w:rsidR="5E9B93EB">
        <w:rPr>
          <w:rFonts w:ascii="Garamond" w:hAnsi="Garamond" w:eastAsia="Garamond" w:cs="Garamond"/>
          <w:color w:val="000000" w:themeColor="text1" w:themeTint="FF" w:themeShade="FF"/>
          <w:sz w:val="22"/>
          <w:szCs w:val="22"/>
        </w:rPr>
        <w:t>u</w:t>
      </w:r>
      <w:r w:rsidRPr="6DEE4987" w:rsidR="00671E79">
        <w:rPr>
          <w:rFonts w:ascii="Garamond" w:hAnsi="Garamond" w:eastAsia="Garamond" w:cs="Garamond"/>
          <w:color w:val="000000" w:themeColor="text1" w:themeTint="FF" w:themeShade="FF"/>
          <w:sz w:val="22"/>
          <w:szCs w:val="22"/>
        </w:rPr>
        <w:t xml:space="preserve">nder </w:t>
      </w:r>
      <w:r w:rsidRPr="6DEE4987" w:rsidR="06E11E24">
        <w:rPr>
          <w:rFonts w:ascii="Garamond" w:hAnsi="Garamond" w:eastAsia="Garamond" w:cs="Garamond"/>
          <w:color w:val="000000" w:themeColor="text1" w:themeTint="FF" w:themeShade="FF"/>
          <w:sz w:val="22"/>
          <w:szCs w:val="22"/>
        </w:rPr>
        <w:t>a</w:t>
      </w:r>
      <w:r w:rsidRPr="6DEE4987" w:rsidR="00671E79">
        <w:rPr>
          <w:rFonts w:ascii="Garamond" w:hAnsi="Garamond" w:eastAsia="Garamond" w:cs="Garamond"/>
          <w:color w:val="000000" w:themeColor="text1" w:themeTint="FF" w:themeShade="FF"/>
          <w:sz w:val="22"/>
          <w:szCs w:val="22"/>
        </w:rPr>
        <w:t xml:space="preserve">ge 5, and </w:t>
      </w:r>
      <w:r w:rsidRPr="6DEE4987" w:rsidR="364D5622">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ercent </w:t>
      </w:r>
      <w:r w:rsidRPr="6DEE4987" w:rsidR="2A616603">
        <w:rPr>
          <w:rFonts w:ascii="Garamond" w:hAnsi="Garamond" w:eastAsia="Garamond" w:cs="Garamond"/>
          <w:color w:val="000000" w:themeColor="text1" w:themeTint="FF" w:themeShade="FF"/>
          <w:sz w:val="22"/>
          <w:szCs w:val="22"/>
        </w:rPr>
        <w:t>o</w:t>
      </w:r>
      <w:r w:rsidRPr="6DEE4987" w:rsidR="00671E79">
        <w:rPr>
          <w:rFonts w:ascii="Garamond" w:hAnsi="Garamond" w:eastAsia="Garamond" w:cs="Garamond"/>
          <w:color w:val="000000" w:themeColor="text1" w:themeTint="FF" w:themeShade="FF"/>
          <w:sz w:val="22"/>
          <w:szCs w:val="22"/>
        </w:rPr>
        <w:t xml:space="preserve">ver </w:t>
      </w:r>
      <w:r w:rsidRPr="6DEE4987" w:rsidR="61DB618B">
        <w:rPr>
          <w:rFonts w:ascii="Garamond" w:hAnsi="Garamond" w:eastAsia="Garamond" w:cs="Garamond"/>
          <w:color w:val="000000" w:themeColor="text1" w:themeTint="FF" w:themeShade="FF"/>
          <w:sz w:val="22"/>
          <w:szCs w:val="22"/>
        </w:rPr>
        <w:t>a</w:t>
      </w:r>
      <w:r w:rsidRPr="6DEE4987" w:rsidR="00671E79">
        <w:rPr>
          <w:rFonts w:ascii="Garamond" w:hAnsi="Garamond" w:eastAsia="Garamond" w:cs="Garamond"/>
          <w:color w:val="000000" w:themeColor="text1" w:themeTint="FF" w:themeShade="FF"/>
          <w:sz w:val="22"/>
          <w:szCs w:val="22"/>
        </w:rPr>
        <w:t>ge 64.</w:t>
      </w:r>
    </w:p>
    <w:p w:rsidR="00060C16" w:rsidRDefault="00060C16" w14:paraId="031C862E" w14:textId="77777777">
      <w:pPr>
        <w:spacing w:after="0" w:line="240" w:lineRule="auto"/>
        <w:rPr>
          <w:rFonts w:ascii="Garamond" w:hAnsi="Garamond" w:eastAsia="Garamond" w:cs="Garamond"/>
          <w:color w:val="000000"/>
          <w:sz w:val="22"/>
          <w:szCs w:val="22"/>
        </w:rPr>
      </w:pPr>
    </w:p>
    <w:p w:rsidR="00060C16" w:rsidRDefault="00671E79" w14:paraId="52CADFFC" w14:textId="67B9BC0D">
      <w:pPr>
        <w:spacing w:after="0" w:line="240" w:lineRule="auto"/>
        <w:rPr>
          <w:rFonts w:ascii="Garamond" w:hAnsi="Garamond" w:eastAsia="Garamond" w:cs="Garamond"/>
          <w:color w:val="000000"/>
        </w:rPr>
      </w:pPr>
      <w:r w:rsidRPr="6DEE4987" w:rsidR="00671E79">
        <w:rPr>
          <w:rFonts w:ascii="Garamond" w:hAnsi="Garamond" w:eastAsia="Garamond" w:cs="Garamond"/>
          <w:color w:val="404040" w:themeColor="text1" w:themeTint="BF" w:themeShade="FF"/>
          <w:sz w:val="22"/>
          <w:szCs w:val="22"/>
        </w:rPr>
        <w:t xml:space="preserve">Table 2. </w:t>
      </w:r>
      <w:r w:rsidRPr="6DEE4987" w:rsidR="00671E79">
        <w:rPr>
          <w:rFonts w:ascii="Garamond" w:hAnsi="Garamond" w:eastAsia="Garamond" w:cs="Garamond"/>
          <w:i w:val="1"/>
          <w:iCs w:val="1"/>
          <w:color w:val="000000" w:themeColor="text1" w:themeTint="FF" w:themeShade="FF"/>
          <w:sz w:val="22"/>
          <w:szCs w:val="22"/>
        </w:rPr>
        <w:t>Social, Environmental, and Validation Datasets</w:t>
      </w:r>
    </w:p>
    <w:tbl>
      <w:tblPr>
        <w:tblW w:w="936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160"/>
        <w:gridCol w:w="3120"/>
        <w:gridCol w:w="2887"/>
        <w:gridCol w:w="1193"/>
      </w:tblGrid>
      <w:tr w:rsidR="00060C16" w:rsidTr="6DEE4987" w14:paraId="4494D774" w14:textId="77777777">
        <w:trPr>
          <w:trHeight w:val="300"/>
        </w:trPr>
        <w:tc>
          <w:tcPr>
            <w:tcW w:w="2160" w:type="dxa"/>
            <w:tcBorders>
              <w:top w:val="single" w:color="000000" w:themeColor="text1" w:sz="6" w:space="0"/>
              <w:bottom w:val="single" w:color="000000" w:themeColor="text1" w:sz="4" w:space="0"/>
            </w:tcBorders>
            <w:shd w:val="clear" w:color="auto" w:fill="45B0E1" w:themeFill="accent1" w:themeFillTint="99"/>
            <w:tcMar>
              <w:left w:w="105" w:type="dxa"/>
              <w:right w:w="105" w:type="dxa"/>
            </w:tcMar>
            <w:vAlign w:val="center"/>
          </w:tcPr>
          <w:p w:rsidR="00060C16" w:rsidRDefault="00671E79" w14:paraId="4BFF9E23"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Data Source</w:t>
            </w:r>
          </w:p>
        </w:tc>
        <w:tc>
          <w:tcPr>
            <w:tcW w:w="3120" w:type="dxa"/>
            <w:tcBorders>
              <w:top w:val="single" w:color="000000" w:themeColor="text1" w:sz="6" w:space="0"/>
              <w:bottom w:val="single" w:color="000000" w:themeColor="text1" w:sz="4" w:space="0"/>
            </w:tcBorders>
            <w:shd w:val="clear" w:color="auto" w:fill="45B0E1" w:themeFill="accent1" w:themeFillTint="99"/>
            <w:tcMar>
              <w:left w:w="105" w:type="dxa"/>
              <w:right w:w="105" w:type="dxa"/>
            </w:tcMar>
            <w:vAlign w:val="center"/>
          </w:tcPr>
          <w:p w:rsidR="00060C16" w:rsidRDefault="00671E79" w14:paraId="28628B85"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Data Name</w:t>
            </w:r>
          </w:p>
        </w:tc>
        <w:tc>
          <w:tcPr>
            <w:tcW w:w="2887" w:type="dxa"/>
            <w:tcBorders>
              <w:top w:val="single" w:color="000000" w:themeColor="text1" w:sz="6" w:space="0"/>
              <w:bottom w:val="single" w:color="000000" w:themeColor="text1" w:sz="4" w:space="0"/>
            </w:tcBorders>
            <w:shd w:val="clear" w:color="auto" w:fill="45B0E1" w:themeFill="accent1" w:themeFillTint="99"/>
            <w:tcMar>
              <w:left w:w="105" w:type="dxa"/>
              <w:right w:w="105" w:type="dxa"/>
            </w:tcMar>
            <w:vAlign w:val="center"/>
          </w:tcPr>
          <w:p w:rsidR="00060C16" w:rsidRDefault="00671E79" w14:paraId="678F28E2"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Data Type</w:t>
            </w:r>
          </w:p>
        </w:tc>
        <w:tc>
          <w:tcPr>
            <w:tcW w:w="1193" w:type="dxa"/>
            <w:tcBorders>
              <w:top w:val="single" w:color="000000" w:themeColor="text1" w:sz="6" w:space="0"/>
              <w:bottom w:val="single" w:color="000000" w:themeColor="text1" w:sz="4" w:space="0"/>
            </w:tcBorders>
            <w:shd w:val="clear" w:color="auto" w:fill="45B0E1" w:themeFill="accent1" w:themeFillTint="99"/>
            <w:tcMar>
              <w:left w:w="105" w:type="dxa"/>
              <w:right w:w="105" w:type="dxa"/>
            </w:tcMar>
            <w:vAlign w:val="center"/>
          </w:tcPr>
          <w:p w:rsidR="00060C16" w:rsidRDefault="00671E79" w14:paraId="7A204F73" w14:textId="77777777">
            <w:pPr>
              <w:jc w:val="center"/>
              <w:rPr>
                <w:rFonts w:ascii="Garamond" w:hAnsi="Garamond" w:eastAsia="Garamond" w:cs="Garamond"/>
                <w:color w:val="FFFFFF"/>
                <w:sz w:val="22"/>
                <w:szCs w:val="22"/>
              </w:rPr>
            </w:pPr>
            <w:r>
              <w:rPr>
                <w:rFonts w:ascii="Garamond" w:hAnsi="Garamond" w:eastAsia="Garamond" w:cs="Garamond"/>
                <w:b/>
                <w:color w:val="FFFFFF"/>
                <w:sz w:val="22"/>
                <w:szCs w:val="22"/>
              </w:rPr>
              <w:t>Year(s)</w:t>
            </w:r>
          </w:p>
        </w:tc>
      </w:tr>
      <w:tr w:rsidR="00060C16" w:rsidTr="6DEE4987" w14:paraId="1D8A4E20" w14:textId="77777777">
        <w:trPr>
          <w:trHeight w:val="300"/>
        </w:trPr>
        <w:tc>
          <w:tcPr>
            <w:tcW w:w="2160" w:type="dxa"/>
            <w:tcBorders>
              <w:top w:val="single" w:color="000000" w:themeColor="text1" w:sz="4" w:space="0"/>
            </w:tcBorders>
            <w:tcMar>
              <w:left w:w="105" w:type="dxa"/>
              <w:right w:w="105" w:type="dxa"/>
            </w:tcMar>
            <w:vAlign w:val="center"/>
          </w:tcPr>
          <w:p w:rsidR="00060C16" w:rsidRDefault="00671E79" w14:paraId="1D1A4D8B" w14:textId="77777777">
            <w:pPr>
              <w:jc w:val="center"/>
              <w:rPr>
                <w:rFonts w:ascii="Garamond" w:hAnsi="Garamond" w:eastAsia="Garamond" w:cs="Garamond"/>
                <w:sz w:val="22"/>
                <w:szCs w:val="22"/>
              </w:rPr>
            </w:pPr>
            <w:r>
              <w:rPr>
                <w:rFonts w:ascii="Garamond" w:hAnsi="Garamond" w:eastAsia="Garamond" w:cs="Garamond"/>
                <w:sz w:val="22"/>
                <w:szCs w:val="22"/>
              </w:rPr>
              <w:t>EPA</w:t>
            </w:r>
          </w:p>
        </w:tc>
        <w:tc>
          <w:tcPr>
            <w:tcW w:w="3120" w:type="dxa"/>
            <w:tcBorders>
              <w:top w:val="single" w:color="000000" w:themeColor="text1" w:sz="4" w:space="0"/>
            </w:tcBorders>
            <w:tcMar>
              <w:left w:w="105" w:type="dxa"/>
              <w:right w:w="105" w:type="dxa"/>
            </w:tcMar>
            <w:vAlign w:val="center"/>
          </w:tcPr>
          <w:p w:rsidR="00060C16" w:rsidRDefault="00671E79" w14:paraId="151D7D27" w14:textId="77777777">
            <w:pPr>
              <w:jc w:val="center"/>
              <w:rPr>
                <w:rFonts w:ascii="Garamond" w:hAnsi="Garamond" w:eastAsia="Garamond" w:cs="Garamond"/>
                <w:sz w:val="22"/>
                <w:szCs w:val="22"/>
              </w:rPr>
            </w:pPr>
            <w:r>
              <w:rPr>
                <w:rFonts w:ascii="Garamond" w:hAnsi="Garamond" w:eastAsia="Garamond" w:cs="Garamond"/>
                <w:sz w:val="22"/>
                <w:szCs w:val="22"/>
              </w:rPr>
              <w:t>Environmental Justice Screening Tool (</w:t>
            </w:r>
            <w:proofErr w:type="spellStart"/>
            <w:r>
              <w:rPr>
                <w:rFonts w:ascii="Garamond" w:hAnsi="Garamond" w:eastAsia="Garamond" w:cs="Garamond"/>
                <w:sz w:val="22"/>
                <w:szCs w:val="22"/>
              </w:rPr>
              <w:t>EJScreen</w:t>
            </w:r>
            <w:proofErr w:type="spellEnd"/>
            <w:r>
              <w:rPr>
                <w:rFonts w:ascii="Garamond" w:hAnsi="Garamond" w:eastAsia="Garamond" w:cs="Garamond"/>
                <w:sz w:val="22"/>
                <w:szCs w:val="22"/>
              </w:rPr>
              <w:t>)</w:t>
            </w:r>
          </w:p>
        </w:tc>
        <w:tc>
          <w:tcPr>
            <w:tcW w:w="2887" w:type="dxa"/>
            <w:tcBorders>
              <w:top w:val="single" w:color="000000" w:themeColor="text1" w:sz="4" w:space="0"/>
            </w:tcBorders>
            <w:tcMar>
              <w:left w:w="105" w:type="dxa"/>
              <w:right w:w="105" w:type="dxa"/>
            </w:tcMar>
            <w:vAlign w:val="center"/>
          </w:tcPr>
          <w:p w:rsidR="00060C16" w:rsidRDefault="00671E79" w14:paraId="275708BA" w14:textId="77777777">
            <w:pPr>
              <w:jc w:val="center"/>
              <w:rPr>
                <w:rFonts w:ascii="Garamond" w:hAnsi="Garamond" w:eastAsia="Garamond" w:cs="Garamond"/>
                <w:sz w:val="22"/>
                <w:szCs w:val="22"/>
              </w:rPr>
            </w:pPr>
            <w:r>
              <w:rPr>
                <w:rFonts w:ascii="Garamond" w:hAnsi="Garamond" w:eastAsia="Garamond" w:cs="Garamond"/>
                <w:sz w:val="22"/>
                <w:szCs w:val="22"/>
              </w:rPr>
              <w:t>CSV text file of community vulnerability</w:t>
            </w:r>
          </w:p>
        </w:tc>
        <w:tc>
          <w:tcPr>
            <w:tcW w:w="1193" w:type="dxa"/>
            <w:tcBorders>
              <w:top w:val="single" w:color="000000" w:themeColor="text1" w:sz="4" w:space="0"/>
            </w:tcBorders>
            <w:tcMar>
              <w:left w:w="105" w:type="dxa"/>
              <w:right w:w="105" w:type="dxa"/>
            </w:tcMar>
            <w:vAlign w:val="center"/>
          </w:tcPr>
          <w:p w:rsidR="00060C16" w:rsidRDefault="00671E79" w14:paraId="50F68CF4" w14:textId="77777777">
            <w:pPr>
              <w:jc w:val="center"/>
              <w:rPr>
                <w:rFonts w:ascii="Garamond" w:hAnsi="Garamond" w:eastAsia="Garamond" w:cs="Garamond"/>
                <w:sz w:val="22"/>
                <w:szCs w:val="22"/>
              </w:rPr>
            </w:pPr>
            <w:r>
              <w:rPr>
                <w:rFonts w:ascii="Garamond" w:hAnsi="Garamond" w:eastAsia="Garamond" w:cs="Garamond"/>
                <w:sz w:val="22"/>
                <w:szCs w:val="22"/>
              </w:rPr>
              <w:t>2016–2020</w:t>
            </w:r>
          </w:p>
        </w:tc>
      </w:tr>
      <w:tr w:rsidR="00060C16" w:rsidTr="6DEE4987" w14:paraId="3D7A3155" w14:textId="77777777">
        <w:trPr>
          <w:trHeight w:val="300"/>
        </w:trPr>
        <w:tc>
          <w:tcPr>
            <w:tcW w:w="2160" w:type="dxa"/>
            <w:tcMar>
              <w:left w:w="105" w:type="dxa"/>
              <w:right w:w="105" w:type="dxa"/>
            </w:tcMar>
            <w:vAlign w:val="center"/>
          </w:tcPr>
          <w:p w:rsidR="00060C16" w:rsidRDefault="00671E79" w14:paraId="5DE3E12A" w14:textId="77777777">
            <w:pPr>
              <w:jc w:val="center"/>
              <w:rPr>
                <w:rFonts w:ascii="Garamond" w:hAnsi="Garamond" w:eastAsia="Garamond" w:cs="Garamond"/>
                <w:sz w:val="22"/>
                <w:szCs w:val="22"/>
              </w:rPr>
            </w:pPr>
            <w:r>
              <w:rPr>
                <w:rFonts w:ascii="Garamond" w:hAnsi="Garamond" w:eastAsia="Garamond" w:cs="Garamond"/>
                <w:sz w:val="22"/>
                <w:szCs w:val="22"/>
              </w:rPr>
              <w:t>U.S. Census Bureau</w:t>
            </w:r>
          </w:p>
        </w:tc>
        <w:tc>
          <w:tcPr>
            <w:tcW w:w="3120" w:type="dxa"/>
            <w:tcMar>
              <w:left w:w="105" w:type="dxa"/>
              <w:right w:w="105" w:type="dxa"/>
            </w:tcMar>
            <w:vAlign w:val="center"/>
          </w:tcPr>
          <w:p w:rsidR="00060C16" w:rsidRDefault="00671E79" w14:paraId="0A41E34D" w14:textId="77777777">
            <w:pPr>
              <w:jc w:val="center"/>
              <w:rPr>
                <w:rFonts w:ascii="Garamond" w:hAnsi="Garamond" w:eastAsia="Garamond" w:cs="Garamond"/>
                <w:sz w:val="22"/>
                <w:szCs w:val="22"/>
              </w:rPr>
            </w:pPr>
            <w:r>
              <w:rPr>
                <w:rFonts w:ascii="Garamond" w:hAnsi="Garamond" w:eastAsia="Garamond" w:cs="Garamond"/>
                <w:sz w:val="22"/>
                <w:szCs w:val="22"/>
              </w:rPr>
              <w:t>California Census Tracts 2020</w:t>
            </w:r>
          </w:p>
        </w:tc>
        <w:tc>
          <w:tcPr>
            <w:tcW w:w="2887" w:type="dxa"/>
            <w:tcMar>
              <w:left w:w="105" w:type="dxa"/>
              <w:right w:w="105" w:type="dxa"/>
            </w:tcMar>
            <w:vAlign w:val="center"/>
          </w:tcPr>
          <w:p w:rsidR="00060C16" w:rsidRDefault="00671E79" w14:paraId="1CB9A8B0" w14:textId="77777777">
            <w:pPr>
              <w:jc w:val="center"/>
              <w:rPr>
                <w:rFonts w:ascii="Garamond" w:hAnsi="Garamond" w:eastAsia="Garamond" w:cs="Garamond"/>
                <w:sz w:val="22"/>
                <w:szCs w:val="22"/>
              </w:rPr>
            </w:pPr>
            <w:r>
              <w:rPr>
                <w:rFonts w:ascii="Garamond" w:hAnsi="Garamond" w:eastAsia="Garamond" w:cs="Garamond"/>
                <w:sz w:val="22"/>
                <w:szCs w:val="22"/>
              </w:rPr>
              <w:t>California census tract shapefile</w:t>
            </w:r>
          </w:p>
        </w:tc>
        <w:tc>
          <w:tcPr>
            <w:tcW w:w="1193" w:type="dxa"/>
            <w:tcMar>
              <w:left w:w="105" w:type="dxa"/>
              <w:right w:w="105" w:type="dxa"/>
            </w:tcMar>
            <w:vAlign w:val="center"/>
          </w:tcPr>
          <w:p w:rsidR="00060C16" w:rsidRDefault="00671E79" w14:paraId="198925C2" w14:textId="77777777">
            <w:pPr>
              <w:jc w:val="center"/>
              <w:rPr>
                <w:rFonts w:ascii="Garamond" w:hAnsi="Garamond" w:eastAsia="Garamond" w:cs="Garamond"/>
                <w:sz w:val="22"/>
                <w:szCs w:val="22"/>
              </w:rPr>
            </w:pPr>
            <w:r>
              <w:rPr>
                <w:rFonts w:ascii="Garamond" w:hAnsi="Garamond" w:eastAsia="Garamond" w:cs="Garamond"/>
                <w:sz w:val="22"/>
                <w:szCs w:val="22"/>
              </w:rPr>
              <w:t>2020</w:t>
            </w:r>
          </w:p>
        </w:tc>
      </w:tr>
    </w:tbl>
    <w:p w:rsidR="00060C16" w:rsidP="185496FE" w:rsidRDefault="00060C16" w14:paraId="4AC6D0A7" w14:textId="0BE37E8A">
      <w:pPr>
        <w:pStyle w:val="Normal"/>
        <w:spacing w:after="0" w:line="240" w:lineRule="auto"/>
        <w:rPr>
          <w:rFonts w:ascii="Garamond" w:hAnsi="Garamond" w:eastAsia="Garamond" w:cs="Garamond"/>
          <w:color w:val="000000"/>
          <w:sz w:val="22"/>
          <w:szCs w:val="22"/>
        </w:rPr>
      </w:pPr>
    </w:p>
    <w:p w:rsidR="00060C16" w:rsidRDefault="00671E79" w14:paraId="483F6F28" w14:textId="77777777">
      <w:pPr>
        <w:spacing w:after="0" w:line="240" w:lineRule="auto"/>
        <w:rPr>
          <w:rFonts w:ascii="Garamond" w:hAnsi="Garamond" w:eastAsia="Garamond" w:cs="Garamond"/>
          <w:b/>
          <w:color w:val="000000"/>
          <w:sz w:val="22"/>
          <w:szCs w:val="22"/>
        </w:rPr>
      </w:pPr>
      <w:r>
        <w:rPr>
          <w:rFonts w:ascii="Garamond" w:hAnsi="Garamond" w:eastAsia="Garamond" w:cs="Garamond"/>
          <w:b/>
          <w:color w:val="000000"/>
          <w:sz w:val="22"/>
          <w:szCs w:val="22"/>
        </w:rPr>
        <w:t>3.2 Data Processing</w:t>
      </w:r>
    </w:p>
    <w:p w:rsidR="00060C16" w:rsidRDefault="00060C16" w14:paraId="44983F3A" w14:textId="77777777">
      <w:pPr>
        <w:spacing w:after="0" w:line="240" w:lineRule="auto"/>
        <w:rPr>
          <w:rFonts w:ascii="Garamond" w:hAnsi="Garamond" w:eastAsia="Garamond" w:cs="Garamond"/>
          <w:b/>
          <w:color w:val="000000"/>
          <w:sz w:val="22"/>
          <w:szCs w:val="22"/>
        </w:rPr>
      </w:pPr>
    </w:p>
    <w:p w:rsidR="00060C16" w:rsidRDefault="00671E79" w14:paraId="1FBE6AEA"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 xml:space="preserve">3.2.1 Land Surface Temperature Processing </w:t>
      </w:r>
    </w:p>
    <w:p w:rsidR="00060C16" w:rsidRDefault="00671E79" w14:paraId="67185A7D" w14:textId="414E8D35">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Once we imported the Landsat 8 TIRS data, we set filter dates for the image collection to July 1 through August 31, during the 2012 – 2023 </w:t>
      </w:r>
      <w:r w:rsidRPr="6DEE4987" w:rsidR="00671E79">
        <w:rPr>
          <w:rFonts w:ascii="Garamond" w:hAnsi="Garamond" w:eastAsia="Garamond" w:cs="Garamond"/>
          <w:color w:val="000000" w:themeColor="text1" w:themeTint="FF" w:themeShade="FF"/>
          <w:sz w:val="22"/>
          <w:szCs w:val="22"/>
        </w:rPr>
        <w:t>timeframe</w:t>
      </w:r>
      <w:r w:rsidRPr="6DEE4987" w:rsidR="00671E79">
        <w:rPr>
          <w:rFonts w:ascii="Garamond" w:hAnsi="Garamond" w:eastAsia="Garamond" w:cs="Garamond"/>
          <w:color w:val="000000" w:themeColor="text1" w:themeTint="FF" w:themeShade="FF"/>
          <w:sz w:val="22"/>
          <w:szCs w:val="22"/>
        </w:rPr>
        <w:t xml:space="preserve">, to potentially capture the hottest days and avoid cloud coverage. To obtain </w:t>
      </w:r>
      <w:r w:rsidRPr="6DEE4987" w:rsidR="00671E79">
        <w:rPr>
          <w:rFonts w:ascii="Garamond" w:hAnsi="Garamond" w:eastAsia="Garamond" w:cs="Garamond"/>
          <w:color w:val="000000" w:themeColor="text1" w:themeTint="FF" w:themeShade="FF"/>
          <w:sz w:val="22"/>
          <w:szCs w:val="22"/>
        </w:rPr>
        <w:t>accurate</w:t>
      </w:r>
      <w:r w:rsidRPr="6DEE4987" w:rsidR="00671E79">
        <w:rPr>
          <w:rFonts w:ascii="Garamond" w:hAnsi="Garamond" w:eastAsia="Garamond" w:cs="Garamond"/>
          <w:color w:val="000000" w:themeColor="text1" w:themeTint="FF" w:themeShade="FF"/>
          <w:sz w:val="22"/>
          <w:szCs w:val="22"/>
        </w:rPr>
        <w:t xml:space="preserve"> surface temperature data, we also filtered the image collection with a cloud mask so that each image contained </w:t>
      </w:r>
      <w:r w:rsidRPr="6DEE4987" w:rsidR="1A733C92">
        <w:rPr>
          <w:rFonts w:ascii="Garamond" w:hAnsi="Garamond" w:eastAsia="Garamond" w:cs="Garamond"/>
          <w:color w:val="000000" w:themeColor="text1" w:themeTint="FF" w:themeShade="FF"/>
          <w:sz w:val="22"/>
          <w:szCs w:val="22"/>
        </w:rPr>
        <w:t>&lt; 20</w:t>
      </w:r>
      <w:r w:rsidRPr="6DEE4987" w:rsidR="1A733C92">
        <w:rPr>
          <w:rFonts w:ascii="Garamond" w:hAnsi="Garamond" w:eastAsia="Garamond" w:cs="Garamond"/>
          <w:color w:val="000000" w:themeColor="text1" w:themeTint="FF" w:themeShade="FF"/>
          <w:sz w:val="22"/>
          <w:szCs w:val="22"/>
        </w:rPr>
        <w:t xml:space="preserve">% </w:t>
      </w:r>
      <w:r w:rsidRPr="6DEE4987" w:rsidR="00671E79">
        <w:rPr>
          <w:rFonts w:ascii="Garamond" w:hAnsi="Garamond" w:eastAsia="Garamond" w:cs="Garamond"/>
          <w:color w:val="000000" w:themeColor="text1" w:themeTint="FF" w:themeShade="FF"/>
          <w:sz w:val="22"/>
          <w:szCs w:val="22"/>
        </w:rPr>
        <w:t xml:space="preserve"> cloud</w:t>
      </w:r>
      <w:r w:rsidRPr="6DEE4987" w:rsidR="00671E79">
        <w:rPr>
          <w:rFonts w:ascii="Garamond" w:hAnsi="Garamond" w:eastAsia="Garamond" w:cs="Garamond"/>
          <w:color w:val="000000" w:themeColor="text1" w:themeTint="FF" w:themeShade="FF"/>
          <w:sz w:val="22"/>
          <w:szCs w:val="22"/>
        </w:rPr>
        <w:t xml:space="preserve"> cover. Finally, we clipped the satellite image to only cover San Joaquin County and applied the </w:t>
      </w:r>
      <w:r w:rsidRPr="6DEE4987" w:rsidR="71325544">
        <w:rPr>
          <w:rFonts w:ascii="Garamond" w:hAnsi="Garamond" w:eastAsia="Garamond" w:cs="Garamond"/>
          <w:color w:val="000000" w:themeColor="text1" w:themeTint="FF" w:themeShade="FF"/>
          <w:sz w:val="22"/>
          <w:szCs w:val="22"/>
        </w:rPr>
        <w:t xml:space="preserve">Landsat 8 </w:t>
      </w:r>
      <w:r w:rsidRPr="6DEE4987" w:rsidR="00671E79">
        <w:rPr>
          <w:rFonts w:ascii="Garamond" w:hAnsi="Garamond" w:eastAsia="Garamond" w:cs="Garamond"/>
          <w:color w:val="000000" w:themeColor="text1" w:themeTint="FF" w:themeShade="FF"/>
          <w:sz w:val="22"/>
          <w:szCs w:val="22"/>
        </w:rPr>
        <w:t>TIRS</w:t>
      </w:r>
      <w:r w:rsidRPr="6DEE4987" w:rsidR="00671E79">
        <w:rPr>
          <w:rFonts w:ascii="Garamond" w:hAnsi="Garamond" w:eastAsia="Garamond" w:cs="Garamond"/>
          <w:color w:val="000000" w:themeColor="text1" w:themeTint="FF" w:themeShade="FF"/>
          <w:sz w:val="22"/>
          <w:szCs w:val="22"/>
        </w:rPr>
        <w:t xml:space="preserve"> to portray the average LST of our study area. We also used a scale factor so that the image could be interpreted in terms of degrees Celsius. After we finalized the average LST</w:t>
      </w:r>
      <w:r w:rsidRPr="6DEE4987" w:rsidR="00671E79">
        <w:rPr>
          <w:rFonts w:ascii="Garamond" w:hAnsi="Garamond" w:eastAsia="Garamond" w:cs="Garamond"/>
          <w:color w:val="000000" w:themeColor="text1" w:themeTint="FF" w:themeShade="FF"/>
          <w:sz w:val="22"/>
          <w:szCs w:val="22"/>
        </w:rPr>
        <w:t xml:space="preserve"> map with</w:t>
      </w:r>
      <w:r w:rsidRPr="6DEE4987" w:rsidR="00671E79">
        <w:rPr>
          <w:rFonts w:ascii="Garamond" w:hAnsi="Garamond" w:eastAsia="Garamond" w:cs="Garamond"/>
          <w:color w:val="000000" w:themeColor="text1" w:themeTint="FF" w:themeShade="FF"/>
          <w:sz w:val="22"/>
          <w:szCs w:val="22"/>
        </w:rPr>
        <w:t>in GEE, we exported the map to ArcGIS Pro as a TIFF file. We used the zonal statistics tool to combine the LST map with the county census tract shapefile to create average LST values per San Joaquin County census tract.</w:t>
      </w:r>
    </w:p>
    <w:p w:rsidR="00060C16" w:rsidRDefault="00060C16" w14:paraId="2C545231" w14:textId="77777777">
      <w:pPr>
        <w:spacing w:after="0" w:line="240" w:lineRule="auto"/>
        <w:rPr>
          <w:rFonts w:ascii="Garamond" w:hAnsi="Garamond" w:eastAsia="Garamond" w:cs="Garamond"/>
          <w:color w:val="000000"/>
          <w:sz w:val="22"/>
          <w:szCs w:val="22"/>
        </w:rPr>
      </w:pPr>
    </w:p>
    <w:p w:rsidR="00060C16" w:rsidRDefault="00060C16" w14:paraId="39E1E10A" w14:textId="77777777">
      <w:pPr>
        <w:spacing w:after="0" w:line="240" w:lineRule="auto"/>
        <w:rPr>
          <w:rFonts w:ascii="Garamond" w:hAnsi="Garamond" w:eastAsia="Garamond" w:cs="Garamond"/>
          <w:color w:val="000000"/>
          <w:sz w:val="22"/>
          <w:szCs w:val="22"/>
        </w:rPr>
      </w:pPr>
    </w:p>
    <w:p w:rsidR="00060C16" w:rsidRDefault="00671E79" w14:paraId="2983222A" w14:textId="77777777">
      <w:pPr>
        <w:spacing w:after="0" w:line="240" w:lineRule="auto"/>
        <w:rPr>
          <w:rFonts w:ascii="Garamond" w:hAnsi="Garamond" w:eastAsia="Garamond" w:cs="Garamond"/>
          <w:color w:val="000000"/>
          <w:sz w:val="22"/>
          <w:szCs w:val="22"/>
        </w:rPr>
      </w:pPr>
      <w:r>
        <w:rPr>
          <w:rFonts w:ascii="Garamond" w:hAnsi="Garamond" w:eastAsia="Garamond" w:cs="Garamond"/>
          <w:i/>
          <w:color w:val="000000"/>
          <w:sz w:val="22"/>
          <w:szCs w:val="22"/>
        </w:rPr>
        <w:t>3.2.2 Processing for Normalized Difference Vegetation Index</w:t>
      </w:r>
    </w:p>
    <w:p w:rsidR="6DEE4987" w:rsidP="185496FE" w:rsidRDefault="6DEE4987" w14:paraId="3F3443C0" w14:textId="47C52BFE">
      <w:pPr>
        <w:spacing w:after="0" w:line="240" w:lineRule="auto"/>
        <w:rPr>
          <w:rFonts w:ascii="Garamond" w:hAnsi="Garamond" w:eastAsia="Garamond" w:cs="Garamond"/>
          <w:color w:val="000000" w:themeColor="text1" w:themeTint="FF" w:themeShade="FF"/>
          <w:sz w:val="22"/>
          <w:szCs w:val="22"/>
        </w:rPr>
      </w:pPr>
      <w:r w:rsidRPr="185496FE" w:rsidR="00671E79">
        <w:rPr>
          <w:rFonts w:ascii="Garamond" w:hAnsi="Garamond" w:eastAsia="Garamond" w:cs="Garamond"/>
          <w:color w:val="000000" w:themeColor="text1" w:themeTint="FF" w:themeShade="FF"/>
          <w:sz w:val="22"/>
          <w:szCs w:val="22"/>
        </w:rPr>
        <w:t xml:space="preserve">We used GEE to extract vegetation within the San Joaquin County from Landsat 8 </w:t>
      </w:r>
      <w:r w:rsidRPr="185496FE" w:rsidR="00671E79">
        <w:rPr>
          <w:rFonts w:ascii="Garamond" w:hAnsi="Garamond" w:eastAsia="Garamond" w:cs="Garamond"/>
          <w:color w:val="000000" w:themeColor="text1" w:themeTint="FF" w:themeShade="FF"/>
          <w:sz w:val="22"/>
          <w:szCs w:val="22"/>
        </w:rPr>
        <w:t>OLI</w:t>
      </w:r>
      <w:r w:rsidRPr="185496FE" w:rsidR="00671E79">
        <w:rPr>
          <w:rFonts w:ascii="Garamond" w:hAnsi="Garamond" w:eastAsia="Garamond" w:cs="Garamond"/>
          <w:color w:val="000000" w:themeColor="text1" w:themeTint="FF" w:themeShade="FF"/>
          <w:sz w:val="22"/>
          <w:szCs w:val="22"/>
        </w:rPr>
        <w:t>data</w:t>
      </w:r>
      <w:r w:rsidRPr="185496FE" w:rsidR="00671E79">
        <w:rPr>
          <w:rFonts w:ascii="Garamond" w:hAnsi="Garamond" w:eastAsia="Garamond" w:cs="Garamond"/>
          <w:color w:val="000000" w:themeColor="text1" w:themeTint="FF" w:themeShade="FF"/>
          <w:sz w:val="22"/>
          <w:szCs w:val="22"/>
        </w:rPr>
        <w:t xml:space="preserve">. We began by filtering images that correlated to our study period of 2012 to 2022 from </w:t>
      </w:r>
      <w:r w:rsidRPr="185496FE" w:rsidR="00671E79">
        <w:rPr>
          <w:rFonts w:ascii="Garamond" w:hAnsi="Garamond" w:eastAsia="Garamond" w:cs="Garamond"/>
          <w:color w:val="000000" w:themeColor="text1" w:themeTint="FF" w:themeShade="FF"/>
          <w:sz w:val="22"/>
          <w:szCs w:val="22"/>
        </w:rPr>
        <w:t xml:space="preserve">July </w:t>
      </w:r>
      <w:r w:rsidRPr="185496FE" w:rsidR="1FD78FA3">
        <w:rPr>
          <w:rFonts w:ascii="Garamond" w:hAnsi="Garamond" w:eastAsia="Garamond" w:cs="Garamond"/>
          <w:color w:val="000000" w:themeColor="text1" w:themeTint="FF" w:themeShade="FF"/>
          <w:sz w:val="22"/>
          <w:szCs w:val="22"/>
        </w:rPr>
        <w:t xml:space="preserve">1 </w:t>
      </w:r>
      <w:r w:rsidRPr="185496FE" w:rsidR="00671E79">
        <w:rPr>
          <w:rFonts w:ascii="Garamond" w:hAnsi="Garamond" w:eastAsia="Garamond" w:cs="Garamond"/>
          <w:color w:val="000000" w:themeColor="text1" w:themeTint="FF" w:themeShade="FF"/>
          <w:sz w:val="22"/>
          <w:szCs w:val="22"/>
        </w:rPr>
        <w:t>to August</w:t>
      </w:r>
      <w:r w:rsidRPr="185496FE" w:rsidR="2DA1B29D">
        <w:rPr>
          <w:rFonts w:ascii="Garamond" w:hAnsi="Garamond" w:eastAsia="Garamond" w:cs="Garamond"/>
          <w:color w:val="000000" w:themeColor="text1" w:themeTint="FF" w:themeShade="FF"/>
          <w:sz w:val="22"/>
          <w:szCs w:val="22"/>
        </w:rPr>
        <w:t xml:space="preserve"> 31</w:t>
      </w:r>
      <w:r w:rsidRPr="185496FE" w:rsidR="00671E79">
        <w:rPr>
          <w:rFonts w:ascii="Garamond" w:hAnsi="Garamond" w:eastAsia="Garamond" w:cs="Garamond"/>
          <w:color w:val="000000" w:themeColor="text1" w:themeTint="FF" w:themeShade="FF"/>
          <w:sz w:val="22"/>
          <w:szCs w:val="22"/>
        </w:rPr>
        <w:t xml:space="preserve"> Next, images with cloud coverage &gt;</w:t>
      </w:r>
      <w:r w:rsidRPr="185496FE" w:rsidR="1E703E6F">
        <w:rPr>
          <w:rFonts w:ascii="Garamond" w:hAnsi="Garamond" w:eastAsia="Garamond" w:cs="Garamond"/>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1</w:t>
      </w:r>
      <w:r w:rsidRPr="185496FE" w:rsidR="26CDB913">
        <w:rPr>
          <w:rFonts w:ascii="Garamond" w:hAnsi="Garamond" w:eastAsia="Garamond" w:cs="Garamond"/>
          <w:color w:val="000000" w:themeColor="text1" w:themeTint="FF" w:themeShade="FF"/>
          <w:sz w:val="22"/>
          <w:szCs w:val="22"/>
        </w:rPr>
        <w:t>%</w:t>
      </w:r>
      <w:r w:rsidRPr="185496FE" w:rsidR="00671E79">
        <w:rPr>
          <w:rFonts w:ascii="Garamond" w:hAnsi="Garamond" w:eastAsia="Garamond" w:cs="Garamond"/>
          <w:color w:val="000000" w:themeColor="text1" w:themeTint="FF" w:themeShade="FF"/>
          <w:sz w:val="22"/>
          <w:szCs w:val="22"/>
        </w:rPr>
        <w:t xml:space="preserve"> were removed using GEE. We then clipped the raster image to our study bounds of San Joaquin County using a shapefile from the Stockton GIS data catalogue. Once these steps were </w:t>
      </w:r>
      <w:r w:rsidRPr="185496FE" w:rsidR="00671E79">
        <w:rPr>
          <w:rFonts w:ascii="Garamond" w:hAnsi="Garamond" w:eastAsia="Garamond" w:cs="Garamond"/>
          <w:color w:val="000000" w:themeColor="text1" w:themeTint="FF" w:themeShade="FF"/>
          <w:sz w:val="22"/>
          <w:szCs w:val="22"/>
        </w:rPr>
        <w:t xml:space="preserve">completed, we used </w:t>
      </w:r>
      <w:r w:rsidRPr="185496FE" w:rsidR="00671E79">
        <w:rPr>
          <w:rFonts w:ascii="Garamond" w:hAnsi="Garamond" w:eastAsia="Garamond" w:cs="Garamond"/>
          <w:i w:val="1"/>
          <w:iCs w:val="1"/>
          <w:color w:val="000000" w:themeColor="text1" w:themeTint="FF" w:themeShade="FF"/>
          <w:sz w:val="22"/>
          <w:szCs w:val="22"/>
        </w:rPr>
        <w:t>Equation 1</w:t>
      </w:r>
      <w:r w:rsidRPr="185496FE" w:rsidR="00671E79">
        <w:rPr>
          <w:rFonts w:ascii="Garamond" w:hAnsi="Garamond" w:eastAsia="Garamond" w:cs="Garamond"/>
          <w:b w:val="1"/>
          <w:bCs w:val="1"/>
          <w:i w:val="1"/>
          <w:iCs w:val="1"/>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to extract band values associated with vegetation. The final output produced a raster image with values ranging from –1, little to no vegetation, to 1, dense vegetation.</w:t>
      </w:r>
    </w:p>
    <w:p w:rsidR="185496FE" w:rsidP="185496FE" w:rsidRDefault="185496FE" w14:paraId="44C3D583" w14:textId="1AF75317">
      <w:pPr>
        <w:pStyle w:val="Normal"/>
        <w:spacing w:after="0" w:line="240" w:lineRule="auto"/>
        <w:rPr>
          <w:rFonts w:ascii="Garamond" w:hAnsi="Garamond" w:eastAsia="Garamond" w:cs="Garamond"/>
          <w:color w:val="000000" w:themeColor="text1" w:themeTint="FF" w:themeShade="FF"/>
          <w:sz w:val="22"/>
          <w:szCs w:val="22"/>
        </w:rPr>
      </w:pPr>
    </w:p>
    <w:p w:rsidR="00060C16" w:rsidP="185496FE" w:rsidRDefault="00671E79" w14:paraId="5136DC21" w14:textId="6D9E32DD">
      <w:pPr>
        <w:jc w:val="center"/>
        <w:rPr>
          <w:rFonts w:ascii="Garamond" w:hAnsi="Garamond" w:eastAsia="Garamond" w:cs="Garamond"/>
          <w:color w:val="000000" w:themeColor="text1" w:themeTint="FF" w:themeShade="FF"/>
          <w:sz w:val="22"/>
          <w:szCs w:val="22"/>
        </w:rPr>
      </w:pPr>
      <w:r w:rsidR="175BCAC8">
        <w:rPr/>
        <w:t xml:space="preserve">                              </w:t>
      </w:r>
      <m:oMathPara xmlns:m="http://schemas.openxmlformats.org/officeDocument/2006/math">
        <m:oMath>
          <m:r>
            <w:rPr xmlns:w="http://schemas.openxmlformats.org/wordprocessingml/2006/main">
              <w:rFonts w:ascii="Cambria Math" w:hAnsi="Cambria Math" w:eastAsia="Cambria Math" w:cs="Cambria Math"/>
              <w:color w:val="000000"/>
              <w:sz w:val="22"/>
              <w:szCs w:val="22"/>
            </w:rPr>
            <m:t>NDVI=</m:t>
          </m:r>
          <m:f>
            <m:fPr>
              <m:ctrlPr>
                <w:rPr xmlns:w="http://schemas.openxmlformats.org/wordprocessingml/2006/main">
                  <w:rFonts w:ascii="Cambria Math" w:hAnsi="Cambria Math" w:eastAsia="Cambria Math" w:cs="Cambria Math"/>
                  <w:color w:val="000000"/>
                  <w:sz w:val="22"/>
                  <w:szCs w:val="22"/>
                </w:rPr>
              </m:ctrlPr>
            </m:fPr>
            <m:num>
              <m:r>
                <w:rPr xmlns:w="http://schemas.openxmlformats.org/wordprocessingml/2006/main">
                  <w:rFonts w:ascii="Cambria Math" w:hAnsi="Cambria Math" w:eastAsia="Cambria Math" w:cs="Cambria Math"/>
                  <w:color w:val="000000"/>
                  <w:sz w:val="22"/>
                  <w:szCs w:val="22"/>
                </w:rPr>
                <m:t>RED-NIR</m:t>
              </m:r>
            </m:num>
            <m:den>
              <m:r>
                <w:rPr xmlns:w="http://schemas.openxmlformats.org/wordprocessingml/2006/main">
                  <w:rFonts w:ascii="Cambria Math" w:hAnsi="Cambria Math" w:eastAsia="Cambria Math" w:cs="Cambria Math"/>
                  <w:color w:val="000000"/>
                  <w:sz w:val="22"/>
                  <w:szCs w:val="22"/>
                </w:rPr>
                <m:t>RED+NIR</m:t>
              </m:r>
            </m:den>
          </m:f>
        </m:oMath>
      </m:oMathPara>
      <w:r w:rsidR="7623EA4D">
        <w:rPr/>
        <w:t xml:space="preserve">                                           </w:t>
      </w:r>
      <w:r w:rsidR="7F5F6835">
        <w:rPr/>
        <w:t xml:space="preserve">                   </w:t>
      </w:r>
      <w:r w:rsidRPr="6DEE4987" w:rsidR="7623EA4D">
        <w:rPr>
          <w:rFonts w:ascii="Garamond" w:hAnsi="Garamond" w:eastAsia="Garamond" w:cs="Garamond"/>
          <w:color w:val="000000" w:themeColor="text1" w:themeTint="FF" w:themeShade="FF"/>
          <w:sz w:val="22"/>
          <w:szCs w:val="22"/>
          <w:lang w:eastAsia="en-US" w:bidi="ar-SA"/>
        </w:rPr>
        <w:t>Equation 1</w:t>
      </w:r>
    </w:p>
    <w:p w:rsidR="00060C16" w:rsidRDefault="00671E79" w14:paraId="3007940C" w14:textId="52222CC7">
      <w:pPr>
        <w:jc w:val="center"/>
        <w:rPr>
          <w:rFonts w:ascii="Garamond" w:hAnsi="Garamond" w:eastAsia="Garamond" w:cs="Garamond"/>
          <w:color w:val="000000"/>
          <w:sz w:val="22"/>
          <w:szCs w:val="22"/>
        </w:rPr>
      </w:pPr>
      <w:r w:rsidRPr="185496FE" w:rsidR="00671E79">
        <w:rPr>
          <w:rFonts w:ascii="Garamond" w:hAnsi="Garamond" w:eastAsia="Garamond" w:cs="Garamond"/>
          <w:i w:val="1"/>
          <w:iCs w:val="1"/>
          <w:color w:val="000000" w:themeColor="text1" w:themeTint="FF" w:themeShade="FF"/>
          <w:sz w:val="22"/>
          <w:szCs w:val="22"/>
        </w:rPr>
        <w:t>Equation 1</w:t>
      </w:r>
      <w:r w:rsidRPr="185496FE" w:rsidR="00671E79">
        <w:rPr>
          <w:rFonts w:ascii="Garamond" w:hAnsi="Garamond" w:eastAsia="Garamond" w:cs="Garamond"/>
          <w:b w:val="1"/>
          <w:bCs w:val="1"/>
          <w:i w:val="1"/>
          <w:iCs w:val="1"/>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NDVI equation using red and near infrared bands.</w:t>
      </w:r>
    </w:p>
    <w:p w:rsidR="00060C16" w:rsidRDefault="00060C16" w14:paraId="2DC7646E" w14:textId="77777777">
      <w:pPr>
        <w:spacing w:after="0" w:line="240" w:lineRule="auto"/>
        <w:rPr>
          <w:rFonts w:ascii="Quattrocento Sans" w:hAnsi="Quattrocento Sans" w:eastAsia="Quattrocento Sans" w:cs="Quattrocento Sans"/>
          <w:b/>
          <w:color w:val="000000"/>
          <w:sz w:val="22"/>
          <w:szCs w:val="22"/>
        </w:rPr>
      </w:pPr>
    </w:p>
    <w:p w:rsidR="00060C16" w:rsidRDefault="00060C16" w14:paraId="5564A228" w14:textId="77777777">
      <w:pPr>
        <w:spacing w:after="0" w:line="240" w:lineRule="auto"/>
        <w:rPr>
          <w:rFonts w:ascii="Garamond" w:hAnsi="Garamond" w:eastAsia="Garamond" w:cs="Garamond"/>
          <w:color w:val="000000"/>
          <w:sz w:val="22"/>
          <w:szCs w:val="22"/>
        </w:rPr>
      </w:pPr>
    </w:p>
    <w:p w:rsidR="00060C16" w:rsidRDefault="00671E79" w14:paraId="10ADBC57" w14:textId="77777777">
      <w:pPr>
        <w:keepNext/>
        <w:spacing w:after="0" w:line="240" w:lineRule="auto"/>
      </w:pPr>
      <w:r>
        <w:rPr>
          <w:noProof/>
        </w:rPr>
        <w:drawing>
          <wp:inline distT="0" distB="0" distL="0" distR="0" wp14:anchorId="72254972" wp14:editId="1B7F8138">
            <wp:extent cx="2781300" cy="1930564"/>
            <wp:effectExtent l="0" t="0" r="0" b="0"/>
            <wp:docPr id="21055390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t="2325" b="3719"/>
                    <a:stretch>
                      <a:fillRect/>
                    </a:stretch>
                  </pic:blipFill>
                  <pic:spPr>
                    <a:xfrm>
                      <a:off x="0" y="0"/>
                      <a:ext cx="2781300" cy="1930564"/>
                    </a:xfrm>
                    <a:prstGeom prst="rect">
                      <a:avLst/>
                    </a:prstGeom>
                    <a:ln/>
                  </pic:spPr>
                </pic:pic>
              </a:graphicData>
            </a:graphic>
          </wp:inline>
        </w:drawing>
      </w:r>
      <w:r>
        <w:rPr>
          <w:noProof/>
        </w:rPr>
        <w:drawing>
          <wp:inline distT="0" distB="0" distL="0" distR="0" wp14:anchorId="058CFCEA" wp14:editId="0CCF5FFF">
            <wp:extent cx="3101228" cy="1865143"/>
            <wp:effectExtent l="0" t="0" r="0" b="0"/>
            <wp:docPr id="21055390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t="5188" b="2829"/>
                    <a:stretch>
                      <a:fillRect/>
                    </a:stretch>
                  </pic:blipFill>
                  <pic:spPr>
                    <a:xfrm>
                      <a:off x="0" y="0"/>
                      <a:ext cx="3101228" cy="1865143"/>
                    </a:xfrm>
                    <a:prstGeom prst="rect">
                      <a:avLst/>
                    </a:prstGeom>
                    <a:ln/>
                  </pic:spPr>
                </pic:pic>
              </a:graphicData>
            </a:graphic>
          </wp:inline>
        </w:drawing>
      </w:r>
    </w:p>
    <w:p w:rsidR="00060C16" w:rsidRDefault="00060C16" w14:paraId="741F06FB" w14:textId="77777777">
      <w:pPr>
        <w:keepNext/>
        <w:spacing w:after="0" w:line="240" w:lineRule="auto"/>
        <w:rPr>
          <w:rFonts w:ascii="Garamond" w:hAnsi="Garamond" w:eastAsia="Garamond" w:cs="Garamond"/>
          <w:color w:val="000000"/>
          <w:sz w:val="22"/>
          <w:szCs w:val="22"/>
        </w:rPr>
      </w:pPr>
    </w:p>
    <w:p w:rsidR="00060C16" w:rsidRDefault="00671E79" w14:paraId="655BBFEC" w14:textId="77777777">
      <w:pPr>
        <w:keepNext/>
        <w:spacing w:after="0" w:line="240" w:lineRule="auto"/>
        <w:jc w:val="center"/>
        <w:rPr>
          <w:rFonts w:ascii="Garamond" w:hAnsi="Garamond" w:eastAsia="Garamond" w:cs="Garamond"/>
          <w:color w:val="000000"/>
          <w:sz w:val="22"/>
          <w:szCs w:val="22"/>
        </w:rPr>
      </w:pPr>
      <w:r>
        <w:rPr>
          <w:rFonts w:ascii="Garamond" w:hAnsi="Garamond" w:eastAsia="Garamond" w:cs="Garamond"/>
          <w:i/>
          <w:sz w:val="22"/>
          <w:szCs w:val="22"/>
        </w:rPr>
        <w:t>Figure 2.</w:t>
      </w:r>
      <w:r>
        <w:rPr>
          <w:rFonts w:ascii="Garamond" w:hAnsi="Garamond" w:eastAsia="Garamond" w:cs="Garamond"/>
          <w:i/>
          <w:color w:val="1F497D"/>
          <w:sz w:val="22"/>
          <w:szCs w:val="22"/>
        </w:rPr>
        <w:t xml:space="preserve"> </w:t>
      </w:r>
      <w:r>
        <w:rPr>
          <w:rFonts w:ascii="Garamond" w:hAnsi="Garamond" w:eastAsia="Garamond" w:cs="Garamond"/>
          <w:sz w:val="22"/>
          <w:szCs w:val="22"/>
        </w:rPr>
        <w:t>This</w:t>
      </w:r>
      <w:r>
        <w:rPr>
          <w:rFonts w:ascii="Garamond" w:hAnsi="Garamond" w:eastAsia="Garamond" w:cs="Garamond"/>
          <w:color w:val="1F497D"/>
          <w:sz w:val="22"/>
          <w:szCs w:val="22"/>
        </w:rPr>
        <w:t xml:space="preserve"> </w:t>
      </w:r>
      <w:r>
        <w:rPr>
          <w:rFonts w:ascii="Garamond" w:hAnsi="Garamond" w:eastAsia="Garamond" w:cs="Garamond"/>
          <w:color w:val="000000"/>
          <w:sz w:val="22"/>
          <w:szCs w:val="22"/>
        </w:rPr>
        <w:t>is a cloud-masked mean LST (left) and NDVI (right) image clipped to the San Joaquin County study boundary for the period July 1 – August 31.</w:t>
      </w:r>
    </w:p>
    <w:p w:rsidR="00060C16" w:rsidRDefault="00060C16" w14:paraId="0BDE9A94" w14:textId="77777777">
      <w:pPr>
        <w:keepNext/>
        <w:spacing w:after="0" w:line="240" w:lineRule="auto"/>
        <w:jc w:val="center"/>
        <w:rPr>
          <w:rFonts w:ascii="Garamond" w:hAnsi="Garamond" w:eastAsia="Garamond" w:cs="Garamond"/>
          <w:color w:val="000000"/>
          <w:sz w:val="22"/>
          <w:szCs w:val="22"/>
        </w:rPr>
      </w:pPr>
    </w:p>
    <w:p w:rsidR="00060C16" w:rsidRDefault="00671E79" w14:paraId="75DCCB12"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3.2.3 Processing for Social Vulnerability Index</w:t>
      </w:r>
    </w:p>
    <w:p w:rsidR="00060C16" w:rsidRDefault="00671E79" w14:paraId="3267714B"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We uploaded the social vulnerability variables from EPA’s </w:t>
      </w:r>
      <w:proofErr w:type="spellStart"/>
      <w:r>
        <w:rPr>
          <w:rFonts w:ascii="Garamond" w:hAnsi="Garamond" w:eastAsia="Garamond" w:cs="Garamond"/>
          <w:color w:val="000000"/>
          <w:sz w:val="22"/>
          <w:szCs w:val="22"/>
        </w:rPr>
        <w:t>EJScreen</w:t>
      </w:r>
      <w:proofErr w:type="spellEnd"/>
      <w:r>
        <w:rPr>
          <w:rFonts w:ascii="Garamond" w:hAnsi="Garamond" w:eastAsia="Garamond" w:cs="Garamond"/>
          <w:color w:val="000000"/>
          <w:sz w:val="22"/>
          <w:szCs w:val="22"/>
        </w:rPr>
        <w:t xml:space="preserve"> into Microsoft Excel. In another Excel sheet, we added our census data containing the GEOIDs for all the census tracts in SJC. We joined the demographic data with the geographic data using the GEOIDs as a common attribute field. Since some census tracts did not have any data and our calculation for the SVI required a complete data set, we filled all the empty fields with the average of each variable.</w:t>
      </w:r>
    </w:p>
    <w:p w:rsidR="00060C16" w:rsidRDefault="00060C16" w14:paraId="4572188C" w14:textId="77777777">
      <w:pPr>
        <w:spacing w:after="0" w:line="240" w:lineRule="auto"/>
        <w:rPr>
          <w:rFonts w:ascii="Garamond" w:hAnsi="Garamond" w:eastAsia="Garamond" w:cs="Garamond"/>
          <w:color w:val="000000"/>
          <w:sz w:val="22"/>
          <w:szCs w:val="22"/>
        </w:rPr>
      </w:pPr>
    </w:p>
    <w:p w:rsidR="00060C16" w:rsidRDefault="00671E79" w14:paraId="45248595"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3.2.4 Processing for Land Cover Classification</w:t>
      </w:r>
    </w:p>
    <w:p w:rsidR="00060C16" w:rsidRDefault="00671E79" w14:paraId="25256CFD" w14:textId="3C129E86">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sz w:val="22"/>
          <w:szCs w:val="22"/>
        </w:rPr>
        <w:t>To assess the dominant land cover type of south Stockton, we performed a supervised land cover</w:t>
      </w:r>
      <w:r w:rsidRPr="6DEE4987" w:rsidR="3218BAD3">
        <w:rPr>
          <w:rFonts w:ascii="Garamond" w:hAnsi="Garamond" w:eastAsia="Garamond" w:cs="Garamond"/>
          <w:sz w:val="22"/>
          <w:szCs w:val="22"/>
        </w:rPr>
        <w:t xml:space="preserve"> </w:t>
      </w:r>
      <w:r w:rsidRPr="6DEE4987" w:rsidR="00671E79">
        <w:rPr>
          <w:rFonts w:ascii="Garamond" w:hAnsi="Garamond" w:eastAsia="Garamond" w:cs="Garamond"/>
          <w:sz w:val="22"/>
          <w:szCs w:val="22"/>
        </w:rPr>
        <w:t xml:space="preserve">classification in ArcGIS Pro. We sourced 7 images from 2022 by the </w:t>
      </w:r>
      <w:r w:rsidRPr="6DEE4987" w:rsidR="00671E79">
        <w:rPr>
          <w:rFonts w:ascii="Garamond" w:hAnsi="Garamond" w:eastAsia="Garamond" w:cs="Garamond"/>
          <w:sz w:val="22"/>
          <w:szCs w:val="22"/>
        </w:rPr>
        <w:t>NAIP</w:t>
      </w:r>
      <w:r w:rsidRPr="6DEE4987" w:rsidR="00671E79">
        <w:rPr>
          <w:rFonts w:ascii="Garamond" w:hAnsi="Garamond" w:eastAsia="Garamond" w:cs="Garamond"/>
          <w:sz w:val="22"/>
          <w:szCs w:val="22"/>
        </w:rPr>
        <w:t xml:space="preserve"> of demogr</w:t>
      </w:r>
      <w:r w:rsidRPr="6DEE4987" w:rsidR="21926D91">
        <w:rPr>
          <w:rFonts w:ascii="Garamond" w:hAnsi="Garamond" w:eastAsia="Garamond" w:cs="Garamond"/>
          <w:sz w:val="22"/>
          <w:szCs w:val="22"/>
        </w:rPr>
        <w:t xml:space="preserve"> </w:t>
      </w:r>
      <w:r w:rsidRPr="6DEE4987" w:rsidR="00671E79">
        <w:rPr>
          <w:rFonts w:ascii="Garamond" w:hAnsi="Garamond" w:eastAsia="Garamond" w:cs="Garamond"/>
          <w:sz w:val="22"/>
          <w:szCs w:val="22"/>
        </w:rPr>
        <w:t xml:space="preserve">aphically distinct areas within Stockton and clipped them together to create a mosaic of images within the city boundary. Before classifying the imagery, we grouped pixels into segments to reduce errors and inaccuracies. To distinguish features more clearly, we changed the band combination to assign the red band to near infrared (Band 4), the green band to red (Band 1), and the blue to blue (Band 3). This allowed for training data to be more accurately assigned to their corresponding classes when segmented. We created seven distinct classes </w:t>
      </w:r>
      <w:r w:rsidRPr="6DEE4987" w:rsidR="00671E79">
        <w:rPr>
          <w:rFonts w:ascii="Garamond" w:hAnsi="Garamond" w:eastAsia="Garamond" w:cs="Garamond"/>
          <w:sz w:val="22"/>
          <w:szCs w:val="22"/>
        </w:rPr>
        <w:t>representing</w:t>
      </w:r>
      <w:r w:rsidRPr="6DEE4987" w:rsidR="00671E79">
        <w:rPr>
          <w:rFonts w:ascii="Garamond" w:hAnsi="Garamond" w:eastAsia="Garamond" w:cs="Garamond"/>
          <w:sz w:val="22"/>
          <w:szCs w:val="22"/>
        </w:rPr>
        <w:t xml:space="preserve"> water, wetlands, developed, canopy, agriculture, barren, and grass. Using the Training Samples Manager tool within ArcGIS Pro, we assigned a minimum of 10 training samples to each class before performing the classification. We used the K-Nearest Neighbor classification method, which uses proximity to other classes to </w:t>
      </w:r>
      <w:r w:rsidRPr="6DEE4987" w:rsidR="00671E79">
        <w:rPr>
          <w:rFonts w:ascii="Garamond" w:hAnsi="Garamond" w:eastAsia="Garamond" w:cs="Garamond"/>
          <w:sz w:val="22"/>
          <w:szCs w:val="22"/>
        </w:rPr>
        <w:t>determine</w:t>
      </w:r>
      <w:r w:rsidRPr="6DEE4987" w:rsidR="00671E79">
        <w:rPr>
          <w:rFonts w:ascii="Garamond" w:hAnsi="Garamond" w:eastAsia="Garamond" w:cs="Garamond"/>
          <w:sz w:val="22"/>
          <w:szCs w:val="22"/>
        </w:rPr>
        <w:t xml:space="preserve"> classification (Noi </w:t>
      </w:r>
      <w:r w:rsidRPr="6DEE4987" w:rsidR="7A994518">
        <w:rPr>
          <w:rFonts w:ascii="Garamond" w:hAnsi="Garamond" w:eastAsia="Garamond" w:cs="Garamond"/>
          <w:sz w:val="22"/>
          <w:szCs w:val="22"/>
        </w:rPr>
        <w:t>and</w:t>
      </w:r>
      <w:r w:rsidRPr="6DEE4987" w:rsidR="00671E79">
        <w:rPr>
          <w:rFonts w:ascii="Garamond" w:hAnsi="Garamond" w:eastAsia="Garamond" w:cs="Garamond"/>
          <w:sz w:val="22"/>
          <w:szCs w:val="22"/>
        </w:rPr>
        <w:t xml:space="preserve"> </w:t>
      </w:r>
      <w:r w:rsidRPr="6DEE4987" w:rsidR="00671E79">
        <w:rPr>
          <w:rFonts w:ascii="Garamond" w:hAnsi="Garamond" w:eastAsia="Garamond" w:cs="Garamond"/>
          <w:sz w:val="22"/>
          <w:szCs w:val="22"/>
        </w:rPr>
        <w:t>Kappas</w:t>
      </w:r>
      <w:r w:rsidRPr="6DEE4987" w:rsidR="00671E79">
        <w:rPr>
          <w:rFonts w:ascii="Garamond" w:hAnsi="Garamond" w:eastAsia="Garamond" w:cs="Garamond"/>
          <w:sz w:val="22"/>
          <w:szCs w:val="22"/>
        </w:rPr>
        <w:t>, 2017).</w:t>
      </w:r>
    </w:p>
    <w:p w:rsidR="00060C16" w:rsidRDefault="00060C16" w14:paraId="27D2E0CE" w14:textId="77777777">
      <w:pPr>
        <w:spacing w:after="0" w:line="240" w:lineRule="auto"/>
        <w:rPr>
          <w:rFonts w:ascii="Garamond" w:hAnsi="Garamond" w:eastAsia="Garamond" w:cs="Garamond"/>
          <w:sz w:val="22"/>
          <w:szCs w:val="22"/>
        </w:rPr>
      </w:pPr>
    </w:p>
    <w:p w:rsidR="00060C16" w:rsidRDefault="00671E79" w14:paraId="60070FD5" w14:textId="77777777">
      <w:pPr>
        <w:spacing w:after="0" w:line="240" w:lineRule="auto"/>
        <w:rPr>
          <w:rFonts w:ascii="Garamond" w:hAnsi="Garamond" w:eastAsia="Garamond" w:cs="Garamond"/>
          <w:sz w:val="22"/>
          <w:szCs w:val="22"/>
        </w:rPr>
      </w:pPr>
      <w:r>
        <w:rPr>
          <w:rFonts w:ascii="Garamond" w:hAnsi="Garamond" w:eastAsia="Garamond" w:cs="Garamond"/>
          <w:sz w:val="22"/>
          <w:szCs w:val="22"/>
        </w:rPr>
        <w:t xml:space="preserve">Once Stockton was classified, we extracted both the developed and canopy classes from the land cover raster to assess the individual land cover types. This was done by using the Summarize Raster tool in ArcGIS Pro to </w:t>
      </w:r>
      <w:r>
        <w:rPr>
          <w:rFonts w:ascii="Garamond" w:hAnsi="Garamond" w:eastAsia="Garamond" w:cs="Garamond"/>
          <w:sz w:val="22"/>
          <w:szCs w:val="22"/>
        </w:rPr>
        <w:lastRenderedPageBreak/>
        <w:t>display the pixel counts for each class within individual census tracts. We created a new column within the attribute table and divided the pixels of each class by the total number of pixels in each census tract to normalize the counts for each class. Finally, we visualized these values as a gradient of percentage of each land cover type within census tracts.</w:t>
      </w:r>
    </w:p>
    <w:p w:rsidR="00060C16" w:rsidRDefault="00671E79" w14:paraId="09F745C9"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  </w:t>
      </w:r>
    </w:p>
    <w:p w:rsidR="00060C16" w:rsidRDefault="00671E79" w14:paraId="6E3CD69B" w14:textId="77777777">
      <w:pPr>
        <w:spacing w:after="0" w:line="240" w:lineRule="auto"/>
        <w:rPr>
          <w:rFonts w:ascii="Garamond" w:hAnsi="Garamond" w:eastAsia="Garamond" w:cs="Garamond"/>
          <w:b/>
          <w:color w:val="000000"/>
          <w:sz w:val="22"/>
          <w:szCs w:val="22"/>
        </w:rPr>
      </w:pPr>
      <w:r>
        <w:rPr>
          <w:rFonts w:ascii="Garamond" w:hAnsi="Garamond" w:eastAsia="Garamond" w:cs="Garamond"/>
          <w:b/>
          <w:color w:val="000000"/>
          <w:sz w:val="22"/>
          <w:szCs w:val="22"/>
        </w:rPr>
        <w:t>3.3 Data Analysis</w:t>
      </w:r>
    </w:p>
    <w:p w:rsidR="00060C16" w:rsidRDefault="00060C16" w14:paraId="2F01E70E" w14:textId="77777777">
      <w:pPr>
        <w:spacing w:after="0" w:line="240" w:lineRule="auto"/>
        <w:rPr>
          <w:rFonts w:ascii="Garamond" w:hAnsi="Garamond" w:eastAsia="Garamond" w:cs="Garamond"/>
          <w:b/>
          <w:color w:val="000000"/>
          <w:sz w:val="22"/>
          <w:szCs w:val="22"/>
        </w:rPr>
      </w:pPr>
    </w:p>
    <w:p w:rsidR="00060C16" w:rsidRDefault="00671E79" w14:paraId="7709C98B"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3.3.1 Social Vulnerability Analysis</w:t>
      </w:r>
    </w:p>
    <w:p w:rsidR="00060C16" w:rsidP="006F766B" w:rsidRDefault="00671E79" w14:paraId="4D85C1F2" w14:textId="77777777">
      <w:pPr>
        <w:spacing w:after="0" w:line="240" w:lineRule="auto"/>
        <w:rPr>
          <w:rFonts w:ascii="Garamond" w:hAnsi="Garamond" w:eastAsia="Garamond" w:cs="Garamond"/>
          <w:color w:val="000000" w:themeColor="text1"/>
          <w:sz w:val="22"/>
          <w:szCs w:val="22"/>
        </w:rPr>
      </w:pPr>
      <w:r w:rsidRPr="006F766B">
        <w:rPr>
          <w:rFonts w:ascii="Garamond" w:hAnsi="Garamond" w:eastAsia="Garamond" w:cs="Garamond"/>
          <w:color w:val="000000" w:themeColor="text1"/>
          <w:sz w:val="22"/>
          <w:szCs w:val="22"/>
        </w:rPr>
        <w:t xml:space="preserve">Vulnerability is defined as a population’s exposure and sensitivity plus/minus their adaptive capacity (ARSET, n.d.). We used </w:t>
      </w:r>
      <w:proofErr w:type="spellStart"/>
      <w:r w:rsidRPr="006F766B">
        <w:rPr>
          <w:rFonts w:ascii="Garamond" w:hAnsi="Garamond" w:eastAsia="Garamond" w:cs="Garamond"/>
          <w:color w:val="000000" w:themeColor="text1"/>
          <w:sz w:val="22"/>
          <w:szCs w:val="22"/>
        </w:rPr>
        <w:t>EJScreen</w:t>
      </w:r>
      <w:proofErr w:type="spellEnd"/>
      <w:r w:rsidRPr="006F766B">
        <w:rPr>
          <w:rFonts w:ascii="Garamond" w:hAnsi="Garamond" w:eastAsia="Garamond" w:cs="Garamond"/>
          <w:color w:val="000000" w:themeColor="text1"/>
          <w:sz w:val="22"/>
          <w:szCs w:val="22"/>
        </w:rPr>
        <w:t xml:space="preserve"> data to find indicators of vulnerability, the same sociodemographic from the ancillary data, and quantified them through the creation of vulnerability indices. First, we acquired data sorted by census tract ID for our specific vulnerability indicators, and then ranked each value within a variable from lowest unit to highest. Using these ranked variables, we manipulated them into percentile ranks which were summed to create our final social vulnerability index (SVI). The higher the final SVI value is, the more susceptible an area is to environmental hazards. We visualized areas of low and high exposure by joining our vulnerability index to the SJC census tract shapefile and re-symbolized it using a choropleth map.</w:t>
      </w:r>
    </w:p>
    <w:p w:rsidR="00060C16" w:rsidRDefault="00060C16" w14:paraId="1F6E42D9" w14:textId="77777777">
      <w:pPr>
        <w:spacing w:after="0" w:line="240" w:lineRule="auto"/>
        <w:rPr>
          <w:rFonts w:ascii="Garamond" w:hAnsi="Garamond" w:eastAsia="Garamond" w:cs="Garamond"/>
          <w:color w:val="000000"/>
          <w:sz w:val="22"/>
          <w:szCs w:val="22"/>
        </w:rPr>
      </w:pPr>
    </w:p>
    <w:p w:rsidR="00060C16" w:rsidRDefault="00671E79" w14:paraId="640741D1" w14:textId="77777777">
      <w:pPr>
        <w:spacing w:after="0" w:line="240" w:lineRule="auto"/>
        <w:rPr>
          <w:rFonts w:ascii="Garamond" w:hAnsi="Garamond" w:eastAsia="Garamond" w:cs="Garamond"/>
          <w:color w:val="000000"/>
          <w:sz w:val="22"/>
          <w:szCs w:val="22"/>
        </w:rPr>
      </w:pPr>
      <w:r>
        <w:rPr>
          <w:rFonts w:ascii="Garamond" w:hAnsi="Garamond" w:eastAsia="Garamond" w:cs="Garamond"/>
          <w:i/>
          <w:color w:val="000000"/>
          <w:sz w:val="22"/>
          <w:szCs w:val="22"/>
        </w:rPr>
        <w:t xml:space="preserve">3.3.2 Vegetation and Temperature Correlation Analysis </w:t>
      </w:r>
    </w:p>
    <w:p w:rsidR="00060C16" w:rsidP="006F766B" w:rsidRDefault="00671E79" w14:paraId="0574D79B" w14:textId="77777777" w14:noSpellErr="1">
      <w:pPr>
        <w:spacing w:after="0" w:line="240" w:lineRule="auto"/>
        <w:rPr>
          <w:rFonts w:ascii="Garamond" w:hAnsi="Garamond" w:eastAsia="Garamond" w:cs="Garamond"/>
          <w:color w:val="000000" w:themeColor="text1"/>
          <w:sz w:val="22"/>
          <w:szCs w:val="22"/>
        </w:rPr>
      </w:pPr>
      <w:r w:rsidRPr="6DEE4987" w:rsidR="00671E79">
        <w:rPr>
          <w:rFonts w:ascii="Garamond" w:hAnsi="Garamond" w:eastAsia="Garamond" w:cs="Garamond"/>
          <w:color w:val="000000" w:themeColor="text1" w:themeTint="FF" w:themeShade="FF"/>
          <w:sz w:val="22"/>
          <w:szCs w:val="22"/>
        </w:rPr>
        <w:t>We uploaded both mean LST and NDVI raster images to ArcGIS Pro 3.2 along with the study area shapefile. To graph the correlation between LST and NDVI, we used the Fishnet tool to create a 100 by 100-point grid over the study area. All point values layered over the raster images were extracted using the Extract Multi Values to Point tool.</w:t>
      </w:r>
      <w:r w:rsidRPr="6DEE4987" w:rsidR="00671E79">
        <w:rPr>
          <w:rFonts w:ascii="Garamond" w:hAnsi="Garamond" w:eastAsia="Garamond" w:cs="Garamond"/>
          <w:color w:val="000000" w:themeColor="text1" w:themeTint="FF" w:themeShade="FF"/>
          <w:sz w:val="22"/>
          <w:szCs w:val="22"/>
        </w:rPr>
        <w:t xml:space="preserve"> </w:t>
      </w:r>
      <w:r w:rsidRPr="6DEE4987" w:rsidR="00671E79">
        <w:rPr>
          <w:rFonts w:ascii="Garamond" w:hAnsi="Garamond" w:eastAsia="Garamond" w:cs="Garamond"/>
          <w:color w:val="000000" w:themeColor="text1" w:themeTint="FF" w:themeShade="FF"/>
          <w:sz w:val="22"/>
          <w:szCs w:val="22"/>
        </w:rPr>
        <w:t xml:space="preserve">We extracted the associated value for each point data to display in the attribute table of the </w:t>
      </w:r>
      <w:r w:rsidRPr="6DEE4987" w:rsidR="00671E79">
        <w:rPr>
          <w:rFonts w:ascii="Garamond" w:hAnsi="Garamond" w:eastAsia="Garamond" w:cs="Garamond"/>
          <w:color w:val="000000" w:themeColor="text1" w:themeTint="FF" w:themeShade="FF"/>
          <w:sz w:val="22"/>
          <w:szCs w:val="22"/>
        </w:rPr>
        <w:t>previous</w:t>
      </w:r>
      <w:r w:rsidRPr="6DEE4987" w:rsidR="00671E79">
        <w:rPr>
          <w:rFonts w:ascii="Garamond" w:hAnsi="Garamond" w:eastAsia="Garamond" w:cs="Garamond"/>
          <w:color w:val="000000" w:themeColor="text1" w:themeTint="FF" w:themeShade="FF"/>
          <w:sz w:val="22"/>
          <w:szCs w:val="22"/>
        </w:rPr>
        <w:t xml:space="preserve"> output file</w:t>
      </w:r>
      <w:r w:rsidRPr="6DEE4987" w:rsidR="00671E79">
        <w:rPr>
          <w:rFonts w:ascii="Garamond" w:hAnsi="Garamond" w:eastAsia="Garamond" w:cs="Garamond"/>
          <w:color w:val="000000" w:themeColor="text1" w:themeTint="FF" w:themeShade="FF"/>
          <w:sz w:val="22"/>
          <w:szCs w:val="22"/>
        </w:rPr>
        <w:t xml:space="preserve">. Next, we filtered out values that were associated with water to not skew the regression line, using the Clip tool to extract only the points within the study area. We then graphed the data points onto a scatter plot in ArcGIS Pro and conducted a linear regression to </w:t>
      </w:r>
      <w:r w:rsidRPr="6DEE4987" w:rsidR="00671E79">
        <w:rPr>
          <w:rFonts w:ascii="Garamond" w:hAnsi="Garamond" w:eastAsia="Garamond" w:cs="Garamond"/>
          <w:color w:val="000000" w:themeColor="text1" w:themeTint="FF" w:themeShade="FF"/>
          <w:sz w:val="22"/>
          <w:szCs w:val="22"/>
        </w:rPr>
        <w:t>determine</w:t>
      </w:r>
      <w:r w:rsidRPr="6DEE4987" w:rsidR="00671E79">
        <w:rPr>
          <w:rFonts w:ascii="Garamond" w:hAnsi="Garamond" w:eastAsia="Garamond" w:cs="Garamond"/>
          <w:color w:val="000000" w:themeColor="text1" w:themeTint="FF" w:themeShade="FF"/>
          <w:sz w:val="22"/>
          <w:szCs w:val="22"/>
        </w:rPr>
        <w:t xml:space="preserve"> the correlation between these two variables.</w:t>
      </w:r>
    </w:p>
    <w:p w:rsidR="00060C16" w:rsidRDefault="00060C16" w14:paraId="6E7FFF44" w14:textId="77777777">
      <w:pPr>
        <w:spacing w:after="0" w:line="240" w:lineRule="auto"/>
        <w:rPr>
          <w:rFonts w:ascii="Garamond" w:hAnsi="Garamond" w:eastAsia="Garamond" w:cs="Garamond"/>
          <w:color w:val="000000"/>
          <w:sz w:val="22"/>
          <w:szCs w:val="22"/>
        </w:rPr>
      </w:pPr>
    </w:p>
    <w:p w:rsidR="00060C16" w:rsidRDefault="00671E79" w14:paraId="3F70C91E"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3.3.3 Air Quality Analysis</w:t>
      </w:r>
    </w:p>
    <w:p w:rsidR="00060C16" w:rsidRDefault="00671E79" w14:paraId="64E04FA6"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We recycled the previous team’s raster imagery, which was taken by Sentinel-5 TROPOMI, of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The raster displayed 95</w:t>
      </w:r>
      <w:r>
        <w:rPr>
          <w:rFonts w:ascii="Garamond" w:hAnsi="Garamond" w:eastAsia="Garamond" w:cs="Garamond"/>
          <w:color w:val="000000"/>
          <w:sz w:val="22"/>
          <w:szCs w:val="22"/>
          <w:vertAlign w:val="superscript"/>
        </w:rPr>
        <w:t>th</w:t>
      </w:r>
      <w:r>
        <w:rPr>
          <w:rFonts w:ascii="Garamond" w:hAnsi="Garamond" w:eastAsia="Garamond" w:cs="Garamond"/>
          <w:color w:val="000000"/>
          <w:sz w:val="22"/>
          <w:szCs w:val="22"/>
        </w:rPr>
        <w:t xml:space="preserve"> percentile and median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moles/meter</w:t>
      </w:r>
      <w:r>
        <w:rPr>
          <w:rFonts w:ascii="Garamond" w:hAnsi="Garamond" w:eastAsia="Garamond" w:cs="Garamond"/>
          <w:color w:val="000000"/>
          <w:sz w:val="22"/>
          <w:szCs w:val="22"/>
          <w:vertAlign w:val="superscript"/>
        </w:rPr>
        <w:t>2</w:t>
      </w:r>
      <w:r>
        <w:rPr>
          <w:rFonts w:ascii="Garamond" w:hAnsi="Garamond" w:eastAsia="Garamond" w:cs="Garamond"/>
          <w:color w:val="000000"/>
          <w:sz w:val="22"/>
          <w:szCs w:val="22"/>
        </w:rPr>
        <w:t>. For our purposes, we used the 95</w:t>
      </w:r>
      <w:r>
        <w:rPr>
          <w:rFonts w:ascii="Garamond" w:hAnsi="Garamond" w:eastAsia="Garamond" w:cs="Garamond"/>
          <w:color w:val="000000"/>
          <w:sz w:val="22"/>
          <w:szCs w:val="22"/>
          <w:vertAlign w:val="superscript"/>
        </w:rPr>
        <w:t>th</w:t>
      </w:r>
      <w:r>
        <w:rPr>
          <w:rFonts w:ascii="Garamond" w:hAnsi="Garamond" w:eastAsia="Garamond" w:cs="Garamond"/>
          <w:color w:val="000000"/>
          <w:sz w:val="22"/>
          <w:szCs w:val="22"/>
        </w:rPr>
        <w:t xml:space="preserve"> percentile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raster. First, we calculated the average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in SJC using the Raster Calculator tool in QGIS for the years 2019, 2021, and 2022. This resulted in a single, consolidated raster with each pixel representing the average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moles/meter</w:t>
      </w:r>
      <w:r>
        <w:rPr>
          <w:rFonts w:ascii="Garamond" w:hAnsi="Garamond" w:eastAsia="Garamond" w:cs="Garamond"/>
          <w:color w:val="000000"/>
          <w:sz w:val="22"/>
          <w:szCs w:val="22"/>
          <w:vertAlign w:val="superscript"/>
        </w:rPr>
        <w:t>2</w:t>
      </w:r>
      <w:r>
        <w:rPr>
          <w:rFonts w:ascii="Garamond" w:hAnsi="Garamond" w:eastAsia="Garamond" w:cs="Garamond"/>
          <w:color w:val="000000"/>
          <w:sz w:val="22"/>
          <w:szCs w:val="22"/>
        </w:rPr>
        <w:t xml:space="preserve">. Next, we used our shapefile of SJC, which contains all the census tract areas, the average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raster, and the Zonal Statistics tool to find the average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moles per square meter at the census tract level. With our updated shapefile with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data, we visualized the census tracts in SJC that have the most exposure to high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concentrations using a choropleth map. Furthermore, we noted the locations of major roads and highways to identify any spatial correlation between distance to transportation corridors and </w:t>
      </w:r>
      <w:r>
        <w:rPr>
          <w:rFonts w:ascii="Garamond" w:hAnsi="Garamond" w:eastAsia="Garamond" w:cs="Garamond"/>
          <w:color w:val="000000"/>
        </w:rPr>
        <w:t>NO</w:t>
      </w:r>
      <w:r>
        <w:rPr>
          <w:rFonts w:ascii="Garamond" w:hAnsi="Garamond" w:eastAsia="Garamond" w:cs="Garamond"/>
          <w:color w:val="000000"/>
          <w:vertAlign w:val="subscript"/>
        </w:rPr>
        <w:t xml:space="preserve">2 </w:t>
      </w:r>
      <w:r>
        <w:rPr>
          <w:rFonts w:ascii="Garamond" w:hAnsi="Garamond" w:eastAsia="Garamond" w:cs="Garamond"/>
          <w:color w:val="000000"/>
          <w:sz w:val="22"/>
          <w:szCs w:val="22"/>
        </w:rPr>
        <w:t>concentrations.</w:t>
      </w:r>
    </w:p>
    <w:p w:rsidR="00060C16" w:rsidRDefault="00060C16" w14:paraId="0C5C85A6" w14:textId="77777777">
      <w:pPr>
        <w:spacing w:after="0" w:line="240" w:lineRule="auto"/>
        <w:rPr>
          <w:rFonts w:ascii="Garamond" w:hAnsi="Garamond" w:eastAsia="Garamond" w:cs="Garamond"/>
          <w:color w:val="000000"/>
          <w:sz w:val="22"/>
          <w:szCs w:val="22"/>
        </w:rPr>
      </w:pPr>
    </w:p>
    <w:p w:rsidR="00060C16" w:rsidRDefault="00671E79" w14:paraId="547FEBD3"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3.3.4 Heat and Air Quality Analysis</w:t>
      </w:r>
    </w:p>
    <w:p w:rsidR="00060C16" w:rsidRDefault="00671E79" w14:paraId="4A86D22C"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To combine the LST and air quality maps, we created a new LST and air quality index (LSTAQI) that we mapped against our SVI. LSTAQI was created using the same method as the SVI but with one additional step. Once we converted the ranks into percentiles for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and LST, we multiplied the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percentiles by 0.33 and the LST percentiles by 0.66. Since we wanted to emphasize the importance of LST in the index, we decided that it would take up 2/3 or 0.66 of the total index, and NO</w:t>
      </w:r>
      <w:r>
        <w:rPr>
          <w:rFonts w:ascii="Garamond" w:hAnsi="Garamond" w:eastAsia="Garamond" w:cs="Garamond"/>
          <w:color w:val="000000"/>
          <w:sz w:val="22"/>
          <w:szCs w:val="22"/>
          <w:vertAlign w:val="subscript"/>
        </w:rPr>
        <w:t>2</w:t>
      </w:r>
      <w:r>
        <w:rPr>
          <w:rFonts w:ascii="Garamond" w:hAnsi="Garamond" w:eastAsia="Garamond" w:cs="Garamond"/>
          <w:color w:val="000000"/>
          <w:sz w:val="22"/>
          <w:szCs w:val="22"/>
        </w:rPr>
        <w:t xml:space="preserve"> would take up 1/3 or 0.33 of the total index. We added the two weighted percentiles together to create the LSTAQI. Next, we joined the new LSTAQI and the SVI with the SJC shapefile to capture social vulnerability, NO</w:t>
      </w:r>
      <w:r>
        <w:rPr>
          <w:rFonts w:ascii="Garamond" w:hAnsi="Garamond" w:eastAsia="Garamond" w:cs="Garamond"/>
          <w:color w:val="000000"/>
          <w:sz w:val="22"/>
          <w:szCs w:val="22"/>
          <w:vertAlign w:val="subscript"/>
        </w:rPr>
        <w:t>2</w:t>
      </w:r>
      <w:r>
        <w:rPr>
          <w:rFonts w:ascii="Garamond" w:hAnsi="Garamond" w:eastAsia="Garamond" w:cs="Garamond"/>
          <w:color w:val="000000"/>
          <w:sz w:val="22"/>
          <w:szCs w:val="22"/>
        </w:rPr>
        <w:t xml:space="preserve">, and LST with census tract data. In ArcGIS Pro, we symbolized the two variables using a bivariate choropleth map. The map displays </w:t>
      </w:r>
      <w:r>
        <w:rPr>
          <w:rFonts w:ascii="Garamond" w:hAnsi="Garamond" w:eastAsia="Garamond" w:cs="Garamond"/>
          <w:color w:val="000000"/>
          <w:sz w:val="22"/>
          <w:szCs w:val="22"/>
        </w:rPr>
        <w:lastRenderedPageBreak/>
        <w:t>socially vulnerable areas as well as combined LST and NO</w:t>
      </w:r>
      <w:r>
        <w:rPr>
          <w:rFonts w:ascii="Garamond" w:hAnsi="Garamond" w:eastAsia="Garamond" w:cs="Garamond"/>
          <w:color w:val="000000"/>
          <w:sz w:val="22"/>
          <w:szCs w:val="22"/>
          <w:vertAlign w:val="subscript"/>
        </w:rPr>
        <w:t>2</w:t>
      </w:r>
      <w:r>
        <w:rPr>
          <w:rFonts w:ascii="Garamond" w:hAnsi="Garamond" w:eastAsia="Garamond" w:cs="Garamond"/>
          <w:color w:val="000000"/>
          <w:sz w:val="22"/>
          <w:szCs w:val="22"/>
        </w:rPr>
        <w:t xml:space="preserve"> hazards. Areas that overlap between these two variables are symbolized as a blended color.</w:t>
      </w:r>
    </w:p>
    <w:p w:rsidR="00060C16" w:rsidRDefault="00060C16" w14:paraId="3139B7A1" w14:textId="77777777">
      <w:pPr>
        <w:spacing w:after="0" w:line="240" w:lineRule="auto"/>
        <w:rPr>
          <w:rFonts w:ascii="Garamond" w:hAnsi="Garamond" w:eastAsia="Garamond" w:cs="Garamond"/>
          <w:color w:val="000000"/>
          <w:sz w:val="22"/>
          <w:szCs w:val="22"/>
        </w:rPr>
      </w:pPr>
    </w:p>
    <w:p w:rsidR="00060C16" w:rsidRDefault="00671E79" w14:paraId="0E466692"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3.3.5 Principal Component Analysis</w:t>
      </w:r>
    </w:p>
    <w:p w:rsidR="00060C16" w:rsidRDefault="00671E79" w14:paraId="3DD9A2AA" w14:textId="6C19D328">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We carried out our principal </w:t>
      </w:r>
      <w:r w:rsidRPr="6DEE4987" w:rsidR="00671E79">
        <w:rPr>
          <w:rFonts w:ascii="Garamond" w:hAnsi="Garamond" w:eastAsia="Garamond" w:cs="Garamond"/>
          <w:color w:val="000000" w:themeColor="text1" w:themeTint="FF" w:themeShade="FF"/>
          <w:sz w:val="22"/>
          <w:szCs w:val="22"/>
        </w:rPr>
        <w:t>component</w:t>
      </w:r>
      <w:r w:rsidRPr="6DEE4987" w:rsidR="00671E79">
        <w:rPr>
          <w:rFonts w:ascii="Garamond" w:hAnsi="Garamond" w:eastAsia="Garamond" w:cs="Garamond"/>
          <w:color w:val="000000" w:themeColor="text1" w:themeTint="FF" w:themeShade="FF"/>
          <w:sz w:val="22"/>
          <w:szCs w:val="22"/>
        </w:rPr>
        <w:t xml:space="preserve"> analysis (PCA) to reduce the dimensionality of our data while preserving most of the variance when creating our social vulnerability index. The variables used in the PCA are </w:t>
      </w:r>
      <w:r w:rsidRPr="6DEE4987" w:rsidR="6BF01B76">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opulation in </w:t>
      </w:r>
      <w:r w:rsidRPr="6DEE4987" w:rsidR="7273089D">
        <w:rPr>
          <w:rFonts w:ascii="Garamond" w:hAnsi="Garamond" w:eastAsia="Garamond" w:cs="Garamond"/>
          <w:color w:val="000000" w:themeColor="text1" w:themeTint="FF" w:themeShade="FF"/>
          <w:sz w:val="22"/>
          <w:szCs w:val="22"/>
        </w:rPr>
        <w:t>p</w:t>
      </w:r>
      <w:r w:rsidRPr="6DEE4987" w:rsidR="00671E79">
        <w:rPr>
          <w:rFonts w:ascii="Garamond" w:hAnsi="Garamond" w:eastAsia="Garamond" w:cs="Garamond"/>
          <w:color w:val="000000" w:themeColor="text1" w:themeTint="FF" w:themeShade="FF"/>
          <w:sz w:val="22"/>
          <w:szCs w:val="22"/>
        </w:rPr>
        <w:t xml:space="preserve">overty, percent people of color, percent low income, percent less than high school education, percent less than age 5, percent over age 64, and mean LST. The PCA was created in Python using these libraries: pandas, NumPy, </w:t>
      </w:r>
      <w:r w:rsidRPr="6DEE4987" w:rsidR="00671E79">
        <w:rPr>
          <w:rFonts w:ascii="Garamond" w:hAnsi="Garamond" w:eastAsia="Garamond" w:cs="Garamond"/>
          <w:color w:val="000000" w:themeColor="text1" w:themeTint="FF" w:themeShade="FF"/>
          <w:sz w:val="22"/>
          <w:szCs w:val="22"/>
        </w:rPr>
        <w:t>matplotlib.pyplot</w:t>
      </w:r>
      <w:r w:rsidRPr="6DEE4987" w:rsidR="00671E79">
        <w:rPr>
          <w:rFonts w:ascii="Garamond" w:hAnsi="Garamond" w:eastAsia="Garamond" w:cs="Garamond"/>
          <w:color w:val="000000" w:themeColor="text1" w:themeTint="FF" w:themeShade="FF"/>
          <w:sz w:val="22"/>
          <w:szCs w:val="22"/>
        </w:rPr>
        <w:t xml:space="preserve">, and PCA from </w:t>
      </w:r>
      <w:r w:rsidRPr="6DEE4987" w:rsidR="00671E79">
        <w:rPr>
          <w:rFonts w:ascii="Garamond" w:hAnsi="Garamond" w:eastAsia="Garamond" w:cs="Garamond"/>
          <w:color w:val="000000" w:themeColor="text1" w:themeTint="FF" w:themeShade="FF"/>
          <w:sz w:val="22"/>
          <w:szCs w:val="22"/>
        </w:rPr>
        <w:t>sklearn.decomposition</w:t>
      </w:r>
      <w:r w:rsidRPr="6DEE4987" w:rsidR="00671E79">
        <w:rPr>
          <w:rFonts w:ascii="Garamond" w:hAnsi="Garamond" w:eastAsia="Garamond" w:cs="Garamond"/>
          <w:color w:val="000000" w:themeColor="text1" w:themeTint="FF" w:themeShade="FF"/>
          <w:sz w:val="22"/>
          <w:szCs w:val="22"/>
        </w:rPr>
        <w:t xml:space="preserve">. First, we read and saved our social vulnerability variables into an object called ‘data’ and normalized it. Next, we created a correlation matrix and plotted it so that we had a table matrix and plot matrix. Third, we computed the eigenvectors and eigenvalues of the covariance matrix. Since we had seven variables, we created seven principal components. The output data frame displayed the variance of each principal </w:t>
      </w:r>
      <w:r w:rsidRPr="6DEE4987" w:rsidR="00671E79">
        <w:rPr>
          <w:rFonts w:ascii="Garamond" w:hAnsi="Garamond" w:eastAsia="Garamond" w:cs="Garamond"/>
          <w:color w:val="000000" w:themeColor="text1" w:themeTint="FF" w:themeShade="FF"/>
          <w:sz w:val="22"/>
          <w:szCs w:val="22"/>
        </w:rPr>
        <w:t>component</w:t>
      </w:r>
      <w:r w:rsidRPr="6DEE4987" w:rsidR="00671E79">
        <w:rPr>
          <w:rFonts w:ascii="Garamond" w:hAnsi="Garamond" w:eastAsia="Garamond" w:cs="Garamond"/>
          <w:color w:val="000000" w:themeColor="text1" w:themeTint="FF" w:themeShade="FF"/>
          <w:sz w:val="22"/>
          <w:szCs w:val="22"/>
        </w:rPr>
        <w:t xml:space="preserve"> per census tract. With this data frame, we visualized the variance that each principal </w:t>
      </w:r>
      <w:r w:rsidRPr="6DEE4987" w:rsidR="00671E79">
        <w:rPr>
          <w:rFonts w:ascii="Garamond" w:hAnsi="Garamond" w:eastAsia="Garamond" w:cs="Garamond"/>
          <w:color w:val="000000" w:themeColor="text1" w:themeTint="FF" w:themeShade="FF"/>
          <w:sz w:val="22"/>
          <w:szCs w:val="22"/>
        </w:rPr>
        <w:t>component</w:t>
      </w:r>
      <w:r w:rsidRPr="6DEE4987" w:rsidR="00671E79">
        <w:rPr>
          <w:rFonts w:ascii="Garamond" w:hAnsi="Garamond" w:eastAsia="Garamond" w:cs="Garamond"/>
          <w:color w:val="000000" w:themeColor="text1" w:themeTint="FF" w:themeShade="FF"/>
          <w:sz w:val="22"/>
          <w:szCs w:val="22"/>
        </w:rPr>
        <w:t xml:space="preserve"> </w:t>
      </w:r>
      <w:r w:rsidRPr="6DEE4987" w:rsidR="00671E79">
        <w:rPr>
          <w:rFonts w:ascii="Garamond" w:hAnsi="Garamond" w:eastAsia="Garamond" w:cs="Garamond"/>
          <w:color w:val="000000" w:themeColor="text1" w:themeTint="FF" w:themeShade="FF"/>
          <w:sz w:val="22"/>
          <w:szCs w:val="22"/>
        </w:rPr>
        <w:t>contains</w:t>
      </w:r>
      <w:r w:rsidRPr="6DEE4987" w:rsidR="00671E79">
        <w:rPr>
          <w:rFonts w:ascii="Garamond" w:hAnsi="Garamond" w:eastAsia="Garamond" w:cs="Garamond"/>
          <w:color w:val="000000" w:themeColor="text1" w:themeTint="FF" w:themeShade="FF"/>
          <w:sz w:val="22"/>
          <w:szCs w:val="22"/>
        </w:rPr>
        <w:t xml:space="preserve"> using a scree plot (</w:t>
      </w:r>
      <w:r w:rsidRPr="6DEE4987" w:rsidR="00671E79">
        <w:rPr>
          <w:rFonts w:ascii="Garamond" w:hAnsi="Garamond" w:eastAsia="Garamond" w:cs="Garamond"/>
          <w:i w:val="1"/>
          <w:iCs w:val="1"/>
          <w:color w:val="000000" w:themeColor="text1" w:themeTint="FF" w:themeShade="FF"/>
          <w:sz w:val="22"/>
          <w:szCs w:val="22"/>
        </w:rPr>
        <w:t>Figure A3)</w:t>
      </w:r>
      <w:r w:rsidRPr="6DEE4987" w:rsidR="00671E79">
        <w:rPr>
          <w:rFonts w:ascii="Garamond" w:hAnsi="Garamond" w:eastAsia="Garamond" w:cs="Garamond"/>
          <w:color w:val="000000" w:themeColor="text1" w:themeTint="FF" w:themeShade="FF"/>
          <w:sz w:val="22"/>
          <w:szCs w:val="22"/>
        </w:rPr>
        <w:t xml:space="preserve">. </w:t>
      </w:r>
    </w:p>
    <w:p w:rsidR="00060C16" w:rsidRDefault="00060C16" w14:paraId="6142335D" w14:textId="77777777">
      <w:pPr>
        <w:spacing w:after="0" w:line="240" w:lineRule="auto"/>
        <w:rPr>
          <w:rFonts w:ascii="Garamond" w:hAnsi="Garamond" w:eastAsia="Garamond" w:cs="Garamond"/>
          <w:color w:val="000000"/>
          <w:sz w:val="22"/>
          <w:szCs w:val="22"/>
        </w:rPr>
      </w:pPr>
    </w:p>
    <w:p w:rsidR="00060C16" w:rsidRDefault="00671E79" w14:paraId="43B96E4C"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3.3.6 Temperature Variation Analysis</w:t>
      </w:r>
    </w:p>
    <w:p w:rsidR="00060C16" w:rsidP="006F766B" w:rsidRDefault="00671E79" w14:paraId="3BC92896" w14:textId="27C4B390">
      <w:pPr>
        <w:spacing w:after="0" w:line="240" w:lineRule="auto"/>
        <w:rPr>
          <w:rFonts w:ascii="Garamond" w:hAnsi="Garamond" w:eastAsia="Garamond" w:cs="Garamond"/>
          <w:color w:val="000000"/>
          <w:sz w:val="22"/>
          <w:szCs w:val="22"/>
        </w:rPr>
      </w:pPr>
      <w:bookmarkStart w:name="_heading=h.30j0zll" w:id="132"/>
      <w:bookmarkEnd w:id="132"/>
      <w:r w:rsidRPr="6DEE4987" w:rsidR="00671E79">
        <w:rPr>
          <w:rFonts w:ascii="Garamond" w:hAnsi="Garamond" w:eastAsia="Garamond" w:cs="Garamond"/>
          <w:color w:val="000000" w:themeColor="text1" w:themeTint="FF" w:themeShade="FF"/>
          <w:sz w:val="22"/>
          <w:szCs w:val="22"/>
        </w:rPr>
        <w:t xml:space="preserve">We calculated the urban heat intensity by finding the difference between average temperatures in an urban location and its rural counterpart. First, we created polygons within the different areas using the original LST map and produced histograms of the temperature data, showing the total average temperatures. South Stockton experienced an 8.4 °C (15.12 °F) higher temperature difference compared to rural locations as shown in </w:t>
      </w:r>
      <w:r w:rsidRPr="6DEE4987" w:rsidR="00671E79">
        <w:rPr>
          <w:rFonts w:ascii="Garamond" w:hAnsi="Garamond" w:eastAsia="Garamond" w:cs="Garamond"/>
          <w:i w:val="1"/>
          <w:iCs w:val="1"/>
          <w:color w:val="000000" w:themeColor="text1" w:themeTint="FF" w:themeShade="FF"/>
          <w:sz w:val="22"/>
          <w:szCs w:val="22"/>
        </w:rPr>
        <w:t xml:space="preserve">Figure A7 </w:t>
      </w:r>
      <w:r w:rsidRPr="6DEE4987" w:rsidR="00671E79">
        <w:rPr>
          <w:rFonts w:ascii="Garamond" w:hAnsi="Garamond" w:eastAsia="Garamond" w:cs="Garamond"/>
          <w:color w:val="000000" w:themeColor="text1" w:themeTint="FF" w:themeShade="FF"/>
          <w:sz w:val="22"/>
          <w:szCs w:val="22"/>
        </w:rPr>
        <w:t xml:space="preserve">and </w:t>
      </w:r>
      <w:r w:rsidRPr="6DEE4987" w:rsidR="00671E79">
        <w:rPr>
          <w:rFonts w:ascii="Garamond" w:hAnsi="Garamond" w:eastAsia="Garamond" w:cs="Garamond"/>
          <w:i w:val="1"/>
          <w:iCs w:val="1"/>
          <w:color w:val="000000" w:themeColor="text1" w:themeTint="FF" w:themeShade="FF"/>
          <w:sz w:val="22"/>
          <w:szCs w:val="22"/>
        </w:rPr>
        <w:t>Figure A9</w:t>
      </w:r>
      <w:r w:rsidRPr="6DEE4987" w:rsidR="00671E79">
        <w:rPr>
          <w:rFonts w:ascii="Garamond" w:hAnsi="Garamond" w:eastAsia="Garamond" w:cs="Garamond"/>
          <w:color w:val="000000" w:themeColor="text1" w:themeTint="FF" w:themeShade="FF"/>
          <w:sz w:val="22"/>
          <w:szCs w:val="22"/>
        </w:rPr>
        <w:t xml:space="preserve">. These histograms allowed us to compare the two distinct spreads of temperature between rural and urban locations and showed us if the data had a normal distribution. The data were normally distributed, and we ran a two sample </w:t>
      </w:r>
      <w:r w:rsidRPr="6DEE4987" w:rsidR="693B2CB8">
        <w:rPr>
          <w:rFonts w:ascii="Garamond" w:hAnsi="Garamond" w:eastAsia="Garamond" w:cs="Garamond"/>
          <w:color w:val="000000" w:themeColor="text1" w:themeTint="FF" w:themeShade="FF"/>
          <w:sz w:val="22"/>
          <w:szCs w:val="22"/>
        </w:rPr>
        <w:t xml:space="preserve">Wilcoxon </w:t>
      </w:r>
      <w:r w:rsidRPr="6DEE4987" w:rsidR="00671E79">
        <w:rPr>
          <w:rFonts w:ascii="Garamond" w:hAnsi="Garamond" w:eastAsia="Garamond" w:cs="Garamond"/>
          <w:color w:val="000000" w:themeColor="text1" w:themeTint="FF" w:themeShade="FF"/>
          <w:sz w:val="22"/>
          <w:szCs w:val="22"/>
        </w:rPr>
        <w:t>T-</w:t>
      </w:r>
      <w:r w:rsidRPr="6DEE4987" w:rsidR="65469A9A">
        <w:rPr>
          <w:rFonts w:ascii="Garamond" w:hAnsi="Garamond" w:eastAsia="Garamond" w:cs="Garamond"/>
          <w:color w:val="000000" w:themeColor="text1" w:themeTint="FF" w:themeShade="FF"/>
          <w:sz w:val="22"/>
          <w:szCs w:val="22"/>
        </w:rPr>
        <w:t>t</w:t>
      </w:r>
      <w:r w:rsidRPr="6DEE4987" w:rsidR="00671E79">
        <w:rPr>
          <w:rFonts w:ascii="Garamond" w:hAnsi="Garamond" w:eastAsia="Garamond" w:cs="Garamond"/>
          <w:color w:val="000000" w:themeColor="text1" w:themeTint="FF" w:themeShade="FF"/>
          <w:sz w:val="22"/>
          <w:szCs w:val="22"/>
        </w:rPr>
        <w:t xml:space="preserve">est within R 4.3.2 to confirm that there was a statistically significant difference. We exported the histogram data from GEE to Excel to expand the </w:t>
      </w:r>
      <w:r w:rsidRPr="6DEE4987" w:rsidR="4DD6DEC4">
        <w:rPr>
          <w:rFonts w:ascii="Garamond" w:hAnsi="Garamond" w:eastAsia="Garamond" w:cs="Garamond"/>
          <w:color w:val="000000" w:themeColor="text1" w:themeTint="FF" w:themeShade="FF"/>
          <w:sz w:val="22"/>
          <w:szCs w:val="22"/>
        </w:rPr>
        <w:t>“</w:t>
      </w:r>
      <w:r w:rsidRPr="6DEE4987" w:rsidR="00671E79">
        <w:rPr>
          <w:rFonts w:ascii="Garamond" w:hAnsi="Garamond" w:eastAsia="Garamond" w:cs="Garamond"/>
          <w:color w:val="000000" w:themeColor="text1" w:themeTint="FF" w:themeShade="FF"/>
          <w:sz w:val="22"/>
          <w:szCs w:val="22"/>
        </w:rPr>
        <w:t>count</w:t>
      </w:r>
      <w:r w:rsidRPr="6DEE4987" w:rsidR="0162DB97">
        <w:rPr>
          <w:rFonts w:ascii="Garamond" w:hAnsi="Garamond" w:eastAsia="Garamond" w:cs="Garamond"/>
          <w:color w:val="000000" w:themeColor="text1" w:themeTint="FF" w:themeShade="FF"/>
          <w:sz w:val="22"/>
          <w:szCs w:val="22"/>
        </w:rPr>
        <w:t xml:space="preserve">” </w:t>
      </w:r>
      <w:r w:rsidRPr="6DEE4987" w:rsidR="00671E79">
        <w:rPr>
          <w:rFonts w:ascii="Garamond" w:hAnsi="Garamond" w:eastAsia="Garamond" w:cs="Garamond"/>
          <w:color w:val="000000" w:themeColor="text1" w:themeTint="FF" w:themeShade="FF"/>
          <w:sz w:val="22"/>
          <w:szCs w:val="22"/>
        </w:rPr>
        <w:t>column so that our data table could be read within R. Once the data were cleaned, we ran a Wilcoxon T-</w:t>
      </w:r>
      <w:r w:rsidRPr="6DEE4987" w:rsidR="350EFB37">
        <w:rPr>
          <w:rFonts w:ascii="Garamond" w:hAnsi="Garamond" w:eastAsia="Garamond" w:cs="Garamond"/>
          <w:color w:val="000000" w:themeColor="text1" w:themeTint="FF" w:themeShade="FF"/>
          <w:sz w:val="22"/>
          <w:szCs w:val="22"/>
        </w:rPr>
        <w:t>t</w:t>
      </w:r>
      <w:r w:rsidRPr="6DEE4987" w:rsidR="00671E79">
        <w:rPr>
          <w:rFonts w:ascii="Garamond" w:hAnsi="Garamond" w:eastAsia="Garamond" w:cs="Garamond"/>
          <w:color w:val="000000" w:themeColor="text1" w:themeTint="FF" w:themeShade="FF"/>
          <w:sz w:val="22"/>
          <w:szCs w:val="22"/>
        </w:rPr>
        <w:t>est comparing rural and south Stockton temperatures and received a p-value of &lt; 0.001. This result meant that we could reject the null hypothesis that</w:t>
      </w:r>
      <w:r w:rsidRPr="6DEE4987" w:rsidR="00671E79">
        <w:rPr>
          <w:rFonts w:ascii="Garamond" w:hAnsi="Garamond" w:eastAsia="Garamond" w:cs="Garamond"/>
          <w:color w:val="000000" w:themeColor="text1" w:themeTint="FF" w:themeShade="FF"/>
          <w:sz w:val="22"/>
          <w:szCs w:val="22"/>
        </w:rPr>
        <w:t xml:space="preserve"> state</w:t>
      </w:r>
      <w:r w:rsidRPr="6DEE4987" w:rsidR="00671E79">
        <w:rPr>
          <w:rFonts w:ascii="Garamond" w:hAnsi="Garamond" w:eastAsia="Garamond" w:cs="Garamond"/>
          <w:color w:val="000000" w:themeColor="text1" w:themeTint="FF" w:themeShade="FF"/>
          <w:sz w:val="22"/>
          <w:szCs w:val="22"/>
        </w:rPr>
        <w:t xml:space="preserve">d there was no difference between the temperatures in the rural and urban regions. Using the same procedure, we compared south and north Stockton and found that south Stockton had a 3 °C (5.4 °F) higher temperature difference compared to north Stockton, as seen in </w:t>
      </w:r>
      <w:r w:rsidRPr="6DEE4987" w:rsidR="00671E79">
        <w:rPr>
          <w:rFonts w:ascii="Garamond" w:hAnsi="Garamond" w:eastAsia="Garamond" w:cs="Garamond"/>
          <w:i w:val="1"/>
          <w:iCs w:val="1"/>
          <w:color w:val="000000" w:themeColor="text1" w:themeTint="FF" w:themeShade="FF"/>
          <w:sz w:val="22"/>
          <w:szCs w:val="22"/>
        </w:rPr>
        <w:t xml:space="preserve">Figure A8 </w:t>
      </w:r>
      <w:r w:rsidRPr="6DEE4987" w:rsidR="00671E79">
        <w:rPr>
          <w:rFonts w:ascii="Garamond" w:hAnsi="Garamond" w:eastAsia="Garamond" w:cs="Garamond"/>
          <w:color w:val="000000" w:themeColor="text1" w:themeTint="FF" w:themeShade="FF"/>
          <w:sz w:val="22"/>
          <w:szCs w:val="22"/>
        </w:rPr>
        <w:t xml:space="preserve">and </w:t>
      </w:r>
      <w:r w:rsidRPr="6DEE4987" w:rsidR="00671E79">
        <w:rPr>
          <w:rFonts w:ascii="Garamond" w:hAnsi="Garamond" w:eastAsia="Garamond" w:cs="Garamond"/>
          <w:i w:val="1"/>
          <w:iCs w:val="1"/>
          <w:color w:val="000000" w:themeColor="text1" w:themeTint="FF" w:themeShade="FF"/>
          <w:sz w:val="22"/>
          <w:szCs w:val="22"/>
        </w:rPr>
        <w:t>Figure A9</w:t>
      </w:r>
      <w:r w:rsidRPr="6DEE4987" w:rsidR="00671E79">
        <w:rPr>
          <w:rFonts w:ascii="Garamond" w:hAnsi="Garamond" w:eastAsia="Garamond" w:cs="Garamond"/>
          <w:color w:val="000000" w:themeColor="text1" w:themeTint="FF" w:themeShade="FF"/>
          <w:sz w:val="22"/>
          <w:szCs w:val="22"/>
        </w:rPr>
        <w:t>. We</w:t>
      </w:r>
      <w:r w:rsidRPr="6DEE4987" w:rsidR="00671E79">
        <w:rPr>
          <w:rFonts w:ascii="Garamond" w:hAnsi="Garamond" w:eastAsia="Garamond" w:cs="Garamond"/>
          <w:color w:val="000000" w:themeColor="text1" w:themeTint="FF" w:themeShade="FF"/>
          <w:sz w:val="22"/>
          <w:szCs w:val="22"/>
        </w:rPr>
        <w:t xml:space="preserve"> validate</w:t>
      </w:r>
      <w:r w:rsidRPr="6DEE4987" w:rsidR="00671E79">
        <w:rPr>
          <w:rFonts w:ascii="Garamond" w:hAnsi="Garamond" w:eastAsia="Garamond" w:cs="Garamond"/>
          <w:color w:val="000000" w:themeColor="text1" w:themeTint="FF" w:themeShade="FF"/>
          <w:sz w:val="22"/>
          <w:szCs w:val="22"/>
        </w:rPr>
        <w:t xml:space="preserve">d this conclusion by running the same </w:t>
      </w:r>
      <w:r w:rsidRPr="6DEE4987" w:rsidR="62C796AE">
        <w:rPr>
          <w:rFonts w:ascii="Garamond" w:hAnsi="Garamond" w:eastAsia="Garamond" w:cs="Garamond"/>
          <w:color w:val="000000" w:themeColor="text1" w:themeTint="FF" w:themeShade="FF"/>
          <w:sz w:val="22"/>
          <w:szCs w:val="22"/>
        </w:rPr>
        <w:t>T</w:t>
      </w:r>
      <w:r w:rsidRPr="6DEE4987" w:rsidR="00671E79">
        <w:rPr>
          <w:rFonts w:ascii="Garamond" w:hAnsi="Garamond" w:eastAsia="Garamond" w:cs="Garamond"/>
          <w:color w:val="000000" w:themeColor="text1" w:themeTint="FF" w:themeShade="FF"/>
          <w:sz w:val="22"/>
          <w:szCs w:val="22"/>
        </w:rPr>
        <w:t>-test within R and</w:t>
      </w:r>
      <w:r w:rsidRPr="6DEE4987" w:rsidR="00671E79">
        <w:rPr>
          <w:rFonts w:ascii="Garamond" w:hAnsi="Garamond" w:eastAsia="Garamond" w:cs="Garamond"/>
          <w:color w:val="000000" w:themeColor="text1" w:themeTint="FF" w:themeShade="FF"/>
          <w:sz w:val="22"/>
          <w:szCs w:val="22"/>
        </w:rPr>
        <w:t xml:space="preserve"> establishe</w:t>
      </w:r>
      <w:r w:rsidRPr="6DEE4987" w:rsidR="00671E79">
        <w:rPr>
          <w:rFonts w:ascii="Garamond" w:hAnsi="Garamond" w:eastAsia="Garamond" w:cs="Garamond"/>
          <w:color w:val="000000" w:themeColor="text1" w:themeTint="FF" w:themeShade="FF"/>
          <w:sz w:val="22"/>
          <w:szCs w:val="22"/>
        </w:rPr>
        <w:t>d that the temperature difference was statistically significant because of a resulting p-value of &lt; 0.001.</w:t>
      </w:r>
    </w:p>
    <w:p w:rsidR="00060C16" w:rsidRDefault="00060C16" w14:paraId="2F26C734" w14:textId="77777777">
      <w:pPr>
        <w:spacing w:after="0" w:line="240" w:lineRule="auto"/>
        <w:rPr>
          <w:rFonts w:ascii="Garamond" w:hAnsi="Garamond" w:eastAsia="Garamond" w:cs="Garamond"/>
          <w:color w:val="000000"/>
          <w:sz w:val="22"/>
          <w:szCs w:val="22"/>
        </w:rPr>
      </w:pPr>
    </w:p>
    <w:p w:rsidR="00060C16" w:rsidRDefault="00671E79" w14:paraId="7DB4DF04" w14:textId="77777777">
      <w:pPr>
        <w:pStyle w:val="Heading1"/>
        <w:spacing w:before="0" w:after="0" w:line="240" w:lineRule="auto"/>
        <w:rPr>
          <w:rFonts w:ascii="Garamond" w:hAnsi="Garamond" w:eastAsia="Garamond" w:cs="Garamond"/>
          <w:b/>
          <w:color w:val="365F91"/>
          <w:sz w:val="28"/>
          <w:szCs w:val="28"/>
        </w:rPr>
      </w:pPr>
      <w:r>
        <w:rPr>
          <w:rFonts w:ascii="Garamond" w:hAnsi="Garamond" w:eastAsia="Garamond" w:cs="Garamond"/>
          <w:b/>
          <w:color w:val="365F91"/>
          <w:sz w:val="28"/>
          <w:szCs w:val="28"/>
        </w:rPr>
        <w:t>4. Results &amp; Discussion</w:t>
      </w:r>
    </w:p>
    <w:p w:rsidR="00671E79" w:rsidP="185496FE" w:rsidRDefault="00671E79" w14:paraId="718B3ED3" w14:textId="0B8D7E5D">
      <w:pPr>
        <w:spacing w:after="0" w:line="240" w:lineRule="auto"/>
        <w:rPr>
          <w:rFonts w:ascii="Garamond" w:hAnsi="Garamond" w:eastAsia="Garamond" w:cs="Garamond"/>
          <w:b w:val="1"/>
          <w:bCs w:val="1"/>
          <w:color w:val="000000" w:themeColor="text1" w:themeTint="FF" w:themeShade="FF"/>
          <w:sz w:val="22"/>
          <w:szCs w:val="22"/>
        </w:rPr>
      </w:pPr>
      <w:r w:rsidRPr="185496FE" w:rsidR="00671E79">
        <w:rPr>
          <w:rFonts w:ascii="Garamond" w:hAnsi="Garamond" w:eastAsia="Garamond" w:cs="Garamond"/>
          <w:b w:val="1"/>
          <w:bCs w:val="1"/>
          <w:color w:val="000000" w:themeColor="text1" w:themeTint="FF" w:themeShade="FF"/>
          <w:sz w:val="22"/>
          <w:szCs w:val="22"/>
        </w:rPr>
        <w:t>4.1 Analysis of Results</w:t>
      </w:r>
    </w:p>
    <w:p w:rsidR="02F68510" w:rsidP="185496FE" w:rsidRDefault="02F68510" w14:paraId="11055A8B" w14:textId="566C6334">
      <w:pPr>
        <w:spacing w:after="0" w:line="240" w:lineRule="auto"/>
        <w:jc w:val="center"/>
        <w:rPr>
          <w:rFonts w:ascii="Garamond" w:hAnsi="Garamond" w:eastAsia="Garamond" w:cs="Garamond"/>
          <w:color w:val="000000" w:themeColor="text1" w:themeTint="FF" w:themeShade="FF"/>
          <w:sz w:val="22"/>
          <w:szCs w:val="22"/>
        </w:rPr>
      </w:pPr>
      <w:r w:rsidR="02F68510">
        <w:drawing>
          <wp:inline wp14:editId="32D3DD16" wp14:anchorId="2B395202">
            <wp:extent cx="4423336" cy="3194631"/>
            <wp:effectExtent l="0" t="0" r="0" b="0"/>
            <wp:docPr id="1959195016" name="image7.jpg" title=""/>
            <wp:cNvGraphicFramePr>
              <a:graphicFrameLocks/>
            </wp:cNvGraphicFramePr>
            <a:graphic>
              <a:graphicData uri="http://schemas.openxmlformats.org/drawingml/2006/picture">
                <pic:pic>
                  <pic:nvPicPr>
                    <pic:cNvPr id="0" name="image7.jpg"/>
                    <pic:cNvPicPr/>
                  </pic:nvPicPr>
                  <pic:blipFill>
                    <a:blip r:embed="Rbabcd0b08575472c">
                      <a:extLst>
                        <a:ext xmlns:a="http://schemas.openxmlformats.org/drawingml/2006/main" uri="{28A0092B-C50C-407E-A947-70E740481C1C}">
                          <a14:useLocalDpi val="0"/>
                        </a:ext>
                      </a:extLst>
                    </a:blip>
                    <a:srcRect r="21991"/>
                    <a:stretch>
                      <a:fillRect/>
                    </a:stretch>
                  </pic:blipFill>
                  <pic:spPr xmlns:pic="http://schemas.openxmlformats.org/drawingml/2006/picture">
                    <a:xfrm xmlns:a="http://schemas.openxmlformats.org/drawingml/2006/main" rot="0" flipH="0" flipV="0">
                      <a:off x="0" y="0"/>
                      <a:ext cx="4423336" cy="3194631"/>
                    </a:xfrm>
                    <a:prstGeom xmlns:a="http://schemas.openxmlformats.org/drawingml/2006/main" prst="rect">
                      <a:avLst/>
                    </a:prstGeom>
                    <a:ln xmlns:a="http://schemas.openxmlformats.org/drawingml/2006/main"/>
                  </pic:spPr>
                </pic:pic>
              </a:graphicData>
            </a:graphic>
          </wp:inline>
        </w:drawing>
      </w:r>
    </w:p>
    <w:p w:rsidR="185496FE" w:rsidP="185496FE" w:rsidRDefault="185496FE" w14:paraId="749454AF" w14:textId="3BCC4C8F">
      <w:pPr>
        <w:pStyle w:val="Normal"/>
        <w:spacing w:after="0" w:line="240" w:lineRule="auto"/>
        <w:jc w:val="center"/>
        <w:rPr>
          <w:rFonts w:ascii="Garamond" w:hAnsi="Garamond" w:eastAsia="Garamond" w:cs="Garamond"/>
          <w:color w:val="000000" w:themeColor="text1" w:themeTint="FF" w:themeShade="FF"/>
          <w:sz w:val="22"/>
          <w:szCs w:val="22"/>
        </w:rPr>
      </w:pPr>
    </w:p>
    <w:p w:rsidR="02F68510" w:rsidP="185496FE" w:rsidRDefault="02F68510" w14:paraId="45F4660E" w14:textId="2A7FBEBA">
      <w:pPr>
        <w:pStyle w:val="Normal"/>
        <w:spacing w:after="0" w:line="240" w:lineRule="auto"/>
        <w:rPr>
          <w:rFonts w:ascii="Garamond" w:hAnsi="Garamond" w:eastAsia="Garamond" w:cs="Garamond"/>
          <w:color w:val="000000" w:themeColor="text1" w:themeTint="FF" w:themeShade="FF"/>
          <w:sz w:val="22"/>
          <w:szCs w:val="22"/>
        </w:rPr>
      </w:pPr>
      <w:r w:rsidRPr="185496FE" w:rsidR="02F68510">
        <w:rPr>
          <w:rFonts w:ascii="Garamond" w:hAnsi="Garamond" w:eastAsia="Garamond" w:cs="Garamond"/>
          <w:i w:val="1"/>
          <w:iCs w:val="1"/>
          <w:sz w:val="22"/>
          <w:szCs w:val="22"/>
        </w:rPr>
        <w:t>Figure 3.</w:t>
      </w:r>
      <w:r w:rsidRPr="185496FE" w:rsidR="02F68510">
        <w:rPr>
          <w:rFonts w:ascii="Garamond" w:hAnsi="Garamond" w:eastAsia="Garamond" w:cs="Garamond"/>
          <w:b w:val="1"/>
          <w:bCs w:val="1"/>
          <w:color w:val="000000" w:themeColor="text1" w:themeTint="FF" w:themeShade="FF"/>
          <w:sz w:val="22"/>
          <w:szCs w:val="22"/>
        </w:rPr>
        <w:t xml:space="preserve"> </w:t>
      </w:r>
      <w:r w:rsidRPr="185496FE" w:rsidR="02F68510">
        <w:rPr>
          <w:rFonts w:ascii="Garamond" w:hAnsi="Garamond" w:eastAsia="Garamond" w:cs="Garamond"/>
          <w:color w:val="000000" w:themeColor="text1" w:themeTint="FF" w:themeShade="FF"/>
          <w:sz w:val="22"/>
          <w:szCs w:val="22"/>
        </w:rPr>
        <w:t xml:space="preserve">Social Vulnerability Choropleth </w:t>
      </w:r>
      <w:r w:rsidRPr="185496FE" w:rsidR="02F68510">
        <w:rPr>
          <w:rFonts w:ascii="Garamond" w:hAnsi="Garamond" w:eastAsia="Garamond" w:cs="Garamond"/>
        </w:rPr>
        <w:t>Map</w:t>
      </w:r>
      <w:r w:rsidRPr="185496FE" w:rsidR="02F68510">
        <w:rPr>
          <w:rFonts w:ascii="Garamond" w:hAnsi="Garamond" w:eastAsia="Garamond" w:cs="Garamond"/>
          <w:b w:val="1"/>
          <w:bCs w:val="1"/>
        </w:rPr>
        <w:t xml:space="preserve"> </w:t>
      </w:r>
      <w:r w:rsidRPr="185496FE" w:rsidR="02F68510">
        <w:rPr>
          <w:rFonts w:ascii="Garamond" w:hAnsi="Garamond" w:eastAsia="Garamond" w:cs="Garamond"/>
        </w:rPr>
        <w:t>- Social</w:t>
      </w:r>
      <w:r w:rsidRPr="185496FE" w:rsidR="02F68510">
        <w:rPr>
          <w:rFonts w:ascii="Garamond" w:hAnsi="Garamond" w:eastAsia="Garamond" w:cs="Garamond"/>
          <w:color w:val="000000" w:themeColor="text1" w:themeTint="FF" w:themeShade="FF"/>
          <w:sz w:val="22"/>
          <w:szCs w:val="22"/>
        </w:rPr>
        <w:t xml:space="preserve"> Vulnerability Index calculated for San Joaquin County, CA. Inset: The city of Stockton.</w:t>
      </w:r>
    </w:p>
    <w:p w:rsidR="185496FE" w:rsidP="185496FE" w:rsidRDefault="185496FE" w14:paraId="6B54C57C" w14:textId="0D791D84">
      <w:pPr>
        <w:spacing w:after="0" w:line="240" w:lineRule="auto"/>
        <w:rPr>
          <w:rFonts w:ascii="Garamond" w:hAnsi="Garamond" w:eastAsia="Garamond" w:cs="Garamond"/>
          <w:i w:val="1"/>
          <w:iCs w:val="1"/>
          <w:color w:val="000000" w:themeColor="text1" w:themeTint="FF" w:themeShade="FF"/>
          <w:sz w:val="22"/>
          <w:szCs w:val="22"/>
        </w:rPr>
      </w:pPr>
    </w:p>
    <w:p w:rsidR="00060C16" w:rsidP="185496FE" w:rsidRDefault="00671E79" w14:paraId="21AA04E9" w14:textId="77777777">
      <w:pPr>
        <w:spacing w:after="0" w:line="240" w:lineRule="auto"/>
        <w:rPr>
          <w:rFonts w:ascii="Garamond" w:hAnsi="Garamond" w:eastAsia="Garamond" w:cs="Garamond"/>
          <w:i w:val="1"/>
          <w:iCs w:val="1"/>
          <w:color w:val="000000"/>
          <w:sz w:val="22"/>
          <w:szCs w:val="22"/>
        </w:rPr>
      </w:pPr>
      <w:r w:rsidRPr="185496FE" w:rsidR="00671E79">
        <w:rPr>
          <w:rFonts w:ascii="Garamond" w:hAnsi="Garamond" w:eastAsia="Garamond" w:cs="Garamond"/>
          <w:i w:val="1"/>
          <w:iCs w:val="1"/>
          <w:color w:val="000000" w:themeColor="text1" w:themeTint="FF" w:themeShade="FF"/>
          <w:sz w:val="22"/>
          <w:szCs w:val="22"/>
        </w:rPr>
        <w:t>4.1.1 Social Vulnerability Results</w:t>
      </w:r>
    </w:p>
    <w:p w:rsidR="00060C16" w:rsidP="185496FE" w:rsidRDefault="00671E79" w14:paraId="128B11F9" w14:textId="1A449C8D">
      <w:pPr>
        <w:pStyle w:val="Normal"/>
        <w:spacing w:after="0" w:line="240" w:lineRule="auto"/>
        <w:rPr>
          <w:rFonts w:ascii="Garamond" w:hAnsi="Garamond" w:eastAsia="Garamond" w:cs="Garamond"/>
          <w:color w:val="000000"/>
          <w:sz w:val="22"/>
          <w:szCs w:val="22"/>
        </w:rPr>
      </w:pPr>
      <w:r w:rsidRPr="185496FE" w:rsidR="00671E79">
        <w:rPr>
          <w:rFonts w:ascii="Garamond" w:hAnsi="Garamond" w:eastAsia="Garamond" w:cs="Garamond"/>
          <w:color w:val="000000" w:themeColor="text1" w:themeTint="FF" w:themeShade="FF"/>
          <w:sz w:val="22"/>
          <w:szCs w:val="22"/>
        </w:rPr>
        <w:t xml:space="preserve">The results of the PCA show that the strongest signs of social vulnerability are the percentage of people of color, percentage population of low income, and percentage of population with less than a high school education. Additionally, five out of seven principal components </w:t>
      </w:r>
      <w:r w:rsidRPr="185496FE" w:rsidR="00671E79">
        <w:rPr>
          <w:rFonts w:ascii="Garamond" w:hAnsi="Garamond" w:eastAsia="Garamond" w:cs="Garamond"/>
          <w:color w:val="000000" w:themeColor="text1" w:themeTint="FF" w:themeShade="FF"/>
          <w:sz w:val="22"/>
          <w:szCs w:val="22"/>
        </w:rPr>
        <w:t>contain</w:t>
      </w:r>
      <w:r w:rsidRPr="185496FE" w:rsidR="00671E79">
        <w:rPr>
          <w:rFonts w:ascii="Garamond" w:hAnsi="Garamond" w:eastAsia="Garamond" w:cs="Garamond"/>
          <w:color w:val="000000" w:themeColor="text1" w:themeTint="FF" w:themeShade="FF"/>
          <w:sz w:val="22"/>
          <w:szCs w:val="22"/>
        </w:rPr>
        <w:t xml:space="preserve"> 90% of the total variance that our social vulnerability variables portray. We produced a choropleth map that displays census tracts of SJC with lowest to highest social vulnerability (Figure 3).</w:t>
      </w:r>
    </w:p>
    <w:p w:rsidR="006F766B" w:rsidP="006F766B" w:rsidRDefault="006F766B" w14:paraId="044C9A3E" w14:textId="7EF5E17E">
      <w:pPr>
        <w:spacing w:after="0" w:line="240" w:lineRule="auto"/>
        <w:rPr>
          <w:rFonts w:ascii="Garamond" w:hAnsi="Garamond" w:eastAsia="Garamond" w:cs="Garamond"/>
          <w:color w:val="000000" w:themeColor="text1"/>
          <w:sz w:val="22"/>
          <w:szCs w:val="22"/>
        </w:rPr>
      </w:pPr>
    </w:p>
    <w:p w:rsidR="44035936" w:rsidP="006F766B" w:rsidRDefault="44035936" w14:paraId="370B295C" w14:textId="77777777">
      <w:pPr>
        <w:spacing w:after="0" w:line="240" w:lineRule="auto"/>
        <w:rPr>
          <w:rFonts w:ascii="Garamond" w:hAnsi="Garamond" w:eastAsia="Garamond" w:cs="Garamond"/>
          <w:color w:val="000000" w:themeColor="text1"/>
          <w:sz w:val="22"/>
          <w:szCs w:val="22"/>
        </w:rPr>
      </w:pPr>
      <w:r w:rsidRPr="185496FE" w:rsidR="44035936">
        <w:rPr>
          <w:rFonts w:ascii="Garamond" w:hAnsi="Garamond" w:eastAsia="Garamond" w:cs="Garamond"/>
          <w:color w:val="000000" w:themeColor="text1" w:themeTint="FF" w:themeShade="FF"/>
          <w:sz w:val="22"/>
          <w:szCs w:val="22"/>
        </w:rPr>
        <w:t xml:space="preserve">The choropleth map results align with the hypothesis that the social vulnerability index decreases in the census tracts furthest from highly populated areas such as Stockton. Our team also </w:t>
      </w:r>
      <w:r w:rsidRPr="185496FE" w:rsidR="44035936">
        <w:rPr>
          <w:rFonts w:ascii="Garamond" w:hAnsi="Garamond" w:eastAsia="Garamond" w:cs="Garamond"/>
          <w:color w:val="000000" w:themeColor="text1" w:themeTint="FF" w:themeShade="FF"/>
          <w:sz w:val="22"/>
          <w:szCs w:val="22"/>
        </w:rPr>
        <w:t>identified</w:t>
      </w:r>
      <w:r w:rsidRPr="185496FE" w:rsidR="44035936">
        <w:rPr>
          <w:rFonts w:ascii="Garamond" w:hAnsi="Garamond" w:eastAsia="Garamond" w:cs="Garamond"/>
          <w:color w:val="000000" w:themeColor="text1" w:themeTint="FF" w:themeShade="FF"/>
          <w:sz w:val="22"/>
          <w:szCs w:val="22"/>
        </w:rPr>
        <w:t xml:space="preserve"> higher index values in south Stockton, while northern Stockton has lower index values. This observation aligns with LMR’s principle that south Stockton faces unequitable living situations because of redlining.</w:t>
      </w:r>
    </w:p>
    <w:p w:rsidR="185496FE" w:rsidP="185496FE" w:rsidRDefault="185496FE" w14:paraId="20DF9F47" w14:textId="7DF21F11">
      <w:pPr>
        <w:pStyle w:val="Normal"/>
        <w:spacing w:after="0" w:line="240" w:lineRule="auto"/>
        <w:rPr>
          <w:rFonts w:ascii="Garamond" w:hAnsi="Garamond" w:eastAsia="Garamond" w:cs="Garamond"/>
          <w:color w:val="000000" w:themeColor="text1" w:themeTint="FF" w:themeShade="FF"/>
          <w:sz w:val="22"/>
          <w:szCs w:val="22"/>
        </w:rPr>
      </w:pPr>
    </w:p>
    <w:p w:rsidR="00060C16" w:rsidRDefault="00671E79" w14:paraId="255ECD2B"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 xml:space="preserve">4.1.2 Vegetation and Temperature Correlation Results </w:t>
      </w:r>
    </w:p>
    <w:p w:rsidR="00060C16" w:rsidRDefault="00671E79" w14:paraId="40F1B879" w14:textId="77777777">
      <w:pPr>
        <w:spacing w:after="0" w:line="240" w:lineRule="auto"/>
        <w:rPr>
          <w:rFonts w:ascii="Garamond" w:hAnsi="Garamond" w:eastAsia="Garamond" w:cs="Garamond"/>
          <w:color w:val="000000"/>
          <w:sz w:val="22"/>
          <w:szCs w:val="22"/>
        </w:rPr>
      </w:pPr>
      <w:r w:rsidRPr="185496FE" w:rsidR="00671E79">
        <w:rPr>
          <w:rFonts w:ascii="Garamond" w:hAnsi="Garamond" w:eastAsia="Garamond" w:cs="Garamond"/>
          <w:color w:val="000000" w:themeColor="text1" w:themeTint="FF" w:themeShade="FF"/>
          <w:sz w:val="22"/>
          <w:szCs w:val="22"/>
        </w:rPr>
        <w:t xml:space="preserve">The distribution of points plotted in our regression line graph show a strong negative correlation and an R-squared value of 0.65, </w:t>
      </w:r>
      <w:r w:rsidRPr="185496FE" w:rsidR="00671E79">
        <w:rPr>
          <w:rFonts w:ascii="Garamond" w:hAnsi="Garamond" w:eastAsia="Garamond" w:cs="Garamond"/>
          <w:color w:val="000000" w:themeColor="text1" w:themeTint="FF" w:themeShade="FF"/>
          <w:sz w:val="22"/>
          <w:szCs w:val="22"/>
        </w:rPr>
        <w:t>indicating</w:t>
      </w:r>
      <w:r w:rsidRPr="185496FE" w:rsidR="00671E79">
        <w:rPr>
          <w:rFonts w:ascii="Garamond" w:hAnsi="Garamond" w:eastAsia="Garamond" w:cs="Garamond"/>
          <w:color w:val="000000" w:themeColor="text1" w:themeTint="FF" w:themeShade="FF"/>
          <w:sz w:val="22"/>
          <w:szCs w:val="22"/>
        </w:rPr>
        <w:t xml:space="preserve"> that 65% of the variance in temperature is explained by vegetation. This is considered a strong correlation and explains why communities with low vegetation will experience higher temperatures compared to those that have denser surrounding vegetation. Additionally, most of the clustered vegetation in Figure 2</w:t>
      </w:r>
      <w:r w:rsidRPr="185496FE" w:rsidR="00671E79">
        <w:rPr>
          <w:rFonts w:ascii="Garamond" w:hAnsi="Garamond" w:eastAsia="Garamond" w:cs="Garamond"/>
          <w:i w:val="1"/>
          <w:iCs w:val="1"/>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 xml:space="preserve">are around areas of agricultural cultivation. </w:t>
      </w:r>
    </w:p>
    <w:p w:rsidR="00060C16" w:rsidRDefault="00060C16" w14:paraId="143EC93C" w14:textId="77777777">
      <w:pPr>
        <w:spacing w:after="0" w:line="240" w:lineRule="auto"/>
        <w:rPr>
          <w:rFonts w:ascii="Garamond" w:hAnsi="Garamond" w:eastAsia="Garamond" w:cs="Garamond"/>
          <w:i/>
          <w:color w:val="000000"/>
          <w:sz w:val="22"/>
          <w:szCs w:val="22"/>
        </w:rPr>
      </w:pPr>
    </w:p>
    <w:p w:rsidR="00060C16" w:rsidRDefault="00671E79" w14:paraId="47BABD04"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4.1.3 Nitrogen Dioxide Concentrations</w:t>
      </w:r>
    </w:p>
    <w:p w:rsidR="00060C16" w:rsidRDefault="00671E79" w14:paraId="61F22176"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 xml:space="preserve">Further reinforcing the results of </w:t>
      </w:r>
      <w:proofErr w:type="gramStart"/>
      <w:r>
        <w:rPr>
          <w:rFonts w:ascii="Garamond" w:hAnsi="Garamond" w:eastAsia="Garamond" w:cs="Garamond"/>
          <w:color w:val="000000"/>
          <w:sz w:val="22"/>
          <w:szCs w:val="22"/>
        </w:rPr>
        <w:t>term</w:t>
      </w:r>
      <w:proofErr w:type="gramEnd"/>
      <w:r>
        <w:rPr>
          <w:rFonts w:ascii="Garamond" w:hAnsi="Garamond" w:eastAsia="Garamond" w:cs="Garamond"/>
          <w:color w:val="000000"/>
          <w:sz w:val="22"/>
          <w:szCs w:val="22"/>
        </w:rPr>
        <w:t xml:space="preserve"> I, we found that high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levels are seen around urban areas while non-urban areas have less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We suspect that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levels are higher in urban areas because of the high number of vehicles driving along highways and major roads that cut through Stockton. We detected larger levels of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in south Stockton compared to north Stockton. The higher </w:t>
      </w:r>
      <w:r>
        <w:rPr>
          <w:rFonts w:ascii="Garamond" w:hAnsi="Garamond" w:eastAsia="Garamond" w:cs="Garamond"/>
          <w:color w:val="000000"/>
        </w:rPr>
        <w:t>NO</w:t>
      </w:r>
      <w:r>
        <w:rPr>
          <w:rFonts w:ascii="Garamond" w:hAnsi="Garamond" w:eastAsia="Garamond" w:cs="Garamond"/>
          <w:color w:val="000000"/>
          <w:vertAlign w:val="subscript"/>
        </w:rPr>
        <w:t xml:space="preserve">2 </w:t>
      </w:r>
      <w:r>
        <w:rPr>
          <w:rFonts w:ascii="Garamond" w:hAnsi="Garamond" w:eastAsia="Garamond" w:cs="Garamond"/>
          <w:color w:val="000000"/>
          <w:sz w:val="22"/>
          <w:szCs w:val="22"/>
        </w:rPr>
        <w:t xml:space="preserve">levels may be due to densely industrialized urban land cover in the area. Overall, census tracts within the Stockton city limits contain higher concentrations of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with south Stockton facing the highest in the county, which reinforces the trend where south Stockton experiences higher frequencies of environmental hazards.</w:t>
      </w:r>
    </w:p>
    <w:p w:rsidR="00060C16" w:rsidRDefault="00060C16" w14:paraId="20FA91FF" w14:textId="77777777">
      <w:pPr>
        <w:spacing w:after="0" w:line="240" w:lineRule="auto"/>
        <w:rPr>
          <w:rFonts w:ascii="Garamond" w:hAnsi="Garamond" w:eastAsia="Garamond" w:cs="Garamond"/>
          <w:color w:val="000000"/>
          <w:sz w:val="22"/>
          <w:szCs w:val="22"/>
        </w:rPr>
      </w:pPr>
    </w:p>
    <w:p w:rsidR="00060C16" w:rsidRDefault="00671E79" w14:paraId="47BFAD37" w14:textId="7A6AA85D">
      <w:pPr>
        <w:spacing w:after="0" w:line="240" w:lineRule="auto"/>
        <w:rPr>
          <w:rFonts w:ascii="Garamond" w:hAnsi="Garamond" w:eastAsia="Garamond" w:cs="Garamond"/>
          <w:color w:val="000000"/>
          <w:sz w:val="22"/>
          <w:szCs w:val="22"/>
        </w:rPr>
      </w:pPr>
      <w:r w:rsidRPr="006F766B" w:rsidR="00671E79">
        <w:rPr>
          <w:rFonts w:ascii="Garamond" w:hAnsi="Garamond" w:eastAsia="Garamond" w:cs="Garamond"/>
          <w:color w:val="000000" w:themeColor="text1"/>
          <w:sz w:val="22"/>
          <w:szCs w:val="22"/>
        </w:rPr>
        <w:t>One factor that we did not account for until after creating this map was that the units of moles/meter</w:t>
      </w:r>
      <w:r w:rsidRPr="006F766B" w:rsidR="00671E79">
        <w:rPr>
          <w:rFonts w:ascii="Garamond" w:hAnsi="Garamond" w:eastAsia="Garamond" w:cs="Garamond"/>
          <w:color w:val="000000" w:themeColor="text1"/>
          <w:sz w:val="22"/>
          <w:szCs w:val="22"/>
          <w:vertAlign w:val="superscript"/>
        </w:rPr>
        <w:t>2</w:t>
      </w:r>
      <w:r w:rsidRPr="006F766B" w:rsidR="00671E79">
        <w:rPr>
          <w:rFonts w:ascii="Garamond" w:hAnsi="Garamond" w:eastAsia="Garamond" w:cs="Garamond"/>
          <w:color w:val="000000" w:themeColor="text1"/>
          <w:sz w:val="22"/>
          <w:szCs w:val="22"/>
        </w:rPr>
        <w:t xml:space="preserve"> are not good measurements for understanding experienced air quality. For example, we </w:t>
      </w:r>
      <w:r w:rsidRPr="006F766B" w:rsidR="00671E79">
        <w:rPr>
          <w:rFonts w:ascii="Garamond" w:hAnsi="Garamond" w:eastAsia="Garamond" w:cs="Garamond"/>
          <w:color w:val="000000" w:themeColor="text1"/>
          <w:sz w:val="22"/>
          <w:szCs w:val="22"/>
        </w:rPr>
        <w:t xml:space="preserve">don’t</w:t>
      </w:r>
      <w:r w:rsidRPr="006F766B" w:rsidR="00671E79">
        <w:rPr>
          <w:rFonts w:ascii="Garamond" w:hAnsi="Garamond" w:eastAsia="Garamond" w:cs="Garamond"/>
          <w:color w:val="000000" w:themeColor="text1"/>
          <w:sz w:val="22"/>
          <w:szCs w:val="22"/>
        </w:rPr>
        <w:t xml:space="preserve"> know if </w:t>
      </w:r>
      <m:oMath>
        <m:r>
          <w:rPr>
            <w:rFonts w:ascii="Cambria Math" w:hAnsi="Cambria Math"/>
          </w:rPr>
          <m:t>2.64×</m:t>
        </m:r>
        <m:sSup>
          <m:sSupPr>
            <m:ctrlPr>
              <w:rPr>
                <w:rFonts w:ascii="Cambria Math" w:hAnsi="Cambria Math"/>
              </w:rPr>
            </m:ctrlPr>
          </m:sSupPr>
          <m:e>
            <m:r>
              <w:rPr>
                <w:rFonts w:ascii="Cambria Math" w:hAnsi="Cambria Math"/>
              </w:rPr>
              <m:t>10</m:t>
            </m:r>
          </m:e>
          <m:sup>
            <m:r>
              <w:rPr>
                <w:rFonts w:ascii="Cambria Math" w:hAnsi="Cambria Math"/>
              </w:rPr>
              <m:t>-4</m:t>
            </m:r>
          </m:sup>
        </m:sSup>
      </m:oMath>
      <w:r w:rsidRPr="006F766B" w:rsidR="00671E79">
        <w:rPr>
          <w:rFonts w:ascii="Garamond" w:hAnsi="Garamond" w:eastAsia="Garamond" w:cs="Garamond"/>
          <w:color w:val="000000" w:themeColor="text1"/>
          <w:sz w:val="22"/>
          <w:szCs w:val="22"/>
        </w:rPr>
        <w:t xml:space="preserve"> mole</w:t>
      </w:r>
      <w:r w:rsidRPr="006F766B" w:rsidR="00671E79">
        <w:rPr>
          <w:rFonts w:ascii="Garamond" w:hAnsi="Garamond" w:eastAsia="Garamond" w:cs="Garamond"/>
          <w:color w:val="000000" w:themeColor="text1"/>
          <w:sz w:val="22"/>
          <w:szCs w:val="22"/>
        </w:rPr>
        <w:t xml:space="preserve">s/meter</w:t>
      </w:r>
      <w:r w:rsidRPr="006F766B" w:rsidR="00671E79">
        <w:rPr>
          <w:rFonts w:ascii="Garamond" w:hAnsi="Garamond" w:eastAsia="Garamond" w:cs="Garamond"/>
          <w:color w:val="000000" w:themeColor="text1"/>
          <w:sz w:val="22"/>
          <w:szCs w:val="22"/>
          <w:vertAlign w:val="superscript"/>
        </w:rPr>
        <w:t>2</w:t>
      </w:r>
      <w:r w:rsidRPr="006F766B" w:rsidR="00671E79">
        <w:rPr>
          <w:rFonts w:ascii="Garamond" w:hAnsi="Garamond" w:eastAsia="Garamond" w:cs="Garamond"/>
          <w:color w:val="000000" w:themeColor="text1"/>
          <w:sz w:val="22"/>
          <w:szCs w:val="22"/>
        </w:rPr>
        <w:t xml:space="preserve"> is considered hazardous air quality conditions. The United States Air Quality Index (AQI) has six categories from good to hazardous and measures </w:t>
      </w:r>
      <w:r w:rsidRPr="006F766B" w:rsidR="00671E79">
        <w:rPr>
          <w:rFonts w:ascii="Garamond" w:hAnsi="Garamond" w:eastAsia="Garamond" w:cs="Garamond"/>
          <w:color w:val="000000" w:themeColor="text1"/>
        </w:rPr>
        <w:t>NO</w:t>
      </w:r>
      <w:r w:rsidRPr="006F766B" w:rsidR="00671E79">
        <w:rPr>
          <w:rFonts w:ascii="Garamond" w:hAnsi="Garamond" w:eastAsia="Garamond" w:cs="Garamond"/>
          <w:color w:val="000000" w:themeColor="text1"/>
          <w:vertAlign w:val="subscript"/>
        </w:rPr>
        <w:t>2</w:t>
      </w:r>
      <w:r w:rsidRPr="006F766B" w:rsidR="00671E79">
        <w:rPr>
          <w:rFonts w:ascii="Garamond" w:hAnsi="Garamond" w:eastAsia="Garamond" w:cs="Garamond"/>
          <w:color w:val="000000" w:themeColor="text1"/>
          <w:sz w:val="22"/>
          <w:szCs w:val="22"/>
        </w:rPr>
        <w:t xml:space="preserve"> by parts per billion (ppb). Making the conversion from mol/meter</w:t>
      </w:r>
      <w:r w:rsidRPr="006F766B" w:rsidR="00671E79">
        <w:rPr>
          <w:rFonts w:ascii="Garamond" w:hAnsi="Garamond" w:eastAsia="Garamond" w:cs="Garamond"/>
          <w:color w:val="000000" w:themeColor="text1"/>
          <w:sz w:val="22"/>
          <w:szCs w:val="22"/>
          <w:vertAlign w:val="superscript"/>
        </w:rPr>
        <w:t>2</w:t>
      </w:r>
      <w:r w:rsidRPr="006F766B" w:rsidR="00671E79">
        <w:rPr>
          <w:rFonts w:ascii="Garamond" w:hAnsi="Garamond" w:eastAsia="Garamond" w:cs="Garamond"/>
          <w:color w:val="000000" w:themeColor="text1"/>
          <w:sz w:val="22"/>
          <w:szCs w:val="22"/>
        </w:rPr>
        <w:t xml:space="preserve"> to ppb is doable but not trivial. If we had this idea sooner rather than later, it would have been </w:t>
      </w:r>
      <w:r w:rsidRPr="006F766B" w:rsidR="00671E79">
        <w:rPr>
          <w:rFonts w:ascii="Garamond" w:hAnsi="Garamond" w:eastAsia="Garamond" w:cs="Garamond"/>
          <w:color w:val="000000" w:themeColor="text1"/>
          <w:sz w:val="22"/>
          <w:szCs w:val="22"/>
        </w:rPr>
        <w:t xml:space="preserve">feasible</w:t>
      </w:r>
      <w:r w:rsidRPr="006F766B" w:rsidR="00671E79">
        <w:rPr>
          <w:rFonts w:ascii="Garamond" w:hAnsi="Garamond" w:eastAsia="Garamond" w:cs="Garamond"/>
          <w:color w:val="000000" w:themeColor="text1"/>
          <w:sz w:val="22"/>
          <w:szCs w:val="22"/>
        </w:rPr>
        <w:t xml:space="preserve"> to make this conversion.</w:t>
      </w:r>
    </w:p>
    <w:p w:rsidR="00060C16" w:rsidRDefault="00060C16" w14:paraId="1F64FF0F" w14:textId="77777777">
      <w:pPr>
        <w:spacing w:after="0" w:line="240" w:lineRule="auto"/>
        <w:rPr>
          <w:rFonts w:ascii="Garamond" w:hAnsi="Garamond" w:eastAsia="Garamond" w:cs="Garamond"/>
          <w:color w:val="000000"/>
          <w:sz w:val="22"/>
          <w:szCs w:val="22"/>
        </w:rPr>
      </w:pPr>
    </w:p>
    <w:p w:rsidR="00060C16" w:rsidRDefault="00671E79" w14:paraId="0099A165" w14:textId="77777777">
      <w:pPr>
        <w:spacing w:after="0" w:line="240" w:lineRule="auto"/>
        <w:rPr>
          <w:rFonts w:ascii="Garamond" w:hAnsi="Garamond" w:eastAsia="Garamond" w:cs="Garamond"/>
          <w:color w:val="000000"/>
          <w:sz w:val="22"/>
          <w:szCs w:val="22"/>
        </w:rPr>
      </w:pPr>
      <w:r>
        <w:rPr>
          <w:rFonts w:ascii="Garamond" w:hAnsi="Garamond" w:eastAsia="Garamond" w:cs="Garamond"/>
          <w:i/>
          <w:color w:val="000000"/>
          <w:sz w:val="22"/>
          <w:szCs w:val="22"/>
        </w:rPr>
        <w:t>4.1.4 Air Quality Vulnerability</w:t>
      </w:r>
    </w:p>
    <w:p w:rsidR="00060C16" w:rsidRDefault="00671E79" w14:paraId="20D142FC" w14:textId="77777777">
      <w:pP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lastRenderedPageBreak/>
        <w:t xml:space="preserve">We combined the social vulnerability, air quality, and LST maps to create bivariate choropleth maps to determine which census tracts are experiencing high LST, poor air quality, and high levels of social vulnerability. Some regions may be highly susceptible to injustices but lack strong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concentrations. Conversely, some regions may contain excess amounts of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emissions, but are not as susceptible to injustices. We were primarily interested in areas that are vulnerable and have excess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emissions because these locations are where mitigation is needed the most. We first examined areas with only high social vulnerability. We suspect that these areas are highly vulnerable but hold low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concentrations because those census tracts lack infrastructure such as highways, roads, and industrial development that creates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Next, we looked at areas with only high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concentrations. We believe that these regions are highly urbanized but lack social vulnerability due to being more wealthy, educated, or lacking diversity. Last, we identified communities that overlap with moderate to high social vulnerability and </w:t>
      </w:r>
      <w:r>
        <w:rPr>
          <w:rFonts w:ascii="Garamond" w:hAnsi="Garamond" w:eastAsia="Garamond" w:cs="Garamond"/>
          <w:color w:val="000000"/>
        </w:rPr>
        <w:t>NO</w:t>
      </w:r>
      <w:r>
        <w:rPr>
          <w:rFonts w:ascii="Garamond" w:hAnsi="Garamond" w:eastAsia="Garamond" w:cs="Garamond"/>
          <w:color w:val="000000"/>
          <w:vertAlign w:val="subscript"/>
        </w:rPr>
        <w:t>2</w:t>
      </w:r>
      <w:r>
        <w:rPr>
          <w:rFonts w:ascii="Garamond" w:hAnsi="Garamond" w:eastAsia="Garamond" w:cs="Garamond"/>
          <w:color w:val="000000"/>
          <w:sz w:val="22"/>
          <w:szCs w:val="22"/>
        </w:rPr>
        <w:t xml:space="preserve"> concentrations. We observed that south Stockton has the worst conditions.</w:t>
      </w:r>
    </w:p>
    <w:p w:rsidR="00060C16" w:rsidRDefault="00060C16" w14:paraId="1703863B" w14:textId="77777777">
      <w:pPr>
        <w:spacing w:after="0" w:line="240" w:lineRule="auto"/>
        <w:rPr>
          <w:rFonts w:ascii="Garamond" w:hAnsi="Garamond" w:eastAsia="Garamond" w:cs="Garamond"/>
          <w:i/>
          <w:color w:val="000000"/>
          <w:sz w:val="22"/>
          <w:szCs w:val="22"/>
        </w:rPr>
      </w:pPr>
    </w:p>
    <w:p w:rsidR="00060C16" w:rsidRDefault="00671E79" w14:paraId="7D414BC0"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4.1.5 Heat Vulnerability Results</w:t>
      </w:r>
    </w:p>
    <w:p w:rsidR="00060C16" w:rsidRDefault="00060C16" w14:paraId="4D0403CA" w14:textId="77777777">
      <w:pPr>
        <w:spacing w:after="0" w:line="240" w:lineRule="auto"/>
        <w:rPr>
          <w:rFonts w:ascii="Garamond" w:hAnsi="Garamond" w:eastAsia="Garamond" w:cs="Garamond"/>
          <w:color w:val="000000"/>
          <w:sz w:val="22"/>
          <w:szCs w:val="22"/>
        </w:rPr>
      </w:pPr>
    </w:p>
    <w:p w:rsidR="00060C16" w:rsidRDefault="00671E79" w14:paraId="2E12485B" w14:textId="77777777">
      <w:pPr>
        <w:spacing w:after="0" w:line="240" w:lineRule="auto"/>
        <w:jc w:val="center"/>
        <w:rPr>
          <w:rFonts w:ascii="Garamond" w:hAnsi="Garamond" w:eastAsia="Garamond" w:cs="Garamond"/>
          <w:color w:val="000000"/>
          <w:sz w:val="22"/>
          <w:szCs w:val="22"/>
        </w:rPr>
      </w:pPr>
      <w:r>
        <w:rPr>
          <w:rFonts w:ascii="Garamond" w:hAnsi="Garamond" w:eastAsia="Garamond" w:cs="Garamond"/>
          <w:noProof/>
          <w:color w:val="000000"/>
          <w:sz w:val="22"/>
          <w:szCs w:val="22"/>
        </w:rPr>
        <w:drawing>
          <wp:inline distT="0" distB="0" distL="0" distR="0" wp14:anchorId="5E0387FE" wp14:editId="48850D50">
            <wp:extent cx="4705350" cy="3343275"/>
            <wp:effectExtent l="0" t="0" r="0" b="0"/>
            <wp:docPr id="210553907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r="20705"/>
                    <a:stretch>
                      <a:fillRect/>
                    </a:stretch>
                  </pic:blipFill>
                  <pic:spPr>
                    <a:xfrm>
                      <a:off x="0" y="0"/>
                      <a:ext cx="4705350" cy="3343275"/>
                    </a:xfrm>
                    <a:prstGeom prst="rect">
                      <a:avLst/>
                    </a:prstGeom>
                    <a:ln/>
                  </pic:spPr>
                </pic:pic>
              </a:graphicData>
            </a:graphic>
          </wp:inline>
        </w:drawing>
      </w:r>
    </w:p>
    <w:p w:rsidR="00060C16" w:rsidRDefault="00671E79" w14:paraId="0E6E9B16" w14:textId="77777777">
      <w:pPr>
        <w:spacing w:after="0" w:line="240" w:lineRule="auto"/>
        <w:jc w:val="center"/>
        <w:rPr>
          <w:rFonts w:ascii="Garamond" w:hAnsi="Garamond" w:eastAsia="Garamond" w:cs="Garamond"/>
          <w:color w:val="000000"/>
          <w:sz w:val="22"/>
          <w:szCs w:val="22"/>
        </w:rPr>
      </w:pPr>
      <w:r>
        <w:rPr>
          <w:rFonts w:ascii="Garamond" w:hAnsi="Garamond" w:eastAsia="Garamond" w:cs="Garamond"/>
          <w:i/>
          <w:sz w:val="22"/>
          <w:szCs w:val="22"/>
        </w:rPr>
        <w:t>Figure 4.</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Heat and Social Vulnerability Bivariate Choropleth Map</w:t>
      </w:r>
    </w:p>
    <w:p w:rsidR="00060C16" w:rsidRDefault="00060C16" w14:paraId="44404E2B" w14:textId="77777777">
      <w:pPr>
        <w:spacing w:after="0" w:line="240" w:lineRule="auto"/>
        <w:rPr>
          <w:rFonts w:ascii="Garamond" w:hAnsi="Garamond" w:eastAsia="Garamond" w:cs="Garamond"/>
          <w:color w:val="000000"/>
          <w:sz w:val="22"/>
          <w:szCs w:val="22"/>
        </w:rPr>
      </w:pPr>
    </w:p>
    <w:p w:rsidR="00060C16" w:rsidP="185496FE" w:rsidRDefault="00671E79" w14:textId="77777777" w14:paraId="2F471AE5">
      <w:pPr>
        <w:spacing w:after="0" w:line="240" w:lineRule="auto"/>
        <w:jc w:val="center"/>
        <w:rPr>
          <w:rFonts w:ascii="Garamond" w:hAnsi="Garamond" w:eastAsia="Garamond" w:cs="Garamond"/>
          <w:i w:val="1"/>
          <w:iCs w:val="1"/>
          <w:color w:val="000000" w:themeColor="text1" w:themeTint="FF" w:themeShade="FF"/>
          <w:sz w:val="22"/>
          <w:szCs w:val="22"/>
        </w:rPr>
      </w:pPr>
      <w:r w:rsidR="7EE88E35">
        <w:drawing>
          <wp:inline wp14:editId="5DD2972F" wp14:anchorId="1A44FC6A">
            <wp:extent cx="4459260" cy="3187781"/>
            <wp:effectExtent l="0" t="0" r="0" b="0"/>
            <wp:docPr id="1147288252" name="image19.jpg" title=""/>
            <wp:cNvGraphicFramePr>
              <a:graphicFrameLocks/>
            </wp:cNvGraphicFramePr>
            <a:graphic>
              <a:graphicData uri="http://schemas.openxmlformats.org/drawingml/2006/picture">
                <pic:pic>
                  <pic:nvPicPr>
                    <pic:cNvPr id="0" name="image19.jpg"/>
                    <pic:cNvPicPr/>
                  </pic:nvPicPr>
                  <pic:blipFill>
                    <a:blip r:embed="R5191958a7284490e">
                      <a:extLst>
                        <a:ext xmlns:a="http://schemas.openxmlformats.org/drawingml/2006/main" uri="{28A0092B-C50C-407E-A947-70E740481C1C}">
                          <a14:useLocalDpi val="0"/>
                        </a:ext>
                      </a:extLst>
                    </a:blip>
                    <a:srcRect r="21187"/>
                    <a:stretch>
                      <a:fillRect/>
                    </a:stretch>
                  </pic:blipFill>
                  <pic:spPr xmlns:pic="http://schemas.openxmlformats.org/drawingml/2006/picture">
                    <a:xfrm xmlns:a="http://schemas.openxmlformats.org/drawingml/2006/main" rot="0" flipH="0" flipV="0">
                      <a:off x="0" y="0"/>
                      <a:ext cx="4459260" cy="3187781"/>
                    </a:xfrm>
                    <a:prstGeom xmlns:a="http://schemas.openxmlformats.org/drawingml/2006/main" prst="rect">
                      <a:avLst/>
                    </a:prstGeom>
                    <a:ln xmlns:a="http://schemas.openxmlformats.org/drawingml/2006/main"/>
                  </pic:spPr>
                </pic:pic>
              </a:graphicData>
            </a:graphic>
          </wp:inline>
        </w:drawing>
      </w:r>
    </w:p>
    <w:p w:rsidR="00060C16" w:rsidP="185496FE" w:rsidRDefault="00671E79" w14:textId="77777777" w14:paraId="5568F2DD">
      <w:pPr>
        <w:spacing w:after="0" w:line="240" w:lineRule="auto"/>
        <w:jc w:val="center"/>
        <w:rPr>
          <w:rFonts w:ascii="Garamond" w:hAnsi="Garamond" w:eastAsia="Garamond" w:cs="Garamond"/>
          <w:color w:val="000000" w:themeColor="text1" w:themeTint="FF" w:themeShade="FF"/>
          <w:sz w:val="22"/>
          <w:szCs w:val="22"/>
        </w:rPr>
      </w:pPr>
      <w:r w:rsidRPr="185496FE" w:rsidR="7EE88E35">
        <w:rPr>
          <w:rFonts w:ascii="Garamond" w:hAnsi="Garamond" w:eastAsia="Garamond" w:cs="Garamond"/>
          <w:i w:val="1"/>
          <w:iCs w:val="1"/>
          <w:sz w:val="22"/>
          <w:szCs w:val="22"/>
        </w:rPr>
        <w:t>Figure 5.</w:t>
      </w:r>
      <w:r w:rsidRPr="185496FE" w:rsidR="7EE88E35">
        <w:rPr>
          <w:rFonts w:ascii="Garamond" w:hAnsi="Garamond" w:eastAsia="Garamond" w:cs="Garamond"/>
          <w:color w:val="000000" w:themeColor="text1" w:themeTint="FF" w:themeShade="FF"/>
          <w:sz w:val="22"/>
          <w:szCs w:val="22"/>
        </w:rPr>
        <w:t xml:space="preserve"> Final Bivariate Choropleth Map of heat, air quality, and social vulnerability</w:t>
      </w:r>
    </w:p>
    <w:p w:rsidR="00060C16" w:rsidP="185496FE" w:rsidRDefault="00671E79" w14:paraId="7E98EC08" w14:textId="6E430BF7">
      <w:pPr>
        <w:pStyle w:val="Normal"/>
        <w:spacing w:after="0" w:line="240" w:lineRule="auto"/>
        <w:rPr>
          <w:rFonts w:ascii="Garamond" w:hAnsi="Garamond" w:eastAsia="Garamond" w:cs="Garamond"/>
          <w:color w:val="000000" w:themeColor="text1" w:themeTint="FF" w:themeShade="FF"/>
          <w:sz w:val="22"/>
          <w:szCs w:val="22"/>
        </w:rPr>
      </w:pPr>
    </w:p>
    <w:p w:rsidR="00060C16" w:rsidP="185496FE" w:rsidRDefault="00671E79" w14:paraId="7203A3C8" w14:textId="4B4C708B">
      <w:pPr>
        <w:pStyle w:val="Normal"/>
        <w:spacing w:after="0" w:line="240" w:lineRule="auto"/>
        <w:rPr>
          <w:rFonts w:ascii="Garamond" w:hAnsi="Garamond" w:eastAsia="Garamond" w:cs="Garamond"/>
          <w:color w:val="000000"/>
          <w:sz w:val="22"/>
          <w:szCs w:val="22"/>
        </w:rPr>
      </w:pPr>
      <w:r w:rsidRPr="185496FE" w:rsidR="00671E79">
        <w:rPr>
          <w:rFonts w:ascii="Garamond" w:hAnsi="Garamond" w:eastAsia="Garamond" w:cs="Garamond"/>
          <w:color w:val="000000" w:themeColor="text1" w:themeTint="FF" w:themeShade="FF"/>
          <w:sz w:val="22"/>
          <w:szCs w:val="22"/>
        </w:rPr>
        <w:t>After we created a new shapefile with the mean LST per county census tract as a field, we joined attribute tables with the SVI so that we could map both variables together (Figure 4).</w:t>
      </w:r>
      <w:r w:rsidRPr="185496FE" w:rsidR="00671E79">
        <w:rPr>
          <w:rFonts w:ascii="Garamond" w:hAnsi="Garamond" w:eastAsia="Garamond" w:cs="Garamond"/>
          <w:i w:val="1"/>
          <w:iCs w:val="1"/>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 xml:space="preserve">This map allows viewers to </w:t>
      </w:r>
      <w:r w:rsidRPr="185496FE" w:rsidR="00671E79">
        <w:rPr>
          <w:rFonts w:ascii="Garamond" w:hAnsi="Garamond" w:eastAsia="Garamond" w:cs="Garamond"/>
          <w:color w:val="000000" w:themeColor="text1" w:themeTint="FF" w:themeShade="FF"/>
          <w:sz w:val="22"/>
          <w:szCs w:val="22"/>
        </w:rPr>
        <w:t>identify</w:t>
      </w:r>
      <w:r w:rsidRPr="185496FE" w:rsidR="00671E79">
        <w:rPr>
          <w:rFonts w:ascii="Garamond" w:hAnsi="Garamond" w:eastAsia="Garamond" w:cs="Garamond"/>
          <w:color w:val="000000" w:themeColor="text1" w:themeTint="FF" w:themeShade="FF"/>
          <w:sz w:val="22"/>
          <w:szCs w:val="22"/>
        </w:rPr>
        <w:t xml:space="preserve"> where there is a convergence of locations with high heat and high social vulnerability, while still distinguishing areas that only experience one or the other. We see in this figure that barren areas in the upper right (northeast) and lower left (southwest) corners face extreme heat with low social vulnerability because the population density is lower. However, it is </w:t>
      </w:r>
      <w:r w:rsidRPr="185496FE" w:rsidR="00671E79">
        <w:rPr>
          <w:rFonts w:ascii="Garamond" w:hAnsi="Garamond" w:eastAsia="Garamond" w:cs="Garamond"/>
          <w:color w:val="000000" w:themeColor="text1" w:themeTint="FF" w:themeShade="FF"/>
          <w:sz w:val="22"/>
          <w:szCs w:val="22"/>
        </w:rPr>
        <w:t>apparent</w:t>
      </w:r>
      <w:r w:rsidRPr="185496FE" w:rsidR="00671E79">
        <w:rPr>
          <w:rFonts w:ascii="Garamond" w:hAnsi="Garamond" w:eastAsia="Garamond" w:cs="Garamond"/>
          <w:color w:val="000000" w:themeColor="text1" w:themeTint="FF" w:themeShade="FF"/>
          <w:sz w:val="22"/>
          <w:szCs w:val="22"/>
        </w:rPr>
        <w:t xml:space="preserve"> that south Stockton is experiencing both increased LST and social vulnerability. This is a significant issue because extreme heat is not being felt throughout the entire city and it is only severely </w:t>
      </w:r>
      <w:r w:rsidRPr="185496FE" w:rsidR="00671E79">
        <w:rPr>
          <w:rFonts w:ascii="Garamond" w:hAnsi="Garamond" w:eastAsia="Garamond" w:cs="Garamond"/>
          <w:color w:val="000000" w:themeColor="text1" w:themeTint="FF" w:themeShade="FF"/>
          <w:sz w:val="22"/>
          <w:szCs w:val="22"/>
        </w:rPr>
        <w:t>impacting</w:t>
      </w:r>
      <w:r w:rsidRPr="185496FE" w:rsidR="00671E79">
        <w:rPr>
          <w:rFonts w:ascii="Garamond" w:hAnsi="Garamond" w:eastAsia="Garamond" w:cs="Garamond"/>
          <w:color w:val="000000" w:themeColor="text1" w:themeTint="FF" w:themeShade="FF"/>
          <w:sz w:val="22"/>
          <w:szCs w:val="22"/>
        </w:rPr>
        <w:t xml:space="preserve"> communities that have been disenfranchised and forced to live in these environments.</w:t>
      </w:r>
    </w:p>
    <w:p w:rsidR="00060C16" w:rsidRDefault="00060C16" w14:paraId="10AF1988" w14:textId="77777777">
      <w:pPr>
        <w:spacing w:after="0" w:line="240" w:lineRule="auto"/>
        <w:rPr>
          <w:rFonts w:ascii="Garamond" w:hAnsi="Garamond" w:eastAsia="Garamond" w:cs="Garamond"/>
          <w:color w:val="000000"/>
          <w:sz w:val="22"/>
          <w:szCs w:val="22"/>
        </w:rPr>
      </w:pPr>
    </w:p>
    <w:p w:rsidR="00060C16" w:rsidRDefault="00671E79" w14:paraId="28734336" w14:textId="77777777">
      <w:pPr>
        <w:spacing w:after="0" w:line="240" w:lineRule="auto"/>
        <w:rPr>
          <w:rFonts w:ascii="Garamond" w:hAnsi="Garamond" w:eastAsia="Garamond" w:cs="Garamond"/>
          <w:i/>
          <w:color w:val="000000"/>
          <w:sz w:val="22"/>
          <w:szCs w:val="22"/>
        </w:rPr>
      </w:pPr>
      <w:r w:rsidRPr="185496FE" w:rsidR="00671E79">
        <w:rPr>
          <w:rFonts w:ascii="Garamond" w:hAnsi="Garamond" w:eastAsia="Garamond" w:cs="Garamond"/>
          <w:i w:val="1"/>
          <w:iCs w:val="1"/>
          <w:color w:val="000000" w:themeColor="text1" w:themeTint="FF" w:themeShade="FF"/>
          <w:sz w:val="22"/>
          <w:szCs w:val="22"/>
        </w:rPr>
        <w:t>4.1.6 Final Heat and Air Quality Vulnerability Results</w:t>
      </w:r>
    </w:p>
    <w:p w:rsidR="00060C16" w:rsidP="185496FE" w:rsidRDefault="00671E79" w14:paraId="112D818D" w14:textId="0C5970FF">
      <w:pPr>
        <w:pStyle w:val="Normal"/>
        <w:spacing w:after="0" w:line="240" w:lineRule="auto"/>
        <w:rPr>
          <w:rFonts w:ascii="Garamond" w:hAnsi="Garamond" w:eastAsia="Garamond" w:cs="Garamond"/>
          <w:color w:val="000000"/>
          <w:sz w:val="22"/>
          <w:szCs w:val="22"/>
        </w:rPr>
      </w:pPr>
      <w:r w:rsidRPr="185496FE" w:rsidR="6738611E">
        <w:rPr>
          <w:rFonts w:ascii="Garamond" w:hAnsi="Garamond" w:eastAsia="Garamond" w:cs="Garamond"/>
          <w:color w:val="000000" w:themeColor="text1" w:themeTint="FF" w:themeShade="FF"/>
          <w:sz w:val="22"/>
          <w:szCs w:val="22"/>
        </w:rPr>
        <w:t xml:space="preserve">Through combining the three main variables of this study (LST, air quality, and social vulnerability), we showed that there are regions within SJC, and specifically Stockton, that experience extreme convergence of urban heat and poor air quality (Figure 5). Since the </w:t>
      </w:r>
      <w:r w:rsidRPr="185496FE" w:rsidR="6738611E">
        <w:rPr>
          <w:rFonts w:ascii="Garamond" w:hAnsi="Garamond" w:eastAsia="Garamond" w:cs="Garamond"/>
          <w:color w:val="000000" w:themeColor="text1" w:themeTint="FF" w:themeShade="FF"/>
          <w:sz w:val="22"/>
          <w:szCs w:val="22"/>
        </w:rPr>
        <w:t>previous</w:t>
      </w:r>
      <w:r w:rsidRPr="185496FE" w:rsidR="6738611E">
        <w:rPr>
          <w:rFonts w:ascii="Garamond" w:hAnsi="Garamond" w:eastAsia="Garamond" w:cs="Garamond"/>
          <w:color w:val="000000" w:themeColor="text1" w:themeTint="FF" w:themeShade="FF"/>
          <w:sz w:val="22"/>
          <w:szCs w:val="22"/>
        </w:rPr>
        <w:t xml:space="preserve"> term provided our partners with a thorough air quality analysis, we weighed land surface temperature more heavily within this new LSTAQI. Our final air quality and LST vulnerability map looks like the </w:t>
      </w:r>
      <w:r w:rsidRPr="185496FE" w:rsidR="6738611E">
        <w:rPr>
          <w:rFonts w:ascii="Garamond" w:hAnsi="Garamond" w:eastAsia="Garamond" w:cs="Garamond"/>
          <w:color w:val="000000" w:themeColor="text1" w:themeTint="FF" w:themeShade="FF"/>
          <w:sz w:val="22"/>
          <w:szCs w:val="22"/>
        </w:rPr>
        <w:t>previous</w:t>
      </w:r>
      <w:r w:rsidRPr="185496FE" w:rsidR="6738611E">
        <w:rPr>
          <w:rFonts w:ascii="Garamond" w:hAnsi="Garamond" w:eastAsia="Garamond" w:cs="Garamond"/>
          <w:color w:val="000000" w:themeColor="text1" w:themeTint="FF" w:themeShade="FF"/>
          <w:sz w:val="22"/>
          <w:szCs w:val="22"/>
        </w:rPr>
        <w:t xml:space="preserve"> maps as it portrays very comparable aspects with minor changes. Again, we </w:t>
      </w:r>
      <w:r w:rsidRPr="185496FE" w:rsidR="6738611E">
        <w:rPr>
          <w:rFonts w:ascii="Garamond" w:hAnsi="Garamond" w:eastAsia="Garamond" w:cs="Garamond"/>
          <w:color w:val="000000" w:themeColor="text1" w:themeTint="FF" w:themeShade="FF"/>
          <w:sz w:val="22"/>
          <w:szCs w:val="22"/>
        </w:rPr>
        <w:t>observed</w:t>
      </w:r>
      <w:r w:rsidRPr="185496FE" w:rsidR="6738611E">
        <w:rPr>
          <w:rFonts w:ascii="Garamond" w:hAnsi="Garamond" w:eastAsia="Garamond" w:cs="Garamond"/>
          <w:color w:val="000000" w:themeColor="text1" w:themeTint="FF" w:themeShade="FF"/>
          <w:sz w:val="22"/>
          <w:szCs w:val="22"/>
        </w:rPr>
        <w:t xml:space="preserve"> that south Stockton is extremely exposed to these environmental hazards, posing risks for unsafe living conditions and health threats.</w:t>
      </w:r>
    </w:p>
    <w:p w:rsidR="00060C16" w:rsidP="185496FE" w:rsidRDefault="00060C16" w14:paraId="0CE97387" w14:textId="7F3AB63A">
      <w:pPr>
        <w:pStyle w:val="Normal"/>
        <w:spacing w:after="0" w:line="240" w:lineRule="auto"/>
        <w:rPr>
          <w:rFonts w:ascii="Garamond" w:hAnsi="Garamond" w:eastAsia="Garamond" w:cs="Garamond"/>
          <w:color w:val="000000"/>
          <w:sz w:val="22"/>
          <w:szCs w:val="22"/>
        </w:rPr>
      </w:pPr>
    </w:p>
    <w:p w:rsidR="00060C16" w:rsidRDefault="00671E79" w14:paraId="7301AAF3" w14:textId="77777777">
      <w:pP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4.1.7 Land Cover Classification Visualization</w:t>
      </w:r>
    </w:p>
    <w:p w:rsidR="00060C16" w:rsidRDefault="00671E79" w14:paraId="2208333A" w14:textId="77777777">
      <w:pPr>
        <w:pBdr>
          <w:top w:val="nil"/>
          <w:left w:val="nil"/>
          <w:bottom w:val="nil"/>
          <w:right w:val="nil"/>
          <w:between w:val="nil"/>
        </w:pBdr>
        <w:spacing w:after="0" w:line="240" w:lineRule="auto"/>
        <w:rPr>
          <w:rFonts w:ascii="Garamond" w:hAnsi="Garamond" w:eastAsia="Garamond" w:cs="Garamond"/>
          <w:color w:val="000000"/>
          <w:sz w:val="22"/>
          <w:szCs w:val="22"/>
        </w:rPr>
      </w:pPr>
      <w:r>
        <w:rPr>
          <w:rFonts w:ascii="Garamond" w:hAnsi="Garamond" w:eastAsia="Garamond" w:cs="Garamond"/>
          <w:color w:val="000000"/>
          <w:sz w:val="22"/>
          <w:szCs w:val="22"/>
        </w:rPr>
        <w:t>We visualized Developed and Canopy land cover as maps along a gradient based on pixel counts for each land cover type by census tract, ranging from roughly 300 to 14,0000 pixels (Figure 6).</w:t>
      </w:r>
    </w:p>
    <w:p w:rsidR="00060C16" w:rsidP="185496FE" w:rsidRDefault="00671E79" w14:paraId="2FA1F0CB" w14:textId="7C23C27F">
      <w:pPr>
        <w:pBdr>
          <w:top w:val="nil" w:color="000000" w:sz="0" w:space="0"/>
          <w:left w:val="nil" w:color="000000" w:sz="0" w:space="0"/>
          <w:bottom w:val="nil" w:color="000000" w:sz="0" w:space="0"/>
          <w:right w:val="nil" w:color="000000" w:sz="0" w:space="0"/>
          <w:between w:val="nil" w:color="000000" w:sz="0" w:space="0"/>
        </w:pBdr>
        <w:spacing w:after="0" w:line="240" w:lineRule="auto"/>
        <w:rPr>
          <w:color w:val="000000"/>
        </w:rPr>
      </w:pPr>
      <w:r w:rsidR="6924ACEF">
        <w:rPr/>
        <w:t xml:space="preserve">                      </w:t>
      </w:r>
      <w:r>
        <w:rPr>
          <w:noProof/>
          <w:color w:val="000000"/>
        </w:rPr>
        <w:lastRenderedPageBreak/>
        <w:drawing>
          <wp:inline distT="0" distB="0" distL="0" distR="0" wp14:anchorId="2C74DEA9" wp14:editId="1A8ED290">
            <wp:extent cx="2205058" cy="2852904"/>
            <wp:effectExtent l="0" t="0" r="0" b="0"/>
            <wp:docPr id="2105539080" name="image15.jpg" descr="Inserting image..."/>
            <wp:cNvGraphicFramePr/>
            <a:graphic xmlns:a="http://schemas.openxmlformats.org/drawingml/2006/main">
              <a:graphicData uri="http://schemas.openxmlformats.org/drawingml/2006/picture">
                <pic:pic xmlns:pic="http://schemas.openxmlformats.org/drawingml/2006/picture">
                  <pic:nvPicPr>
                    <pic:cNvPr id="0" name="image15.jpg" descr="Inserting image..."/>
                    <pic:cNvPicPr preferRelativeResize="0"/>
                  </pic:nvPicPr>
                  <pic:blipFill>
                    <a:blip r:embed="rId18"/>
                    <a:srcRect/>
                    <a:stretch>
                      <a:fillRect/>
                    </a:stretch>
                  </pic:blipFill>
                  <pic:spPr>
                    <a:xfrm>
                      <a:off x="0" y="0"/>
                      <a:ext cx="2205058" cy="2852904"/>
                    </a:xfrm>
                    <a:prstGeom prst="rect">
                      <a:avLst/>
                    </a:prstGeom>
                    <a:ln/>
                  </pic:spPr>
                </pic:pic>
              </a:graphicData>
            </a:graphic>
          </wp:inline>
        </w:drawing>
      </w:r>
      <w:r>
        <w:rPr>
          <w:noProof/>
          <w:color w:val="000000"/>
        </w:rPr>
        <w:drawing>
          <wp:inline distT="0" distB="0" distL="0" distR="0" wp14:anchorId="743097A1" wp14:editId="0735F9F9">
            <wp:extent cx="2201248" cy="2847975"/>
            <wp:effectExtent l="0" t="0" r="0" b="0"/>
            <wp:docPr id="2105539079" name="image6.jpg" descr="Image download failed."/>
            <wp:cNvGraphicFramePr/>
            <a:graphic xmlns:a="http://schemas.openxmlformats.org/drawingml/2006/main">
              <a:graphicData uri="http://schemas.openxmlformats.org/drawingml/2006/picture">
                <pic:pic xmlns:pic="http://schemas.openxmlformats.org/drawingml/2006/picture">
                  <pic:nvPicPr>
                    <pic:cNvPr id="0" name="image6.jpg" descr="Image download failed."/>
                    <pic:cNvPicPr preferRelativeResize="0"/>
                  </pic:nvPicPr>
                  <pic:blipFill>
                    <a:blip r:embed="rId19"/>
                    <a:srcRect/>
                    <a:stretch>
                      <a:fillRect/>
                    </a:stretch>
                  </pic:blipFill>
                  <pic:spPr>
                    <a:xfrm>
                      <a:off x="0" y="0"/>
                      <a:ext cx="2201248" cy="2847975"/>
                    </a:xfrm>
                    <a:prstGeom prst="rect">
                      <a:avLst/>
                    </a:prstGeom>
                    <a:ln/>
                  </pic:spPr>
                </pic:pic>
              </a:graphicData>
            </a:graphic>
          </wp:inline>
        </w:drawing>
      </w:r>
    </w:p>
    <w:p w:rsidR="00060C16" w:rsidRDefault="00671E79" w14:paraId="729F627A" w14:textId="77777777">
      <w:pPr>
        <w:jc w:val="center"/>
        <w:rPr>
          <w:rFonts w:ascii="Garamond" w:hAnsi="Garamond" w:eastAsia="Garamond" w:cs="Garamond"/>
          <w:sz w:val="22"/>
          <w:szCs w:val="22"/>
        </w:rPr>
      </w:pPr>
      <w:r>
        <w:rPr>
          <w:rFonts w:ascii="Garamond" w:hAnsi="Garamond" w:eastAsia="Garamond" w:cs="Garamond"/>
          <w:i/>
          <w:sz w:val="22"/>
          <w:szCs w:val="22"/>
        </w:rPr>
        <w:t>Figure 6.</w:t>
      </w:r>
      <w:r>
        <w:rPr>
          <w:rFonts w:ascii="Garamond" w:hAnsi="Garamond" w:eastAsia="Garamond" w:cs="Garamond"/>
          <w:sz w:val="22"/>
          <w:szCs w:val="22"/>
        </w:rPr>
        <w:t xml:space="preserve"> Land cover classes; developed (left) and canopy cover (right) within Stockton.</w:t>
      </w:r>
    </w:p>
    <w:p w:rsidR="00060C16" w:rsidRDefault="00671E79" w14:paraId="6791CE24" w14:textId="77777777">
      <w:pPr>
        <w:spacing w:after="0" w:line="240" w:lineRule="auto"/>
        <w:rPr>
          <w:rFonts w:ascii="Garamond" w:hAnsi="Garamond" w:eastAsia="Garamond" w:cs="Garamond"/>
          <w:color w:val="000000"/>
          <w:sz w:val="22"/>
          <w:szCs w:val="22"/>
        </w:rPr>
      </w:pPr>
      <w:r w:rsidRPr="185496FE" w:rsidR="00671E79">
        <w:rPr>
          <w:rFonts w:ascii="Garamond" w:hAnsi="Garamond" w:eastAsia="Garamond" w:cs="Garamond"/>
          <w:color w:val="000000" w:themeColor="text1" w:themeTint="FF" w:themeShade="FF"/>
          <w:sz w:val="22"/>
          <w:szCs w:val="22"/>
        </w:rPr>
        <w:t>The developed map shows that the highest pixel count for this class lies in the south Stockton area, which is mainly composed of industrial zones, such as the Port of Stockton and the Stockton Metropolitan Airport. The canopy cover class shows the census tracts with the highest pixel counts are mainly concentrated throughout the northwest portion of Stockton. These areas are more affluent than south Stockton and contain a greater density of parks and natural features, including golf courses and bodies of water. In contrast, south Stockton experiences some of the lowest canopy cover in the city. This confirms our partners' concerns that residents in these areas have less access to shade in their neighborhoods and can also help to explain the increase in land surface temperature when compared to other parts of Stockton.</w:t>
      </w:r>
    </w:p>
    <w:p w:rsidR="185496FE" w:rsidP="185496FE" w:rsidRDefault="185496FE" w14:paraId="34A302CC" w14:textId="78FE4636">
      <w:pPr>
        <w:pStyle w:val="Normal"/>
        <w:spacing w:after="0" w:line="240" w:lineRule="auto"/>
        <w:rPr>
          <w:rFonts w:ascii="Garamond" w:hAnsi="Garamond" w:eastAsia="Garamond" w:cs="Garamond"/>
          <w:i w:val="1"/>
          <w:iCs w:val="1"/>
          <w:color w:val="000000" w:themeColor="text1" w:themeTint="FF" w:themeShade="FF"/>
          <w:sz w:val="22"/>
          <w:szCs w:val="22"/>
        </w:rPr>
      </w:pPr>
    </w:p>
    <w:p w:rsidR="00060C16" w:rsidP="185496FE" w:rsidRDefault="00671E79" w14:paraId="50C8B3B2" w14:textId="31DC14A5">
      <w:pPr>
        <w:pStyle w:val="Normal"/>
        <w:spacing w:after="0" w:line="240" w:lineRule="auto"/>
        <w:rPr>
          <w:rFonts w:ascii="Garamond" w:hAnsi="Garamond" w:eastAsia="Garamond" w:cs="Garamond"/>
          <w:i w:val="1"/>
          <w:iCs w:val="1"/>
          <w:color w:val="000000"/>
          <w:sz w:val="22"/>
          <w:szCs w:val="22"/>
        </w:rPr>
      </w:pPr>
      <w:r w:rsidRPr="185496FE" w:rsidR="00671E79">
        <w:rPr>
          <w:rFonts w:ascii="Garamond" w:hAnsi="Garamond" w:eastAsia="Garamond" w:cs="Garamond"/>
          <w:i w:val="1"/>
          <w:iCs w:val="1"/>
          <w:color w:val="000000" w:themeColor="text1" w:themeTint="FF" w:themeShade="FF"/>
          <w:sz w:val="22"/>
          <w:szCs w:val="22"/>
        </w:rPr>
        <w:t>4.1.8 Principal Component Analysis Results</w:t>
      </w:r>
    </w:p>
    <w:p w:rsidR="00060C16" w:rsidRDefault="00671E79" w14:paraId="3EA28AF5" w14:textId="32D7D5CC">
      <w:pPr>
        <w:spacing w:after="0" w:line="240" w:lineRule="auto"/>
        <w:rPr>
          <w:rFonts w:ascii="Garamond" w:hAnsi="Garamond" w:eastAsia="Garamond" w:cs="Garamond"/>
          <w:color w:val="000000"/>
          <w:sz w:val="22"/>
          <w:szCs w:val="22"/>
        </w:rPr>
      </w:pPr>
      <w:r w:rsidRPr="6DEE4987" w:rsidR="00671E79">
        <w:rPr>
          <w:rFonts w:ascii="Garamond" w:hAnsi="Garamond" w:eastAsia="Garamond" w:cs="Garamond"/>
          <w:color w:val="000000" w:themeColor="text1" w:themeTint="FF" w:themeShade="FF"/>
          <w:sz w:val="22"/>
          <w:szCs w:val="22"/>
        </w:rPr>
        <w:t xml:space="preserve">The correlation matrix in </w:t>
      </w:r>
      <w:r w:rsidRPr="6DEE4987" w:rsidR="00671E79">
        <w:rPr>
          <w:rFonts w:ascii="Garamond" w:hAnsi="Garamond" w:eastAsia="Garamond" w:cs="Garamond"/>
          <w:i w:val="1"/>
          <w:iCs w:val="1"/>
          <w:color w:val="000000" w:themeColor="text1" w:themeTint="FF" w:themeShade="FF"/>
          <w:sz w:val="22"/>
          <w:szCs w:val="22"/>
        </w:rPr>
        <w:t>Table A1</w:t>
      </w:r>
      <w:r w:rsidRPr="6DEE4987" w:rsidR="00671E79">
        <w:rPr>
          <w:rFonts w:ascii="Garamond" w:hAnsi="Garamond" w:eastAsia="Garamond" w:cs="Garamond"/>
          <w:color w:val="000000" w:themeColor="text1" w:themeTint="FF" w:themeShade="FF"/>
          <w:sz w:val="22"/>
          <w:szCs w:val="22"/>
        </w:rPr>
        <w:t xml:space="preserve"> displays the degrees to which our variable pairs move in relation to each other. Values above zero show a positive correlation between variables where one variable increases the other variable increases too. Values below zero show a negative correlation between variables where one variable increases the other variable decreases. Values that are</w:t>
      </w:r>
      <w:r w:rsidRPr="6DEE4987" w:rsidR="2A59C447">
        <w:rPr>
          <w:rFonts w:ascii="Garamond" w:hAnsi="Garamond" w:eastAsia="Garamond" w:cs="Garamond"/>
          <w:color w:val="000000" w:themeColor="text1" w:themeTint="FF" w:themeShade="FF"/>
          <w:sz w:val="22"/>
          <w:szCs w:val="22"/>
        </w:rPr>
        <w:t xml:space="preserve"> around</w:t>
      </w:r>
      <w:r w:rsidRPr="6DEE4987" w:rsidR="00671E79">
        <w:rPr>
          <w:rFonts w:ascii="Garamond" w:hAnsi="Garamond" w:eastAsia="Garamond" w:cs="Garamond"/>
          <w:color w:val="000000" w:themeColor="text1" w:themeTint="FF" w:themeShade="FF"/>
          <w:sz w:val="22"/>
          <w:szCs w:val="22"/>
        </w:rPr>
        <w:t xml:space="preserve"> 0 show that the variables have no correlation. Some of the variables that show high positive correlation with each other are </w:t>
      </w:r>
      <w:r w:rsidRPr="6DEE4987" w:rsidR="2BA59E63">
        <w:rPr>
          <w:rFonts w:ascii="Garamond" w:hAnsi="Garamond" w:eastAsia="Garamond" w:cs="Garamond"/>
          <w:color w:val="000000" w:themeColor="text1" w:themeTint="FF" w:themeShade="FF"/>
          <w:sz w:val="22"/>
          <w:szCs w:val="22"/>
        </w:rPr>
        <w:t>percent</w:t>
      </w:r>
      <w:r w:rsidRPr="6DEE4987" w:rsidR="00671E79">
        <w:rPr>
          <w:rFonts w:ascii="Garamond" w:hAnsi="Garamond" w:eastAsia="Garamond" w:cs="Garamond"/>
          <w:color w:val="000000" w:themeColor="text1" w:themeTint="FF" w:themeShade="FF"/>
          <w:sz w:val="22"/>
          <w:szCs w:val="22"/>
        </w:rPr>
        <w:t xml:space="preserve"> people of color, </w:t>
      </w:r>
      <w:r w:rsidRPr="6DEE4987" w:rsidR="2D64AAD1">
        <w:rPr>
          <w:rFonts w:ascii="Garamond" w:hAnsi="Garamond" w:eastAsia="Garamond" w:cs="Garamond"/>
          <w:color w:val="000000" w:themeColor="text1" w:themeTint="FF" w:themeShade="FF"/>
          <w:sz w:val="22"/>
          <w:szCs w:val="22"/>
        </w:rPr>
        <w:t>percent</w:t>
      </w:r>
      <w:r w:rsidRPr="6DEE4987" w:rsidR="00671E79">
        <w:rPr>
          <w:rFonts w:ascii="Garamond" w:hAnsi="Garamond" w:eastAsia="Garamond" w:cs="Garamond"/>
          <w:color w:val="000000" w:themeColor="text1" w:themeTint="FF" w:themeShade="FF"/>
          <w:sz w:val="22"/>
          <w:szCs w:val="22"/>
        </w:rPr>
        <w:t xml:space="preserve"> less than high school education, </w:t>
      </w:r>
      <w:r w:rsidRPr="6DEE4987" w:rsidR="5A6F3576">
        <w:rPr>
          <w:rFonts w:ascii="Garamond" w:hAnsi="Garamond" w:eastAsia="Garamond" w:cs="Garamond"/>
          <w:color w:val="000000" w:themeColor="text1" w:themeTint="FF" w:themeShade="FF"/>
          <w:sz w:val="22"/>
          <w:szCs w:val="22"/>
        </w:rPr>
        <w:t>percent</w:t>
      </w:r>
      <w:r w:rsidRPr="6DEE4987" w:rsidR="00671E79">
        <w:rPr>
          <w:rFonts w:ascii="Garamond" w:hAnsi="Garamond" w:eastAsia="Garamond" w:cs="Garamond"/>
          <w:color w:val="000000" w:themeColor="text1" w:themeTint="FF" w:themeShade="FF"/>
          <w:sz w:val="22"/>
          <w:szCs w:val="22"/>
        </w:rPr>
        <w:t xml:space="preserve"> low income, and average land surface temperature. The pair </w:t>
      </w:r>
      <w:r w:rsidRPr="6DEE4987" w:rsidR="4E16B3B5">
        <w:rPr>
          <w:rFonts w:ascii="Garamond" w:hAnsi="Garamond" w:eastAsia="Garamond" w:cs="Garamond"/>
          <w:color w:val="000000" w:themeColor="text1" w:themeTint="FF" w:themeShade="FF"/>
          <w:sz w:val="22"/>
          <w:szCs w:val="22"/>
        </w:rPr>
        <w:t>percent</w:t>
      </w:r>
      <w:r w:rsidRPr="6DEE4987" w:rsidR="00671E79">
        <w:rPr>
          <w:rFonts w:ascii="Garamond" w:hAnsi="Garamond" w:eastAsia="Garamond" w:cs="Garamond"/>
          <w:color w:val="000000" w:themeColor="text1" w:themeTint="FF" w:themeShade="FF"/>
          <w:sz w:val="22"/>
          <w:szCs w:val="22"/>
        </w:rPr>
        <w:t xml:space="preserve"> people of color and </w:t>
      </w:r>
      <w:r w:rsidRPr="6DEE4987" w:rsidR="2335439D">
        <w:rPr>
          <w:rFonts w:ascii="Garamond" w:hAnsi="Garamond" w:eastAsia="Garamond" w:cs="Garamond"/>
          <w:color w:val="000000" w:themeColor="text1" w:themeTint="FF" w:themeShade="FF"/>
          <w:sz w:val="22"/>
          <w:szCs w:val="22"/>
        </w:rPr>
        <w:t>percent</w:t>
      </w:r>
      <w:r w:rsidRPr="6DEE4987" w:rsidR="00671E79">
        <w:rPr>
          <w:rFonts w:ascii="Garamond" w:hAnsi="Garamond" w:eastAsia="Garamond" w:cs="Garamond"/>
          <w:color w:val="000000" w:themeColor="text1" w:themeTint="FF" w:themeShade="FF"/>
          <w:sz w:val="22"/>
          <w:szCs w:val="22"/>
        </w:rPr>
        <w:t xml:space="preserve"> over age 64 have a strong negative correlation. </w:t>
      </w:r>
    </w:p>
    <w:p w:rsidR="00060C16" w:rsidRDefault="00060C16" w14:paraId="7CB9A3EE" w14:textId="77777777">
      <w:pPr>
        <w:spacing w:after="0" w:line="240" w:lineRule="auto"/>
        <w:rPr>
          <w:rFonts w:ascii="Garamond" w:hAnsi="Garamond" w:eastAsia="Garamond" w:cs="Garamond"/>
          <w:color w:val="000000"/>
          <w:sz w:val="22"/>
          <w:szCs w:val="22"/>
        </w:rPr>
      </w:pPr>
    </w:p>
    <w:p w:rsidR="00060C16" w:rsidRDefault="00671E79" w14:paraId="78D2D3E0" w14:textId="77777777">
      <w:pPr>
        <w:spacing w:after="0" w:line="240" w:lineRule="auto"/>
        <w:rPr>
          <w:rFonts w:ascii="Garamond" w:hAnsi="Garamond" w:eastAsia="Garamond" w:cs="Garamond"/>
          <w:color w:val="000000"/>
          <w:sz w:val="22"/>
          <w:szCs w:val="22"/>
        </w:rPr>
      </w:pPr>
      <w:r>
        <w:rPr>
          <w:rFonts w:ascii="Garamond" w:hAnsi="Garamond" w:eastAsia="Garamond" w:cs="Garamond"/>
          <w:i/>
          <w:color w:val="000000"/>
          <w:sz w:val="22"/>
          <w:szCs w:val="22"/>
        </w:rPr>
        <w:t>Figure A3</w:t>
      </w:r>
      <w:r>
        <w:rPr>
          <w:rFonts w:ascii="Garamond" w:hAnsi="Garamond" w:eastAsia="Garamond" w:cs="Garamond"/>
          <w:color w:val="000000"/>
          <w:sz w:val="22"/>
          <w:szCs w:val="22"/>
        </w:rPr>
        <w:t xml:space="preserve"> shows the percentage of variance that each principal</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component contains. In this case, principal component 1 represents 53% of the data and principal component 2 represents 22% of the data. The sum of all the principal components will be equal to 100%. To maximize the most variance while using the minimum number of principal components, our team selected the first four principal components for our analysis because these four make up at least 90% of the variance for our data set.</w:t>
      </w:r>
    </w:p>
    <w:p w:rsidR="00060C16" w:rsidRDefault="00060C16" w14:paraId="4B17204D" w14:textId="77777777">
      <w:pPr>
        <w:spacing w:after="0" w:line="240" w:lineRule="auto"/>
        <w:jc w:val="center"/>
      </w:pPr>
    </w:p>
    <w:p w:rsidR="00060C16" w:rsidRDefault="00671E79" w14:paraId="513F016A" w14:textId="77777777">
      <w:pPr>
        <w:pBdr>
          <w:top w:val="nil"/>
          <w:left w:val="nil"/>
          <w:bottom w:val="nil"/>
          <w:right w:val="nil"/>
          <w:between w:val="nil"/>
        </w:pBdr>
        <w:spacing w:after="0" w:line="240" w:lineRule="auto"/>
        <w:rPr>
          <w:rFonts w:ascii="Garamond" w:hAnsi="Garamond" w:eastAsia="Garamond" w:cs="Garamond"/>
          <w:i/>
          <w:color w:val="000000"/>
          <w:sz w:val="22"/>
          <w:szCs w:val="22"/>
        </w:rPr>
      </w:pPr>
      <w:r>
        <w:rPr>
          <w:rFonts w:ascii="Garamond" w:hAnsi="Garamond" w:eastAsia="Garamond" w:cs="Garamond"/>
          <w:i/>
          <w:color w:val="000000"/>
          <w:sz w:val="22"/>
          <w:szCs w:val="22"/>
        </w:rPr>
        <w:t>4.2 Feasibility for Partner Use and Future Recommendations</w:t>
      </w:r>
    </w:p>
    <w:p w:rsidR="00060C16" w:rsidP="185496FE" w:rsidRDefault="00671E79" w14:paraId="53D08DAC" w14:textId="182CD8AA">
      <w:pPr>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2"/>
          <w:szCs w:val="22"/>
        </w:rPr>
      </w:pPr>
      <w:r w:rsidRPr="185496FE" w:rsidR="00671E79">
        <w:rPr>
          <w:rFonts w:ascii="Garamond" w:hAnsi="Garamond" w:eastAsia="Garamond" w:cs="Garamond"/>
          <w:color w:val="000000" w:themeColor="text1" w:themeTint="FF" w:themeShade="FF"/>
          <w:sz w:val="22"/>
          <w:szCs w:val="22"/>
        </w:rPr>
        <w:t xml:space="preserve">We found remote sensing tools such as ArcGIS, QGIS, and GEE to be vital in examining the relationship between land use and landcover, vegetation, temperature, and air quality within our study area. Aside from ArcGIS, the </w:t>
      </w:r>
      <w:r w:rsidRPr="185496FE" w:rsidR="00671E79">
        <w:rPr>
          <w:rFonts w:ascii="Garamond" w:hAnsi="Garamond" w:eastAsia="Garamond" w:cs="Garamond"/>
          <w:color w:val="000000" w:themeColor="text1" w:themeTint="FF" w:themeShade="FF"/>
          <w:sz w:val="22"/>
          <w:szCs w:val="22"/>
        </w:rPr>
        <w:t>tools</w:t>
      </w:r>
      <w:r w:rsidRPr="185496FE" w:rsidR="00671E79">
        <w:rPr>
          <w:rFonts w:ascii="Garamond" w:hAnsi="Garamond" w:eastAsia="Garamond" w:cs="Garamond"/>
          <w:color w:val="000000" w:themeColor="text1" w:themeTint="FF" w:themeShade="FF"/>
          <w:sz w:val="22"/>
          <w:szCs w:val="22"/>
        </w:rPr>
        <w:t xml:space="preserve"> and data we </w:t>
      </w:r>
      <w:r w:rsidRPr="185496FE" w:rsidR="00671E79">
        <w:rPr>
          <w:rFonts w:ascii="Garamond" w:hAnsi="Garamond" w:eastAsia="Garamond" w:cs="Garamond"/>
          <w:color w:val="000000" w:themeColor="text1" w:themeTint="FF" w:themeShade="FF"/>
          <w:sz w:val="22"/>
          <w:szCs w:val="22"/>
        </w:rPr>
        <w:t>utilized</w:t>
      </w:r>
      <w:r w:rsidRPr="185496FE" w:rsidR="00671E79">
        <w:rPr>
          <w:rFonts w:ascii="Garamond" w:hAnsi="Garamond" w:eastAsia="Garamond" w:cs="Garamond"/>
          <w:color w:val="000000" w:themeColor="text1" w:themeTint="FF" w:themeShade="FF"/>
          <w:sz w:val="22"/>
          <w:szCs w:val="22"/>
        </w:rPr>
        <w:t xml:space="preserve"> in our research are free access and public domain data that are available for anyone to download. With these end products, Little Manila Rising can focus their efforts on strategically placing cooling centers throughout Stockton to limit exposure to extreme heat events. In </w:t>
      </w:r>
      <w:r w:rsidRPr="185496FE" w:rsidR="00671E79">
        <w:rPr>
          <w:rFonts w:ascii="Garamond" w:hAnsi="Garamond" w:eastAsia="Garamond" w:cs="Garamond"/>
          <w:color w:val="000000" w:themeColor="text1" w:themeTint="FF" w:themeShade="FF"/>
          <w:sz w:val="22"/>
          <w:szCs w:val="22"/>
        </w:rPr>
        <w:t xml:space="preserve">addition, LMR can focus their urban forestry efforts on areas that </w:t>
      </w:r>
      <w:r w:rsidRPr="185496FE" w:rsidR="00671E79">
        <w:rPr>
          <w:rFonts w:ascii="Garamond" w:hAnsi="Garamond" w:eastAsia="Garamond" w:cs="Garamond"/>
          <w:color w:val="000000" w:themeColor="text1" w:themeTint="FF" w:themeShade="FF"/>
          <w:sz w:val="22"/>
          <w:szCs w:val="22"/>
        </w:rPr>
        <w:t>contain</w:t>
      </w:r>
      <w:r w:rsidRPr="185496FE" w:rsidR="00671E79">
        <w:rPr>
          <w:rFonts w:ascii="Garamond" w:hAnsi="Garamond" w:eastAsia="Garamond" w:cs="Garamond"/>
          <w:color w:val="000000" w:themeColor="text1" w:themeTint="FF" w:themeShade="FF"/>
          <w:sz w:val="22"/>
          <w:szCs w:val="22"/>
        </w:rPr>
        <w:t xml:space="preserve"> the lowest canopy cover throughout south Stockton, shown in </w:t>
      </w:r>
      <w:r w:rsidRPr="185496FE" w:rsidR="00671E79">
        <w:rPr>
          <w:rFonts w:ascii="Garamond" w:hAnsi="Garamond" w:eastAsia="Garamond" w:cs="Garamond"/>
          <w:i w:val="1"/>
          <w:iCs w:val="1"/>
          <w:color w:val="000000" w:themeColor="text1" w:themeTint="FF" w:themeShade="FF"/>
          <w:sz w:val="22"/>
          <w:szCs w:val="22"/>
        </w:rPr>
        <w:t>Figure A4</w:t>
      </w:r>
      <w:r w:rsidRPr="185496FE" w:rsidR="00671E79">
        <w:rPr>
          <w:rFonts w:ascii="Garamond" w:hAnsi="Garamond" w:eastAsia="Garamond" w:cs="Garamond"/>
          <w:color w:val="000000" w:themeColor="text1" w:themeTint="FF" w:themeShade="FF"/>
          <w:sz w:val="22"/>
          <w:szCs w:val="22"/>
        </w:rPr>
        <w:t xml:space="preserve">, to continue to provide shade to residents. Finally, LMR can also use the creative communication brochure to continue to inform community members of the environmental hazards they are subjected to. </w:t>
      </w:r>
    </w:p>
    <w:p w:rsidR="00060C16" w:rsidP="185496FE" w:rsidRDefault="00671E79" w14:paraId="284D8F57" w14:textId="6AF2B8DC">
      <w:pPr>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2"/>
          <w:szCs w:val="22"/>
        </w:rPr>
      </w:pPr>
    </w:p>
    <w:p w:rsidR="00060C16" w:rsidP="185496FE" w:rsidRDefault="00671E79" w14:paraId="3E56BCDF" w14:textId="68228B22">
      <w:pPr>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2"/>
          <w:szCs w:val="22"/>
        </w:rPr>
      </w:pPr>
      <w:r w:rsidRPr="185496FE" w:rsidR="00671E79">
        <w:rPr>
          <w:rFonts w:ascii="Garamond" w:hAnsi="Garamond" w:eastAsia="Garamond" w:cs="Garamond"/>
          <w:color w:val="000000" w:themeColor="text1" w:themeTint="FF" w:themeShade="FF"/>
          <w:sz w:val="22"/>
          <w:szCs w:val="22"/>
        </w:rPr>
        <w:t xml:space="preserve">Little Manila Rising can continue to build on these end products by changing the Social Vulnerability Index to incorporate demographic factors they find more relevant in the future. They can also continue to </w:t>
      </w:r>
      <w:r w:rsidRPr="185496FE" w:rsidR="00671E79">
        <w:rPr>
          <w:rFonts w:ascii="Garamond" w:hAnsi="Garamond" w:eastAsia="Garamond" w:cs="Garamond"/>
          <w:color w:val="000000" w:themeColor="text1" w:themeTint="FF" w:themeShade="FF"/>
          <w:sz w:val="22"/>
          <w:szCs w:val="22"/>
        </w:rPr>
        <w:t>monitor</w:t>
      </w:r>
      <w:r w:rsidRPr="185496FE" w:rsidR="00671E79">
        <w:rPr>
          <w:rFonts w:ascii="Garamond" w:hAnsi="Garamond" w:eastAsia="Garamond" w:cs="Garamond"/>
          <w:color w:val="000000" w:themeColor="text1" w:themeTint="FF" w:themeShade="FF"/>
          <w:sz w:val="22"/>
          <w:szCs w:val="22"/>
        </w:rPr>
        <w:t xml:space="preserve"> their urban forestry program </w:t>
      </w:r>
      <w:r w:rsidRPr="185496FE" w:rsidR="00671E79">
        <w:rPr>
          <w:rFonts w:ascii="Garamond" w:hAnsi="Garamond" w:eastAsia="Garamond" w:cs="Garamond"/>
          <w:color w:val="000000" w:themeColor="text1" w:themeTint="FF" w:themeShade="FF"/>
          <w:sz w:val="22"/>
          <w:szCs w:val="22"/>
        </w:rPr>
        <w:t>objectives</w:t>
      </w:r>
      <w:r w:rsidRPr="185496FE" w:rsidR="00671E79">
        <w:rPr>
          <w:rFonts w:ascii="Garamond" w:hAnsi="Garamond" w:eastAsia="Garamond" w:cs="Garamond"/>
          <w:color w:val="000000" w:themeColor="text1" w:themeTint="FF" w:themeShade="FF"/>
          <w:sz w:val="22"/>
          <w:szCs w:val="22"/>
        </w:rPr>
        <w:t xml:space="preserve"> by assessing the change in canopy cover once trees have grown sufficiently enough to provide cooling effects. In addition, the air quality vulnerability map can be further improved by incorporating transit data to find the relationship between </w:t>
      </w:r>
      <w:r w:rsidRPr="185496FE" w:rsidR="00671E79">
        <w:rPr>
          <w:rFonts w:ascii="Garamond" w:hAnsi="Garamond" w:eastAsia="Garamond" w:cs="Garamond"/>
          <w:color w:val="000000" w:themeColor="text1" w:themeTint="FF" w:themeShade="FF"/>
        </w:rPr>
        <w:t>NO</w:t>
      </w:r>
      <w:r w:rsidRPr="185496FE" w:rsidR="00671E79">
        <w:rPr>
          <w:rFonts w:ascii="Garamond" w:hAnsi="Garamond" w:eastAsia="Garamond" w:cs="Garamond"/>
          <w:color w:val="000000" w:themeColor="text1" w:themeTint="FF" w:themeShade="FF"/>
          <w:vertAlign w:val="subscript"/>
        </w:rPr>
        <w:t>2</w:t>
      </w:r>
      <w:r w:rsidRPr="185496FE" w:rsidR="00671E79">
        <w:rPr>
          <w:rFonts w:ascii="Garamond" w:hAnsi="Garamond" w:eastAsia="Garamond" w:cs="Garamond"/>
          <w:color w:val="000000" w:themeColor="text1" w:themeTint="FF" w:themeShade="FF"/>
          <w:sz w:val="22"/>
          <w:szCs w:val="22"/>
        </w:rPr>
        <w:t xml:space="preserve"> concentration and proximity to major roads and highways. The Nitrogen Dioxide Choropleth Map can be improved by standardizing the legend to fit with the United States Air Quality Index. That way the numbers represented can communicate to the viewer the severity of the concentration of </w:t>
      </w:r>
      <w:r w:rsidRPr="185496FE" w:rsidR="00671E79">
        <w:rPr>
          <w:rFonts w:ascii="Garamond" w:hAnsi="Garamond" w:eastAsia="Garamond" w:cs="Garamond"/>
          <w:color w:val="000000" w:themeColor="text1" w:themeTint="FF" w:themeShade="FF"/>
        </w:rPr>
        <w:t>NO</w:t>
      </w:r>
      <w:r w:rsidRPr="185496FE" w:rsidR="00671E79">
        <w:rPr>
          <w:rFonts w:ascii="Garamond" w:hAnsi="Garamond" w:eastAsia="Garamond" w:cs="Garamond"/>
          <w:color w:val="000000" w:themeColor="text1" w:themeTint="FF" w:themeShade="FF"/>
          <w:vertAlign w:val="subscript"/>
        </w:rPr>
        <w:t>2</w:t>
      </w:r>
      <w:r w:rsidRPr="185496FE" w:rsidR="00671E79">
        <w:rPr>
          <w:rFonts w:ascii="Garamond" w:hAnsi="Garamond" w:eastAsia="Garamond" w:cs="Garamond"/>
          <w:color w:val="000000" w:themeColor="text1" w:themeTint="FF" w:themeShade="FF"/>
          <w:sz w:val="22"/>
          <w:szCs w:val="22"/>
        </w:rPr>
        <w:t xml:space="preserve"> from good, moderate, unhealthy, and hazardous. As previously recommended from Term I, TROPOMI can also measure carbon monoxide (CO), and formaldehyde (HCHO), which are other pollutants of concern that directly affect human health. We did not incorporate these other pollutants into our air quality analysis but echo this recommendation as well.</w:t>
      </w:r>
    </w:p>
    <w:p w:rsidR="00060C16" w:rsidP="185496FE" w:rsidRDefault="00671E79" w14:paraId="12616B38" w14:textId="011DAC29">
      <w:pPr>
        <w:pStyle w:val="Normal"/>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1"/>
          <w:bCs w:val="1"/>
          <w:color w:val="365F91"/>
          <w:sz w:val="28"/>
          <w:szCs w:val="28"/>
        </w:rPr>
      </w:pPr>
    </w:p>
    <w:p w:rsidR="00060C16" w:rsidP="185496FE" w:rsidRDefault="00671E79" w14:paraId="4022FCEE" w14:textId="5EEF32EC">
      <w:pPr>
        <w:pStyle w:val="Normal"/>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sz w:val="22"/>
          <w:szCs w:val="22"/>
        </w:rPr>
      </w:pPr>
      <w:r w:rsidRPr="185496FE" w:rsidR="00671E79">
        <w:rPr>
          <w:rFonts w:ascii="Garamond" w:hAnsi="Garamond" w:eastAsia="Garamond" w:cs="Garamond"/>
          <w:b w:val="1"/>
          <w:bCs w:val="1"/>
          <w:color w:val="365F91"/>
          <w:sz w:val="28"/>
          <w:szCs w:val="28"/>
        </w:rPr>
        <w:t>5. Conclusions</w:t>
      </w:r>
      <w:bookmarkStart w:name="_heading=h.1fob9te" w:id="155"/>
      <w:bookmarkEnd w:id="155"/>
    </w:p>
    <w:p w:rsidR="00060C16" w:rsidP="185496FE" w:rsidRDefault="00671E79" w14:paraId="245D4974" w14:textId="68D103A9">
      <w:pPr>
        <w:pStyle w:val="Normal"/>
        <w:keepNext w:val="1"/>
        <w:keepLines w:val="1"/>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sz w:val="22"/>
          <w:szCs w:val="22"/>
        </w:rPr>
      </w:pPr>
      <w:r w:rsidRPr="185496FE" w:rsidR="00671E79">
        <w:rPr>
          <w:rFonts w:ascii="Garamond" w:hAnsi="Garamond" w:eastAsia="Garamond" w:cs="Garamond"/>
          <w:sz w:val="22"/>
          <w:szCs w:val="22"/>
        </w:rPr>
        <w:t xml:space="preserve">While exploring urban heat islands and air pollution within the San Joaquin County, we </w:t>
      </w:r>
      <w:r w:rsidRPr="185496FE" w:rsidR="00671E79">
        <w:rPr>
          <w:rFonts w:ascii="Garamond" w:hAnsi="Garamond" w:eastAsia="Garamond" w:cs="Garamond"/>
          <w:sz w:val="22"/>
          <w:szCs w:val="22"/>
        </w:rPr>
        <w:t>observed</w:t>
      </w:r>
      <w:r w:rsidRPr="185496FE" w:rsidR="00671E79">
        <w:rPr>
          <w:rFonts w:ascii="Garamond" w:hAnsi="Garamond" w:eastAsia="Garamond" w:cs="Garamond"/>
          <w:sz w:val="22"/>
          <w:szCs w:val="22"/>
        </w:rPr>
        <w:t xml:space="preserve"> that southern Stockton, where our partners for this project </w:t>
      </w:r>
      <w:r w:rsidRPr="185496FE" w:rsidR="00671E79">
        <w:rPr>
          <w:rFonts w:ascii="Garamond" w:hAnsi="Garamond" w:eastAsia="Garamond" w:cs="Garamond"/>
          <w:sz w:val="22"/>
          <w:szCs w:val="22"/>
        </w:rPr>
        <w:t>reside</w:t>
      </w:r>
      <w:r w:rsidRPr="185496FE" w:rsidR="00671E79">
        <w:rPr>
          <w:rFonts w:ascii="Garamond" w:hAnsi="Garamond" w:eastAsia="Garamond" w:cs="Garamond"/>
          <w:sz w:val="22"/>
          <w:szCs w:val="22"/>
        </w:rPr>
        <w:t xml:space="preserve">, has a higher exposure rate to environmental issues compared its northern and rural counterparts. We discovered through our analysis of combining demographic data with our heat analysis map that southern communities disproportionately experienced increased urban temperatures. Additionally, through our analysis of developed landcover, we saw a large presence of poor air quality </w:t>
      </w:r>
      <w:r w:rsidRPr="185496FE" w:rsidR="00671E79">
        <w:rPr>
          <w:rFonts w:ascii="Garamond" w:hAnsi="Garamond" w:eastAsia="Garamond" w:cs="Garamond"/>
          <w:sz w:val="22"/>
          <w:szCs w:val="22"/>
        </w:rPr>
        <w:t>possibly due</w:t>
      </w:r>
      <w:r w:rsidRPr="185496FE" w:rsidR="00671E79">
        <w:rPr>
          <w:rFonts w:ascii="Garamond" w:hAnsi="Garamond" w:eastAsia="Garamond" w:cs="Garamond"/>
          <w:sz w:val="22"/>
          <w:szCs w:val="22"/>
        </w:rPr>
        <w:t xml:space="preserve"> to major developments such as an airport, major highways, and shipment ports. This adds to the overall concern of increased health risks, such as high asthma rates, because of Stockton's history of redlining minority based low-income communities. Our vegetation and landcover analysis illustrated the lack of tree canopy cover in southern communities, which can intensify the effects of urban heat islands in these areas. Furthermore, after running statistical analysis comparing the differences in heat between north, south, and rural areas of Stockton we concluded that southern communities are at a much higher risk to increased temperatures</w:t>
      </w:r>
      <w:r w:rsidRPr="185496FE" w:rsidR="00671E79">
        <w:rPr>
          <w:rFonts w:ascii="Garamond" w:hAnsi="Garamond" w:eastAsia="Garamond" w:cs="Garamond"/>
          <w:sz w:val="22"/>
          <w:szCs w:val="22"/>
        </w:rPr>
        <w:t xml:space="preserve">. </w:t>
      </w:r>
      <w:r w:rsidRPr="185496FE" w:rsidR="00671E79">
        <w:rPr>
          <w:rFonts w:ascii="Garamond" w:hAnsi="Garamond" w:eastAsia="Garamond" w:cs="Garamond"/>
          <w:sz w:val="22"/>
          <w:szCs w:val="22"/>
        </w:rPr>
        <w:t xml:space="preserve">These results will help LMR provide crucial information to the nearby community members and aid them in their efforts to continue their Urban Forestry Program. They can also </w:t>
      </w:r>
      <w:r w:rsidRPr="185496FE" w:rsidR="624880D3">
        <w:rPr>
          <w:rFonts w:ascii="Garamond" w:hAnsi="Garamond" w:eastAsia="Garamond" w:cs="Garamond"/>
          <w:sz w:val="22"/>
          <w:szCs w:val="22"/>
        </w:rPr>
        <w:t xml:space="preserve">be used </w:t>
      </w:r>
      <w:r w:rsidRPr="185496FE" w:rsidR="00671E79">
        <w:rPr>
          <w:rFonts w:ascii="Garamond" w:hAnsi="Garamond" w:eastAsia="Garamond" w:cs="Garamond"/>
          <w:sz w:val="22"/>
          <w:szCs w:val="22"/>
        </w:rPr>
        <w:t xml:space="preserve">in urging the city to provide more funding that is directed toward providing cooling centers and heat mitigation strategies. </w:t>
      </w:r>
    </w:p>
    <w:p w:rsidR="00060C16" w:rsidRDefault="00060C16" w14:paraId="29D7B2D2" w14:textId="77777777">
      <w:pPr>
        <w:keepNext/>
        <w:keepLines/>
        <w:spacing w:after="0" w:line="240" w:lineRule="auto"/>
        <w:rPr>
          <w:rFonts w:ascii="Garamond" w:hAnsi="Garamond" w:eastAsia="Garamond" w:cs="Garamond"/>
          <w:sz w:val="22"/>
          <w:szCs w:val="22"/>
        </w:rPr>
      </w:pPr>
    </w:p>
    <w:p w:rsidR="00060C16" w:rsidP="185496FE" w:rsidRDefault="00671E79" w14:paraId="5A5439D1" w14:textId="48FDCB43">
      <w:pPr>
        <w:pStyle w:val="Heading1"/>
        <w:spacing w:before="0" w:after="0" w:line="240" w:lineRule="auto"/>
        <w:rPr>
          <w:rFonts w:ascii="Garamond" w:hAnsi="Garamond" w:eastAsia="Garamond" w:cs="Garamond"/>
          <w:color w:val="0D0D0D" w:themeColor="text1" w:themeTint="F2" w:themeShade="FF"/>
          <w:sz w:val="22"/>
          <w:szCs w:val="22"/>
        </w:rPr>
      </w:pPr>
      <w:r w:rsidRPr="185496FE" w:rsidR="00671E79">
        <w:rPr>
          <w:rFonts w:ascii="Garamond" w:hAnsi="Garamond" w:eastAsia="Garamond" w:cs="Garamond"/>
          <w:b w:val="1"/>
          <w:bCs w:val="1"/>
          <w:color w:val="365F91"/>
          <w:sz w:val="28"/>
          <w:szCs w:val="28"/>
        </w:rPr>
        <w:t>6. Acknowledgements</w:t>
      </w:r>
    </w:p>
    <w:p w:rsidR="00060C16" w:rsidP="185496FE" w:rsidRDefault="00671E79" w14:paraId="71FD339C" w14:textId="333A754A">
      <w:pPr>
        <w:pStyle w:val="Heading1"/>
        <w:spacing w:before="0" w:after="0" w:line="240" w:lineRule="auto"/>
        <w:rPr>
          <w:rFonts w:ascii="Garamond" w:hAnsi="Garamond" w:eastAsia="Garamond" w:cs="Garamond"/>
          <w:color w:val="0D0D0D" w:themeColor="text1" w:themeTint="F2"/>
          <w:sz w:val="22"/>
          <w:szCs w:val="22"/>
        </w:rPr>
      </w:pPr>
      <w:r w:rsidRPr="185496FE" w:rsidR="00671E79">
        <w:rPr>
          <w:rFonts w:ascii="Garamond" w:hAnsi="Garamond" w:eastAsia="Garamond" w:cs="Garamond"/>
          <w:sz w:val="22"/>
          <w:szCs w:val="22"/>
        </w:rPr>
        <w:t xml:space="preserve">We would like to thank our partner, Little Manila Rising, for their collaboration. Thank you to everyone that helped and guided us in this project. Thank you to our advisors Dr. Morgan Gilmour, Dr. Juan Torres-Perez, Dr. Xia Cai, Dr. Kenton Ross, Dr. Joshua </w:t>
      </w:r>
      <w:r w:rsidRPr="185496FE" w:rsidR="00671E79">
        <w:rPr>
          <w:rFonts w:ascii="Garamond" w:hAnsi="Garamond" w:eastAsia="Garamond" w:cs="Garamond"/>
          <w:sz w:val="22"/>
          <w:szCs w:val="22"/>
        </w:rPr>
        <w:t>Dimon</w:t>
      </w:r>
      <w:r w:rsidRPr="185496FE" w:rsidR="00671E79">
        <w:rPr>
          <w:rFonts w:ascii="Garamond" w:hAnsi="Garamond" w:eastAsia="Garamond" w:cs="Garamond"/>
          <w:sz w:val="22"/>
          <w:szCs w:val="22"/>
        </w:rPr>
        <w:t xml:space="preserve">, and Lisa Tanh who showed up every week to answer any questions we had and guided us in this process. Big thank you to our Center Lead Lauren Webster and Impact Analysis Fellow Maya Hall who showed us the ropes in this stressful process with many big learning </w:t>
      </w:r>
      <w:r w:rsidRPr="185496FE" w:rsidR="00671E79">
        <w:rPr>
          <w:rFonts w:ascii="Garamond" w:hAnsi="Garamond" w:eastAsia="Garamond" w:cs="Garamond"/>
          <w:color w:val="000000" w:themeColor="text1" w:themeTint="FF" w:themeShade="FF"/>
          <w:sz w:val="22"/>
          <w:szCs w:val="22"/>
        </w:rPr>
        <w:t>curves.</w:t>
      </w:r>
    </w:p>
    <w:p w:rsidR="00060C16" w:rsidRDefault="00671E79" w14:paraId="19B1E22F" w14:textId="77777777">
      <w:pPr>
        <w:shd w:val="clear" w:color="auto" w:fill="FFFFFF"/>
        <w:spacing w:after="0" w:line="240" w:lineRule="auto"/>
        <w:rPr>
          <w:rFonts w:ascii="Garamond" w:hAnsi="Garamond" w:eastAsia="Garamond" w:cs="Garamond"/>
          <w:color w:val="0D0D0D"/>
          <w:sz w:val="22"/>
          <w:szCs w:val="22"/>
        </w:rPr>
      </w:pPr>
      <w:r>
        <w:rPr>
          <w:rFonts w:ascii="Garamond" w:hAnsi="Garamond" w:eastAsia="Garamond" w:cs="Garamond"/>
          <w:color w:val="0D0D0D"/>
          <w:sz w:val="22"/>
          <w:szCs w:val="22"/>
        </w:rPr>
        <w:t>This material contains modified Copernicus Sentinel data (2023), processed by ESA. Any opinions, findings, and conclusions or recommendations expressed in this material are those of the author(s) and do not necessarily reflect the views of the National Aeronautics and Space Administration. This material is based upon work supported by NASA through contract 80LARC23FA024.</w:t>
      </w:r>
    </w:p>
    <w:p w:rsidR="00060C16" w:rsidP="185496FE" w:rsidRDefault="00060C16" w14:paraId="7DEF6BED" w14:textId="7B5D7466">
      <w:pPr>
        <w:pStyle w:val="Normal"/>
        <w:spacing w:before="0" w:after="0" w:line="240" w:lineRule="auto"/>
        <w:rPr>
          <w:rFonts w:ascii="Garamond" w:hAnsi="Garamond" w:eastAsia="Garamond" w:cs="Garamond"/>
          <w:b w:val="1"/>
          <w:bCs w:val="1"/>
          <w:color w:val="365F91"/>
          <w:sz w:val="28"/>
          <w:szCs w:val="28"/>
        </w:rPr>
      </w:pPr>
    </w:p>
    <w:p w:rsidR="006F766B" w:rsidP="67EB5AAA" w:rsidRDefault="00671E79" w14:paraId="1C93B2D0" w14:textId="115FACED">
      <w:pPr>
        <w:pStyle w:val="Heading1"/>
        <w:spacing w:before="0" w:after="0" w:line="240" w:lineRule="auto"/>
        <w:rPr>
          <w:rFonts w:ascii="Garamond" w:hAnsi="Garamond" w:eastAsia="Garamond" w:cs="Garamond"/>
          <w:b/>
          <w:bCs/>
          <w:color w:val="365F91"/>
          <w:sz w:val="28"/>
          <w:szCs w:val="28"/>
        </w:rPr>
      </w:pPr>
      <w:r w:rsidRPr="67EB5AAA">
        <w:rPr>
          <w:rFonts w:ascii="Garamond" w:hAnsi="Garamond" w:eastAsia="Garamond" w:cs="Garamond"/>
          <w:b/>
          <w:bCs/>
          <w:color w:val="365F91"/>
          <w:sz w:val="28"/>
          <w:szCs w:val="28"/>
        </w:rPr>
        <w:lastRenderedPageBreak/>
        <w:t>7. Glossary</w:t>
      </w:r>
    </w:p>
    <w:p w:rsidR="00060C16" w:rsidRDefault="00671E79" w14:paraId="43E8CA6A" w14:textId="77777777">
      <w:pPr>
        <w:spacing w:after="0" w:line="240" w:lineRule="auto"/>
      </w:pPr>
      <w:r>
        <w:rPr>
          <w:rFonts w:ascii="Garamond" w:hAnsi="Garamond" w:eastAsia="Garamond" w:cs="Garamond"/>
          <w:b/>
          <w:color w:val="0D0D0D"/>
        </w:rPr>
        <w:t>Aerosol Optical Depth (AOD)</w:t>
      </w:r>
      <w:r>
        <w:rPr>
          <w:rFonts w:ascii="Garamond" w:hAnsi="Garamond" w:eastAsia="Garamond" w:cs="Garamond"/>
          <w:color w:val="0D0D0D"/>
        </w:rPr>
        <w:t xml:space="preserve"> – A measure of aerosols distributed within a column of air from the measuring instrument to either the ground or top of the atmosphere.</w:t>
      </w:r>
    </w:p>
    <w:p w:rsidR="00060C16" w:rsidRDefault="00671E79" w14:paraId="54AA26BD" w14:textId="77777777">
      <w:pPr>
        <w:spacing w:after="0" w:line="240" w:lineRule="auto"/>
        <w:rPr>
          <w:rFonts w:ascii="Garamond" w:hAnsi="Garamond" w:eastAsia="Garamond" w:cs="Garamond"/>
          <w:color w:val="0D0D0D"/>
        </w:rPr>
      </w:pPr>
      <w:r>
        <w:rPr>
          <w:rFonts w:ascii="Garamond" w:hAnsi="Garamond" w:eastAsia="Garamond" w:cs="Garamond"/>
          <w:b/>
          <w:color w:val="0D0D0D"/>
        </w:rPr>
        <w:t>ArcGIS Pro</w:t>
      </w:r>
      <w:r>
        <w:rPr>
          <w:rFonts w:ascii="Garamond" w:hAnsi="Garamond" w:eastAsia="Garamond" w:cs="Garamond"/>
          <w:color w:val="0D0D0D"/>
        </w:rPr>
        <w:t xml:space="preserve"> – Geographic Information System (GIS) Software provided by Esri.</w:t>
      </w:r>
    </w:p>
    <w:p w:rsidR="00060C16" w:rsidRDefault="00671E79" w14:paraId="1E9CFF86" w14:textId="77777777">
      <w:pPr>
        <w:spacing w:after="0" w:line="240" w:lineRule="auto"/>
        <w:rPr>
          <w:rFonts w:ascii="Garamond" w:hAnsi="Garamond" w:eastAsia="Garamond" w:cs="Garamond"/>
          <w:color w:val="0D0D0D"/>
        </w:rPr>
      </w:pPr>
      <w:r>
        <w:rPr>
          <w:rFonts w:ascii="Garamond" w:hAnsi="Garamond" w:eastAsia="Garamond" w:cs="Garamond"/>
          <w:b/>
          <w:color w:val="0D0D0D"/>
        </w:rPr>
        <w:t xml:space="preserve">Canopy Cover </w:t>
      </w:r>
      <w:r>
        <w:rPr>
          <w:rFonts w:ascii="Garamond" w:hAnsi="Garamond" w:eastAsia="Garamond" w:cs="Garamond"/>
          <w:color w:val="0D0D0D"/>
        </w:rPr>
        <w:t>–</w:t>
      </w:r>
      <w:r>
        <w:rPr>
          <w:rFonts w:ascii="Garamond" w:hAnsi="Garamond" w:eastAsia="Garamond" w:cs="Garamond"/>
          <w:b/>
          <w:color w:val="0D0D0D"/>
        </w:rPr>
        <w:t xml:space="preserve"> </w:t>
      </w:r>
      <w:r>
        <w:rPr>
          <w:rFonts w:ascii="Garamond" w:hAnsi="Garamond" w:eastAsia="Garamond" w:cs="Garamond"/>
          <w:color w:val="0D0D0D"/>
        </w:rPr>
        <w:t>The floor area covered by a tree's leaves, branches, and stems when viewed from above.</w:t>
      </w:r>
    </w:p>
    <w:p w:rsidR="00060C16" w:rsidRDefault="00671E79" w14:paraId="08036983" w14:textId="1A189B12" w14:noSpellErr="1">
      <w:pPr>
        <w:spacing w:after="0" w:line="240" w:lineRule="auto"/>
        <w:rPr>
          <w:rFonts w:ascii="Garamond" w:hAnsi="Garamond" w:eastAsia="Garamond" w:cs="Garamond"/>
          <w:color w:val="0D0D0D"/>
        </w:rPr>
      </w:pPr>
      <w:r w:rsidRPr="6DEE4987" w:rsidR="00671E79">
        <w:rPr>
          <w:rFonts w:ascii="Garamond" w:hAnsi="Garamond" w:eastAsia="Garamond" w:cs="Garamond"/>
          <w:b w:val="1"/>
          <w:bCs w:val="1"/>
          <w:color w:val="0D0D0D" w:themeColor="text1" w:themeTint="F2" w:themeShade="FF"/>
        </w:rPr>
        <w:t>Earth Observations</w:t>
      </w:r>
      <w:r w:rsidRPr="6DEE4987" w:rsidR="00671E79">
        <w:rPr>
          <w:rFonts w:ascii="Garamond" w:hAnsi="Garamond" w:eastAsia="Garamond" w:cs="Garamond"/>
          <w:color w:val="0D0D0D" w:themeColor="text1" w:themeTint="F2" w:themeShade="FF"/>
        </w:rPr>
        <w:t xml:space="preserve"> </w:t>
      </w:r>
      <w:r w:rsidRPr="6DEE4987" w:rsidR="6E4EAFA6">
        <w:rPr>
          <w:rFonts w:ascii="Garamond" w:hAnsi="Garamond" w:eastAsia="Garamond" w:cs="Garamond"/>
          <w:color w:val="0D0D0D" w:themeColor="text1" w:themeTint="F2" w:themeShade="FF"/>
        </w:rPr>
        <w:t xml:space="preserve">(EOs) </w:t>
      </w:r>
      <w:r w:rsidRPr="6DEE4987" w:rsidR="00671E79">
        <w:rPr>
          <w:rFonts w:ascii="Garamond" w:hAnsi="Garamond" w:eastAsia="Garamond" w:cs="Garamond"/>
          <w:color w:val="0D0D0D" w:themeColor="text1" w:themeTint="F2" w:themeShade="FF"/>
        </w:rPr>
        <w:t>– satellites and sensors that collect information about the Earth’s physical, chemical, and biological systems over space and time.</w:t>
      </w:r>
    </w:p>
    <w:p w:rsidR="00060C16" w:rsidRDefault="00671E79" w14:paraId="05F3720D" w14:textId="77777777">
      <w:pPr>
        <w:spacing w:after="0" w:line="240" w:lineRule="auto"/>
        <w:rPr>
          <w:rFonts w:ascii="Garamond" w:hAnsi="Garamond" w:eastAsia="Garamond" w:cs="Garamond"/>
          <w:color w:val="0D0D0D"/>
        </w:rPr>
      </w:pPr>
      <w:r>
        <w:rPr>
          <w:rFonts w:ascii="Garamond" w:hAnsi="Garamond" w:eastAsia="Garamond" w:cs="Garamond"/>
          <w:b/>
          <w:color w:val="0D0D0D"/>
        </w:rPr>
        <w:t>Geographic Information System (GIS)</w:t>
      </w:r>
      <w:r>
        <w:rPr>
          <w:rFonts w:ascii="Garamond" w:hAnsi="Garamond" w:eastAsia="Garamond" w:cs="Garamond"/>
          <w:color w:val="0D0D0D"/>
        </w:rPr>
        <w:t xml:space="preserve"> – computer-based tools used to store, visualize, analyze, and interpret geographic data.</w:t>
      </w:r>
    </w:p>
    <w:p w:rsidR="00060C16" w:rsidRDefault="00671E79" w14:paraId="676B1DAF" w14:textId="77777777">
      <w:pPr>
        <w:spacing w:after="0" w:line="240" w:lineRule="auto"/>
        <w:rPr>
          <w:rFonts w:ascii="Garamond" w:hAnsi="Garamond" w:eastAsia="Garamond" w:cs="Garamond"/>
          <w:color w:val="0D0D0D"/>
        </w:rPr>
      </w:pPr>
      <w:r>
        <w:rPr>
          <w:rFonts w:ascii="Garamond" w:hAnsi="Garamond" w:eastAsia="Garamond" w:cs="Garamond"/>
          <w:b/>
          <w:color w:val="0D0D0D"/>
        </w:rPr>
        <w:t>Google Earth Engine (GEE)</w:t>
      </w:r>
      <w:r>
        <w:rPr>
          <w:rFonts w:ascii="Garamond" w:hAnsi="Garamond" w:eastAsia="Garamond" w:cs="Garamond"/>
          <w:color w:val="0D0D0D"/>
        </w:rPr>
        <w:t xml:space="preserve"> –Earth observations processing </w:t>
      </w:r>
      <w:proofErr w:type="gramStart"/>
      <w:r>
        <w:rPr>
          <w:rFonts w:ascii="Garamond" w:hAnsi="Garamond" w:eastAsia="Garamond" w:cs="Garamond"/>
          <w:color w:val="0D0D0D"/>
        </w:rPr>
        <w:t>software</w:t>
      </w:r>
      <w:proofErr w:type="gramEnd"/>
    </w:p>
    <w:p w:rsidR="00060C16" w:rsidRDefault="00671E79" w14:paraId="135EAEEC" w14:textId="77777777">
      <w:pPr>
        <w:spacing w:after="0" w:line="240" w:lineRule="auto"/>
        <w:rPr>
          <w:rFonts w:ascii="Garamond" w:hAnsi="Garamond" w:eastAsia="Garamond" w:cs="Garamond"/>
          <w:color w:val="0D0D0D"/>
        </w:rPr>
      </w:pPr>
      <w:r>
        <w:rPr>
          <w:rFonts w:ascii="Garamond" w:hAnsi="Garamond" w:eastAsia="Garamond" w:cs="Garamond"/>
          <w:b/>
          <w:color w:val="0D0D0D"/>
        </w:rPr>
        <w:t xml:space="preserve">Land Surface Temperature (LST) – </w:t>
      </w:r>
      <w:r>
        <w:rPr>
          <w:rFonts w:ascii="Garamond" w:hAnsi="Garamond" w:eastAsia="Garamond" w:cs="Garamond"/>
          <w:color w:val="0D0D0D"/>
        </w:rPr>
        <w:t>A proxy for calculating the temperature emitted of man-made objects and materials.</w:t>
      </w:r>
    </w:p>
    <w:p w:rsidR="00060C16" w:rsidRDefault="00671E79" w14:paraId="3269603D" w14:textId="77777777">
      <w:pPr>
        <w:spacing w:after="0" w:line="240" w:lineRule="auto"/>
        <w:rPr>
          <w:rFonts w:ascii="Garamond" w:hAnsi="Garamond" w:eastAsia="Garamond" w:cs="Garamond"/>
          <w:b/>
          <w:color w:val="0D0D0D"/>
        </w:rPr>
      </w:pPr>
      <w:r>
        <w:rPr>
          <w:rFonts w:ascii="Garamond" w:hAnsi="Garamond" w:eastAsia="Garamond" w:cs="Garamond"/>
          <w:b/>
          <w:color w:val="0D0D0D"/>
        </w:rPr>
        <w:t>Land Surface Temperature Air Quality Index (LSTAQI)</w:t>
      </w:r>
      <w:r>
        <w:rPr>
          <w:rFonts w:ascii="Garamond" w:hAnsi="Garamond" w:eastAsia="Garamond" w:cs="Garamond"/>
          <w:color w:val="0D0D0D"/>
        </w:rPr>
        <w:t xml:space="preserve"> – The LSTAQI is an index made by weighing the land surface temperature and NO</w:t>
      </w:r>
      <w:r>
        <w:rPr>
          <w:rFonts w:ascii="Garamond" w:hAnsi="Garamond" w:eastAsia="Garamond" w:cs="Garamond"/>
          <w:color w:val="0D0D0D"/>
          <w:vertAlign w:val="subscript"/>
        </w:rPr>
        <w:t>2</w:t>
      </w:r>
      <w:r>
        <w:rPr>
          <w:rFonts w:ascii="Garamond" w:hAnsi="Garamond" w:eastAsia="Garamond" w:cs="Garamond"/>
          <w:color w:val="0D0D0D"/>
        </w:rPr>
        <w:t xml:space="preserve"> values and adding them together. This index is compared with the social vulnerability index to find converging vulnerabilities.</w:t>
      </w:r>
    </w:p>
    <w:p w:rsidR="00060C16" w:rsidRDefault="00671E79" w14:paraId="0F9DC919" w14:textId="77777777">
      <w:pPr>
        <w:spacing w:after="0" w:line="240" w:lineRule="auto"/>
        <w:rPr>
          <w:rFonts w:ascii="Garamond" w:hAnsi="Garamond" w:eastAsia="Garamond" w:cs="Garamond"/>
          <w:color w:val="0D0D0D"/>
        </w:rPr>
      </w:pPr>
      <w:r>
        <w:rPr>
          <w:rFonts w:ascii="Garamond" w:hAnsi="Garamond" w:eastAsia="Garamond" w:cs="Garamond"/>
          <w:b/>
          <w:color w:val="0D0D0D"/>
        </w:rPr>
        <w:t xml:space="preserve">National Agriculture Imagery Program (NAIP) </w:t>
      </w:r>
      <w:r>
        <w:rPr>
          <w:rFonts w:ascii="Garamond" w:hAnsi="Garamond" w:eastAsia="Garamond" w:cs="Garamond"/>
          <w:color w:val="0D0D0D"/>
        </w:rPr>
        <w:t xml:space="preserve">– NAIP is aerial imagery taken aboard an airplane rather than a satellite. </w:t>
      </w:r>
    </w:p>
    <w:p w:rsidR="00060C16" w:rsidRDefault="00671E79" w14:paraId="33387BC1" w14:textId="77777777">
      <w:pPr>
        <w:spacing w:after="0" w:line="240" w:lineRule="auto"/>
        <w:rPr>
          <w:rFonts w:ascii="Garamond" w:hAnsi="Garamond" w:eastAsia="Garamond" w:cs="Garamond"/>
          <w:color w:val="0D0D0D"/>
        </w:rPr>
      </w:pPr>
      <w:bookmarkStart w:name="_heading=h.3znysh7" w:colFirst="0" w:colLast="0" w:id="162"/>
      <w:bookmarkEnd w:id="162"/>
      <w:r>
        <w:rPr>
          <w:rFonts w:ascii="Garamond" w:hAnsi="Garamond" w:eastAsia="Garamond" w:cs="Garamond"/>
          <w:b/>
          <w:color w:val="000000"/>
        </w:rPr>
        <w:t>Nitrogen Dioxide (NO</w:t>
      </w:r>
      <w:r>
        <w:rPr>
          <w:rFonts w:ascii="Garamond" w:hAnsi="Garamond" w:eastAsia="Garamond" w:cs="Garamond"/>
          <w:b/>
          <w:color w:val="000000"/>
          <w:vertAlign w:val="subscript"/>
        </w:rPr>
        <w:t>2</w:t>
      </w:r>
      <w:r>
        <w:rPr>
          <w:rFonts w:ascii="Garamond" w:hAnsi="Garamond" w:eastAsia="Garamond" w:cs="Garamond"/>
          <w:b/>
          <w:color w:val="000000"/>
        </w:rPr>
        <w:t xml:space="preserve">) </w:t>
      </w:r>
      <w:r>
        <w:rPr>
          <w:rFonts w:ascii="Garamond" w:hAnsi="Garamond" w:eastAsia="Garamond" w:cs="Garamond"/>
          <w:color w:val="0D0D0D"/>
        </w:rPr>
        <w:t>– Nitrogen Dioxide used as a proxy for vehicle emissions.</w:t>
      </w:r>
    </w:p>
    <w:p w:rsidR="00060C16" w:rsidRDefault="00671E79" w14:paraId="18F07362" w14:textId="77777777">
      <w:pPr>
        <w:spacing w:after="0" w:line="240" w:lineRule="auto"/>
        <w:rPr>
          <w:rFonts w:ascii="Garamond" w:hAnsi="Garamond" w:eastAsia="Garamond" w:cs="Garamond"/>
          <w:color w:val="0D0D0D"/>
        </w:rPr>
      </w:pPr>
      <w:r>
        <w:rPr>
          <w:rFonts w:ascii="Garamond" w:hAnsi="Garamond" w:eastAsia="Garamond" w:cs="Garamond"/>
          <w:b/>
          <w:color w:val="0D0D0D"/>
        </w:rPr>
        <w:t xml:space="preserve">Operational Land Manger (OLI) – </w:t>
      </w:r>
      <w:r>
        <w:rPr>
          <w:rFonts w:ascii="Garamond" w:hAnsi="Garamond" w:eastAsia="Garamond" w:cs="Garamond"/>
          <w:color w:val="0D0D0D"/>
        </w:rPr>
        <w:t xml:space="preserve">sensor on Landsat-8 satellite. </w:t>
      </w:r>
    </w:p>
    <w:p w:rsidR="00060C16" w:rsidRDefault="00671E79" w14:paraId="5B872907" w14:textId="77777777">
      <w:pPr>
        <w:spacing w:after="0" w:line="240" w:lineRule="auto"/>
        <w:rPr>
          <w:rFonts w:ascii="Garamond" w:hAnsi="Garamond" w:eastAsia="Garamond" w:cs="Garamond"/>
        </w:rPr>
      </w:pPr>
      <w:r>
        <w:rPr>
          <w:rFonts w:ascii="Garamond" w:hAnsi="Garamond" w:eastAsia="Garamond" w:cs="Garamond"/>
          <w:b/>
        </w:rPr>
        <w:t xml:space="preserve">Principal Component Analysis (PCA) – </w:t>
      </w:r>
      <w:r>
        <w:rPr>
          <w:rFonts w:ascii="Garamond" w:hAnsi="Garamond" w:eastAsia="Garamond" w:cs="Garamond"/>
        </w:rPr>
        <w:t>A statistical test used when wanting to find the correlation between multiple related variables.</w:t>
      </w:r>
    </w:p>
    <w:p w:rsidR="00060C16" w:rsidRDefault="00671E79" w14:paraId="6B3DD4BF" w14:textId="77777777">
      <w:pPr>
        <w:spacing w:after="0" w:line="240" w:lineRule="auto"/>
        <w:rPr>
          <w:rFonts w:ascii="Garamond" w:hAnsi="Garamond" w:eastAsia="Garamond" w:cs="Garamond"/>
          <w:color w:val="0D0D0D"/>
        </w:rPr>
      </w:pPr>
      <w:r>
        <w:rPr>
          <w:rFonts w:ascii="Garamond" w:hAnsi="Garamond" w:eastAsia="Garamond" w:cs="Garamond"/>
          <w:b/>
          <w:color w:val="0D0D0D"/>
        </w:rPr>
        <w:t xml:space="preserve">Social Vulnerability Index (SVI) </w:t>
      </w:r>
      <w:r>
        <w:rPr>
          <w:rFonts w:ascii="Garamond" w:hAnsi="Garamond" w:eastAsia="Garamond" w:cs="Garamond"/>
          <w:color w:val="0D0D0D"/>
        </w:rPr>
        <w:t>- A way of measuring the “susceptibility” within a community using demographic data</w:t>
      </w:r>
      <w:r>
        <w:br/>
      </w:r>
      <w:r>
        <w:rPr>
          <w:rFonts w:ascii="Garamond" w:hAnsi="Garamond" w:eastAsia="Garamond" w:cs="Garamond"/>
          <w:b/>
          <w:color w:val="0D0D0D"/>
        </w:rPr>
        <w:t>Thermal Infrared Sensor (TIRS) –</w:t>
      </w:r>
      <w:r>
        <w:rPr>
          <w:rFonts w:ascii="Garamond" w:hAnsi="Garamond" w:eastAsia="Garamond" w:cs="Garamond"/>
          <w:color w:val="0D0D0D"/>
        </w:rPr>
        <w:t xml:space="preserve"> sensor on Landsat-8 satellite.</w:t>
      </w:r>
    </w:p>
    <w:p w:rsidR="00060C16" w:rsidRDefault="00671E79" w14:paraId="3E17901C" w14:textId="77777777">
      <w:pPr>
        <w:spacing w:after="0" w:line="240" w:lineRule="auto"/>
        <w:rPr>
          <w:rFonts w:ascii="Garamond" w:hAnsi="Garamond" w:eastAsia="Garamond" w:cs="Garamond"/>
          <w:color w:val="0D0D0D"/>
        </w:rPr>
      </w:pPr>
      <w:r w:rsidRPr="185496FE" w:rsidR="00671E79">
        <w:rPr>
          <w:rFonts w:ascii="Garamond" w:hAnsi="Garamond" w:eastAsia="Garamond" w:cs="Garamond"/>
          <w:b w:val="1"/>
          <w:bCs w:val="1"/>
          <w:color w:val="0D0D0D" w:themeColor="text1" w:themeTint="F2" w:themeShade="FF"/>
        </w:rPr>
        <w:t>Tropospheric Monitoring Instrument (TROPOMI)</w:t>
      </w:r>
      <w:r w:rsidRPr="185496FE" w:rsidR="00671E79">
        <w:rPr>
          <w:rFonts w:ascii="Garamond" w:hAnsi="Garamond" w:eastAsia="Garamond" w:cs="Garamond"/>
          <w:color w:val="0D0D0D" w:themeColor="text1" w:themeTint="F2" w:themeShade="FF"/>
        </w:rPr>
        <w:t xml:space="preserve"> – sensor on the Sentinel-5P satellite that measures </w:t>
      </w:r>
      <w:r w:rsidRPr="185496FE" w:rsidR="00671E79">
        <w:rPr>
          <w:rFonts w:ascii="Garamond" w:hAnsi="Garamond" w:eastAsia="Garamond" w:cs="Garamond"/>
          <w:color w:val="0D0D0D" w:themeColor="text1" w:themeTint="F2" w:themeShade="FF"/>
        </w:rPr>
        <w:t>NO</w:t>
      </w:r>
      <w:r w:rsidRPr="185496FE" w:rsidR="00671E79">
        <w:rPr>
          <w:rFonts w:ascii="Garamond" w:hAnsi="Garamond" w:eastAsia="Garamond" w:cs="Garamond"/>
          <w:color w:val="0D0D0D" w:themeColor="text1" w:themeTint="F2" w:themeShade="FF"/>
          <w:vertAlign w:val="subscript"/>
        </w:rPr>
        <w:t>2</w:t>
      </w:r>
    </w:p>
    <w:p w:rsidR="185496FE" w:rsidP="185496FE" w:rsidRDefault="185496FE" w14:paraId="38AC8B07" w14:textId="7E948876">
      <w:pPr>
        <w:pStyle w:val="Normal"/>
        <w:spacing w:after="0" w:line="240" w:lineRule="auto"/>
        <w:rPr>
          <w:rFonts w:ascii="Garamond" w:hAnsi="Garamond" w:eastAsia="Garamond" w:cs="Garamond"/>
          <w:color w:val="0D0D0D" w:themeColor="text1" w:themeTint="F2" w:themeShade="FF"/>
          <w:vertAlign w:val="subscript"/>
        </w:rPr>
      </w:pPr>
    </w:p>
    <w:p w:rsidR="00060C16" w:rsidP="185496FE" w:rsidRDefault="00671E79" w14:paraId="0B52CDBC" w14:textId="3F85C2C8">
      <w:pPr>
        <w:pStyle w:val="Normal"/>
        <w:rPr>
          <w:rFonts w:ascii="Garamond" w:hAnsi="Garamond" w:eastAsia="Garamond" w:cs="Garamond"/>
          <w:b w:val="1"/>
          <w:bCs w:val="1"/>
          <w:color w:val="365F91"/>
          <w:sz w:val="28"/>
          <w:szCs w:val="28"/>
        </w:rPr>
      </w:pPr>
      <w:r w:rsidRPr="185496FE" w:rsidR="00671E79">
        <w:rPr>
          <w:rFonts w:ascii="Garamond" w:hAnsi="Garamond" w:eastAsia="Garamond" w:cs="Garamond"/>
          <w:b w:val="1"/>
          <w:bCs w:val="1"/>
          <w:color w:val="365F91"/>
          <w:sz w:val="28"/>
          <w:szCs w:val="28"/>
        </w:rPr>
        <w:t>8. References</w:t>
      </w:r>
    </w:p>
    <w:p w:rsidR="00060C16" w:rsidRDefault="00671E79" w14:paraId="02AB5ABA" w14:textId="77777777">
      <w:pPr>
        <w:spacing w:after="0" w:line="240" w:lineRule="auto"/>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ARSET - Satellite Remote Sensing for Measuring Urban Heat Islands and Constructing Heat Vulnerability Indices. (2022). NASA Applied Remote Sensing Training Program (ARSET). </w:t>
      </w:r>
      <w:hyperlink r:id="rId20">
        <w:r>
          <w:rPr>
            <w:rFonts w:ascii="Garamond" w:hAnsi="Garamond" w:eastAsia="Garamond" w:cs="Garamond"/>
            <w:color w:val="467886"/>
            <w:sz w:val="22"/>
            <w:szCs w:val="22"/>
            <w:u w:val="single"/>
          </w:rPr>
          <w:t>http://appliedsciences.nasa.gov/get-involved/training/english/arset-satellite-remote-sensing-measuring-urban-heat-islands-and</w:t>
        </w:r>
      </w:hyperlink>
    </w:p>
    <w:p w:rsidR="00060C16" w:rsidRDefault="00060C16" w14:paraId="02C4323E" w14:textId="77777777">
      <w:pPr>
        <w:spacing w:after="0" w:line="240" w:lineRule="auto"/>
        <w:ind w:left="720" w:hanging="720"/>
        <w:rPr>
          <w:rFonts w:ascii="Garamond" w:hAnsi="Garamond" w:eastAsia="Garamond" w:cs="Garamond"/>
          <w:color w:val="000000"/>
          <w:sz w:val="22"/>
          <w:szCs w:val="22"/>
        </w:rPr>
      </w:pPr>
    </w:p>
    <w:p w:rsidR="00060C16" w:rsidRDefault="00671E79" w14:paraId="3BC82F7F" w14:textId="77777777">
      <w:pPr>
        <w:spacing w:after="0" w:line="240" w:lineRule="auto"/>
        <w:ind w:left="720" w:hanging="720"/>
        <w:rPr>
          <w:rFonts w:ascii="Garamond" w:hAnsi="Garamond" w:eastAsia="Garamond" w:cs="Garamond"/>
          <w:color w:val="467886"/>
          <w:sz w:val="22"/>
          <w:szCs w:val="22"/>
          <w:u w:val="single"/>
        </w:rPr>
      </w:pPr>
      <w:r>
        <w:rPr>
          <w:rFonts w:ascii="Garamond" w:hAnsi="Garamond" w:eastAsia="Garamond" w:cs="Garamond"/>
          <w:color w:val="000000"/>
          <w:sz w:val="22"/>
          <w:szCs w:val="22"/>
        </w:rPr>
        <w:t xml:space="preserve">California Air Resources Board. (2019, January 24). </w:t>
      </w:r>
      <w:r>
        <w:rPr>
          <w:rFonts w:ascii="Garamond" w:hAnsi="Garamond" w:eastAsia="Garamond" w:cs="Garamond"/>
          <w:i/>
          <w:color w:val="000000"/>
          <w:sz w:val="22"/>
          <w:szCs w:val="22"/>
        </w:rPr>
        <w:t>Clean-air plan for San Joaquin Valley first to meet all federal standards for fine particle pollution | California Air Resources Board</w:t>
      </w:r>
      <w:r>
        <w:rPr>
          <w:rFonts w:ascii="Garamond" w:hAnsi="Garamond" w:eastAsia="Garamond" w:cs="Garamond"/>
          <w:color w:val="000000"/>
          <w:sz w:val="22"/>
          <w:szCs w:val="22"/>
        </w:rPr>
        <w:t xml:space="preserve">. </w:t>
      </w:r>
      <w:hyperlink r:id="rId21">
        <w:r>
          <w:rPr>
            <w:rFonts w:ascii="Garamond" w:hAnsi="Garamond" w:eastAsia="Garamond" w:cs="Garamond"/>
            <w:color w:val="467886"/>
            <w:sz w:val="22"/>
            <w:szCs w:val="22"/>
            <w:u w:val="single"/>
          </w:rPr>
          <w:t>https://ww2.arb.ca.gov/news/clean-air-plan-san-joaquin-valley-first-meet-all-federal-standards-fine-particle-pollution</w:t>
        </w:r>
      </w:hyperlink>
    </w:p>
    <w:p w:rsidR="00060C16" w:rsidRDefault="00060C16" w14:paraId="09D2E3BE" w14:textId="77777777">
      <w:pPr>
        <w:spacing w:after="0" w:line="240" w:lineRule="auto"/>
        <w:ind w:left="720" w:hanging="720"/>
        <w:rPr>
          <w:sz w:val="22"/>
          <w:szCs w:val="22"/>
        </w:rPr>
      </w:pPr>
    </w:p>
    <w:p w:rsidR="00060C16" w:rsidRDefault="00671E79" w14:paraId="7A779C3A" w14:textId="77777777">
      <w:pPr>
        <w:spacing w:line="240" w:lineRule="auto"/>
        <w:ind w:left="706" w:right="-14" w:hanging="720"/>
      </w:pPr>
      <w:r w:rsidRPr="6DEE4987" w:rsidR="00671E79">
        <w:rPr>
          <w:rFonts w:ascii="Garamond" w:hAnsi="Garamond" w:eastAsia="Garamond" w:cs="Garamond"/>
          <w:sz w:val="22"/>
          <w:szCs w:val="22"/>
        </w:rPr>
        <w:t xml:space="preserve">Centre for Geoinformatics &amp; Planetary Studies, Dept. of Geology, </w:t>
      </w:r>
      <w:r w:rsidRPr="6DEE4987" w:rsidR="00671E79">
        <w:rPr>
          <w:rFonts w:ascii="Garamond" w:hAnsi="Garamond" w:eastAsia="Garamond" w:cs="Garamond"/>
          <w:sz w:val="22"/>
          <w:szCs w:val="22"/>
        </w:rPr>
        <w:t>Periyar</w:t>
      </w:r>
      <w:r w:rsidRPr="6DEE4987" w:rsidR="00671E79">
        <w:rPr>
          <w:rFonts w:ascii="Garamond" w:hAnsi="Garamond" w:eastAsia="Garamond" w:cs="Garamond"/>
          <w:sz w:val="22"/>
          <w:szCs w:val="22"/>
        </w:rPr>
        <w:t xml:space="preserve"> University, Salem, </w:t>
      </w:r>
      <w:r w:rsidRPr="6DEE4987" w:rsidR="00671E79">
        <w:rPr>
          <w:rFonts w:ascii="Garamond" w:hAnsi="Garamond" w:eastAsia="Garamond" w:cs="Garamond"/>
          <w:sz w:val="22"/>
          <w:szCs w:val="22"/>
        </w:rPr>
        <w:t>Tamilnadu</w:t>
      </w:r>
      <w:r w:rsidRPr="6DEE4987" w:rsidR="00671E79">
        <w:rPr>
          <w:rFonts w:ascii="Garamond" w:hAnsi="Garamond" w:eastAsia="Garamond" w:cs="Garamond"/>
          <w:sz w:val="22"/>
          <w:szCs w:val="22"/>
        </w:rPr>
        <w:t xml:space="preserve">, India. (2016). Statistical Correlation between Land Surface </w:t>
      </w:r>
      <w:r>
        <w:tab/>
      </w:r>
      <w:r w:rsidRPr="6DEE4987" w:rsidR="00671E79">
        <w:rPr>
          <w:rFonts w:ascii="Garamond" w:hAnsi="Garamond" w:eastAsia="Garamond" w:cs="Garamond"/>
          <w:sz w:val="22"/>
          <w:szCs w:val="22"/>
        </w:rPr>
        <w:t xml:space="preserve">Temperature (LST) and Vegetation Index (NDVI) using Multi-Temporal Landsat TM Data. </w:t>
      </w:r>
      <w:r w:rsidRPr="6DEE4987" w:rsidR="00671E79">
        <w:rPr>
          <w:rFonts w:ascii="Garamond" w:hAnsi="Garamond" w:eastAsia="Garamond" w:cs="Garamond"/>
          <w:i w:val="1"/>
          <w:iCs w:val="1"/>
          <w:sz w:val="22"/>
          <w:szCs w:val="22"/>
        </w:rPr>
        <w:t>International Journal of Advanced Earth Science and Engineering</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5</w:t>
      </w:r>
      <w:r w:rsidRPr="6DEE4987" w:rsidR="00671E79">
        <w:rPr>
          <w:rFonts w:ascii="Garamond" w:hAnsi="Garamond" w:eastAsia="Garamond" w:cs="Garamond"/>
          <w:sz w:val="22"/>
          <w:szCs w:val="22"/>
        </w:rPr>
        <w:t xml:space="preserve">(1), 333–346. </w:t>
      </w:r>
      <w:hyperlink r:id="R7f625662ee304b2a">
        <w:r w:rsidRPr="6DEE4987" w:rsidR="00671E79">
          <w:rPr>
            <w:rFonts w:ascii="Garamond" w:hAnsi="Garamond" w:eastAsia="Garamond" w:cs="Garamond"/>
            <w:color w:val="467886"/>
            <w:sz w:val="22"/>
            <w:szCs w:val="22"/>
            <w:u w:val="single"/>
          </w:rPr>
          <w:t>https://doi.org/10.23953/cloud.ijaese.204</w:t>
        </w:r>
      </w:hyperlink>
    </w:p>
    <w:p w:rsidR="00060C16" w:rsidRDefault="00671E79" w14:paraId="59B163B7" w14:textId="79F766CD">
      <w:pPr>
        <w:spacing w:line="240" w:lineRule="auto"/>
        <w:ind w:left="706" w:right="-14" w:hanging="720"/>
      </w:pPr>
      <w:r w:rsidRPr="6DEE4987" w:rsidR="00671E79">
        <w:rPr>
          <w:rFonts w:ascii="Garamond" w:hAnsi="Garamond" w:eastAsia="Garamond" w:cs="Garamond"/>
          <w:sz w:val="22"/>
          <w:szCs w:val="22"/>
        </w:rPr>
        <w:t xml:space="preserve">Chakraborty, T., Hsu, A., Manya, D., </w:t>
      </w:r>
      <w:r w:rsidRPr="6DEE4987" w:rsidR="742105B5">
        <w:rPr>
          <w:rFonts w:ascii="Garamond" w:hAnsi="Garamond" w:eastAsia="Garamond" w:cs="Garamond"/>
          <w:sz w:val="22"/>
          <w:szCs w:val="22"/>
        </w:rPr>
        <w:t>and</w:t>
      </w:r>
      <w:r w:rsidRPr="6DEE4987" w:rsidR="00671E79">
        <w:rPr>
          <w:rFonts w:ascii="Garamond" w:hAnsi="Garamond" w:eastAsia="Garamond" w:cs="Garamond"/>
          <w:sz w:val="22"/>
          <w:szCs w:val="22"/>
        </w:rPr>
        <w:t xml:space="preserve"> Sheriff, G. (2019). Disproportionately higher exposure to urban heat in lower-income neighborhoods: A multi-city perspective - </w:t>
      </w:r>
      <w:r w:rsidRPr="6DEE4987" w:rsidR="00671E79">
        <w:rPr>
          <w:rFonts w:ascii="Garamond" w:hAnsi="Garamond" w:eastAsia="Garamond" w:cs="Garamond"/>
          <w:sz w:val="22"/>
          <w:szCs w:val="22"/>
        </w:rPr>
        <w:t>IOPscience</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Environmental Research Letters</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14</w:t>
      </w:r>
      <w:r w:rsidRPr="6DEE4987" w:rsidR="00671E79">
        <w:rPr>
          <w:rFonts w:ascii="Garamond" w:hAnsi="Garamond" w:eastAsia="Garamond" w:cs="Garamond"/>
          <w:sz w:val="22"/>
          <w:szCs w:val="22"/>
        </w:rPr>
        <w:t xml:space="preserve">(10). </w:t>
      </w:r>
      <w:hyperlink r:id="R8baaf255e25c4586">
        <w:r w:rsidRPr="6DEE4987" w:rsidR="00671E79">
          <w:rPr>
            <w:rFonts w:ascii="Garamond" w:hAnsi="Garamond" w:eastAsia="Garamond" w:cs="Garamond"/>
            <w:color w:val="467886"/>
            <w:sz w:val="22"/>
            <w:szCs w:val="22"/>
            <w:u w:val="single"/>
          </w:rPr>
          <w:t>https://doi.org/10.1088/1748-9326/ab3b99</w:t>
        </w:r>
      </w:hyperlink>
    </w:p>
    <w:p w:rsidR="00060C16" w:rsidRDefault="00671E79" w14:paraId="054B4D0F" w14:textId="7F3BAC4C">
      <w:pPr>
        <w:spacing w:after="0" w:line="240" w:lineRule="auto"/>
        <w:ind w:left="720" w:hanging="720"/>
        <w:rPr>
          <w:rFonts w:ascii="Garamond" w:hAnsi="Garamond" w:eastAsia="Garamond" w:cs="Garamond"/>
          <w:color w:val="467886"/>
          <w:sz w:val="22"/>
          <w:szCs w:val="22"/>
          <w:u w:val="single"/>
        </w:rPr>
      </w:pPr>
      <w:r w:rsidRPr="6DEE4987" w:rsidR="00671E79">
        <w:rPr>
          <w:rFonts w:ascii="Garamond" w:hAnsi="Garamond" w:eastAsia="Garamond" w:cs="Garamond"/>
          <w:sz w:val="22"/>
          <w:szCs w:val="22"/>
        </w:rPr>
        <w:t xml:space="preserve">Collins, J., </w:t>
      </w:r>
      <w:r w:rsidRPr="6DEE4987" w:rsidR="2B5F21E6">
        <w:rPr>
          <w:rFonts w:ascii="Garamond" w:hAnsi="Garamond" w:eastAsia="Garamond" w:cs="Garamond"/>
          <w:sz w:val="22"/>
          <w:szCs w:val="22"/>
        </w:rPr>
        <w:t>and</w:t>
      </w:r>
      <w:r w:rsidRPr="6DEE4987" w:rsidR="00671E79">
        <w:rPr>
          <w:rFonts w:ascii="Garamond" w:hAnsi="Garamond" w:eastAsia="Garamond" w:cs="Garamond"/>
          <w:sz w:val="22"/>
          <w:szCs w:val="22"/>
        </w:rPr>
        <w:t xml:space="preserve"> </w:t>
      </w:r>
      <w:r w:rsidRPr="6DEE4987" w:rsidR="00671E79">
        <w:rPr>
          <w:rFonts w:ascii="Garamond" w:hAnsi="Garamond" w:eastAsia="Garamond" w:cs="Garamond"/>
          <w:sz w:val="22"/>
          <w:szCs w:val="22"/>
        </w:rPr>
        <w:t>Dronova</w:t>
      </w:r>
      <w:r w:rsidRPr="6DEE4987" w:rsidR="00671E79">
        <w:rPr>
          <w:rFonts w:ascii="Garamond" w:hAnsi="Garamond" w:eastAsia="Garamond" w:cs="Garamond"/>
          <w:sz w:val="22"/>
          <w:szCs w:val="22"/>
        </w:rPr>
        <w:t xml:space="preserve">, I. (2019). Urban Landscape Change Analysis Using Local Climate Zones and Object-Based Classification in the Salt Lake Metro Region, Utah, USA. </w:t>
      </w:r>
      <w:r w:rsidRPr="6DEE4987" w:rsidR="00671E79">
        <w:rPr>
          <w:rFonts w:ascii="Garamond" w:hAnsi="Garamond" w:eastAsia="Garamond" w:cs="Garamond"/>
          <w:i w:val="1"/>
          <w:iCs w:val="1"/>
          <w:sz w:val="22"/>
          <w:szCs w:val="22"/>
        </w:rPr>
        <w:t>Remote Sensing</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11</w:t>
      </w:r>
      <w:r w:rsidRPr="6DEE4987" w:rsidR="00671E79">
        <w:rPr>
          <w:rFonts w:ascii="Garamond" w:hAnsi="Garamond" w:eastAsia="Garamond" w:cs="Garamond"/>
          <w:sz w:val="22"/>
          <w:szCs w:val="22"/>
        </w:rPr>
        <w:t xml:space="preserve">(13), 1615. </w:t>
      </w:r>
      <w:hyperlink r:id="R42c1c7f0b30a431b">
        <w:r w:rsidRPr="6DEE4987" w:rsidR="00671E79">
          <w:rPr>
            <w:rFonts w:ascii="Garamond" w:hAnsi="Garamond" w:eastAsia="Garamond" w:cs="Garamond"/>
            <w:color w:val="467886"/>
            <w:sz w:val="22"/>
            <w:szCs w:val="22"/>
            <w:u w:val="single"/>
          </w:rPr>
          <w:t>h</w:t>
        </w:r>
      </w:hyperlink>
      <w:r w:rsidRPr="6DEE4987" w:rsidR="00671E79">
        <w:rPr>
          <w:rFonts w:ascii="Garamond" w:hAnsi="Garamond" w:eastAsia="Garamond" w:cs="Garamond"/>
          <w:color w:val="467886"/>
          <w:sz w:val="22"/>
          <w:szCs w:val="22"/>
          <w:u w:val="single"/>
        </w:rPr>
        <w:t>ttps://doi.org/10.3390/rs11131615</w:t>
      </w:r>
    </w:p>
    <w:p w:rsidR="00060C16" w:rsidRDefault="00060C16" w14:paraId="34D7E94E" w14:textId="77777777">
      <w:pPr>
        <w:spacing w:after="0" w:line="240" w:lineRule="auto"/>
        <w:ind w:left="720" w:hanging="720"/>
        <w:rPr>
          <w:rFonts w:ascii="Garamond" w:hAnsi="Garamond" w:eastAsia="Garamond" w:cs="Garamond"/>
          <w:color w:val="467886"/>
          <w:sz w:val="22"/>
          <w:szCs w:val="22"/>
          <w:u w:val="single"/>
        </w:rPr>
      </w:pPr>
    </w:p>
    <w:p w:rsidR="00060C16" w:rsidRDefault="00671E79" w14:paraId="5A1E194B" w14:textId="1F57BCED">
      <w:pPr>
        <w:spacing w:after="0" w:line="240" w:lineRule="auto"/>
        <w:ind w:left="720" w:hanging="720"/>
        <w:rPr>
          <w:rFonts w:ascii="Garamond" w:hAnsi="Garamond" w:eastAsia="Garamond" w:cs="Garamond"/>
          <w:color w:val="467886"/>
          <w:sz w:val="22"/>
          <w:szCs w:val="22"/>
          <w:u w:val="single"/>
        </w:rPr>
      </w:pPr>
      <w:r w:rsidRPr="6DEE4987" w:rsidR="00671E79">
        <w:rPr>
          <w:rFonts w:ascii="Garamond" w:hAnsi="Garamond" w:eastAsia="Garamond" w:cs="Garamond"/>
          <w:sz w:val="22"/>
          <w:szCs w:val="22"/>
        </w:rPr>
        <w:t>Dronova</w:t>
      </w:r>
      <w:r w:rsidRPr="6DEE4987" w:rsidR="00671E79">
        <w:rPr>
          <w:rFonts w:ascii="Garamond" w:hAnsi="Garamond" w:eastAsia="Garamond" w:cs="Garamond"/>
          <w:sz w:val="22"/>
          <w:szCs w:val="22"/>
        </w:rPr>
        <w:t xml:space="preserve">, I., Friedman, M., McRae, I., Kong, F., </w:t>
      </w:r>
      <w:r w:rsidRPr="6DEE4987" w:rsidR="49892346">
        <w:rPr>
          <w:rFonts w:ascii="Garamond" w:hAnsi="Garamond" w:eastAsia="Garamond" w:cs="Garamond"/>
          <w:sz w:val="22"/>
          <w:szCs w:val="22"/>
        </w:rPr>
        <w:t>and</w:t>
      </w:r>
      <w:r w:rsidRPr="6DEE4987" w:rsidR="00671E79">
        <w:rPr>
          <w:rFonts w:ascii="Garamond" w:hAnsi="Garamond" w:eastAsia="Garamond" w:cs="Garamond"/>
          <w:sz w:val="22"/>
          <w:szCs w:val="22"/>
        </w:rPr>
        <w:t xml:space="preserve"> Yin, H. (2018). </w:t>
      </w:r>
      <w:r w:rsidRPr="6DEE4987" w:rsidR="00671E79">
        <w:rPr>
          <w:rFonts w:ascii="Garamond" w:hAnsi="Garamond" w:eastAsia="Garamond" w:cs="Garamond"/>
          <w:sz w:val="22"/>
          <w:szCs w:val="22"/>
        </w:rPr>
        <w:t>Spatio</w:t>
      </w:r>
      <w:r w:rsidRPr="6DEE4987" w:rsidR="00671E79">
        <w:rPr>
          <w:rFonts w:ascii="Garamond" w:hAnsi="Garamond" w:eastAsia="Garamond" w:cs="Garamond"/>
          <w:sz w:val="22"/>
          <w:szCs w:val="22"/>
        </w:rPr>
        <w:t xml:space="preserve">-temporal non-uniformity of urban park greenness and thermal characteristics in a semi-arid region. </w:t>
      </w:r>
      <w:r w:rsidRPr="6DEE4987" w:rsidR="00671E79">
        <w:rPr>
          <w:rFonts w:ascii="Garamond" w:hAnsi="Garamond" w:eastAsia="Garamond" w:cs="Garamond"/>
          <w:i w:val="1"/>
          <w:iCs w:val="1"/>
          <w:sz w:val="22"/>
          <w:szCs w:val="22"/>
        </w:rPr>
        <w:t>Urban Forestry &amp; Urban Greening</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34</w:t>
      </w:r>
      <w:r w:rsidRPr="6DEE4987" w:rsidR="00671E79">
        <w:rPr>
          <w:rFonts w:ascii="Garamond" w:hAnsi="Garamond" w:eastAsia="Garamond" w:cs="Garamond"/>
          <w:sz w:val="22"/>
          <w:szCs w:val="22"/>
        </w:rPr>
        <w:t xml:space="preserve">, 44–54. </w:t>
      </w:r>
      <w:hyperlink r:id="Rde607e75f77d4263">
        <w:r w:rsidRPr="6DEE4987" w:rsidR="00671E79">
          <w:rPr>
            <w:rFonts w:ascii="Garamond" w:hAnsi="Garamond" w:eastAsia="Garamond" w:cs="Garamond"/>
            <w:color w:val="467886"/>
            <w:sz w:val="22"/>
            <w:szCs w:val="22"/>
            <w:u w:val="single"/>
          </w:rPr>
          <w:t>https://doi.org/10.1016/j.ufug.2018.05.009</w:t>
        </w:r>
      </w:hyperlink>
    </w:p>
    <w:p w:rsidR="00060C16" w:rsidRDefault="00060C16" w14:paraId="4FBD48C8" w14:textId="77777777">
      <w:pPr>
        <w:spacing w:after="0" w:line="240" w:lineRule="auto"/>
        <w:ind w:left="720" w:hanging="720"/>
        <w:rPr>
          <w:rFonts w:ascii="Garamond" w:hAnsi="Garamond" w:eastAsia="Garamond" w:cs="Garamond"/>
          <w:color w:val="467886"/>
          <w:sz w:val="22"/>
          <w:szCs w:val="22"/>
          <w:u w:val="single"/>
        </w:rPr>
      </w:pPr>
    </w:p>
    <w:p w:rsidR="00060C16" w:rsidRDefault="00671E79" w14:paraId="2B9E0822" w14:textId="501A28C1">
      <w:pPr>
        <w:spacing w:after="0" w:line="240" w:lineRule="auto"/>
        <w:ind w:left="720" w:hanging="720"/>
        <w:rPr>
          <w:rFonts w:ascii="Garamond" w:hAnsi="Garamond" w:eastAsia="Garamond" w:cs="Garamond"/>
          <w:color w:val="0F4761"/>
          <w:sz w:val="22"/>
          <w:szCs w:val="22"/>
          <w:highlight w:val="white"/>
          <w:u w:val="single"/>
        </w:rPr>
      </w:pPr>
      <w:r w:rsidRPr="6DEE4987" w:rsidR="00671E79">
        <w:rPr>
          <w:rFonts w:ascii="Garamond" w:hAnsi="Garamond" w:eastAsia="Garamond" w:cs="Garamond"/>
          <w:color w:val="000000" w:themeColor="text1" w:themeTint="FF" w:themeShade="FF"/>
          <w:sz w:val="22"/>
          <w:szCs w:val="22"/>
          <w:highlight w:val="white"/>
        </w:rPr>
        <w:t xml:space="preserve">Flanagan, B. E., Gregory, E. W., </w:t>
      </w:r>
      <w:r w:rsidRPr="6DEE4987" w:rsidR="00671E79">
        <w:rPr>
          <w:rFonts w:ascii="Garamond" w:hAnsi="Garamond" w:eastAsia="Garamond" w:cs="Garamond"/>
          <w:color w:val="000000" w:themeColor="text1" w:themeTint="FF" w:themeShade="FF"/>
          <w:sz w:val="22"/>
          <w:szCs w:val="22"/>
          <w:highlight w:val="white"/>
        </w:rPr>
        <w:t>Hallisey</w:t>
      </w:r>
      <w:r w:rsidRPr="6DEE4987" w:rsidR="00671E79">
        <w:rPr>
          <w:rFonts w:ascii="Garamond" w:hAnsi="Garamond" w:eastAsia="Garamond" w:cs="Garamond"/>
          <w:color w:val="000000" w:themeColor="text1" w:themeTint="FF" w:themeShade="FF"/>
          <w:sz w:val="22"/>
          <w:szCs w:val="22"/>
          <w:highlight w:val="white"/>
        </w:rPr>
        <w:t xml:space="preserve">, E. J., </w:t>
      </w:r>
      <w:r w:rsidRPr="6DEE4987" w:rsidR="00671E79">
        <w:rPr>
          <w:rFonts w:ascii="Garamond" w:hAnsi="Garamond" w:eastAsia="Garamond" w:cs="Garamond"/>
          <w:color w:val="000000" w:themeColor="text1" w:themeTint="FF" w:themeShade="FF"/>
          <w:sz w:val="22"/>
          <w:szCs w:val="22"/>
          <w:highlight w:val="white"/>
        </w:rPr>
        <w:t>Heitgerd</w:t>
      </w:r>
      <w:r w:rsidRPr="6DEE4987" w:rsidR="00671E79">
        <w:rPr>
          <w:rFonts w:ascii="Garamond" w:hAnsi="Garamond" w:eastAsia="Garamond" w:cs="Garamond"/>
          <w:color w:val="000000" w:themeColor="text1" w:themeTint="FF" w:themeShade="FF"/>
          <w:sz w:val="22"/>
          <w:szCs w:val="22"/>
          <w:highlight w:val="white"/>
        </w:rPr>
        <w:t xml:space="preserve">, J. L., </w:t>
      </w:r>
      <w:r w:rsidRPr="6DEE4987" w:rsidR="503E3CE8">
        <w:rPr>
          <w:rFonts w:ascii="Garamond" w:hAnsi="Garamond" w:eastAsia="Garamond" w:cs="Garamond"/>
          <w:color w:val="000000" w:themeColor="text1" w:themeTint="FF" w:themeShade="FF"/>
          <w:sz w:val="22"/>
          <w:szCs w:val="22"/>
          <w:highlight w:val="white"/>
        </w:rPr>
        <w:t>and</w:t>
      </w:r>
      <w:r w:rsidRPr="6DEE4987" w:rsidR="00671E79">
        <w:rPr>
          <w:rFonts w:ascii="Garamond" w:hAnsi="Garamond" w:eastAsia="Garamond" w:cs="Garamond"/>
          <w:color w:val="000000" w:themeColor="text1" w:themeTint="FF" w:themeShade="FF"/>
          <w:sz w:val="22"/>
          <w:szCs w:val="22"/>
          <w:highlight w:val="white"/>
        </w:rPr>
        <w:t xml:space="preserve"> Lewis, B. (2011). A Social Vulnerability Index for Disaster Management. </w:t>
      </w:r>
      <w:r w:rsidRPr="6DEE4987" w:rsidR="00671E79">
        <w:rPr>
          <w:rFonts w:ascii="Garamond" w:hAnsi="Garamond" w:eastAsia="Garamond" w:cs="Garamond"/>
          <w:i w:val="1"/>
          <w:iCs w:val="1"/>
          <w:color w:val="000000" w:themeColor="text1" w:themeTint="FF" w:themeShade="FF"/>
          <w:sz w:val="22"/>
          <w:szCs w:val="22"/>
          <w:highlight w:val="white"/>
        </w:rPr>
        <w:t>Journal of Homeland Security and Emergency Management</w:t>
      </w:r>
      <w:r w:rsidRPr="6DEE4987" w:rsidR="00671E79">
        <w:rPr>
          <w:rFonts w:ascii="Garamond" w:hAnsi="Garamond" w:eastAsia="Garamond" w:cs="Garamond"/>
          <w:color w:val="000000" w:themeColor="text1" w:themeTint="FF" w:themeShade="FF"/>
          <w:sz w:val="22"/>
          <w:szCs w:val="22"/>
          <w:highlight w:val="white"/>
        </w:rPr>
        <w:t xml:space="preserve">, </w:t>
      </w:r>
      <w:r w:rsidRPr="6DEE4987" w:rsidR="00671E79">
        <w:rPr>
          <w:rFonts w:ascii="Garamond" w:hAnsi="Garamond" w:eastAsia="Garamond" w:cs="Garamond"/>
          <w:i w:val="1"/>
          <w:iCs w:val="1"/>
          <w:color w:val="000000" w:themeColor="text1" w:themeTint="FF" w:themeShade="FF"/>
          <w:sz w:val="22"/>
          <w:szCs w:val="22"/>
          <w:highlight w:val="white"/>
        </w:rPr>
        <w:t>8</w:t>
      </w:r>
      <w:r w:rsidRPr="6DEE4987" w:rsidR="00671E79">
        <w:rPr>
          <w:rFonts w:ascii="Garamond" w:hAnsi="Garamond" w:eastAsia="Garamond" w:cs="Garamond"/>
          <w:color w:val="000000" w:themeColor="text1" w:themeTint="FF" w:themeShade="FF"/>
          <w:sz w:val="22"/>
          <w:szCs w:val="22"/>
          <w:highlight w:val="white"/>
        </w:rPr>
        <w:t xml:space="preserve">(1). </w:t>
      </w:r>
      <w:hyperlink r:id="Rd1371e1994a64050">
        <w:r w:rsidRPr="6DEE4987" w:rsidR="00671E79">
          <w:rPr>
            <w:rFonts w:ascii="Garamond" w:hAnsi="Garamond" w:eastAsia="Garamond" w:cs="Garamond"/>
            <w:color w:val="0F4761" w:themeColor="accent1" w:themeTint="FF" w:themeShade="BF"/>
            <w:sz w:val="22"/>
            <w:szCs w:val="22"/>
            <w:highlight w:val="white"/>
            <w:u w:val="single"/>
          </w:rPr>
          <w:t>https://doi.org/10.2202/1547-7355.1792</w:t>
        </w:r>
      </w:hyperlink>
    </w:p>
    <w:p w:rsidR="00060C16" w:rsidRDefault="00060C16" w14:paraId="68AAD445" w14:textId="77777777">
      <w:pPr>
        <w:spacing w:after="0" w:line="240" w:lineRule="auto"/>
        <w:ind w:left="720" w:hanging="720"/>
        <w:rPr>
          <w:sz w:val="22"/>
          <w:szCs w:val="22"/>
        </w:rPr>
      </w:pPr>
    </w:p>
    <w:p w:rsidRPr="0056357D" w:rsidR="0056357D" w:rsidP="0056357D" w:rsidRDefault="0056357D" w14:paraId="2AC681FE" w14:textId="77777777">
      <w:pPr>
        <w:spacing w:after="0" w:line="240" w:lineRule="auto"/>
        <w:ind w:left="720" w:hanging="720"/>
        <w:rPr>
          <w:rFonts w:ascii="Garamond" w:hAnsi="Garamond" w:eastAsia="Garamond" w:cs="Garamond"/>
          <w:sz w:val="22"/>
          <w:szCs w:val="22"/>
        </w:rPr>
      </w:pPr>
      <w:r w:rsidRPr="0056357D">
        <w:rPr>
          <w:rFonts w:ascii="Garamond" w:hAnsi="Garamond" w:eastAsia="Garamond" w:cs="Garamond"/>
          <w:sz w:val="22"/>
          <w:szCs w:val="22"/>
        </w:rPr>
        <w:t>Galvin, G. (2020, January 22). America’s Most Diverse City Is Still Scarred by Its Past [Review of America’s Most Diverse City Is Still Scarred by Its Past]. US News. https://www.usnews.com/news/cities/articles/2020-01-22/stockton-california-americas-most-diverse-city-is-still-scarred-by-its-past#:~:text=In%202018%2C%20Stockton%20%E2%80%93%20whose%20roughly,based%20on%20recent%20census%20data.</w:t>
      </w:r>
    </w:p>
    <w:p w:rsidRPr="0056357D" w:rsidR="0056357D" w:rsidP="0056357D" w:rsidRDefault="0056357D" w14:paraId="1C75B6B5" w14:textId="77777777">
      <w:pPr>
        <w:spacing w:after="0" w:line="240" w:lineRule="auto"/>
        <w:ind w:left="720" w:hanging="720"/>
        <w:rPr>
          <w:rFonts w:ascii="Garamond" w:hAnsi="Garamond" w:eastAsia="Garamond" w:cs="Garamond"/>
          <w:sz w:val="22"/>
          <w:szCs w:val="22"/>
        </w:rPr>
      </w:pPr>
    </w:p>
    <w:p w:rsidR="00060C16" w:rsidRDefault="00671E79" w14:paraId="7C9E45B0" w14:textId="6FE80E80">
      <w:pPr>
        <w:spacing w:after="0" w:line="240" w:lineRule="auto"/>
        <w:ind w:left="720" w:hanging="720"/>
        <w:rPr>
          <w:rFonts w:ascii="Garamond" w:hAnsi="Garamond" w:eastAsia="Garamond" w:cs="Garamond"/>
          <w:color w:val="467886"/>
          <w:sz w:val="22"/>
          <w:szCs w:val="22"/>
          <w:u w:val="single"/>
        </w:rPr>
      </w:pPr>
      <w:r w:rsidRPr="6DEE4987" w:rsidR="00671E79">
        <w:rPr>
          <w:rFonts w:ascii="Garamond" w:hAnsi="Garamond" w:eastAsia="Garamond" w:cs="Garamond"/>
          <w:sz w:val="22"/>
          <w:szCs w:val="22"/>
        </w:rPr>
        <w:t xml:space="preserve">Gunawardena, K. R., Wells, M. J., </w:t>
      </w:r>
      <w:r w:rsidRPr="6DEE4987" w:rsidR="1B667FCF">
        <w:rPr>
          <w:rFonts w:ascii="Garamond" w:hAnsi="Garamond" w:eastAsia="Garamond" w:cs="Garamond"/>
          <w:sz w:val="22"/>
          <w:szCs w:val="22"/>
        </w:rPr>
        <w:t>and</w:t>
      </w:r>
      <w:r w:rsidRPr="6DEE4987" w:rsidR="00671E79">
        <w:rPr>
          <w:rFonts w:ascii="Garamond" w:hAnsi="Garamond" w:eastAsia="Garamond" w:cs="Garamond"/>
          <w:sz w:val="22"/>
          <w:szCs w:val="22"/>
        </w:rPr>
        <w:t xml:space="preserve"> Kershaw, T. (2017). </w:t>
      </w:r>
      <w:r w:rsidRPr="6DEE4987" w:rsidR="00671E79">
        <w:rPr>
          <w:rFonts w:ascii="Garamond" w:hAnsi="Garamond" w:eastAsia="Garamond" w:cs="Garamond"/>
          <w:sz w:val="22"/>
          <w:szCs w:val="22"/>
        </w:rPr>
        <w:t>Utilising</w:t>
      </w:r>
      <w:r w:rsidRPr="6DEE4987" w:rsidR="00671E79">
        <w:rPr>
          <w:rFonts w:ascii="Garamond" w:hAnsi="Garamond" w:eastAsia="Garamond" w:cs="Garamond"/>
          <w:sz w:val="22"/>
          <w:szCs w:val="22"/>
        </w:rPr>
        <w:t xml:space="preserve"> green and </w:t>
      </w:r>
      <w:r w:rsidRPr="6DEE4987" w:rsidR="00671E79">
        <w:rPr>
          <w:rFonts w:ascii="Garamond" w:hAnsi="Garamond" w:eastAsia="Garamond" w:cs="Garamond"/>
          <w:sz w:val="22"/>
          <w:szCs w:val="22"/>
        </w:rPr>
        <w:t>bluespace</w:t>
      </w:r>
      <w:r w:rsidRPr="6DEE4987" w:rsidR="00671E79">
        <w:rPr>
          <w:rFonts w:ascii="Garamond" w:hAnsi="Garamond" w:eastAsia="Garamond" w:cs="Garamond"/>
          <w:sz w:val="22"/>
          <w:szCs w:val="22"/>
        </w:rPr>
        <w:t xml:space="preserve"> to mitigate urban heat island intensity. </w:t>
      </w:r>
      <w:r w:rsidRPr="6DEE4987" w:rsidR="00671E79">
        <w:rPr>
          <w:rFonts w:ascii="Garamond" w:hAnsi="Garamond" w:eastAsia="Garamond" w:cs="Garamond"/>
          <w:i w:val="1"/>
          <w:iCs w:val="1"/>
          <w:sz w:val="22"/>
          <w:szCs w:val="22"/>
        </w:rPr>
        <w:t>Science of The Total Environment</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584–585</w:t>
      </w:r>
      <w:r w:rsidRPr="6DEE4987" w:rsidR="00671E79">
        <w:rPr>
          <w:rFonts w:ascii="Garamond" w:hAnsi="Garamond" w:eastAsia="Garamond" w:cs="Garamond"/>
          <w:sz w:val="22"/>
          <w:szCs w:val="22"/>
        </w:rPr>
        <w:t xml:space="preserve">, 1040–1055. </w:t>
      </w:r>
      <w:hyperlink r:id="Rf1f116ae16bd4867">
        <w:r w:rsidRPr="6DEE4987" w:rsidR="00671E79">
          <w:rPr>
            <w:rFonts w:ascii="Garamond" w:hAnsi="Garamond" w:eastAsia="Garamond" w:cs="Garamond"/>
            <w:color w:val="467886"/>
            <w:sz w:val="22"/>
            <w:szCs w:val="22"/>
            <w:u w:val="single"/>
          </w:rPr>
          <w:t>https://doi.org/10.1016/j.scitotenv.2017.01.158</w:t>
        </w:r>
      </w:hyperlink>
    </w:p>
    <w:p w:rsidR="00060C16" w:rsidRDefault="00060C16" w14:paraId="5EE45CFC" w14:textId="77777777">
      <w:pPr>
        <w:spacing w:after="0" w:line="240" w:lineRule="auto"/>
        <w:ind w:left="720" w:hanging="720"/>
        <w:rPr>
          <w:rFonts w:ascii="Garamond" w:hAnsi="Garamond" w:eastAsia="Garamond" w:cs="Garamond"/>
          <w:sz w:val="22"/>
          <w:szCs w:val="22"/>
        </w:rPr>
      </w:pPr>
    </w:p>
    <w:p w:rsidR="00060C16" w:rsidRDefault="00671E79" w14:paraId="79D006AF" w14:textId="77777777">
      <w:pPr>
        <w:spacing w:after="0" w:line="240" w:lineRule="auto"/>
        <w:ind w:left="720" w:hanging="720"/>
        <w:rPr>
          <w:rFonts w:ascii="Garamond" w:hAnsi="Garamond" w:eastAsia="Garamond" w:cs="Garamond"/>
          <w:sz w:val="22"/>
          <w:szCs w:val="22"/>
        </w:rPr>
      </w:pPr>
      <w:r>
        <w:rPr>
          <w:rFonts w:ascii="Garamond" w:hAnsi="Garamond" w:eastAsia="Garamond" w:cs="Garamond"/>
          <w:sz w:val="22"/>
          <w:szCs w:val="22"/>
        </w:rPr>
        <w:t>Huang H, Yang H, Deng X, Zeng P, Li Y, Zhang L, Zhu L. Influencing Mechanisms of Urban Heat Island on Respiratory Diseases. Iran J Public Health. 2019 Sep;48(9):1636-1646. PMID: 31700819; PMCID: PMC6825676.</w:t>
      </w:r>
    </w:p>
    <w:p w:rsidR="00060C16" w:rsidRDefault="00060C16" w14:paraId="3C9D714B" w14:textId="77777777">
      <w:pPr>
        <w:spacing w:after="0" w:line="240" w:lineRule="auto"/>
        <w:ind w:left="720" w:hanging="720"/>
        <w:rPr>
          <w:rFonts w:ascii="Garamond" w:hAnsi="Garamond" w:eastAsia="Garamond" w:cs="Garamond"/>
          <w:i/>
          <w:sz w:val="22"/>
          <w:szCs w:val="22"/>
        </w:rPr>
      </w:pPr>
    </w:p>
    <w:p w:rsidR="00060C16" w:rsidRDefault="00671E79" w14:paraId="7F101EB0" w14:textId="607DC032">
      <w:pPr>
        <w:spacing w:after="0" w:line="240" w:lineRule="auto"/>
        <w:ind w:left="720" w:hanging="720"/>
        <w:rPr>
          <w:rFonts w:ascii="Garamond" w:hAnsi="Garamond" w:eastAsia="Garamond" w:cs="Garamond"/>
          <w:color w:val="467886"/>
          <w:sz w:val="22"/>
          <w:szCs w:val="22"/>
          <w:u w:val="single"/>
        </w:rPr>
      </w:pPr>
      <w:r w:rsidRPr="6DEE4987" w:rsidR="00671E79">
        <w:rPr>
          <w:rFonts w:ascii="Garamond" w:hAnsi="Garamond" w:eastAsia="Garamond" w:cs="Garamond"/>
          <w:sz w:val="22"/>
          <w:szCs w:val="22"/>
        </w:rPr>
        <w:t xml:space="preserve">Ju, Y., </w:t>
      </w:r>
      <w:r w:rsidRPr="6DEE4987" w:rsidR="00671E79">
        <w:rPr>
          <w:rFonts w:ascii="Garamond" w:hAnsi="Garamond" w:eastAsia="Garamond" w:cs="Garamond"/>
          <w:sz w:val="22"/>
          <w:szCs w:val="22"/>
        </w:rPr>
        <w:t>Dronova</w:t>
      </w:r>
      <w:r w:rsidRPr="6DEE4987" w:rsidR="00671E79">
        <w:rPr>
          <w:rFonts w:ascii="Garamond" w:hAnsi="Garamond" w:eastAsia="Garamond" w:cs="Garamond"/>
          <w:sz w:val="22"/>
          <w:szCs w:val="22"/>
        </w:rPr>
        <w:t xml:space="preserve">, I., Rodriguez, D. A., </w:t>
      </w:r>
      <w:r w:rsidRPr="6DEE4987" w:rsidR="00671E79">
        <w:rPr>
          <w:rFonts w:ascii="Garamond" w:hAnsi="Garamond" w:eastAsia="Garamond" w:cs="Garamond"/>
          <w:sz w:val="22"/>
          <w:szCs w:val="22"/>
        </w:rPr>
        <w:t>Bakhtsiyarava</w:t>
      </w:r>
      <w:r w:rsidRPr="6DEE4987" w:rsidR="00671E79">
        <w:rPr>
          <w:rFonts w:ascii="Garamond" w:hAnsi="Garamond" w:eastAsia="Garamond" w:cs="Garamond"/>
          <w:sz w:val="22"/>
          <w:szCs w:val="22"/>
        </w:rPr>
        <w:t xml:space="preserve">, M., </w:t>
      </w:r>
      <w:r w:rsidRPr="6DEE4987" w:rsidR="0706424F">
        <w:rPr>
          <w:rFonts w:ascii="Garamond" w:hAnsi="Garamond" w:eastAsia="Garamond" w:cs="Garamond"/>
          <w:sz w:val="22"/>
          <w:szCs w:val="22"/>
        </w:rPr>
        <w:t>and</w:t>
      </w:r>
      <w:r w:rsidRPr="6DEE4987" w:rsidR="00671E79">
        <w:rPr>
          <w:rFonts w:ascii="Garamond" w:hAnsi="Garamond" w:eastAsia="Garamond" w:cs="Garamond"/>
          <w:sz w:val="22"/>
          <w:szCs w:val="22"/>
        </w:rPr>
        <w:t xml:space="preserve"> Farah, I. (2023). Recent greening may curb urban warming in Latin American cities of better economic conditions. </w:t>
      </w:r>
      <w:r w:rsidRPr="6DEE4987" w:rsidR="00671E79">
        <w:rPr>
          <w:rFonts w:ascii="Garamond" w:hAnsi="Garamond" w:eastAsia="Garamond" w:cs="Garamond"/>
          <w:i w:val="1"/>
          <w:iCs w:val="1"/>
          <w:sz w:val="22"/>
          <w:szCs w:val="22"/>
        </w:rPr>
        <w:t>Landscape and Urban Planning</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240</w:t>
      </w:r>
      <w:r w:rsidRPr="6DEE4987" w:rsidR="00671E79">
        <w:rPr>
          <w:rFonts w:ascii="Garamond" w:hAnsi="Garamond" w:eastAsia="Garamond" w:cs="Garamond"/>
          <w:sz w:val="22"/>
          <w:szCs w:val="22"/>
        </w:rPr>
        <w:t xml:space="preserve">, 104896. </w:t>
      </w:r>
      <w:hyperlink r:id="Re42b121d88554978">
        <w:r w:rsidRPr="6DEE4987" w:rsidR="00671E79">
          <w:rPr>
            <w:rFonts w:ascii="Garamond" w:hAnsi="Garamond" w:eastAsia="Garamond" w:cs="Garamond"/>
            <w:color w:val="467886"/>
            <w:sz w:val="22"/>
            <w:szCs w:val="22"/>
            <w:u w:val="single"/>
          </w:rPr>
          <w:t>https://doi.org/10.1016/j.landurbplan.2023.104896</w:t>
        </w:r>
      </w:hyperlink>
    </w:p>
    <w:p w:rsidR="00060C16" w:rsidRDefault="00060C16" w14:paraId="28763AFA" w14:textId="77777777">
      <w:pPr>
        <w:spacing w:after="0" w:line="240" w:lineRule="auto"/>
        <w:ind w:left="720" w:hanging="720"/>
        <w:rPr>
          <w:rFonts w:ascii="Garamond" w:hAnsi="Garamond" w:eastAsia="Garamond" w:cs="Garamond"/>
          <w:sz w:val="22"/>
          <w:szCs w:val="22"/>
        </w:rPr>
      </w:pPr>
    </w:p>
    <w:p w:rsidR="00060C16" w:rsidRDefault="00671E79" w14:paraId="5AC1582B" w14:textId="2452DD1B">
      <w:pPr>
        <w:spacing w:after="0" w:line="240" w:lineRule="auto"/>
        <w:rPr>
          <w:rFonts w:ascii="Garamond" w:hAnsi="Garamond" w:eastAsia="Garamond" w:cs="Garamond"/>
          <w:color w:val="467886"/>
          <w:sz w:val="22"/>
          <w:szCs w:val="22"/>
          <w:u w:val="single"/>
        </w:rPr>
      </w:pPr>
      <w:r w:rsidRPr="6DEE4987" w:rsidR="00671E79">
        <w:rPr>
          <w:rFonts w:ascii="Garamond" w:hAnsi="Garamond" w:eastAsia="Garamond" w:cs="Garamond"/>
          <w:sz w:val="22"/>
          <w:szCs w:val="22"/>
        </w:rPr>
        <w:t>Kasniza</w:t>
      </w:r>
      <w:r w:rsidRPr="6DEE4987" w:rsidR="00671E79">
        <w:rPr>
          <w:rFonts w:ascii="Garamond" w:hAnsi="Garamond" w:eastAsia="Garamond" w:cs="Garamond"/>
          <w:sz w:val="22"/>
          <w:szCs w:val="22"/>
        </w:rPr>
        <w:t xml:space="preserve"> </w:t>
      </w:r>
      <w:r w:rsidRPr="6DEE4987" w:rsidR="00671E79">
        <w:rPr>
          <w:rFonts w:ascii="Garamond" w:hAnsi="Garamond" w:eastAsia="Garamond" w:cs="Garamond"/>
          <w:sz w:val="22"/>
          <w:szCs w:val="22"/>
        </w:rPr>
        <w:t>Jumari</w:t>
      </w:r>
      <w:r w:rsidRPr="6DEE4987" w:rsidR="00671E79">
        <w:rPr>
          <w:rFonts w:ascii="Garamond" w:hAnsi="Garamond" w:eastAsia="Garamond" w:cs="Garamond"/>
          <w:sz w:val="22"/>
          <w:szCs w:val="22"/>
        </w:rPr>
        <w:t xml:space="preserve">, N. A. S., Ahmed, A. N., Huang, Y. F., Ng, J. L., Koo, C. H., Chong, K. L., </w:t>
      </w:r>
      <w:r w:rsidRPr="6DEE4987" w:rsidR="00671E79">
        <w:rPr>
          <w:rFonts w:ascii="Garamond" w:hAnsi="Garamond" w:eastAsia="Garamond" w:cs="Garamond"/>
          <w:sz w:val="22"/>
          <w:szCs w:val="22"/>
        </w:rPr>
        <w:t>Sherif</w:t>
      </w:r>
      <w:r w:rsidRPr="6DEE4987" w:rsidR="00671E79">
        <w:rPr>
          <w:rFonts w:ascii="Garamond" w:hAnsi="Garamond" w:eastAsia="Garamond" w:cs="Garamond"/>
          <w:sz w:val="22"/>
          <w:szCs w:val="22"/>
        </w:rPr>
        <w:t xml:space="preserve">, M., </w:t>
      </w:r>
      <w:r w:rsidRPr="6DEE4987" w:rsidR="747042CE">
        <w:rPr>
          <w:rFonts w:ascii="Garamond" w:hAnsi="Garamond" w:eastAsia="Garamond" w:cs="Garamond"/>
          <w:sz w:val="22"/>
          <w:szCs w:val="22"/>
        </w:rPr>
        <w:t>and</w:t>
      </w:r>
      <w:r w:rsidRPr="6DEE4987" w:rsidR="00671E79">
        <w:rPr>
          <w:rFonts w:ascii="Garamond" w:hAnsi="Garamond" w:eastAsia="Garamond" w:cs="Garamond"/>
          <w:sz w:val="22"/>
          <w:szCs w:val="22"/>
        </w:rPr>
        <w:t xml:space="preserve"> </w:t>
      </w:r>
      <w:r>
        <w:tab/>
      </w:r>
      <w:r w:rsidRPr="6DEE4987" w:rsidR="00671E79">
        <w:rPr>
          <w:rFonts w:ascii="Garamond" w:hAnsi="Garamond" w:eastAsia="Garamond" w:cs="Garamond"/>
          <w:sz w:val="22"/>
          <w:szCs w:val="22"/>
        </w:rPr>
        <w:t>Elshafie</w:t>
      </w:r>
      <w:r w:rsidRPr="6DEE4987" w:rsidR="00671E79">
        <w:rPr>
          <w:rFonts w:ascii="Garamond" w:hAnsi="Garamond" w:eastAsia="Garamond" w:cs="Garamond"/>
          <w:sz w:val="22"/>
          <w:szCs w:val="22"/>
        </w:rPr>
        <w:t xml:space="preserve">, A. (2023). Analysis of urban heat islands with </w:t>
      </w:r>
      <w:r w:rsidRPr="6DEE4987" w:rsidR="00671E79">
        <w:rPr>
          <w:rFonts w:ascii="Garamond" w:hAnsi="Garamond" w:eastAsia="Garamond" w:cs="Garamond"/>
          <w:sz w:val="22"/>
          <w:szCs w:val="22"/>
        </w:rPr>
        <w:t>landsat</w:t>
      </w:r>
      <w:r w:rsidRPr="6DEE4987" w:rsidR="00671E79">
        <w:rPr>
          <w:rFonts w:ascii="Garamond" w:hAnsi="Garamond" w:eastAsia="Garamond" w:cs="Garamond"/>
          <w:sz w:val="22"/>
          <w:szCs w:val="22"/>
        </w:rPr>
        <w:t xml:space="preserve"> satellite images and GIS in Kuala </w:t>
      </w:r>
      <w:r>
        <w:tab/>
      </w:r>
      <w:r w:rsidRPr="6DEE4987" w:rsidR="00671E79">
        <w:rPr>
          <w:rFonts w:ascii="Garamond" w:hAnsi="Garamond" w:eastAsia="Garamond" w:cs="Garamond"/>
          <w:sz w:val="22"/>
          <w:szCs w:val="22"/>
        </w:rPr>
        <w:t xml:space="preserve">Lumpur Metropolitan City. </w:t>
      </w:r>
      <w:r w:rsidRPr="6DEE4987" w:rsidR="00671E79">
        <w:rPr>
          <w:rFonts w:ascii="Garamond" w:hAnsi="Garamond" w:eastAsia="Garamond" w:cs="Garamond"/>
          <w:i w:val="1"/>
          <w:iCs w:val="1"/>
          <w:sz w:val="22"/>
          <w:szCs w:val="22"/>
        </w:rPr>
        <w:t>Heliyon</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9</w:t>
      </w:r>
      <w:r w:rsidRPr="6DEE4987" w:rsidR="00671E79">
        <w:rPr>
          <w:rFonts w:ascii="Garamond" w:hAnsi="Garamond" w:eastAsia="Garamond" w:cs="Garamond"/>
          <w:sz w:val="22"/>
          <w:szCs w:val="22"/>
        </w:rPr>
        <w:t xml:space="preserve">(8), e18424. </w:t>
      </w:r>
      <w:hyperlink r:id="Rf9e0910e4a09459a">
        <w:r w:rsidRPr="6DEE4987" w:rsidR="00671E79">
          <w:rPr>
            <w:rFonts w:ascii="Garamond" w:hAnsi="Garamond" w:eastAsia="Garamond" w:cs="Garamond"/>
            <w:color w:val="467886"/>
            <w:sz w:val="22"/>
            <w:szCs w:val="22"/>
            <w:u w:val="single"/>
          </w:rPr>
          <w:t>https://doi.org/10.1016/j.heliyon.2023.e18424</w:t>
        </w:r>
      </w:hyperlink>
    </w:p>
    <w:p w:rsidR="00060C16" w:rsidRDefault="00060C16" w14:paraId="4660512C" w14:textId="77777777">
      <w:pPr>
        <w:spacing w:after="0" w:line="240" w:lineRule="auto"/>
      </w:pPr>
    </w:p>
    <w:p w:rsidR="00060C16" w:rsidRDefault="00671E79" w14:paraId="7816DFDF" w14:textId="36703B35">
      <w:pPr>
        <w:spacing w:after="0" w:line="240" w:lineRule="auto"/>
      </w:pPr>
      <w:r w:rsidRPr="6DEE4987" w:rsidR="00671E79">
        <w:rPr>
          <w:rFonts w:ascii="Garamond" w:hAnsi="Garamond" w:eastAsia="Garamond" w:cs="Garamond"/>
          <w:sz w:val="22"/>
          <w:szCs w:val="22"/>
        </w:rPr>
        <w:t xml:space="preserve">Kong, F., Sun, C., Liu, F., Yin, H., Jiang, F., Pu, Y., </w:t>
      </w:r>
      <w:r w:rsidRPr="6DEE4987" w:rsidR="00671E79">
        <w:rPr>
          <w:rFonts w:ascii="Garamond" w:hAnsi="Garamond" w:eastAsia="Garamond" w:cs="Garamond"/>
          <w:sz w:val="22"/>
          <w:szCs w:val="22"/>
        </w:rPr>
        <w:t>Cavan</w:t>
      </w:r>
      <w:r w:rsidRPr="6DEE4987" w:rsidR="00671E79">
        <w:rPr>
          <w:rFonts w:ascii="Garamond" w:hAnsi="Garamond" w:eastAsia="Garamond" w:cs="Garamond"/>
          <w:sz w:val="22"/>
          <w:szCs w:val="22"/>
        </w:rPr>
        <w:t xml:space="preserve">, G., </w:t>
      </w:r>
      <w:r w:rsidRPr="6DEE4987" w:rsidR="00671E79">
        <w:rPr>
          <w:rFonts w:ascii="Garamond" w:hAnsi="Garamond" w:eastAsia="Garamond" w:cs="Garamond"/>
          <w:sz w:val="22"/>
          <w:szCs w:val="22"/>
        </w:rPr>
        <w:t>Skelhorn</w:t>
      </w:r>
      <w:r w:rsidRPr="6DEE4987" w:rsidR="00671E79">
        <w:rPr>
          <w:rFonts w:ascii="Garamond" w:hAnsi="Garamond" w:eastAsia="Garamond" w:cs="Garamond"/>
          <w:sz w:val="22"/>
          <w:szCs w:val="22"/>
        </w:rPr>
        <w:t xml:space="preserve">, C., </w:t>
      </w:r>
      <w:r w:rsidRPr="6DEE4987" w:rsidR="00671E79">
        <w:rPr>
          <w:rFonts w:ascii="Garamond" w:hAnsi="Garamond" w:eastAsia="Garamond" w:cs="Garamond"/>
          <w:sz w:val="22"/>
          <w:szCs w:val="22"/>
        </w:rPr>
        <w:t>Middel</w:t>
      </w:r>
      <w:r w:rsidRPr="6DEE4987" w:rsidR="00671E79">
        <w:rPr>
          <w:rFonts w:ascii="Garamond" w:hAnsi="Garamond" w:eastAsia="Garamond" w:cs="Garamond"/>
          <w:sz w:val="22"/>
          <w:szCs w:val="22"/>
        </w:rPr>
        <w:t xml:space="preserve">, A., </w:t>
      </w:r>
      <w:r w:rsidRPr="6DEE4987" w:rsidR="679214AC">
        <w:rPr>
          <w:rFonts w:ascii="Garamond" w:hAnsi="Garamond" w:eastAsia="Garamond" w:cs="Garamond"/>
          <w:sz w:val="22"/>
          <w:szCs w:val="22"/>
        </w:rPr>
        <w:t>and</w:t>
      </w:r>
      <w:r w:rsidRPr="6DEE4987" w:rsidR="00671E79">
        <w:rPr>
          <w:rFonts w:ascii="Garamond" w:hAnsi="Garamond" w:eastAsia="Garamond" w:cs="Garamond"/>
          <w:sz w:val="22"/>
          <w:szCs w:val="22"/>
        </w:rPr>
        <w:t xml:space="preserve"> </w:t>
      </w:r>
      <w:r w:rsidRPr="6DEE4987" w:rsidR="00671E79">
        <w:rPr>
          <w:rFonts w:ascii="Garamond" w:hAnsi="Garamond" w:eastAsia="Garamond" w:cs="Garamond"/>
          <w:sz w:val="22"/>
          <w:szCs w:val="22"/>
        </w:rPr>
        <w:t>Dronova</w:t>
      </w:r>
      <w:r w:rsidRPr="6DEE4987" w:rsidR="00671E79">
        <w:rPr>
          <w:rFonts w:ascii="Garamond" w:hAnsi="Garamond" w:eastAsia="Garamond" w:cs="Garamond"/>
          <w:sz w:val="22"/>
          <w:szCs w:val="22"/>
        </w:rPr>
        <w:t xml:space="preserve">, I. </w:t>
      </w:r>
      <w:r>
        <w:tab/>
      </w:r>
      <w:r w:rsidRPr="6DEE4987" w:rsidR="00671E79">
        <w:rPr>
          <w:rFonts w:ascii="Garamond" w:hAnsi="Garamond" w:eastAsia="Garamond" w:cs="Garamond"/>
          <w:sz w:val="22"/>
          <w:szCs w:val="22"/>
        </w:rPr>
        <w:t>(</w:t>
      </w:r>
      <w:r w:rsidRPr="6DEE4987" w:rsidR="00671E79">
        <w:rPr>
          <w:rFonts w:ascii="Garamond" w:hAnsi="Garamond" w:eastAsia="Garamond" w:cs="Garamond"/>
          <w:sz w:val="22"/>
          <w:szCs w:val="22"/>
        </w:rPr>
        <w:t xml:space="preserve">2016). Energy saving potential of fragmented green spaces due to their temperature regulating </w:t>
      </w:r>
      <w:r>
        <w:tab/>
      </w:r>
      <w:r w:rsidRPr="6DEE4987" w:rsidR="00671E79">
        <w:rPr>
          <w:rFonts w:ascii="Garamond" w:hAnsi="Garamond" w:eastAsia="Garamond" w:cs="Garamond"/>
          <w:sz w:val="22"/>
          <w:szCs w:val="22"/>
        </w:rPr>
        <w:t xml:space="preserve">ecosystem services in the summer. </w:t>
      </w:r>
      <w:r w:rsidRPr="6DEE4987" w:rsidR="00671E79">
        <w:rPr>
          <w:rFonts w:ascii="Garamond" w:hAnsi="Garamond" w:eastAsia="Garamond" w:cs="Garamond"/>
          <w:i w:val="1"/>
          <w:iCs w:val="1"/>
          <w:sz w:val="22"/>
          <w:szCs w:val="22"/>
        </w:rPr>
        <w:t>Applied Energy</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183</w:t>
      </w:r>
      <w:r w:rsidRPr="6DEE4987" w:rsidR="00671E79">
        <w:rPr>
          <w:rFonts w:ascii="Garamond" w:hAnsi="Garamond" w:eastAsia="Garamond" w:cs="Garamond"/>
          <w:sz w:val="22"/>
          <w:szCs w:val="22"/>
        </w:rPr>
        <w:t xml:space="preserve">, 1428–1440. </w:t>
      </w:r>
      <w:r>
        <w:tab/>
      </w:r>
    </w:p>
    <w:p w:rsidR="00060C16" w:rsidRDefault="00060C16" w14:paraId="20975484" w14:textId="77777777">
      <w:pPr>
        <w:spacing w:after="0" w:line="240" w:lineRule="auto"/>
        <w:rPr>
          <w:rFonts w:ascii="Garamond" w:hAnsi="Garamond" w:eastAsia="Garamond" w:cs="Garamond"/>
          <w:sz w:val="22"/>
          <w:szCs w:val="22"/>
        </w:rPr>
      </w:pPr>
    </w:p>
    <w:p w:rsidR="00060C16" w:rsidRDefault="00671E79" w14:paraId="68921202" w14:textId="299CE640">
      <w:pPr>
        <w:spacing w:after="0" w:line="240" w:lineRule="auto"/>
        <w:rPr>
          <w:rFonts w:ascii="Garamond" w:hAnsi="Garamond" w:eastAsia="Garamond" w:cs="Garamond"/>
          <w:color w:val="467886"/>
          <w:sz w:val="22"/>
          <w:szCs w:val="22"/>
          <w:u w:val="single"/>
        </w:rPr>
      </w:pPr>
      <w:r w:rsidRPr="6DEE4987" w:rsidR="00671E79">
        <w:rPr>
          <w:rFonts w:ascii="Garamond" w:hAnsi="Garamond" w:eastAsia="Garamond" w:cs="Garamond"/>
          <w:sz w:val="22"/>
          <w:szCs w:val="22"/>
        </w:rPr>
        <w:t xml:space="preserve">Ma, X., </w:t>
      </w:r>
      <w:r w:rsidRPr="6DEE4987" w:rsidR="18BCDBE8">
        <w:rPr>
          <w:rFonts w:ascii="Garamond" w:hAnsi="Garamond" w:eastAsia="Garamond" w:cs="Garamond"/>
          <w:sz w:val="22"/>
          <w:szCs w:val="22"/>
        </w:rPr>
        <w:t>and</w:t>
      </w:r>
      <w:r w:rsidRPr="6DEE4987" w:rsidR="00671E79">
        <w:rPr>
          <w:rFonts w:ascii="Garamond" w:hAnsi="Garamond" w:eastAsia="Garamond" w:cs="Garamond"/>
          <w:sz w:val="22"/>
          <w:szCs w:val="22"/>
        </w:rPr>
        <w:t xml:space="preserve"> Peng, S. (2021). Assessing the quantitative relationships between the impervious surface area </w:t>
      </w:r>
      <w:r>
        <w:tab/>
      </w:r>
      <w:r w:rsidRPr="6DEE4987" w:rsidR="00671E79">
        <w:rPr>
          <w:rFonts w:ascii="Garamond" w:hAnsi="Garamond" w:eastAsia="Garamond" w:cs="Garamond"/>
          <w:sz w:val="22"/>
          <w:szCs w:val="22"/>
        </w:rPr>
        <w:t xml:space="preserve">and surface heat island effect during urban expansion. </w:t>
      </w:r>
      <w:r w:rsidRPr="6DEE4987" w:rsidR="00671E79">
        <w:rPr>
          <w:rFonts w:ascii="Garamond" w:hAnsi="Garamond" w:eastAsia="Garamond" w:cs="Garamond"/>
          <w:sz w:val="22"/>
          <w:szCs w:val="22"/>
        </w:rPr>
        <w:t>PeerJ</w:t>
      </w:r>
      <w:r w:rsidRPr="6DEE4987" w:rsidR="00671E79">
        <w:rPr>
          <w:rFonts w:ascii="Garamond" w:hAnsi="Garamond" w:eastAsia="Garamond" w:cs="Garamond"/>
          <w:sz w:val="22"/>
          <w:szCs w:val="22"/>
        </w:rPr>
        <w:t xml:space="preserve">, 9, e11854. </w:t>
      </w:r>
      <w:r>
        <w:tab/>
      </w:r>
      <w:r>
        <w:tab/>
      </w:r>
      <w:r>
        <w:tab/>
      </w:r>
      <w:r>
        <w:tab/>
      </w:r>
      <w:hyperlink r:id="R7f66cc4042df4773">
        <w:r w:rsidRPr="6DEE4987" w:rsidR="00671E79">
          <w:rPr>
            <w:rFonts w:ascii="Garamond" w:hAnsi="Garamond" w:eastAsia="Garamond" w:cs="Garamond"/>
            <w:color w:val="467886"/>
            <w:sz w:val="22"/>
            <w:szCs w:val="22"/>
            <w:u w:val="single"/>
          </w:rPr>
          <w:t>https://doi.org/10.1016/j.apenergy.2016.09.070</w:t>
        </w:r>
      </w:hyperlink>
    </w:p>
    <w:p w:rsidR="00060C16" w:rsidRDefault="00671E79" w14:paraId="46C9D08F" w14:textId="77777777">
      <w:pPr>
        <w:spacing w:after="0" w:line="240" w:lineRule="auto"/>
        <w:ind w:left="720" w:hanging="720"/>
        <w:rPr>
          <w:rFonts w:ascii="Garamond" w:hAnsi="Garamond" w:eastAsia="Garamond" w:cs="Garamond"/>
          <w:color w:val="000000"/>
          <w:sz w:val="22"/>
          <w:szCs w:val="22"/>
        </w:rPr>
      </w:pPr>
      <w:r>
        <w:rPr>
          <w:rFonts w:ascii="Garamond" w:hAnsi="Garamond" w:eastAsia="Garamond" w:cs="Garamond"/>
          <w:color w:val="000000"/>
          <w:sz w:val="22"/>
          <w:szCs w:val="22"/>
        </w:rPr>
        <w:t xml:space="preserve">Maxwell, A.E., Warner, T. A., Vanderbilt, B. C., </w:t>
      </w:r>
      <w:proofErr w:type="spellStart"/>
      <w:r>
        <w:rPr>
          <w:rFonts w:ascii="Garamond" w:hAnsi="Garamond" w:eastAsia="Garamond" w:cs="Garamond"/>
          <w:color w:val="000000"/>
          <w:sz w:val="22"/>
          <w:szCs w:val="22"/>
        </w:rPr>
        <w:t>Ramezan</w:t>
      </w:r>
      <w:proofErr w:type="spellEnd"/>
      <w:r>
        <w:rPr>
          <w:rFonts w:ascii="Garamond" w:hAnsi="Garamond" w:eastAsia="Garamond" w:cs="Garamond"/>
          <w:color w:val="000000"/>
          <w:sz w:val="22"/>
          <w:szCs w:val="22"/>
        </w:rPr>
        <w:t xml:space="preserve">, C. A. (2017). Land cover classification and feature extraction from National Agriculture Imagery Program (NAIP) </w:t>
      </w:r>
      <w:proofErr w:type="spellStart"/>
      <w:r>
        <w:rPr>
          <w:rFonts w:ascii="Garamond" w:hAnsi="Garamond" w:eastAsia="Garamond" w:cs="Garamond"/>
          <w:color w:val="000000"/>
          <w:sz w:val="22"/>
          <w:szCs w:val="22"/>
        </w:rPr>
        <w:t>orthoimagery</w:t>
      </w:r>
      <w:proofErr w:type="spellEnd"/>
      <w:r>
        <w:rPr>
          <w:rFonts w:ascii="Garamond" w:hAnsi="Garamond" w:eastAsia="Garamond" w:cs="Garamond"/>
          <w:color w:val="000000"/>
          <w:sz w:val="22"/>
          <w:szCs w:val="22"/>
        </w:rPr>
        <w:t xml:space="preserve">: a review. </w:t>
      </w:r>
      <w:r>
        <w:rPr>
          <w:rFonts w:ascii="Garamond" w:hAnsi="Garamond" w:eastAsia="Garamond" w:cs="Garamond"/>
          <w:i/>
          <w:color w:val="000000"/>
          <w:sz w:val="22"/>
          <w:szCs w:val="22"/>
        </w:rPr>
        <w:t xml:space="preserve">Photogrammetric Engineering &amp; Remote Sensing, </w:t>
      </w:r>
      <w:r>
        <w:rPr>
          <w:rFonts w:ascii="Garamond" w:hAnsi="Garamond" w:eastAsia="Garamond" w:cs="Garamond"/>
          <w:color w:val="000000"/>
          <w:sz w:val="22"/>
          <w:szCs w:val="22"/>
        </w:rPr>
        <w:t>237-247.</w:t>
      </w:r>
    </w:p>
    <w:p w:rsidR="00060C16" w:rsidRDefault="00060C16" w14:paraId="4752E520" w14:textId="77777777">
      <w:pPr>
        <w:spacing w:after="0" w:line="240" w:lineRule="auto"/>
        <w:ind w:left="720" w:hanging="720"/>
        <w:rPr>
          <w:rFonts w:ascii="Garamond" w:hAnsi="Garamond" w:eastAsia="Garamond" w:cs="Garamond"/>
          <w:color w:val="000000"/>
          <w:sz w:val="22"/>
          <w:szCs w:val="22"/>
        </w:rPr>
      </w:pPr>
    </w:p>
    <w:p w:rsidR="00060C16" w:rsidRDefault="00671E79" w14:paraId="522CDB09" w14:textId="77777777">
      <w:pPr>
        <w:spacing w:after="0" w:line="240" w:lineRule="auto"/>
        <w:ind w:left="706" w:right="-14" w:hanging="720"/>
        <w:rPr>
          <w:rFonts w:ascii="Garamond" w:hAnsi="Garamond" w:eastAsia="Garamond" w:cs="Garamond"/>
          <w:color w:val="467886"/>
          <w:sz w:val="22"/>
          <w:szCs w:val="22"/>
          <w:u w:val="single"/>
        </w:rPr>
      </w:pPr>
      <w:r>
        <w:rPr>
          <w:rFonts w:ascii="Garamond" w:hAnsi="Garamond" w:eastAsia="Garamond" w:cs="Garamond"/>
          <w:sz w:val="22"/>
          <w:szCs w:val="22"/>
        </w:rPr>
        <w:t>Milestones:</w:t>
      </w:r>
      <w:r>
        <w:rPr>
          <w:rFonts w:ascii="Garamond" w:hAnsi="Garamond" w:eastAsia="Garamond" w:cs="Garamond"/>
          <w:i/>
          <w:sz w:val="22"/>
          <w:szCs w:val="22"/>
        </w:rPr>
        <w:t xml:space="preserve"> 1899–1913—Office of the Historian</w:t>
      </w:r>
      <w:r>
        <w:rPr>
          <w:rFonts w:ascii="Garamond" w:hAnsi="Garamond" w:eastAsia="Garamond" w:cs="Garamond"/>
          <w:sz w:val="22"/>
          <w:szCs w:val="22"/>
        </w:rPr>
        <w:t xml:space="preserve">. (n.d.). Retrieved February 29, 2024, from </w:t>
      </w:r>
      <w:r>
        <w:tab/>
      </w:r>
      <w:hyperlink r:id="rId31">
        <w:r>
          <w:rPr>
            <w:rFonts w:ascii="Garamond" w:hAnsi="Garamond" w:eastAsia="Garamond" w:cs="Garamond"/>
            <w:color w:val="467886"/>
            <w:sz w:val="22"/>
            <w:szCs w:val="22"/>
            <w:u w:val="single"/>
          </w:rPr>
          <w:t>https://history.state.gov/milestones/1899-1913/war</w:t>
        </w:r>
      </w:hyperlink>
    </w:p>
    <w:p w:rsidR="00060C16" w:rsidRDefault="00060C16" w14:paraId="1DDBBD04" w14:textId="77777777">
      <w:pPr>
        <w:spacing w:after="0" w:line="240" w:lineRule="auto"/>
        <w:ind w:left="706" w:right="-14" w:hanging="720"/>
        <w:rPr>
          <w:rFonts w:ascii="Garamond" w:hAnsi="Garamond" w:eastAsia="Garamond" w:cs="Garamond"/>
          <w:color w:val="467886"/>
          <w:sz w:val="22"/>
          <w:szCs w:val="22"/>
          <w:u w:val="single"/>
        </w:rPr>
      </w:pPr>
    </w:p>
    <w:p w:rsidR="00060C16" w:rsidRDefault="00000000" w14:paraId="11EF06A4" w14:textId="77777777">
      <w:pPr>
        <w:spacing w:after="0" w:line="240" w:lineRule="auto"/>
        <w:rPr>
          <w:rFonts w:ascii="Garamond" w:hAnsi="Garamond" w:eastAsia="Garamond" w:cs="Garamond"/>
          <w:color w:val="000000"/>
          <w:sz w:val="22"/>
          <w:szCs w:val="22"/>
          <w:u w:val="single"/>
        </w:rPr>
      </w:pPr>
      <w:hyperlink r:id="rId32">
        <w:r w:rsidR="00671E79">
          <w:rPr>
            <w:rFonts w:ascii="Garamond" w:hAnsi="Garamond" w:eastAsia="Garamond" w:cs="Garamond"/>
            <w:color w:val="000000"/>
            <w:sz w:val="22"/>
            <w:szCs w:val="22"/>
          </w:rPr>
          <w:t xml:space="preserve">MODIS Web. (n.d.). . </w:t>
        </w:r>
      </w:hyperlink>
      <w:hyperlink r:id="rId33">
        <w:r w:rsidR="00671E79">
          <w:rPr>
            <w:rFonts w:ascii="Garamond" w:hAnsi="Garamond" w:eastAsia="Garamond" w:cs="Garamond"/>
            <w:color w:val="000000"/>
            <w:sz w:val="22"/>
            <w:szCs w:val="22"/>
            <w:u w:val="single"/>
          </w:rPr>
          <w:t>https://modis.gsfc.nasa.gov/</w:t>
        </w:r>
      </w:hyperlink>
      <w:hyperlink r:id="rId34">
        <w:r w:rsidR="00671E79">
          <w:rPr>
            <w:rFonts w:ascii="Garamond" w:hAnsi="Garamond" w:eastAsia="Garamond" w:cs="Garamond"/>
            <w:color w:val="000000"/>
            <w:sz w:val="22"/>
            <w:szCs w:val="22"/>
            <w:u w:val="single"/>
          </w:rPr>
          <w:t>.</w:t>
        </w:r>
      </w:hyperlink>
    </w:p>
    <w:p w:rsidR="00060C16" w:rsidRDefault="00060C16" w14:paraId="19DE804C" w14:textId="77777777">
      <w:pPr>
        <w:spacing w:after="0" w:line="240" w:lineRule="auto"/>
        <w:rPr>
          <w:rFonts w:ascii="Garamond" w:hAnsi="Garamond" w:eastAsia="Garamond" w:cs="Garamond"/>
          <w:color w:val="404040"/>
          <w:sz w:val="22"/>
          <w:szCs w:val="22"/>
          <w:u w:val="single"/>
        </w:rPr>
      </w:pPr>
    </w:p>
    <w:p w:rsidR="00060C16" w:rsidRDefault="00671E79" w14:paraId="07EC985D" w14:textId="77777777">
      <w:pPr>
        <w:spacing w:line="240" w:lineRule="auto"/>
        <w:ind w:left="706" w:right="-14" w:hanging="720"/>
        <w:rPr>
          <w:rFonts w:ascii="Garamond" w:hAnsi="Garamond" w:eastAsia="Garamond" w:cs="Garamond"/>
          <w:color w:val="467886"/>
          <w:sz w:val="22"/>
          <w:szCs w:val="22"/>
          <w:u w:val="single"/>
        </w:rPr>
      </w:pPr>
      <w:r>
        <w:rPr>
          <w:rFonts w:ascii="Garamond" w:hAnsi="Garamond" w:eastAsia="Garamond" w:cs="Garamond"/>
          <w:sz w:val="22"/>
          <w:szCs w:val="22"/>
        </w:rPr>
        <w:t xml:space="preserve">More Than History. (n.d.). Little Manila Rising. Retrieved February 29, 2024, from </w:t>
      </w:r>
      <w:r>
        <w:tab/>
      </w:r>
      <w:hyperlink r:id="rId35">
        <w:r>
          <w:rPr>
            <w:rFonts w:ascii="Garamond" w:hAnsi="Garamond" w:eastAsia="Garamond" w:cs="Garamond"/>
            <w:color w:val="467886"/>
            <w:sz w:val="22"/>
            <w:szCs w:val="22"/>
            <w:u w:val="single"/>
          </w:rPr>
          <w:t>https://littlemanila.org/more-than-history</w:t>
        </w:r>
      </w:hyperlink>
    </w:p>
    <w:p w:rsidR="00060C16" w:rsidRDefault="00671E79" w14:paraId="1A9DD678" w14:textId="77777777">
      <w:pPr>
        <w:spacing w:line="240" w:lineRule="auto"/>
        <w:ind w:left="706" w:right="-14" w:hanging="720"/>
        <w:rPr>
          <w:rFonts w:ascii="Garamond" w:hAnsi="Garamond" w:eastAsia="Garamond" w:cs="Garamond"/>
          <w:color w:val="467886"/>
          <w:sz w:val="22"/>
          <w:szCs w:val="22"/>
          <w:u w:val="single"/>
        </w:rPr>
      </w:pPr>
      <w:r>
        <w:rPr>
          <w:rFonts w:ascii="Garamond" w:hAnsi="Garamond" w:eastAsia="Garamond" w:cs="Garamond"/>
          <w:sz w:val="22"/>
          <w:szCs w:val="22"/>
        </w:rPr>
        <w:t xml:space="preserve">Noi, P. T., &amp; </w:t>
      </w:r>
      <w:proofErr w:type="spellStart"/>
      <w:r>
        <w:rPr>
          <w:rFonts w:ascii="Garamond" w:hAnsi="Garamond" w:eastAsia="Garamond" w:cs="Garamond"/>
          <w:sz w:val="22"/>
          <w:szCs w:val="22"/>
        </w:rPr>
        <w:t>Kappas</w:t>
      </w:r>
      <w:proofErr w:type="spellEnd"/>
      <w:r>
        <w:rPr>
          <w:rFonts w:ascii="Garamond" w:hAnsi="Garamond" w:eastAsia="Garamond" w:cs="Garamond"/>
          <w:sz w:val="22"/>
          <w:szCs w:val="22"/>
        </w:rPr>
        <w:t xml:space="preserve">, M. (2017). Comparison of Random Forest, k-Nearest Neighbor, and Support Vector Machine Classifiers for Land Cover Classification Using Sentinel-2 Imagery. </w:t>
      </w:r>
      <w:r>
        <w:rPr>
          <w:rFonts w:ascii="Garamond" w:hAnsi="Garamond" w:eastAsia="Garamond" w:cs="Garamond"/>
          <w:i/>
          <w:sz w:val="22"/>
          <w:szCs w:val="22"/>
        </w:rPr>
        <w:t>Sensors</w:t>
      </w:r>
      <w:r>
        <w:rPr>
          <w:rFonts w:ascii="Garamond" w:hAnsi="Garamond" w:eastAsia="Garamond" w:cs="Garamond"/>
          <w:sz w:val="22"/>
          <w:szCs w:val="22"/>
        </w:rPr>
        <w:t xml:space="preserve">, </w:t>
      </w:r>
      <w:r>
        <w:rPr>
          <w:rFonts w:ascii="Garamond" w:hAnsi="Garamond" w:eastAsia="Garamond" w:cs="Garamond"/>
          <w:i/>
          <w:sz w:val="22"/>
          <w:szCs w:val="22"/>
        </w:rPr>
        <w:t>18</w:t>
      </w:r>
      <w:r>
        <w:rPr>
          <w:rFonts w:ascii="Garamond" w:hAnsi="Garamond" w:eastAsia="Garamond" w:cs="Garamond"/>
          <w:sz w:val="22"/>
          <w:szCs w:val="22"/>
        </w:rPr>
        <w:t xml:space="preserve">(1). </w:t>
      </w:r>
      <w:hyperlink r:id="rId36">
        <w:r>
          <w:rPr>
            <w:rFonts w:ascii="Garamond" w:hAnsi="Garamond" w:eastAsia="Garamond" w:cs="Garamond"/>
            <w:color w:val="467886"/>
            <w:sz w:val="22"/>
            <w:szCs w:val="22"/>
            <w:u w:val="single"/>
          </w:rPr>
          <w:t>https://doi.org/10.3390/s18010018</w:t>
        </w:r>
      </w:hyperlink>
    </w:p>
    <w:p w:rsidR="00060C16" w:rsidRDefault="00671E79" w14:paraId="3439734A" w14:textId="77777777">
      <w:pPr>
        <w:spacing w:after="0" w:line="240" w:lineRule="auto"/>
        <w:ind w:left="720" w:hanging="720"/>
        <w:rPr>
          <w:rFonts w:ascii="Garamond" w:hAnsi="Garamond" w:eastAsia="Garamond" w:cs="Garamond"/>
          <w:sz w:val="22"/>
          <w:szCs w:val="22"/>
        </w:rPr>
      </w:pPr>
      <w:r>
        <w:rPr>
          <w:rFonts w:ascii="Garamond" w:hAnsi="Garamond" w:eastAsia="Garamond" w:cs="Garamond"/>
          <w:sz w:val="22"/>
          <w:szCs w:val="22"/>
        </w:rPr>
        <w:t xml:space="preserve">Plott, L., Pazmino, M., Hall, M., &amp; Villalobos-Heredia, C. (2023). Remote Sensing of Urban Heat: DEVELOP White Paper. </w:t>
      </w:r>
      <w:r>
        <w:rPr>
          <w:rFonts w:ascii="Garamond" w:hAnsi="Garamond" w:eastAsia="Garamond" w:cs="Garamond"/>
          <w:i/>
          <w:sz w:val="22"/>
          <w:szCs w:val="22"/>
        </w:rPr>
        <w:t>NASA DEVELOP Program</w:t>
      </w:r>
      <w:r>
        <w:rPr>
          <w:rFonts w:ascii="Garamond" w:hAnsi="Garamond" w:eastAsia="Garamond" w:cs="Garamond"/>
          <w:sz w:val="22"/>
          <w:szCs w:val="22"/>
        </w:rPr>
        <w:t>, 1-8.</w:t>
      </w:r>
    </w:p>
    <w:p w:rsidR="00060C16" w:rsidRDefault="00060C16" w14:paraId="1B08B27B" w14:textId="77777777">
      <w:pPr>
        <w:spacing w:after="0" w:line="240" w:lineRule="auto"/>
        <w:ind w:left="720" w:hanging="720"/>
        <w:rPr>
          <w:rFonts w:ascii="Garamond" w:hAnsi="Garamond" w:eastAsia="Garamond" w:cs="Garamond"/>
          <w:sz w:val="22"/>
          <w:szCs w:val="22"/>
        </w:rPr>
      </w:pPr>
    </w:p>
    <w:p w:rsidR="00060C16" w:rsidRDefault="00671E79" w14:paraId="37B3CEEF" w14:textId="77777777">
      <w:pPr>
        <w:spacing w:after="0" w:line="240" w:lineRule="auto"/>
        <w:rPr>
          <w:rFonts w:ascii="Garamond" w:hAnsi="Garamond" w:eastAsia="Garamond" w:cs="Garamond"/>
          <w:sz w:val="22"/>
          <w:szCs w:val="22"/>
        </w:rPr>
      </w:pPr>
      <w:r>
        <w:rPr>
          <w:rFonts w:ascii="Garamond" w:hAnsi="Garamond" w:eastAsia="Garamond" w:cs="Garamond"/>
          <w:i/>
          <w:sz w:val="22"/>
          <w:szCs w:val="22"/>
        </w:rPr>
        <w:t>Profile of the Unauthorized Population—County Data (6077)</w:t>
      </w:r>
      <w:r>
        <w:rPr>
          <w:rFonts w:ascii="Garamond" w:hAnsi="Garamond" w:eastAsia="Garamond" w:cs="Garamond"/>
          <w:sz w:val="22"/>
          <w:szCs w:val="22"/>
        </w:rPr>
        <w:t xml:space="preserve">. (n.d.). Migrationpolicy.Org. Retrieved April </w:t>
      </w:r>
    </w:p>
    <w:p w:rsidR="00060C16" w:rsidRDefault="00671E79" w14:paraId="08166DC9" w14:textId="77777777">
      <w:pPr>
        <w:spacing w:after="0" w:line="240" w:lineRule="auto"/>
        <w:ind w:left="720"/>
        <w:rPr>
          <w:rFonts w:ascii="Garamond" w:hAnsi="Garamond" w:eastAsia="Garamond" w:cs="Garamond"/>
          <w:sz w:val="22"/>
          <w:szCs w:val="22"/>
        </w:rPr>
      </w:pPr>
      <w:r>
        <w:rPr>
          <w:rFonts w:ascii="Garamond" w:hAnsi="Garamond" w:eastAsia="Garamond" w:cs="Garamond"/>
          <w:sz w:val="22"/>
          <w:szCs w:val="22"/>
        </w:rPr>
        <w:t>15, 2024, from</w:t>
      </w:r>
      <w:hyperlink r:id="rId37">
        <w:r>
          <w:rPr>
            <w:rFonts w:ascii="Garamond" w:hAnsi="Garamond" w:eastAsia="Garamond" w:cs="Garamond"/>
            <w:sz w:val="22"/>
            <w:szCs w:val="22"/>
          </w:rPr>
          <w:t xml:space="preserve"> </w:t>
        </w:r>
      </w:hyperlink>
      <w:hyperlink r:id="rId38">
        <w:r>
          <w:rPr>
            <w:rFonts w:ascii="Garamond" w:hAnsi="Garamond" w:eastAsia="Garamond" w:cs="Garamond"/>
            <w:color w:val="1155CC"/>
            <w:sz w:val="22"/>
            <w:szCs w:val="22"/>
            <w:u w:val="single"/>
          </w:rPr>
          <w:t>https://www.migrationpolicy.org/data/unauthorized-immigrant-population/county/6077</w:t>
        </w:r>
      </w:hyperlink>
    </w:p>
    <w:p w:rsidR="00060C16" w:rsidRDefault="00060C16" w14:paraId="5F7E6C05" w14:textId="77777777">
      <w:pPr>
        <w:spacing w:after="0" w:line="240" w:lineRule="auto"/>
        <w:ind w:left="720" w:hanging="720"/>
        <w:rPr>
          <w:rFonts w:ascii="Garamond" w:hAnsi="Garamond" w:eastAsia="Garamond" w:cs="Garamond"/>
          <w:sz w:val="22"/>
          <w:szCs w:val="22"/>
        </w:rPr>
      </w:pPr>
    </w:p>
    <w:p w:rsidR="00060C16" w:rsidRDefault="00671E79" w14:paraId="1002D7E8" w14:textId="77777777">
      <w:pPr>
        <w:spacing w:line="240" w:lineRule="auto"/>
        <w:ind w:left="706" w:right="-14" w:hanging="720"/>
        <w:rPr>
          <w:rFonts w:ascii="Garamond" w:hAnsi="Garamond" w:eastAsia="Garamond" w:cs="Garamond"/>
          <w:sz w:val="22"/>
          <w:szCs w:val="22"/>
        </w:rPr>
      </w:pPr>
      <w:r>
        <w:rPr>
          <w:rFonts w:ascii="Garamond" w:hAnsi="Garamond" w:eastAsia="Garamond" w:cs="Garamond"/>
          <w:sz w:val="22"/>
          <w:szCs w:val="22"/>
        </w:rPr>
        <w:t xml:space="preserve">Szeto, J., Beardslee, J., Christian, P., MacCarter, B., &amp; Quintero, A. (2023). Evaluating the Overlap of Social </w:t>
      </w:r>
      <w:r>
        <w:tab/>
      </w:r>
      <w:r>
        <w:rPr>
          <w:rFonts w:ascii="Garamond" w:hAnsi="Garamond" w:eastAsia="Garamond" w:cs="Garamond"/>
          <w:sz w:val="22"/>
          <w:szCs w:val="22"/>
        </w:rPr>
        <w:t xml:space="preserve">vulnerabilities and Air Quality in the San Joaquin Valley Air Pollution Control District. </w:t>
      </w:r>
      <w:r>
        <w:rPr>
          <w:rFonts w:ascii="Garamond" w:hAnsi="Garamond" w:eastAsia="Garamond" w:cs="Garamond"/>
          <w:i/>
          <w:sz w:val="22"/>
          <w:szCs w:val="22"/>
        </w:rPr>
        <w:t>NASA DEVELOP Program</w:t>
      </w:r>
      <w:r>
        <w:rPr>
          <w:rFonts w:ascii="Garamond" w:hAnsi="Garamond" w:eastAsia="Garamond" w:cs="Garamond"/>
          <w:sz w:val="22"/>
          <w:szCs w:val="22"/>
        </w:rPr>
        <w:t>, 1–33.</w:t>
      </w:r>
    </w:p>
    <w:p w:rsidR="00060C16" w:rsidRDefault="00671E79" w14:paraId="58219BD2" w14:textId="77777777">
      <w:pPr>
        <w:spacing w:line="240" w:lineRule="auto"/>
        <w:ind w:left="720" w:hanging="720"/>
        <w:rPr>
          <w:rFonts w:ascii="Garamond" w:hAnsi="Garamond" w:eastAsia="Garamond" w:cs="Garamond"/>
          <w:sz w:val="22"/>
          <w:szCs w:val="22"/>
        </w:rPr>
      </w:pPr>
      <w:r>
        <w:rPr>
          <w:rFonts w:ascii="Garamond" w:hAnsi="Garamond" w:eastAsia="Garamond" w:cs="Garamond"/>
          <w:sz w:val="22"/>
          <w:szCs w:val="22"/>
        </w:rPr>
        <w:t xml:space="preserve">Tong, S., Prior, J., McGregor, G., Shi, X., &amp; Kinney, P. (2021). Urban heat: An increasing threat to global health. </w:t>
      </w:r>
      <w:r>
        <w:rPr>
          <w:rFonts w:ascii="Garamond" w:hAnsi="Garamond" w:eastAsia="Garamond" w:cs="Garamond"/>
          <w:i/>
          <w:sz w:val="22"/>
          <w:szCs w:val="22"/>
        </w:rPr>
        <w:t>BMJ (Clinical Research Ed.)</w:t>
      </w:r>
      <w:r>
        <w:rPr>
          <w:rFonts w:ascii="Garamond" w:hAnsi="Garamond" w:eastAsia="Garamond" w:cs="Garamond"/>
          <w:sz w:val="22"/>
          <w:szCs w:val="22"/>
        </w:rPr>
        <w:t xml:space="preserve">, </w:t>
      </w:r>
      <w:r>
        <w:rPr>
          <w:rFonts w:ascii="Garamond" w:hAnsi="Garamond" w:eastAsia="Garamond" w:cs="Garamond"/>
          <w:i/>
          <w:sz w:val="22"/>
          <w:szCs w:val="22"/>
        </w:rPr>
        <w:t>375</w:t>
      </w:r>
      <w:r>
        <w:rPr>
          <w:rFonts w:ascii="Garamond" w:hAnsi="Garamond" w:eastAsia="Garamond" w:cs="Garamond"/>
          <w:sz w:val="22"/>
          <w:szCs w:val="22"/>
        </w:rPr>
        <w:t xml:space="preserve">, n2467. </w:t>
      </w:r>
      <w:hyperlink r:id="rId39">
        <w:r>
          <w:rPr>
            <w:rFonts w:ascii="Garamond" w:hAnsi="Garamond" w:eastAsia="Garamond" w:cs="Garamond"/>
            <w:color w:val="467886"/>
            <w:sz w:val="22"/>
            <w:szCs w:val="22"/>
            <w:u w:val="single"/>
          </w:rPr>
          <w:t>https://doi.org/10.1136/bmj.n2467</w:t>
        </w:r>
      </w:hyperlink>
    </w:p>
    <w:p w:rsidR="00060C16" w:rsidRDefault="00671E79" w14:paraId="1C63BE81" w14:textId="77777777">
      <w:pPr>
        <w:spacing w:line="240" w:lineRule="auto"/>
        <w:ind w:left="720" w:hanging="720"/>
        <w:rPr>
          <w:rFonts w:ascii="Garamond" w:hAnsi="Garamond" w:eastAsia="Garamond" w:cs="Garamond"/>
          <w:sz w:val="22"/>
          <w:szCs w:val="22"/>
        </w:rPr>
      </w:pPr>
      <w:r>
        <w:rPr>
          <w:rFonts w:ascii="Garamond" w:hAnsi="Garamond" w:eastAsia="Garamond" w:cs="Garamond"/>
          <w:sz w:val="22"/>
          <w:szCs w:val="22"/>
        </w:rPr>
        <w:t xml:space="preserve">U.S. Census Bureau QuickFacts: Stockton city, California. (n.d.). Retrieved February 27, 2024, from </w:t>
      </w:r>
      <w:proofErr w:type="gramStart"/>
      <w:r>
        <w:rPr>
          <w:rFonts w:ascii="Garamond" w:hAnsi="Garamond" w:eastAsia="Garamond" w:cs="Garamond"/>
          <w:sz w:val="22"/>
          <w:szCs w:val="22"/>
        </w:rPr>
        <w:t>https://www.census.gov/quickfacts/fact/table/stocktoncitycalifornia/PST045222</w:t>
      </w:r>
      <w:proofErr w:type="gramEnd"/>
    </w:p>
    <w:p w:rsidR="00060C16" w:rsidRDefault="00671E79" w14:paraId="39900DF7" w14:textId="77777777">
      <w:pPr>
        <w:spacing w:line="240" w:lineRule="auto"/>
        <w:ind w:left="700" w:right="-20" w:hanging="720"/>
        <w:rPr>
          <w:rFonts w:ascii="Garamond" w:hAnsi="Garamond" w:eastAsia="Garamond" w:cs="Garamond"/>
          <w:color w:val="467886"/>
          <w:sz w:val="22"/>
          <w:szCs w:val="22"/>
          <w:u w:val="single"/>
        </w:rPr>
      </w:pPr>
      <w:r>
        <w:rPr>
          <w:rFonts w:ascii="Garamond" w:hAnsi="Garamond" w:eastAsia="Garamond" w:cs="Garamond"/>
          <w:sz w:val="22"/>
          <w:szCs w:val="22"/>
        </w:rPr>
        <w:t xml:space="preserve">US EPA, O. (2015, February 13). </w:t>
      </w:r>
      <w:r>
        <w:rPr>
          <w:rFonts w:ascii="Garamond" w:hAnsi="Garamond" w:eastAsia="Garamond" w:cs="Garamond"/>
          <w:i/>
          <w:sz w:val="22"/>
          <w:szCs w:val="22"/>
        </w:rPr>
        <w:t>Learn About Environmental Justice</w:t>
      </w:r>
      <w:r>
        <w:rPr>
          <w:rFonts w:ascii="Garamond" w:hAnsi="Garamond" w:eastAsia="Garamond" w:cs="Garamond"/>
          <w:sz w:val="22"/>
          <w:szCs w:val="22"/>
        </w:rPr>
        <w:t xml:space="preserve"> [Overviews and Factsheets]. </w:t>
      </w:r>
      <w:r>
        <w:tab/>
      </w:r>
      <w:r>
        <w:tab/>
      </w:r>
      <w:r>
        <w:tab/>
      </w:r>
      <w:hyperlink r:id="rId40">
        <w:r>
          <w:rPr>
            <w:rFonts w:ascii="Garamond" w:hAnsi="Garamond" w:eastAsia="Garamond" w:cs="Garamond"/>
            <w:color w:val="467886"/>
            <w:sz w:val="22"/>
            <w:szCs w:val="22"/>
            <w:u w:val="single"/>
          </w:rPr>
          <w:t>https://www.epa.gov/environmentaljustice/learn-about-environmental-justice</w:t>
        </w:r>
      </w:hyperlink>
    </w:p>
    <w:p w:rsidR="00060C16" w:rsidRDefault="00671E79" w14:paraId="667491EC" w14:textId="77777777">
      <w:pPr>
        <w:spacing w:after="0" w:line="240" w:lineRule="auto"/>
        <w:ind w:left="720" w:hanging="720"/>
        <w:rPr>
          <w:rFonts w:ascii="Garamond" w:hAnsi="Garamond" w:eastAsia="Garamond" w:cs="Garamond"/>
          <w:color w:val="467886"/>
          <w:sz w:val="22"/>
          <w:szCs w:val="22"/>
          <w:u w:val="single"/>
        </w:rPr>
      </w:pPr>
      <w:r>
        <w:rPr>
          <w:rFonts w:ascii="Garamond" w:hAnsi="Garamond" w:eastAsia="Garamond" w:cs="Garamond"/>
          <w:sz w:val="22"/>
          <w:szCs w:val="22"/>
        </w:rPr>
        <w:t xml:space="preserve">Xu, R. (2023). Extreme temperature events, fine particulate matter, and myocardial infarction mortality. </w:t>
      </w:r>
      <w:r>
        <w:rPr>
          <w:rFonts w:ascii="Garamond" w:hAnsi="Garamond" w:eastAsia="Garamond" w:cs="Garamond"/>
          <w:i/>
          <w:sz w:val="22"/>
          <w:szCs w:val="22"/>
        </w:rPr>
        <w:t>Circulation</w:t>
      </w:r>
      <w:r>
        <w:rPr>
          <w:rFonts w:ascii="Garamond" w:hAnsi="Garamond" w:eastAsia="Garamond" w:cs="Garamond"/>
          <w:sz w:val="22"/>
          <w:szCs w:val="22"/>
        </w:rPr>
        <w:t xml:space="preserve">. </w:t>
      </w:r>
      <w:hyperlink r:id="rId41">
        <w:r>
          <w:rPr>
            <w:rFonts w:ascii="Garamond" w:hAnsi="Garamond" w:eastAsia="Garamond" w:cs="Garamond"/>
            <w:color w:val="467886"/>
            <w:sz w:val="22"/>
            <w:szCs w:val="22"/>
            <w:u w:val="single"/>
          </w:rPr>
          <w:t>https://www.ahajournals.org/doi/10.1161/CIRCULATIONAHA.122.063504</w:t>
        </w:r>
      </w:hyperlink>
    </w:p>
    <w:p w:rsidR="00060C16" w:rsidRDefault="00060C16" w14:paraId="210EF8BB" w14:textId="77777777">
      <w:pPr>
        <w:spacing w:after="0" w:line="240" w:lineRule="auto"/>
        <w:ind w:left="720" w:hanging="720"/>
      </w:pPr>
    </w:p>
    <w:p w:rsidR="00060C16" w:rsidRDefault="00671E79" w14:paraId="5668EA49" w14:textId="117F957C">
      <w:pPr>
        <w:spacing w:after="0" w:line="240" w:lineRule="auto"/>
        <w:ind w:left="720" w:hanging="720"/>
        <w:rPr>
          <w:rFonts w:ascii="Garamond" w:hAnsi="Garamond" w:eastAsia="Garamond" w:cs="Garamond"/>
          <w:color w:val="467886"/>
          <w:sz w:val="22"/>
          <w:szCs w:val="22"/>
          <w:u w:val="single"/>
        </w:rPr>
      </w:pPr>
      <w:r w:rsidRPr="6DEE4987" w:rsidR="00671E79">
        <w:rPr>
          <w:rFonts w:ascii="Garamond" w:hAnsi="Garamond" w:eastAsia="Garamond" w:cs="Garamond"/>
          <w:sz w:val="22"/>
          <w:szCs w:val="22"/>
        </w:rPr>
        <w:t xml:space="preserve">Yin, H., Kong, F., </w:t>
      </w:r>
      <w:r w:rsidRPr="6DEE4987" w:rsidR="00671E79">
        <w:rPr>
          <w:rFonts w:ascii="Garamond" w:hAnsi="Garamond" w:eastAsia="Garamond" w:cs="Garamond"/>
          <w:sz w:val="22"/>
          <w:szCs w:val="22"/>
        </w:rPr>
        <w:t>Middel</w:t>
      </w:r>
      <w:r w:rsidRPr="6DEE4987" w:rsidR="00671E79">
        <w:rPr>
          <w:rFonts w:ascii="Garamond" w:hAnsi="Garamond" w:eastAsia="Garamond" w:cs="Garamond"/>
          <w:sz w:val="22"/>
          <w:szCs w:val="22"/>
        </w:rPr>
        <w:t xml:space="preserve">, A., </w:t>
      </w:r>
      <w:r w:rsidRPr="6DEE4987" w:rsidR="00671E79">
        <w:rPr>
          <w:rFonts w:ascii="Garamond" w:hAnsi="Garamond" w:eastAsia="Garamond" w:cs="Garamond"/>
          <w:sz w:val="22"/>
          <w:szCs w:val="22"/>
        </w:rPr>
        <w:t>Dronova</w:t>
      </w:r>
      <w:r w:rsidRPr="6DEE4987" w:rsidR="00671E79">
        <w:rPr>
          <w:rFonts w:ascii="Garamond" w:hAnsi="Garamond" w:eastAsia="Garamond" w:cs="Garamond"/>
          <w:sz w:val="22"/>
          <w:szCs w:val="22"/>
        </w:rPr>
        <w:t xml:space="preserve">, I., Xu, H., </w:t>
      </w:r>
      <w:r w:rsidRPr="6DEE4987" w:rsidR="6A507839">
        <w:rPr>
          <w:rFonts w:ascii="Garamond" w:hAnsi="Garamond" w:eastAsia="Garamond" w:cs="Garamond"/>
          <w:sz w:val="22"/>
          <w:szCs w:val="22"/>
        </w:rPr>
        <w:t>and</w:t>
      </w:r>
      <w:r w:rsidRPr="6DEE4987" w:rsidR="00671E79">
        <w:rPr>
          <w:rFonts w:ascii="Garamond" w:hAnsi="Garamond" w:eastAsia="Garamond" w:cs="Garamond"/>
          <w:sz w:val="22"/>
          <w:szCs w:val="22"/>
        </w:rPr>
        <w:t xml:space="preserve"> James, P. (2017). Cooling effect of direct green façades during </w:t>
      </w:r>
      <w:r w:rsidRPr="6DEE4987" w:rsidR="00671E79">
        <w:rPr>
          <w:rFonts w:ascii="Garamond" w:hAnsi="Garamond" w:eastAsia="Garamond" w:cs="Garamond"/>
          <w:sz w:val="22"/>
          <w:szCs w:val="22"/>
        </w:rPr>
        <w:t>hot summer</w:t>
      </w:r>
      <w:r w:rsidRPr="6DEE4987" w:rsidR="00671E79">
        <w:rPr>
          <w:rFonts w:ascii="Garamond" w:hAnsi="Garamond" w:eastAsia="Garamond" w:cs="Garamond"/>
          <w:sz w:val="22"/>
          <w:szCs w:val="22"/>
        </w:rPr>
        <w:t xml:space="preserve"> days: An observational study in Nanjing, China using TIR and 3DPC data. </w:t>
      </w:r>
      <w:r w:rsidRPr="6DEE4987" w:rsidR="00671E79">
        <w:rPr>
          <w:rFonts w:ascii="Garamond" w:hAnsi="Garamond" w:eastAsia="Garamond" w:cs="Garamond"/>
          <w:i w:val="1"/>
          <w:iCs w:val="1"/>
          <w:sz w:val="22"/>
          <w:szCs w:val="22"/>
        </w:rPr>
        <w:t>Building and Environment</w:t>
      </w:r>
      <w:r w:rsidRPr="6DEE4987" w:rsidR="00671E79">
        <w:rPr>
          <w:rFonts w:ascii="Garamond" w:hAnsi="Garamond" w:eastAsia="Garamond" w:cs="Garamond"/>
          <w:sz w:val="22"/>
          <w:szCs w:val="22"/>
        </w:rPr>
        <w:t xml:space="preserve">, </w:t>
      </w:r>
      <w:r w:rsidRPr="6DEE4987" w:rsidR="00671E79">
        <w:rPr>
          <w:rFonts w:ascii="Garamond" w:hAnsi="Garamond" w:eastAsia="Garamond" w:cs="Garamond"/>
          <w:i w:val="1"/>
          <w:iCs w:val="1"/>
          <w:sz w:val="22"/>
          <w:szCs w:val="22"/>
        </w:rPr>
        <w:t>116</w:t>
      </w:r>
      <w:r w:rsidRPr="6DEE4987" w:rsidR="00671E79">
        <w:rPr>
          <w:rFonts w:ascii="Garamond" w:hAnsi="Garamond" w:eastAsia="Garamond" w:cs="Garamond"/>
          <w:sz w:val="22"/>
          <w:szCs w:val="22"/>
        </w:rPr>
        <w:t xml:space="preserve">, 195–206. </w:t>
      </w:r>
      <w:hyperlink r:id="R056f9cdb77904714">
        <w:r w:rsidRPr="6DEE4987" w:rsidR="00671E79">
          <w:rPr>
            <w:rFonts w:ascii="Garamond" w:hAnsi="Garamond" w:eastAsia="Garamond" w:cs="Garamond"/>
            <w:color w:val="467886"/>
            <w:sz w:val="22"/>
            <w:szCs w:val="22"/>
            <w:u w:val="single"/>
          </w:rPr>
          <w:t>https://doi.org/10.1016/j.buildenv.2017.02.020</w:t>
        </w:r>
      </w:hyperlink>
    </w:p>
    <w:p w:rsidR="00060C16" w:rsidRDefault="00060C16" w14:paraId="11F0CFE2" w14:textId="77777777">
      <w:pPr>
        <w:spacing w:after="0" w:line="240" w:lineRule="auto"/>
        <w:ind w:left="720" w:hanging="720"/>
      </w:pPr>
    </w:p>
    <w:p w:rsidR="00060C16" w:rsidP="185496FE" w:rsidRDefault="00060C16" w14:paraId="392BB427" w14:textId="5C2800A2">
      <w:pPr>
        <w:spacing w:after="0" w:line="240" w:lineRule="auto"/>
        <w:ind w:left="720" w:hanging="720"/>
        <w:rPr>
          <w:rFonts w:ascii="Garamond" w:hAnsi="Garamond" w:eastAsia="Garamond" w:cs="Garamond"/>
          <w:sz w:val="22"/>
          <w:szCs w:val="22"/>
        </w:rPr>
      </w:pPr>
      <w:r w:rsidRPr="185496FE" w:rsidR="00671E79">
        <w:rPr>
          <w:rFonts w:ascii="Garamond" w:hAnsi="Garamond" w:eastAsia="Garamond" w:cs="Garamond"/>
          <w:sz w:val="22"/>
          <w:szCs w:val="22"/>
        </w:rPr>
        <w:t xml:space="preserve">Zhou, D., Xiao, J., </w:t>
      </w:r>
      <w:r w:rsidRPr="185496FE" w:rsidR="00671E79">
        <w:rPr>
          <w:rFonts w:ascii="Garamond" w:hAnsi="Garamond" w:eastAsia="Garamond" w:cs="Garamond"/>
          <w:sz w:val="22"/>
          <w:szCs w:val="22"/>
        </w:rPr>
        <w:t>Bonafoni</w:t>
      </w:r>
      <w:r w:rsidRPr="185496FE" w:rsidR="00671E79">
        <w:rPr>
          <w:rFonts w:ascii="Garamond" w:hAnsi="Garamond" w:eastAsia="Garamond" w:cs="Garamond"/>
          <w:sz w:val="22"/>
          <w:szCs w:val="22"/>
        </w:rPr>
        <w:t xml:space="preserve">, S., Berger, C., </w:t>
      </w:r>
      <w:r w:rsidRPr="185496FE" w:rsidR="00671E79">
        <w:rPr>
          <w:rFonts w:ascii="Garamond" w:hAnsi="Garamond" w:eastAsia="Garamond" w:cs="Garamond"/>
          <w:sz w:val="22"/>
          <w:szCs w:val="22"/>
        </w:rPr>
        <w:t>Deilami</w:t>
      </w:r>
      <w:r w:rsidRPr="185496FE" w:rsidR="00671E79">
        <w:rPr>
          <w:rFonts w:ascii="Garamond" w:hAnsi="Garamond" w:eastAsia="Garamond" w:cs="Garamond"/>
          <w:sz w:val="22"/>
          <w:szCs w:val="22"/>
        </w:rPr>
        <w:t xml:space="preserve">, K., Zhou, Y., </w:t>
      </w:r>
      <w:r w:rsidRPr="185496FE" w:rsidR="00671E79">
        <w:rPr>
          <w:rFonts w:ascii="Garamond" w:hAnsi="Garamond" w:eastAsia="Garamond" w:cs="Garamond"/>
          <w:sz w:val="22"/>
          <w:szCs w:val="22"/>
        </w:rPr>
        <w:t>Frolking</w:t>
      </w:r>
      <w:r w:rsidRPr="185496FE" w:rsidR="00671E79">
        <w:rPr>
          <w:rFonts w:ascii="Garamond" w:hAnsi="Garamond" w:eastAsia="Garamond" w:cs="Garamond"/>
          <w:sz w:val="22"/>
          <w:szCs w:val="22"/>
        </w:rPr>
        <w:t xml:space="preserve">, S., Yao, R., </w:t>
      </w:r>
      <w:r w:rsidRPr="185496FE" w:rsidR="00671E79">
        <w:rPr>
          <w:rFonts w:ascii="Garamond" w:hAnsi="Garamond" w:eastAsia="Garamond" w:cs="Garamond"/>
          <w:sz w:val="22"/>
          <w:szCs w:val="22"/>
        </w:rPr>
        <w:t>Qiao</w:t>
      </w:r>
      <w:r w:rsidRPr="185496FE" w:rsidR="00671E79">
        <w:rPr>
          <w:rFonts w:ascii="Garamond" w:hAnsi="Garamond" w:eastAsia="Garamond" w:cs="Garamond"/>
          <w:sz w:val="22"/>
          <w:szCs w:val="22"/>
        </w:rPr>
        <w:t xml:space="preserve">, Z., </w:t>
      </w:r>
      <w:r w:rsidRPr="185496FE" w:rsidR="069CC9B3">
        <w:rPr>
          <w:rFonts w:ascii="Garamond" w:hAnsi="Garamond" w:eastAsia="Garamond" w:cs="Garamond"/>
          <w:sz w:val="22"/>
          <w:szCs w:val="22"/>
        </w:rPr>
        <w:t>and</w:t>
      </w:r>
      <w:r w:rsidRPr="185496FE" w:rsidR="00671E79">
        <w:rPr>
          <w:rFonts w:ascii="Garamond" w:hAnsi="Garamond" w:eastAsia="Garamond" w:cs="Garamond"/>
          <w:sz w:val="22"/>
          <w:szCs w:val="22"/>
        </w:rPr>
        <w:t xml:space="preserve"> </w:t>
      </w:r>
      <w:r w:rsidRPr="185496FE" w:rsidR="00671E79">
        <w:rPr>
          <w:rFonts w:ascii="Garamond" w:hAnsi="Garamond" w:eastAsia="Garamond" w:cs="Garamond"/>
          <w:sz w:val="22"/>
          <w:szCs w:val="22"/>
        </w:rPr>
        <w:t>Sobrino</w:t>
      </w:r>
      <w:r w:rsidRPr="185496FE" w:rsidR="00671E79">
        <w:rPr>
          <w:rFonts w:ascii="Garamond" w:hAnsi="Garamond" w:eastAsia="Garamond" w:cs="Garamond"/>
          <w:sz w:val="22"/>
          <w:szCs w:val="22"/>
        </w:rPr>
        <w:t xml:space="preserve">, </w:t>
      </w:r>
      <w:r w:rsidRPr="185496FE" w:rsidR="00671E79">
        <w:rPr>
          <w:rFonts w:ascii="Garamond" w:hAnsi="Garamond" w:eastAsia="Garamond" w:cs="Garamond"/>
          <w:sz w:val="22"/>
          <w:szCs w:val="22"/>
        </w:rPr>
        <w:t xml:space="preserve">J. A. (2019). Satellite Remote Sensing of Surface Urban Heat Islands: Progress, Challenges, and </w:t>
      </w:r>
      <w:r w:rsidRPr="185496FE" w:rsidR="00671E79">
        <w:rPr>
          <w:rFonts w:ascii="Garamond" w:hAnsi="Garamond" w:eastAsia="Garamond" w:cs="Garamond"/>
          <w:sz w:val="22"/>
          <w:szCs w:val="22"/>
        </w:rPr>
        <w:t xml:space="preserve">Perspectives. </w:t>
      </w:r>
      <w:r w:rsidRPr="185496FE" w:rsidR="00671E79">
        <w:rPr>
          <w:rFonts w:ascii="Garamond" w:hAnsi="Garamond" w:eastAsia="Garamond" w:cs="Garamond"/>
          <w:sz w:val="22"/>
          <w:szCs w:val="22"/>
        </w:rPr>
        <w:t>Remote Sensing</w:t>
      </w:r>
      <w:r w:rsidRPr="185496FE" w:rsidR="00671E79">
        <w:rPr>
          <w:rFonts w:ascii="Garamond" w:hAnsi="Garamond" w:eastAsia="Garamond" w:cs="Garamond"/>
          <w:sz w:val="22"/>
          <w:szCs w:val="22"/>
        </w:rPr>
        <w:t xml:space="preserve">, </w:t>
      </w:r>
      <w:r w:rsidRPr="185496FE" w:rsidR="00671E79">
        <w:rPr>
          <w:rFonts w:ascii="Garamond" w:hAnsi="Garamond" w:eastAsia="Garamond" w:cs="Garamond"/>
          <w:sz w:val="22"/>
          <w:szCs w:val="22"/>
        </w:rPr>
        <w:t>11</w:t>
      </w:r>
      <w:r w:rsidRPr="185496FE" w:rsidR="00671E79">
        <w:rPr>
          <w:rFonts w:ascii="Garamond" w:hAnsi="Garamond" w:eastAsia="Garamond" w:cs="Garamond"/>
          <w:sz w:val="22"/>
          <w:szCs w:val="22"/>
        </w:rPr>
        <w:t xml:space="preserve">(1), 48. </w:t>
      </w:r>
      <w:r>
        <w:fldChar w:fldCharType="begin"/>
      </w:r>
      <w:r>
        <w:instrText xml:space="preserve">HYPERLINK "https://doi.org/10.3390/rs11010048" \h</w:instrText>
      </w:r>
      <w:r>
        <w:fldChar w:fldCharType="separate"/>
      </w:r>
      <w:r w:rsidRPr="185496FE" w:rsidR="00671E79">
        <w:rPr>
          <w:rFonts w:ascii="Garamond" w:hAnsi="Garamond" w:eastAsia="Garamond" w:cs="Garamond"/>
          <w:sz w:val="22"/>
          <w:szCs w:val="22"/>
        </w:rPr>
        <w:t>https://doi.org/10.3390/rs11010048</w:t>
      </w:r>
      <w:r w:rsidRPr="185496FE">
        <w:rPr>
          <w:rFonts w:ascii="Garamond" w:hAnsi="Garamond" w:eastAsia="Garamond" w:cs="Garamond"/>
          <w:sz w:val="22"/>
          <w:szCs w:val="22"/>
        </w:rPr>
        <w:fldChar w:fldCharType="end"/>
      </w:r>
    </w:p>
    <w:p w:rsidR="00060C16" w:rsidP="6DEE4987" w:rsidRDefault="00671E79" w14:paraId="2DC83369" w14:textId="41D295AD" w14:noSpellErr="1">
      <w:pPr>
        <w:pStyle w:val="Heading1"/>
        <w:spacing w:after="0" w:line="240" w:lineRule="auto"/>
        <w:rPr>
          <w:rFonts w:ascii="Garamond" w:hAnsi="Garamond" w:eastAsia="Garamond" w:cs="Garamond"/>
          <w:b w:val="1"/>
          <w:bCs w:val="1"/>
          <w:color w:val="365F91"/>
          <w:sz w:val="28"/>
          <w:szCs w:val="28"/>
        </w:rPr>
      </w:pPr>
      <w:r w:rsidRPr="6DEE4987" w:rsidR="00671E79">
        <w:rPr>
          <w:rFonts w:ascii="Garamond" w:hAnsi="Garamond" w:eastAsia="Garamond" w:cs="Garamond"/>
          <w:b w:val="1"/>
          <w:bCs w:val="1"/>
          <w:color w:val="365F91"/>
          <w:sz w:val="28"/>
          <w:szCs w:val="28"/>
        </w:rPr>
        <w:t>9. Appendices</w:t>
      </w:r>
    </w:p>
    <w:p w:rsidR="00060C16" w:rsidRDefault="00671E79" w14:paraId="7469065A" w14:textId="77777777">
      <w:r>
        <w:rPr>
          <w:rFonts w:ascii="Garamond" w:hAnsi="Garamond" w:eastAsia="Garamond" w:cs="Garamond"/>
          <w:color w:val="000000"/>
          <w:sz w:val="22"/>
          <w:szCs w:val="22"/>
        </w:rPr>
        <w:t xml:space="preserve">Appendix A. </w:t>
      </w:r>
    </w:p>
    <w:p w:rsidR="00060C16" w:rsidRDefault="00671E79" w14:paraId="7C25A846" w14:textId="77777777">
      <w:pPr>
        <w:pBdr>
          <w:top w:val="nil"/>
          <w:left w:val="nil"/>
          <w:bottom w:val="nil"/>
          <w:right w:val="nil"/>
          <w:between w:val="nil"/>
        </w:pBdr>
        <w:spacing w:line="240" w:lineRule="auto"/>
        <w:jc w:val="center"/>
        <w:rPr>
          <w:rFonts w:ascii="Times New Roman" w:hAnsi="Times New Roman" w:eastAsia="Times New Roman" w:cs="Times New Roman"/>
          <w:color w:val="000000"/>
        </w:rPr>
      </w:pPr>
      <w:r>
        <w:rPr>
          <w:rFonts w:ascii="Times New Roman" w:hAnsi="Times New Roman" w:eastAsia="Times New Roman" w:cs="Times New Roman"/>
          <w:noProof/>
          <w:color w:val="000000"/>
        </w:rPr>
        <w:drawing>
          <wp:inline distT="0" distB="0" distL="0" distR="0" wp14:anchorId="3CC369F3" wp14:editId="2FC4545D">
            <wp:extent cx="4661144" cy="2443974"/>
            <wp:effectExtent l="0" t="0" r="0" b="0"/>
            <wp:docPr id="21055390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4661144" cy="2443974"/>
                    </a:xfrm>
                    <a:prstGeom prst="rect">
                      <a:avLst/>
                    </a:prstGeom>
                    <a:ln/>
                  </pic:spPr>
                </pic:pic>
              </a:graphicData>
            </a:graphic>
          </wp:inline>
        </w:drawing>
      </w:r>
    </w:p>
    <w:p w:rsidR="00060C16" w:rsidP="185496FE" w:rsidRDefault="00060C16" w14:paraId="0A8D0F5D" w14:textId="507559F1">
      <w:pPr>
        <w:spacing w:after="0" w:line="240" w:lineRule="auto"/>
        <w:jc w:val="center"/>
        <w:rPr>
          <w:rFonts w:ascii="Garamond" w:hAnsi="Garamond" w:eastAsia="Garamond" w:cs="Garamond"/>
          <w:color w:val="000000"/>
          <w:sz w:val="22"/>
          <w:szCs w:val="22"/>
        </w:rPr>
      </w:pPr>
      <w:r w:rsidRPr="185496FE" w:rsidR="00671E79">
        <w:rPr>
          <w:rFonts w:ascii="Garamond" w:hAnsi="Garamond" w:eastAsia="Garamond" w:cs="Garamond"/>
          <w:i w:val="1"/>
          <w:iCs w:val="1"/>
          <w:color w:val="000000" w:themeColor="text1" w:themeTint="FF" w:themeShade="FF"/>
          <w:sz w:val="22"/>
          <w:szCs w:val="22"/>
        </w:rPr>
        <w:t>Figure A1.</w:t>
      </w:r>
      <w:r w:rsidRPr="185496FE" w:rsidR="00671E79">
        <w:rPr>
          <w:rFonts w:ascii="Garamond" w:hAnsi="Garamond" w:eastAsia="Garamond" w:cs="Garamond"/>
          <w:b w:val="1"/>
          <w:bCs w:val="1"/>
          <w:color w:val="000000" w:themeColor="text1" w:themeTint="FF" w:themeShade="FF"/>
          <w:sz w:val="22"/>
          <w:szCs w:val="22"/>
        </w:rPr>
        <w:t xml:space="preserve"> </w:t>
      </w:r>
      <w:r w:rsidRPr="185496FE" w:rsidR="00671E79">
        <w:rPr>
          <w:rFonts w:ascii="Garamond" w:hAnsi="Garamond" w:eastAsia="Garamond" w:cs="Garamond"/>
          <w:color w:val="000000" w:themeColor="text1" w:themeTint="FF" w:themeShade="FF"/>
          <w:sz w:val="22"/>
          <w:szCs w:val="22"/>
        </w:rPr>
        <w:t>Nitrogen Dioxide Choropleth Map showing the distribution of NO</w:t>
      </w:r>
      <w:r w:rsidRPr="185496FE" w:rsidR="00671E79">
        <w:rPr>
          <w:rFonts w:ascii="Garamond" w:hAnsi="Garamond" w:eastAsia="Garamond" w:cs="Garamond"/>
          <w:color w:val="000000" w:themeColor="text1" w:themeTint="FF" w:themeShade="FF"/>
          <w:vertAlign w:val="subscript"/>
        </w:rPr>
        <w:t>2</w:t>
      </w:r>
      <w:r w:rsidRPr="185496FE" w:rsidR="00671E79">
        <w:rPr>
          <w:rFonts w:ascii="Garamond" w:hAnsi="Garamond" w:eastAsia="Garamond" w:cs="Garamond"/>
          <w:color w:val="000000" w:themeColor="text1" w:themeTint="FF" w:themeShade="FF"/>
          <w:sz w:val="22"/>
          <w:szCs w:val="22"/>
        </w:rPr>
        <w:t xml:space="preserve"> throughout the county with major </w:t>
      </w:r>
      <w:r w:rsidRPr="185496FE" w:rsidR="00671E79">
        <w:rPr>
          <w:rFonts w:ascii="Garamond" w:hAnsi="Garamond" w:eastAsia="Garamond" w:cs="Garamond"/>
          <w:color w:val="000000" w:themeColor="text1" w:themeTint="FF" w:themeShade="FF"/>
          <w:sz w:val="22"/>
          <w:szCs w:val="22"/>
        </w:rPr>
        <w:t>roadways</w:t>
      </w:r>
    </w:p>
    <w:p w:rsidR="00060C16" w:rsidRDefault="00671E79" w14:paraId="60932ADD" w14:textId="77777777">
      <w:pPr>
        <w:spacing w:after="0" w:line="240" w:lineRule="auto"/>
        <w:jc w:val="center"/>
        <w:rPr>
          <w:rFonts w:ascii="Garamond" w:hAnsi="Garamond" w:eastAsia="Garamond" w:cs="Garamond"/>
          <w:color w:val="000000"/>
          <w:sz w:val="22"/>
          <w:szCs w:val="22"/>
        </w:rPr>
      </w:pPr>
      <w:r>
        <w:rPr>
          <w:noProof/>
        </w:rPr>
        <w:lastRenderedPageBreak/>
        <w:drawing>
          <wp:inline distT="0" distB="0" distL="0" distR="0" wp14:anchorId="19E53965" wp14:editId="09D7A7B8">
            <wp:extent cx="5436093" cy="2724108"/>
            <wp:effectExtent l="0" t="0" r="0" b="0"/>
            <wp:docPr id="21055390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436093" cy="2724108"/>
                    </a:xfrm>
                    <a:prstGeom prst="rect">
                      <a:avLst/>
                    </a:prstGeom>
                    <a:ln/>
                  </pic:spPr>
                </pic:pic>
              </a:graphicData>
            </a:graphic>
          </wp:inline>
        </w:drawing>
      </w:r>
    </w:p>
    <w:p w:rsidR="00060C16" w:rsidP="185496FE" w:rsidRDefault="00060C16" w14:paraId="28394FA1" w14:textId="6E68D6B1">
      <w:pPr>
        <w:spacing w:after="0" w:line="240" w:lineRule="auto"/>
        <w:jc w:val="center"/>
        <w:rPr>
          <w:rFonts w:ascii="Garamond" w:hAnsi="Garamond" w:eastAsia="Garamond" w:cs="Garamond"/>
          <w:color w:val="000000"/>
          <w:sz w:val="22"/>
          <w:szCs w:val="22"/>
        </w:rPr>
      </w:pPr>
      <w:r w:rsidRPr="185496FE" w:rsidR="00671E79">
        <w:rPr>
          <w:rFonts w:ascii="Garamond" w:hAnsi="Garamond" w:eastAsia="Garamond" w:cs="Garamond"/>
          <w:i w:val="1"/>
          <w:iCs w:val="1"/>
          <w:color w:val="000000" w:themeColor="text1" w:themeTint="FF" w:themeShade="FF"/>
          <w:sz w:val="22"/>
          <w:szCs w:val="22"/>
        </w:rPr>
        <w:t xml:space="preserve">Figure A2. </w:t>
      </w:r>
      <w:r w:rsidRPr="185496FE" w:rsidR="00671E79">
        <w:rPr>
          <w:rFonts w:ascii="Garamond" w:hAnsi="Garamond" w:eastAsia="Garamond" w:cs="Garamond"/>
          <w:color w:val="000000" w:themeColor="text1" w:themeTint="FF" w:themeShade="FF"/>
          <w:sz w:val="22"/>
          <w:szCs w:val="22"/>
        </w:rPr>
        <w:t>Air Quality Vulnerability Bivariate Choropleth Map</w:t>
      </w:r>
    </w:p>
    <w:p w:rsidR="185496FE" w:rsidP="185496FE" w:rsidRDefault="185496FE" w14:paraId="57C11A83" w14:textId="27E424FA">
      <w:pPr>
        <w:pStyle w:val="Normal"/>
        <w:spacing w:after="0" w:line="240" w:lineRule="auto"/>
        <w:jc w:val="center"/>
        <w:rPr>
          <w:rFonts w:ascii="Garamond" w:hAnsi="Garamond" w:eastAsia="Garamond" w:cs="Garamond"/>
          <w:color w:val="000000" w:themeColor="text1" w:themeTint="FF" w:themeShade="FF"/>
          <w:sz w:val="22"/>
          <w:szCs w:val="22"/>
        </w:rPr>
      </w:pPr>
    </w:p>
    <w:tbl>
      <w:tblPr>
        <w:tblStyle w:val="a1"/>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11"/>
        <w:gridCol w:w="1457"/>
        <w:gridCol w:w="1206"/>
        <w:gridCol w:w="1011"/>
        <w:gridCol w:w="1191"/>
        <w:gridCol w:w="1007"/>
        <w:gridCol w:w="1007"/>
        <w:gridCol w:w="1060"/>
      </w:tblGrid>
      <w:tr w:rsidR="00060C16" w14:paraId="0CB58B15" w14:textId="77777777">
        <w:trPr>
          <w:trHeight w:val="300"/>
        </w:trPr>
        <w:tc>
          <w:tcPr>
            <w:tcW w:w="1411" w:type="dxa"/>
            <w:shd w:val="clear" w:color="auto" w:fill="45B0E1"/>
          </w:tcPr>
          <w:p w:rsidR="00060C16" w:rsidRDefault="00060C16" w14:paraId="39B090DB" w14:textId="77777777">
            <w:pPr>
              <w:jc w:val="center"/>
              <w:rPr>
                <w:rFonts w:ascii="Garamond" w:hAnsi="Garamond" w:eastAsia="Garamond" w:cs="Garamond"/>
                <w:b/>
                <w:color w:val="FFFFFF"/>
                <w:sz w:val="22"/>
                <w:szCs w:val="22"/>
              </w:rPr>
            </w:pPr>
          </w:p>
        </w:tc>
        <w:tc>
          <w:tcPr>
            <w:tcW w:w="1457" w:type="dxa"/>
            <w:shd w:val="clear" w:color="auto" w:fill="45B0E1"/>
          </w:tcPr>
          <w:p w:rsidR="00060C16" w:rsidRDefault="00671E79" w14:paraId="45B1F255"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population in poverty</w:t>
            </w:r>
          </w:p>
        </w:tc>
        <w:tc>
          <w:tcPr>
            <w:tcW w:w="1206" w:type="dxa"/>
            <w:tcBorders>
              <w:bottom w:val="single" w:color="000000" w:sz="4" w:space="0"/>
            </w:tcBorders>
            <w:shd w:val="clear" w:color="auto" w:fill="45B0E1"/>
          </w:tcPr>
          <w:p w:rsidR="00060C16" w:rsidRDefault="00671E79" w14:paraId="56AA7960"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people of color</w:t>
            </w:r>
          </w:p>
        </w:tc>
        <w:tc>
          <w:tcPr>
            <w:tcW w:w="1011" w:type="dxa"/>
            <w:tcBorders>
              <w:bottom w:val="single" w:color="000000" w:sz="4" w:space="0"/>
            </w:tcBorders>
            <w:shd w:val="clear" w:color="auto" w:fill="45B0E1"/>
          </w:tcPr>
          <w:p w:rsidR="00060C16" w:rsidRDefault="00671E79" w14:paraId="64FF3130"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low income</w:t>
            </w:r>
          </w:p>
        </w:tc>
        <w:tc>
          <w:tcPr>
            <w:tcW w:w="1191" w:type="dxa"/>
            <w:tcBorders>
              <w:bottom w:val="single" w:color="000000" w:sz="4" w:space="0"/>
            </w:tcBorders>
            <w:shd w:val="clear" w:color="auto" w:fill="45B0E1"/>
          </w:tcPr>
          <w:p w:rsidR="00060C16" w:rsidRDefault="00671E79" w14:paraId="2D0EEC0F"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&lt;HS Education</w:t>
            </w:r>
          </w:p>
        </w:tc>
        <w:tc>
          <w:tcPr>
            <w:tcW w:w="1007" w:type="dxa"/>
            <w:shd w:val="clear" w:color="auto" w:fill="45B0E1"/>
          </w:tcPr>
          <w:p w:rsidR="00060C16" w:rsidRDefault="00671E79" w14:paraId="3082CB53"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&lt; age 5</w:t>
            </w:r>
          </w:p>
        </w:tc>
        <w:tc>
          <w:tcPr>
            <w:tcW w:w="1007" w:type="dxa"/>
            <w:shd w:val="clear" w:color="auto" w:fill="45B0E1"/>
          </w:tcPr>
          <w:p w:rsidR="00060C16" w:rsidRDefault="00671E79" w14:paraId="24BEFAC2"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&gt; age 64</w:t>
            </w:r>
          </w:p>
        </w:tc>
        <w:tc>
          <w:tcPr>
            <w:tcW w:w="1060" w:type="dxa"/>
            <w:shd w:val="clear" w:color="auto" w:fill="45B0E1"/>
          </w:tcPr>
          <w:p w:rsidR="00060C16" w:rsidRDefault="00671E79" w14:paraId="4DA6A284" w14:textId="77777777">
            <w:pPr>
              <w:jc w:val="center"/>
              <w:rPr>
                <w:rFonts w:ascii="Garamond" w:hAnsi="Garamond" w:eastAsia="Garamond" w:cs="Garamond"/>
                <w:b/>
                <w:color w:val="FFFFFF"/>
                <w:sz w:val="22"/>
                <w:szCs w:val="22"/>
              </w:rPr>
            </w:pPr>
            <w:proofErr w:type="spellStart"/>
            <w:r>
              <w:rPr>
                <w:rFonts w:ascii="Garamond" w:hAnsi="Garamond" w:eastAsia="Garamond" w:cs="Garamond"/>
                <w:b/>
                <w:color w:val="FFFFFF"/>
                <w:sz w:val="22"/>
                <w:szCs w:val="22"/>
              </w:rPr>
              <w:t>lst_mean</w:t>
            </w:r>
            <w:proofErr w:type="spellEnd"/>
          </w:p>
        </w:tc>
      </w:tr>
      <w:tr w:rsidR="00060C16" w14:paraId="457000C9" w14:textId="77777777">
        <w:trPr>
          <w:trHeight w:val="300"/>
        </w:trPr>
        <w:tc>
          <w:tcPr>
            <w:tcW w:w="1411" w:type="dxa"/>
            <w:shd w:val="clear" w:color="auto" w:fill="45B0E1"/>
          </w:tcPr>
          <w:p w:rsidR="00060C16" w:rsidRDefault="00671E79" w14:paraId="2BA55209"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population in poverty</w:t>
            </w:r>
          </w:p>
        </w:tc>
        <w:tc>
          <w:tcPr>
            <w:tcW w:w="1457" w:type="dxa"/>
          </w:tcPr>
          <w:p w:rsidR="00060C16" w:rsidRDefault="00671E79" w14:paraId="0048FFF6"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206" w:type="dxa"/>
            <w:shd w:val="clear" w:color="auto" w:fill="auto"/>
          </w:tcPr>
          <w:p w:rsidR="00060C16" w:rsidRDefault="00060C16" w14:paraId="0B9027EF" w14:textId="77777777">
            <w:pPr>
              <w:jc w:val="center"/>
              <w:rPr>
                <w:rFonts w:ascii="Garamond" w:hAnsi="Garamond" w:eastAsia="Garamond" w:cs="Garamond"/>
                <w:color w:val="000000"/>
                <w:sz w:val="22"/>
                <w:szCs w:val="22"/>
              </w:rPr>
            </w:pPr>
          </w:p>
        </w:tc>
        <w:tc>
          <w:tcPr>
            <w:tcW w:w="1011" w:type="dxa"/>
            <w:shd w:val="clear" w:color="auto" w:fill="auto"/>
          </w:tcPr>
          <w:p w:rsidR="00060C16" w:rsidRDefault="00060C16" w14:paraId="3458ABB5" w14:textId="77777777">
            <w:pPr>
              <w:jc w:val="center"/>
              <w:rPr>
                <w:rFonts w:ascii="Garamond" w:hAnsi="Garamond" w:eastAsia="Garamond" w:cs="Garamond"/>
                <w:color w:val="000000"/>
                <w:sz w:val="22"/>
                <w:szCs w:val="22"/>
              </w:rPr>
            </w:pPr>
          </w:p>
        </w:tc>
        <w:tc>
          <w:tcPr>
            <w:tcW w:w="1191" w:type="dxa"/>
            <w:shd w:val="clear" w:color="auto" w:fill="auto"/>
          </w:tcPr>
          <w:p w:rsidR="00060C16" w:rsidRDefault="00060C16" w14:paraId="48C0033B" w14:textId="77777777">
            <w:pPr>
              <w:jc w:val="center"/>
              <w:rPr>
                <w:rFonts w:ascii="Garamond" w:hAnsi="Garamond" w:eastAsia="Garamond" w:cs="Garamond"/>
                <w:color w:val="000000"/>
                <w:sz w:val="22"/>
                <w:szCs w:val="22"/>
              </w:rPr>
            </w:pPr>
          </w:p>
        </w:tc>
        <w:tc>
          <w:tcPr>
            <w:tcW w:w="1007" w:type="dxa"/>
          </w:tcPr>
          <w:p w:rsidR="00060C16" w:rsidRDefault="00060C16" w14:paraId="0948B9C7" w14:textId="77777777">
            <w:pPr>
              <w:jc w:val="center"/>
              <w:rPr>
                <w:rFonts w:ascii="Garamond" w:hAnsi="Garamond" w:eastAsia="Garamond" w:cs="Garamond"/>
                <w:color w:val="000000"/>
                <w:sz w:val="22"/>
                <w:szCs w:val="22"/>
              </w:rPr>
            </w:pPr>
          </w:p>
        </w:tc>
        <w:tc>
          <w:tcPr>
            <w:tcW w:w="1007" w:type="dxa"/>
          </w:tcPr>
          <w:p w:rsidR="00060C16" w:rsidRDefault="00060C16" w14:paraId="460BC017" w14:textId="77777777">
            <w:pPr>
              <w:jc w:val="center"/>
              <w:rPr>
                <w:rFonts w:ascii="Garamond" w:hAnsi="Garamond" w:eastAsia="Garamond" w:cs="Garamond"/>
                <w:color w:val="000000"/>
                <w:sz w:val="22"/>
                <w:szCs w:val="22"/>
              </w:rPr>
            </w:pPr>
          </w:p>
        </w:tc>
        <w:tc>
          <w:tcPr>
            <w:tcW w:w="1060" w:type="dxa"/>
          </w:tcPr>
          <w:p w:rsidR="00060C16" w:rsidRDefault="00060C16" w14:paraId="4BD5000E" w14:textId="77777777">
            <w:pPr>
              <w:jc w:val="center"/>
              <w:rPr>
                <w:rFonts w:ascii="Garamond" w:hAnsi="Garamond" w:eastAsia="Garamond" w:cs="Garamond"/>
                <w:color w:val="000000"/>
                <w:sz w:val="22"/>
                <w:szCs w:val="22"/>
              </w:rPr>
            </w:pPr>
          </w:p>
        </w:tc>
      </w:tr>
      <w:tr w:rsidR="00060C16" w14:paraId="54F6CE87" w14:textId="77777777">
        <w:trPr>
          <w:trHeight w:val="300"/>
        </w:trPr>
        <w:tc>
          <w:tcPr>
            <w:tcW w:w="1411" w:type="dxa"/>
            <w:shd w:val="clear" w:color="auto" w:fill="45B0E1"/>
          </w:tcPr>
          <w:p w:rsidR="00060C16" w:rsidRDefault="00671E79" w14:paraId="74DB07D7"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people of color</w:t>
            </w:r>
          </w:p>
        </w:tc>
        <w:tc>
          <w:tcPr>
            <w:tcW w:w="1457" w:type="dxa"/>
          </w:tcPr>
          <w:p w:rsidR="00060C16" w:rsidRDefault="00671E79" w14:paraId="11C8C7BB"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0.052</w:t>
            </w:r>
          </w:p>
        </w:tc>
        <w:tc>
          <w:tcPr>
            <w:tcW w:w="1206" w:type="dxa"/>
          </w:tcPr>
          <w:p w:rsidR="00060C16" w:rsidRDefault="00671E79" w14:paraId="5EA317E4"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011" w:type="dxa"/>
          </w:tcPr>
          <w:p w:rsidR="00060C16" w:rsidRDefault="00060C16" w14:paraId="31D86031" w14:textId="77777777">
            <w:pPr>
              <w:jc w:val="center"/>
              <w:rPr>
                <w:rFonts w:ascii="Garamond" w:hAnsi="Garamond" w:eastAsia="Garamond" w:cs="Garamond"/>
                <w:color w:val="000000"/>
                <w:sz w:val="22"/>
                <w:szCs w:val="22"/>
              </w:rPr>
            </w:pPr>
          </w:p>
        </w:tc>
        <w:tc>
          <w:tcPr>
            <w:tcW w:w="1191" w:type="dxa"/>
          </w:tcPr>
          <w:p w:rsidR="00060C16" w:rsidRDefault="00060C16" w14:paraId="54EF13E3" w14:textId="77777777">
            <w:pPr>
              <w:jc w:val="center"/>
              <w:rPr>
                <w:rFonts w:ascii="Garamond" w:hAnsi="Garamond" w:eastAsia="Garamond" w:cs="Garamond"/>
                <w:color w:val="000000"/>
                <w:sz w:val="22"/>
                <w:szCs w:val="22"/>
              </w:rPr>
            </w:pPr>
          </w:p>
        </w:tc>
        <w:tc>
          <w:tcPr>
            <w:tcW w:w="1007" w:type="dxa"/>
          </w:tcPr>
          <w:p w:rsidR="00060C16" w:rsidRDefault="00060C16" w14:paraId="72DACE5E" w14:textId="77777777">
            <w:pPr>
              <w:jc w:val="center"/>
              <w:rPr>
                <w:rFonts w:ascii="Garamond" w:hAnsi="Garamond" w:eastAsia="Garamond" w:cs="Garamond"/>
                <w:color w:val="000000"/>
                <w:sz w:val="22"/>
                <w:szCs w:val="22"/>
              </w:rPr>
            </w:pPr>
          </w:p>
        </w:tc>
        <w:tc>
          <w:tcPr>
            <w:tcW w:w="1007" w:type="dxa"/>
          </w:tcPr>
          <w:p w:rsidR="00060C16" w:rsidRDefault="00060C16" w14:paraId="4F2BE35C" w14:textId="77777777">
            <w:pPr>
              <w:jc w:val="center"/>
              <w:rPr>
                <w:rFonts w:ascii="Garamond" w:hAnsi="Garamond" w:eastAsia="Garamond" w:cs="Garamond"/>
                <w:color w:val="000000"/>
                <w:sz w:val="22"/>
                <w:szCs w:val="22"/>
              </w:rPr>
            </w:pPr>
          </w:p>
        </w:tc>
        <w:tc>
          <w:tcPr>
            <w:tcW w:w="1060" w:type="dxa"/>
          </w:tcPr>
          <w:p w:rsidR="00060C16" w:rsidRDefault="00060C16" w14:paraId="61BE19F6" w14:textId="77777777">
            <w:pPr>
              <w:jc w:val="center"/>
              <w:rPr>
                <w:rFonts w:ascii="Garamond" w:hAnsi="Garamond" w:eastAsia="Garamond" w:cs="Garamond"/>
                <w:color w:val="000000"/>
                <w:sz w:val="22"/>
                <w:szCs w:val="22"/>
              </w:rPr>
            </w:pPr>
          </w:p>
        </w:tc>
      </w:tr>
      <w:tr w:rsidR="00060C16" w14:paraId="004FD446" w14:textId="77777777">
        <w:trPr>
          <w:trHeight w:val="300"/>
        </w:trPr>
        <w:tc>
          <w:tcPr>
            <w:tcW w:w="1411" w:type="dxa"/>
            <w:shd w:val="clear" w:color="auto" w:fill="45B0E1"/>
          </w:tcPr>
          <w:p w:rsidR="00060C16" w:rsidRDefault="00671E79" w14:paraId="1B5DFAEB"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low income</w:t>
            </w:r>
          </w:p>
        </w:tc>
        <w:tc>
          <w:tcPr>
            <w:tcW w:w="1457" w:type="dxa"/>
          </w:tcPr>
          <w:p w:rsidR="00060C16" w:rsidRDefault="00671E79" w14:paraId="7F6FD618"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-0.328</w:t>
            </w:r>
          </w:p>
        </w:tc>
        <w:tc>
          <w:tcPr>
            <w:tcW w:w="1206" w:type="dxa"/>
          </w:tcPr>
          <w:p w:rsidR="00060C16" w:rsidRDefault="00671E79" w14:paraId="007556ED"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0.555</w:t>
            </w:r>
          </w:p>
        </w:tc>
        <w:tc>
          <w:tcPr>
            <w:tcW w:w="1011" w:type="dxa"/>
          </w:tcPr>
          <w:p w:rsidR="00060C16" w:rsidRDefault="00671E79" w14:paraId="30946D7B"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191" w:type="dxa"/>
          </w:tcPr>
          <w:p w:rsidR="00060C16" w:rsidRDefault="00060C16" w14:paraId="4938E80B" w14:textId="77777777">
            <w:pPr>
              <w:jc w:val="center"/>
              <w:rPr>
                <w:rFonts w:ascii="Garamond" w:hAnsi="Garamond" w:eastAsia="Garamond" w:cs="Garamond"/>
                <w:color w:val="000000"/>
                <w:sz w:val="22"/>
                <w:szCs w:val="22"/>
              </w:rPr>
            </w:pPr>
          </w:p>
        </w:tc>
        <w:tc>
          <w:tcPr>
            <w:tcW w:w="1007" w:type="dxa"/>
          </w:tcPr>
          <w:p w:rsidR="00060C16" w:rsidRDefault="00060C16" w14:paraId="272AC39A" w14:textId="77777777">
            <w:pPr>
              <w:jc w:val="center"/>
              <w:rPr>
                <w:rFonts w:ascii="Garamond" w:hAnsi="Garamond" w:eastAsia="Garamond" w:cs="Garamond"/>
                <w:color w:val="000000"/>
                <w:sz w:val="22"/>
                <w:szCs w:val="22"/>
              </w:rPr>
            </w:pPr>
          </w:p>
        </w:tc>
        <w:tc>
          <w:tcPr>
            <w:tcW w:w="1007" w:type="dxa"/>
          </w:tcPr>
          <w:p w:rsidR="00060C16" w:rsidRDefault="00060C16" w14:paraId="2E9EC5C3" w14:textId="77777777">
            <w:pPr>
              <w:jc w:val="center"/>
              <w:rPr>
                <w:rFonts w:ascii="Garamond" w:hAnsi="Garamond" w:eastAsia="Garamond" w:cs="Garamond"/>
                <w:color w:val="000000"/>
                <w:sz w:val="22"/>
                <w:szCs w:val="22"/>
              </w:rPr>
            </w:pPr>
          </w:p>
        </w:tc>
        <w:tc>
          <w:tcPr>
            <w:tcW w:w="1060" w:type="dxa"/>
          </w:tcPr>
          <w:p w:rsidR="00060C16" w:rsidRDefault="00060C16" w14:paraId="1C158303" w14:textId="77777777">
            <w:pPr>
              <w:jc w:val="center"/>
              <w:rPr>
                <w:rFonts w:ascii="Garamond" w:hAnsi="Garamond" w:eastAsia="Garamond" w:cs="Garamond"/>
                <w:color w:val="000000"/>
                <w:sz w:val="22"/>
                <w:szCs w:val="22"/>
              </w:rPr>
            </w:pPr>
          </w:p>
        </w:tc>
      </w:tr>
      <w:tr w:rsidR="00060C16" w14:paraId="3CA27EDF" w14:textId="77777777">
        <w:trPr>
          <w:trHeight w:val="300"/>
        </w:trPr>
        <w:tc>
          <w:tcPr>
            <w:tcW w:w="1411" w:type="dxa"/>
            <w:shd w:val="clear" w:color="auto" w:fill="45B0E1"/>
          </w:tcPr>
          <w:p w:rsidR="00060C16" w:rsidRDefault="00671E79" w14:paraId="118F2E2A"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&lt;HS Education</w:t>
            </w:r>
          </w:p>
        </w:tc>
        <w:tc>
          <w:tcPr>
            <w:tcW w:w="1457" w:type="dxa"/>
          </w:tcPr>
          <w:p w:rsidR="00060C16" w:rsidRDefault="00671E79" w14:paraId="3CEAC598"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-0.242</w:t>
            </w:r>
          </w:p>
        </w:tc>
        <w:tc>
          <w:tcPr>
            <w:tcW w:w="1206" w:type="dxa"/>
          </w:tcPr>
          <w:p w:rsidR="00060C16" w:rsidRDefault="00671E79" w14:paraId="15AB333E"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0.648</w:t>
            </w:r>
          </w:p>
        </w:tc>
        <w:tc>
          <w:tcPr>
            <w:tcW w:w="1011" w:type="dxa"/>
          </w:tcPr>
          <w:p w:rsidR="00060C16" w:rsidRDefault="00671E79" w14:paraId="63D9811A"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0.781</w:t>
            </w:r>
          </w:p>
        </w:tc>
        <w:tc>
          <w:tcPr>
            <w:tcW w:w="1191" w:type="dxa"/>
          </w:tcPr>
          <w:p w:rsidR="00060C16" w:rsidRDefault="00671E79" w14:paraId="2A3AA966"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007" w:type="dxa"/>
          </w:tcPr>
          <w:p w:rsidR="00060C16" w:rsidRDefault="00060C16" w14:paraId="27817790" w14:textId="77777777">
            <w:pPr>
              <w:jc w:val="center"/>
              <w:rPr>
                <w:rFonts w:ascii="Garamond" w:hAnsi="Garamond" w:eastAsia="Garamond" w:cs="Garamond"/>
                <w:color w:val="000000"/>
                <w:sz w:val="22"/>
                <w:szCs w:val="22"/>
              </w:rPr>
            </w:pPr>
          </w:p>
        </w:tc>
        <w:tc>
          <w:tcPr>
            <w:tcW w:w="1007" w:type="dxa"/>
          </w:tcPr>
          <w:p w:rsidR="00060C16" w:rsidRDefault="00060C16" w14:paraId="2CD48A0F" w14:textId="77777777">
            <w:pPr>
              <w:jc w:val="center"/>
              <w:rPr>
                <w:rFonts w:ascii="Garamond" w:hAnsi="Garamond" w:eastAsia="Garamond" w:cs="Garamond"/>
                <w:color w:val="000000"/>
                <w:sz w:val="22"/>
                <w:szCs w:val="22"/>
              </w:rPr>
            </w:pPr>
          </w:p>
        </w:tc>
        <w:tc>
          <w:tcPr>
            <w:tcW w:w="1060" w:type="dxa"/>
          </w:tcPr>
          <w:p w:rsidR="00060C16" w:rsidRDefault="00060C16" w14:paraId="70C12482" w14:textId="77777777">
            <w:pPr>
              <w:jc w:val="center"/>
              <w:rPr>
                <w:rFonts w:ascii="Garamond" w:hAnsi="Garamond" w:eastAsia="Garamond" w:cs="Garamond"/>
                <w:color w:val="000000"/>
                <w:sz w:val="22"/>
                <w:szCs w:val="22"/>
              </w:rPr>
            </w:pPr>
          </w:p>
        </w:tc>
      </w:tr>
      <w:tr w:rsidR="00060C16" w14:paraId="0D4236E7" w14:textId="77777777">
        <w:trPr>
          <w:trHeight w:val="300"/>
        </w:trPr>
        <w:tc>
          <w:tcPr>
            <w:tcW w:w="1411" w:type="dxa"/>
            <w:shd w:val="clear" w:color="auto" w:fill="45B0E1"/>
          </w:tcPr>
          <w:p w:rsidR="00060C16" w:rsidRDefault="00671E79" w14:paraId="40E9FD5D"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&lt; age 5</w:t>
            </w:r>
          </w:p>
        </w:tc>
        <w:tc>
          <w:tcPr>
            <w:tcW w:w="1457" w:type="dxa"/>
          </w:tcPr>
          <w:p w:rsidR="00060C16" w:rsidRDefault="00671E79" w14:paraId="6BA9B625"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0.031</w:t>
            </w:r>
          </w:p>
        </w:tc>
        <w:tc>
          <w:tcPr>
            <w:tcW w:w="1206" w:type="dxa"/>
          </w:tcPr>
          <w:p w:rsidR="00060C16" w:rsidRDefault="00671E79" w14:paraId="68BD8FB7"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0.365</w:t>
            </w:r>
          </w:p>
        </w:tc>
        <w:tc>
          <w:tcPr>
            <w:tcW w:w="1011" w:type="dxa"/>
          </w:tcPr>
          <w:p w:rsidR="00060C16" w:rsidRDefault="00671E79" w14:paraId="4B3F5D6F"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0.459</w:t>
            </w:r>
          </w:p>
        </w:tc>
        <w:tc>
          <w:tcPr>
            <w:tcW w:w="1191" w:type="dxa"/>
          </w:tcPr>
          <w:p w:rsidR="00060C16" w:rsidRDefault="00671E79" w14:paraId="58F05220"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0.379</w:t>
            </w:r>
          </w:p>
        </w:tc>
        <w:tc>
          <w:tcPr>
            <w:tcW w:w="1007" w:type="dxa"/>
          </w:tcPr>
          <w:p w:rsidR="00060C16" w:rsidRDefault="00671E79" w14:paraId="168B778F"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007" w:type="dxa"/>
          </w:tcPr>
          <w:p w:rsidR="00060C16" w:rsidRDefault="00060C16" w14:paraId="7F766BEE" w14:textId="77777777">
            <w:pPr>
              <w:jc w:val="center"/>
              <w:rPr>
                <w:rFonts w:ascii="Garamond" w:hAnsi="Garamond" w:eastAsia="Garamond" w:cs="Garamond"/>
                <w:color w:val="000000"/>
                <w:sz w:val="22"/>
                <w:szCs w:val="22"/>
              </w:rPr>
            </w:pPr>
          </w:p>
        </w:tc>
        <w:tc>
          <w:tcPr>
            <w:tcW w:w="1060" w:type="dxa"/>
          </w:tcPr>
          <w:p w:rsidR="00060C16" w:rsidRDefault="00060C16" w14:paraId="7D17987F" w14:textId="77777777">
            <w:pPr>
              <w:jc w:val="center"/>
              <w:rPr>
                <w:rFonts w:ascii="Garamond" w:hAnsi="Garamond" w:eastAsia="Garamond" w:cs="Garamond"/>
                <w:color w:val="000000"/>
                <w:sz w:val="22"/>
                <w:szCs w:val="22"/>
              </w:rPr>
            </w:pPr>
          </w:p>
        </w:tc>
      </w:tr>
      <w:tr w:rsidR="00060C16" w14:paraId="558E7544" w14:textId="77777777">
        <w:trPr>
          <w:trHeight w:val="300"/>
        </w:trPr>
        <w:tc>
          <w:tcPr>
            <w:tcW w:w="1411" w:type="dxa"/>
            <w:shd w:val="clear" w:color="auto" w:fill="45B0E1"/>
          </w:tcPr>
          <w:p w:rsidR="00060C16" w:rsidRDefault="00671E79" w14:paraId="4040EBA6" w14:textId="77777777">
            <w:pPr>
              <w:jc w:val="center"/>
              <w:rPr>
                <w:rFonts w:ascii="Garamond" w:hAnsi="Garamond" w:eastAsia="Garamond" w:cs="Garamond"/>
                <w:b/>
                <w:color w:val="FFFFFF"/>
                <w:sz w:val="22"/>
                <w:szCs w:val="22"/>
              </w:rPr>
            </w:pPr>
            <w:r>
              <w:rPr>
                <w:rFonts w:ascii="Garamond" w:hAnsi="Garamond" w:eastAsia="Garamond" w:cs="Garamond"/>
                <w:b/>
                <w:color w:val="FFFFFF"/>
                <w:sz w:val="22"/>
                <w:szCs w:val="22"/>
              </w:rPr>
              <w:t>% &gt; age 64</w:t>
            </w:r>
          </w:p>
        </w:tc>
        <w:tc>
          <w:tcPr>
            <w:tcW w:w="1457" w:type="dxa"/>
          </w:tcPr>
          <w:p w:rsidR="00060C16" w:rsidRDefault="00671E79" w14:paraId="159D0DD5"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-0.285</w:t>
            </w:r>
          </w:p>
        </w:tc>
        <w:tc>
          <w:tcPr>
            <w:tcW w:w="1206" w:type="dxa"/>
          </w:tcPr>
          <w:p w:rsidR="00060C16" w:rsidRDefault="00671E79" w14:paraId="452865A4"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-0.553</w:t>
            </w:r>
          </w:p>
        </w:tc>
        <w:tc>
          <w:tcPr>
            <w:tcW w:w="1011" w:type="dxa"/>
          </w:tcPr>
          <w:p w:rsidR="00060C16" w:rsidRDefault="00671E79" w14:paraId="39D0266F"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-0.233</w:t>
            </w:r>
          </w:p>
        </w:tc>
        <w:tc>
          <w:tcPr>
            <w:tcW w:w="1191" w:type="dxa"/>
          </w:tcPr>
          <w:p w:rsidR="00060C16" w:rsidRDefault="00671E79" w14:paraId="015F52B6"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-0.399</w:t>
            </w:r>
          </w:p>
        </w:tc>
        <w:tc>
          <w:tcPr>
            <w:tcW w:w="1007" w:type="dxa"/>
          </w:tcPr>
          <w:p w:rsidR="00060C16" w:rsidRDefault="00671E79" w14:paraId="40F4B030"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-0.378</w:t>
            </w:r>
          </w:p>
        </w:tc>
        <w:tc>
          <w:tcPr>
            <w:tcW w:w="1007" w:type="dxa"/>
          </w:tcPr>
          <w:p w:rsidR="00060C16" w:rsidRDefault="00671E79" w14:paraId="0617F164"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c>
          <w:tcPr>
            <w:tcW w:w="1060" w:type="dxa"/>
          </w:tcPr>
          <w:p w:rsidR="00060C16" w:rsidRDefault="00060C16" w14:paraId="5F944100" w14:textId="77777777">
            <w:pPr>
              <w:jc w:val="center"/>
              <w:rPr>
                <w:rFonts w:ascii="Garamond" w:hAnsi="Garamond" w:eastAsia="Garamond" w:cs="Garamond"/>
                <w:color w:val="000000"/>
                <w:sz w:val="22"/>
                <w:szCs w:val="22"/>
              </w:rPr>
            </w:pPr>
          </w:p>
        </w:tc>
      </w:tr>
      <w:tr w:rsidR="00060C16" w14:paraId="289583F5" w14:textId="77777777">
        <w:trPr>
          <w:trHeight w:val="300"/>
        </w:trPr>
        <w:tc>
          <w:tcPr>
            <w:tcW w:w="1411" w:type="dxa"/>
            <w:shd w:val="clear" w:color="auto" w:fill="45B0E1"/>
          </w:tcPr>
          <w:p w:rsidR="00060C16" w:rsidRDefault="00671E79" w14:paraId="55358A7E" w14:textId="77777777">
            <w:pPr>
              <w:jc w:val="center"/>
              <w:rPr>
                <w:rFonts w:ascii="Garamond" w:hAnsi="Garamond" w:eastAsia="Garamond" w:cs="Garamond"/>
                <w:b/>
                <w:color w:val="FFFFFF"/>
                <w:sz w:val="22"/>
                <w:szCs w:val="22"/>
              </w:rPr>
            </w:pPr>
            <w:proofErr w:type="spellStart"/>
            <w:r>
              <w:rPr>
                <w:rFonts w:ascii="Garamond" w:hAnsi="Garamond" w:eastAsia="Garamond" w:cs="Garamond"/>
                <w:b/>
                <w:color w:val="FFFFFF"/>
                <w:sz w:val="22"/>
                <w:szCs w:val="22"/>
              </w:rPr>
              <w:t>lst_mean</w:t>
            </w:r>
            <w:proofErr w:type="spellEnd"/>
          </w:p>
        </w:tc>
        <w:tc>
          <w:tcPr>
            <w:tcW w:w="1457" w:type="dxa"/>
          </w:tcPr>
          <w:p w:rsidR="00060C16" w:rsidRDefault="00671E79" w14:paraId="020EE6FC"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-0.021</w:t>
            </w:r>
          </w:p>
        </w:tc>
        <w:tc>
          <w:tcPr>
            <w:tcW w:w="1206" w:type="dxa"/>
          </w:tcPr>
          <w:p w:rsidR="00060C16" w:rsidRDefault="00671E79" w14:paraId="10BFF18B"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0.507</w:t>
            </w:r>
          </w:p>
        </w:tc>
        <w:tc>
          <w:tcPr>
            <w:tcW w:w="1011" w:type="dxa"/>
          </w:tcPr>
          <w:p w:rsidR="00060C16" w:rsidRDefault="00671E79" w14:paraId="2EA22A7B"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0.273</w:t>
            </w:r>
          </w:p>
        </w:tc>
        <w:tc>
          <w:tcPr>
            <w:tcW w:w="1191" w:type="dxa"/>
          </w:tcPr>
          <w:p w:rsidR="00060C16" w:rsidRDefault="00671E79" w14:paraId="1E447805"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0.336</w:t>
            </w:r>
          </w:p>
        </w:tc>
        <w:tc>
          <w:tcPr>
            <w:tcW w:w="1007" w:type="dxa"/>
          </w:tcPr>
          <w:p w:rsidR="00060C16" w:rsidRDefault="00671E79" w14:paraId="43BD084C"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0.277</w:t>
            </w:r>
          </w:p>
        </w:tc>
        <w:tc>
          <w:tcPr>
            <w:tcW w:w="1007" w:type="dxa"/>
          </w:tcPr>
          <w:p w:rsidR="00060C16" w:rsidRDefault="00671E79" w14:paraId="45F41317"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-0.464</w:t>
            </w:r>
          </w:p>
        </w:tc>
        <w:tc>
          <w:tcPr>
            <w:tcW w:w="1060" w:type="dxa"/>
          </w:tcPr>
          <w:p w:rsidR="00060C16" w:rsidRDefault="00671E79" w14:paraId="3F8D3E22" w14:textId="77777777">
            <w:pPr>
              <w:jc w:val="center"/>
              <w:rPr>
                <w:rFonts w:ascii="Garamond" w:hAnsi="Garamond" w:eastAsia="Garamond" w:cs="Garamond"/>
                <w:color w:val="000000"/>
                <w:sz w:val="22"/>
                <w:szCs w:val="22"/>
              </w:rPr>
            </w:pPr>
            <w:r>
              <w:rPr>
                <w:rFonts w:ascii="Garamond" w:hAnsi="Garamond" w:eastAsia="Garamond" w:cs="Garamond"/>
                <w:color w:val="000000"/>
                <w:sz w:val="22"/>
                <w:szCs w:val="22"/>
              </w:rPr>
              <w:t>1.000</w:t>
            </w:r>
          </w:p>
        </w:tc>
      </w:tr>
    </w:tbl>
    <w:p w:rsidR="00060C16" w:rsidRDefault="00671E79" w14:paraId="0AF40D2C" w14:textId="77777777">
      <w:pPr>
        <w:spacing w:after="0" w:line="240" w:lineRule="auto"/>
        <w:jc w:val="center"/>
        <w:rPr>
          <w:rFonts w:ascii="Garamond" w:hAnsi="Garamond" w:eastAsia="Garamond" w:cs="Garamond"/>
          <w:color w:val="000000"/>
          <w:sz w:val="22"/>
          <w:szCs w:val="22"/>
        </w:rPr>
      </w:pPr>
      <w:r>
        <w:rPr>
          <w:rFonts w:ascii="Garamond" w:hAnsi="Garamond" w:eastAsia="Garamond" w:cs="Garamond"/>
          <w:color w:val="000000"/>
          <w:sz w:val="22"/>
          <w:szCs w:val="22"/>
        </w:rPr>
        <w:t>Table A1. Correlation matrix with values.</w:t>
      </w:r>
    </w:p>
    <w:p w:rsidR="00060C16" w:rsidRDefault="00060C16" w14:paraId="4FAA092E" w14:textId="77777777">
      <w:pPr>
        <w:spacing w:after="0" w:line="240" w:lineRule="auto"/>
        <w:rPr>
          <w:rFonts w:ascii="Times New Roman" w:hAnsi="Times New Roman" w:eastAsia="Times New Roman" w:cs="Times New Roman"/>
          <w:color w:val="000000"/>
          <w:sz w:val="22"/>
          <w:szCs w:val="22"/>
        </w:rPr>
      </w:pPr>
    </w:p>
    <w:p w:rsidR="00060C16" w:rsidRDefault="00060C16" w14:paraId="492F0C64" w14:textId="77777777">
      <w:pPr>
        <w:spacing w:after="0" w:line="240" w:lineRule="auto"/>
        <w:rPr>
          <w:rFonts w:ascii="Garamond" w:hAnsi="Garamond" w:eastAsia="Garamond" w:cs="Garamond"/>
          <w:color w:val="000000"/>
          <w:sz w:val="22"/>
          <w:szCs w:val="22"/>
        </w:rPr>
      </w:pPr>
    </w:p>
    <w:p w:rsidR="00060C16" w:rsidRDefault="00671E79" w14:paraId="2CFB3AA3" w14:textId="77777777">
      <w:pPr>
        <w:spacing w:after="0" w:line="240" w:lineRule="auto"/>
        <w:jc w:val="center"/>
      </w:pPr>
      <w:r>
        <w:rPr>
          <w:noProof/>
        </w:rPr>
        <w:lastRenderedPageBreak/>
        <w:drawing>
          <wp:inline distT="0" distB="0" distL="0" distR="0" wp14:anchorId="3149F105" wp14:editId="7CB028FA">
            <wp:extent cx="4886410" cy="3194617"/>
            <wp:effectExtent l="0" t="0" r="0" b="0"/>
            <wp:docPr id="21055390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l="1601" t="1965" r="3043" b="2456"/>
                    <a:stretch>
                      <a:fillRect/>
                    </a:stretch>
                  </pic:blipFill>
                  <pic:spPr>
                    <a:xfrm>
                      <a:off x="0" y="0"/>
                      <a:ext cx="4886410" cy="3194617"/>
                    </a:xfrm>
                    <a:prstGeom prst="rect">
                      <a:avLst/>
                    </a:prstGeom>
                    <a:ln/>
                  </pic:spPr>
                </pic:pic>
              </a:graphicData>
            </a:graphic>
          </wp:inline>
        </w:drawing>
      </w:r>
    </w:p>
    <w:p w:rsidR="00060C16" w:rsidRDefault="00060C16" w14:paraId="3D053EAE" w14:textId="77777777">
      <w:pPr>
        <w:spacing w:after="0" w:line="240" w:lineRule="auto"/>
        <w:jc w:val="center"/>
        <w:rPr>
          <w:rFonts w:ascii="Times New Roman" w:hAnsi="Times New Roman" w:eastAsia="Times New Roman" w:cs="Times New Roman"/>
          <w:i/>
          <w:color w:val="000000"/>
          <w:sz w:val="22"/>
          <w:szCs w:val="22"/>
        </w:rPr>
      </w:pPr>
    </w:p>
    <w:p w:rsidR="00060C16" w:rsidRDefault="00671E79" w14:paraId="0D426D49"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Figure A3.</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Scree Plot of principal components variance</w:t>
      </w:r>
    </w:p>
    <w:p w:rsidR="00060C16" w:rsidRDefault="00671E79" w14:paraId="4867355A" w14:textId="77777777">
      <w:pPr>
        <w:jc w:val="center"/>
        <w:rPr>
          <w:rFonts w:ascii="Garamond" w:hAnsi="Garamond" w:eastAsia="Garamond" w:cs="Garamond"/>
          <w:color w:val="000000"/>
          <w:sz w:val="22"/>
          <w:szCs w:val="22"/>
        </w:rPr>
      </w:pPr>
      <w:r>
        <w:rPr>
          <w:noProof/>
        </w:rPr>
        <w:drawing>
          <wp:inline distT="0" distB="0" distL="0" distR="0" wp14:anchorId="0D20E8B3" wp14:editId="428BC177">
            <wp:extent cx="2482870" cy="3212338"/>
            <wp:effectExtent l="0" t="0" r="0" b="0"/>
            <wp:docPr id="21055390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6"/>
                    <a:srcRect/>
                    <a:stretch>
                      <a:fillRect/>
                    </a:stretch>
                  </pic:blipFill>
                  <pic:spPr>
                    <a:xfrm>
                      <a:off x="0" y="0"/>
                      <a:ext cx="2482870" cy="3212338"/>
                    </a:xfrm>
                    <a:prstGeom prst="rect">
                      <a:avLst/>
                    </a:prstGeom>
                    <a:ln/>
                  </pic:spPr>
                </pic:pic>
              </a:graphicData>
            </a:graphic>
          </wp:inline>
        </w:drawing>
      </w:r>
    </w:p>
    <w:p w:rsidR="00060C16" w:rsidRDefault="00671E79" w14:paraId="3A76A180"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 xml:space="preserve">Figure A4. </w:t>
      </w:r>
      <w:r>
        <w:rPr>
          <w:rFonts w:ascii="Garamond" w:hAnsi="Garamond" w:eastAsia="Garamond" w:cs="Garamond"/>
          <w:color w:val="000000"/>
          <w:sz w:val="22"/>
          <w:szCs w:val="22"/>
        </w:rPr>
        <w:t>Canopy cover classification map with trees planted by Little Manila Rising</w:t>
      </w:r>
    </w:p>
    <w:p w:rsidR="00060C16" w:rsidRDefault="00060C16" w14:paraId="741E833D" w14:textId="77777777">
      <w:pPr>
        <w:rPr>
          <w:rFonts w:ascii="Garamond" w:hAnsi="Garamond" w:eastAsia="Garamond" w:cs="Garamond"/>
          <w:color w:val="000000"/>
          <w:sz w:val="22"/>
          <w:szCs w:val="22"/>
        </w:rPr>
      </w:pPr>
    </w:p>
    <w:p w:rsidR="00060C16" w:rsidRDefault="00060C16" w14:paraId="519DAFE6" w14:textId="77777777">
      <w:pPr>
        <w:rPr>
          <w:rFonts w:ascii="Garamond" w:hAnsi="Garamond" w:eastAsia="Garamond" w:cs="Garamond"/>
          <w:color w:val="000000"/>
          <w:sz w:val="22"/>
          <w:szCs w:val="22"/>
        </w:rPr>
      </w:pPr>
    </w:p>
    <w:p w:rsidR="00060C16" w:rsidRDefault="00671E79" w14:paraId="2971E465" w14:textId="77777777">
      <w:pPr>
        <w:jc w:val="center"/>
      </w:pPr>
      <w:r>
        <w:rPr>
          <w:noProof/>
        </w:rPr>
        <w:lastRenderedPageBreak/>
        <w:drawing>
          <wp:inline distT="0" distB="0" distL="0" distR="0" wp14:anchorId="0689D30B" wp14:editId="7071F42E">
            <wp:extent cx="2753399" cy="3562350"/>
            <wp:effectExtent l="0" t="0" r="0" b="0"/>
            <wp:docPr id="210553908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7"/>
                    <a:srcRect/>
                    <a:stretch>
                      <a:fillRect/>
                    </a:stretch>
                  </pic:blipFill>
                  <pic:spPr>
                    <a:xfrm>
                      <a:off x="0" y="0"/>
                      <a:ext cx="2753399" cy="3562350"/>
                    </a:xfrm>
                    <a:prstGeom prst="rect">
                      <a:avLst/>
                    </a:prstGeom>
                    <a:ln/>
                  </pic:spPr>
                </pic:pic>
              </a:graphicData>
            </a:graphic>
          </wp:inline>
        </w:drawing>
      </w:r>
    </w:p>
    <w:p w:rsidR="00060C16" w:rsidRDefault="00671E79" w14:paraId="1153C85E"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Figure A5.</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 xml:space="preserve">Land cover classification Stockton Map </w:t>
      </w:r>
    </w:p>
    <w:p w:rsidR="00060C16" w:rsidRDefault="00671E79" w14:paraId="563A712C" w14:textId="77777777">
      <w:pPr>
        <w:jc w:val="center"/>
      </w:pPr>
      <w:r>
        <w:rPr>
          <w:noProof/>
        </w:rPr>
        <w:drawing>
          <wp:inline distT="0" distB="0" distL="0" distR="0" wp14:anchorId="5EB188D6" wp14:editId="5BDB6AF5">
            <wp:extent cx="3627705" cy="2968642"/>
            <wp:effectExtent l="0" t="0" r="0" b="0"/>
            <wp:docPr id="210553908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8"/>
                    <a:srcRect/>
                    <a:stretch>
                      <a:fillRect/>
                    </a:stretch>
                  </pic:blipFill>
                  <pic:spPr>
                    <a:xfrm>
                      <a:off x="0" y="0"/>
                      <a:ext cx="3627705" cy="2968642"/>
                    </a:xfrm>
                    <a:prstGeom prst="rect">
                      <a:avLst/>
                    </a:prstGeom>
                    <a:ln/>
                  </pic:spPr>
                </pic:pic>
              </a:graphicData>
            </a:graphic>
          </wp:inline>
        </w:drawing>
      </w:r>
    </w:p>
    <w:p w:rsidR="00060C16" w:rsidRDefault="00671E79" w14:paraId="1B149993"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Figure A6.</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Social vulnerability index variables correlation matrix</w:t>
      </w:r>
    </w:p>
    <w:p w:rsidR="00060C16" w:rsidRDefault="00671E79" w14:paraId="00546829" w14:textId="77777777">
      <w:pPr>
        <w:jc w:val="center"/>
      </w:pPr>
      <w:r>
        <w:rPr>
          <w:noProof/>
        </w:rPr>
        <w:lastRenderedPageBreak/>
        <w:drawing>
          <wp:inline distT="0" distB="0" distL="0" distR="0" wp14:anchorId="0BA32474" wp14:editId="0CBA3BC1">
            <wp:extent cx="4572000" cy="2428875"/>
            <wp:effectExtent l="0" t="0" r="0" b="0"/>
            <wp:docPr id="21055390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4572000" cy="2428875"/>
                    </a:xfrm>
                    <a:prstGeom prst="rect">
                      <a:avLst/>
                    </a:prstGeom>
                    <a:ln/>
                  </pic:spPr>
                </pic:pic>
              </a:graphicData>
            </a:graphic>
          </wp:inline>
        </w:drawing>
      </w:r>
    </w:p>
    <w:p w:rsidR="00060C16" w:rsidRDefault="00671E79" w14:paraId="412C9282"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Figure A7.</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Histogram of average LST values comparing south and rural Stockton</w:t>
      </w:r>
    </w:p>
    <w:p w:rsidR="00060C16" w:rsidRDefault="00671E79" w14:paraId="65FD661C" w14:textId="77777777">
      <w:pPr>
        <w:jc w:val="center"/>
      </w:pPr>
      <w:r>
        <w:rPr>
          <w:noProof/>
        </w:rPr>
        <w:drawing>
          <wp:inline distT="0" distB="0" distL="0" distR="0" wp14:anchorId="5F9304C6" wp14:editId="262AF979">
            <wp:extent cx="4343400" cy="2192582"/>
            <wp:effectExtent l="0" t="0" r="0" b="0"/>
            <wp:docPr id="2105539088" name="image8.png" descr="image"/>
            <wp:cNvGraphicFramePr/>
            <a:graphic xmlns:a="http://schemas.openxmlformats.org/drawingml/2006/main">
              <a:graphicData uri="http://schemas.openxmlformats.org/drawingml/2006/picture">
                <pic:pic xmlns:pic="http://schemas.openxmlformats.org/drawingml/2006/picture">
                  <pic:nvPicPr>
                    <pic:cNvPr id="0" name="image8.png" descr="image"/>
                    <pic:cNvPicPr preferRelativeResize="0"/>
                  </pic:nvPicPr>
                  <pic:blipFill>
                    <a:blip r:embed="rId50"/>
                    <a:srcRect/>
                    <a:stretch>
                      <a:fillRect/>
                    </a:stretch>
                  </pic:blipFill>
                  <pic:spPr>
                    <a:xfrm>
                      <a:off x="0" y="0"/>
                      <a:ext cx="4343400" cy="2192582"/>
                    </a:xfrm>
                    <a:prstGeom prst="rect">
                      <a:avLst/>
                    </a:prstGeom>
                    <a:ln/>
                  </pic:spPr>
                </pic:pic>
              </a:graphicData>
            </a:graphic>
          </wp:inline>
        </w:drawing>
      </w:r>
    </w:p>
    <w:p w:rsidR="00060C16" w:rsidRDefault="00671E79" w14:paraId="45432314"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t>Figure A8.</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Histogram of average LST values comparing north and south Stockton</w:t>
      </w:r>
    </w:p>
    <w:p w:rsidR="00060C16" w:rsidRDefault="00671E79" w14:paraId="3BA5871D" w14:textId="77777777">
      <w:pPr>
        <w:jc w:val="center"/>
      </w:pPr>
      <w:r>
        <w:rPr>
          <w:noProof/>
        </w:rPr>
        <w:drawing>
          <wp:inline distT="0" distB="0" distL="0" distR="0" wp14:anchorId="59B14CC1" wp14:editId="01DA71FE">
            <wp:extent cx="4715932" cy="2327736"/>
            <wp:effectExtent l="0" t="0" r="0" b="0"/>
            <wp:docPr id="2105539089" name="image9.png" descr="image"/>
            <wp:cNvGraphicFramePr/>
            <a:graphic xmlns:a="http://schemas.openxmlformats.org/drawingml/2006/main">
              <a:graphicData uri="http://schemas.openxmlformats.org/drawingml/2006/picture">
                <pic:pic xmlns:pic="http://schemas.openxmlformats.org/drawingml/2006/picture">
                  <pic:nvPicPr>
                    <pic:cNvPr id="0" name="image9.png" descr="image"/>
                    <pic:cNvPicPr preferRelativeResize="0"/>
                  </pic:nvPicPr>
                  <pic:blipFill>
                    <a:blip r:embed="rId51"/>
                    <a:srcRect t="-1" b="1597"/>
                    <a:stretch>
                      <a:fillRect/>
                    </a:stretch>
                  </pic:blipFill>
                  <pic:spPr>
                    <a:xfrm>
                      <a:off x="0" y="0"/>
                      <a:ext cx="4715932" cy="2327736"/>
                    </a:xfrm>
                    <a:prstGeom prst="rect">
                      <a:avLst/>
                    </a:prstGeom>
                    <a:ln/>
                  </pic:spPr>
                </pic:pic>
              </a:graphicData>
            </a:graphic>
          </wp:inline>
        </w:drawing>
      </w:r>
    </w:p>
    <w:p w:rsidR="00060C16" w:rsidRDefault="00671E79" w14:paraId="583D3D00" w14:textId="77777777">
      <w:pPr>
        <w:jc w:val="center"/>
        <w:rPr>
          <w:rFonts w:ascii="Garamond" w:hAnsi="Garamond" w:eastAsia="Garamond" w:cs="Garamond"/>
          <w:color w:val="000000"/>
          <w:sz w:val="22"/>
          <w:szCs w:val="22"/>
        </w:rPr>
      </w:pPr>
      <w:r>
        <w:rPr>
          <w:rFonts w:ascii="Garamond" w:hAnsi="Garamond" w:eastAsia="Garamond" w:cs="Garamond"/>
          <w:i/>
          <w:color w:val="000000"/>
          <w:sz w:val="22"/>
          <w:szCs w:val="22"/>
        </w:rPr>
        <w:lastRenderedPageBreak/>
        <w:t>Figure A9.</w:t>
      </w:r>
      <w:r>
        <w:rPr>
          <w:rFonts w:ascii="Garamond" w:hAnsi="Garamond" w:eastAsia="Garamond" w:cs="Garamond"/>
          <w:b/>
          <w:color w:val="000000"/>
          <w:sz w:val="22"/>
          <w:szCs w:val="22"/>
        </w:rPr>
        <w:t xml:space="preserve"> </w:t>
      </w:r>
      <w:r>
        <w:rPr>
          <w:rFonts w:ascii="Garamond" w:hAnsi="Garamond" w:eastAsia="Garamond" w:cs="Garamond"/>
          <w:color w:val="000000"/>
          <w:sz w:val="22"/>
          <w:szCs w:val="22"/>
        </w:rPr>
        <w:t>Box plot comparison of average LST values for north, rural, and south Stockton</w:t>
      </w:r>
    </w:p>
    <w:p w:rsidR="00060C16" w:rsidRDefault="00671E79" w14:paraId="4059FE32" w14:textId="77777777">
      <w:pPr>
        <w:jc w:val="center"/>
        <w:rPr>
          <w:rFonts w:ascii="Garamond" w:hAnsi="Garamond" w:eastAsia="Garamond" w:cs="Garamond"/>
          <w:color w:val="000000"/>
          <w:sz w:val="22"/>
          <w:szCs w:val="22"/>
        </w:rPr>
      </w:pPr>
      <w:r>
        <w:rPr>
          <w:noProof/>
        </w:rPr>
        <w:drawing>
          <wp:inline distT="0" distB="0" distL="0" distR="0" wp14:anchorId="3453C3A3" wp14:editId="0C851E0F">
            <wp:extent cx="4787568" cy="2496348"/>
            <wp:effectExtent l="0" t="0" r="0" b="0"/>
            <wp:docPr id="21055390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l="4453" t="7204" r="7650" b="4397"/>
                    <a:stretch>
                      <a:fillRect/>
                    </a:stretch>
                  </pic:blipFill>
                  <pic:spPr>
                    <a:xfrm>
                      <a:off x="0" y="0"/>
                      <a:ext cx="4787568" cy="2496348"/>
                    </a:xfrm>
                    <a:prstGeom prst="rect">
                      <a:avLst/>
                    </a:prstGeom>
                    <a:ln/>
                  </pic:spPr>
                </pic:pic>
              </a:graphicData>
            </a:graphic>
          </wp:inline>
        </w:drawing>
      </w:r>
    </w:p>
    <w:p w:rsidR="00060C16" w:rsidRDefault="00671E79" w14:paraId="57798BCB" w14:textId="77777777">
      <w:pPr>
        <w:rPr>
          <w:rFonts w:ascii="Garamond" w:hAnsi="Garamond" w:eastAsia="Garamond" w:cs="Garamond"/>
          <w:color w:val="000000"/>
          <w:sz w:val="22"/>
          <w:szCs w:val="22"/>
        </w:rPr>
      </w:pPr>
      <w:r>
        <w:rPr>
          <w:rFonts w:ascii="Garamond" w:hAnsi="Garamond" w:eastAsia="Garamond" w:cs="Garamond"/>
          <w:i/>
          <w:color w:val="000000"/>
          <w:sz w:val="22"/>
          <w:szCs w:val="22"/>
        </w:rPr>
        <w:t xml:space="preserve">Figure A10. </w:t>
      </w:r>
      <w:r>
        <w:rPr>
          <w:rFonts w:ascii="Garamond" w:hAnsi="Garamond" w:eastAsia="Garamond" w:cs="Garamond"/>
          <w:color w:val="000000"/>
          <w:sz w:val="22"/>
          <w:szCs w:val="22"/>
        </w:rPr>
        <w:t>Time series of average LST values of a single pixel within a southern Stockton neighborhood</w:t>
      </w:r>
    </w:p>
    <w:sectPr w:rsidR="00060C16">
      <w:headerReference w:type="default" r:id="rId53"/>
      <w:footerReference w:type="default" r:id="rId54"/>
      <w:headerReference w:type="first" r:id="rId55"/>
      <w:footerReference w:type="first" r:id="rId56"/>
      <w:pgSz w:w="12240" w:h="15840" w:orient="portrait"/>
      <w:pgMar w:top="1440" w:right="1440" w:bottom="1440" w:left="144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5C4B" w:rsidRDefault="00A45C4B" w14:paraId="41FFFB5E" w14:textId="77777777">
      <w:pPr>
        <w:spacing w:after="0" w:line="240" w:lineRule="auto"/>
      </w:pPr>
      <w:r>
        <w:separator/>
      </w:r>
    </w:p>
  </w:endnote>
  <w:endnote w:type="continuationSeparator" w:id="0">
    <w:p w:rsidR="00A45C4B" w:rsidRDefault="00A45C4B" w14:paraId="07A3B7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Play">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0C16" w:rsidRDefault="00060C16" w14:paraId="2AEBA417" w14:textId="77777777">
    <w:pPr>
      <w:widowControl w:val="0"/>
      <w:pBdr>
        <w:top w:val="nil"/>
        <w:left w:val="nil"/>
        <w:bottom w:val="nil"/>
        <w:right w:val="nil"/>
        <w:between w:val="nil"/>
      </w:pBdr>
      <w:spacing w:after="0" w:line="276" w:lineRule="auto"/>
      <w:rPr>
        <w:color w:val="000000"/>
      </w:rPr>
    </w:pPr>
  </w:p>
  <w:tbl>
    <w:tblPr>
      <w:tblStyle w:val="a5"/>
      <w:tblW w:w="9360" w:type="dxa"/>
      <w:tblLayout w:type="fixed"/>
      <w:tblLook w:val="0600" w:firstRow="0" w:lastRow="0" w:firstColumn="0" w:lastColumn="0" w:noHBand="1" w:noVBand="1"/>
    </w:tblPr>
    <w:tblGrid>
      <w:gridCol w:w="3120"/>
      <w:gridCol w:w="3120"/>
      <w:gridCol w:w="3120"/>
    </w:tblGrid>
    <w:tr w:rsidR="00060C16" w14:paraId="1798AC94" w14:textId="77777777">
      <w:trPr>
        <w:trHeight w:val="300"/>
      </w:trPr>
      <w:tc>
        <w:tcPr>
          <w:tcW w:w="3120" w:type="dxa"/>
        </w:tcPr>
        <w:p w:rsidR="00060C16" w:rsidRDefault="00060C16" w14:paraId="2D02E032"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060C16" w:rsidRDefault="00671E79" w14:paraId="625FAFD6" w14:textId="77777777">
          <w:pPr>
            <w:pBdr>
              <w:top w:val="nil"/>
              <w:left w:val="nil"/>
              <w:bottom w:val="nil"/>
              <w:right w:val="nil"/>
              <w:between w:val="nil"/>
            </w:pBdr>
            <w:tabs>
              <w:tab w:val="center" w:pos="4680"/>
              <w:tab w:val="right" w:pos="9360"/>
            </w:tabs>
            <w:spacing w:after="0" w:line="240" w:lineRule="auto"/>
            <w:jc w:val="center"/>
            <w:rPr>
              <w:rFonts w:ascii="Garamond" w:hAnsi="Garamond" w:eastAsia="Garamond" w:cs="Garamond"/>
              <w:color w:val="000000"/>
            </w:rPr>
          </w:pPr>
          <w:r>
            <w:rPr>
              <w:rFonts w:ascii="Garamond" w:hAnsi="Garamond" w:eastAsia="Garamond" w:cs="Garamond"/>
              <w:color w:val="000000"/>
            </w:rPr>
            <w:fldChar w:fldCharType="begin"/>
          </w:r>
          <w:r>
            <w:rPr>
              <w:rFonts w:ascii="Garamond" w:hAnsi="Garamond" w:eastAsia="Garamond" w:cs="Garamond"/>
              <w:color w:val="000000"/>
            </w:rPr>
            <w:instrText>PAGE</w:instrText>
          </w:r>
          <w:r>
            <w:rPr>
              <w:rFonts w:ascii="Garamond" w:hAnsi="Garamond" w:eastAsia="Garamond" w:cs="Garamond"/>
              <w:color w:val="000000"/>
            </w:rPr>
            <w:fldChar w:fldCharType="separate"/>
          </w:r>
          <w:r w:rsidR="00E359FB">
            <w:rPr>
              <w:rFonts w:ascii="Garamond" w:hAnsi="Garamond" w:eastAsia="Garamond" w:cs="Garamond"/>
              <w:noProof/>
              <w:color w:val="000000"/>
            </w:rPr>
            <w:t>2</w:t>
          </w:r>
          <w:r>
            <w:rPr>
              <w:rFonts w:ascii="Garamond" w:hAnsi="Garamond" w:eastAsia="Garamond" w:cs="Garamond"/>
              <w:color w:val="000000"/>
            </w:rPr>
            <w:fldChar w:fldCharType="end"/>
          </w:r>
        </w:p>
      </w:tc>
      <w:tc>
        <w:tcPr>
          <w:tcW w:w="3120" w:type="dxa"/>
        </w:tcPr>
        <w:p w:rsidR="00060C16" w:rsidRDefault="00060C16" w14:paraId="0BE97E23"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60C16" w:rsidRDefault="00060C16" w14:paraId="57217584"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0C16" w:rsidRDefault="00060C16" w14:paraId="1698D25B" w14:textId="77777777">
    <w:pPr>
      <w:widowControl w:val="0"/>
      <w:pBdr>
        <w:top w:val="nil"/>
        <w:left w:val="nil"/>
        <w:bottom w:val="nil"/>
        <w:right w:val="nil"/>
        <w:between w:val="nil"/>
      </w:pBdr>
      <w:spacing w:after="0" w:line="276" w:lineRule="auto"/>
      <w:rPr>
        <w:color w:val="000000"/>
      </w:rPr>
    </w:pPr>
  </w:p>
  <w:tbl>
    <w:tblPr>
      <w:tblStyle w:val="a4"/>
      <w:tblW w:w="9360" w:type="dxa"/>
      <w:tblLayout w:type="fixed"/>
      <w:tblLook w:val="0600" w:firstRow="0" w:lastRow="0" w:firstColumn="0" w:lastColumn="0" w:noHBand="1" w:noVBand="1"/>
    </w:tblPr>
    <w:tblGrid>
      <w:gridCol w:w="3120"/>
      <w:gridCol w:w="3120"/>
      <w:gridCol w:w="3120"/>
    </w:tblGrid>
    <w:tr w:rsidR="00060C16" w14:paraId="53621C5C" w14:textId="77777777">
      <w:trPr>
        <w:trHeight w:val="300"/>
      </w:trPr>
      <w:tc>
        <w:tcPr>
          <w:tcW w:w="3120" w:type="dxa"/>
        </w:tcPr>
        <w:p w:rsidR="00060C16" w:rsidRDefault="00060C16" w14:paraId="7FCAB49D"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060C16" w:rsidRDefault="00060C16" w14:paraId="1E7FD6C9"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060C16" w:rsidRDefault="00060C16" w14:paraId="295F984A"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60C16" w:rsidRDefault="00060C16" w14:paraId="75E6C837"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5C4B" w:rsidRDefault="00A45C4B" w14:paraId="7C5F4D61" w14:textId="77777777">
      <w:pPr>
        <w:spacing w:after="0" w:line="240" w:lineRule="auto"/>
      </w:pPr>
      <w:r>
        <w:separator/>
      </w:r>
    </w:p>
  </w:footnote>
  <w:footnote w:type="continuationSeparator" w:id="0">
    <w:p w:rsidR="00A45C4B" w:rsidRDefault="00A45C4B" w14:paraId="7D04BEB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0C16" w:rsidRDefault="00060C16" w14:paraId="02C435A7" w14:textId="77777777">
    <w:pPr>
      <w:widowControl w:val="0"/>
      <w:pBdr>
        <w:top w:val="nil"/>
        <w:left w:val="nil"/>
        <w:bottom w:val="nil"/>
        <w:right w:val="nil"/>
        <w:between w:val="nil"/>
      </w:pBdr>
      <w:spacing w:after="0" w:line="276" w:lineRule="auto"/>
      <w:rPr>
        <w:color w:val="000000"/>
      </w:rPr>
    </w:pPr>
  </w:p>
  <w:tbl>
    <w:tblPr>
      <w:tblStyle w:val="a3"/>
      <w:tblW w:w="9360" w:type="dxa"/>
      <w:tblLayout w:type="fixed"/>
      <w:tblLook w:val="0600" w:firstRow="0" w:lastRow="0" w:firstColumn="0" w:lastColumn="0" w:noHBand="1" w:noVBand="1"/>
    </w:tblPr>
    <w:tblGrid>
      <w:gridCol w:w="3120"/>
      <w:gridCol w:w="3120"/>
      <w:gridCol w:w="3120"/>
    </w:tblGrid>
    <w:tr w:rsidR="00060C16" w14:paraId="6FEC956C" w14:textId="77777777">
      <w:trPr>
        <w:trHeight w:val="300"/>
      </w:trPr>
      <w:tc>
        <w:tcPr>
          <w:tcW w:w="3120" w:type="dxa"/>
        </w:tcPr>
        <w:p w:rsidR="00060C16" w:rsidRDefault="00060C16" w14:paraId="3C4AF5E6"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060C16" w:rsidRDefault="00060C16" w14:paraId="22C8552C"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060C16" w:rsidRDefault="00060C16" w14:paraId="7A783094"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60C16" w:rsidRDefault="00060C16" w14:paraId="622D5395"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060C16" w:rsidRDefault="00060C16" w14:paraId="393D8D21" w14:textId="77777777">
    <w:pPr>
      <w:widowControl w:val="0"/>
      <w:pBdr>
        <w:top w:val="nil"/>
        <w:left w:val="nil"/>
        <w:bottom w:val="nil"/>
        <w:right w:val="nil"/>
        <w:between w:val="nil"/>
      </w:pBdr>
      <w:spacing w:after="0" w:line="276" w:lineRule="auto"/>
      <w:rPr>
        <w:rFonts w:ascii="Garamond" w:hAnsi="Garamond" w:eastAsia="Garamond" w:cs="Garamond"/>
        <w:color w:val="000000"/>
        <w:sz w:val="22"/>
        <w:szCs w:val="22"/>
      </w:rPr>
    </w:pPr>
  </w:p>
  <w:tbl>
    <w:tblPr>
      <w:tblStyle w:val="a2"/>
      <w:tblW w:w="10260" w:type="dxa"/>
      <w:tblLayout w:type="fixed"/>
      <w:tblLook w:val="0600" w:firstRow="0" w:lastRow="0" w:firstColumn="0" w:lastColumn="0" w:noHBand="1" w:noVBand="1"/>
    </w:tblPr>
    <w:tblGrid>
      <w:gridCol w:w="9570"/>
      <w:gridCol w:w="345"/>
      <w:gridCol w:w="345"/>
    </w:tblGrid>
    <w:tr w:rsidR="00060C16" w14:paraId="10A10942" w14:textId="77777777">
      <w:trPr>
        <w:trHeight w:val="300"/>
      </w:trPr>
      <w:tc>
        <w:tcPr>
          <w:tcW w:w="9570" w:type="dxa"/>
        </w:tcPr>
        <w:p w:rsidR="00060C16" w:rsidRDefault="00671E79" w14:paraId="095BFF83" w14:textId="77777777">
          <w:pPr>
            <w:spacing w:after="0" w:line="240" w:lineRule="auto"/>
            <w:jc w:val="right"/>
            <w:rPr>
              <w:rFonts w:ascii="Garamond" w:hAnsi="Garamond" w:eastAsia="Garamond" w:cs="Garamond"/>
              <w:b/>
              <w:color w:val="000000"/>
              <w:sz w:val="32"/>
              <w:szCs w:val="32"/>
            </w:rPr>
          </w:pPr>
          <w:r>
            <w:rPr>
              <w:rFonts w:ascii="Garamond" w:hAnsi="Garamond" w:eastAsia="Garamond" w:cs="Garamond"/>
              <w:b/>
              <w:color w:val="000000"/>
              <w:sz w:val="32"/>
              <w:szCs w:val="32"/>
            </w:rPr>
            <w:t>NASA DEVELOP National Program</w:t>
          </w:r>
        </w:p>
        <w:p w:rsidR="00060C16" w:rsidRDefault="00671E79" w14:paraId="2965F3DF" w14:textId="77777777">
          <w:pPr>
            <w:spacing w:after="0" w:line="240" w:lineRule="auto"/>
            <w:jc w:val="right"/>
            <w:rPr>
              <w:rFonts w:ascii="Garamond" w:hAnsi="Garamond" w:eastAsia="Garamond" w:cs="Garamond"/>
              <w:color w:val="000000"/>
              <w:sz w:val="32"/>
              <w:szCs w:val="32"/>
            </w:rPr>
          </w:pPr>
          <w:r>
            <w:rPr>
              <w:rFonts w:ascii="Garamond" w:hAnsi="Garamond" w:eastAsia="Garamond" w:cs="Garamond"/>
              <w:b/>
              <w:color w:val="000000"/>
              <w:sz w:val="32"/>
              <w:szCs w:val="32"/>
            </w:rPr>
            <w:t>California - Ames</w:t>
          </w:r>
        </w:p>
        <w:p w:rsidR="00060C16" w:rsidRDefault="00671E79" w14:paraId="47497D17" w14:textId="77777777">
          <w:pPr>
            <w:spacing w:after="0" w:line="240" w:lineRule="auto"/>
            <w:jc w:val="right"/>
            <w:rPr>
              <w:rFonts w:ascii="Garamond" w:hAnsi="Garamond" w:eastAsia="Garamond" w:cs="Garamond"/>
              <w:color w:val="000000"/>
              <w:sz w:val="32"/>
              <w:szCs w:val="32"/>
            </w:rPr>
          </w:pPr>
          <w:r>
            <w:rPr>
              <w:noProof/>
            </w:rPr>
            <w:drawing>
              <wp:inline distT="0" distB="0" distL="0" distR="0" wp14:anchorId="37CF2CD9" wp14:editId="21F864B7">
                <wp:extent cx="5943600" cy="304800"/>
                <wp:effectExtent l="0" t="0" r="0" b="0"/>
                <wp:docPr id="21055390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5943600" cy="304800"/>
                        </a:xfrm>
                        <a:prstGeom prst="rect">
                          <a:avLst/>
                        </a:prstGeom>
                        <a:ln/>
                      </pic:spPr>
                    </pic:pic>
                  </a:graphicData>
                </a:graphic>
              </wp:inline>
            </w:drawing>
          </w:r>
          <w:r>
            <w:rPr>
              <w:rFonts w:ascii="Garamond" w:hAnsi="Garamond" w:eastAsia="Garamond" w:cs="Garamond"/>
              <w:i/>
              <w:color w:val="000000"/>
              <w:sz w:val="32"/>
              <w:szCs w:val="32"/>
            </w:rPr>
            <w:t>Spring 2024</w:t>
          </w:r>
        </w:p>
        <w:p w:rsidR="00060C16" w:rsidRDefault="00060C16" w14:paraId="6950B558" w14:textId="77777777">
          <w:pPr>
            <w:tabs>
              <w:tab w:val="center" w:pos="4680"/>
              <w:tab w:val="right" w:pos="9360"/>
            </w:tabs>
            <w:spacing w:after="0" w:line="240" w:lineRule="auto"/>
            <w:jc w:val="right"/>
            <w:rPr>
              <w:rFonts w:ascii="Garamond" w:hAnsi="Garamond" w:eastAsia="Garamond" w:cs="Garamond"/>
              <w:color w:val="000000"/>
              <w:sz w:val="32"/>
              <w:szCs w:val="32"/>
            </w:rPr>
          </w:pPr>
        </w:p>
        <w:p w:rsidR="00060C16" w:rsidRDefault="00060C16" w14:paraId="5849D093"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45" w:type="dxa"/>
        </w:tcPr>
        <w:p w:rsidR="00060C16" w:rsidRDefault="00060C16" w14:paraId="22D38EEA"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45" w:type="dxa"/>
        </w:tcPr>
        <w:p w:rsidR="00060C16" w:rsidRDefault="00060C16" w14:paraId="291E75FC"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060C16" w:rsidRDefault="00060C16" w14:paraId="0CECF21C" w14:textId="77777777">
    <w:pPr>
      <w:pBdr>
        <w:top w:val="nil"/>
        <w:left w:val="nil"/>
        <w:bottom w:val="nil"/>
        <w:right w:val="nil"/>
        <w:between w:val="nil"/>
      </w:pBdr>
      <w:tabs>
        <w:tab w:val="center" w:pos="4680"/>
        <w:tab w:val="right" w:pos="9360"/>
      </w:tabs>
      <w:spacing w:after="0" w:line="240" w:lineRule="auto"/>
      <w:rPr>
        <w:color w:val="000000"/>
      </w:rPr>
    </w:pP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C16"/>
    <w:rsid w:val="00060C16"/>
    <w:rsid w:val="0056357D"/>
    <w:rsid w:val="00671E79"/>
    <w:rsid w:val="0069D8BA"/>
    <w:rsid w:val="006F766B"/>
    <w:rsid w:val="008C886D"/>
    <w:rsid w:val="00A45C4B"/>
    <w:rsid w:val="00A60369"/>
    <w:rsid w:val="00A63CDB"/>
    <w:rsid w:val="00B03026"/>
    <w:rsid w:val="00BA6ED1"/>
    <w:rsid w:val="00D8A164"/>
    <w:rsid w:val="00E359FB"/>
    <w:rsid w:val="010E6B2C"/>
    <w:rsid w:val="0162DB97"/>
    <w:rsid w:val="02DAB0A7"/>
    <w:rsid w:val="02F60E3B"/>
    <w:rsid w:val="02F68510"/>
    <w:rsid w:val="03534DDF"/>
    <w:rsid w:val="03555BEC"/>
    <w:rsid w:val="05B1A267"/>
    <w:rsid w:val="064726A2"/>
    <w:rsid w:val="068AEEA1"/>
    <w:rsid w:val="069CC9B3"/>
    <w:rsid w:val="06E11E24"/>
    <w:rsid w:val="06F89887"/>
    <w:rsid w:val="0706424F"/>
    <w:rsid w:val="08226F08"/>
    <w:rsid w:val="083069D1"/>
    <w:rsid w:val="09789343"/>
    <w:rsid w:val="09A7478A"/>
    <w:rsid w:val="0B7FE4E6"/>
    <w:rsid w:val="0BABDAB6"/>
    <w:rsid w:val="10BEF6AF"/>
    <w:rsid w:val="11F3F0F0"/>
    <w:rsid w:val="127E658A"/>
    <w:rsid w:val="12F4ED82"/>
    <w:rsid w:val="13B41F7C"/>
    <w:rsid w:val="1416456F"/>
    <w:rsid w:val="160119C1"/>
    <w:rsid w:val="162689A2"/>
    <w:rsid w:val="16DD6855"/>
    <w:rsid w:val="175BCAC8"/>
    <w:rsid w:val="17B4BAE5"/>
    <w:rsid w:val="1800E543"/>
    <w:rsid w:val="185496FE"/>
    <w:rsid w:val="18633274"/>
    <w:rsid w:val="1869907B"/>
    <w:rsid w:val="18B0E037"/>
    <w:rsid w:val="18BCDBE8"/>
    <w:rsid w:val="18CA0894"/>
    <w:rsid w:val="195CBBF6"/>
    <w:rsid w:val="1A6E15A5"/>
    <w:rsid w:val="1A733C92"/>
    <w:rsid w:val="1ACE842D"/>
    <w:rsid w:val="1B667FCF"/>
    <w:rsid w:val="1BDDE964"/>
    <w:rsid w:val="1C4ACE2A"/>
    <w:rsid w:val="1C5E768C"/>
    <w:rsid w:val="1E703E6F"/>
    <w:rsid w:val="1F66674C"/>
    <w:rsid w:val="1FD78FA3"/>
    <w:rsid w:val="2079BFBC"/>
    <w:rsid w:val="21926D91"/>
    <w:rsid w:val="21EC7BE6"/>
    <w:rsid w:val="21EEF932"/>
    <w:rsid w:val="2335439D"/>
    <w:rsid w:val="23DCC21B"/>
    <w:rsid w:val="242CC348"/>
    <w:rsid w:val="24FB2D49"/>
    <w:rsid w:val="25605CC3"/>
    <w:rsid w:val="2673DE70"/>
    <w:rsid w:val="26CDB913"/>
    <w:rsid w:val="2A31218A"/>
    <w:rsid w:val="2A59C447"/>
    <w:rsid w:val="2A616603"/>
    <w:rsid w:val="2B5F21E6"/>
    <w:rsid w:val="2B5F4805"/>
    <w:rsid w:val="2BA59E63"/>
    <w:rsid w:val="2BB8E486"/>
    <w:rsid w:val="2BC6CACD"/>
    <w:rsid w:val="2CA17771"/>
    <w:rsid w:val="2CB59FCE"/>
    <w:rsid w:val="2D64AAD1"/>
    <w:rsid w:val="2DA1B29D"/>
    <w:rsid w:val="2DDE3D23"/>
    <w:rsid w:val="2E3D47D2"/>
    <w:rsid w:val="2E46E85B"/>
    <w:rsid w:val="2EF6E34F"/>
    <w:rsid w:val="3080E1BD"/>
    <w:rsid w:val="3092B3B0"/>
    <w:rsid w:val="30CBDF07"/>
    <w:rsid w:val="30FC2495"/>
    <w:rsid w:val="31A218E7"/>
    <w:rsid w:val="3218BAD3"/>
    <w:rsid w:val="329581CB"/>
    <w:rsid w:val="338B9ED7"/>
    <w:rsid w:val="33D461D0"/>
    <w:rsid w:val="33E0353A"/>
    <w:rsid w:val="345E8184"/>
    <w:rsid w:val="350EFB37"/>
    <w:rsid w:val="35F69963"/>
    <w:rsid w:val="364D5622"/>
    <w:rsid w:val="37B6D979"/>
    <w:rsid w:val="39AD2ACC"/>
    <w:rsid w:val="39B7C261"/>
    <w:rsid w:val="3ADF46DB"/>
    <w:rsid w:val="3D516DC2"/>
    <w:rsid w:val="3DF268AF"/>
    <w:rsid w:val="3E677392"/>
    <w:rsid w:val="3E8B3384"/>
    <w:rsid w:val="3ED15963"/>
    <w:rsid w:val="411AC6D8"/>
    <w:rsid w:val="412A9E1A"/>
    <w:rsid w:val="413D9C04"/>
    <w:rsid w:val="41B8D429"/>
    <w:rsid w:val="41ED96F8"/>
    <w:rsid w:val="41FD5463"/>
    <w:rsid w:val="427E109B"/>
    <w:rsid w:val="44035936"/>
    <w:rsid w:val="45AA1FF6"/>
    <w:rsid w:val="46076058"/>
    <w:rsid w:val="46A38FC4"/>
    <w:rsid w:val="46EBF0EB"/>
    <w:rsid w:val="4925D8BD"/>
    <w:rsid w:val="49892346"/>
    <w:rsid w:val="4A77B4D8"/>
    <w:rsid w:val="4AC2957C"/>
    <w:rsid w:val="4B71A412"/>
    <w:rsid w:val="4C323C41"/>
    <w:rsid w:val="4D047B0D"/>
    <w:rsid w:val="4DD6DEC4"/>
    <w:rsid w:val="4E166828"/>
    <w:rsid w:val="4E16B3B5"/>
    <w:rsid w:val="4E901C77"/>
    <w:rsid w:val="4F5D5CF1"/>
    <w:rsid w:val="502BECD8"/>
    <w:rsid w:val="503E3CE8"/>
    <w:rsid w:val="508E3A09"/>
    <w:rsid w:val="524990CE"/>
    <w:rsid w:val="5373784E"/>
    <w:rsid w:val="53BB2E03"/>
    <w:rsid w:val="55910BFD"/>
    <w:rsid w:val="5669BF68"/>
    <w:rsid w:val="56E173ED"/>
    <w:rsid w:val="59103DA0"/>
    <w:rsid w:val="5A5E5A08"/>
    <w:rsid w:val="5A6F3576"/>
    <w:rsid w:val="5BFD24FC"/>
    <w:rsid w:val="5CF2E184"/>
    <w:rsid w:val="5D469698"/>
    <w:rsid w:val="5DB6E317"/>
    <w:rsid w:val="5E8EB1E5"/>
    <w:rsid w:val="5E9B93EB"/>
    <w:rsid w:val="5EC35E89"/>
    <w:rsid w:val="5F37899C"/>
    <w:rsid w:val="60D98A5C"/>
    <w:rsid w:val="619820C6"/>
    <w:rsid w:val="61DB618B"/>
    <w:rsid w:val="624880D3"/>
    <w:rsid w:val="62C796AE"/>
    <w:rsid w:val="62F47922"/>
    <w:rsid w:val="63F32890"/>
    <w:rsid w:val="64904983"/>
    <w:rsid w:val="65469A9A"/>
    <w:rsid w:val="65E3BE5E"/>
    <w:rsid w:val="664D606D"/>
    <w:rsid w:val="66B92EF0"/>
    <w:rsid w:val="6738611E"/>
    <w:rsid w:val="679214AC"/>
    <w:rsid w:val="67CA3534"/>
    <w:rsid w:val="67EB5AAA"/>
    <w:rsid w:val="6924ACEF"/>
    <w:rsid w:val="692532D6"/>
    <w:rsid w:val="693B2CB8"/>
    <w:rsid w:val="6963BAA6"/>
    <w:rsid w:val="6A507839"/>
    <w:rsid w:val="6BF01B76"/>
    <w:rsid w:val="6CDBEC1D"/>
    <w:rsid w:val="6DEE4987"/>
    <w:rsid w:val="6E3E6531"/>
    <w:rsid w:val="6E4EAFA6"/>
    <w:rsid w:val="6F0FA6E3"/>
    <w:rsid w:val="71143A0F"/>
    <w:rsid w:val="71325544"/>
    <w:rsid w:val="71AA582C"/>
    <w:rsid w:val="7273089D"/>
    <w:rsid w:val="72D729D0"/>
    <w:rsid w:val="742105B5"/>
    <w:rsid w:val="747042CE"/>
    <w:rsid w:val="75970912"/>
    <w:rsid w:val="7623EA4D"/>
    <w:rsid w:val="76EC81BE"/>
    <w:rsid w:val="771CD844"/>
    <w:rsid w:val="7A44B520"/>
    <w:rsid w:val="7A994518"/>
    <w:rsid w:val="7AD9B148"/>
    <w:rsid w:val="7BB998F2"/>
    <w:rsid w:val="7C2EC7F5"/>
    <w:rsid w:val="7C7FECC1"/>
    <w:rsid w:val="7CB96CB8"/>
    <w:rsid w:val="7D132A53"/>
    <w:rsid w:val="7E6D8A8D"/>
    <w:rsid w:val="7EE88E35"/>
    <w:rsid w:val="7EFA7D68"/>
    <w:rsid w:val="7F5F6835"/>
    <w:rsid w:val="7FCFB8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42746"/>
  <w15:docId w15:val="{8D8FD9A9-D7E9-4529-9BEE-F7AD8394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hAnsi="Aptos" w:eastAsia="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5247"/>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467886" w:themeColor="hyperlink"/>
      <w:u w:val="single"/>
    </w:rPr>
  </w:style>
  <w:style w:type="character" w:styleId="normaltextrun" w:customStyle="1">
    <w:name w:val="normaltextrun"/>
    <w:basedOn w:val="DefaultParagraphFont"/>
    <w:rsid w:val="35BE2941"/>
  </w:style>
  <w:style w:type="character" w:styleId="eop" w:customStyle="1">
    <w:name w:val="eop"/>
    <w:basedOn w:val="DefaultParagraphFont"/>
    <w:uiPriority w:val="1"/>
    <w:rsid w:val="35BE2941"/>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325AF3"/>
    <w:rPr>
      <w:color w:val="605E5C"/>
      <w:shd w:val="clear" w:color="auto" w:fill="E1DFDD"/>
    </w:rPr>
  </w:style>
  <w:style w:type="character" w:styleId="ui-provider" w:customStyle="1">
    <w:name w:val="ui-provider"/>
    <w:basedOn w:val="DefaultParagraphFont"/>
    <w:rsid w:val="00E9687C"/>
  </w:style>
  <w:style w:type="paragraph" w:styleId="CommentSubject">
    <w:name w:val="annotation subject"/>
    <w:basedOn w:val="CommentText"/>
    <w:next w:val="CommentText"/>
    <w:link w:val="CommentSubjectChar"/>
    <w:uiPriority w:val="99"/>
    <w:semiHidden/>
    <w:unhideWhenUsed/>
    <w:rsid w:val="00663080"/>
    <w:rPr>
      <w:b/>
      <w:bCs/>
    </w:rPr>
  </w:style>
  <w:style w:type="character" w:styleId="CommentSubjectChar" w:customStyle="1">
    <w:name w:val="Comment Subject Char"/>
    <w:basedOn w:val="CommentTextChar"/>
    <w:link w:val="CommentSubject"/>
    <w:uiPriority w:val="99"/>
    <w:semiHidden/>
    <w:rsid w:val="00663080"/>
    <w:rPr>
      <w:b/>
      <w:bCs/>
      <w:sz w:val="20"/>
      <w:szCs w:val="20"/>
    </w:rPr>
  </w:style>
  <w:style w:type="paragraph" w:styleId="Revision">
    <w:name w:val="Revision"/>
    <w:hidden/>
    <w:uiPriority w:val="99"/>
    <w:semiHidden/>
    <w:rsid w:val="00AC35FF"/>
    <w:pPr>
      <w:spacing w:after="0" w:line="240" w:lineRule="auto"/>
    </w:pPr>
  </w:style>
  <w:style w:type="character" w:styleId="EndnoteReference">
    <w:name w:val="endnote reference"/>
    <w:basedOn w:val="DefaultParagraphFont"/>
    <w:uiPriority w:val="99"/>
    <w:semiHidden/>
    <w:unhideWhenUsed/>
    <w:rsid w:val="00865C32"/>
    <w:rPr>
      <w:vertAlign w:val="superscript"/>
    </w:rPr>
  </w:style>
  <w:style w:type="character" w:styleId="EndnoteTextChar" w:customStyle="1">
    <w:name w:val="Endnote Text Char"/>
    <w:basedOn w:val="DefaultParagraphFont"/>
    <w:link w:val="EndnoteText"/>
    <w:uiPriority w:val="99"/>
    <w:semiHidden/>
    <w:rsid w:val="00865C32"/>
    <w:rPr>
      <w:sz w:val="20"/>
      <w:szCs w:val="20"/>
    </w:rPr>
  </w:style>
  <w:style w:type="paragraph" w:styleId="EndnoteText">
    <w:name w:val="endnote text"/>
    <w:basedOn w:val="Normal"/>
    <w:link w:val="EndnoteTextChar"/>
    <w:uiPriority w:val="99"/>
    <w:semiHidden/>
    <w:unhideWhenUsed/>
    <w:rsid w:val="00865C32"/>
    <w:pPr>
      <w:spacing w:after="0" w:line="240" w:lineRule="auto"/>
    </w:pPr>
    <w:rPr>
      <w:sz w:val="20"/>
      <w:szCs w:val="20"/>
    </w:rPr>
  </w:style>
  <w:style w:type="character" w:styleId="EndnoteTextChar1" w:customStyle="1">
    <w:name w:val="Endnote Text Char1"/>
    <w:basedOn w:val="DefaultParagraphFont"/>
    <w:uiPriority w:val="99"/>
    <w:semiHidden/>
    <w:rsid w:val="00865C32"/>
    <w:rPr>
      <w:sz w:val="20"/>
      <w:szCs w:val="20"/>
    </w:rPr>
  </w:style>
  <w:style w:type="character" w:styleId="cf01" w:customStyle="1">
    <w:name w:val="cf01"/>
    <w:basedOn w:val="DefaultParagraphFont"/>
    <w:rsid w:val="00F61975"/>
    <w:rPr>
      <w:rFonts w:hint="default" w:ascii="Segoe UI" w:hAnsi="Segoe UI" w:cs="Segoe UI"/>
      <w:sz w:val="18"/>
      <w:szCs w:val="18"/>
    </w:rPr>
  </w:style>
  <w:style w:type="paragraph" w:styleId="NormalWeb">
    <w:name w:val="Normal (Web)"/>
    <w:basedOn w:val="Normal"/>
    <w:uiPriority w:val="99"/>
    <w:unhideWhenUsed/>
    <w:rsid w:val="002B4188"/>
    <w:pPr>
      <w:spacing w:before="100" w:beforeAutospacing="1" w:after="100" w:afterAutospacing="1" w:line="240" w:lineRule="auto"/>
    </w:pPr>
    <w:rPr>
      <w:rFonts w:ascii="Times New Roman" w:hAnsi="Times New Roman" w:eastAsia="Times New Roman" w:cs="Times New Roman"/>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g" Id="rId18" /><Relationship Type="http://schemas.openxmlformats.org/officeDocument/2006/relationships/hyperlink" Target="https://doi.org/10.1136/bmj.n2467" TargetMode="External" Id="rId39" /><Relationship Type="http://schemas.openxmlformats.org/officeDocument/2006/relationships/hyperlink" Target="https://ww2.arb.ca.gov/news/clean-air-plan-san-joaquin-valley-first-meet-all-federal-standards-fine-particle-pollution" TargetMode="External" Id="rId21" /><Relationship Type="http://schemas.openxmlformats.org/officeDocument/2006/relationships/hyperlink" Target="https://www.zotero.org/google-docs/?broken=NJsEL3" TargetMode="External" Id="rId34" /><Relationship Type="http://schemas.openxmlformats.org/officeDocument/2006/relationships/image" Target="media/image14.jpg" Id="rId47" /><Relationship Type="http://schemas.openxmlformats.org/officeDocument/2006/relationships/image" Target="media/image17.png" Id="rId50" /><Relationship Type="http://schemas.openxmlformats.org/officeDocument/2006/relationships/header" Target="header2.xml" Id="rId55"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jpg" Id="rId16" /><Relationship Type="http://schemas.microsoft.com/office/2016/09/relationships/commentsIds" Target="commentsIds.xml" Id="rId11" /><Relationship Type="http://schemas.openxmlformats.org/officeDocument/2006/relationships/hyperlink" Target="https://www.zotero.org/google-docs/?broken=sryW5W" TargetMode="External" Id="rId32" /><Relationship Type="http://schemas.openxmlformats.org/officeDocument/2006/relationships/hyperlink" Target="https://www.migrationpolicy.org/data/unauthorized-immigrant-population/county/6077" TargetMode="External" Id="rId37" /><Relationship Type="http://schemas.openxmlformats.org/officeDocument/2006/relationships/hyperlink" Target="https://www.epa.gov/environmentaljustice/learn-about-environmental-justice" TargetMode="External" Id="rId40" /><Relationship Type="http://schemas.openxmlformats.org/officeDocument/2006/relationships/image" Target="media/image12.png" Id="rId45" /><Relationship Type="http://schemas.openxmlformats.org/officeDocument/2006/relationships/header" Target="header1.xml" Id="rId53" /><Relationship Type="http://schemas.microsoft.com/office/2011/relationships/people" Target="people.xml" Id="rId58" /><Relationship Type="http://schemas.openxmlformats.org/officeDocument/2006/relationships/footnotes" Target="footnotes.xml" Id="rId5" /><Relationship Type="http://schemas.openxmlformats.org/officeDocument/2006/relationships/image" Target="media/image9.jpg" Id="rId19" /><Relationship Type="http://schemas.openxmlformats.org/officeDocument/2006/relationships/webSettings" Target="webSettings.xml" Id="rId4" /><Relationship Type="http://schemas.openxmlformats.org/officeDocument/2006/relationships/image" Target="media/image4.png" Id="rId14" /><Relationship Type="http://schemas.openxmlformats.org/officeDocument/2006/relationships/hyperlink" Target="https://littlemanila.org/more-than-history" TargetMode="External" Id="rId35" /><Relationship Type="http://schemas.openxmlformats.org/officeDocument/2006/relationships/image" Target="media/image10.png" Id="rId43" /><Relationship Type="http://schemas.openxmlformats.org/officeDocument/2006/relationships/image" Target="media/image15.jpg" Id="rId48" /><Relationship Type="http://schemas.openxmlformats.org/officeDocument/2006/relationships/footer" Target="footer2.xml" Id="rId56" /><Relationship Type="http://schemas.openxmlformats.org/officeDocument/2006/relationships/image" Target="media/image2.png" Id="rId8" /><Relationship Type="http://schemas.openxmlformats.org/officeDocument/2006/relationships/image" Target="media/image18.png" Id="rId51" /><Relationship Type="http://schemas.openxmlformats.org/officeDocument/2006/relationships/settings" Target="settings.xml" Id="rId3" /><Relationship Type="http://schemas.openxmlformats.org/officeDocument/2006/relationships/hyperlink" Target="https://modis.gsfc.nasa.gov/" TargetMode="External" Id="rId33" /><Relationship Type="http://schemas.openxmlformats.org/officeDocument/2006/relationships/hyperlink" Target="https://www.migrationpolicy.org/data/unauthorized-immigrant-population/county/6077" TargetMode="External" Id="rId38" /><Relationship Type="http://schemas.openxmlformats.org/officeDocument/2006/relationships/image" Target="media/image13.jpg" Id="rId46" /><Relationship Type="http://schemas.openxmlformats.org/officeDocument/2006/relationships/theme" Target="theme/theme1.xml" Id="rId59" /><Relationship Type="http://schemas.openxmlformats.org/officeDocument/2006/relationships/hyperlink" Target="http://appliedsciences.nasa.gov/get-involved/training/english/arset-satellite-remote-sensing-measuring-urban-heat-islands-and" TargetMode="External" Id="rId20" /><Relationship Type="http://schemas.openxmlformats.org/officeDocument/2006/relationships/hyperlink" Target="https://www.ahajournals.org/doi/10.1161/CIRCULATIONAHA.122.063504"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s://doi.org/10.3390/s18010018" TargetMode="External" Id="rId36" /><Relationship Type="http://schemas.openxmlformats.org/officeDocument/2006/relationships/image" Target="media/image16.png" Id="rId49" /><Relationship Type="http://schemas.openxmlformats.org/officeDocument/2006/relationships/fontTable" Target="fontTable.xml" Id="rId57" /><Relationship Type="http://schemas.microsoft.com/office/2011/relationships/commentsExtended" Target="commentsExtended.xml" Id="rId10" /><Relationship Type="http://schemas.openxmlformats.org/officeDocument/2006/relationships/hyperlink" Target="https://history.state.gov/milestones/1899-1913/war" TargetMode="External" Id="rId31" /><Relationship Type="http://schemas.openxmlformats.org/officeDocument/2006/relationships/image" Target="media/image11.png" Id="rId44" /><Relationship Type="http://schemas.openxmlformats.org/officeDocument/2006/relationships/image" Target="media/image19.png" Id="rId52" /><Relationship Type="http://schemas.openxmlformats.org/officeDocument/2006/relationships/hyperlink" Target="https://doi.org/10.23953/cloud.ijaese.204" TargetMode="External" Id="R7f625662ee304b2a" /><Relationship Type="http://schemas.openxmlformats.org/officeDocument/2006/relationships/hyperlink" Target="https://doi.org/10.1088/1748-9326/ab3b99" TargetMode="External" Id="R8baaf255e25c4586" /><Relationship Type="http://schemas.openxmlformats.org/officeDocument/2006/relationships/hyperlink" Target="https://doi.org/10.3390/rs11131615" TargetMode="External" Id="R42c1c7f0b30a431b" /><Relationship Type="http://schemas.openxmlformats.org/officeDocument/2006/relationships/hyperlink" Target="https://doi.org/10.1016/j.ufug.2018.05.009" TargetMode="External" Id="Rde607e75f77d4263" /><Relationship Type="http://schemas.openxmlformats.org/officeDocument/2006/relationships/hyperlink" Target="https://doi.org/10.2202/1547-7355.1792" TargetMode="External" Id="Rd1371e1994a64050" /><Relationship Type="http://schemas.openxmlformats.org/officeDocument/2006/relationships/hyperlink" Target="https://doi.org/10.1016/j.scitotenv.2017.01.158" TargetMode="External" Id="Rf1f116ae16bd4867" /><Relationship Type="http://schemas.openxmlformats.org/officeDocument/2006/relationships/hyperlink" Target="https://doi.org/10.1016/j.landurbplan.2023.104896" TargetMode="External" Id="Re42b121d88554978" /><Relationship Type="http://schemas.openxmlformats.org/officeDocument/2006/relationships/hyperlink" Target="https://doi.org/10.1016/j.heliyon.2023.e18424" TargetMode="External" Id="Rf9e0910e4a09459a" /><Relationship Type="http://schemas.openxmlformats.org/officeDocument/2006/relationships/hyperlink" Target="https://doi.org/10.1016/j.apenergy.2016.09.070" TargetMode="External" Id="R7f66cc4042df4773" /><Relationship Type="http://schemas.openxmlformats.org/officeDocument/2006/relationships/hyperlink" Target="https://doi.org/10.1016/j.buildenv.2017.02.020" TargetMode="External" Id="R056f9cdb77904714" /><Relationship Type="http://schemas.openxmlformats.org/officeDocument/2006/relationships/image" Target="/media/image9.jpg" Id="Rbabcd0b08575472c" /><Relationship Type="http://schemas.openxmlformats.org/officeDocument/2006/relationships/image" Target="/media/imagea.jpg" Id="R5191958a7284490e" /></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pCB0Gf4Z/KacrUzxbJeJ3wuKg==">CgMxLjAyCGguZ2pkZ3hzMgloLjMwajB6bGwyCWguMWZvYjl0ZTIJaC4zem55c2g3OAByITFLZkhHbk5LTVdOSkpIRW1sWnZxSlpNVnU3QTNTZTlTdA==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Gabriela Colombo</dc:creator>
  <lastModifiedBy>Cai, Xia (LARC-E3)</lastModifiedBy>
  <revision>10</revision>
  <dcterms:created xsi:type="dcterms:W3CDTF">2024-04-23T01:44:00.0000000Z</dcterms:created>
  <dcterms:modified xsi:type="dcterms:W3CDTF">2024-04-25T05:21:23.9185233Z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ies>
</file>