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FFCDF01" w:rsidR="006E2A1C" w:rsidRPr="007E68B5" w:rsidRDefault="00FC0DB7"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E61A329" w14:textId="77777777" w:rsidR="00FC0DB7" w:rsidRPr="00FC0DB7" w:rsidRDefault="00FC0DB7" w:rsidP="00FC0DB7">
      <w:pPr>
        <w:spacing w:after="0" w:line="240" w:lineRule="auto"/>
        <w:jc w:val="right"/>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40"/>
          <w:szCs w:val="40"/>
        </w:rPr>
        <w:t>Great Lakes Ecological Forecasting</w:t>
      </w:r>
    </w:p>
    <w:p w14:paraId="0F963EE5" w14:textId="22BD25A0" w:rsidR="009830D6" w:rsidRDefault="00FC0DB7" w:rsidP="00FC0DB7">
      <w:pPr>
        <w:spacing w:after="0" w:line="240" w:lineRule="auto"/>
        <w:rPr>
          <w:rFonts w:ascii="Century Gothic" w:hAnsi="Century Gothic" w:cs="Arial"/>
          <w:sz w:val="32"/>
        </w:rPr>
      </w:pPr>
      <w:r w:rsidRPr="00FC0DB7">
        <w:rPr>
          <w:rFonts w:ascii="Century Gothic" w:eastAsia="Times New Roman" w:hAnsi="Century Gothic" w:cs="Times New Roman"/>
          <w:color w:val="000000"/>
          <w:sz w:val="28"/>
          <w:szCs w:val="28"/>
        </w:rPr>
        <w:t xml:space="preserve">Utilizing NASA Earth Observations to Monitor and Forecast the Spread of </w:t>
      </w:r>
      <w:r w:rsidRPr="00FC0DB7">
        <w:rPr>
          <w:rFonts w:ascii="Century Gothic" w:eastAsia="Times New Roman" w:hAnsi="Century Gothic" w:cs="Times New Roman"/>
          <w:i/>
          <w:iCs/>
          <w:color w:val="000000"/>
          <w:sz w:val="28"/>
          <w:szCs w:val="28"/>
        </w:rPr>
        <w:t>Phragmites australis</w:t>
      </w:r>
      <w:r w:rsidRPr="00FC0DB7">
        <w:rPr>
          <w:rFonts w:ascii="Century Gothic" w:eastAsia="Times New Roman" w:hAnsi="Century Gothic" w:cs="Times New Roman"/>
          <w:color w:val="000000"/>
          <w:sz w:val="28"/>
          <w:szCs w:val="28"/>
        </w:rPr>
        <w:t xml:space="preserve"> in the Great Lakes Basin</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16A9C10" w:rsidR="00916AAB" w:rsidRPr="00B265D9" w:rsidRDefault="00ED0A42" w:rsidP="00E578D6">
      <w:pPr>
        <w:spacing w:after="0" w:line="240" w:lineRule="auto"/>
        <w:jc w:val="center"/>
        <w:rPr>
          <w:rFonts w:ascii="Century Gothic" w:hAnsi="Century Gothic" w:cs="Arial"/>
          <w:sz w:val="28"/>
        </w:rPr>
      </w:pPr>
      <w:r>
        <w:rPr>
          <w:rFonts w:ascii="Century Gothic" w:hAnsi="Century Gothic" w:cs="Arial"/>
          <w:sz w:val="28"/>
        </w:rPr>
        <w:t>Final Draft – March 16,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BF87236"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C. Issac Kinton (Project Lead)</w:t>
      </w:r>
    </w:p>
    <w:p w14:paraId="35427528"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Peter Jacobs</w:t>
      </w:r>
    </w:p>
    <w:p w14:paraId="51955CF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Sean McCartney</w:t>
      </w:r>
    </w:p>
    <w:p w14:paraId="6A1C5CF9"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5D27B63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Laura Bourgeau-Chavez, Michigan Tech Research Institute (Science Advisor)</w:t>
      </w:r>
    </w:p>
    <w:p w14:paraId="57863C30"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Kurt Kowalski, USGS Great Lakes Science Center (Science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4DF9EC2" w14:textId="5DE30BB1" w:rsidR="000A41E3" w:rsidRDefault="000A41E3" w:rsidP="006E2A1C">
      <w:pPr>
        <w:spacing w:after="0" w:line="240" w:lineRule="auto"/>
        <w:rPr>
          <w:rFonts w:ascii="Century Gothic" w:hAnsi="Century Gothic" w:cs="Arial"/>
          <w:szCs w:val="24"/>
        </w:rPr>
      </w:pPr>
      <w:r w:rsidRPr="00A3191B">
        <w:rPr>
          <w:rFonts w:ascii="Century Gothic" w:hAnsi="Century Gothic" w:cs="Arial"/>
          <w:i/>
          <w:szCs w:val="24"/>
        </w:rPr>
        <w:t>Phragmites australis</w:t>
      </w:r>
      <w:r w:rsidRPr="000A41E3">
        <w:rPr>
          <w:rFonts w:ascii="Century Gothic" w:hAnsi="Century Gothic" w:cs="Arial"/>
          <w:szCs w:val="24"/>
        </w:rPr>
        <w:t xml:space="preserve"> is an invasive species that threatens wetland habitats in the Great Lakes and St. Lawrence River basin. Governments in both Canada and the United States recognize that Phragmites detection is a first line of defense in limiting the spread of this species. Left untreated, </w:t>
      </w:r>
      <w:r w:rsidRPr="00A3191B">
        <w:rPr>
          <w:rFonts w:ascii="Century Gothic" w:hAnsi="Century Gothic" w:cs="Arial"/>
          <w:i/>
          <w:szCs w:val="24"/>
        </w:rPr>
        <w:t>Phragmites australis</w:t>
      </w:r>
      <w:r w:rsidRPr="000A41E3">
        <w:rPr>
          <w:rFonts w:ascii="Century Gothic" w:hAnsi="Century Gothic" w:cs="Arial"/>
          <w:szCs w:val="24"/>
        </w:rPr>
        <w:t xml:space="preserve"> outcompetes native regional wetland species, resulting in monotypic stands of invasive Phragmites. As a result, habitat for native fish and wildlife becomes unsuitable, fire risk grows, and elevation of the landscape increases due to an expansion of below-ground biomass, depriving wetlands of nutrients needed by native flora and fauna. Project goals included identifying relevant drivers of the extent of Phragmites and forecasting near-term Phragmites extent throughout the Great Lakes Basin. Research from this project will help the Great Lakes and St. Lawrence Cities Initiative in its goal to distribute Phragmites information to local policymakers in both the US and Canada. Earth observations (EO) utilized included Shuttle Radar Topography Mission (SRTM), Tropical Rainfall Measuring Mission (TRMM), and Global Precipitation Measurement (GPM). </w:t>
      </w:r>
      <w:r w:rsidR="003364B4">
        <w:rPr>
          <w:rFonts w:ascii="Century Gothic" w:hAnsi="Century Gothic" w:cs="Arial"/>
          <w:szCs w:val="24"/>
        </w:rPr>
        <w:t>Environmental variables</w:t>
      </w:r>
      <w:r w:rsidRPr="000A41E3">
        <w:rPr>
          <w:rFonts w:ascii="Century Gothic" w:hAnsi="Century Gothic" w:cs="Arial"/>
          <w:szCs w:val="24"/>
        </w:rPr>
        <w:t xml:space="preserve"> known to </w:t>
      </w:r>
      <w:r w:rsidR="003364B4">
        <w:rPr>
          <w:rFonts w:ascii="Century Gothic" w:hAnsi="Century Gothic" w:cs="Arial"/>
          <w:szCs w:val="24"/>
        </w:rPr>
        <w:t>facilitate</w:t>
      </w:r>
      <w:r w:rsidRPr="000A41E3">
        <w:rPr>
          <w:rFonts w:ascii="Century Gothic" w:hAnsi="Century Gothic" w:cs="Arial"/>
          <w:szCs w:val="24"/>
        </w:rPr>
        <w:t xml:space="preserve"> Phragmites </w:t>
      </w:r>
      <w:r w:rsidR="003364B4">
        <w:rPr>
          <w:rFonts w:ascii="Century Gothic" w:hAnsi="Century Gothic" w:cs="Arial"/>
          <w:szCs w:val="24"/>
        </w:rPr>
        <w:t>expansion were used as ancillary datasets</w:t>
      </w:r>
      <w:r w:rsidRPr="000A41E3">
        <w:rPr>
          <w:rFonts w:ascii="Century Gothic" w:hAnsi="Century Gothic" w:cs="Arial"/>
          <w:szCs w:val="24"/>
        </w:rPr>
        <w:t xml:space="preserve">. Land use/land cover (LULC) </w:t>
      </w:r>
      <w:r w:rsidR="003364B4">
        <w:rPr>
          <w:rFonts w:ascii="Century Gothic" w:hAnsi="Century Gothic" w:cs="Arial"/>
          <w:szCs w:val="24"/>
        </w:rPr>
        <w:t xml:space="preserve">data </w:t>
      </w:r>
      <w:r w:rsidRPr="000A41E3">
        <w:rPr>
          <w:rFonts w:ascii="Century Gothic" w:hAnsi="Century Gothic" w:cs="Arial"/>
          <w:szCs w:val="24"/>
        </w:rPr>
        <w:t xml:space="preserve">were created using TerrSet Land Change Modeler. </w:t>
      </w:r>
      <w:r w:rsidR="003364B4">
        <w:rPr>
          <w:rFonts w:ascii="Century Gothic" w:hAnsi="Century Gothic" w:cs="Arial"/>
          <w:szCs w:val="24"/>
        </w:rPr>
        <w:t>Phragmites risk</w:t>
      </w:r>
      <w:r w:rsidRPr="000A41E3">
        <w:rPr>
          <w:rFonts w:ascii="Century Gothic" w:hAnsi="Century Gothic" w:cs="Arial"/>
          <w:szCs w:val="24"/>
        </w:rPr>
        <w:t xml:space="preserve"> </w:t>
      </w:r>
      <w:r w:rsidR="003364B4">
        <w:rPr>
          <w:rFonts w:ascii="Century Gothic" w:hAnsi="Century Gothic" w:cs="Arial"/>
          <w:szCs w:val="24"/>
        </w:rPr>
        <w:t>data were created</w:t>
      </w:r>
      <w:r w:rsidRPr="000A41E3">
        <w:rPr>
          <w:rFonts w:ascii="Century Gothic" w:hAnsi="Century Gothic" w:cs="Arial"/>
          <w:szCs w:val="24"/>
        </w:rPr>
        <w:t xml:space="preserve"> us</w:t>
      </w:r>
      <w:r w:rsidR="003364B4">
        <w:rPr>
          <w:rFonts w:ascii="Century Gothic" w:hAnsi="Century Gothic" w:cs="Arial"/>
          <w:szCs w:val="24"/>
        </w:rPr>
        <w:t>ing</w:t>
      </w:r>
      <w:r w:rsidRPr="000A41E3">
        <w:rPr>
          <w:rFonts w:ascii="Century Gothic" w:hAnsi="Century Gothic" w:cs="Arial"/>
          <w:szCs w:val="24"/>
        </w:rPr>
        <w:t xml:space="preserve"> </w:t>
      </w:r>
      <w:r w:rsidR="00076427">
        <w:rPr>
          <w:rFonts w:ascii="Century Gothic" w:hAnsi="Century Gothic" w:cs="Arial"/>
          <w:szCs w:val="24"/>
        </w:rPr>
        <w:t>Maxent</w:t>
      </w:r>
      <w:r w:rsidR="003364B4">
        <w:rPr>
          <w:rFonts w:ascii="Century Gothic" w:hAnsi="Century Gothic" w:cs="Arial"/>
          <w:szCs w:val="24"/>
        </w:rPr>
        <w:t xml:space="preserve"> </w:t>
      </w:r>
      <w:r w:rsidR="003364B4" w:rsidRPr="003364B4">
        <w:rPr>
          <w:rFonts w:ascii="Century Gothic" w:hAnsi="Century Gothic" w:cs="Arial"/>
          <w:szCs w:val="24"/>
        </w:rPr>
        <w:t>species habitat modeling</w:t>
      </w:r>
      <w:r w:rsidR="003364B4">
        <w:rPr>
          <w:rFonts w:ascii="Century Gothic" w:hAnsi="Century Gothic" w:cs="Arial"/>
          <w:szCs w:val="24"/>
        </w:rPr>
        <w:t xml:space="preserve"> software, for the present as well as 2020. </w:t>
      </w:r>
      <w:r w:rsidR="008E213C">
        <w:rPr>
          <w:rFonts w:ascii="Century Gothic" w:hAnsi="Century Gothic" w:cs="Arial"/>
          <w:szCs w:val="24"/>
        </w:rPr>
        <w:t xml:space="preserve">While there was little net change in the total areas of high risk from Phragmites, there were large, opposing changes across different land cover classifications. </w:t>
      </w:r>
      <w:r w:rsidR="003364B4">
        <w:rPr>
          <w:rFonts w:ascii="Century Gothic" w:hAnsi="Century Gothic" w:cs="Arial"/>
          <w:szCs w:val="24"/>
        </w:rPr>
        <w:t>These results</w:t>
      </w:r>
      <w:r w:rsidR="003364B4" w:rsidRPr="000A41E3">
        <w:rPr>
          <w:rFonts w:ascii="Century Gothic" w:hAnsi="Century Gothic" w:cs="Arial"/>
          <w:szCs w:val="24"/>
        </w:rPr>
        <w:t xml:space="preserve"> will help local governments enact policies to plan for and mitigate the spread of </w:t>
      </w:r>
      <w:r w:rsidR="003364B4" w:rsidRPr="00A3191B">
        <w:rPr>
          <w:rFonts w:ascii="Century Gothic" w:hAnsi="Century Gothic" w:cs="Arial"/>
          <w:i/>
          <w:szCs w:val="24"/>
        </w:rPr>
        <w:t>Phragmites australis</w:t>
      </w:r>
      <w:r w:rsidR="003364B4" w:rsidRPr="000A41E3">
        <w:rPr>
          <w:rFonts w:ascii="Century Gothic" w:hAnsi="Century Gothic" w:cs="Arial"/>
          <w:szCs w:val="24"/>
        </w:rPr>
        <w:t>.</w:t>
      </w:r>
    </w:p>
    <w:p w14:paraId="3D941199" w14:textId="77777777" w:rsidR="008E213C" w:rsidRPr="005F6AD4" w:rsidRDefault="008E213C" w:rsidP="006E2A1C">
      <w:pPr>
        <w:spacing w:after="0" w:line="240" w:lineRule="auto"/>
        <w:rPr>
          <w:rFonts w:ascii="Century Gothic" w:hAnsi="Century Gothic" w:cs="Arial"/>
          <w:szCs w:val="24"/>
        </w:rPr>
      </w:pPr>
    </w:p>
    <w:p w14:paraId="0F41D9F5" w14:textId="77777777" w:rsidR="00FC0DB7" w:rsidRDefault="00770650" w:rsidP="00FC0DB7">
      <w:pPr>
        <w:spacing w:after="0" w:line="240" w:lineRule="auto"/>
        <w:rPr>
          <w:rFonts w:ascii="Century Gothic" w:hAnsi="Century Gothic" w:cs="Arial"/>
          <w:b/>
        </w:rPr>
      </w:pPr>
      <w:r w:rsidRPr="00494746">
        <w:rPr>
          <w:rFonts w:ascii="Century Gothic" w:hAnsi="Century Gothic" w:cs="Arial"/>
          <w:b/>
        </w:rPr>
        <w:t>Keywords</w:t>
      </w:r>
      <w:bookmarkStart w:id="0" w:name="_Toc334198720"/>
    </w:p>
    <w:p w14:paraId="25B414AF" w14:textId="5CE5CF88" w:rsidR="00FC0DB7" w:rsidRPr="00FC0DB7" w:rsidRDefault="000A41E3" w:rsidP="00FC0DB7">
      <w:pPr>
        <w:spacing w:after="0" w:line="240" w:lineRule="auto"/>
        <w:rPr>
          <w:rFonts w:ascii="Century Gothic" w:hAnsi="Century Gothic" w:cs="Arial"/>
          <w:b/>
        </w:rPr>
      </w:pPr>
      <w:r>
        <w:rPr>
          <w:rFonts w:ascii="Century Gothic" w:hAnsi="Century Gothic" w:cs="Arial"/>
        </w:rPr>
        <w:t>Earth Observations</w:t>
      </w:r>
      <w:r w:rsidR="00FC0DB7" w:rsidRPr="00FC0DB7">
        <w:rPr>
          <w:rFonts w:ascii="Century Gothic" w:hAnsi="Century Gothic" w:cs="Arial"/>
        </w:rPr>
        <w:t xml:space="preserve">, Invasive Species, </w:t>
      </w:r>
      <w:r w:rsidR="00FC0DB7" w:rsidRPr="000A41E3">
        <w:rPr>
          <w:rFonts w:ascii="Century Gothic" w:hAnsi="Century Gothic" w:cs="Arial"/>
          <w:i/>
        </w:rPr>
        <w:t>Phragmites australis</w:t>
      </w:r>
      <w:r w:rsidR="00FC0DB7" w:rsidRPr="00FC0DB7">
        <w:rPr>
          <w:rFonts w:ascii="Century Gothic" w:hAnsi="Century Gothic" w:cs="Arial"/>
        </w:rPr>
        <w:t>, Great Lakes, St. Lawrence Riv</w:t>
      </w:r>
      <w:r w:rsidR="003B4044">
        <w:rPr>
          <w:rFonts w:ascii="Century Gothic" w:hAnsi="Century Gothic" w:cs="Arial"/>
        </w:rPr>
        <w:t xml:space="preserve">er, Ecological Forecasting, </w:t>
      </w:r>
      <w:r w:rsidR="00076427">
        <w:rPr>
          <w:rFonts w:ascii="Century Gothic" w:hAnsi="Century Gothic" w:cs="Arial"/>
        </w:rPr>
        <w:t>Maxent</w:t>
      </w:r>
      <w:r w:rsidR="00FC0DB7" w:rsidRPr="00FC0DB7">
        <w:rPr>
          <w:rFonts w:ascii="Century Gothic" w:hAnsi="Century Gothic" w:cs="Arial"/>
        </w:rPr>
        <w:t xml:space="preserve"> </w:t>
      </w:r>
    </w:p>
    <w:p w14:paraId="2FB6D409" w14:textId="088A4C8D" w:rsidR="00FB5846"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0"/>
    </w:p>
    <w:p w14:paraId="7C8B2A2A" w14:textId="77777777" w:rsidR="00EC1AAD" w:rsidRPr="00EC1AAD" w:rsidRDefault="00EC1AAD" w:rsidP="00EC1AAD">
      <w:pPr>
        <w:spacing w:after="0" w:line="240" w:lineRule="auto"/>
        <w:rPr>
          <w:rFonts w:ascii="Times New Roman" w:eastAsia="Times New Roman" w:hAnsi="Times New Roman" w:cs="Times New Roman"/>
          <w:sz w:val="24"/>
          <w:szCs w:val="24"/>
        </w:rPr>
      </w:pPr>
      <w:bookmarkStart w:id="1" w:name="_Toc334198726"/>
      <w:r w:rsidRPr="00EC1AAD">
        <w:rPr>
          <w:rFonts w:ascii="Century Gothic" w:eastAsia="Times New Roman" w:hAnsi="Century Gothic" w:cs="Times New Roman"/>
          <w:b/>
          <w:bCs/>
          <w:color w:val="000000"/>
        </w:rPr>
        <w:t>Background Information</w:t>
      </w:r>
      <w:r w:rsidRPr="00EC1AAD">
        <w:rPr>
          <w:rFonts w:ascii="Century Gothic" w:eastAsia="Times New Roman" w:hAnsi="Century Gothic" w:cs="Times New Roman"/>
          <w:color w:val="000000"/>
        </w:rPr>
        <w:t xml:space="preserve">: </w:t>
      </w:r>
    </w:p>
    <w:p w14:paraId="01DD8DD7" w14:textId="607934EE"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australis</w:t>
      </w:r>
      <w:r w:rsidRPr="00EC1AAD">
        <w:rPr>
          <w:rFonts w:ascii="Century Gothic" w:eastAsia="Times New Roman" w:hAnsi="Century Gothic" w:cs="Times New Roman"/>
          <w:color w:val="000000"/>
        </w:rPr>
        <w:t xml:space="preserve">, also known as the common reed, is an invasive freshwater or brackish-tidal wetland perennial grass native to Eurasia. It is one of the most widely distributed flowering plants, occurring on every continent but Antarctica (Gucker, 2008). </w:t>
      </w: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 xml:space="preserve">americanus </w:t>
      </w:r>
      <w:r w:rsidRPr="00EC1AAD">
        <w:rPr>
          <w:rFonts w:ascii="Century Gothic" w:eastAsia="Times New Roman" w:hAnsi="Century Gothic" w:cs="Times New Roman"/>
          <w:color w:val="000000"/>
        </w:rPr>
        <w:t>is a native haplotype found in North America,</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though it spreads less vigorously than its non-native Eurasian </w:t>
      </w:r>
      <w:r w:rsidR="00CC694C">
        <w:rPr>
          <w:rFonts w:ascii="Century Gothic" w:eastAsia="Times New Roman" w:hAnsi="Century Gothic" w:cs="Times New Roman"/>
          <w:color w:val="000000"/>
        </w:rPr>
        <w:t xml:space="preserve">cousin </w:t>
      </w:r>
      <w:r w:rsidRPr="00EC1AAD">
        <w:rPr>
          <w:rFonts w:ascii="Century Gothic" w:eastAsia="Times New Roman" w:hAnsi="Century Gothic" w:cs="Times New Roman"/>
          <w:color w:val="000000"/>
        </w:rPr>
        <w:t>(Tulbure et al., 2007). Henceforth, all references to Phragmites will be referring to the non-native subspecies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Phragmites has been a concern in the Great Lakes and St. Lawrence River Basin due to its ability to outcompete and displace native wetland flora (Catling, 2011). Left untreated, Phragmites will result in monotypic stands (Bourgeau-Chavez et al., 2012) creating unsuitable habitat for native fish and wildlife, decreased biodiversity (Ailstock et al., 2001), increased fire risk (OMNR, 2011), and increased elevation of the landscape (Chambers et al., 1999). Once Phragmites is established in an area, it is difficult to eradicate, necessitating extensive application of herbicides, mowing, prescribed burning, flooding, tarping, and grazing (Ailstock et al., 2001; Carlson et al., 2009). Invasive non-native species such as Phragmites are estimated to cause over $5 billion USD in ecological and economic damages in the Great Lakes region every year (Federal, Provincial</w:t>
      </w:r>
      <w:r w:rsidR="00CC694C">
        <w:rPr>
          <w:rFonts w:ascii="Century Gothic" w:eastAsia="Times New Roman" w:hAnsi="Century Gothic" w:cs="Times New Roman"/>
          <w:color w:val="000000"/>
        </w:rPr>
        <w:t>,</w:t>
      </w:r>
      <w:r w:rsidRPr="00EC1AAD">
        <w:rPr>
          <w:rFonts w:ascii="Century Gothic" w:eastAsia="Times New Roman" w:hAnsi="Century Gothic" w:cs="Times New Roman"/>
          <w:color w:val="000000"/>
        </w:rPr>
        <w:t xml:space="preserve"> and Territorial Governments of Canada, 2010). </w:t>
      </w:r>
    </w:p>
    <w:p w14:paraId="2B9718E5"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875F32C" w14:textId="6435E3FC" w:rsidR="00EC1AAD" w:rsidRPr="00EC1AAD" w:rsidRDefault="0022549A"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xml:space="preserve">Previous work related to mapping Phragmites in the Great Lakes basin has been achieved with varying degrees of success using remotely sensed data (Bourgeau-Chavez et al., 2012; Lantz et al., 2013; Pengra et al., 2007). Work completed by the Michigan Tech Research Institute (MTRI) created a land cover map of the 10 km coastal zone for the entire Great Lakes Basin using the Japan Aerospace Exploration Agency’s (JAXA) Phased Array type L-band Synthetic Aperture Radar (PALSAR) data (Bourgeau-Chavez et al., 2012; Bourgeau-Chavez et al., 2015). </w:t>
      </w:r>
      <w:r w:rsidR="00F822BD">
        <w:rPr>
          <w:rFonts w:ascii="Century Gothic" w:eastAsia="Times New Roman" w:hAnsi="Century Gothic" w:cs="Times New Roman"/>
          <w:color w:val="000000"/>
        </w:rPr>
        <w:t xml:space="preserve">However, creating a current extent map using this methodology is </w:t>
      </w:r>
      <w:r>
        <w:rPr>
          <w:rFonts w:ascii="Century Gothic" w:eastAsia="Times New Roman" w:hAnsi="Century Gothic" w:cs="Times New Roman"/>
          <w:color w:val="000000"/>
        </w:rPr>
        <w:t>prohibited</w:t>
      </w:r>
      <w:r w:rsidR="00F822BD">
        <w:rPr>
          <w:rFonts w:ascii="Century Gothic" w:eastAsia="Times New Roman" w:hAnsi="Century Gothic" w:cs="Times New Roman"/>
          <w:color w:val="000000"/>
        </w:rPr>
        <w:t xml:space="preserve"> by the lack of non-commercial L-band radar data for more recent years. </w:t>
      </w:r>
      <w:r w:rsidR="00EC1AAD" w:rsidRPr="00EC1AAD">
        <w:rPr>
          <w:rFonts w:ascii="Century Gothic" w:eastAsia="Times New Roman" w:hAnsi="Century Gothic" w:cs="Times New Roman"/>
          <w:color w:val="000000"/>
        </w:rPr>
        <w:t xml:space="preserve">Previous work in generating suitability maps of Phragmites in the Great Lakes Basin was completed on the U.S. side by researchers from Bellarmine University and the USGS Great Lakes Science Center by </w:t>
      </w:r>
      <w:r w:rsidR="00EC1AAD" w:rsidRPr="00973C84">
        <w:rPr>
          <w:rFonts w:ascii="Century Gothic" w:eastAsia="Times New Roman" w:hAnsi="Century Gothic" w:cs="Times New Roman"/>
          <w:i/>
          <w:color w:val="000000"/>
        </w:rPr>
        <w:t>Mazur et al.</w:t>
      </w:r>
      <w:r w:rsidR="00EC1AAD" w:rsidRPr="00EC1AAD">
        <w:rPr>
          <w:rFonts w:ascii="Century Gothic" w:eastAsia="Times New Roman" w:hAnsi="Century Gothic" w:cs="Times New Roman"/>
          <w:color w:val="000000"/>
        </w:rPr>
        <w:t xml:space="preserve"> (2014). Using a basin-scale map of Phragmites distribution in the U.S. coastal zone provided by MTRI, along with environmental data and climate predictions for 2050, suitable coastal habitat was modeled and forecast to 2050. This analysis was undertaken for the U.S. side of the Great Lakes alone.</w:t>
      </w:r>
      <w:r w:rsidR="00F822BD">
        <w:rPr>
          <w:rFonts w:ascii="Century Gothic" w:eastAsia="Times New Roman" w:hAnsi="Century Gothic" w:cs="Times New Roman"/>
          <w:color w:val="000000"/>
        </w:rPr>
        <w:t xml:space="preserve"> </w:t>
      </w:r>
    </w:p>
    <w:p w14:paraId="0FFEDE3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3F9FA7CA"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Project Objectives</w:t>
      </w:r>
      <w:r w:rsidRPr="00EC1AAD">
        <w:rPr>
          <w:rFonts w:ascii="Century Gothic" w:eastAsia="Times New Roman" w:hAnsi="Century Gothic" w:cs="Times New Roman"/>
          <w:color w:val="000000"/>
        </w:rPr>
        <w:t xml:space="preserve">: </w:t>
      </w:r>
    </w:p>
    <w:p w14:paraId="3E2BDAD6" w14:textId="3BD50179" w:rsidR="0006601D"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 xml:space="preserve">The first objective of this project was to model a risk map </w:t>
      </w:r>
      <w:r w:rsidR="0006601D">
        <w:rPr>
          <w:rFonts w:ascii="Century Gothic" w:eastAsia="Times New Roman" w:hAnsi="Century Gothic" w:cs="Times New Roman"/>
          <w:color w:val="000000"/>
        </w:rPr>
        <w:t xml:space="preserve">based on habitat suitability </w:t>
      </w:r>
      <w:r w:rsidRPr="00EC1AAD">
        <w:rPr>
          <w:rFonts w:ascii="Century Gothic" w:eastAsia="Times New Roman" w:hAnsi="Century Gothic" w:cs="Times New Roman"/>
          <w:color w:val="000000"/>
        </w:rPr>
        <w:t>for Phragmites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throughout the Great Lakes and St. Lawrence River Basin. The second objective was to </w:t>
      </w:r>
      <w:r w:rsidR="0006601D">
        <w:rPr>
          <w:rFonts w:ascii="Century Gothic" w:eastAsia="Times New Roman" w:hAnsi="Century Gothic" w:cs="Times New Roman"/>
          <w:color w:val="000000"/>
        </w:rPr>
        <w:t>model changes in driver variables through 2020 for</w:t>
      </w:r>
      <w:r w:rsidRPr="00EC1AAD">
        <w:rPr>
          <w:rFonts w:ascii="Century Gothic" w:eastAsia="Times New Roman" w:hAnsi="Century Gothic" w:cs="Times New Roman"/>
          <w:color w:val="000000"/>
        </w:rPr>
        <w:t xml:space="preserve"> Phragmites </w:t>
      </w:r>
      <w:r w:rsidR="0006601D">
        <w:rPr>
          <w:rFonts w:ascii="Century Gothic" w:eastAsia="Times New Roman" w:hAnsi="Century Gothic" w:cs="Times New Roman"/>
          <w:color w:val="000000"/>
        </w:rPr>
        <w:t>and create a forecasted risk map</w:t>
      </w:r>
      <w:r w:rsidRPr="00EC1AAD">
        <w:rPr>
          <w:rFonts w:ascii="Century Gothic" w:eastAsia="Times New Roman" w:hAnsi="Century Gothic" w:cs="Times New Roman"/>
          <w:color w:val="000000"/>
        </w:rPr>
        <w:t>. These objectives were met by examining different explanatory variables, including:</w:t>
      </w:r>
      <w:r w:rsidR="00973C84">
        <w:rPr>
          <w:rFonts w:ascii="Century Gothic" w:eastAsia="Times New Roman" w:hAnsi="Century Gothic" w:cs="Times New Roman"/>
          <w:color w:val="000000"/>
        </w:rPr>
        <w:t xml:space="preserve"> LULC (e.g. </w:t>
      </w:r>
      <w:r w:rsidRPr="00EC1AAD">
        <w:rPr>
          <w:rFonts w:ascii="Century Gothic" w:eastAsia="Times New Roman" w:hAnsi="Century Gothic" w:cs="Times New Roman"/>
          <w:color w:val="000000"/>
        </w:rPr>
        <w:t xml:space="preserve">proximity </w:t>
      </w:r>
      <w:r w:rsidR="00973C84">
        <w:rPr>
          <w:rFonts w:ascii="Century Gothic" w:eastAsia="Times New Roman" w:hAnsi="Century Gothic" w:cs="Times New Roman"/>
          <w:color w:val="000000"/>
        </w:rPr>
        <w:t>from agriculture and development) proximity from</w:t>
      </w:r>
      <w:r w:rsidRPr="00EC1AAD">
        <w:rPr>
          <w:rFonts w:ascii="Century Gothic" w:eastAsia="Times New Roman" w:hAnsi="Century Gothic" w:cs="Times New Roman"/>
          <w:color w:val="000000"/>
        </w:rPr>
        <w:t xml:space="preserve"> roads, topo</w:t>
      </w:r>
      <w:r w:rsidR="00973C84">
        <w:rPr>
          <w:rFonts w:ascii="Century Gothic" w:eastAsia="Times New Roman" w:hAnsi="Century Gothic" w:cs="Times New Roman"/>
          <w:color w:val="000000"/>
        </w:rPr>
        <w:t xml:space="preserve">graphy, soil type, temperature and </w:t>
      </w:r>
      <w:r w:rsidRPr="00EC1AAD">
        <w:rPr>
          <w:rFonts w:ascii="Century Gothic" w:eastAsia="Times New Roman" w:hAnsi="Century Gothic" w:cs="Times New Roman"/>
          <w:color w:val="000000"/>
        </w:rPr>
        <w:t>precipitation</w:t>
      </w:r>
      <w:r w:rsidR="0006601D">
        <w:rPr>
          <w:rFonts w:ascii="Century Gothic" w:eastAsia="Times New Roman" w:hAnsi="Century Gothic" w:cs="Times New Roman"/>
          <w:color w:val="000000"/>
        </w:rPr>
        <w:t xml:space="preserve"> in combination with </w:t>
      </w:r>
      <w:r w:rsidR="0006601D" w:rsidRPr="002C428B">
        <w:rPr>
          <w:rFonts w:ascii="Century Gothic" w:eastAsia="Times New Roman" w:hAnsi="Century Gothic" w:cs="Times New Roman"/>
          <w:i/>
          <w:color w:val="000000"/>
        </w:rPr>
        <w:t>in situ</w:t>
      </w:r>
      <w:r w:rsidR="0006601D">
        <w:rPr>
          <w:rFonts w:ascii="Century Gothic" w:eastAsia="Times New Roman" w:hAnsi="Century Gothic" w:cs="Times New Roman"/>
          <w:color w:val="000000"/>
        </w:rPr>
        <w:t xml:space="preserve"> Phragmites location data. </w:t>
      </w:r>
      <w:r w:rsidRPr="00EC1AAD">
        <w:rPr>
          <w:rFonts w:ascii="Century Gothic" w:eastAsia="Times New Roman" w:hAnsi="Century Gothic" w:cs="Times New Roman"/>
          <w:color w:val="000000"/>
        </w:rPr>
        <w:t xml:space="preserve"> </w:t>
      </w:r>
    </w:p>
    <w:p w14:paraId="4E3504E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309E529"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Study Area and Study Period</w:t>
      </w:r>
      <w:r w:rsidRPr="00EC1AAD">
        <w:rPr>
          <w:rFonts w:ascii="Century Gothic" w:eastAsia="Times New Roman" w:hAnsi="Century Gothic" w:cs="Times New Roman"/>
          <w:color w:val="000000"/>
        </w:rPr>
        <w:t xml:space="preserve">: </w:t>
      </w:r>
    </w:p>
    <w:p w14:paraId="33367BD1" w14:textId="345B3FB7" w:rsidR="00EC1AAD" w:rsidRDefault="001F2DA3" w:rsidP="00EC1AAD">
      <w:pPr>
        <w:spacing w:after="0" w:line="240" w:lineRule="auto"/>
        <w:rPr>
          <w:rFonts w:ascii="Century Gothic" w:eastAsia="Times New Roman" w:hAnsi="Century Gothic" w:cs="Times New Roman"/>
          <w:color w:val="000000"/>
        </w:rPr>
      </w:pPr>
      <w:r w:rsidRPr="001F2DA3">
        <w:rPr>
          <w:rFonts w:ascii="Century Gothic" w:eastAsia="Times New Roman" w:hAnsi="Century Gothic" w:cs="Times New Roman"/>
          <w:color w:val="000000"/>
        </w:rPr>
        <w:t>The study area for this project is the Great Lakes and St. Lawrence River Basin, encompassing Lakes Superior, Huron, Michigan, Ontario, and Erie, as well as the St. Lawrence River (Figure 1). Together, these lakes form the largest group of freshwater lakes on Earth, containing 84% of North America's surface fresh water, and 21% of the world's surface fresh water by volume (EPA, 2015). The basin encompasses land in the U.S. states of Illinois, Indiana, Michigan, Minnesota, New York, Ohio, Pennsylvania, and Wisconsin, as well as the Canadian provinces of Ontario and Quebec.</w:t>
      </w:r>
    </w:p>
    <w:p w14:paraId="2BA817CA" w14:textId="77777777" w:rsidR="001F2DA3" w:rsidRPr="00EC1AAD" w:rsidRDefault="001F2DA3" w:rsidP="00EC1AAD">
      <w:pPr>
        <w:spacing w:after="0" w:line="240" w:lineRule="auto"/>
        <w:rPr>
          <w:rFonts w:ascii="Times New Roman" w:eastAsia="Times New Roman" w:hAnsi="Times New Roman" w:cs="Times New Roman"/>
          <w:sz w:val="24"/>
          <w:szCs w:val="24"/>
        </w:rPr>
      </w:pPr>
    </w:p>
    <w:p w14:paraId="3B3ECD9C" w14:textId="700B75A7" w:rsidR="00EC1AAD"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 xml:space="preserve">The study utilized LULC maps and environmental variables from 1996 to 2011, with ecological forecasting completed to 2020. Climate </w:t>
      </w:r>
      <w:r w:rsidR="0006601D">
        <w:rPr>
          <w:rFonts w:ascii="Century Gothic" w:eastAsia="Times New Roman" w:hAnsi="Century Gothic" w:cs="Times New Roman"/>
          <w:color w:val="000000"/>
        </w:rPr>
        <w:t>observations</w:t>
      </w:r>
      <w:r w:rsidRPr="00EC1AAD">
        <w:rPr>
          <w:rFonts w:ascii="Century Gothic" w:eastAsia="Times New Roman" w:hAnsi="Century Gothic" w:cs="Times New Roman"/>
          <w:color w:val="000000"/>
        </w:rPr>
        <w:t xml:space="preserve"> from 1985 - 2015 w</w:t>
      </w:r>
      <w:r w:rsidR="00195B69">
        <w:rPr>
          <w:rFonts w:ascii="Century Gothic" w:eastAsia="Times New Roman" w:hAnsi="Century Gothic" w:cs="Times New Roman"/>
          <w:color w:val="000000"/>
        </w:rPr>
        <w:t>ere</w:t>
      </w:r>
      <w:r w:rsidRPr="00EC1AAD">
        <w:rPr>
          <w:rFonts w:ascii="Century Gothic" w:eastAsia="Times New Roman" w:hAnsi="Century Gothic" w:cs="Times New Roman"/>
          <w:color w:val="000000"/>
        </w:rPr>
        <w:t xml:space="preserve"> </w:t>
      </w:r>
      <w:r w:rsidR="0006601D">
        <w:rPr>
          <w:rFonts w:ascii="Century Gothic" w:eastAsia="Times New Roman" w:hAnsi="Century Gothic" w:cs="Times New Roman"/>
          <w:color w:val="000000"/>
        </w:rPr>
        <w:t xml:space="preserve">used, and 2020 values were </w:t>
      </w:r>
      <w:r w:rsidR="008E213C">
        <w:rPr>
          <w:rFonts w:ascii="Century Gothic" w:eastAsia="Times New Roman" w:hAnsi="Century Gothic" w:cs="Times New Roman"/>
          <w:color w:val="000000"/>
        </w:rPr>
        <w:t xml:space="preserve">extrapolated from current trends. </w:t>
      </w:r>
      <w:r w:rsidR="0006601D">
        <w:rPr>
          <w:rFonts w:ascii="Century Gothic" w:eastAsia="Times New Roman" w:hAnsi="Century Gothic" w:cs="Times New Roman"/>
          <w:color w:val="000000"/>
        </w:rPr>
        <w:t xml:space="preserve"> </w:t>
      </w:r>
    </w:p>
    <w:p w14:paraId="14A728DA"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BD6FD26"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31BA7F5C"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5AB4BD45"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2CDD987"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0E1F0B9A"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580CDA93"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002A2C1F"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CEB5842"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1BA5C242"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411A1D97"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21EE0BDD"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4449E73D"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188FB1D7" w14:textId="6238F3B6" w:rsidR="008A6557" w:rsidRPr="003B4044" w:rsidRDefault="008A6557" w:rsidP="00076427">
      <w:pPr>
        <w:spacing w:after="0" w:line="240" w:lineRule="auto"/>
        <w:rPr>
          <w:rFonts w:ascii="Century Gothic" w:eastAsia="Times New Roman" w:hAnsi="Century Gothic" w:cs="Times New Roman"/>
          <w:color w:val="000000"/>
        </w:rPr>
      </w:pPr>
      <w:r w:rsidRPr="003B4044">
        <w:rPr>
          <w:rFonts w:ascii="Century Gothic" w:eastAsia="Times New Roman" w:hAnsi="Century Gothic" w:cs="Times New Roman"/>
          <w:color w:val="000000"/>
        </w:rPr>
        <w:t>Figure 1. Study area map of the coastal zone for the Great Lakes and St. Lawrence River.</w:t>
      </w:r>
    </w:p>
    <w:p w14:paraId="68DDA43D" w14:textId="7B23FE42" w:rsidR="008A6557" w:rsidRPr="003B4044" w:rsidRDefault="008A6557" w:rsidP="008A6557">
      <w:pPr>
        <w:spacing w:after="0" w:line="240" w:lineRule="auto"/>
        <w:jc w:val="center"/>
        <w:rPr>
          <w:rFonts w:ascii="Century Gothic" w:eastAsia="Times New Roman" w:hAnsi="Century Gothic" w:cs="Times New Roman"/>
          <w:color w:val="000000"/>
        </w:rPr>
      </w:pPr>
    </w:p>
    <w:p w14:paraId="7362AFD6" w14:textId="77777777" w:rsidR="00EC1AAD" w:rsidRPr="00EC1AAD" w:rsidRDefault="00383581" w:rsidP="00EC1AAD">
      <w:pPr>
        <w:spacing w:after="0" w:line="240" w:lineRule="auto"/>
        <w:jc w:val="center"/>
        <w:rPr>
          <w:rFonts w:ascii="Times New Roman" w:eastAsia="Times New Roman" w:hAnsi="Times New Roman" w:cs="Times New Roman"/>
          <w:sz w:val="24"/>
          <w:szCs w:val="24"/>
        </w:rPr>
      </w:pPr>
      <w:r w:rsidRPr="00644BCE">
        <w:rPr>
          <w:rFonts w:ascii="Times New Roman" w:eastAsia="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42B1B395" wp14:editId="00E5D982">
                <wp:simplePos x="0" y="0"/>
                <wp:positionH relativeFrom="column">
                  <wp:posOffset>962025</wp:posOffset>
                </wp:positionH>
                <wp:positionV relativeFrom="paragraph">
                  <wp:posOffset>9525</wp:posOffset>
                </wp:positionV>
                <wp:extent cx="272415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62000"/>
                        </a:xfrm>
                        <a:prstGeom prst="rect">
                          <a:avLst/>
                        </a:prstGeom>
                        <a:noFill/>
                        <a:ln w="9525">
                          <a:noFill/>
                          <a:miter lim="800000"/>
                          <a:headEnd/>
                          <a:tailEnd/>
                        </a:ln>
                      </wps:spPr>
                      <wps:txbx>
                        <w:txbxContent>
                          <w:p w14:paraId="23AAC607" w14:textId="6FCA47F5" w:rsidR="00674F5E" w:rsidRPr="00644BCE" w:rsidRDefault="00674F5E" w:rsidP="00644BCE">
                            <w:pPr>
                              <w:jc w:val="center"/>
                              <w:rPr>
                                <w:rFonts w:ascii="Century Gothic" w:hAnsi="Century Gothic"/>
                                <w:sz w:val="32"/>
                                <w:szCs w:val="32"/>
                                <w14:textOutline w14:w="9525" w14:cap="rnd" w14:cmpd="sng" w14:algn="ctr">
                                  <w14:noFill/>
                                  <w14:prstDash w14:val="solid"/>
                                  <w14:bevel/>
                                </w14:textOutline>
                              </w:rPr>
                            </w:pPr>
                            <w:r w:rsidRPr="00644BCE">
                              <w:rPr>
                                <w:rFonts w:ascii="Century Gothic" w:hAnsi="Century Gothic"/>
                                <w:sz w:val="32"/>
                                <w:szCs w:val="32"/>
                              </w:rPr>
                              <w:t>Coastal Area</w:t>
                            </w:r>
                          </w:p>
                          <w:p w14:paraId="6B211908" w14:textId="5D4D7CE9" w:rsidR="00674F5E" w:rsidRPr="00644BCE" w:rsidRDefault="00674F5E" w:rsidP="00644BCE">
                            <w:pPr>
                              <w:jc w:val="center"/>
                              <w:rPr>
                                <w:rFonts w:ascii="Century Gothic" w:hAnsi="Century Gothic"/>
                                <w:sz w:val="24"/>
                                <w:szCs w:val="24"/>
                              </w:rPr>
                            </w:pPr>
                            <w:r w:rsidRPr="00644BCE">
                              <w:rPr>
                                <w:rFonts w:ascii="Century Gothic" w:hAnsi="Century Gothic"/>
                                <w:sz w:val="24"/>
                                <w:szCs w:val="24"/>
                              </w:rPr>
                              <w:t>Great Lakes St. Lawrence 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1B395" id="_x0000_t202" coordsize="21600,21600" o:spt="202" path="m,l,21600r21600,l21600,xe">
                <v:stroke joinstyle="miter"/>
                <v:path gradientshapeok="t" o:connecttype="rect"/>
              </v:shapetype>
              <v:shape id="Text Box 2" o:spid="_x0000_s1026" type="#_x0000_t202" style="position:absolute;left:0;text-align:left;margin-left:75.75pt;margin-top:.75pt;width:214.5pt;height:6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" filled="f" stroked="f">
                <v:textbox>
                  <w:txbxContent>
                    <w:p w14:paraId="23AAC607" w14:textId="6FCA47F5" w:rsidR="00674F5E" w:rsidRPr="00644BCE" w:rsidRDefault="00674F5E" w:rsidP="00644BCE">
                      <w:pPr>
                        <w:jc w:val="center"/>
                        <w:rPr>
                          <w:rFonts w:ascii="Century Gothic" w:hAnsi="Century Gothic"/>
                          <w:sz w:val="32"/>
                          <w:szCs w:val="32"/>
                          <w14:textOutline w14:w="9525" w14:cap="rnd" w14:cmpd="sng" w14:algn="ctr">
                            <w14:noFill/>
                            <w14:prstDash w14:val="solid"/>
                            <w14:bevel/>
                          </w14:textOutline>
                        </w:rPr>
                      </w:pPr>
                      <w:r w:rsidRPr="00644BCE">
                        <w:rPr>
                          <w:rFonts w:ascii="Century Gothic" w:hAnsi="Century Gothic"/>
                          <w:sz w:val="32"/>
                          <w:szCs w:val="32"/>
                        </w:rPr>
                        <w:t>Coastal Area</w:t>
                      </w:r>
                    </w:p>
                    <w:p w14:paraId="6B211908" w14:textId="5D4D7CE9" w:rsidR="00674F5E" w:rsidRPr="00644BCE" w:rsidRDefault="00674F5E" w:rsidP="00644BCE">
                      <w:pPr>
                        <w:jc w:val="center"/>
                        <w:rPr>
                          <w:rFonts w:ascii="Century Gothic" w:hAnsi="Century Gothic"/>
                          <w:sz w:val="24"/>
                          <w:szCs w:val="24"/>
                        </w:rPr>
                      </w:pPr>
                      <w:r w:rsidRPr="00644BCE">
                        <w:rPr>
                          <w:rFonts w:ascii="Century Gothic" w:hAnsi="Century Gothic"/>
                          <w:sz w:val="24"/>
                          <w:szCs w:val="24"/>
                        </w:rPr>
                        <w:t>Great Lakes St. Lawrence River</w:t>
                      </w:r>
                    </w:p>
                  </w:txbxContent>
                </v:textbox>
              </v:shape>
            </w:pict>
          </mc:Fallback>
        </mc:AlternateContent>
      </w:r>
      <w:r w:rsidR="00EC1AAD" w:rsidRPr="00EC1AAD">
        <w:rPr>
          <w:rFonts w:ascii="Century Gothic" w:eastAsia="Times New Roman" w:hAnsi="Century Gothic" w:cs="Times New Roman"/>
          <w:noProof/>
          <w:color w:val="000000"/>
        </w:rPr>
        <w:drawing>
          <wp:inline distT="0" distB="0" distL="0" distR="0" wp14:anchorId="57BCAECF" wp14:editId="6C190228">
            <wp:extent cx="4068536" cy="30480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dyArea3.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86272" cy="3061287"/>
                    </a:xfrm>
                    <a:prstGeom prst="rect">
                      <a:avLst/>
                    </a:prstGeom>
                    <a:noFill/>
                    <a:ln>
                      <a:noFill/>
                    </a:ln>
                  </pic:spPr>
                </pic:pic>
              </a:graphicData>
            </a:graphic>
          </wp:inline>
        </w:drawing>
      </w:r>
    </w:p>
    <w:p w14:paraId="2F1DF12A" w14:textId="48C02C93"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w:t>
      </w:r>
    </w:p>
    <w:p w14:paraId="2AB99B18"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National Application Addressed:</w:t>
      </w:r>
      <w:r w:rsidRPr="00EC1AAD">
        <w:rPr>
          <w:rFonts w:ascii="Century Gothic" w:eastAsia="Times New Roman" w:hAnsi="Century Gothic" w:cs="Times New Roman"/>
          <w:color w:val="000000"/>
        </w:rPr>
        <w:t xml:space="preserve"> </w:t>
      </w:r>
    </w:p>
    <w:p w14:paraId="2D7FC275" w14:textId="7AFE2D7E" w:rsidR="00EC1AAD" w:rsidRPr="00CD412C"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This project addressed the Ecological Forecasting Application Area within NASA’s Applied Sciences Program</w:t>
      </w:r>
      <w:r w:rsidRPr="00EC1AAD">
        <w:rPr>
          <w:rFonts w:ascii="Questrial" w:eastAsia="Times New Roman" w:hAnsi="Questrial" w:cs="Times New Roman"/>
          <w:color w:val="000000"/>
        </w:rPr>
        <w:t xml:space="preserve">. </w:t>
      </w:r>
      <w:r w:rsidR="008E213C">
        <w:rPr>
          <w:rFonts w:ascii="Century Gothic" w:eastAsia="Times New Roman" w:hAnsi="Century Gothic" w:cs="Times New Roman"/>
          <w:color w:val="000000"/>
        </w:rPr>
        <w:t xml:space="preserve">This project utilized NASA EO to </w:t>
      </w:r>
      <w:r w:rsidR="00CD412C">
        <w:rPr>
          <w:rFonts w:ascii="Century Gothic" w:eastAsia="Times New Roman" w:hAnsi="Century Gothic" w:cs="Times New Roman"/>
          <w:color w:val="000000"/>
        </w:rPr>
        <w:t xml:space="preserve">create driver variables for current and forecast Phragmites risk maps based on habitat suitability. </w:t>
      </w:r>
      <w:r w:rsidRPr="00EC1AAD">
        <w:rPr>
          <w:rFonts w:ascii="Century Gothic" w:eastAsia="Times New Roman" w:hAnsi="Century Gothic" w:cs="Times New Roman"/>
          <w:color w:val="000000"/>
        </w:rPr>
        <w:t>The information provided by this project will augment current decision-making practices regarding Phragmites management in the Great Lakes and St. Lawrence River Basin.</w:t>
      </w:r>
    </w:p>
    <w:p w14:paraId="1953DB12"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13DDC99D" w14:textId="77777777" w:rsidR="001F2DA3" w:rsidRDefault="00EC1AAD" w:rsidP="001F2DA3">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b/>
          <w:bCs/>
          <w:color w:val="000000"/>
        </w:rPr>
        <w:t>Project Partners</w:t>
      </w:r>
      <w:r w:rsidRPr="00EC1AAD">
        <w:rPr>
          <w:rFonts w:ascii="Century Gothic" w:eastAsia="Times New Roman" w:hAnsi="Century Gothic" w:cs="Times New Roman"/>
          <w:color w:val="000000"/>
        </w:rPr>
        <w:t>:</w:t>
      </w:r>
    </w:p>
    <w:p w14:paraId="79BF15F1" w14:textId="3E8C3E2A" w:rsidR="001F2DA3" w:rsidRPr="001F2DA3" w:rsidRDefault="001F2DA3" w:rsidP="001F2DA3">
      <w:pPr>
        <w:spacing w:after="0" w:line="240" w:lineRule="auto"/>
        <w:rPr>
          <w:rFonts w:ascii="Times New Roman" w:eastAsia="Times New Roman" w:hAnsi="Times New Roman" w:cs="Times New Roman"/>
          <w:sz w:val="24"/>
          <w:szCs w:val="24"/>
        </w:rPr>
      </w:pPr>
      <w:r w:rsidRPr="001F2DA3">
        <w:rPr>
          <w:rFonts w:ascii="Century Gothic" w:eastAsia="Times New Roman" w:hAnsi="Century Gothic" w:cs="Times New Roman"/>
          <w:color w:val="000000"/>
        </w:rPr>
        <w:t xml:space="preserve">The project partners included the Michigan Tech Research Institute (MTRI) and the Great Lakes and St. Lawrence Cities Initiative (GLSLCI). MTRI was a collaborator on the project and has been heavily involved in the remote sensing of Phragmites in the Great Lakes using Phased Array type L-band Synthetic Aperture Radar (PALSAR) data, as well as collecting </w:t>
      </w:r>
      <w:r w:rsidRPr="002C428B">
        <w:rPr>
          <w:rFonts w:ascii="Century Gothic" w:eastAsia="Times New Roman" w:hAnsi="Century Gothic" w:cs="Times New Roman"/>
          <w:i/>
          <w:color w:val="000000"/>
        </w:rPr>
        <w:t>in situ</w:t>
      </w:r>
      <w:r w:rsidRPr="001F2DA3">
        <w:rPr>
          <w:rFonts w:ascii="Century Gothic" w:eastAsia="Times New Roman" w:hAnsi="Century Gothic" w:cs="Times New Roman"/>
          <w:color w:val="000000"/>
        </w:rPr>
        <w:t xml:space="preserve"> data of Phragmites locations (Bourgeau-Chavez et al., 2012; Bourgeau-Chavez et al., 2015). Dr. Bourgeau-Chavez served as the point of contact (POC) at MTRI and was also a science advisor for this project. MTRI was interested in this research as it provided a forecast risk map of Phragmites for 2020 and showcased an alternative method of Phragmites mapping that does not rely on commercial satellite data. The GLSLCI was a boundary organization encompassing a binational coalition of over 120 U.S. and Canadian mayors and local officials working to advance the protection and restoration of the Great Lakes and St. Lawrence River in both the U.S. and Canada. The goal of the GLSLCI is to work with mayors and municipal staff to protect and preserve the Great Lakes and St. Lawrence region at the local, regional, and basin-wide levels. Laura Bretheim and Simon Belisle served as POC for the GLSLCI. </w:t>
      </w:r>
      <w:r w:rsidRPr="001F2DA3">
        <w:rPr>
          <w:rFonts w:ascii="Century Gothic" w:eastAsia="Times New Roman" w:hAnsi="Century Gothic" w:cs="Times New Roman"/>
          <w:color w:val="000000"/>
        </w:rPr>
        <w:lastRenderedPageBreak/>
        <w:t xml:space="preserve">The GLSLCI was interested in distributing forecast risk maps to its member cities. In this way, informed policy decisions based on Phragmites risk can be made. </w:t>
      </w:r>
    </w:p>
    <w:p w14:paraId="4EAB8422" w14:textId="32B9B922" w:rsidR="00E41324" w:rsidRDefault="008B7071" w:rsidP="004026A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1"/>
    </w:p>
    <w:p w14:paraId="5D55BD02"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Acquisition:</w:t>
      </w:r>
    </w:p>
    <w:p w14:paraId="3D40E12D" w14:textId="7F655D15"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In order to model Phragmites extents, multiple raster and vector layers were needed as inputs for the </w:t>
      </w:r>
      <w:r w:rsidR="008F141C">
        <w:rPr>
          <w:rFonts w:ascii="Century Gothic" w:eastAsia="Times New Roman" w:hAnsi="Century Gothic" w:cs="Times New Roman"/>
          <w:color w:val="000000"/>
        </w:rPr>
        <w:t>Maximum Entropy (</w:t>
      </w:r>
      <w:r w:rsidR="00076427">
        <w:rPr>
          <w:rFonts w:ascii="Century Gothic" w:eastAsia="Times New Roman" w:hAnsi="Century Gothic" w:cs="Times New Roman"/>
          <w:color w:val="000000"/>
        </w:rPr>
        <w:t>Maxent</w:t>
      </w:r>
      <w:r w:rsidR="008F141C">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modeler and Land Change Modeler</w:t>
      </w:r>
      <w:r w:rsidR="00076427">
        <w:rPr>
          <w:rFonts w:ascii="Century Gothic" w:eastAsia="Times New Roman" w:hAnsi="Century Gothic" w:cs="Times New Roman"/>
          <w:color w:val="000000"/>
        </w:rPr>
        <w:t xml:space="preserve"> (LCM)</w:t>
      </w:r>
      <w:r w:rsidRPr="00A5085E">
        <w:rPr>
          <w:rFonts w:ascii="Century Gothic" w:eastAsia="Times New Roman" w:hAnsi="Century Gothic" w:cs="Times New Roman"/>
          <w:color w:val="000000"/>
        </w:rPr>
        <w:t xml:space="preserve">. Proximity to roads </w:t>
      </w:r>
      <w:r w:rsidR="008F141C">
        <w:rPr>
          <w:rFonts w:ascii="Century Gothic" w:eastAsia="Times New Roman" w:hAnsi="Century Gothic" w:cs="Times New Roman"/>
          <w:color w:val="000000"/>
        </w:rPr>
        <w:t>i</w:t>
      </w:r>
      <w:r w:rsidRPr="00A5085E">
        <w:rPr>
          <w:rFonts w:ascii="Century Gothic" w:eastAsia="Times New Roman" w:hAnsi="Century Gothic" w:cs="Times New Roman"/>
          <w:color w:val="000000"/>
        </w:rPr>
        <w:t xml:space="preserve">s a known Phragmites explanatory variable (Mazur et al., 2014) and </w:t>
      </w:r>
      <w:r w:rsidR="00CD412C">
        <w:rPr>
          <w:rFonts w:ascii="Century Gothic" w:eastAsia="Times New Roman" w:hAnsi="Century Gothic" w:cs="Times New Roman"/>
          <w:color w:val="000000"/>
        </w:rPr>
        <w:t>these data were obtained from ESRI ArcGIS and TeleAtlas North America</w:t>
      </w:r>
      <w:r w:rsidRPr="00A5085E">
        <w:rPr>
          <w:rFonts w:ascii="Century Gothic" w:eastAsia="Times New Roman" w:hAnsi="Century Gothic" w:cs="Times New Roman"/>
          <w:color w:val="000000"/>
        </w:rPr>
        <w:t xml:space="preserve">. The roads file was downloaded in vector format as an ESRI shapefile in a World Geodetic System (WGS) 1984 coordinate system. Queries were run to select a subset of only primary and secondary roads within both Canada and the U.S. These road classifications are known to positively correlate with Phragmites (Carlson et al., 2009). </w:t>
      </w:r>
    </w:p>
    <w:p w14:paraId="7D0B40F4"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122B3116" w14:textId="11BBD1E1" w:rsidR="00A5085E" w:rsidRDefault="001F2DA3" w:rsidP="00A5085E">
      <w:pPr>
        <w:spacing w:after="0" w:line="240" w:lineRule="auto"/>
        <w:rPr>
          <w:rFonts w:ascii="Century Gothic" w:eastAsia="Times New Roman" w:hAnsi="Century Gothic" w:cs="Times New Roman"/>
          <w:color w:val="000000"/>
        </w:rPr>
      </w:pPr>
      <w:r w:rsidRPr="001F2DA3">
        <w:rPr>
          <w:rFonts w:ascii="Century Gothic" w:eastAsia="Times New Roman" w:hAnsi="Century Gothic" w:cs="Times New Roman"/>
          <w:color w:val="000000"/>
        </w:rPr>
        <w:t>LULC maps for the U.S. Great Lakes were obtained in raster format from the National Oceanic and Atmospheric Administration’s (NOAA) Coastal Change Analysis Program (C-CAP) (NOAA, 2015). C-CAP products inventory coastal intertidal areas, wetlands, and adjacent uplands with the goal of monitoring changes in these habitats, on a one-to-five year repeat cycle. C-CAP products are derived from Landsat Thematic Mapper (TM) images with a 30 meter spatial resolution. They come georeferenced to the North American Datum (NAD) of 1983 and projected to Albers Conical Equal Area. The LULC maps include 21 classes and were obtained for the years 1985, 2005, and 2010.</w:t>
      </w:r>
    </w:p>
    <w:p w14:paraId="6D6F6DCA" w14:textId="77777777" w:rsidR="001F2DA3" w:rsidRPr="00A5085E" w:rsidRDefault="001F2DA3" w:rsidP="00A5085E">
      <w:pPr>
        <w:spacing w:after="0" w:line="240" w:lineRule="auto"/>
        <w:rPr>
          <w:rFonts w:ascii="Times New Roman" w:eastAsia="Times New Roman" w:hAnsi="Times New Roman" w:cs="Times New Roman"/>
          <w:sz w:val="24"/>
          <w:szCs w:val="24"/>
        </w:rPr>
      </w:pPr>
    </w:p>
    <w:p w14:paraId="1E06CECB" w14:textId="695E2881"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On the Canadian side of the Great Lakes, LULC maps were obtained in raster format from the Canada Center for Remote Sensing (CCRS) Natural Resources Canada (NRC) data portal (NRC, 2015). LULC maps were derived from Moderate Resolution Imaging Spectroradiometer (MODIS) imagery in </w:t>
      </w:r>
      <w:r w:rsidR="00CD412C">
        <w:rPr>
          <w:rFonts w:ascii="Century Gothic" w:eastAsia="Times New Roman" w:hAnsi="Century Gothic" w:cs="Times New Roman"/>
          <w:color w:val="000000"/>
        </w:rPr>
        <w:t>250 meter</w:t>
      </w:r>
      <w:r w:rsidRPr="00A5085E">
        <w:rPr>
          <w:rFonts w:ascii="Century Gothic" w:eastAsia="Times New Roman" w:hAnsi="Century Gothic" w:cs="Times New Roman"/>
          <w:color w:val="000000"/>
        </w:rPr>
        <w:t xml:space="preserve"> spatial resolution, and came georeferenced to the Geodetic Reference System (GRS) of 1980 and projected in Lambert Azimuthal Equal-Area. The LULC maps include 25 classes and were obtained for the years 2000 - 2011. These LULC maps were used as inputs to the Land Change Modeler and used to derive proximity to agriculture and developed lands. </w:t>
      </w:r>
    </w:p>
    <w:p w14:paraId="06380543"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2E2E81B4" w14:textId="1A8FFEE4" w:rsidR="00A5085E"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Shuttle Radar Topography Mission (SRTM) Interferometric Synthetic Aperture Radar (IFSAR) maps were downloaded in raster format from the USGS EarthExplorer data portal as Void Filled and came georeferenced using the WGS 1984 </w:t>
      </w:r>
      <w:r w:rsidR="00A21620">
        <w:rPr>
          <w:rFonts w:ascii="Century Gothic" w:eastAsia="Times New Roman" w:hAnsi="Century Gothic" w:cs="Times New Roman"/>
          <w:color w:val="000000"/>
        </w:rPr>
        <w:t>coordinate system</w:t>
      </w:r>
      <w:r w:rsidR="003D4981">
        <w:rPr>
          <w:rFonts w:ascii="Century Gothic" w:eastAsia="Times New Roman" w:hAnsi="Century Gothic" w:cs="Times New Roman"/>
          <w:color w:val="000000"/>
        </w:rPr>
        <w:t xml:space="preserve"> (Table 1)</w:t>
      </w:r>
      <w:r w:rsidRPr="00A5085E">
        <w:rPr>
          <w:rFonts w:ascii="Century Gothic" w:eastAsia="Times New Roman" w:hAnsi="Century Gothic" w:cs="Times New Roman"/>
          <w:color w:val="000000"/>
        </w:rPr>
        <w:t>. Th</w:t>
      </w:r>
      <w:r w:rsidR="00CD412C">
        <w:rPr>
          <w:rFonts w:ascii="Century Gothic" w:eastAsia="Times New Roman" w:hAnsi="Century Gothic" w:cs="Times New Roman"/>
          <w:color w:val="000000"/>
        </w:rPr>
        <w:t>ese</w:t>
      </w:r>
      <w:r w:rsidRPr="00A5085E">
        <w:rPr>
          <w:rFonts w:ascii="Century Gothic" w:eastAsia="Times New Roman" w:hAnsi="Century Gothic" w:cs="Times New Roman"/>
          <w:color w:val="000000"/>
        </w:rPr>
        <w:t xml:space="preserve"> data w</w:t>
      </w:r>
      <w:r w:rsidR="00CD412C">
        <w:rPr>
          <w:rFonts w:ascii="Century Gothic" w:eastAsia="Times New Roman" w:hAnsi="Century Gothic" w:cs="Times New Roman"/>
          <w:color w:val="000000"/>
        </w:rPr>
        <w:t xml:space="preserve">ere </w:t>
      </w:r>
      <w:r w:rsidRPr="00A5085E">
        <w:rPr>
          <w:rFonts w:ascii="Century Gothic" w:eastAsia="Times New Roman" w:hAnsi="Century Gothic" w:cs="Times New Roman"/>
          <w:color w:val="000000"/>
        </w:rPr>
        <w:t>used</w:t>
      </w:r>
      <w:r w:rsidR="00CD412C">
        <w:rPr>
          <w:rFonts w:ascii="Century Gothic" w:eastAsia="Times New Roman" w:hAnsi="Century Gothic" w:cs="Times New Roman"/>
          <w:color w:val="000000"/>
        </w:rPr>
        <w:t xml:space="preserve"> to obtain slope and to create topographic roughness for variables to be used in </w:t>
      </w:r>
      <w:r w:rsidR="00076427">
        <w:rPr>
          <w:rFonts w:ascii="Century Gothic" w:eastAsia="Times New Roman" w:hAnsi="Century Gothic" w:cs="Times New Roman"/>
          <w:color w:val="000000"/>
        </w:rPr>
        <w:t>Maxent</w:t>
      </w:r>
      <w:r w:rsidRPr="00A5085E">
        <w:rPr>
          <w:rFonts w:ascii="Century Gothic" w:eastAsia="Times New Roman" w:hAnsi="Century Gothic" w:cs="Times New Roman"/>
          <w:color w:val="000000"/>
        </w:rPr>
        <w:t>. SRTM Void Filled</w:t>
      </w:r>
      <w:r w:rsidRPr="00A5085E">
        <w:rPr>
          <w:rFonts w:ascii="Century Gothic" w:eastAsia="Times New Roman" w:hAnsi="Century Gothic" w:cs="Times New Roman"/>
          <w:b/>
          <w:bCs/>
          <w:color w:val="000000"/>
        </w:rPr>
        <w:t xml:space="preserve"> </w:t>
      </w:r>
      <w:r w:rsidRPr="00A5085E">
        <w:rPr>
          <w:rFonts w:ascii="Century Gothic" w:eastAsia="Times New Roman" w:hAnsi="Century Gothic" w:cs="Times New Roman"/>
          <w:color w:val="000000"/>
        </w:rPr>
        <w:t xml:space="preserve">elevation data are the result of additional processing using interpolation algorithms in conjunction with other sources of elevation data. The resolution for SRTM Void Filled data </w:t>
      </w:r>
      <w:r w:rsidR="00CD412C">
        <w:rPr>
          <w:rFonts w:ascii="Century Gothic" w:eastAsia="Times New Roman" w:hAnsi="Century Gothic" w:cs="Times New Roman"/>
          <w:color w:val="000000"/>
        </w:rPr>
        <w:t xml:space="preserve">are ~30 meter spatial resolution </w:t>
      </w:r>
      <w:r w:rsidRPr="00A5085E">
        <w:rPr>
          <w:rFonts w:ascii="Century Gothic" w:eastAsia="Times New Roman" w:hAnsi="Century Gothic" w:cs="Times New Roman"/>
          <w:color w:val="000000"/>
        </w:rPr>
        <w:t>for the United States and Canada.</w:t>
      </w:r>
    </w:p>
    <w:p w14:paraId="2C54CC3A" w14:textId="77777777" w:rsidR="008A6557" w:rsidRDefault="008A6557" w:rsidP="008A6557">
      <w:pPr>
        <w:spacing w:after="0" w:line="240" w:lineRule="auto"/>
        <w:jc w:val="center"/>
        <w:rPr>
          <w:rFonts w:ascii="Century Gothic" w:eastAsia="Times New Roman" w:hAnsi="Century Gothic" w:cs="Times New Roman"/>
          <w:sz w:val="20"/>
          <w:szCs w:val="20"/>
        </w:rPr>
      </w:pPr>
    </w:p>
    <w:p w14:paraId="4C2B9394" w14:textId="77777777" w:rsidR="008A6557" w:rsidRDefault="008A6557" w:rsidP="008A6557">
      <w:pPr>
        <w:spacing w:after="0" w:line="240" w:lineRule="auto"/>
        <w:jc w:val="center"/>
        <w:rPr>
          <w:rFonts w:ascii="Century Gothic" w:eastAsia="Times New Roman" w:hAnsi="Century Gothic" w:cs="Times New Roman"/>
          <w:sz w:val="20"/>
          <w:szCs w:val="20"/>
        </w:rPr>
      </w:pPr>
    </w:p>
    <w:p w14:paraId="1DA74B63" w14:textId="160924A5" w:rsidR="003B1473" w:rsidRPr="003B4044" w:rsidRDefault="008A6557" w:rsidP="008A6557">
      <w:pPr>
        <w:spacing w:after="0" w:line="240" w:lineRule="auto"/>
        <w:jc w:val="center"/>
        <w:rPr>
          <w:rFonts w:ascii="Century Gothic" w:hAnsi="Century Gothic"/>
          <w:szCs w:val="24"/>
        </w:rPr>
      </w:pPr>
      <w:r w:rsidRPr="003B4044">
        <w:rPr>
          <w:rFonts w:ascii="Century Gothic" w:hAnsi="Century Gothic"/>
          <w:szCs w:val="24"/>
        </w:rPr>
        <w:t xml:space="preserve">Table 1. </w:t>
      </w:r>
      <w:r w:rsidR="00076427">
        <w:rPr>
          <w:rFonts w:ascii="Century Gothic" w:hAnsi="Century Gothic"/>
          <w:szCs w:val="24"/>
        </w:rPr>
        <w:t>Earth o</w:t>
      </w:r>
      <w:r w:rsidRPr="003B4044">
        <w:rPr>
          <w:rFonts w:ascii="Century Gothic" w:hAnsi="Century Gothic"/>
          <w:szCs w:val="24"/>
        </w:rPr>
        <w:t>bservations used in deriving environmental variables for running models.</w:t>
      </w:r>
    </w:p>
    <w:p w14:paraId="3DEA842E" w14:textId="77777777" w:rsidR="008A6557" w:rsidRPr="003B4044" w:rsidRDefault="008A6557" w:rsidP="008A6557">
      <w:pPr>
        <w:spacing w:after="0" w:line="240" w:lineRule="auto"/>
        <w:jc w:val="center"/>
        <w:rPr>
          <w:rFonts w:ascii="Century Gothic" w:hAnsi="Century Gothic"/>
          <w:szCs w:val="24"/>
        </w:rPr>
      </w:pPr>
    </w:p>
    <w:tbl>
      <w:tblPr>
        <w:tblStyle w:val="TableGrid"/>
        <w:tblW w:w="8887" w:type="dxa"/>
        <w:jc w:val="center"/>
        <w:tblLook w:val="04A0" w:firstRow="1" w:lastRow="0" w:firstColumn="1" w:lastColumn="0" w:noHBand="0" w:noVBand="1"/>
      </w:tblPr>
      <w:tblGrid>
        <w:gridCol w:w="1843"/>
        <w:gridCol w:w="1541"/>
        <w:gridCol w:w="1641"/>
        <w:gridCol w:w="1886"/>
        <w:gridCol w:w="1976"/>
      </w:tblGrid>
      <w:tr w:rsidR="00CA766B" w:rsidRPr="003B1473" w14:paraId="4AE1B85A" w14:textId="77777777" w:rsidTr="00777E53">
        <w:trPr>
          <w:trHeight w:val="530"/>
          <w:jc w:val="center"/>
        </w:trPr>
        <w:tc>
          <w:tcPr>
            <w:tcW w:w="1843" w:type="dxa"/>
            <w:noWrap/>
            <w:vAlign w:val="center"/>
            <w:hideMark/>
          </w:tcPr>
          <w:p w14:paraId="5D1318C1"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Platform</w:t>
            </w:r>
          </w:p>
        </w:tc>
        <w:tc>
          <w:tcPr>
            <w:tcW w:w="1541" w:type="dxa"/>
            <w:noWrap/>
            <w:vAlign w:val="center"/>
            <w:hideMark/>
          </w:tcPr>
          <w:p w14:paraId="40A99E19"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Source</w:t>
            </w:r>
          </w:p>
        </w:tc>
        <w:tc>
          <w:tcPr>
            <w:tcW w:w="1641" w:type="dxa"/>
            <w:noWrap/>
            <w:vAlign w:val="center"/>
            <w:hideMark/>
          </w:tcPr>
          <w:p w14:paraId="4622F3D5"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Resolution</w:t>
            </w:r>
          </w:p>
        </w:tc>
        <w:tc>
          <w:tcPr>
            <w:tcW w:w="1886" w:type="dxa"/>
            <w:vAlign w:val="center"/>
          </w:tcPr>
          <w:p w14:paraId="11CEB1F4" w14:textId="24BB0944" w:rsidR="00CA766B" w:rsidRPr="00CA766B" w:rsidRDefault="00CA766B" w:rsidP="00CA766B">
            <w:pPr>
              <w:jc w:val="center"/>
              <w:rPr>
                <w:rFonts w:ascii="Century Gothic" w:eastAsia="Times New Roman" w:hAnsi="Century Gothic" w:cs="Times New Roman"/>
                <w:b/>
              </w:rPr>
            </w:pPr>
            <w:r>
              <w:rPr>
                <w:rFonts w:ascii="Century Gothic" w:eastAsia="Times New Roman" w:hAnsi="Century Gothic" w:cs="Times New Roman"/>
                <w:b/>
              </w:rPr>
              <w:t>Product</w:t>
            </w:r>
          </w:p>
        </w:tc>
        <w:tc>
          <w:tcPr>
            <w:tcW w:w="1976" w:type="dxa"/>
            <w:noWrap/>
            <w:vAlign w:val="center"/>
            <w:hideMark/>
          </w:tcPr>
          <w:p w14:paraId="45F1088C" w14:textId="1451664F"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Date Acquired</w:t>
            </w:r>
          </w:p>
        </w:tc>
      </w:tr>
      <w:tr w:rsidR="00CA766B" w:rsidRPr="003B1473" w14:paraId="4469F225" w14:textId="77777777" w:rsidTr="00777E53">
        <w:trPr>
          <w:trHeight w:val="530"/>
          <w:jc w:val="center"/>
        </w:trPr>
        <w:tc>
          <w:tcPr>
            <w:tcW w:w="1843" w:type="dxa"/>
            <w:noWrap/>
            <w:vAlign w:val="center"/>
            <w:hideMark/>
          </w:tcPr>
          <w:p w14:paraId="506A3833"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lastRenderedPageBreak/>
              <w:t>SRTM</w:t>
            </w:r>
          </w:p>
        </w:tc>
        <w:tc>
          <w:tcPr>
            <w:tcW w:w="1541" w:type="dxa"/>
            <w:noWrap/>
            <w:vAlign w:val="center"/>
            <w:hideMark/>
          </w:tcPr>
          <w:p w14:paraId="15FADEC3" w14:textId="61D720CD"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USGS Earth Explorer</w:t>
            </w:r>
          </w:p>
        </w:tc>
        <w:tc>
          <w:tcPr>
            <w:tcW w:w="1641" w:type="dxa"/>
            <w:noWrap/>
            <w:vAlign w:val="center"/>
            <w:hideMark/>
          </w:tcPr>
          <w:p w14:paraId="54409756"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30 m</w:t>
            </w:r>
          </w:p>
        </w:tc>
        <w:tc>
          <w:tcPr>
            <w:tcW w:w="1886" w:type="dxa"/>
            <w:vAlign w:val="center"/>
          </w:tcPr>
          <w:p w14:paraId="6A631E30" w14:textId="77777777" w:rsidR="00CA766B" w:rsidRDefault="00CA766B"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Land Use/</w:t>
            </w:r>
          </w:p>
          <w:p w14:paraId="70948B97" w14:textId="68CE0DC9" w:rsidR="00CA766B" w:rsidRPr="00CA766B" w:rsidRDefault="00CA766B"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Land Cover</w:t>
            </w:r>
          </w:p>
        </w:tc>
        <w:tc>
          <w:tcPr>
            <w:tcW w:w="1976" w:type="dxa"/>
            <w:noWrap/>
            <w:vAlign w:val="center"/>
            <w:hideMark/>
          </w:tcPr>
          <w:p w14:paraId="4CFA966F" w14:textId="418D9B88"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February 2000</w:t>
            </w:r>
          </w:p>
        </w:tc>
      </w:tr>
      <w:tr w:rsidR="00CA766B" w:rsidRPr="003B1473" w14:paraId="76FD6EE5" w14:textId="77777777" w:rsidTr="00777E53">
        <w:trPr>
          <w:trHeight w:val="530"/>
          <w:jc w:val="center"/>
        </w:trPr>
        <w:tc>
          <w:tcPr>
            <w:tcW w:w="1843" w:type="dxa"/>
            <w:noWrap/>
            <w:vAlign w:val="center"/>
            <w:hideMark/>
          </w:tcPr>
          <w:p w14:paraId="2F7B5CC5"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TRMM</w:t>
            </w:r>
          </w:p>
        </w:tc>
        <w:tc>
          <w:tcPr>
            <w:tcW w:w="1541" w:type="dxa"/>
            <w:noWrap/>
            <w:vAlign w:val="center"/>
            <w:hideMark/>
          </w:tcPr>
          <w:p w14:paraId="080046A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Giovanni</w:t>
            </w:r>
          </w:p>
          <w:p w14:paraId="2AA2B78D" w14:textId="5306124E"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(IMERG)</w:t>
            </w:r>
          </w:p>
        </w:tc>
        <w:tc>
          <w:tcPr>
            <w:tcW w:w="1641" w:type="dxa"/>
            <w:noWrap/>
            <w:vAlign w:val="center"/>
            <w:hideMark/>
          </w:tcPr>
          <w:p w14:paraId="3F6868B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0.25°</w:t>
            </w:r>
          </w:p>
        </w:tc>
        <w:tc>
          <w:tcPr>
            <w:tcW w:w="1886" w:type="dxa"/>
            <w:vAlign w:val="center"/>
          </w:tcPr>
          <w:p w14:paraId="057A0D60" w14:textId="2B84AE18" w:rsidR="00CA766B" w:rsidRPr="00CA766B" w:rsidRDefault="00A85253"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Precipitation</w:t>
            </w:r>
          </w:p>
        </w:tc>
        <w:tc>
          <w:tcPr>
            <w:tcW w:w="1976" w:type="dxa"/>
            <w:noWrap/>
            <w:vAlign w:val="center"/>
            <w:hideMark/>
          </w:tcPr>
          <w:p w14:paraId="749B3540" w14:textId="0DBC223C"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Monthly</w:t>
            </w:r>
          </w:p>
          <w:p w14:paraId="23866C82" w14:textId="6EE355F6" w:rsidR="00CA766B" w:rsidRPr="00CA766B" w:rsidRDefault="00A85253" w:rsidP="00A85253">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1998</w:t>
            </w:r>
            <w:r w:rsidR="00CA766B" w:rsidRPr="00CA766B">
              <w:rPr>
                <w:rFonts w:ascii="Century Gothic" w:eastAsia="Times New Roman" w:hAnsi="Century Gothic" w:cs="Times New Roman"/>
                <w:sz w:val="20"/>
                <w:szCs w:val="20"/>
              </w:rPr>
              <w:t xml:space="preserve"> - 201</w:t>
            </w:r>
            <w:r>
              <w:rPr>
                <w:rFonts w:ascii="Century Gothic" w:eastAsia="Times New Roman" w:hAnsi="Century Gothic" w:cs="Times New Roman"/>
                <w:sz w:val="20"/>
                <w:szCs w:val="20"/>
              </w:rPr>
              <w:t>5</w:t>
            </w:r>
          </w:p>
        </w:tc>
      </w:tr>
      <w:tr w:rsidR="00CA766B" w:rsidRPr="003B1473" w14:paraId="25E99AB4" w14:textId="77777777" w:rsidTr="00777E53">
        <w:trPr>
          <w:trHeight w:val="530"/>
          <w:jc w:val="center"/>
        </w:trPr>
        <w:tc>
          <w:tcPr>
            <w:tcW w:w="1843" w:type="dxa"/>
            <w:noWrap/>
            <w:vAlign w:val="center"/>
            <w:hideMark/>
          </w:tcPr>
          <w:p w14:paraId="739445D1" w14:textId="0156BE75"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GPM</w:t>
            </w:r>
          </w:p>
        </w:tc>
        <w:tc>
          <w:tcPr>
            <w:tcW w:w="1541" w:type="dxa"/>
            <w:noWrap/>
            <w:vAlign w:val="center"/>
            <w:hideMark/>
          </w:tcPr>
          <w:p w14:paraId="3CB5C4CC"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Giovanni</w:t>
            </w:r>
          </w:p>
          <w:p w14:paraId="1A47623B" w14:textId="244B92FD"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(IMERG)</w:t>
            </w:r>
          </w:p>
        </w:tc>
        <w:tc>
          <w:tcPr>
            <w:tcW w:w="1641" w:type="dxa"/>
            <w:noWrap/>
            <w:vAlign w:val="center"/>
            <w:hideMark/>
          </w:tcPr>
          <w:p w14:paraId="3F903C4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0.25°</w:t>
            </w:r>
          </w:p>
        </w:tc>
        <w:tc>
          <w:tcPr>
            <w:tcW w:w="1886" w:type="dxa"/>
            <w:vAlign w:val="center"/>
          </w:tcPr>
          <w:p w14:paraId="13E7A9C7" w14:textId="726DFE9D" w:rsidR="00CA766B" w:rsidRPr="00CA766B" w:rsidRDefault="00A85253" w:rsidP="00CA766B">
            <w:pPr>
              <w:jc w:val="center"/>
              <w:rPr>
                <w:rFonts w:ascii="Century Gothic" w:eastAsia="Times New Roman" w:hAnsi="Century Gothic" w:cs="Times New Roman"/>
                <w:sz w:val="20"/>
                <w:szCs w:val="20"/>
              </w:rPr>
            </w:pPr>
            <w:r w:rsidRPr="00A85253">
              <w:rPr>
                <w:rFonts w:ascii="Century Gothic" w:eastAsia="Times New Roman" w:hAnsi="Century Gothic" w:cs="Times New Roman"/>
                <w:sz w:val="20"/>
                <w:szCs w:val="20"/>
              </w:rPr>
              <w:t>Precipitation</w:t>
            </w:r>
          </w:p>
        </w:tc>
        <w:tc>
          <w:tcPr>
            <w:tcW w:w="1976" w:type="dxa"/>
            <w:noWrap/>
            <w:vAlign w:val="center"/>
            <w:hideMark/>
          </w:tcPr>
          <w:p w14:paraId="77D538AF" w14:textId="365FCA7B"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Monthly</w:t>
            </w:r>
          </w:p>
          <w:p w14:paraId="1B65A7F8"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2014 - 2015</w:t>
            </w:r>
          </w:p>
        </w:tc>
      </w:tr>
    </w:tbl>
    <w:p w14:paraId="4932B03B" w14:textId="77777777" w:rsidR="00A5085E" w:rsidRDefault="00A5085E" w:rsidP="00A5085E">
      <w:pPr>
        <w:spacing w:after="0" w:line="240" w:lineRule="auto"/>
        <w:rPr>
          <w:rFonts w:ascii="Times New Roman" w:eastAsia="Times New Roman" w:hAnsi="Times New Roman" w:cs="Times New Roman"/>
          <w:sz w:val="24"/>
          <w:szCs w:val="24"/>
        </w:rPr>
      </w:pPr>
    </w:p>
    <w:p w14:paraId="1F37C596" w14:textId="7EC4A29D" w:rsidR="00A21620" w:rsidRDefault="00945ECD"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Precipitation data </w:t>
      </w:r>
      <w:r>
        <w:rPr>
          <w:rFonts w:ascii="Century Gothic" w:eastAsia="Times New Roman" w:hAnsi="Century Gothic" w:cs="Times New Roman"/>
          <w:color w:val="000000"/>
        </w:rPr>
        <w:t>were taken from the Tropical Rainfall Measurement Mission (TRMM) and Global Precipitation Measurement (GPM) missions</w:t>
      </w:r>
      <w:r w:rsidR="003D4981">
        <w:rPr>
          <w:rFonts w:ascii="Century Gothic" w:eastAsia="Times New Roman" w:hAnsi="Century Gothic" w:cs="Times New Roman"/>
          <w:color w:val="000000"/>
        </w:rPr>
        <w:t xml:space="preserve"> (Table 1)</w:t>
      </w:r>
      <w:r>
        <w:rPr>
          <w:rFonts w:ascii="Century Gothic" w:eastAsia="Times New Roman" w:hAnsi="Century Gothic" w:cs="Times New Roman"/>
          <w:color w:val="000000"/>
        </w:rPr>
        <w:t xml:space="preserve">. These combined missions provide near global estimates of rainfall rates using microwave imaging. The data came georeferenced to the WGS 1984 coordinate system, at a </w:t>
      </w:r>
      <w:r w:rsidR="00A85253" w:rsidRPr="00A85253">
        <w:rPr>
          <w:rFonts w:ascii="Century Gothic" w:eastAsia="Times New Roman" w:hAnsi="Century Gothic" w:cs="Times New Roman"/>
          <w:color w:val="000000"/>
        </w:rPr>
        <w:t>0.25°</w:t>
      </w:r>
      <w:r w:rsidR="00A85253">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spatial resolution. </w:t>
      </w:r>
      <w:r w:rsidR="00A5085E" w:rsidRPr="00A5085E">
        <w:rPr>
          <w:rFonts w:ascii="Century Gothic" w:eastAsia="Times New Roman" w:hAnsi="Century Gothic" w:cs="Times New Roman"/>
          <w:color w:val="000000"/>
        </w:rPr>
        <w:t xml:space="preserve">Near surface (2m) air temperature data </w:t>
      </w:r>
      <w:r w:rsidR="00F822BD">
        <w:rPr>
          <w:rFonts w:ascii="Century Gothic" w:eastAsia="Times New Roman" w:hAnsi="Century Gothic" w:cs="Times New Roman"/>
          <w:color w:val="000000"/>
        </w:rPr>
        <w:t>were</w:t>
      </w:r>
      <w:r w:rsidR="00A5085E" w:rsidRPr="00A5085E">
        <w:rPr>
          <w:rFonts w:ascii="Century Gothic" w:eastAsia="Times New Roman" w:hAnsi="Century Gothic" w:cs="Times New Roman"/>
          <w:color w:val="000000"/>
        </w:rPr>
        <w:t xml:space="preserve"> taken from the NASA Modern Era Reanalysis for Research and Applications Version-2 (MERRA-2) reanalysis, which uses Goddard Earth Observing System Data Assimilation System Version 5 (GEOS-5) to assimilate disparate satellite data products into a single observational product</w:t>
      </w:r>
      <w:r>
        <w:rPr>
          <w:rFonts w:ascii="Century Gothic" w:eastAsia="Times New Roman" w:hAnsi="Century Gothic" w:cs="Times New Roman"/>
          <w:color w:val="000000"/>
        </w:rPr>
        <w:t>.</w:t>
      </w:r>
      <w:r w:rsidR="00A21620">
        <w:rPr>
          <w:rFonts w:ascii="Century Gothic" w:eastAsia="Times New Roman" w:hAnsi="Century Gothic" w:cs="Times New Roman"/>
          <w:color w:val="000000"/>
        </w:rPr>
        <w:t xml:space="preserve"> These data came referenced in the</w:t>
      </w:r>
      <w:r w:rsidR="00A21620" w:rsidRPr="00A5085E">
        <w:rPr>
          <w:rFonts w:ascii="Century Gothic" w:eastAsia="Times New Roman" w:hAnsi="Century Gothic" w:cs="Times New Roman"/>
          <w:color w:val="000000"/>
        </w:rPr>
        <w:t xml:space="preserve"> WGS</w:t>
      </w:r>
      <w:r w:rsidR="00A21620">
        <w:rPr>
          <w:rFonts w:ascii="Century Gothic" w:eastAsia="Times New Roman" w:hAnsi="Century Gothic" w:cs="Times New Roman"/>
          <w:color w:val="000000"/>
        </w:rPr>
        <w:t xml:space="preserve"> </w:t>
      </w:r>
      <w:r w:rsidR="00A21620" w:rsidRPr="00A5085E">
        <w:rPr>
          <w:rFonts w:ascii="Century Gothic" w:eastAsia="Times New Roman" w:hAnsi="Century Gothic" w:cs="Times New Roman"/>
          <w:color w:val="000000"/>
        </w:rPr>
        <w:t>1984 coordinate system</w:t>
      </w:r>
      <w:r>
        <w:rPr>
          <w:rFonts w:ascii="Century Gothic" w:eastAsia="Times New Roman" w:hAnsi="Century Gothic" w:cs="Times New Roman"/>
          <w:color w:val="000000"/>
        </w:rPr>
        <w:t>,</w:t>
      </w:r>
      <w:r w:rsidR="00A21620">
        <w:rPr>
          <w:rFonts w:ascii="Century Gothic" w:eastAsia="Times New Roman" w:hAnsi="Century Gothic" w:cs="Times New Roman"/>
          <w:color w:val="000000"/>
        </w:rPr>
        <w:t xml:space="preserve"> </w:t>
      </w:r>
      <w:r w:rsidR="00A5085E" w:rsidRPr="00A5085E">
        <w:rPr>
          <w:rFonts w:ascii="Century Gothic" w:eastAsia="Times New Roman" w:hAnsi="Century Gothic" w:cs="Times New Roman"/>
          <w:color w:val="000000"/>
        </w:rPr>
        <w:t>at</w:t>
      </w:r>
      <w:r w:rsidR="00A21620">
        <w:rPr>
          <w:rFonts w:ascii="Century Gothic" w:eastAsia="Times New Roman" w:hAnsi="Century Gothic" w:cs="Times New Roman"/>
          <w:color w:val="000000"/>
        </w:rPr>
        <w:t xml:space="preserve"> a</w:t>
      </w:r>
      <w:r w:rsidR="00A5085E" w:rsidRPr="00A5085E">
        <w:rPr>
          <w:rFonts w:ascii="Century Gothic" w:eastAsia="Times New Roman" w:hAnsi="Century Gothic" w:cs="Times New Roman"/>
          <w:color w:val="000000"/>
        </w:rPr>
        <w:t xml:space="preserve"> </w:t>
      </w:r>
      <w:r w:rsidR="00A85253">
        <w:rPr>
          <w:rFonts w:ascii="Century Gothic" w:eastAsia="Times New Roman" w:hAnsi="Century Gothic" w:cs="Times New Roman"/>
          <w:color w:val="000000"/>
        </w:rPr>
        <w:t>0.</w:t>
      </w:r>
      <w:r w:rsidR="00A85253" w:rsidRPr="00A85253">
        <w:rPr>
          <w:rFonts w:ascii="Century Gothic" w:eastAsia="Times New Roman" w:hAnsi="Century Gothic" w:cs="Times New Roman"/>
          <w:color w:val="000000"/>
        </w:rPr>
        <w:t>5</w:t>
      </w:r>
      <w:r w:rsidR="00A85253">
        <w:rPr>
          <w:rFonts w:ascii="Century Gothic" w:eastAsia="Times New Roman" w:hAnsi="Century Gothic" w:cs="Times New Roman"/>
          <w:color w:val="000000"/>
        </w:rPr>
        <w:t>0</w:t>
      </w:r>
      <w:r w:rsidR="00A85253" w:rsidRPr="00A85253">
        <w:rPr>
          <w:rFonts w:ascii="Century Gothic" w:eastAsia="Times New Roman" w:hAnsi="Century Gothic" w:cs="Times New Roman"/>
          <w:color w:val="000000"/>
        </w:rPr>
        <w:t>°</w:t>
      </w:r>
      <w:r w:rsidR="00A5085E" w:rsidRPr="00A5085E">
        <w:rPr>
          <w:rFonts w:ascii="Century Gothic" w:eastAsia="Times New Roman" w:hAnsi="Century Gothic" w:cs="Times New Roman"/>
          <w:color w:val="000000"/>
        </w:rPr>
        <w:t xml:space="preserve"> spatial resolution. </w:t>
      </w:r>
    </w:p>
    <w:p w14:paraId="5EB04A6A" w14:textId="77777777" w:rsidR="00A21620" w:rsidRDefault="00A21620" w:rsidP="00A5085E">
      <w:pPr>
        <w:spacing w:after="0" w:line="240" w:lineRule="auto"/>
        <w:rPr>
          <w:rFonts w:ascii="Century Gothic" w:eastAsia="Times New Roman" w:hAnsi="Century Gothic" w:cs="Times New Roman"/>
          <w:color w:val="000000"/>
        </w:rPr>
      </w:pPr>
    </w:p>
    <w:p w14:paraId="5E6E9017" w14:textId="73928A21" w:rsidR="00945ECD"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Great Lakes soil classifications were necessary for determining the soil drainage of areas within the basin. </w:t>
      </w:r>
      <w:r w:rsidR="00747BEB">
        <w:rPr>
          <w:rFonts w:ascii="Century Gothic" w:eastAsia="Times New Roman" w:hAnsi="Century Gothic" w:cs="Times New Roman"/>
          <w:color w:val="000000"/>
        </w:rPr>
        <w:t xml:space="preserve">Data were </w:t>
      </w:r>
      <w:r w:rsidR="008E68B4">
        <w:rPr>
          <w:rFonts w:ascii="Century Gothic" w:eastAsia="Times New Roman" w:hAnsi="Century Gothic" w:cs="Times New Roman"/>
          <w:color w:val="000000"/>
        </w:rPr>
        <w:t>acquired</w:t>
      </w:r>
      <w:r w:rsidR="00747BEB">
        <w:rPr>
          <w:rFonts w:ascii="Century Gothic" w:eastAsia="Times New Roman" w:hAnsi="Century Gothic" w:cs="Times New Roman"/>
          <w:color w:val="000000"/>
        </w:rPr>
        <w:t xml:space="preserve"> from the</w:t>
      </w:r>
      <w:r w:rsidR="00945ECD">
        <w:rPr>
          <w:rFonts w:ascii="Century Gothic" w:eastAsia="Times New Roman" w:hAnsi="Century Gothic" w:cs="Times New Roman"/>
          <w:color w:val="000000"/>
        </w:rPr>
        <w:t xml:space="preserve"> United States Department of Agriculture (USDA) STATSGO program</w:t>
      </w:r>
      <w:r w:rsidR="008E68B4">
        <w:rPr>
          <w:rFonts w:ascii="Century Gothic" w:eastAsia="Times New Roman" w:hAnsi="Century Gothic" w:cs="Times New Roman"/>
          <w:color w:val="000000"/>
        </w:rPr>
        <w:t xml:space="preserve"> in vector format and came georeferenced to the WGS 1984 coordinate system</w:t>
      </w:r>
      <w:r w:rsidR="00747BEB">
        <w:rPr>
          <w:rFonts w:ascii="Century Gothic" w:eastAsia="Times New Roman" w:hAnsi="Century Gothic" w:cs="Times New Roman"/>
          <w:color w:val="000000"/>
        </w:rPr>
        <w:t>. Data came referenced as GCS North American 1983</w:t>
      </w:r>
      <w:r w:rsidR="00945ECD">
        <w:rPr>
          <w:rFonts w:ascii="Century Gothic" w:eastAsia="Times New Roman" w:hAnsi="Century Gothic" w:cs="Times New Roman"/>
          <w:color w:val="000000"/>
        </w:rPr>
        <w:t xml:space="preserve"> was used to determine so</w:t>
      </w:r>
      <w:r w:rsidR="00747BEB">
        <w:rPr>
          <w:rFonts w:ascii="Century Gothic" w:eastAsia="Times New Roman" w:hAnsi="Century Gothic" w:cs="Times New Roman"/>
          <w:color w:val="000000"/>
        </w:rPr>
        <w:t xml:space="preserve">il drainage for the U.S. </w:t>
      </w:r>
      <w:r w:rsidR="00945ECD">
        <w:rPr>
          <w:rFonts w:ascii="Century Gothic" w:eastAsia="Times New Roman" w:hAnsi="Century Gothic" w:cs="Times New Roman"/>
          <w:color w:val="000000"/>
        </w:rPr>
        <w:t xml:space="preserve">Natural Resources Canada (NRC) National Soil Database (NSDB) was used for Canada. </w:t>
      </w:r>
    </w:p>
    <w:p w14:paraId="1532649E" w14:textId="77777777" w:rsidR="00945ECD" w:rsidRDefault="00945ECD" w:rsidP="00A5085E">
      <w:pPr>
        <w:spacing w:after="0" w:line="240" w:lineRule="auto"/>
        <w:rPr>
          <w:rFonts w:ascii="Century Gothic" w:eastAsia="Times New Roman" w:hAnsi="Century Gothic" w:cs="Times New Roman"/>
          <w:color w:val="000000"/>
        </w:rPr>
      </w:pPr>
    </w:p>
    <w:p w14:paraId="6DA6A088" w14:textId="1C512E61" w:rsidR="00FC0DB7" w:rsidRDefault="00AE6B34" w:rsidP="00A5085E">
      <w:pPr>
        <w:pStyle w:val="NormalWeb"/>
        <w:spacing w:before="0" w:beforeAutospacing="0" w:after="0" w:afterAutospacing="0"/>
        <w:rPr>
          <w:rFonts w:ascii="Century Gothic" w:hAnsi="Century Gothic"/>
          <w:color w:val="000000"/>
          <w:sz w:val="22"/>
          <w:szCs w:val="22"/>
        </w:rPr>
      </w:pPr>
      <w:r>
        <w:rPr>
          <w:rFonts w:ascii="Century Gothic" w:hAnsi="Century Gothic"/>
          <w:color w:val="000000"/>
          <w:sz w:val="22"/>
          <w:szCs w:val="22"/>
        </w:rPr>
        <w:t>Table 2</w:t>
      </w:r>
      <w:r w:rsidR="00A5085E" w:rsidRPr="00A5085E">
        <w:rPr>
          <w:rFonts w:ascii="Century Gothic" w:hAnsi="Century Gothic"/>
          <w:color w:val="000000"/>
          <w:sz w:val="22"/>
          <w:szCs w:val="22"/>
        </w:rPr>
        <w:t xml:space="preserve"> </w:t>
      </w:r>
      <w:r w:rsidR="00945ECD">
        <w:rPr>
          <w:rFonts w:ascii="Century Gothic" w:hAnsi="Century Gothic"/>
          <w:color w:val="000000"/>
          <w:sz w:val="22"/>
          <w:szCs w:val="22"/>
        </w:rPr>
        <w:t>(</w:t>
      </w:r>
      <w:r w:rsidR="008E4F8D">
        <w:rPr>
          <w:rFonts w:ascii="Century Gothic" w:hAnsi="Century Gothic"/>
          <w:color w:val="000000"/>
          <w:sz w:val="22"/>
          <w:szCs w:val="22"/>
        </w:rPr>
        <w:t>Appendices</w:t>
      </w:r>
      <w:r w:rsidR="00945ECD">
        <w:rPr>
          <w:rFonts w:ascii="Century Gothic" w:hAnsi="Century Gothic"/>
          <w:color w:val="000000"/>
          <w:sz w:val="22"/>
          <w:szCs w:val="22"/>
        </w:rPr>
        <w:t>)</w:t>
      </w:r>
      <w:r w:rsidR="008E4F8D">
        <w:rPr>
          <w:rFonts w:ascii="Century Gothic" w:hAnsi="Century Gothic"/>
          <w:color w:val="000000"/>
          <w:sz w:val="22"/>
          <w:szCs w:val="22"/>
        </w:rPr>
        <w:t xml:space="preserve"> </w:t>
      </w:r>
      <w:r w:rsidR="00A5085E" w:rsidRPr="00A5085E">
        <w:rPr>
          <w:rFonts w:ascii="Century Gothic" w:hAnsi="Century Gothic"/>
          <w:color w:val="000000"/>
          <w:sz w:val="22"/>
          <w:szCs w:val="22"/>
        </w:rPr>
        <w:t>summarizes the variables used, their time period, and their source to mode</w:t>
      </w:r>
      <w:r>
        <w:rPr>
          <w:rFonts w:ascii="Century Gothic" w:hAnsi="Century Gothic"/>
          <w:color w:val="000000"/>
          <w:sz w:val="22"/>
          <w:szCs w:val="22"/>
        </w:rPr>
        <w:t xml:space="preserve">l Phragmites habitats using </w:t>
      </w:r>
      <w:r w:rsidR="00076427">
        <w:rPr>
          <w:rFonts w:ascii="Century Gothic" w:hAnsi="Century Gothic"/>
          <w:color w:val="000000"/>
          <w:sz w:val="22"/>
          <w:szCs w:val="22"/>
        </w:rPr>
        <w:t>Maxent</w:t>
      </w:r>
      <w:r w:rsidR="00A5085E" w:rsidRPr="00A5085E">
        <w:rPr>
          <w:rFonts w:ascii="Century Gothic" w:hAnsi="Century Gothic"/>
          <w:color w:val="000000"/>
          <w:sz w:val="22"/>
          <w:szCs w:val="22"/>
        </w:rPr>
        <w:t xml:space="preserve"> modeling software.</w:t>
      </w:r>
    </w:p>
    <w:p w14:paraId="01AD3551" w14:textId="77777777" w:rsidR="00A5085E" w:rsidRDefault="00A5085E" w:rsidP="00A5085E">
      <w:pPr>
        <w:pStyle w:val="NormalWeb"/>
        <w:spacing w:before="0" w:beforeAutospacing="0" w:after="0" w:afterAutospacing="0"/>
        <w:rPr>
          <w:rFonts w:ascii="Century Gothic" w:hAnsi="Century Gothic"/>
          <w:color w:val="000000"/>
          <w:sz w:val="22"/>
          <w:szCs w:val="22"/>
        </w:rPr>
      </w:pPr>
    </w:p>
    <w:p w14:paraId="52D429D1"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Processing</w:t>
      </w:r>
    </w:p>
    <w:p w14:paraId="6AF50F16" w14:textId="7D44F899" w:rsidR="001A6DC5" w:rsidRDefault="001A6DC5" w:rsidP="00A5085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All datasets were projected into </w:t>
      </w:r>
      <w:r w:rsidR="00CB0664">
        <w:rPr>
          <w:rFonts w:ascii="Century Gothic" w:eastAsia="Times New Roman" w:hAnsi="Century Gothic" w:cs="Times New Roman"/>
          <w:color w:val="000000"/>
        </w:rPr>
        <w:t xml:space="preserve">the </w:t>
      </w:r>
      <w:r>
        <w:rPr>
          <w:rFonts w:ascii="Century Gothic" w:eastAsia="Times New Roman" w:hAnsi="Century Gothic" w:cs="Times New Roman"/>
          <w:color w:val="000000"/>
        </w:rPr>
        <w:t>North American Datum 1983 Contiguous Albers USA reference system</w:t>
      </w:r>
      <w:r w:rsidR="00CB0664">
        <w:rPr>
          <w:rFonts w:ascii="Century Gothic" w:eastAsia="Times New Roman" w:hAnsi="Century Gothic" w:cs="Times New Roman"/>
          <w:color w:val="000000"/>
        </w:rPr>
        <w:t>, converted to raster files,</w:t>
      </w:r>
      <w:r>
        <w:rPr>
          <w:rFonts w:ascii="Century Gothic" w:eastAsia="Times New Roman" w:hAnsi="Century Gothic" w:cs="Times New Roman"/>
          <w:color w:val="000000"/>
        </w:rPr>
        <w:t xml:space="preserve"> and </w:t>
      </w:r>
      <w:r w:rsidR="00CB0664">
        <w:rPr>
          <w:rFonts w:ascii="Century Gothic" w:eastAsia="Times New Roman" w:hAnsi="Century Gothic" w:cs="Times New Roman"/>
          <w:color w:val="000000"/>
        </w:rPr>
        <w:t xml:space="preserve">mosaicked to produce </w:t>
      </w:r>
      <w:r>
        <w:rPr>
          <w:rFonts w:ascii="Century Gothic" w:eastAsia="Times New Roman" w:hAnsi="Century Gothic" w:cs="Times New Roman"/>
          <w:color w:val="000000"/>
        </w:rPr>
        <w:t>continuous dataset</w:t>
      </w:r>
      <w:r w:rsidR="00CB0664">
        <w:rPr>
          <w:rFonts w:ascii="Century Gothic" w:eastAsia="Times New Roman" w:hAnsi="Century Gothic" w:cs="Times New Roman"/>
          <w:color w:val="000000"/>
        </w:rPr>
        <w:t>s</w:t>
      </w:r>
      <w:r>
        <w:rPr>
          <w:rFonts w:ascii="Century Gothic" w:eastAsia="Times New Roman" w:hAnsi="Century Gothic" w:cs="Times New Roman"/>
          <w:color w:val="000000"/>
        </w:rPr>
        <w:t>.</w:t>
      </w:r>
      <w:r w:rsidR="00CB0664">
        <w:rPr>
          <w:rFonts w:ascii="Century Gothic" w:eastAsia="Times New Roman" w:hAnsi="Century Gothic" w:cs="Times New Roman"/>
          <w:color w:val="000000"/>
        </w:rPr>
        <w:t xml:space="preserve"> </w:t>
      </w:r>
      <w:r w:rsidR="00DD21A3">
        <w:rPr>
          <w:rFonts w:ascii="Century Gothic" w:eastAsia="Times New Roman" w:hAnsi="Century Gothic" w:cs="Times New Roman"/>
          <w:color w:val="000000"/>
        </w:rPr>
        <w:t>F</w:t>
      </w:r>
      <w:r w:rsidR="00CB0664">
        <w:rPr>
          <w:rFonts w:ascii="Century Gothic" w:eastAsia="Times New Roman" w:hAnsi="Century Gothic" w:cs="Times New Roman"/>
          <w:color w:val="000000"/>
        </w:rPr>
        <w:t xml:space="preserve">iles were processed to the same number of columns, rows, and geographical extent. </w:t>
      </w:r>
      <w:r w:rsidR="00DD21A3">
        <w:rPr>
          <w:rFonts w:ascii="Century Gothic" w:eastAsia="Times New Roman" w:hAnsi="Century Gothic" w:cs="Times New Roman"/>
          <w:color w:val="000000"/>
        </w:rPr>
        <w:t xml:space="preserve">A 10 km coastal zone around the Great Lakes Basin was used to subset each dataset to the study area. </w:t>
      </w:r>
      <w:r w:rsidR="00CB0664">
        <w:rPr>
          <w:rFonts w:ascii="Century Gothic" w:eastAsia="Times New Roman" w:hAnsi="Century Gothic" w:cs="Times New Roman"/>
          <w:color w:val="000000"/>
        </w:rPr>
        <w:t xml:space="preserve">To normalize land cover data, </w:t>
      </w:r>
      <w:r w:rsidR="00DD21A3">
        <w:rPr>
          <w:rFonts w:ascii="Century Gothic" w:eastAsia="Times New Roman" w:hAnsi="Century Gothic" w:cs="Times New Roman"/>
          <w:color w:val="000000"/>
        </w:rPr>
        <w:t xml:space="preserve">LULC categories were aggregated and reclassified with the same naming convention.  </w:t>
      </w:r>
    </w:p>
    <w:p w14:paraId="5650B5E7" w14:textId="77777777" w:rsidR="001A6DC5" w:rsidRDefault="001A6DC5" w:rsidP="00A5085E">
      <w:pPr>
        <w:spacing w:after="0" w:line="240" w:lineRule="auto"/>
        <w:rPr>
          <w:rFonts w:ascii="Century Gothic" w:eastAsia="Times New Roman" w:hAnsi="Century Gothic" w:cs="Times New Roman"/>
          <w:color w:val="000000"/>
        </w:rPr>
      </w:pPr>
    </w:p>
    <w:p w14:paraId="58DC1C85" w14:textId="6CFE183F" w:rsidR="001A6DC5" w:rsidRDefault="001A6DC5" w:rsidP="00A5085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The Digital Elevation Model (DEM) acquired from the SRTM</w:t>
      </w:r>
      <w:r w:rsidR="00A5085E" w:rsidRPr="00A5085E">
        <w:rPr>
          <w:rFonts w:ascii="Century Gothic" w:eastAsia="Times New Roman" w:hAnsi="Century Gothic" w:cs="Times New Roman"/>
          <w:color w:val="000000"/>
        </w:rPr>
        <w:t xml:space="preserve"> </w:t>
      </w:r>
      <w:r>
        <w:rPr>
          <w:rFonts w:ascii="Century Gothic" w:eastAsia="Times New Roman" w:hAnsi="Century Gothic" w:cs="Times New Roman"/>
          <w:color w:val="000000"/>
        </w:rPr>
        <w:t>was converted into a topographical</w:t>
      </w:r>
      <w:r w:rsidR="00A5085E" w:rsidRPr="00A5085E">
        <w:rPr>
          <w:rFonts w:ascii="Century Gothic" w:eastAsia="Times New Roman" w:hAnsi="Century Gothic" w:cs="Times New Roman"/>
          <w:color w:val="000000"/>
        </w:rPr>
        <w:t xml:space="preserve"> roughness variable</w:t>
      </w:r>
      <w:r>
        <w:rPr>
          <w:rFonts w:ascii="Century Gothic" w:eastAsia="Times New Roman" w:hAnsi="Century Gothic" w:cs="Times New Roman"/>
          <w:color w:val="000000"/>
        </w:rPr>
        <w:t xml:space="preserve"> using the following equation:</w:t>
      </w:r>
    </w:p>
    <w:p w14:paraId="5A40FDA9" w14:textId="77777777" w:rsidR="001A6DC5" w:rsidRDefault="001A6DC5" w:rsidP="00A5085E">
      <w:pPr>
        <w:spacing w:after="0" w:line="240" w:lineRule="auto"/>
        <w:rPr>
          <w:rFonts w:ascii="Century Gothic" w:eastAsia="Times New Roman" w:hAnsi="Century Gothic" w:cs="Times New Roman"/>
          <w:color w:val="000000"/>
        </w:rPr>
      </w:pPr>
    </w:p>
    <w:p w14:paraId="0A5020E1" w14:textId="630C6150" w:rsidR="001A6DC5" w:rsidRPr="001A6DC5" w:rsidRDefault="00B417A0" w:rsidP="00A5085E">
      <w:pPr>
        <w:spacing w:after="0" w:line="240" w:lineRule="auto"/>
        <w:rPr>
          <w:rFonts w:ascii="Century Gothic" w:eastAsia="Times New Roman" w:hAnsi="Century Gothic" w:cs="Times New Roman"/>
          <w:color w:val="000000"/>
          <w:sz w:val="28"/>
          <w:szCs w:val="28"/>
        </w:rPr>
      </w:pPr>
      <m:oMathPara>
        <m:oMath>
          <m:box>
            <m:boxPr>
              <m:ctrlPr>
                <w:rPr>
                  <w:rFonts w:ascii="Cambria Math" w:eastAsia="Times New Roman" w:hAnsi="Cambria Math" w:cs="Times New Roman"/>
                  <w:i/>
                  <w:color w:val="000000"/>
                  <w:sz w:val="32"/>
                  <w:szCs w:val="32"/>
                </w:rPr>
              </m:ctrlPr>
            </m:boxPr>
            <m:e>
              <m:argPr>
                <m:argSz m:val="-1"/>
              </m:argPr>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(meanDEM – DEM)</m:t>
                  </m:r>
                </m:num>
                <m:den>
                  <m:r>
                    <w:rPr>
                      <w:rFonts w:ascii="Cambria Math" w:eastAsia="Times New Roman" w:hAnsi="Cambria Math" w:cs="Times New Roman"/>
                      <w:color w:val="000000"/>
                      <w:sz w:val="32"/>
                      <w:szCs w:val="32"/>
                    </w:rPr>
                    <m:t>rangeDEM</m:t>
                  </m:r>
                </m:den>
              </m:f>
            </m:e>
          </m:box>
        </m:oMath>
      </m:oMathPara>
    </w:p>
    <w:p w14:paraId="013165C7" w14:textId="77777777" w:rsidR="001A6DC5" w:rsidRDefault="001A6DC5" w:rsidP="00A5085E">
      <w:pPr>
        <w:spacing w:after="0" w:line="240" w:lineRule="auto"/>
        <w:rPr>
          <w:rFonts w:ascii="Century Gothic" w:eastAsia="Times New Roman" w:hAnsi="Century Gothic" w:cs="Times New Roman"/>
          <w:color w:val="000000"/>
        </w:rPr>
      </w:pPr>
    </w:p>
    <w:p w14:paraId="30550B99" w14:textId="0B83CC4B" w:rsidR="00A5085E" w:rsidRPr="00A5085E" w:rsidRDefault="001A6DC5" w:rsidP="00A5085E">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S</w:t>
      </w:r>
      <w:r w:rsidR="00A5085E" w:rsidRPr="00A5085E">
        <w:rPr>
          <w:rFonts w:ascii="Century Gothic" w:eastAsia="Times New Roman" w:hAnsi="Century Gothic" w:cs="Times New Roman"/>
          <w:color w:val="000000"/>
        </w:rPr>
        <w:t xml:space="preserve">oil drainage was created using the </w:t>
      </w:r>
      <w:r w:rsidR="008D7B72">
        <w:rPr>
          <w:rFonts w:ascii="Century Gothic" w:eastAsia="Times New Roman" w:hAnsi="Century Gothic" w:cs="Times New Roman"/>
          <w:color w:val="000000"/>
        </w:rPr>
        <w:t>USDA STATSGO and NRC NSDB</w:t>
      </w:r>
      <w:r w:rsidR="00A5085E" w:rsidRPr="00A5085E">
        <w:rPr>
          <w:rFonts w:ascii="Century Gothic" w:eastAsia="Times New Roman" w:hAnsi="Century Gothic" w:cs="Times New Roman"/>
          <w:color w:val="000000"/>
        </w:rPr>
        <w:t xml:space="preserve"> soil classifications</w:t>
      </w:r>
      <w:r w:rsidR="008E4F8D">
        <w:rPr>
          <w:rFonts w:ascii="Century Gothic" w:eastAsia="Times New Roman" w:hAnsi="Century Gothic" w:cs="Times New Roman"/>
          <w:color w:val="000000"/>
        </w:rPr>
        <w:t xml:space="preserve"> </w:t>
      </w:r>
      <w:r w:rsidR="00A5085E" w:rsidRPr="00A5085E">
        <w:rPr>
          <w:rFonts w:ascii="Century Gothic" w:eastAsia="Times New Roman" w:hAnsi="Century Gothic" w:cs="Times New Roman"/>
          <w:color w:val="000000"/>
        </w:rPr>
        <w:t xml:space="preserve">following the methods described in </w:t>
      </w:r>
      <w:r w:rsidR="00A5085E" w:rsidRPr="00945ECD">
        <w:rPr>
          <w:rFonts w:ascii="Century Gothic" w:eastAsia="Times New Roman" w:hAnsi="Century Gothic" w:cs="Times New Roman"/>
          <w:i/>
          <w:iCs/>
          <w:color w:val="000000"/>
        </w:rPr>
        <w:t>Mazur et al.</w:t>
      </w:r>
      <w:r w:rsidR="00A5085E" w:rsidRPr="00A5085E">
        <w:rPr>
          <w:rFonts w:ascii="Century Gothic" w:eastAsia="Times New Roman" w:hAnsi="Century Gothic" w:cs="Times New Roman"/>
          <w:color w:val="000000"/>
        </w:rPr>
        <w:t xml:space="preserve"> (2014). </w:t>
      </w:r>
    </w:p>
    <w:p w14:paraId="7CB0F919" w14:textId="77777777" w:rsidR="00D77B5A" w:rsidRDefault="00D77B5A" w:rsidP="00A5085E">
      <w:pPr>
        <w:spacing w:after="0" w:line="240" w:lineRule="auto"/>
        <w:rPr>
          <w:rFonts w:ascii="Century Gothic" w:eastAsia="Times New Roman" w:hAnsi="Century Gothic" w:cs="Times New Roman"/>
          <w:color w:val="000000"/>
        </w:rPr>
      </w:pPr>
    </w:p>
    <w:p w14:paraId="60ABCE40" w14:textId="1E4612F5" w:rsidR="00A5085E"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Proximity variables </w:t>
      </w:r>
      <w:r w:rsidR="00DD21A3">
        <w:rPr>
          <w:rFonts w:ascii="Century Gothic" w:eastAsia="Times New Roman" w:hAnsi="Century Gothic" w:cs="Times New Roman"/>
          <w:color w:val="000000"/>
        </w:rPr>
        <w:t xml:space="preserve">from </w:t>
      </w:r>
      <w:r w:rsidRPr="00A5085E">
        <w:rPr>
          <w:rFonts w:ascii="Century Gothic" w:eastAsia="Times New Roman" w:hAnsi="Century Gothic" w:cs="Times New Roman"/>
          <w:color w:val="000000"/>
        </w:rPr>
        <w:t>roads, agriculture, and developed land were created using the Euclidian distance tool in ArcGIS</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where high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these variables was seen as a positive influence on Phragmites.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roads data w</w:t>
      </w:r>
      <w:r w:rsidR="00D77B5A">
        <w:rPr>
          <w:rFonts w:ascii="Century Gothic" w:eastAsia="Times New Roman" w:hAnsi="Century Gothic" w:cs="Times New Roman"/>
          <w:color w:val="000000"/>
        </w:rPr>
        <w:t>ere</w:t>
      </w:r>
      <w:r w:rsidRPr="00A5085E">
        <w:rPr>
          <w:rFonts w:ascii="Century Gothic" w:eastAsia="Times New Roman" w:hAnsi="Century Gothic" w:cs="Times New Roman"/>
          <w:color w:val="000000"/>
        </w:rPr>
        <w:t xml:space="preserve"> created by </w:t>
      </w:r>
      <w:r w:rsidRPr="00A5085E">
        <w:rPr>
          <w:rFonts w:ascii="Century Gothic" w:eastAsia="Times New Roman" w:hAnsi="Century Gothic" w:cs="Times New Roman"/>
          <w:color w:val="000000"/>
        </w:rPr>
        <w:lastRenderedPageBreak/>
        <w:t xml:space="preserve">selecting all primary and secondary road classifications within the Great Lakes Basin on both the U.S. and Canadian </w:t>
      </w:r>
      <w:r w:rsidR="00DD21A3">
        <w:rPr>
          <w:rFonts w:ascii="Century Gothic" w:eastAsia="Times New Roman" w:hAnsi="Century Gothic" w:cs="Times New Roman"/>
          <w:color w:val="000000"/>
        </w:rPr>
        <w:t>borders</w:t>
      </w:r>
      <w:r w:rsidRPr="00A5085E">
        <w:rPr>
          <w:rFonts w:ascii="Century Gothic" w:eastAsia="Times New Roman" w:hAnsi="Century Gothic" w:cs="Times New Roman"/>
          <w:color w:val="000000"/>
        </w:rPr>
        <w:t xml:space="preserve">. The variables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developed land</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and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agriculture</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were found using LULC classifications as defined by NOAA C-CAP in the U.S. and</w:t>
      </w:r>
      <w:r w:rsidR="00D77B5A">
        <w:rPr>
          <w:rFonts w:ascii="Century Gothic" w:eastAsia="Times New Roman" w:hAnsi="Century Gothic" w:cs="Times New Roman"/>
          <w:color w:val="000000"/>
        </w:rPr>
        <w:t xml:space="preserve"> by NRC </w:t>
      </w:r>
      <w:r w:rsidRPr="00A5085E">
        <w:rPr>
          <w:rFonts w:ascii="Century Gothic" w:eastAsia="Times New Roman" w:hAnsi="Century Gothic" w:cs="Times New Roman"/>
          <w:color w:val="000000"/>
        </w:rPr>
        <w:t xml:space="preserve">for the Canadian portion of the Basin. </w:t>
      </w:r>
    </w:p>
    <w:p w14:paraId="2D162C74" w14:textId="77777777" w:rsidR="00A74C1A" w:rsidRDefault="00A74C1A" w:rsidP="00A5085E">
      <w:pPr>
        <w:spacing w:after="0" w:line="240" w:lineRule="auto"/>
        <w:rPr>
          <w:rFonts w:ascii="Century Gothic" w:eastAsia="Times New Roman" w:hAnsi="Century Gothic" w:cs="Times New Roman"/>
          <w:color w:val="000000"/>
        </w:rPr>
      </w:pPr>
    </w:p>
    <w:p w14:paraId="309DCB84" w14:textId="4A642CE9" w:rsidR="00312474" w:rsidRDefault="0067412E" w:rsidP="0067412E">
      <w:pPr>
        <w:spacing w:after="0" w:line="240" w:lineRule="auto"/>
        <w:rPr>
          <w:rFonts w:ascii="Century Gothic" w:hAnsi="Century Gothic"/>
          <w:color w:val="000000"/>
        </w:rPr>
      </w:pPr>
      <w:r>
        <w:rPr>
          <w:rFonts w:ascii="Century Gothic" w:hAnsi="Century Gothic"/>
          <w:color w:val="000000"/>
        </w:rPr>
        <w:t xml:space="preserve">Previous research has identified </w:t>
      </w:r>
      <w:r w:rsidR="00076427">
        <w:rPr>
          <w:rFonts w:ascii="Century Gothic" w:hAnsi="Century Gothic"/>
          <w:color w:val="000000"/>
        </w:rPr>
        <w:t>bioclimatic</w:t>
      </w:r>
      <w:r>
        <w:rPr>
          <w:rFonts w:ascii="Century Gothic" w:hAnsi="Century Gothic"/>
          <w:color w:val="000000"/>
        </w:rPr>
        <w:t xml:space="preserve"> variables as important to the habitat and growth of Phragmites (</w:t>
      </w:r>
      <w:r w:rsidRPr="0067412E">
        <w:rPr>
          <w:rFonts w:ascii="Century Gothic" w:hAnsi="Century Gothic"/>
          <w:color w:val="000000"/>
        </w:rPr>
        <w:t>Guo et al., 2013</w:t>
      </w:r>
      <w:r>
        <w:rPr>
          <w:rFonts w:ascii="Century Gothic" w:hAnsi="Century Gothic"/>
          <w:color w:val="000000"/>
        </w:rPr>
        <w:t xml:space="preserve">; </w:t>
      </w:r>
      <w:r w:rsidRPr="0067412E">
        <w:rPr>
          <w:rFonts w:ascii="Century Gothic" w:hAnsi="Century Gothic"/>
          <w:color w:val="000000"/>
        </w:rPr>
        <w:t>Mazur et al. 2014</w:t>
      </w:r>
      <w:r>
        <w:rPr>
          <w:rFonts w:ascii="Century Gothic" w:hAnsi="Century Gothic"/>
          <w:color w:val="000000"/>
        </w:rPr>
        <w:t>). Bioclimatic variables are</w:t>
      </w:r>
      <w:r w:rsidR="00BF5A25">
        <w:rPr>
          <w:rFonts w:ascii="Century Gothic" w:hAnsi="Century Gothic"/>
          <w:color w:val="000000"/>
        </w:rPr>
        <w:t xml:space="preserve"> comprised of the combination of temperature, precipitation, and seasonality/time of year, which together often have greater biological and ecological saliency than either variable insolation</w:t>
      </w:r>
      <w:r>
        <w:rPr>
          <w:rFonts w:ascii="Century Gothic" w:hAnsi="Century Gothic"/>
          <w:color w:val="000000"/>
        </w:rPr>
        <w:t xml:space="preserve"> (Nix, 1986; Hijmans, 2004)</w:t>
      </w:r>
      <w:r w:rsidR="00BF5A25">
        <w:rPr>
          <w:rFonts w:ascii="Century Gothic" w:hAnsi="Century Gothic"/>
          <w:color w:val="000000"/>
        </w:rPr>
        <w:t xml:space="preserve">. Following </w:t>
      </w:r>
      <w:r w:rsidR="00BF5A25" w:rsidRPr="007F7EAE">
        <w:rPr>
          <w:rFonts w:ascii="Century Gothic" w:hAnsi="Century Gothic"/>
          <w:i/>
          <w:color w:val="000000"/>
        </w:rPr>
        <w:t>O’Donnell and Ignizio</w:t>
      </w:r>
      <w:r w:rsidR="00BF5A25">
        <w:rPr>
          <w:rFonts w:ascii="Century Gothic" w:hAnsi="Century Gothic"/>
          <w:color w:val="000000"/>
        </w:rPr>
        <w:t xml:space="preserve"> (</w:t>
      </w:r>
      <w:r w:rsidR="00BF5A25" w:rsidRPr="00BF5A25">
        <w:rPr>
          <w:rFonts w:ascii="Century Gothic" w:hAnsi="Century Gothic"/>
          <w:color w:val="000000"/>
        </w:rPr>
        <w:t>2012</w:t>
      </w:r>
      <w:r w:rsidR="00BF5A25">
        <w:rPr>
          <w:rFonts w:ascii="Century Gothic" w:hAnsi="Century Gothic"/>
          <w:color w:val="000000"/>
        </w:rPr>
        <w:t xml:space="preserve">), quarterly values were calculated using 3 month averages over two year periods. For example, the driest 3 month average values for the years 2010 and 2011 were identified in the TRMM+GPM precipitation data. Then the mean temperature over those months was calculated using the MERRA-2 temperature data. This produces the “DryTemp” bioclimatic variable, or the temperature during the driest quarter. In addition to “DryTemp”, the temperature during the coldest quarter (“ColdTemp”), precipitation during the warmest quarter (“WarmPrecip”), precipitation during the coldest quarter (“ColdPrecip”) and precipitation during the driest month (“DriestPrecip”) were created using the combination of TRMM+GPM and MERRA-2 data. </w:t>
      </w:r>
    </w:p>
    <w:p w14:paraId="6C08906D" w14:textId="77777777" w:rsidR="00312474" w:rsidRDefault="00312474" w:rsidP="0067412E">
      <w:pPr>
        <w:spacing w:after="0" w:line="240" w:lineRule="auto"/>
        <w:rPr>
          <w:rFonts w:ascii="Century Gothic" w:hAnsi="Century Gothic"/>
          <w:color w:val="000000"/>
        </w:rPr>
      </w:pPr>
    </w:p>
    <w:p w14:paraId="04E2CA5D" w14:textId="56AFA382" w:rsidR="00312474" w:rsidRDefault="00312474" w:rsidP="0067412E">
      <w:pPr>
        <w:spacing w:after="0" w:line="240" w:lineRule="auto"/>
        <w:rPr>
          <w:rFonts w:ascii="Century Gothic" w:hAnsi="Century Gothic"/>
          <w:color w:val="000000"/>
        </w:rPr>
      </w:pPr>
      <w:r>
        <w:rPr>
          <w:rFonts w:ascii="Century Gothic" w:hAnsi="Century Gothic"/>
          <w:color w:val="000000"/>
        </w:rPr>
        <w:t xml:space="preserve">To estimate values for the 2020 bioclimatic data, the underlying decadal trend in the observations was added to the 2010 values. First, the bioclimatic </w:t>
      </w:r>
      <w:r w:rsidRPr="00312474">
        <w:rPr>
          <w:rFonts w:ascii="Century Gothic" w:hAnsi="Century Gothic"/>
          <w:color w:val="000000"/>
        </w:rPr>
        <w:t xml:space="preserve">data were converted to monthly anomalies by subtracting the mean values for each month over a baseline period </w:t>
      </w:r>
      <w:r>
        <w:rPr>
          <w:rFonts w:ascii="Century Gothic" w:hAnsi="Century Gothic"/>
          <w:color w:val="000000"/>
        </w:rPr>
        <w:t>(2000-2009 and</w:t>
      </w:r>
      <w:r w:rsidRPr="00312474">
        <w:rPr>
          <w:rFonts w:ascii="Century Gothic" w:hAnsi="Century Gothic"/>
          <w:color w:val="000000"/>
        </w:rPr>
        <w:t xml:space="preserve"> 1981-1995 </w:t>
      </w:r>
      <w:r>
        <w:rPr>
          <w:rFonts w:ascii="Century Gothic" w:hAnsi="Century Gothic"/>
          <w:color w:val="000000"/>
        </w:rPr>
        <w:t xml:space="preserve">for TRMM+GPM and MERRA-2 respectively) </w:t>
      </w:r>
      <w:r w:rsidRPr="00312474">
        <w:rPr>
          <w:rFonts w:ascii="Century Gothic" w:hAnsi="Century Gothic"/>
          <w:color w:val="000000"/>
        </w:rPr>
        <w:t xml:space="preserve">from each </w:t>
      </w:r>
      <w:r w:rsidR="003B4044" w:rsidRPr="00312474">
        <w:rPr>
          <w:rFonts w:ascii="Century Gothic" w:hAnsi="Century Gothic"/>
          <w:color w:val="000000"/>
        </w:rPr>
        <w:t>grid cell</w:t>
      </w:r>
      <w:r w:rsidRPr="00312474">
        <w:rPr>
          <w:rFonts w:ascii="Century Gothic" w:hAnsi="Century Gothic"/>
          <w:color w:val="000000"/>
        </w:rPr>
        <w:t>.</w:t>
      </w:r>
      <w:r>
        <w:rPr>
          <w:rFonts w:ascii="Century Gothic" w:hAnsi="Century Gothic"/>
          <w:color w:val="000000"/>
        </w:rPr>
        <w:t xml:space="preserve"> Seasonal and/or annual averages were then created (depending on the variable) to reduce autocorrelation. Ordinary least squares (OLS) regression was used to calculate the decadal trends.</w:t>
      </w:r>
    </w:p>
    <w:p w14:paraId="63D362AD" w14:textId="7CF2FF40" w:rsidR="00BF5A25" w:rsidRDefault="00BF5A25" w:rsidP="0067412E">
      <w:pPr>
        <w:spacing w:after="0" w:line="240" w:lineRule="auto"/>
        <w:rPr>
          <w:rFonts w:ascii="Century Gothic" w:hAnsi="Century Gothic"/>
          <w:color w:val="000000"/>
        </w:rPr>
      </w:pPr>
    </w:p>
    <w:p w14:paraId="45CDA55D" w14:textId="142711DE" w:rsidR="007974AD" w:rsidRPr="003B4044" w:rsidRDefault="00B9694A" w:rsidP="00F41BAB">
      <w:pPr>
        <w:spacing w:after="0" w:line="240" w:lineRule="auto"/>
        <w:rPr>
          <w:rFonts w:ascii="Century Gothic" w:hAnsi="Century Gothic"/>
          <w:szCs w:val="24"/>
        </w:rPr>
      </w:pPr>
      <w:r>
        <w:rPr>
          <w:rFonts w:ascii="Century Gothic" w:hAnsi="Century Gothic"/>
          <w:color w:val="000000"/>
        </w:rPr>
        <w:t xml:space="preserve">Presence locations for Phragmites were obtained from the MTRI and the Global Biodiversity Information Facility (GBIF). MTRI collected </w:t>
      </w:r>
      <w:r w:rsidRPr="001F2DA3">
        <w:rPr>
          <w:rFonts w:ascii="Century Gothic" w:hAnsi="Century Gothic"/>
          <w:i/>
          <w:color w:val="000000"/>
        </w:rPr>
        <w:t>in situ</w:t>
      </w:r>
      <w:r>
        <w:rPr>
          <w:rFonts w:ascii="Century Gothic" w:hAnsi="Century Gothic"/>
          <w:color w:val="000000"/>
        </w:rPr>
        <w:t xml:space="preserve"> data at randomly selected </w:t>
      </w:r>
      <w:r w:rsidR="007974AD">
        <w:rPr>
          <w:rFonts w:ascii="Century Gothic" w:hAnsi="Century Gothic"/>
          <w:color w:val="000000"/>
        </w:rPr>
        <w:t>locations</w:t>
      </w:r>
      <w:r>
        <w:rPr>
          <w:rFonts w:ascii="Century Gothic" w:hAnsi="Century Gothic"/>
          <w:color w:val="000000"/>
        </w:rPr>
        <w:t xml:space="preserve"> within a 10 km coastal zone on the US side of the Great Lakes. Dates of collec</w:t>
      </w:r>
      <w:r w:rsidR="008A6557">
        <w:rPr>
          <w:rFonts w:ascii="Century Gothic" w:hAnsi="Century Gothic"/>
          <w:color w:val="000000"/>
        </w:rPr>
        <w:t>tion were from May to October in</w:t>
      </w:r>
      <w:r>
        <w:rPr>
          <w:rFonts w:ascii="Century Gothic" w:hAnsi="Century Gothic"/>
          <w:color w:val="000000"/>
        </w:rPr>
        <w:t xml:space="preserve"> 2010 and 2011 (</w:t>
      </w:r>
      <w:r w:rsidR="007974AD" w:rsidRPr="00EC1AAD">
        <w:rPr>
          <w:rFonts w:ascii="Century Gothic" w:hAnsi="Century Gothic"/>
          <w:color w:val="000000"/>
        </w:rPr>
        <w:t>Bourgeau-Chavez et al., 2012</w:t>
      </w:r>
      <w:r>
        <w:rPr>
          <w:rFonts w:ascii="Century Gothic" w:hAnsi="Century Gothic"/>
          <w:color w:val="000000"/>
        </w:rPr>
        <w:t>).</w:t>
      </w:r>
      <w:r w:rsidR="001F2DA3">
        <w:rPr>
          <w:rFonts w:ascii="Century Gothic" w:hAnsi="Century Gothic"/>
          <w:color w:val="000000"/>
        </w:rPr>
        <w:t xml:space="preserve"> GBIF presence locations wer</w:t>
      </w:r>
      <w:r w:rsidR="00B91050">
        <w:rPr>
          <w:rFonts w:ascii="Century Gothic" w:hAnsi="Century Gothic"/>
          <w:color w:val="000000"/>
        </w:rPr>
        <w:t>e downloaded from their website (</w:t>
      </w:r>
      <w:r w:rsidR="00B91050" w:rsidRPr="00B91050">
        <w:rPr>
          <w:rFonts w:ascii="Century Gothic" w:hAnsi="Century Gothic"/>
          <w:color w:val="000000"/>
        </w:rPr>
        <w:t>http://www.gbif.org/</w:t>
      </w:r>
      <w:r w:rsidR="00B91050">
        <w:rPr>
          <w:rFonts w:ascii="Century Gothic" w:hAnsi="Century Gothic"/>
          <w:color w:val="000000"/>
        </w:rPr>
        <w:t xml:space="preserve">) </w:t>
      </w:r>
      <w:r w:rsidR="001F2DA3">
        <w:rPr>
          <w:rFonts w:ascii="Century Gothic" w:hAnsi="Century Gothic"/>
          <w:color w:val="000000"/>
        </w:rPr>
        <w:t xml:space="preserve">with </w:t>
      </w:r>
      <w:r w:rsidR="00B91050">
        <w:rPr>
          <w:rFonts w:ascii="Century Gothic" w:hAnsi="Century Gothic"/>
          <w:color w:val="000000"/>
        </w:rPr>
        <w:t xml:space="preserve">collection </w:t>
      </w:r>
      <w:r w:rsidR="001F2DA3">
        <w:rPr>
          <w:rFonts w:ascii="Century Gothic" w:hAnsi="Century Gothic"/>
          <w:color w:val="000000"/>
        </w:rPr>
        <w:t xml:space="preserve">dates ranging from 2012 to 2014. All </w:t>
      </w:r>
      <w:r w:rsidR="001F2DA3" w:rsidRPr="001F2DA3">
        <w:rPr>
          <w:rFonts w:ascii="Century Gothic" w:hAnsi="Century Gothic"/>
          <w:i/>
          <w:color w:val="000000"/>
        </w:rPr>
        <w:t>in situ</w:t>
      </w:r>
      <w:r w:rsidR="001F2DA3">
        <w:rPr>
          <w:rFonts w:ascii="Century Gothic" w:hAnsi="Century Gothic"/>
          <w:color w:val="000000"/>
        </w:rPr>
        <w:t xml:space="preserve"> data was aggregated and </w:t>
      </w:r>
      <w:r w:rsidR="00B91050">
        <w:rPr>
          <w:rFonts w:ascii="Century Gothic" w:hAnsi="Century Gothic"/>
          <w:color w:val="000000"/>
        </w:rPr>
        <w:t xml:space="preserve">used </w:t>
      </w:r>
      <w:r w:rsidR="007974AD">
        <w:rPr>
          <w:rFonts w:ascii="Century Gothic" w:hAnsi="Century Gothic"/>
          <w:color w:val="000000"/>
        </w:rPr>
        <w:t xml:space="preserve"> To compensate for spatial autocorrelation, </w:t>
      </w:r>
      <w:r w:rsidR="007974AD" w:rsidRPr="007974AD">
        <w:rPr>
          <w:rFonts w:ascii="Century Gothic" w:hAnsi="Century Gothic"/>
          <w:i/>
          <w:color w:val="000000"/>
        </w:rPr>
        <w:t>in situ</w:t>
      </w:r>
      <w:r w:rsidR="007974AD">
        <w:rPr>
          <w:rFonts w:ascii="Century Gothic" w:hAnsi="Century Gothic"/>
          <w:color w:val="000000"/>
        </w:rPr>
        <w:t xml:space="preserve"> data within a 0.25 km distance of one another were removed leaving n = 292 (Figure 2</w:t>
      </w:r>
      <w:r w:rsidR="00F41BAB">
        <w:rPr>
          <w:rFonts w:ascii="Century Gothic" w:hAnsi="Century Gothic"/>
          <w:color w:val="000000"/>
        </w:rPr>
        <w:t>, Appendices</w:t>
      </w:r>
      <w:r w:rsidR="007974AD">
        <w:rPr>
          <w:rFonts w:ascii="Century Gothic" w:hAnsi="Century Gothic"/>
          <w:color w:val="000000"/>
        </w:rPr>
        <w:t>).</w:t>
      </w:r>
    </w:p>
    <w:p w14:paraId="2E99E157" w14:textId="001BC3A3" w:rsidR="00BD1B12" w:rsidRPr="00076427" w:rsidRDefault="008B7071" w:rsidP="00076427">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p>
    <w:p w14:paraId="1F9EE566" w14:textId="77777777" w:rsidR="00BD1B12" w:rsidRDefault="0001001C" w:rsidP="00F41BAB">
      <w:pPr>
        <w:spacing w:after="0" w:line="240" w:lineRule="auto"/>
      </w:pPr>
      <w:r w:rsidRPr="0001001C">
        <w:rPr>
          <w:b/>
        </w:rPr>
        <w:t>Land Change Modeler</w:t>
      </w:r>
      <w:r>
        <w:t xml:space="preserve"> </w:t>
      </w:r>
    </w:p>
    <w:p w14:paraId="4C7A2AE9" w14:textId="08CB99A5" w:rsidR="00663B11" w:rsidRDefault="00663B11" w:rsidP="00BD1B12">
      <w:pPr>
        <w:spacing w:after="0" w:line="240" w:lineRule="auto"/>
        <w:rPr>
          <w:rFonts w:ascii="Century Gothic" w:hAnsi="Century Gothic"/>
          <w:szCs w:val="24"/>
        </w:rPr>
      </w:pPr>
      <w:r>
        <w:rPr>
          <w:rFonts w:ascii="Century Gothic" w:hAnsi="Century Gothic"/>
          <w:szCs w:val="24"/>
        </w:rPr>
        <w:t>Land Change Modeler was run to determine the change of land classifications in order to forecast land classes to the year 2020. Results from LULC from 1985 – 2010 showed that the classes of forest</w:t>
      </w:r>
      <w:r w:rsidR="0056313A">
        <w:rPr>
          <w:rFonts w:ascii="Century Gothic" w:hAnsi="Century Gothic"/>
          <w:szCs w:val="24"/>
        </w:rPr>
        <w:t xml:space="preserve"> (-505 hectares)</w:t>
      </w:r>
      <w:r>
        <w:rPr>
          <w:rFonts w:ascii="Century Gothic" w:hAnsi="Century Gothic"/>
          <w:szCs w:val="24"/>
        </w:rPr>
        <w:t>, agriculture</w:t>
      </w:r>
      <w:r w:rsidR="0056313A">
        <w:rPr>
          <w:rFonts w:ascii="Century Gothic" w:hAnsi="Century Gothic"/>
          <w:szCs w:val="24"/>
        </w:rPr>
        <w:t xml:space="preserve"> (-450 ha)</w:t>
      </w:r>
      <w:r>
        <w:rPr>
          <w:rFonts w:ascii="Century Gothic" w:hAnsi="Century Gothic"/>
          <w:szCs w:val="24"/>
        </w:rPr>
        <w:t>, water</w:t>
      </w:r>
      <w:r w:rsidR="0056313A">
        <w:rPr>
          <w:rFonts w:ascii="Century Gothic" w:hAnsi="Century Gothic"/>
          <w:szCs w:val="24"/>
        </w:rPr>
        <w:t xml:space="preserve"> (-77 ha)</w:t>
      </w:r>
      <w:r>
        <w:rPr>
          <w:rFonts w:ascii="Century Gothic" w:hAnsi="Century Gothic"/>
          <w:szCs w:val="24"/>
        </w:rPr>
        <w:t>, and grassland</w:t>
      </w:r>
      <w:r w:rsidR="0056313A">
        <w:rPr>
          <w:rFonts w:ascii="Century Gothic" w:hAnsi="Century Gothic"/>
          <w:szCs w:val="24"/>
        </w:rPr>
        <w:t xml:space="preserve"> (-22 ha)</w:t>
      </w:r>
      <w:r>
        <w:rPr>
          <w:rFonts w:ascii="Century Gothic" w:hAnsi="Century Gothic"/>
          <w:szCs w:val="24"/>
        </w:rPr>
        <w:t xml:space="preserve"> declined over this time frame while development</w:t>
      </w:r>
      <w:r w:rsidR="0056313A">
        <w:rPr>
          <w:rFonts w:ascii="Century Gothic" w:hAnsi="Century Gothic"/>
          <w:szCs w:val="24"/>
        </w:rPr>
        <w:t xml:space="preserve"> (850 ha)</w:t>
      </w:r>
      <w:r>
        <w:rPr>
          <w:rFonts w:ascii="Century Gothic" w:hAnsi="Century Gothic"/>
          <w:szCs w:val="24"/>
        </w:rPr>
        <w:t xml:space="preserve"> and scrubland</w:t>
      </w:r>
      <w:r w:rsidR="0056313A">
        <w:rPr>
          <w:rFonts w:ascii="Century Gothic" w:hAnsi="Century Gothic"/>
          <w:szCs w:val="24"/>
        </w:rPr>
        <w:t xml:space="preserve"> (150 ha)</w:t>
      </w:r>
      <w:r>
        <w:rPr>
          <w:rFonts w:ascii="Century Gothic" w:hAnsi="Century Gothic"/>
          <w:szCs w:val="24"/>
        </w:rPr>
        <w:t xml:space="preserve"> expanded. Development can be further split into </w:t>
      </w:r>
      <w:r w:rsidR="0056313A">
        <w:rPr>
          <w:rFonts w:ascii="Century Gothic" w:hAnsi="Century Gothic"/>
          <w:szCs w:val="24"/>
        </w:rPr>
        <w:t>categories</w:t>
      </w:r>
      <w:r>
        <w:rPr>
          <w:rFonts w:ascii="Century Gothic" w:hAnsi="Century Gothic"/>
          <w:szCs w:val="24"/>
        </w:rPr>
        <w:t xml:space="preserve"> of low intensity</w:t>
      </w:r>
      <w:r w:rsidR="0056313A">
        <w:rPr>
          <w:rFonts w:ascii="Century Gothic" w:hAnsi="Century Gothic"/>
          <w:szCs w:val="24"/>
        </w:rPr>
        <w:t xml:space="preserve"> (325 ha)</w:t>
      </w:r>
      <w:r>
        <w:rPr>
          <w:rFonts w:ascii="Century Gothic" w:hAnsi="Century Gothic"/>
          <w:szCs w:val="24"/>
        </w:rPr>
        <w:t xml:space="preserve">, </w:t>
      </w:r>
      <w:r w:rsidR="00076427">
        <w:rPr>
          <w:rFonts w:ascii="Century Gothic" w:hAnsi="Century Gothic"/>
          <w:szCs w:val="24"/>
        </w:rPr>
        <w:t xml:space="preserve">managed </w:t>
      </w:r>
      <w:r>
        <w:rPr>
          <w:rFonts w:ascii="Century Gothic" w:hAnsi="Century Gothic"/>
          <w:szCs w:val="24"/>
        </w:rPr>
        <w:t>open space</w:t>
      </w:r>
      <w:r w:rsidR="00076427">
        <w:rPr>
          <w:rFonts w:ascii="Century Gothic" w:hAnsi="Century Gothic"/>
          <w:szCs w:val="24"/>
        </w:rPr>
        <w:t>s</w:t>
      </w:r>
      <w:r w:rsidR="0056313A">
        <w:rPr>
          <w:rFonts w:ascii="Century Gothic" w:hAnsi="Century Gothic"/>
          <w:szCs w:val="24"/>
        </w:rPr>
        <w:t xml:space="preserve"> (230)</w:t>
      </w:r>
      <w:r>
        <w:rPr>
          <w:rFonts w:ascii="Century Gothic" w:hAnsi="Century Gothic"/>
          <w:szCs w:val="24"/>
        </w:rPr>
        <w:t>, medium intensity</w:t>
      </w:r>
      <w:r w:rsidR="0056313A">
        <w:rPr>
          <w:rFonts w:ascii="Century Gothic" w:hAnsi="Century Gothic"/>
          <w:szCs w:val="24"/>
        </w:rPr>
        <w:t xml:space="preserve"> (195)</w:t>
      </w:r>
      <w:r>
        <w:rPr>
          <w:rFonts w:ascii="Century Gothic" w:hAnsi="Century Gothic"/>
          <w:szCs w:val="24"/>
        </w:rPr>
        <w:t>, and high intensity</w:t>
      </w:r>
      <w:r w:rsidR="0056313A">
        <w:rPr>
          <w:rFonts w:ascii="Century Gothic" w:hAnsi="Century Gothic"/>
          <w:szCs w:val="24"/>
        </w:rPr>
        <w:t xml:space="preserve"> (105)</w:t>
      </w:r>
      <w:r>
        <w:rPr>
          <w:rFonts w:ascii="Century Gothic" w:hAnsi="Century Gothic"/>
          <w:szCs w:val="24"/>
        </w:rPr>
        <w:t xml:space="preserve">. While all development expanded during this time, it is important to note </w:t>
      </w:r>
      <w:r>
        <w:rPr>
          <w:rFonts w:ascii="Century Gothic" w:hAnsi="Century Gothic"/>
          <w:szCs w:val="24"/>
        </w:rPr>
        <w:lastRenderedPageBreak/>
        <w:t xml:space="preserve">that the more urbanized an area is, the lower its growth rate during this time. </w:t>
      </w:r>
      <w:r w:rsidR="00E653DD">
        <w:rPr>
          <w:rFonts w:ascii="Century Gothic" w:hAnsi="Century Gothic"/>
          <w:szCs w:val="24"/>
        </w:rPr>
        <w:t>D</w:t>
      </w:r>
      <w:r>
        <w:rPr>
          <w:rFonts w:ascii="Century Gothic" w:hAnsi="Century Gothic"/>
          <w:szCs w:val="24"/>
        </w:rPr>
        <w:t xml:space="preserve">evelopment </w:t>
      </w:r>
      <w:r w:rsidR="00E653DD">
        <w:rPr>
          <w:rFonts w:ascii="Century Gothic" w:hAnsi="Century Gothic"/>
          <w:szCs w:val="24"/>
        </w:rPr>
        <w:t>of suburban and managed open spaces showed the largest increases</w:t>
      </w:r>
      <w:r>
        <w:rPr>
          <w:rFonts w:ascii="Century Gothic" w:hAnsi="Century Gothic"/>
          <w:szCs w:val="24"/>
        </w:rPr>
        <w:t xml:space="preserve">, while urban cities exhibited </w:t>
      </w:r>
      <w:r w:rsidR="0056313A">
        <w:rPr>
          <w:rFonts w:ascii="Century Gothic" w:hAnsi="Century Gothic"/>
          <w:szCs w:val="24"/>
        </w:rPr>
        <w:t>slower</w:t>
      </w:r>
      <w:r>
        <w:rPr>
          <w:rFonts w:ascii="Century Gothic" w:hAnsi="Century Gothic"/>
          <w:szCs w:val="24"/>
        </w:rPr>
        <w:t xml:space="preserve"> growth rates. Finally, wetlands</w:t>
      </w:r>
      <w:r w:rsidR="0056313A">
        <w:rPr>
          <w:rFonts w:ascii="Century Gothic" w:hAnsi="Century Gothic"/>
          <w:szCs w:val="24"/>
        </w:rPr>
        <w:t xml:space="preserve"> (16 ha)</w:t>
      </w:r>
      <w:r>
        <w:rPr>
          <w:rFonts w:ascii="Century Gothic" w:hAnsi="Century Gothic"/>
          <w:szCs w:val="24"/>
        </w:rPr>
        <w:t xml:space="preserve"> exhibited a very small growth during this time. While this growth is small, it is important for Phragmites as the vast majority of Phragmites</w:t>
      </w:r>
      <w:r w:rsidR="0056313A">
        <w:rPr>
          <w:rFonts w:ascii="Century Gothic" w:hAnsi="Century Gothic"/>
          <w:szCs w:val="24"/>
        </w:rPr>
        <w:t xml:space="preserve"> (159 points out of 292)</w:t>
      </w:r>
      <w:r>
        <w:rPr>
          <w:rFonts w:ascii="Century Gothic" w:hAnsi="Century Gothic"/>
          <w:szCs w:val="24"/>
        </w:rPr>
        <w:t xml:space="preserve"> </w:t>
      </w:r>
      <w:r w:rsidRPr="00E653DD">
        <w:rPr>
          <w:rFonts w:ascii="Century Gothic" w:hAnsi="Century Gothic"/>
          <w:i/>
          <w:szCs w:val="24"/>
        </w:rPr>
        <w:t>in situ</w:t>
      </w:r>
      <w:r>
        <w:rPr>
          <w:rFonts w:ascii="Century Gothic" w:hAnsi="Century Gothic"/>
          <w:szCs w:val="24"/>
        </w:rPr>
        <w:t xml:space="preserve"> data collected was from areas classified as wetlands. </w:t>
      </w:r>
    </w:p>
    <w:p w14:paraId="4AA40859" w14:textId="23CE4550" w:rsidR="00F66AA6" w:rsidRDefault="00F66AA6" w:rsidP="00BD1B12">
      <w:pPr>
        <w:spacing w:after="0" w:line="240" w:lineRule="auto"/>
        <w:rPr>
          <w:rFonts w:ascii="Century Gothic" w:hAnsi="Century Gothic"/>
          <w:szCs w:val="24"/>
        </w:rPr>
      </w:pPr>
    </w:p>
    <w:p w14:paraId="1D4F744A" w14:textId="77777777" w:rsidR="004473B7" w:rsidRDefault="004473B7" w:rsidP="004473B7">
      <w:pPr>
        <w:rPr>
          <w:rFonts w:ascii="Century Gothic" w:hAnsi="Century Gothic"/>
          <w:szCs w:val="24"/>
        </w:rPr>
      </w:pPr>
    </w:p>
    <w:p w14:paraId="3F93B6E0" w14:textId="3450DD88" w:rsidR="00F66AA6" w:rsidRPr="00F66AA6" w:rsidRDefault="00AE6B34" w:rsidP="004473B7">
      <w:pPr>
        <w:rPr>
          <w:rFonts w:ascii="Century Gothic" w:hAnsi="Century Gothic"/>
          <w:szCs w:val="24"/>
        </w:rPr>
      </w:pPr>
      <w:r>
        <w:rPr>
          <w:rFonts w:ascii="Century Gothic" w:hAnsi="Century Gothic"/>
          <w:szCs w:val="24"/>
        </w:rPr>
        <w:t>Figure 3</w:t>
      </w:r>
      <w:r w:rsidR="00BD1B12">
        <w:rPr>
          <w:rFonts w:ascii="Century Gothic" w:hAnsi="Century Gothic"/>
          <w:szCs w:val="24"/>
        </w:rPr>
        <w:t xml:space="preserve">: The following graph show the Gains and Losses after running Land Change Modeler between the dates 1985 and 2010. </w:t>
      </w:r>
    </w:p>
    <w:p w14:paraId="0D8B84BC" w14:textId="513C3BFE" w:rsidR="00BD1B12" w:rsidRDefault="00BD1B12" w:rsidP="0056313A">
      <w:pPr>
        <w:jc w:val="center"/>
      </w:pPr>
      <w:r>
        <w:rPr>
          <w:rFonts w:ascii="Century Gothic" w:hAnsi="Century Gothic"/>
          <w:noProof/>
          <w:szCs w:val="24"/>
        </w:rPr>
        <w:drawing>
          <wp:inline distT="0" distB="0" distL="0" distR="0" wp14:anchorId="67280E35" wp14:editId="0FD26178">
            <wp:extent cx="3343275" cy="28428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_USA_85_10.JPG"/>
                    <pic:cNvPicPr/>
                  </pic:nvPicPr>
                  <pic:blipFill>
                    <a:blip r:embed="rId11">
                      <a:extLst>
                        <a:ext uri="{28A0092B-C50C-407E-A947-70E740481C1C}">
                          <a14:useLocalDpi xmlns:a14="http://schemas.microsoft.com/office/drawing/2010/main" val="0"/>
                        </a:ext>
                      </a:extLst>
                    </a:blip>
                    <a:stretch>
                      <a:fillRect/>
                    </a:stretch>
                  </pic:blipFill>
                  <pic:spPr>
                    <a:xfrm>
                      <a:off x="0" y="0"/>
                      <a:ext cx="3392103" cy="2884391"/>
                    </a:xfrm>
                    <a:prstGeom prst="rect">
                      <a:avLst/>
                    </a:prstGeom>
                  </pic:spPr>
                </pic:pic>
              </a:graphicData>
            </a:graphic>
          </wp:inline>
        </w:drawing>
      </w:r>
      <w:r w:rsidR="00B41B37">
        <w:t xml:space="preserve">    </w:t>
      </w:r>
    </w:p>
    <w:p w14:paraId="2704CB29" w14:textId="2A049797" w:rsidR="00F66AA6" w:rsidRDefault="00AE6B34" w:rsidP="00F66AA6">
      <w:pPr>
        <w:spacing w:after="0" w:line="240" w:lineRule="auto"/>
        <w:rPr>
          <w:rFonts w:ascii="Century Gothic" w:hAnsi="Century Gothic"/>
          <w:szCs w:val="24"/>
        </w:rPr>
      </w:pPr>
      <w:r>
        <w:rPr>
          <w:rFonts w:ascii="Century Gothic" w:hAnsi="Century Gothic"/>
          <w:szCs w:val="24"/>
        </w:rPr>
        <w:t>Figure 4</w:t>
      </w:r>
      <w:r w:rsidR="00BD1B12">
        <w:rPr>
          <w:rFonts w:ascii="Century Gothic" w:hAnsi="Century Gothic"/>
          <w:szCs w:val="24"/>
        </w:rPr>
        <w:t xml:space="preserve">: The following graph show the Net Land Cover Change in the US in </w:t>
      </w:r>
      <w:r w:rsidR="00BD1B12" w:rsidRPr="00BD1B12">
        <w:rPr>
          <w:rFonts w:ascii="Century Gothic" w:hAnsi="Century Gothic"/>
          <w:szCs w:val="24"/>
        </w:rPr>
        <w:t>km2</w:t>
      </w:r>
      <w:r w:rsidR="00BD1B12">
        <w:rPr>
          <w:rFonts w:ascii="Century Gothic" w:hAnsi="Century Gothic"/>
          <w:szCs w:val="24"/>
        </w:rPr>
        <w:t xml:space="preserve"> </w:t>
      </w:r>
      <w:r w:rsidR="00F66AA6">
        <w:rPr>
          <w:rFonts w:ascii="Century Gothic" w:hAnsi="Century Gothic"/>
          <w:szCs w:val="24"/>
        </w:rPr>
        <w:t xml:space="preserve">between the dates 1985 – 2010. </w:t>
      </w:r>
    </w:p>
    <w:p w14:paraId="48F89479" w14:textId="77777777" w:rsidR="00F41BAB" w:rsidRPr="00F66AA6" w:rsidRDefault="00F41BAB" w:rsidP="00F66AA6">
      <w:pPr>
        <w:spacing w:after="0" w:line="240" w:lineRule="auto"/>
        <w:rPr>
          <w:rFonts w:ascii="Century Gothic" w:hAnsi="Century Gothic"/>
          <w:szCs w:val="24"/>
        </w:rPr>
      </w:pPr>
    </w:p>
    <w:p w14:paraId="0A3E0A82" w14:textId="1B86141D" w:rsidR="00F66AA6" w:rsidRPr="00F66AA6" w:rsidRDefault="005E4C44" w:rsidP="00F66AA6">
      <w:pPr>
        <w:jc w:val="center"/>
      </w:pPr>
      <w:r>
        <w:rPr>
          <w:noProof/>
        </w:rPr>
        <w:drawing>
          <wp:inline distT="0" distB="0" distL="0" distR="0" wp14:anchorId="790178B2" wp14:editId="0685757B">
            <wp:extent cx="5573395" cy="2609850"/>
            <wp:effectExtent l="0" t="0" r="825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6BC6E6" w14:textId="36985C69" w:rsidR="00F66AA6" w:rsidRDefault="00383581" w:rsidP="00F66AA6">
      <w:pPr>
        <w:spacing w:after="0" w:line="240" w:lineRule="auto"/>
        <w:rPr>
          <w:rFonts w:ascii="Century Gothic" w:hAnsi="Century Gothic"/>
          <w:szCs w:val="24"/>
        </w:rPr>
      </w:pPr>
      <w:r>
        <w:rPr>
          <w:rFonts w:ascii="Century Gothic" w:hAnsi="Century Gothic"/>
          <w:szCs w:val="24"/>
        </w:rPr>
        <w:lastRenderedPageBreak/>
        <w:t>LCM</w:t>
      </w:r>
      <w:r w:rsidR="00F66AA6">
        <w:rPr>
          <w:rFonts w:ascii="Century Gothic" w:hAnsi="Century Gothic"/>
          <w:szCs w:val="24"/>
        </w:rPr>
        <w:t xml:space="preserve"> results from </w:t>
      </w:r>
      <w:r w:rsidR="00AE6B34">
        <w:rPr>
          <w:rFonts w:ascii="Century Gothic" w:hAnsi="Century Gothic"/>
          <w:szCs w:val="24"/>
        </w:rPr>
        <w:t>figures 3 &amp; 4</w:t>
      </w:r>
      <w:r w:rsidR="00F66AA6">
        <w:rPr>
          <w:rFonts w:ascii="Century Gothic" w:hAnsi="Century Gothic"/>
          <w:szCs w:val="24"/>
        </w:rPr>
        <w:t xml:space="preserve"> show that agricultural lands are decreasing at the expense of</w:t>
      </w:r>
      <w:r w:rsidR="00E653DD">
        <w:rPr>
          <w:rFonts w:ascii="Century Gothic" w:hAnsi="Century Gothic"/>
          <w:szCs w:val="24"/>
        </w:rPr>
        <w:t xml:space="preserve"> managed</w:t>
      </w:r>
      <w:r w:rsidR="00F66AA6">
        <w:rPr>
          <w:rFonts w:ascii="Century Gothic" w:hAnsi="Century Gothic"/>
          <w:szCs w:val="24"/>
        </w:rPr>
        <w:t xml:space="preserve"> open</w:t>
      </w:r>
      <w:r w:rsidR="00E653DD">
        <w:rPr>
          <w:rFonts w:ascii="Century Gothic" w:hAnsi="Century Gothic"/>
          <w:szCs w:val="24"/>
        </w:rPr>
        <w:t xml:space="preserve"> space</w:t>
      </w:r>
      <w:r w:rsidR="00F66AA6">
        <w:rPr>
          <w:rFonts w:ascii="Century Gothic" w:hAnsi="Century Gothic"/>
          <w:szCs w:val="24"/>
        </w:rPr>
        <w:t xml:space="preserve"> and suburban development. </w:t>
      </w:r>
      <w:r w:rsidR="00076427">
        <w:rPr>
          <w:rFonts w:ascii="Century Gothic" w:hAnsi="Century Gothic"/>
          <w:szCs w:val="24"/>
        </w:rPr>
        <w:t>Maxent</w:t>
      </w:r>
      <w:r w:rsidR="00F66AA6">
        <w:rPr>
          <w:rFonts w:ascii="Century Gothic" w:hAnsi="Century Gothic"/>
          <w:szCs w:val="24"/>
        </w:rPr>
        <w:t xml:space="preserve"> results described below show that Phragmites presence is more closely linked to agricultural lands than development. Therefore, there is an overall slight decrease in suitable Phragmites habitats </w:t>
      </w:r>
      <w:r>
        <w:rPr>
          <w:rFonts w:ascii="Century Gothic" w:hAnsi="Century Gothic"/>
          <w:szCs w:val="24"/>
        </w:rPr>
        <w:t>over time</w:t>
      </w:r>
      <w:r w:rsidR="00F66AA6">
        <w:rPr>
          <w:rFonts w:ascii="Century Gothic" w:hAnsi="Century Gothic"/>
          <w:szCs w:val="24"/>
        </w:rPr>
        <w:t xml:space="preserve">. However, the temporal trend of Phragmites </w:t>
      </w:r>
      <w:r w:rsidR="00E653DD">
        <w:rPr>
          <w:rFonts w:ascii="Century Gothic" w:hAnsi="Century Gothic"/>
          <w:szCs w:val="24"/>
        </w:rPr>
        <w:t>expansion with increasing</w:t>
      </w:r>
      <w:r w:rsidR="00F66AA6">
        <w:rPr>
          <w:rFonts w:ascii="Century Gothic" w:hAnsi="Century Gothic"/>
          <w:szCs w:val="24"/>
        </w:rPr>
        <w:t xml:space="preserve"> development and dec</w:t>
      </w:r>
      <w:r w:rsidR="00E653DD">
        <w:rPr>
          <w:rFonts w:ascii="Century Gothic" w:hAnsi="Century Gothic"/>
          <w:szCs w:val="24"/>
        </w:rPr>
        <w:t>line</w:t>
      </w:r>
      <w:r w:rsidR="00F66AA6">
        <w:rPr>
          <w:rFonts w:ascii="Century Gothic" w:hAnsi="Century Gothic"/>
          <w:szCs w:val="24"/>
        </w:rPr>
        <w:t xml:space="preserve"> in areas where agriculture is declining results in a concentration of Phragmites around </w:t>
      </w:r>
      <w:r w:rsidR="00E653DD">
        <w:rPr>
          <w:rFonts w:ascii="Century Gothic" w:hAnsi="Century Gothic"/>
          <w:szCs w:val="24"/>
        </w:rPr>
        <w:t xml:space="preserve">populated </w:t>
      </w:r>
      <w:r w:rsidR="00F66AA6">
        <w:rPr>
          <w:rFonts w:ascii="Century Gothic" w:hAnsi="Century Gothic"/>
          <w:szCs w:val="24"/>
        </w:rPr>
        <w:t xml:space="preserve">areas.  </w:t>
      </w:r>
    </w:p>
    <w:p w14:paraId="096FA5C2" w14:textId="77777777" w:rsidR="00F66AA6" w:rsidRDefault="00F66AA6" w:rsidP="008975BD">
      <w:pPr>
        <w:spacing w:after="0" w:line="240" w:lineRule="auto"/>
      </w:pPr>
    </w:p>
    <w:p w14:paraId="3A265E7F" w14:textId="1B8AFC4B" w:rsidR="009A3960" w:rsidRDefault="00076427" w:rsidP="008975BD">
      <w:pPr>
        <w:spacing w:after="0" w:line="240" w:lineRule="auto"/>
        <w:rPr>
          <w:rFonts w:ascii="Century Gothic" w:eastAsia="Times New Roman" w:hAnsi="Century Gothic" w:cs="Times New Roman"/>
          <w:b/>
          <w:bCs/>
          <w:color w:val="000000"/>
        </w:rPr>
      </w:pPr>
      <w:r>
        <w:rPr>
          <w:rFonts w:ascii="Century Gothic" w:eastAsia="Times New Roman" w:hAnsi="Century Gothic" w:cs="Times New Roman"/>
          <w:b/>
          <w:bCs/>
          <w:color w:val="000000"/>
        </w:rPr>
        <w:t>Maxent</w:t>
      </w:r>
      <w:r w:rsidR="009A3960" w:rsidRPr="009A3960">
        <w:rPr>
          <w:rFonts w:ascii="Century Gothic" w:eastAsia="Times New Roman" w:hAnsi="Century Gothic" w:cs="Times New Roman"/>
          <w:b/>
          <w:bCs/>
          <w:color w:val="000000"/>
        </w:rPr>
        <w:t xml:space="preserve"> 2010</w:t>
      </w:r>
    </w:p>
    <w:p w14:paraId="47AB6064" w14:textId="416A0E16" w:rsidR="0056313A" w:rsidRDefault="00076427" w:rsidP="0056313A">
      <w:pPr>
        <w:spacing w:after="0" w:line="240" w:lineRule="auto"/>
        <w:rPr>
          <w:rFonts w:ascii="Century Gothic" w:hAnsi="Century Gothic"/>
          <w:szCs w:val="24"/>
        </w:rPr>
      </w:pPr>
      <w:r>
        <w:rPr>
          <w:rFonts w:ascii="Century Gothic" w:hAnsi="Century Gothic"/>
          <w:szCs w:val="24"/>
        </w:rPr>
        <w:t>Maxent</w:t>
      </w:r>
      <w:r w:rsidR="0056313A">
        <w:rPr>
          <w:rFonts w:ascii="Century Gothic" w:hAnsi="Century Gothic"/>
          <w:szCs w:val="24"/>
        </w:rPr>
        <w:t xml:space="preserve"> modeling for 2010 was done with the before mentioned explanatory variables on Phragmites presence points and output their contribution to the model. The 2010 model percent contribution for the top</w:t>
      </w:r>
      <w:r w:rsidR="00AE6B34">
        <w:rPr>
          <w:rFonts w:ascii="Century Gothic" w:hAnsi="Century Gothic"/>
          <w:szCs w:val="24"/>
        </w:rPr>
        <w:t xml:space="preserve"> five variables are shown below in table 3.</w:t>
      </w:r>
    </w:p>
    <w:p w14:paraId="19134C62" w14:textId="2F4169AA" w:rsidR="00AE6B34" w:rsidRDefault="00AE6B34" w:rsidP="0056313A">
      <w:pPr>
        <w:spacing w:after="0" w:line="240" w:lineRule="auto"/>
        <w:rPr>
          <w:rFonts w:ascii="Century Gothic" w:hAnsi="Century Gothic"/>
          <w:szCs w:val="24"/>
        </w:rPr>
      </w:pPr>
    </w:p>
    <w:p w14:paraId="7B7F6543" w14:textId="5EA31D4E" w:rsidR="00AE6B34" w:rsidRDefault="00AE6B34" w:rsidP="0056313A">
      <w:pPr>
        <w:spacing w:after="0" w:line="240" w:lineRule="auto"/>
        <w:rPr>
          <w:rFonts w:ascii="Century Gothic" w:hAnsi="Century Gothic"/>
          <w:szCs w:val="24"/>
        </w:rPr>
      </w:pPr>
      <w:r>
        <w:rPr>
          <w:rFonts w:ascii="Century Gothic" w:hAnsi="Century Gothic"/>
          <w:szCs w:val="24"/>
        </w:rPr>
        <w:t xml:space="preserve">Table 3: </w:t>
      </w:r>
      <w:r w:rsidR="00076427">
        <w:rPr>
          <w:rFonts w:ascii="Century Gothic" w:hAnsi="Century Gothic"/>
          <w:szCs w:val="24"/>
        </w:rPr>
        <w:t>Maxent</w:t>
      </w:r>
      <w:r>
        <w:rPr>
          <w:rFonts w:ascii="Century Gothic" w:hAnsi="Century Gothic"/>
          <w:szCs w:val="24"/>
        </w:rPr>
        <w:t xml:space="preserve"> 2010 Percent Contribution</w:t>
      </w:r>
      <w:r w:rsidR="00383581">
        <w:rPr>
          <w:rFonts w:ascii="Century Gothic" w:hAnsi="Century Gothic"/>
          <w:szCs w:val="24"/>
        </w:rPr>
        <w:t xml:space="preserve"> for each environmental variable</w:t>
      </w:r>
    </w:p>
    <w:p w14:paraId="5D6DA348" w14:textId="03318B26" w:rsidR="0016227D" w:rsidRPr="009A3960" w:rsidRDefault="0016227D" w:rsidP="008975BD">
      <w:pPr>
        <w:spacing w:after="0" w:line="240" w:lineRule="auto"/>
        <w:rPr>
          <w:rFonts w:ascii="Century Gothic" w:eastAsia="Times New Roman" w:hAnsi="Century Gothic" w:cs="Times New Roman"/>
          <w:b/>
          <w:bCs/>
          <w:color w:val="000000"/>
        </w:rPr>
      </w:pPr>
    </w:p>
    <w:tbl>
      <w:tblPr>
        <w:tblW w:w="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377"/>
        <w:gridCol w:w="2163"/>
      </w:tblGrid>
      <w:tr w:rsidR="00466A2F" w:rsidRPr="00466A2F" w14:paraId="6C09EBB6" w14:textId="77777777" w:rsidTr="00777E53">
        <w:trPr>
          <w:trHeight w:val="190"/>
          <w:jc w:val="center"/>
        </w:trPr>
        <w:tc>
          <w:tcPr>
            <w:tcW w:w="3377" w:type="dxa"/>
            <w:shd w:val="clear" w:color="auto" w:fill="FFFFFF" w:themeFill="background1"/>
            <w:tcMar>
              <w:top w:w="46" w:type="dxa"/>
              <w:left w:w="70" w:type="dxa"/>
              <w:bottom w:w="46" w:type="dxa"/>
              <w:right w:w="70" w:type="dxa"/>
            </w:tcMar>
            <w:hideMark/>
          </w:tcPr>
          <w:p w14:paraId="2BD38F24" w14:textId="1E48FF5C" w:rsidR="00466A2F" w:rsidRPr="00466A2F" w:rsidRDefault="00466A2F" w:rsidP="00466A2F">
            <w:pPr>
              <w:spacing w:after="0" w:line="240" w:lineRule="auto"/>
              <w:rPr>
                <w:rFonts w:ascii="Century Gothic" w:hAnsi="Century Gothic"/>
                <w:szCs w:val="24"/>
              </w:rPr>
            </w:pPr>
            <w:r>
              <w:rPr>
                <w:rFonts w:ascii="Century Gothic" w:hAnsi="Century Gothic"/>
                <w:b/>
                <w:bCs/>
                <w:szCs w:val="24"/>
              </w:rPr>
              <w:t>Explanatory Variable</w:t>
            </w:r>
          </w:p>
        </w:tc>
        <w:tc>
          <w:tcPr>
            <w:tcW w:w="2163" w:type="dxa"/>
            <w:shd w:val="clear" w:color="auto" w:fill="FFFFFF" w:themeFill="background1"/>
            <w:tcMar>
              <w:top w:w="46" w:type="dxa"/>
              <w:left w:w="70" w:type="dxa"/>
              <w:bottom w:w="46" w:type="dxa"/>
              <w:right w:w="70" w:type="dxa"/>
            </w:tcMar>
            <w:hideMark/>
          </w:tcPr>
          <w:p w14:paraId="6E2712D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b/>
                <w:bCs/>
                <w:szCs w:val="24"/>
              </w:rPr>
              <w:t>Percent contribution</w:t>
            </w:r>
          </w:p>
        </w:tc>
      </w:tr>
      <w:tr w:rsidR="00466A2F" w:rsidRPr="00466A2F" w14:paraId="3DD5C42F"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53A494D6"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Topographic roughness</w:t>
            </w:r>
          </w:p>
        </w:tc>
        <w:tc>
          <w:tcPr>
            <w:tcW w:w="2163" w:type="dxa"/>
            <w:shd w:val="clear" w:color="auto" w:fill="FFFFFF" w:themeFill="background1"/>
            <w:tcMar>
              <w:top w:w="46" w:type="dxa"/>
              <w:left w:w="70" w:type="dxa"/>
              <w:bottom w:w="46" w:type="dxa"/>
              <w:right w:w="70" w:type="dxa"/>
            </w:tcMar>
            <w:hideMark/>
          </w:tcPr>
          <w:p w14:paraId="6BEEA8FC"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28</w:t>
            </w:r>
          </w:p>
        </w:tc>
      </w:tr>
      <w:tr w:rsidR="00466A2F" w:rsidRPr="00466A2F" w14:paraId="113965A8"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4CD403A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Driest season temperature</w:t>
            </w:r>
          </w:p>
        </w:tc>
        <w:tc>
          <w:tcPr>
            <w:tcW w:w="2163" w:type="dxa"/>
            <w:shd w:val="clear" w:color="auto" w:fill="FFFFFF" w:themeFill="background1"/>
            <w:tcMar>
              <w:top w:w="46" w:type="dxa"/>
              <w:left w:w="70" w:type="dxa"/>
              <w:bottom w:w="46" w:type="dxa"/>
              <w:right w:w="70" w:type="dxa"/>
            </w:tcMar>
            <w:hideMark/>
          </w:tcPr>
          <w:p w14:paraId="7C9C3F68"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17.7</w:t>
            </w:r>
          </w:p>
        </w:tc>
      </w:tr>
      <w:tr w:rsidR="00466A2F" w:rsidRPr="00466A2F" w14:paraId="35E30E1A"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61FD8EA8"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Coldest season temperature</w:t>
            </w:r>
          </w:p>
        </w:tc>
        <w:tc>
          <w:tcPr>
            <w:tcW w:w="2163" w:type="dxa"/>
            <w:shd w:val="clear" w:color="auto" w:fill="FFFFFF" w:themeFill="background1"/>
            <w:tcMar>
              <w:top w:w="46" w:type="dxa"/>
              <w:left w:w="70" w:type="dxa"/>
              <w:bottom w:w="46" w:type="dxa"/>
              <w:right w:w="70" w:type="dxa"/>
            </w:tcMar>
            <w:hideMark/>
          </w:tcPr>
          <w:p w14:paraId="5756BED0"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17.1</w:t>
            </w:r>
          </w:p>
        </w:tc>
      </w:tr>
      <w:tr w:rsidR="00466A2F" w:rsidRPr="00466A2F" w14:paraId="752533E9" w14:textId="77777777" w:rsidTr="00777E53">
        <w:trPr>
          <w:trHeight w:val="161"/>
          <w:jc w:val="center"/>
        </w:trPr>
        <w:tc>
          <w:tcPr>
            <w:tcW w:w="3377" w:type="dxa"/>
            <w:shd w:val="clear" w:color="auto" w:fill="FFFFFF" w:themeFill="background1"/>
            <w:tcMar>
              <w:top w:w="46" w:type="dxa"/>
              <w:left w:w="70" w:type="dxa"/>
              <w:bottom w:w="46" w:type="dxa"/>
              <w:right w:w="70" w:type="dxa"/>
            </w:tcMar>
            <w:hideMark/>
          </w:tcPr>
          <w:p w14:paraId="62A0BB6F"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 xml:space="preserve">Soil drainage </w:t>
            </w:r>
          </w:p>
        </w:tc>
        <w:tc>
          <w:tcPr>
            <w:tcW w:w="2163" w:type="dxa"/>
            <w:shd w:val="clear" w:color="auto" w:fill="FFFFFF" w:themeFill="background1"/>
            <w:tcMar>
              <w:top w:w="46" w:type="dxa"/>
              <w:left w:w="70" w:type="dxa"/>
              <w:bottom w:w="46" w:type="dxa"/>
              <w:right w:w="70" w:type="dxa"/>
            </w:tcMar>
            <w:hideMark/>
          </w:tcPr>
          <w:p w14:paraId="4B436FCF"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13</w:t>
            </w:r>
          </w:p>
        </w:tc>
      </w:tr>
      <w:tr w:rsidR="00466A2F" w:rsidRPr="00466A2F" w14:paraId="37B3BABC"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2F455813"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 xml:space="preserve">Distance from agriculture </w:t>
            </w:r>
          </w:p>
        </w:tc>
        <w:tc>
          <w:tcPr>
            <w:tcW w:w="2163" w:type="dxa"/>
            <w:shd w:val="clear" w:color="auto" w:fill="FFFFFF" w:themeFill="background1"/>
            <w:tcMar>
              <w:top w:w="46" w:type="dxa"/>
              <w:left w:w="70" w:type="dxa"/>
              <w:bottom w:w="46" w:type="dxa"/>
              <w:right w:w="70" w:type="dxa"/>
            </w:tcMar>
            <w:hideMark/>
          </w:tcPr>
          <w:p w14:paraId="1250901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12.5</w:t>
            </w:r>
          </w:p>
        </w:tc>
      </w:tr>
    </w:tbl>
    <w:p w14:paraId="1A726F68" w14:textId="3BB43455" w:rsidR="0011512F" w:rsidRDefault="0011512F" w:rsidP="0011512F">
      <w:pPr>
        <w:rPr>
          <w:rFonts w:ascii="Century Gothic" w:hAnsi="Century Gothic"/>
        </w:rPr>
      </w:pPr>
    </w:p>
    <w:p w14:paraId="00D0D1EE" w14:textId="16796740" w:rsidR="0011512F" w:rsidRDefault="00C758D3" w:rsidP="0011512F">
      <w:pPr>
        <w:spacing w:after="0" w:line="240" w:lineRule="auto"/>
        <w:rPr>
          <w:rFonts w:ascii="Century Gothic" w:hAnsi="Century Gothic"/>
          <w:szCs w:val="24"/>
        </w:rPr>
      </w:pPr>
      <w:r>
        <w:rPr>
          <w:rFonts w:ascii="Century Gothic" w:hAnsi="Century Gothic"/>
          <w:szCs w:val="24"/>
        </w:rPr>
        <w:t>T</w:t>
      </w:r>
      <w:r w:rsidR="0011512F">
        <w:rPr>
          <w:rFonts w:ascii="Century Gothic" w:hAnsi="Century Gothic"/>
          <w:szCs w:val="24"/>
        </w:rPr>
        <w:t>opographic roughness was by far the most contributing factor. Topographic roughness is the standard deviation of elevation in an area. For this project, a 50 cell radius of standard deviation for a cell was used. Topographic roughness can be thought of as the relative</w:t>
      </w:r>
      <w:r>
        <w:rPr>
          <w:rFonts w:ascii="Century Gothic" w:hAnsi="Century Gothic"/>
          <w:szCs w:val="24"/>
        </w:rPr>
        <w:t xml:space="preserve"> </w:t>
      </w:r>
      <w:r w:rsidR="0011512F">
        <w:rPr>
          <w:rFonts w:ascii="Century Gothic" w:hAnsi="Century Gothic"/>
          <w:szCs w:val="24"/>
        </w:rPr>
        <w:t xml:space="preserve">consistency or variability of slope in an area. As </w:t>
      </w:r>
      <w:r w:rsidR="001B5BF5">
        <w:rPr>
          <w:rFonts w:ascii="Century Gothic" w:hAnsi="Century Gothic"/>
          <w:szCs w:val="24"/>
        </w:rPr>
        <w:t>Phragmites</w:t>
      </w:r>
      <w:r w:rsidR="0011512F">
        <w:rPr>
          <w:rFonts w:ascii="Century Gothic" w:hAnsi="Century Gothic"/>
          <w:szCs w:val="24"/>
        </w:rPr>
        <w:t xml:space="preserve"> is known to inhabit wetland areas that are of similar elevation, their topographic roughness value is known to be low. Conversely, areas of high topographic roughness, such as mountainous terrain that has varied elevations, are known to negatively impact Phragmites growth as there is generally less areas of pooled water which Phragmites thrives in. Similar studies have found topographic roughness to be the most contributing factor for Phragmites modeling, so this result is not surprising. </w:t>
      </w:r>
    </w:p>
    <w:p w14:paraId="661244DE" w14:textId="77777777" w:rsidR="0011512F" w:rsidRDefault="0011512F" w:rsidP="0011512F">
      <w:pPr>
        <w:spacing w:after="0" w:line="240" w:lineRule="auto"/>
        <w:rPr>
          <w:rFonts w:ascii="Century Gothic" w:hAnsi="Century Gothic"/>
          <w:szCs w:val="24"/>
        </w:rPr>
      </w:pPr>
    </w:p>
    <w:p w14:paraId="4302EE5E" w14:textId="62880DFC" w:rsidR="002C428B" w:rsidRDefault="0011512F" w:rsidP="0011512F">
      <w:pPr>
        <w:spacing w:after="0" w:line="240" w:lineRule="auto"/>
        <w:rPr>
          <w:rFonts w:ascii="Century Gothic" w:hAnsi="Century Gothic"/>
          <w:szCs w:val="24"/>
        </w:rPr>
      </w:pPr>
      <w:r>
        <w:rPr>
          <w:rFonts w:ascii="Century Gothic" w:hAnsi="Century Gothic"/>
          <w:szCs w:val="24"/>
        </w:rPr>
        <w:t xml:space="preserve">Driest season temperature is the </w:t>
      </w:r>
      <w:r w:rsidR="002C428B">
        <w:rPr>
          <w:rFonts w:ascii="Century Gothic" w:hAnsi="Century Gothic"/>
          <w:szCs w:val="24"/>
        </w:rPr>
        <w:t>average</w:t>
      </w:r>
      <w:r>
        <w:rPr>
          <w:rFonts w:ascii="Century Gothic" w:hAnsi="Century Gothic"/>
          <w:szCs w:val="24"/>
        </w:rPr>
        <w:t xml:space="preserve"> temperature over the</w:t>
      </w:r>
      <w:r w:rsidR="00C758D3">
        <w:rPr>
          <w:rFonts w:ascii="Century Gothic" w:hAnsi="Century Gothic"/>
          <w:szCs w:val="24"/>
        </w:rPr>
        <w:t xml:space="preserve"> 3 month quarter that sees the lowest precipitation rates</w:t>
      </w:r>
      <w:r w:rsidR="001B5BF5">
        <w:rPr>
          <w:rFonts w:ascii="Century Gothic" w:hAnsi="Century Gothic"/>
          <w:szCs w:val="24"/>
        </w:rPr>
        <w:t>. In the Great Lakes Basin, GPM + TRMM define the driest 3 months</w:t>
      </w:r>
      <w:r w:rsidR="00C758D3">
        <w:rPr>
          <w:rFonts w:ascii="Century Gothic" w:hAnsi="Century Gothic"/>
          <w:szCs w:val="24"/>
        </w:rPr>
        <w:t xml:space="preserve"> </w:t>
      </w:r>
      <w:r w:rsidR="001B5BF5">
        <w:rPr>
          <w:rFonts w:ascii="Century Gothic" w:hAnsi="Century Gothic"/>
          <w:szCs w:val="24"/>
        </w:rPr>
        <w:t xml:space="preserve">as January, February, and March. Coldest season temperature is defined as the </w:t>
      </w:r>
      <w:r w:rsidR="002C428B">
        <w:rPr>
          <w:rFonts w:ascii="Century Gothic" w:hAnsi="Century Gothic"/>
          <w:szCs w:val="24"/>
        </w:rPr>
        <w:t>average temperature over the coldest quarter</w:t>
      </w:r>
      <w:r w:rsidR="004E6550">
        <w:rPr>
          <w:rFonts w:ascii="Century Gothic" w:hAnsi="Century Gothic"/>
          <w:szCs w:val="24"/>
        </w:rPr>
        <w:t xml:space="preserve">. MERRA-2 data showed </w:t>
      </w:r>
      <w:r w:rsidR="002C428B">
        <w:rPr>
          <w:rFonts w:ascii="Century Gothic" w:hAnsi="Century Gothic"/>
          <w:szCs w:val="24"/>
        </w:rPr>
        <w:t xml:space="preserve">that December, January, and February are the coldest months in the study region. The importance of these variables in the </w:t>
      </w:r>
      <w:r w:rsidR="00076427">
        <w:rPr>
          <w:rFonts w:ascii="Century Gothic" w:hAnsi="Century Gothic"/>
          <w:szCs w:val="24"/>
        </w:rPr>
        <w:t>Maxent</w:t>
      </w:r>
      <w:r w:rsidR="002C428B">
        <w:rPr>
          <w:rFonts w:ascii="Century Gothic" w:hAnsi="Century Gothic"/>
          <w:szCs w:val="24"/>
        </w:rPr>
        <w:t xml:space="preserve"> model suggests that during these months, Phragmites growth is often temperature-limited. </w:t>
      </w:r>
    </w:p>
    <w:p w14:paraId="4DE85C07" w14:textId="77777777" w:rsidR="002C428B" w:rsidRDefault="002C428B" w:rsidP="0011512F">
      <w:pPr>
        <w:spacing w:after="0" w:line="240" w:lineRule="auto"/>
        <w:rPr>
          <w:rFonts w:ascii="Century Gothic" w:hAnsi="Century Gothic"/>
          <w:szCs w:val="24"/>
        </w:rPr>
      </w:pPr>
    </w:p>
    <w:p w14:paraId="2A4E7543" w14:textId="2E60130D" w:rsidR="006A3437" w:rsidRDefault="006A3437" w:rsidP="0011512F">
      <w:pPr>
        <w:spacing w:after="0" w:line="240" w:lineRule="auto"/>
        <w:rPr>
          <w:rFonts w:ascii="Century Gothic" w:hAnsi="Century Gothic"/>
          <w:szCs w:val="24"/>
        </w:rPr>
      </w:pPr>
      <w:r>
        <w:rPr>
          <w:rFonts w:ascii="Century Gothic" w:hAnsi="Century Gothic"/>
          <w:szCs w:val="24"/>
        </w:rPr>
        <w:t xml:space="preserve">Soil drainage is the measurement of how slowly or quickly water is drained from the soil. Areas with low soil drainage are characterized as wetlands due to water pooling as a </w:t>
      </w:r>
      <w:r>
        <w:rPr>
          <w:rFonts w:ascii="Century Gothic" w:hAnsi="Century Gothic"/>
          <w:szCs w:val="24"/>
        </w:rPr>
        <w:lastRenderedPageBreak/>
        <w:t xml:space="preserve">result of low drainage classes. Phragmites is therefore correlated with areas </w:t>
      </w:r>
      <w:r w:rsidR="00383581">
        <w:rPr>
          <w:rFonts w:ascii="Century Gothic" w:hAnsi="Century Gothic"/>
          <w:szCs w:val="24"/>
        </w:rPr>
        <w:t xml:space="preserve">of </w:t>
      </w:r>
      <w:r>
        <w:rPr>
          <w:rFonts w:ascii="Century Gothic" w:hAnsi="Century Gothic"/>
          <w:szCs w:val="24"/>
        </w:rPr>
        <w:t xml:space="preserve">low soil drainage. Conversely, areas of high drainage where water rarely pools are seen as poor habitats for Phragmites as </w:t>
      </w:r>
      <w:r w:rsidR="00383581">
        <w:rPr>
          <w:rFonts w:ascii="Century Gothic" w:hAnsi="Century Gothic"/>
          <w:szCs w:val="24"/>
        </w:rPr>
        <w:t>the common reed</w:t>
      </w:r>
      <w:r>
        <w:rPr>
          <w:rFonts w:ascii="Century Gothic" w:hAnsi="Century Gothic"/>
          <w:szCs w:val="24"/>
        </w:rPr>
        <w:t xml:space="preserve"> thrives in inundated areas. </w:t>
      </w:r>
    </w:p>
    <w:p w14:paraId="66927FA1" w14:textId="33801D9E" w:rsidR="006A3437" w:rsidRDefault="006A3437" w:rsidP="0011512F">
      <w:pPr>
        <w:spacing w:after="0" w:line="240" w:lineRule="auto"/>
        <w:rPr>
          <w:rFonts w:ascii="Century Gothic" w:hAnsi="Century Gothic"/>
          <w:szCs w:val="24"/>
        </w:rPr>
      </w:pPr>
    </w:p>
    <w:p w14:paraId="54FCF6C3" w14:textId="3A845FFD" w:rsidR="006A3437" w:rsidRDefault="006A3437" w:rsidP="0011512F">
      <w:pPr>
        <w:spacing w:after="0" w:line="240" w:lineRule="auto"/>
        <w:rPr>
          <w:rFonts w:ascii="Century Gothic" w:hAnsi="Century Gothic"/>
          <w:szCs w:val="24"/>
        </w:rPr>
      </w:pPr>
      <w:r>
        <w:rPr>
          <w:rFonts w:ascii="Century Gothic" w:hAnsi="Century Gothic"/>
          <w:szCs w:val="24"/>
        </w:rPr>
        <w:t>Finally, distance from agriculture was the f</w:t>
      </w:r>
      <w:r w:rsidR="000417D0">
        <w:rPr>
          <w:rFonts w:ascii="Century Gothic" w:hAnsi="Century Gothic"/>
          <w:szCs w:val="24"/>
        </w:rPr>
        <w:t xml:space="preserve">ifth most explanatory variable. Previous research (Mazer et al., 2015) found that proximity from agriculture was a strong predictor of Phragmites growth due to </w:t>
      </w:r>
      <w:r w:rsidR="00623C3A">
        <w:rPr>
          <w:rFonts w:ascii="Century Gothic" w:hAnsi="Century Gothic"/>
          <w:szCs w:val="24"/>
        </w:rPr>
        <w:t xml:space="preserve">1) </w:t>
      </w:r>
      <w:r w:rsidR="00383581">
        <w:rPr>
          <w:rFonts w:ascii="Century Gothic" w:hAnsi="Century Gothic"/>
          <w:szCs w:val="24"/>
        </w:rPr>
        <w:t>fertilizer run</w:t>
      </w:r>
      <w:r w:rsidR="000417D0">
        <w:rPr>
          <w:rFonts w:ascii="Century Gothic" w:hAnsi="Century Gothic"/>
          <w:szCs w:val="24"/>
        </w:rPr>
        <w:t>off</w:t>
      </w:r>
      <w:r w:rsidR="00623C3A">
        <w:rPr>
          <w:rFonts w:ascii="Century Gothic" w:hAnsi="Century Gothic"/>
          <w:szCs w:val="24"/>
        </w:rPr>
        <w:t xml:space="preserve"> such as phosphorus and nitrogen, and 2) the use of agricultural machinery, which often destroys biodiverse areas, leading to monotypic Phragmites taking over these new areas. </w:t>
      </w:r>
    </w:p>
    <w:p w14:paraId="79C11957" w14:textId="4597C3FF" w:rsidR="00623C3A" w:rsidRDefault="00623C3A" w:rsidP="0011512F">
      <w:pPr>
        <w:spacing w:after="0" w:line="240" w:lineRule="auto"/>
        <w:rPr>
          <w:rFonts w:ascii="Century Gothic" w:hAnsi="Century Gothic"/>
          <w:szCs w:val="24"/>
        </w:rPr>
      </w:pPr>
    </w:p>
    <w:p w14:paraId="0B48825D" w14:textId="0CD61158" w:rsidR="0011512F" w:rsidRDefault="00AE6B34" w:rsidP="00383581">
      <w:pPr>
        <w:spacing w:after="0" w:line="240" w:lineRule="auto"/>
        <w:rPr>
          <w:rFonts w:ascii="Century Gothic" w:hAnsi="Century Gothic"/>
          <w:szCs w:val="24"/>
        </w:rPr>
      </w:pPr>
      <w:r>
        <w:rPr>
          <w:rFonts w:ascii="Century Gothic" w:hAnsi="Century Gothic"/>
          <w:szCs w:val="24"/>
        </w:rPr>
        <w:t xml:space="preserve">Figure 5 </w:t>
      </w:r>
      <w:r w:rsidR="00623C3A">
        <w:rPr>
          <w:rFonts w:ascii="Century Gothic" w:hAnsi="Century Gothic"/>
          <w:szCs w:val="24"/>
        </w:rPr>
        <w:t xml:space="preserve">shows Phragmites risk classified into five categories of risk for the US side of the Great Lakes Basin. In general, the southern lakes such as Erie, Ontario, and southern parts of Michigan demonstrated higher risk than northern areas. Phragmites risk was also located in populated areas and less common in very rural places. The border west of Cleveland on Lake Erie demonstrated the highest risk area for the US border. </w:t>
      </w:r>
    </w:p>
    <w:p w14:paraId="0B640A88" w14:textId="77777777" w:rsidR="00383581" w:rsidRPr="00383581" w:rsidRDefault="00383581" w:rsidP="00383581">
      <w:pPr>
        <w:spacing w:after="0" w:line="240" w:lineRule="auto"/>
        <w:rPr>
          <w:rFonts w:ascii="Century Gothic" w:hAnsi="Century Gothic"/>
          <w:szCs w:val="24"/>
        </w:rPr>
      </w:pPr>
    </w:p>
    <w:p w14:paraId="66CDA66E" w14:textId="4F8C9B89" w:rsidR="0056313A" w:rsidRDefault="00AE6B34" w:rsidP="00777E53">
      <w:pPr>
        <w:rPr>
          <w:noProof/>
        </w:rPr>
      </w:pPr>
      <w:r>
        <w:rPr>
          <w:rFonts w:ascii="Century Gothic" w:hAnsi="Century Gothic"/>
        </w:rPr>
        <w:t>Figure 5</w:t>
      </w:r>
      <w:r w:rsidR="0011512F">
        <w:rPr>
          <w:rFonts w:ascii="Century Gothic" w:hAnsi="Century Gothic"/>
        </w:rPr>
        <w:t>: The following map show the</w:t>
      </w:r>
      <w:r w:rsidR="005A7151">
        <w:rPr>
          <w:rFonts w:ascii="Century Gothic" w:hAnsi="Century Gothic"/>
        </w:rPr>
        <w:t xml:space="preserve"> risk of Phragmites in the US for</w:t>
      </w:r>
      <w:r w:rsidR="0011512F">
        <w:rPr>
          <w:rFonts w:ascii="Century Gothic" w:hAnsi="Century Gothic"/>
        </w:rPr>
        <w:t xml:space="preserve"> 2010</w:t>
      </w:r>
    </w:p>
    <w:p w14:paraId="7DD15378" w14:textId="4B4C4F08" w:rsidR="00466A2F" w:rsidRDefault="0056313A" w:rsidP="00383581">
      <w:pPr>
        <w:tabs>
          <w:tab w:val="left" w:pos="7920"/>
        </w:tabs>
        <w:spacing w:after="0" w:line="240" w:lineRule="auto"/>
        <w:jc w:val="center"/>
        <w:rPr>
          <w:rFonts w:ascii="Century Gothic" w:hAnsi="Century Gothic"/>
          <w:szCs w:val="24"/>
        </w:rPr>
      </w:pPr>
      <w:r>
        <w:rPr>
          <w:noProof/>
        </w:rPr>
        <w:drawing>
          <wp:inline distT="0" distB="0" distL="0" distR="0" wp14:anchorId="04A42C1D" wp14:editId="7AE95D8B">
            <wp:extent cx="4105275" cy="307895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xent_USA_20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7598" cy="3088198"/>
                    </a:xfrm>
                    <a:prstGeom prst="rect">
                      <a:avLst/>
                    </a:prstGeom>
                  </pic:spPr>
                </pic:pic>
              </a:graphicData>
            </a:graphic>
          </wp:inline>
        </w:drawing>
      </w:r>
    </w:p>
    <w:p w14:paraId="4980CDC2" w14:textId="77777777" w:rsidR="00623C3A" w:rsidRDefault="00623C3A" w:rsidP="0056313A">
      <w:pPr>
        <w:spacing w:after="0" w:line="240" w:lineRule="auto"/>
        <w:jc w:val="center"/>
        <w:rPr>
          <w:rFonts w:ascii="Century Gothic" w:hAnsi="Century Gothic"/>
          <w:szCs w:val="24"/>
        </w:rPr>
      </w:pPr>
    </w:p>
    <w:p w14:paraId="0C90B686" w14:textId="0528D83F" w:rsidR="00E818AF" w:rsidRDefault="0028535B" w:rsidP="008975BD">
      <w:pPr>
        <w:spacing w:after="0" w:line="240" w:lineRule="auto"/>
        <w:rPr>
          <w:rFonts w:ascii="Century Gothic" w:hAnsi="Century Gothic"/>
          <w:szCs w:val="24"/>
        </w:rPr>
      </w:pPr>
      <w:r>
        <w:rPr>
          <w:rFonts w:ascii="Century Gothic" w:hAnsi="Century Gothic"/>
          <w:szCs w:val="24"/>
        </w:rPr>
        <w:t xml:space="preserve">So as not to over fit the model, </w:t>
      </w:r>
      <w:r w:rsidR="00076427">
        <w:rPr>
          <w:rFonts w:ascii="Century Gothic" w:hAnsi="Century Gothic"/>
          <w:szCs w:val="24"/>
        </w:rPr>
        <w:t>Maxent</w:t>
      </w:r>
      <w:r>
        <w:rPr>
          <w:rFonts w:ascii="Century Gothic" w:hAnsi="Century Gothic"/>
          <w:szCs w:val="24"/>
        </w:rPr>
        <w:t xml:space="preserve"> was re-run using variables that did not have correlation coefficients </w:t>
      </w:r>
      <w:r w:rsidR="00F66AA6">
        <w:rPr>
          <w:rFonts w:ascii="Century Gothic" w:hAnsi="Century Gothic"/>
          <w:szCs w:val="24"/>
        </w:rPr>
        <w:t>greater than</w:t>
      </w:r>
      <w:r w:rsidR="00AE6B34">
        <w:rPr>
          <w:rFonts w:ascii="Century Gothic" w:hAnsi="Century Gothic"/>
          <w:szCs w:val="24"/>
        </w:rPr>
        <w:t xml:space="preserve"> .7. Table 4 (appendix)</w:t>
      </w:r>
      <w:r>
        <w:rPr>
          <w:rFonts w:ascii="Century Gothic" w:hAnsi="Century Gothic"/>
          <w:szCs w:val="24"/>
        </w:rPr>
        <w:t xml:space="preserve"> shows the correlation coefficients of the explanatory variables used when compared to each other. </w:t>
      </w:r>
      <w:r w:rsidR="00F66AA6">
        <w:rPr>
          <w:rFonts w:ascii="Century Gothic" w:hAnsi="Century Gothic"/>
          <w:szCs w:val="24"/>
        </w:rPr>
        <w:t xml:space="preserve">In general, bioclimatic variables dry season temperature and cold season temperature were highly correlated. Proximity variables such as distance from agriculture and distance from development were also highly correlated. </w:t>
      </w:r>
      <w:r>
        <w:rPr>
          <w:rFonts w:ascii="Century Gothic" w:hAnsi="Century Gothic"/>
          <w:szCs w:val="24"/>
        </w:rPr>
        <w:t xml:space="preserve">After eliminating variables with high correlation coefficients, the resulting variables included: dry temperature, topographic roughness, proximity from agriculture, and soil drainage. </w:t>
      </w:r>
    </w:p>
    <w:p w14:paraId="7996CB87" w14:textId="77777777" w:rsidR="0028535B" w:rsidRDefault="0028535B" w:rsidP="008975BD">
      <w:pPr>
        <w:spacing w:after="0" w:line="240" w:lineRule="auto"/>
        <w:rPr>
          <w:rFonts w:ascii="Century Gothic" w:hAnsi="Century Gothic"/>
          <w:szCs w:val="24"/>
        </w:rPr>
      </w:pPr>
    </w:p>
    <w:p w14:paraId="5B31E692" w14:textId="6D3BC552" w:rsidR="00623C3A" w:rsidRDefault="00AE6B34" w:rsidP="00623C3A">
      <w:pPr>
        <w:spacing w:after="0" w:line="240" w:lineRule="auto"/>
        <w:rPr>
          <w:rFonts w:ascii="Century Gothic" w:hAnsi="Century Gothic"/>
          <w:szCs w:val="24"/>
        </w:rPr>
      </w:pPr>
      <w:r>
        <w:rPr>
          <w:rFonts w:ascii="Century Gothic" w:hAnsi="Century Gothic"/>
          <w:szCs w:val="24"/>
        </w:rPr>
        <w:t>Figure 6</w:t>
      </w:r>
      <w:r w:rsidR="00F41BAB">
        <w:rPr>
          <w:rFonts w:ascii="Century Gothic" w:hAnsi="Century Gothic"/>
          <w:szCs w:val="24"/>
        </w:rPr>
        <w:t xml:space="preserve"> (Appendices)</w:t>
      </w:r>
      <w:r w:rsidR="00623C3A">
        <w:rPr>
          <w:rFonts w:ascii="Century Gothic" w:hAnsi="Century Gothic"/>
          <w:szCs w:val="24"/>
        </w:rPr>
        <w:t xml:space="preserve"> shows the Area Under the Curve (AUC) for the </w:t>
      </w:r>
      <w:r w:rsidR="00076427">
        <w:rPr>
          <w:rFonts w:ascii="Century Gothic" w:hAnsi="Century Gothic"/>
          <w:szCs w:val="24"/>
        </w:rPr>
        <w:t>Maxent</w:t>
      </w:r>
      <w:r w:rsidR="00623C3A">
        <w:rPr>
          <w:rFonts w:ascii="Century Gothic" w:hAnsi="Century Gothic"/>
          <w:szCs w:val="24"/>
        </w:rPr>
        <w:t xml:space="preserve"> output for 2010 in the US after running the model with </w:t>
      </w:r>
      <w:r w:rsidR="0028535B">
        <w:rPr>
          <w:rFonts w:ascii="Century Gothic" w:hAnsi="Century Gothic"/>
          <w:szCs w:val="24"/>
        </w:rPr>
        <w:t>the previously mentioned four variables.</w:t>
      </w:r>
      <w:r w:rsidR="00623C3A">
        <w:rPr>
          <w:rFonts w:ascii="Century Gothic" w:hAnsi="Century Gothic"/>
          <w:szCs w:val="24"/>
        </w:rPr>
        <w:t xml:space="preserve"> </w:t>
      </w:r>
      <w:r w:rsidR="00623C3A">
        <w:rPr>
          <w:rFonts w:ascii="Century Gothic" w:hAnsi="Century Gothic"/>
          <w:szCs w:val="24"/>
        </w:rPr>
        <w:lastRenderedPageBreak/>
        <w:t>Area under the curve is a measurement of how accurately the model preforms in measuring</w:t>
      </w:r>
      <w:r w:rsidR="0028535B">
        <w:rPr>
          <w:rFonts w:ascii="Century Gothic" w:hAnsi="Century Gothic"/>
          <w:szCs w:val="24"/>
        </w:rPr>
        <w:t xml:space="preserve"> its observed variable</w:t>
      </w:r>
      <w:r w:rsidR="00623C3A">
        <w:rPr>
          <w:rFonts w:ascii="Century Gothic" w:hAnsi="Century Gothic"/>
          <w:szCs w:val="24"/>
        </w:rPr>
        <w:t xml:space="preserve">. An AOC of .5 means the model is no better than random, while an AOC of 1 means the model perfectly measures distribution. The model for 2010 Phragmites risk gave an AOC of .85, which is an acceptable model that still has room for improvement. </w:t>
      </w:r>
      <w:r>
        <w:rPr>
          <w:rFonts w:ascii="Century Gothic" w:hAnsi="Century Gothic"/>
          <w:szCs w:val="24"/>
        </w:rPr>
        <w:t>Table 5</w:t>
      </w:r>
      <w:r w:rsidR="0028535B">
        <w:rPr>
          <w:rFonts w:ascii="Century Gothic" w:hAnsi="Century Gothic"/>
          <w:szCs w:val="24"/>
        </w:rPr>
        <w:t xml:space="preserve"> shows the percent contribution to the model when </w:t>
      </w:r>
      <w:r w:rsidR="00076427">
        <w:rPr>
          <w:rFonts w:ascii="Century Gothic" w:hAnsi="Century Gothic"/>
          <w:szCs w:val="24"/>
        </w:rPr>
        <w:t>Maxent</w:t>
      </w:r>
      <w:r w:rsidR="0028535B">
        <w:rPr>
          <w:rFonts w:ascii="Century Gothic" w:hAnsi="Century Gothic"/>
          <w:szCs w:val="24"/>
        </w:rPr>
        <w:t xml:space="preserve"> was re</w:t>
      </w:r>
      <w:r w:rsidR="00F66AA6">
        <w:rPr>
          <w:rFonts w:ascii="Century Gothic" w:hAnsi="Century Gothic"/>
          <w:szCs w:val="24"/>
        </w:rPr>
        <w:t>-</w:t>
      </w:r>
      <w:r w:rsidR="0028535B">
        <w:rPr>
          <w:rFonts w:ascii="Century Gothic" w:hAnsi="Century Gothic"/>
          <w:szCs w:val="24"/>
        </w:rPr>
        <w:t xml:space="preserve">run using only these four variables. </w:t>
      </w:r>
    </w:p>
    <w:p w14:paraId="58ABCB15" w14:textId="4FBD1E42" w:rsidR="00061173" w:rsidRDefault="00AE6B34" w:rsidP="00061173">
      <w:pPr>
        <w:spacing w:after="0" w:line="240" w:lineRule="auto"/>
        <w:rPr>
          <w:rFonts w:ascii="Century Gothic" w:hAnsi="Century Gothic"/>
          <w:szCs w:val="24"/>
        </w:rPr>
      </w:pPr>
      <w:r>
        <w:rPr>
          <w:rFonts w:ascii="Century Gothic" w:hAnsi="Century Gothic"/>
          <w:szCs w:val="24"/>
        </w:rPr>
        <w:t>Table 5</w:t>
      </w:r>
      <w:r w:rsidR="00061173">
        <w:rPr>
          <w:rFonts w:ascii="Century Gothic" w:hAnsi="Century Gothic"/>
          <w:szCs w:val="24"/>
        </w:rPr>
        <w:t>: The following table shows the four environmental variables and</w:t>
      </w:r>
      <w:r w:rsidR="003B4044">
        <w:rPr>
          <w:rFonts w:ascii="Century Gothic" w:hAnsi="Century Gothic"/>
          <w:szCs w:val="24"/>
        </w:rPr>
        <w:t xml:space="preserve"> their contributions to the </w:t>
      </w:r>
      <w:r w:rsidR="00076427">
        <w:rPr>
          <w:rFonts w:ascii="Century Gothic" w:hAnsi="Century Gothic"/>
          <w:szCs w:val="24"/>
        </w:rPr>
        <w:t>Maxent</w:t>
      </w:r>
      <w:r w:rsidR="00061173">
        <w:rPr>
          <w:rFonts w:ascii="Century Gothic" w:hAnsi="Century Gothic"/>
          <w:szCs w:val="24"/>
        </w:rPr>
        <w:t xml:space="preserve"> model in 2010</w:t>
      </w:r>
      <w:r w:rsidR="00A4723F">
        <w:rPr>
          <w:rFonts w:ascii="Century Gothic" w:hAnsi="Century Gothic"/>
          <w:szCs w:val="24"/>
        </w:rPr>
        <w:t xml:space="preserve"> in the US</w:t>
      </w:r>
      <w:r w:rsidR="0028535B">
        <w:rPr>
          <w:rFonts w:ascii="Century Gothic" w:hAnsi="Century Gothic"/>
          <w:szCs w:val="24"/>
        </w:rPr>
        <w:t>: dry temperature (2010), topographic roughness, proximity from agriculture, and soil d</w:t>
      </w:r>
      <w:r w:rsidR="00061173">
        <w:rPr>
          <w:rFonts w:ascii="Century Gothic" w:hAnsi="Century Gothic"/>
          <w:szCs w:val="24"/>
        </w:rPr>
        <w:t xml:space="preserve">rainage. </w:t>
      </w:r>
    </w:p>
    <w:p w14:paraId="3825CA09" w14:textId="77777777" w:rsidR="00F66AA6" w:rsidRDefault="00F66AA6" w:rsidP="00061173">
      <w:pPr>
        <w:spacing w:after="0" w:line="240" w:lineRule="auto"/>
        <w:rPr>
          <w:rFonts w:ascii="Century Gothic" w:hAnsi="Century Gothic"/>
          <w:szCs w:val="24"/>
        </w:rPr>
      </w:pPr>
    </w:p>
    <w:tbl>
      <w:tblPr>
        <w:tblStyle w:val="TableGrid"/>
        <w:tblW w:w="7523" w:type="dxa"/>
        <w:jc w:val="center"/>
        <w:tblLook w:val="04A0" w:firstRow="1" w:lastRow="0" w:firstColumn="1" w:lastColumn="0" w:noHBand="0" w:noVBand="1"/>
      </w:tblPr>
      <w:tblGrid>
        <w:gridCol w:w="2149"/>
        <w:gridCol w:w="2525"/>
        <w:gridCol w:w="2849"/>
      </w:tblGrid>
      <w:tr w:rsidR="00F66AA6" w:rsidRPr="00D168B7" w14:paraId="79752F58" w14:textId="77777777" w:rsidTr="00383581">
        <w:trPr>
          <w:trHeight w:val="575"/>
          <w:jc w:val="center"/>
        </w:trPr>
        <w:tc>
          <w:tcPr>
            <w:tcW w:w="2149" w:type="dxa"/>
            <w:hideMark/>
          </w:tcPr>
          <w:p w14:paraId="483D7912" w14:textId="723F753B" w:rsidR="00F66AA6" w:rsidRPr="00D168B7" w:rsidRDefault="00F66AA6" w:rsidP="001A63B0">
            <w:pPr>
              <w:rPr>
                <w:rFonts w:ascii="Century Gothic" w:hAnsi="Century Gothic"/>
                <w:b/>
                <w:bCs/>
                <w:szCs w:val="24"/>
              </w:rPr>
            </w:pPr>
            <w:r>
              <w:rPr>
                <w:rFonts w:ascii="Century Gothic" w:hAnsi="Century Gothic"/>
                <w:b/>
                <w:bCs/>
                <w:szCs w:val="24"/>
              </w:rPr>
              <w:t>Variable</w:t>
            </w:r>
          </w:p>
        </w:tc>
        <w:tc>
          <w:tcPr>
            <w:tcW w:w="2525" w:type="dxa"/>
            <w:hideMark/>
          </w:tcPr>
          <w:p w14:paraId="795A8545" w14:textId="4049D6D2" w:rsidR="00F66AA6" w:rsidRPr="00D168B7" w:rsidRDefault="00F66AA6" w:rsidP="001A63B0">
            <w:pPr>
              <w:rPr>
                <w:rFonts w:ascii="Century Gothic" w:hAnsi="Century Gothic"/>
                <w:b/>
                <w:bCs/>
                <w:szCs w:val="24"/>
              </w:rPr>
            </w:pPr>
            <w:r>
              <w:rPr>
                <w:rFonts w:ascii="Century Gothic" w:hAnsi="Century Gothic"/>
                <w:b/>
                <w:bCs/>
                <w:szCs w:val="24"/>
              </w:rPr>
              <w:t>Percent contribution</w:t>
            </w:r>
          </w:p>
        </w:tc>
        <w:tc>
          <w:tcPr>
            <w:tcW w:w="2849" w:type="dxa"/>
            <w:hideMark/>
          </w:tcPr>
          <w:p w14:paraId="447E94C8" w14:textId="558CCD23" w:rsidR="00F66AA6" w:rsidRPr="00D168B7" w:rsidRDefault="00F66AA6" w:rsidP="001A63B0">
            <w:pPr>
              <w:rPr>
                <w:rFonts w:ascii="Century Gothic" w:hAnsi="Century Gothic"/>
                <w:b/>
                <w:bCs/>
                <w:szCs w:val="24"/>
              </w:rPr>
            </w:pPr>
            <w:r>
              <w:rPr>
                <w:rFonts w:ascii="Century Gothic" w:hAnsi="Century Gothic"/>
                <w:b/>
                <w:bCs/>
                <w:szCs w:val="24"/>
              </w:rPr>
              <w:t>Permutation Importance</w:t>
            </w:r>
          </w:p>
        </w:tc>
      </w:tr>
      <w:tr w:rsidR="00F66AA6" w:rsidRPr="00D168B7" w14:paraId="5FDF9E30" w14:textId="77777777" w:rsidTr="00383581">
        <w:trPr>
          <w:trHeight w:val="287"/>
          <w:jc w:val="center"/>
        </w:trPr>
        <w:tc>
          <w:tcPr>
            <w:tcW w:w="2149" w:type="dxa"/>
            <w:hideMark/>
          </w:tcPr>
          <w:p w14:paraId="1FA6317E" w14:textId="3CD59DA8" w:rsidR="00F66AA6" w:rsidRPr="00D168B7" w:rsidRDefault="00F66AA6" w:rsidP="001A63B0">
            <w:pPr>
              <w:rPr>
                <w:rFonts w:ascii="Century Gothic" w:hAnsi="Century Gothic"/>
                <w:szCs w:val="24"/>
              </w:rPr>
            </w:pPr>
            <w:r>
              <w:rPr>
                <w:rFonts w:ascii="Century Gothic" w:hAnsi="Century Gothic"/>
                <w:szCs w:val="24"/>
              </w:rPr>
              <w:t>Dry season Temperature</w:t>
            </w:r>
          </w:p>
        </w:tc>
        <w:tc>
          <w:tcPr>
            <w:tcW w:w="2525" w:type="dxa"/>
            <w:hideMark/>
          </w:tcPr>
          <w:p w14:paraId="45C55F41" w14:textId="73590DD7" w:rsidR="00F66AA6" w:rsidRPr="00D168B7" w:rsidRDefault="00F66AA6" w:rsidP="00F66AA6">
            <w:pPr>
              <w:tabs>
                <w:tab w:val="left" w:pos="1590"/>
              </w:tabs>
              <w:rPr>
                <w:rFonts w:ascii="Century Gothic" w:hAnsi="Century Gothic"/>
                <w:szCs w:val="24"/>
              </w:rPr>
            </w:pPr>
            <w:r>
              <w:rPr>
                <w:rFonts w:ascii="Century Gothic" w:hAnsi="Century Gothic"/>
                <w:szCs w:val="24"/>
              </w:rPr>
              <w:t>38.1</w:t>
            </w:r>
          </w:p>
        </w:tc>
        <w:tc>
          <w:tcPr>
            <w:tcW w:w="2849" w:type="dxa"/>
            <w:hideMark/>
          </w:tcPr>
          <w:p w14:paraId="2A176580" w14:textId="0A5022CA" w:rsidR="00F66AA6" w:rsidRPr="00D168B7" w:rsidRDefault="00F66AA6" w:rsidP="001A63B0">
            <w:pPr>
              <w:rPr>
                <w:rFonts w:ascii="Century Gothic" w:hAnsi="Century Gothic"/>
                <w:szCs w:val="24"/>
              </w:rPr>
            </w:pPr>
            <w:r>
              <w:rPr>
                <w:rFonts w:ascii="Century Gothic" w:hAnsi="Century Gothic"/>
                <w:szCs w:val="24"/>
              </w:rPr>
              <w:t>48.8</w:t>
            </w:r>
          </w:p>
        </w:tc>
      </w:tr>
      <w:tr w:rsidR="00F66AA6" w:rsidRPr="00D168B7" w14:paraId="4CD56EFE" w14:textId="77777777" w:rsidTr="00383581">
        <w:trPr>
          <w:trHeight w:val="287"/>
          <w:jc w:val="center"/>
        </w:trPr>
        <w:tc>
          <w:tcPr>
            <w:tcW w:w="2149" w:type="dxa"/>
            <w:hideMark/>
          </w:tcPr>
          <w:p w14:paraId="20C47600" w14:textId="09B78DE8" w:rsidR="00F66AA6" w:rsidRPr="00D168B7" w:rsidRDefault="00F66AA6" w:rsidP="001A63B0">
            <w:pPr>
              <w:rPr>
                <w:rFonts w:ascii="Century Gothic" w:hAnsi="Century Gothic"/>
                <w:szCs w:val="24"/>
              </w:rPr>
            </w:pPr>
            <w:r>
              <w:rPr>
                <w:rFonts w:ascii="Century Gothic" w:hAnsi="Century Gothic"/>
                <w:szCs w:val="24"/>
              </w:rPr>
              <w:t>Topographic Roughness</w:t>
            </w:r>
          </w:p>
        </w:tc>
        <w:tc>
          <w:tcPr>
            <w:tcW w:w="2525" w:type="dxa"/>
            <w:hideMark/>
          </w:tcPr>
          <w:p w14:paraId="2BEF9A52" w14:textId="12C0ACC0" w:rsidR="00F66AA6" w:rsidRPr="00D168B7" w:rsidRDefault="00F66AA6" w:rsidP="001A63B0">
            <w:pPr>
              <w:rPr>
                <w:rFonts w:ascii="Century Gothic" w:hAnsi="Century Gothic"/>
                <w:szCs w:val="24"/>
              </w:rPr>
            </w:pPr>
            <w:r>
              <w:rPr>
                <w:rFonts w:ascii="Century Gothic" w:hAnsi="Century Gothic"/>
                <w:szCs w:val="24"/>
              </w:rPr>
              <w:t>32</w:t>
            </w:r>
          </w:p>
        </w:tc>
        <w:tc>
          <w:tcPr>
            <w:tcW w:w="2849" w:type="dxa"/>
            <w:hideMark/>
          </w:tcPr>
          <w:p w14:paraId="73CFA6C2" w14:textId="40BB1BE7" w:rsidR="00F66AA6" w:rsidRPr="00D168B7" w:rsidRDefault="00F66AA6" w:rsidP="001A63B0">
            <w:pPr>
              <w:rPr>
                <w:rFonts w:ascii="Century Gothic" w:hAnsi="Century Gothic"/>
                <w:szCs w:val="24"/>
              </w:rPr>
            </w:pPr>
            <w:r>
              <w:rPr>
                <w:rFonts w:ascii="Century Gothic" w:hAnsi="Century Gothic"/>
                <w:szCs w:val="24"/>
              </w:rPr>
              <w:t>30.9</w:t>
            </w:r>
          </w:p>
        </w:tc>
      </w:tr>
      <w:tr w:rsidR="00F66AA6" w:rsidRPr="00D168B7" w14:paraId="619A9DF8" w14:textId="77777777" w:rsidTr="00383581">
        <w:trPr>
          <w:trHeight w:val="287"/>
          <w:jc w:val="center"/>
        </w:trPr>
        <w:tc>
          <w:tcPr>
            <w:tcW w:w="2149" w:type="dxa"/>
            <w:hideMark/>
          </w:tcPr>
          <w:p w14:paraId="330FD1A7" w14:textId="2BD434CE" w:rsidR="00F66AA6" w:rsidRPr="00D168B7" w:rsidRDefault="00F66AA6" w:rsidP="001A63B0">
            <w:pPr>
              <w:rPr>
                <w:rFonts w:ascii="Century Gothic" w:hAnsi="Century Gothic"/>
                <w:szCs w:val="24"/>
              </w:rPr>
            </w:pPr>
            <w:r>
              <w:rPr>
                <w:rFonts w:ascii="Century Gothic" w:hAnsi="Century Gothic"/>
                <w:szCs w:val="24"/>
              </w:rPr>
              <w:t>Distance from Agriculture</w:t>
            </w:r>
          </w:p>
        </w:tc>
        <w:tc>
          <w:tcPr>
            <w:tcW w:w="2525" w:type="dxa"/>
            <w:hideMark/>
          </w:tcPr>
          <w:p w14:paraId="00EAD18F" w14:textId="64A1E94D" w:rsidR="00F66AA6" w:rsidRPr="00D168B7" w:rsidRDefault="00F66AA6" w:rsidP="001A63B0">
            <w:pPr>
              <w:rPr>
                <w:rFonts w:ascii="Century Gothic" w:hAnsi="Century Gothic"/>
                <w:szCs w:val="24"/>
              </w:rPr>
            </w:pPr>
            <w:r>
              <w:rPr>
                <w:rFonts w:ascii="Century Gothic" w:hAnsi="Century Gothic"/>
                <w:szCs w:val="24"/>
              </w:rPr>
              <w:t>15.6</w:t>
            </w:r>
          </w:p>
        </w:tc>
        <w:tc>
          <w:tcPr>
            <w:tcW w:w="2849" w:type="dxa"/>
            <w:hideMark/>
          </w:tcPr>
          <w:p w14:paraId="08C1380B" w14:textId="126E5D93" w:rsidR="00F66AA6" w:rsidRPr="00D168B7" w:rsidRDefault="00F66AA6" w:rsidP="001A63B0">
            <w:pPr>
              <w:rPr>
                <w:rFonts w:ascii="Century Gothic" w:hAnsi="Century Gothic"/>
                <w:szCs w:val="24"/>
              </w:rPr>
            </w:pPr>
            <w:r>
              <w:rPr>
                <w:rFonts w:ascii="Century Gothic" w:hAnsi="Century Gothic"/>
                <w:szCs w:val="24"/>
              </w:rPr>
              <w:t>10.9</w:t>
            </w:r>
          </w:p>
        </w:tc>
      </w:tr>
      <w:tr w:rsidR="00F66AA6" w:rsidRPr="00D168B7" w14:paraId="4333A089" w14:textId="77777777" w:rsidTr="00383581">
        <w:trPr>
          <w:trHeight w:val="287"/>
          <w:jc w:val="center"/>
        </w:trPr>
        <w:tc>
          <w:tcPr>
            <w:tcW w:w="2149" w:type="dxa"/>
            <w:hideMark/>
          </w:tcPr>
          <w:p w14:paraId="03AB14BB" w14:textId="6538188C" w:rsidR="00F66AA6" w:rsidRPr="00D168B7" w:rsidRDefault="00F66AA6" w:rsidP="001A63B0">
            <w:pPr>
              <w:rPr>
                <w:rFonts w:ascii="Century Gothic" w:hAnsi="Century Gothic"/>
                <w:szCs w:val="24"/>
              </w:rPr>
            </w:pPr>
            <w:r>
              <w:rPr>
                <w:rFonts w:ascii="Century Gothic" w:hAnsi="Century Gothic"/>
                <w:szCs w:val="24"/>
              </w:rPr>
              <w:t>Soil Drainage</w:t>
            </w:r>
          </w:p>
        </w:tc>
        <w:tc>
          <w:tcPr>
            <w:tcW w:w="2525" w:type="dxa"/>
            <w:hideMark/>
          </w:tcPr>
          <w:p w14:paraId="5546F10C" w14:textId="69D967DF" w:rsidR="00F66AA6" w:rsidRPr="00D168B7" w:rsidRDefault="00F66AA6" w:rsidP="001A63B0">
            <w:pPr>
              <w:rPr>
                <w:rFonts w:ascii="Century Gothic" w:hAnsi="Century Gothic"/>
                <w:szCs w:val="24"/>
              </w:rPr>
            </w:pPr>
            <w:r>
              <w:rPr>
                <w:rFonts w:ascii="Century Gothic" w:hAnsi="Century Gothic"/>
                <w:szCs w:val="24"/>
              </w:rPr>
              <w:t>14.3</w:t>
            </w:r>
          </w:p>
        </w:tc>
        <w:tc>
          <w:tcPr>
            <w:tcW w:w="2849" w:type="dxa"/>
            <w:hideMark/>
          </w:tcPr>
          <w:p w14:paraId="3E9CC95B" w14:textId="1989EC1F" w:rsidR="00F66AA6" w:rsidRPr="00D168B7" w:rsidRDefault="00F66AA6" w:rsidP="001A63B0">
            <w:pPr>
              <w:rPr>
                <w:rFonts w:ascii="Century Gothic" w:hAnsi="Century Gothic"/>
                <w:szCs w:val="24"/>
              </w:rPr>
            </w:pPr>
            <w:r>
              <w:rPr>
                <w:rFonts w:ascii="Century Gothic" w:hAnsi="Century Gothic"/>
                <w:szCs w:val="24"/>
              </w:rPr>
              <w:t>9.5</w:t>
            </w:r>
          </w:p>
        </w:tc>
      </w:tr>
    </w:tbl>
    <w:p w14:paraId="189533F1" w14:textId="77777777" w:rsidR="006F0C24" w:rsidRPr="006F0C24" w:rsidRDefault="006F0C24" w:rsidP="00383581">
      <w:pPr>
        <w:spacing w:after="0" w:line="240" w:lineRule="auto"/>
        <w:rPr>
          <w:rFonts w:ascii="Century Gothic" w:hAnsi="Century Gothic"/>
          <w:szCs w:val="24"/>
        </w:rPr>
      </w:pPr>
    </w:p>
    <w:p w14:paraId="348E0D4F" w14:textId="6D564F28" w:rsidR="0028535B" w:rsidRDefault="00076427" w:rsidP="006F0C24">
      <w:pPr>
        <w:spacing w:after="0" w:line="240" w:lineRule="auto"/>
        <w:rPr>
          <w:rFonts w:ascii="Century Gothic" w:eastAsia="Times New Roman" w:hAnsi="Century Gothic" w:cs="Times New Roman"/>
          <w:b/>
          <w:bCs/>
          <w:color w:val="000000"/>
        </w:rPr>
      </w:pPr>
      <w:r>
        <w:rPr>
          <w:rFonts w:ascii="Century Gothic" w:eastAsia="Times New Roman" w:hAnsi="Century Gothic" w:cs="Times New Roman"/>
          <w:b/>
          <w:bCs/>
          <w:color w:val="000000"/>
        </w:rPr>
        <w:t>Maxent</w:t>
      </w:r>
      <w:r w:rsidR="00CD6BAA" w:rsidRPr="009A3960">
        <w:rPr>
          <w:rFonts w:ascii="Century Gothic" w:eastAsia="Times New Roman" w:hAnsi="Century Gothic" w:cs="Times New Roman"/>
          <w:b/>
          <w:bCs/>
          <w:color w:val="000000"/>
        </w:rPr>
        <w:t xml:space="preserve"> 2020</w:t>
      </w:r>
    </w:p>
    <w:p w14:paraId="1C3608BA" w14:textId="3DCE744F" w:rsidR="004473B7" w:rsidRDefault="0028535B" w:rsidP="004473B7">
      <w:pPr>
        <w:spacing w:after="0" w:line="240" w:lineRule="auto"/>
        <w:rPr>
          <w:rFonts w:ascii="Century Gothic" w:hAnsi="Century Gothic"/>
        </w:rPr>
      </w:pPr>
      <w:r>
        <w:rPr>
          <w:rFonts w:ascii="Century Gothic" w:hAnsi="Century Gothic"/>
        </w:rPr>
        <w:t xml:space="preserve">To forecast risk of Phragmites to the year 2020, </w:t>
      </w:r>
      <w:r w:rsidR="00076427">
        <w:rPr>
          <w:rFonts w:ascii="Century Gothic" w:hAnsi="Century Gothic"/>
        </w:rPr>
        <w:t>Maxent</w:t>
      </w:r>
      <w:r>
        <w:rPr>
          <w:rFonts w:ascii="Century Gothic" w:hAnsi="Century Gothic"/>
        </w:rPr>
        <w:t xml:space="preserve"> was used in combination with Land Change Modeler. Land Change Modeler </w:t>
      </w:r>
      <w:r w:rsidR="00B6627C">
        <w:rPr>
          <w:rFonts w:ascii="Century Gothic" w:hAnsi="Century Gothic"/>
        </w:rPr>
        <w:t xml:space="preserve">gave the projected land classifications for the year 2020. These 2020 land classes were used to generate forecasted proximity </w:t>
      </w:r>
      <w:r w:rsidR="002C428B">
        <w:rPr>
          <w:rFonts w:ascii="Century Gothic" w:hAnsi="Century Gothic"/>
        </w:rPr>
        <w:t>from</w:t>
      </w:r>
      <w:r w:rsidR="00B6627C">
        <w:rPr>
          <w:rFonts w:ascii="Century Gothic" w:hAnsi="Century Gothic"/>
        </w:rPr>
        <w:t xml:space="preserve"> agriculture and proximity </w:t>
      </w:r>
      <w:r w:rsidR="002C428B">
        <w:rPr>
          <w:rFonts w:ascii="Century Gothic" w:hAnsi="Century Gothic"/>
        </w:rPr>
        <w:t>from</w:t>
      </w:r>
      <w:r w:rsidR="00B6627C">
        <w:rPr>
          <w:rFonts w:ascii="Century Gothic" w:hAnsi="Century Gothic"/>
        </w:rPr>
        <w:t xml:space="preserve"> development variables. Bioclimatic variables were also forecast to 2020 by adding their projected decadal trend. </w:t>
      </w:r>
      <w:r w:rsidR="002C428B">
        <w:rPr>
          <w:rFonts w:ascii="Century Gothic" w:hAnsi="Century Gothic"/>
        </w:rPr>
        <w:t xml:space="preserve"> </w:t>
      </w:r>
      <w:r w:rsidR="002C428B">
        <w:rPr>
          <w:rFonts w:ascii="Century Gothic" w:hAnsi="Century Gothic"/>
          <w:szCs w:val="24"/>
        </w:rPr>
        <w:t xml:space="preserve">DryTemp has seen an increase in temperature of ~0.15 degrees Celsius per decade, and ColdTemp has seen an increase in temperature across this season as ~0.27 degrees Celsius per decade. </w:t>
      </w:r>
      <w:r w:rsidR="00B6627C">
        <w:rPr>
          <w:rFonts w:ascii="Century Gothic" w:hAnsi="Century Gothic"/>
        </w:rPr>
        <w:t xml:space="preserve">With these forecasted environmental variables, </w:t>
      </w:r>
      <w:r w:rsidR="00076427">
        <w:rPr>
          <w:rFonts w:ascii="Century Gothic" w:hAnsi="Century Gothic"/>
        </w:rPr>
        <w:t>Maxent</w:t>
      </w:r>
      <w:r w:rsidR="00B6627C">
        <w:rPr>
          <w:rFonts w:ascii="Century Gothic" w:hAnsi="Century Gothic"/>
        </w:rPr>
        <w:t xml:space="preserve"> was re-run to output a 2020 Phragmites risk assessment</w:t>
      </w:r>
      <w:r w:rsidR="002C428B">
        <w:rPr>
          <w:rFonts w:ascii="Century Gothic" w:hAnsi="Century Gothic"/>
        </w:rPr>
        <w:t xml:space="preserve"> map (</w:t>
      </w:r>
      <w:r w:rsidR="00AE6B34">
        <w:rPr>
          <w:rFonts w:ascii="Century Gothic" w:hAnsi="Century Gothic"/>
        </w:rPr>
        <w:t>Figure 7</w:t>
      </w:r>
      <w:r w:rsidR="002C428B">
        <w:rPr>
          <w:rFonts w:ascii="Century Gothic" w:hAnsi="Century Gothic"/>
        </w:rPr>
        <w:t>).</w:t>
      </w:r>
      <w:r w:rsidR="004473B7">
        <w:rPr>
          <w:rFonts w:ascii="Century Gothic" w:hAnsi="Century Gothic"/>
        </w:rPr>
        <w:t xml:space="preserve">  </w:t>
      </w:r>
      <w:r w:rsidR="004473B7">
        <w:rPr>
          <w:rFonts w:ascii="Century Gothic" w:hAnsi="Century Gothic"/>
        </w:rPr>
        <w:br w:type="page"/>
      </w:r>
    </w:p>
    <w:p w14:paraId="0CCE7BE1" w14:textId="215A31D2" w:rsidR="004473B7" w:rsidRDefault="00AE6B34" w:rsidP="004473B7">
      <w:pPr>
        <w:rPr>
          <w:rFonts w:ascii="Century Gothic" w:hAnsi="Century Gothic"/>
        </w:rPr>
      </w:pPr>
      <w:r>
        <w:rPr>
          <w:rFonts w:ascii="Century Gothic" w:hAnsi="Century Gothic"/>
        </w:rPr>
        <w:lastRenderedPageBreak/>
        <w:t>Figure 7</w:t>
      </w:r>
      <w:r w:rsidR="0016227D">
        <w:rPr>
          <w:rFonts w:ascii="Century Gothic" w:hAnsi="Century Gothic"/>
        </w:rPr>
        <w:t>: The following map show the</w:t>
      </w:r>
      <w:r w:rsidR="005A7151">
        <w:rPr>
          <w:rFonts w:ascii="Century Gothic" w:hAnsi="Century Gothic"/>
        </w:rPr>
        <w:t xml:space="preserve"> risk of Phragmites in the US for</w:t>
      </w:r>
      <w:r w:rsidR="0016227D">
        <w:rPr>
          <w:rFonts w:ascii="Century Gothic" w:hAnsi="Century Gothic"/>
        </w:rPr>
        <w:t xml:space="preserve"> 2020</w:t>
      </w:r>
      <w:r w:rsidR="004473B7">
        <w:rPr>
          <w:rFonts w:ascii="Century Gothic" w:hAnsi="Century Gothic"/>
        </w:rPr>
        <w:t xml:space="preserve"> </w:t>
      </w:r>
    </w:p>
    <w:p w14:paraId="0B454691" w14:textId="687310D9" w:rsidR="0016227D" w:rsidRDefault="0016227D" w:rsidP="004473B7">
      <w:pPr>
        <w:jc w:val="center"/>
        <w:rPr>
          <w:rFonts w:ascii="Century Gothic" w:eastAsia="Times New Roman" w:hAnsi="Century Gothic" w:cs="Times New Roman"/>
          <w:b/>
          <w:bCs/>
          <w:color w:val="000000"/>
        </w:rPr>
      </w:pPr>
      <w:r>
        <w:rPr>
          <w:rFonts w:ascii="Century Gothic" w:hAnsi="Century Gothic"/>
          <w:noProof/>
        </w:rPr>
        <w:drawing>
          <wp:inline distT="0" distB="0" distL="0" distR="0" wp14:anchorId="6FFD2B16" wp14:editId="6B295531">
            <wp:extent cx="4081780" cy="30613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xent_USA_20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1780" cy="3061335"/>
                    </a:xfrm>
                    <a:prstGeom prst="rect">
                      <a:avLst/>
                    </a:prstGeom>
                  </pic:spPr>
                </pic:pic>
              </a:graphicData>
            </a:graphic>
          </wp:inline>
        </w:drawing>
      </w:r>
    </w:p>
    <w:p w14:paraId="1A052398" w14:textId="670EB972" w:rsidR="00F66AA6" w:rsidRDefault="00AE6B34" w:rsidP="00AE6B34">
      <w:pPr>
        <w:rPr>
          <w:rFonts w:ascii="Century Gothic" w:hAnsi="Century Gothic"/>
          <w:szCs w:val="24"/>
        </w:rPr>
      </w:pPr>
      <w:r>
        <w:rPr>
          <w:rFonts w:ascii="Century Gothic" w:hAnsi="Century Gothic"/>
          <w:szCs w:val="24"/>
        </w:rPr>
        <w:t>Figure 8</w:t>
      </w:r>
      <w:r w:rsidR="006F0C24" w:rsidRPr="006F0C24">
        <w:rPr>
          <w:rFonts w:ascii="Century Gothic" w:hAnsi="Century Gothic"/>
          <w:szCs w:val="24"/>
        </w:rPr>
        <w:t xml:space="preserve"> </w:t>
      </w:r>
      <w:r w:rsidR="00594B03">
        <w:rPr>
          <w:rFonts w:ascii="Century Gothic" w:hAnsi="Century Gothic"/>
          <w:szCs w:val="24"/>
        </w:rPr>
        <w:t xml:space="preserve">(Appendices) </w:t>
      </w:r>
      <w:r w:rsidR="006F0C24" w:rsidRPr="006F0C24">
        <w:rPr>
          <w:rFonts w:ascii="Century Gothic" w:hAnsi="Century Gothic"/>
          <w:szCs w:val="24"/>
        </w:rPr>
        <w:t>shows the A</w:t>
      </w:r>
      <w:r w:rsidR="00F41BAB">
        <w:rPr>
          <w:rFonts w:ascii="Century Gothic" w:hAnsi="Century Gothic"/>
          <w:szCs w:val="24"/>
        </w:rPr>
        <w:t>U</w:t>
      </w:r>
      <w:r w:rsidR="006F0C24" w:rsidRPr="006F0C24">
        <w:rPr>
          <w:rFonts w:ascii="Century Gothic" w:hAnsi="Century Gothic"/>
          <w:szCs w:val="24"/>
        </w:rPr>
        <w:t xml:space="preserve">C for the </w:t>
      </w:r>
      <w:r>
        <w:rPr>
          <w:rFonts w:ascii="Century Gothic" w:hAnsi="Century Gothic"/>
          <w:szCs w:val="24"/>
        </w:rPr>
        <w:t xml:space="preserve">2020 </w:t>
      </w:r>
      <w:r w:rsidR="00076427">
        <w:rPr>
          <w:rFonts w:ascii="Century Gothic" w:hAnsi="Century Gothic"/>
          <w:szCs w:val="24"/>
        </w:rPr>
        <w:t>Maxent</w:t>
      </w:r>
      <w:r>
        <w:rPr>
          <w:rFonts w:ascii="Century Gothic" w:hAnsi="Century Gothic"/>
          <w:szCs w:val="24"/>
        </w:rPr>
        <w:t xml:space="preserve"> model, while table 6</w:t>
      </w:r>
      <w:r w:rsidR="006F0C24" w:rsidRPr="006F0C24">
        <w:rPr>
          <w:rFonts w:ascii="Century Gothic" w:hAnsi="Century Gothic"/>
          <w:szCs w:val="24"/>
        </w:rPr>
        <w:t xml:space="preserve"> shows the percent contribution</w:t>
      </w:r>
      <w:r w:rsidR="006F0C24">
        <w:rPr>
          <w:rFonts w:ascii="Century Gothic" w:hAnsi="Century Gothic"/>
          <w:szCs w:val="24"/>
        </w:rPr>
        <w:t xml:space="preserve"> for the four explanatory variables of dry temperature, topographic roughness, distance from agriculture, and soil drainage. </w:t>
      </w:r>
    </w:p>
    <w:p w14:paraId="67D6ADA9" w14:textId="68C99FD2" w:rsidR="00DE68A2" w:rsidRPr="00DE68A2" w:rsidRDefault="00DE68A2" w:rsidP="00DE68A2">
      <w:pPr>
        <w:pStyle w:val="NoSpacing"/>
        <w:rPr>
          <w:rFonts w:ascii="Century Gothic" w:hAnsi="Century Gothic"/>
          <w:b/>
          <w:szCs w:val="24"/>
        </w:rPr>
      </w:pPr>
      <w:r w:rsidRPr="00DE68A2">
        <w:rPr>
          <w:rFonts w:ascii="Century Gothic" w:hAnsi="Century Gothic"/>
          <w:b/>
          <w:szCs w:val="24"/>
        </w:rPr>
        <w:t>Future Work:</w:t>
      </w:r>
    </w:p>
    <w:p w14:paraId="66E159D5" w14:textId="386996C7" w:rsidR="00674F5E" w:rsidRDefault="00674F5E" w:rsidP="00DE68A2">
      <w:pPr>
        <w:pStyle w:val="NoSpacing"/>
        <w:rPr>
          <w:rFonts w:ascii="Century Gothic" w:hAnsi="Century Gothic"/>
          <w:szCs w:val="24"/>
        </w:rPr>
      </w:pPr>
      <w:r>
        <w:rPr>
          <w:rFonts w:ascii="Century Gothic" w:hAnsi="Century Gothic"/>
          <w:szCs w:val="24"/>
        </w:rPr>
        <w:t xml:space="preserve">Future modeling could be greatly improved upon by having yearly </w:t>
      </w:r>
      <w:r w:rsidRPr="002C428B">
        <w:rPr>
          <w:rFonts w:ascii="Century Gothic" w:hAnsi="Century Gothic"/>
          <w:i/>
          <w:szCs w:val="24"/>
        </w:rPr>
        <w:t>in situ</w:t>
      </w:r>
      <w:r>
        <w:rPr>
          <w:rFonts w:ascii="Century Gothic" w:hAnsi="Century Gothic"/>
          <w:szCs w:val="24"/>
        </w:rPr>
        <w:t xml:space="preserve"> datasets for Phragmites locations. Having yearly datasets would allow further model accuracy and would allow end users a glimpse into how their preventative efforts are effecting Phragmites growth. </w:t>
      </w:r>
    </w:p>
    <w:p w14:paraId="45CA2663" w14:textId="3851A365" w:rsidR="00674F5E" w:rsidRDefault="00674F5E" w:rsidP="00DE68A2">
      <w:pPr>
        <w:pStyle w:val="NoSpacing"/>
        <w:rPr>
          <w:rFonts w:ascii="Century Gothic" w:hAnsi="Century Gothic"/>
          <w:szCs w:val="24"/>
        </w:rPr>
      </w:pPr>
    </w:p>
    <w:p w14:paraId="2EF63C00" w14:textId="16ACA45F" w:rsidR="00674F5E" w:rsidRDefault="00714D89" w:rsidP="00DE68A2">
      <w:pPr>
        <w:pStyle w:val="NoSpacing"/>
        <w:rPr>
          <w:rFonts w:ascii="Century Gothic" w:hAnsi="Century Gothic"/>
          <w:szCs w:val="24"/>
        </w:rPr>
      </w:pPr>
      <w:r>
        <w:rPr>
          <w:rFonts w:ascii="Century Gothic" w:hAnsi="Century Gothic"/>
          <w:szCs w:val="24"/>
        </w:rPr>
        <w:t>Modeling</w:t>
      </w:r>
      <w:r w:rsidR="00674F5E">
        <w:rPr>
          <w:rFonts w:ascii="Century Gothic" w:hAnsi="Century Gothic"/>
          <w:szCs w:val="24"/>
        </w:rPr>
        <w:t xml:space="preserve"> with US and Canadian </w:t>
      </w:r>
      <w:r>
        <w:rPr>
          <w:rFonts w:ascii="Century Gothic" w:hAnsi="Century Gothic"/>
          <w:szCs w:val="24"/>
        </w:rPr>
        <w:t xml:space="preserve">government </w:t>
      </w:r>
      <w:r w:rsidR="00674F5E">
        <w:rPr>
          <w:rFonts w:ascii="Century Gothic" w:hAnsi="Century Gothic"/>
          <w:szCs w:val="24"/>
        </w:rPr>
        <w:t xml:space="preserve">datasets proved incompatible due to differences in spatial resolution of remotely sensed </w:t>
      </w:r>
      <w:r>
        <w:rPr>
          <w:rFonts w:ascii="Century Gothic" w:hAnsi="Century Gothic"/>
          <w:szCs w:val="24"/>
        </w:rPr>
        <w:t>imagery</w:t>
      </w:r>
      <w:r w:rsidR="00674F5E">
        <w:rPr>
          <w:rFonts w:ascii="Century Gothic" w:hAnsi="Century Gothic"/>
          <w:szCs w:val="24"/>
        </w:rPr>
        <w:t xml:space="preserve">. If datasets were normalized across the region, then Basin wide (as opposed to US vs. Canadian) findings could be found. </w:t>
      </w:r>
      <w:r>
        <w:rPr>
          <w:rFonts w:ascii="Century Gothic" w:hAnsi="Century Gothic"/>
          <w:szCs w:val="24"/>
        </w:rPr>
        <w:t xml:space="preserve">  </w:t>
      </w:r>
    </w:p>
    <w:p w14:paraId="138C6A93" w14:textId="77777777" w:rsidR="00674F5E" w:rsidRDefault="00674F5E" w:rsidP="00DE68A2">
      <w:pPr>
        <w:pStyle w:val="NoSpacing"/>
        <w:rPr>
          <w:rFonts w:ascii="Century Gothic" w:hAnsi="Century Gothic"/>
          <w:szCs w:val="24"/>
        </w:rPr>
      </w:pPr>
    </w:p>
    <w:p w14:paraId="2FC900AE" w14:textId="34390CD6" w:rsidR="00073746" w:rsidRPr="00296AAA" w:rsidRDefault="00DE68A2" w:rsidP="00DE68A2">
      <w:pPr>
        <w:pStyle w:val="NoSpacing"/>
        <w:rPr>
          <w:rFonts w:ascii="Century Gothic" w:hAnsi="Century Gothic"/>
          <w:szCs w:val="24"/>
        </w:rPr>
      </w:pPr>
      <w:r>
        <w:rPr>
          <w:rFonts w:ascii="Century Gothic" w:hAnsi="Century Gothic"/>
          <w:szCs w:val="24"/>
        </w:rPr>
        <w:t>Given the apparent competition between trends in agriculture and development for future Phragmites risk, a natural extension of this work could focus on generating future scenarios spanning a range of high and low intensity agricultural use, development expansion, and climatic change.  Coupling such biophysical scenario generation with economic analyses could further benefit stakeholders in the region seeking to protect their communities against Phragmites invasion.</w:t>
      </w:r>
      <w:r w:rsidR="002A4D2C">
        <w:rPr>
          <w:rFonts w:ascii="Century Gothic" w:hAnsi="Century Gothic"/>
          <w:szCs w:val="24"/>
        </w:rPr>
        <w:t xml:space="preserve"> </w:t>
      </w:r>
      <w:r w:rsidR="00073746">
        <w:rPr>
          <w:rFonts w:ascii="Century Gothic" w:hAnsi="Century Gothic"/>
          <w:szCs w:val="24"/>
        </w:rPr>
        <w:t>Unfortunately, the risk posed by Phragmites is far from unique to the Great Lakes region. Our methods could</w:t>
      </w:r>
      <w:r w:rsidR="002A4D2C">
        <w:rPr>
          <w:rFonts w:ascii="Century Gothic" w:hAnsi="Century Gothic"/>
          <w:szCs w:val="24"/>
        </w:rPr>
        <w:t xml:space="preserve"> in theory</w:t>
      </w:r>
      <w:r w:rsidR="00073746">
        <w:rPr>
          <w:rFonts w:ascii="Century Gothic" w:hAnsi="Century Gothic"/>
          <w:szCs w:val="24"/>
        </w:rPr>
        <w:t xml:space="preserve"> be applied to</w:t>
      </w:r>
      <w:r w:rsidR="002A4D2C">
        <w:rPr>
          <w:rFonts w:ascii="Century Gothic" w:hAnsi="Century Gothic"/>
          <w:szCs w:val="24"/>
        </w:rPr>
        <w:t xml:space="preserve"> any area at risk for Phragmites invasion, provided relevant driver variables and Phragmites training/validation data are available. </w:t>
      </w:r>
      <w:r w:rsidR="00073746">
        <w:rPr>
          <w:rFonts w:ascii="Century Gothic" w:hAnsi="Century Gothic"/>
          <w:szCs w:val="24"/>
        </w:rPr>
        <w:t xml:space="preserve"> </w:t>
      </w:r>
    </w:p>
    <w:p w14:paraId="4A3C1F23" w14:textId="1521F13D" w:rsidR="009510D5" w:rsidRPr="00163542" w:rsidRDefault="008B7071" w:rsidP="00163542">
      <w:pPr>
        <w:pStyle w:val="Heading1"/>
        <w:rPr>
          <w:rFonts w:ascii="Century Gothic" w:hAnsi="Century Gothic"/>
        </w:rPr>
      </w:pPr>
      <w:bookmarkStart w:id="3" w:name="_Toc334198735"/>
      <w:r>
        <w:rPr>
          <w:rFonts w:ascii="Century Gothic" w:hAnsi="Century Gothic"/>
        </w:rPr>
        <w:lastRenderedPageBreak/>
        <w:t>V</w:t>
      </w:r>
      <w:r w:rsidR="0001001C">
        <w:rPr>
          <w:rFonts w:ascii="Century Gothic" w:hAnsi="Century Gothic"/>
        </w:rPr>
        <w:t>I</w:t>
      </w:r>
      <w:r>
        <w:rPr>
          <w:rFonts w:ascii="Century Gothic" w:hAnsi="Century Gothic"/>
        </w:rPr>
        <w:t xml:space="preserve">. </w:t>
      </w:r>
      <w:r w:rsidR="00E41324" w:rsidRPr="00B265D9">
        <w:rPr>
          <w:rFonts w:ascii="Century Gothic" w:hAnsi="Century Gothic"/>
        </w:rPr>
        <w:t>Conclusions</w:t>
      </w:r>
      <w:bookmarkEnd w:id="3"/>
    </w:p>
    <w:p w14:paraId="678D1638" w14:textId="16A8DD84" w:rsidR="00F66AA6" w:rsidRDefault="00163542" w:rsidP="008975BD">
      <w:pPr>
        <w:spacing w:after="0" w:line="240" w:lineRule="auto"/>
        <w:rPr>
          <w:rFonts w:ascii="Century Gothic" w:hAnsi="Century Gothic"/>
          <w:szCs w:val="24"/>
        </w:rPr>
      </w:pPr>
      <w:r w:rsidRPr="009510D5">
        <w:rPr>
          <w:rFonts w:ascii="Century Gothic" w:hAnsi="Century Gothic"/>
          <w:i/>
          <w:szCs w:val="24"/>
        </w:rPr>
        <w:t>Phragmites australis</w:t>
      </w:r>
      <w:r>
        <w:rPr>
          <w:rFonts w:ascii="Century Gothic" w:hAnsi="Century Gothic"/>
          <w:szCs w:val="24"/>
        </w:rPr>
        <w:t xml:space="preserve"> in the Great Lakes is a serious threat to native wetlands and has been shown to negatively impact communities throughout the region. As Phragmites expands, native wetlands are at risk of being taken over by monotypic stands, which lowers biodiversity in previously diverse wetlands. From a community concerns prospective, Phragmites is very costly to remove and also lowers lakefront property values by limiting access to the water. </w:t>
      </w:r>
    </w:p>
    <w:p w14:paraId="6746C04E" w14:textId="77777777" w:rsidR="00F66AA6" w:rsidRDefault="00F66AA6" w:rsidP="008975BD">
      <w:pPr>
        <w:spacing w:after="0" w:line="240" w:lineRule="auto"/>
        <w:rPr>
          <w:rFonts w:ascii="Century Gothic" w:hAnsi="Century Gothic"/>
          <w:szCs w:val="24"/>
        </w:rPr>
      </w:pPr>
    </w:p>
    <w:p w14:paraId="3021BF9F" w14:textId="2F5BCA51" w:rsidR="00163542" w:rsidRPr="00494746" w:rsidRDefault="00F66AA6" w:rsidP="008975BD">
      <w:pPr>
        <w:spacing w:after="0" w:line="240" w:lineRule="auto"/>
        <w:rPr>
          <w:rFonts w:ascii="Century Gothic" w:hAnsi="Century Gothic"/>
          <w:szCs w:val="24"/>
        </w:rPr>
      </w:pPr>
      <w:r>
        <w:rPr>
          <w:rFonts w:ascii="Century Gothic" w:hAnsi="Century Gothic"/>
          <w:szCs w:val="24"/>
        </w:rPr>
        <w:t xml:space="preserve">With a combination of </w:t>
      </w:r>
      <w:r w:rsidR="00076427">
        <w:rPr>
          <w:rFonts w:ascii="Century Gothic" w:hAnsi="Century Gothic"/>
          <w:szCs w:val="24"/>
        </w:rPr>
        <w:t>Maxent</w:t>
      </w:r>
      <w:r>
        <w:rPr>
          <w:rFonts w:ascii="Century Gothic" w:hAnsi="Century Gothic"/>
          <w:szCs w:val="24"/>
        </w:rPr>
        <w:t xml:space="preserve"> and Land Change Modeler software’s, Phragmites habitats are shown to be changing with the environment. As developed land expands at the expense of agricultural and forested land, Phragmites habitats are shifted to be more concentrated around areas of human activity. Policy makers in the Great Lakes Basin must therefore focus their preventative efforts towards areas marked for future development if they wish to slow the growth of Phragmites. </w:t>
      </w:r>
      <w:r w:rsidR="002A4A1D">
        <w:rPr>
          <w:rFonts w:ascii="Century Gothic" w:hAnsi="Century Gothic"/>
          <w:szCs w:val="24"/>
        </w:rPr>
        <w:t xml:space="preserve">This information will give policy makers the knowledge of where to best focus their efforts on stopping Phragmites expansion in at risk areas. </w:t>
      </w:r>
    </w:p>
    <w:p w14:paraId="2BF53931" w14:textId="523070EC" w:rsidR="00E41324" w:rsidRDefault="008B7071" w:rsidP="00D3013B">
      <w:pPr>
        <w:pStyle w:val="Heading1"/>
        <w:rPr>
          <w:rFonts w:ascii="Century Gothic" w:hAnsi="Century Gothic"/>
        </w:rPr>
      </w:pPr>
      <w:bookmarkStart w:id="4" w:name="_Toc334198736"/>
      <w:r>
        <w:rPr>
          <w:rFonts w:ascii="Century Gothic" w:hAnsi="Century Gothic"/>
        </w:rPr>
        <w:t>VI</w:t>
      </w:r>
      <w:r w:rsidR="0001001C">
        <w:rPr>
          <w:rFonts w:ascii="Century Gothic" w:hAnsi="Century Gothic"/>
        </w:rPr>
        <w:t>I</w:t>
      </w:r>
      <w:r>
        <w:rPr>
          <w:rFonts w:ascii="Century Gothic" w:hAnsi="Century Gothic"/>
        </w:rPr>
        <w:t xml:space="preserve">. </w:t>
      </w:r>
      <w:r w:rsidR="00E41324" w:rsidRPr="00B265D9">
        <w:rPr>
          <w:rFonts w:ascii="Century Gothic" w:hAnsi="Century Gothic"/>
        </w:rPr>
        <w:t>Acknowledgments</w:t>
      </w:r>
      <w:bookmarkEnd w:id="4"/>
    </w:p>
    <w:p w14:paraId="2F5528B1"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The Great Lakes Ecological Forecasting team would like to thanks the mentors, advisors, and partners who contributed time and assistance with making this project possible.</w:t>
      </w:r>
    </w:p>
    <w:p w14:paraId="7106C931"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2C61542A"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Mentors &amp; Advisors</w:t>
      </w:r>
    </w:p>
    <w:p w14:paraId="2CE6905F" w14:textId="77777777" w:rsidR="00FC0DB7" w:rsidRPr="00FC0DB7" w:rsidRDefault="00FC0DB7" w:rsidP="00FC0DB7">
      <w:pPr>
        <w:numPr>
          <w:ilvl w:val="0"/>
          <w:numId w:val="6"/>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Dr. Laura Bourgeau Chavez, The Michigan Technical Research Institute</w:t>
      </w:r>
    </w:p>
    <w:p w14:paraId="243D606F" w14:textId="3AC350FC" w:rsidR="00FC0DB7" w:rsidRPr="00FC0DB7" w:rsidRDefault="00296AAA" w:rsidP="00FC0DB7">
      <w:pPr>
        <w:numPr>
          <w:ilvl w:val="0"/>
          <w:numId w:val="6"/>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Dr. Kurt Kowalski, USGS</w:t>
      </w:r>
      <w:r w:rsidR="00FC0DB7" w:rsidRPr="00FC0DB7">
        <w:rPr>
          <w:rFonts w:ascii="Century Gothic" w:eastAsia="Times New Roman" w:hAnsi="Century Gothic" w:cs="Times New Roman"/>
          <w:color w:val="000000"/>
        </w:rPr>
        <w:br/>
      </w:r>
    </w:p>
    <w:p w14:paraId="61A94695"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Partners</w:t>
      </w:r>
    </w:p>
    <w:p w14:paraId="2F54F0EF" w14:textId="30A88B46" w:rsidR="007624C5" w:rsidRDefault="00FC0DB7" w:rsidP="00FC0DB7">
      <w:pPr>
        <w:numPr>
          <w:ilvl w:val="0"/>
          <w:numId w:val="7"/>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 xml:space="preserve">Laura Bretheim, The Great Lakes </w:t>
      </w:r>
      <w:r w:rsidR="0067036F">
        <w:rPr>
          <w:rFonts w:ascii="Century Gothic" w:eastAsia="Times New Roman" w:hAnsi="Century Gothic" w:cs="Times New Roman"/>
          <w:color w:val="000000"/>
        </w:rPr>
        <w:t xml:space="preserve">and </w:t>
      </w:r>
      <w:r w:rsidRPr="00FC0DB7">
        <w:rPr>
          <w:rFonts w:ascii="Century Gothic" w:eastAsia="Times New Roman" w:hAnsi="Century Gothic" w:cs="Times New Roman"/>
          <w:color w:val="000000"/>
        </w:rPr>
        <w:t>St. Lawrence Cities Initiative</w:t>
      </w:r>
    </w:p>
    <w:p w14:paraId="59642F58" w14:textId="4CF3D5BE" w:rsidR="0067036F" w:rsidRDefault="007624C5"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 xml:space="preserve">Simon Belisle, The Great Lakes </w:t>
      </w:r>
      <w:r w:rsidR="0067036F">
        <w:rPr>
          <w:rFonts w:ascii="Century Gothic" w:eastAsia="Times New Roman" w:hAnsi="Century Gothic" w:cs="Times New Roman"/>
          <w:color w:val="000000"/>
        </w:rPr>
        <w:t xml:space="preserve">and </w:t>
      </w:r>
      <w:r>
        <w:rPr>
          <w:rFonts w:ascii="Century Gothic" w:eastAsia="Times New Roman" w:hAnsi="Century Gothic" w:cs="Times New Roman"/>
          <w:color w:val="000000"/>
        </w:rPr>
        <w:t>St. Lawrence Cities Initiative</w:t>
      </w:r>
    </w:p>
    <w:p w14:paraId="3605AE2D" w14:textId="43561C86" w:rsidR="00FC0DB7" w:rsidRPr="00FC0DB7" w:rsidRDefault="0067036F"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David Ullrich, The Great Lakes and St. Lawrence Cities Initiative</w:t>
      </w:r>
      <w:r w:rsidR="00296AAA">
        <w:rPr>
          <w:rFonts w:ascii="Century Gothic" w:eastAsia="Times New Roman" w:hAnsi="Century Gothic" w:cs="Times New Roman"/>
          <w:color w:val="000000"/>
        </w:rPr>
        <w:br/>
      </w:r>
    </w:p>
    <w:p w14:paraId="12F7CB58"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All opinions, findings, and conclusions expressed in this article are those of the authors and do not necessarily reflect the views of the National Aeronautics and Space Administration.</w:t>
      </w:r>
    </w:p>
    <w:p w14:paraId="6C1A2936" w14:textId="47409E06" w:rsidR="00FC0DB7" w:rsidRPr="00FC0DB7" w:rsidRDefault="00FC0DB7" w:rsidP="00FC0DB7">
      <w:r w:rsidRPr="00FC0DB7">
        <w:rPr>
          <w:rFonts w:ascii="Times New Roman" w:eastAsia="Times New Roman" w:hAnsi="Times New Roman" w:cs="Times New Roman"/>
          <w:sz w:val="24"/>
          <w:szCs w:val="24"/>
        </w:rPr>
        <w:br/>
      </w:r>
      <w:r w:rsidRPr="00FC0DB7">
        <w:rPr>
          <w:rFonts w:ascii="Century Gothic" w:eastAsia="Times New Roman" w:hAnsi="Century Gothic" w:cs="Times New Roman"/>
          <w:color w:val="000000"/>
        </w:rPr>
        <w:t>This material is based upon work supported by NASA through contract NNL11AA00B and cooperative agreement NNX14AB60A.</w:t>
      </w:r>
    </w:p>
    <w:p w14:paraId="6A686CFC" w14:textId="2768FDAE" w:rsidR="00E41324" w:rsidRPr="00B265D9" w:rsidRDefault="008B7071" w:rsidP="00D3013B">
      <w:pPr>
        <w:pStyle w:val="Heading1"/>
        <w:rPr>
          <w:rFonts w:ascii="Century Gothic" w:hAnsi="Century Gothic"/>
        </w:rPr>
      </w:pPr>
      <w:bookmarkStart w:id="5" w:name="_Toc334198737"/>
      <w:r>
        <w:rPr>
          <w:rFonts w:ascii="Century Gothic" w:hAnsi="Century Gothic"/>
        </w:rPr>
        <w:t>VII</w:t>
      </w:r>
      <w:r w:rsidR="0001001C">
        <w:rPr>
          <w:rFonts w:ascii="Century Gothic" w:hAnsi="Century Gothic"/>
        </w:rPr>
        <w:t>I</w:t>
      </w:r>
      <w:r>
        <w:rPr>
          <w:rFonts w:ascii="Century Gothic" w:hAnsi="Century Gothic"/>
        </w:rPr>
        <w:t xml:space="preserve">. </w:t>
      </w:r>
      <w:r w:rsidR="00E41324" w:rsidRPr="00B265D9">
        <w:rPr>
          <w:rFonts w:ascii="Century Gothic" w:hAnsi="Century Gothic"/>
        </w:rPr>
        <w:t>References</w:t>
      </w:r>
      <w:bookmarkEnd w:id="5"/>
    </w:p>
    <w:p w14:paraId="2D3B667D" w14:textId="5AD781FB" w:rsidR="00A21620" w:rsidRPr="0067412E" w:rsidRDefault="00A5085E" w:rsidP="005A6706">
      <w:pPr>
        <w:pStyle w:val="NormalWeb"/>
        <w:spacing w:before="0" w:beforeAutospacing="0" w:after="0" w:afterAutospacing="0"/>
        <w:rPr>
          <w:rFonts w:ascii="Century Gothic" w:hAnsi="Century Gothic"/>
          <w:color w:val="000000"/>
          <w:sz w:val="22"/>
          <w:szCs w:val="22"/>
        </w:rPr>
      </w:pPr>
      <w:bookmarkStart w:id="6" w:name="_Toc334198738"/>
      <w:r w:rsidRPr="0067412E">
        <w:rPr>
          <w:rFonts w:ascii="Century Gothic" w:hAnsi="Century Gothic"/>
          <w:color w:val="000000"/>
          <w:sz w:val="22"/>
          <w:szCs w:val="22"/>
        </w:rPr>
        <w:t xml:space="preserve">Ailstock, S. M., Norman, M. C., &amp; Bushmann, P. J. (2001). Common Reed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Control and Effects Upon Biodiversity in Freshwater Nontidal Wetlands. </w:t>
      </w:r>
      <w:r w:rsidRPr="0067412E">
        <w:rPr>
          <w:rFonts w:ascii="Century Gothic" w:hAnsi="Century Gothic"/>
          <w:i/>
          <w:iCs/>
          <w:color w:val="000000"/>
          <w:sz w:val="22"/>
          <w:szCs w:val="22"/>
        </w:rPr>
        <w:t>Restoration Ecology,</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9</w:t>
      </w:r>
      <w:r w:rsidRPr="0067412E">
        <w:rPr>
          <w:rFonts w:ascii="Century Gothic" w:hAnsi="Century Gothic"/>
          <w:color w:val="000000"/>
          <w:sz w:val="22"/>
          <w:szCs w:val="22"/>
        </w:rPr>
        <w:t>(1), 49-59</w:t>
      </w:r>
    </w:p>
    <w:p w14:paraId="18A27059" w14:textId="77777777" w:rsidR="00A21620" w:rsidRPr="0067412E" w:rsidRDefault="00A21620" w:rsidP="005A6706">
      <w:pPr>
        <w:pStyle w:val="NormalWeb"/>
        <w:spacing w:before="0" w:beforeAutospacing="0" w:after="0" w:afterAutospacing="0"/>
        <w:rPr>
          <w:rFonts w:ascii="Century Gothic" w:hAnsi="Century Gothic"/>
          <w:color w:val="000000"/>
        </w:rPr>
      </w:pPr>
    </w:p>
    <w:p w14:paraId="04D02A3C" w14:textId="31233F95" w:rsidR="00A5085E" w:rsidRPr="0067412E" w:rsidRDefault="00A451FD" w:rsidP="005A6706">
      <w:pPr>
        <w:spacing w:after="0" w:line="240" w:lineRule="auto"/>
        <w:rPr>
          <w:rFonts w:ascii="Century Gothic" w:hAnsi="Century Gothic"/>
        </w:rPr>
      </w:pPr>
      <w:r w:rsidRPr="0067412E">
        <w:rPr>
          <w:rFonts w:ascii="Century Gothic" w:eastAsia="Times New Roman" w:hAnsi="Century Gothic" w:cs="Times New Roman"/>
          <w:color w:val="000000"/>
        </w:rPr>
        <w:t>Bourgeau-Chavez, L. L., Kowalski, K. P., Mazur, M. L., Scarbrough, K. A., Powell, R. B., Brooks, C. N., . .</w:t>
      </w:r>
      <w:r w:rsidR="00B9694A">
        <w:rPr>
          <w:rFonts w:ascii="Century Gothic" w:eastAsia="Times New Roman" w:hAnsi="Century Gothic" w:cs="Times New Roman"/>
          <w:color w:val="000000"/>
        </w:rPr>
        <w:t xml:space="preserve"> . Riordan, K. (2012</w:t>
      </w:r>
      <w:r w:rsidR="003573A5" w:rsidRPr="0067412E">
        <w:rPr>
          <w:rFonts w:ascii="Century Gothic" w:eastAsia="Times New Roman" w:hAnsi="Century Gothic" w:cs="Times New Roman"/>
          <w:color w:val="000000"/>
        </w:rPr>
        <w:t>). Mapping I</w:t>
      </w:r>
      <w:r w:rsidRPr="0067412E">
        <w:rPr>
          <w:rFonts w:ascii="Century Gothic" w:eastAsia="Times New Roman" w:hAnsi="Century Gothic" w:cs="Times New Roman"/>
          <w:color w:val="000000"/>
        </w:rPr>
        <w:t>nvasi</w:t>
      </w:r>
      <w:r w:rsidR="003573A5" w:rsidRPr="0067412E">
        <w:rPr>
          <w:rFonts w:ascii="Century Gothic" w:eastAsia="Times New Roman" w:hAnsi="Century Gothic" w:cs="Times New Roman"/>
          <w:color w:val="000000"/>
        </w:rPr>
        <w:t xml:space="preserve">ve </w:t>
      </w:r>
      <w:r w:rsidR="003573A5" w:rsidRPr="0067412E">
        <w:rPr>
          <w:rFonts w:ascii="Century Gothic" w:eastAsia="Times New Roman" w:hAnsi="Century Gothic" w:cs="Times New Roman"/>
          <w:i/>
          <w:color w:val="000000"/>
        </w:rPr>
        <w:t>Phragmites australis</w:t>
      </w:r>
      <w:r w:rsidR="003573A5" w:rsidRPr="0067412E">
        <w:rPr>
          <w:rFonts w:ascii="Century Gothic" w:eastAsia="Times New Roman" w:hAnsi="Century Gothic" w:cs="Times New Roman"/>
          <w:color w:val="000000"/>
        </w:rPr>
        <w:t xml:space="preserve"> in the C</w:t>
      </w:r>
      <w:r w:rsidRPr="0067412E">
        <w:rPr>
          <w:rFonts w:ascii="Century Gothic" w:eastAsia="Times New Roman" w:hAnsi="Century Gothic" w:cs="Times New Roman"/>
          <w:color w:val="000000"/>
        </w:rPr>
        <w:t>oasta</w:t>
      </w:r>
      <w:r w:rsidR="003573A5" w:rsidRPr="0067412E">
        <w:rPr>
          <w:rFonts w:ascii="Century Gothic" w:eastAsia="Times New Roman" w:hAnsi="Century Gothic" w:cs="Times New Roman"/>
          <w:color w:val="000000"/>
        </w:rPr>
        <w:t xml:space="preserve">l </w:t>
      </w:r>
      <w:r w:rsidR="003573A5" w:rsidRPr="0067412E">
        <w:rPr>
          <w:rFonts w:ascii="Century Gothic" w:eastAsia="Times New Roman" w:hAnsi="Century Gothic" w:cs="Times New Roman"/>
          <w:color w:val="000000"/>
        </w:rPr>
        <w:lastRenderedPageBreak/>
        <w:t>Great Lakes with ALOS PALSAR S</w:t>
      </w:r>
      <w:r w:rsidRPr="0067412E">
        <w:rPr>
          <w:rFonts w:ascii="Century Gothic" w:eastAsia="Times New Roman" w:hAnsi="Century Gothic" w:cs="Times New Roman"/>
          <w:color w:val="000000"/>
        </w:rPr>
        <w:t>a</w:t>
      </w:r>
      <w:r w:rsidR="003573A5" w:rsidRPr="0067412E">
        <w:rPr>
          <w:rFonts w:ascii="Century Gothic" w:eastAsia="Times New Roman" w:hAnsi="Century Gothic" w:cs="Times New Roman"/>
          <w:color w:val="000000"/>
        </w:rPr>
        <w:t>tellite Imagery for Decision S</w:t>
      </w:r>
      <w:r w:rsidRPr="0067412E">
        <w:rPr>
          <w:rFonts w:ascii="Century Gothic" w:eastAsia="Times New Roman" w:hAnsi="Century Gothic" w:cs="Times New Roman"/>
          <w:color w:val="000000"/>
        </w:rPr>
        <w:t xml:space="preserve">upport. </w:t>
      </w:r>
      <w:r w:rsidRPr="0067412E">
        <w:rPr>
          <w:rFonts w:ascii="Century Gothic" w:eastAsia="Times New Roman" w:hAnsi="Century Gothic" w:cs="Times New Roman"/>
          <w:i/>
          <w:color w:val="000000"/>
        </w:rPr>
        <w:t>Journal of Great Lakes Research</w:t>
      </w:r>
      <w:r w:rsidRPr="0067412E">
        <w:rPr>
          <w:rFonts w:ascii="Century Gothic" w:eastAsia="Times New Roman" w:hAnsi="Century Gothic" w:cs="Times New Roman"/>
          <w:color w:val="000000"/>
        </w:rPr>
        <w:t>, 39, 65-77.</w:t>
      </w:r>
    </w:p>
    <w:p w14:paraId="0873D9F6" w14:textId="77777777" w:rsidR="005A6706" w:rsidRDefault="005A6706" w:rsidP="005A6706">
      <w:pPr>
        <w:pStyle w:val="NormalWeb"/>
        <w:spacing w:before="0" w:beforeAutospacing="0" w:after="0" w:afterAutospacing="0"/>
        <w:rPr>
          <w:rFonts w:ascii="Century Gothic" w:hAnsi="Century Gothic"/>
          <w:color w:val="000000"/>
          <w:sz w:val="22"/>
          <w:szCs w:val="22"/>
        </w:rPr>
      </w:pPr>
    </w:p>
    <w:p w14:paraId="40F0E902" w14:textId="1E877B21"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Bourgeau-Chavez, L., Endres, S., Battaglia, M., Miller, M., Banda, E., Laubach, Z.,</w:t>
      </w:r>
      <w:r w:rsidR="00413DC0" w:rsidRPr="0067412E">
        <w:rPr>
          <w:rFonts w:ascii="Century Gothic" w:hAnsi="Century Gothic"/>
          <w:color w:val="000000"/>
          <w:sz w:val="22"/>
          <w:szCs w:val="22"/>
        </w:rPr>
        <w:t xml:space="preserve"> &amp;</w:t>
      </w:r>
      <w:r w:rsidRPr="0067412E">
        <w:rPr>
          <w:rFonts w:ascii="Century Gothic" w:hAnsi="Century Gothic"/>
          <w:color w:val="000000"/>
          <w:sz w:val="22"/>
          <w:szCs w:val="22"/>
        </w:rPr>
        <w:t xml:space="preserve"> Marcaccio, J. (2015). Development of a Bi-National Great Lakes Coastal Wetland and Land Use Map Using Three-Season PALSAR and Landsat Imagery.</w:t>
      </w:r>
      <w:r w:rsidR="003B7D9E" w:rsidRPr="0067412E">
        <w:rPr>
          <w:rFonts w:ascii="Century Gothic" w:hAnsi="Century Gothic"/>
          <w:color w:val="000000"/>
          <w:sz w:val="22"/>
          <w:szCs w:val="22"/>
        </w:rPr>
        <w:t xml:space="preserve"> </w:t>
      </w:r>
      <w:r w:rsidRPr="0067412E">
        <w:rPr>
          <w:rFonts w:ascii="Century Gothic" w:hAnsi="Century Gothic"/>
          <w:i/>
          <w:color w:val="000000"/>
          <w:sz w:val="22"/>
          <w:szCs w:val="22"/>
        </w:rPr>
        <w:t>Remote Sensing</w:t>
      </w:r>
      <w:r w:rsidRPr="0067412E">
        <w:rPr>
          <w:rFonts w:ascii="Century Gothic" w:hAnsi="Century Gothic"/>
          <w:color w:val="000000"/>
          <w:sz w:val="22"/>
          <w:szCs w:val="22"/>
        </w:rPr>
        <w:t>, 7(7), 8655-8682. Retrieved January 28, 2016, from</w:t>
      </w:r>
    </w:p>
    <w:p w14:paraId="7527C7D1" w14:textId="1F2D27D9" w:rsidR="00A5085E" w:rsidRPr="0067412E" w:rsidRDefault="00A5085E" w:rsidP="005A6706">
      <w:pPr>
        <w:pStyle w:val="NormalWeb"/>
        <w:spacing w:before="0" w:beforeAutospacing="0" w:after="0" w:afterAutospacing="0"/>
        <w:rPr>
          <w:rFonts w:ascii="Century Gothic" w:hAnsi="Century Gothic"/>
        </w:rPr>
      </w:pPr>
      <w:r w:rsidRPr="007E2389">
        <w:rPr>
          <w:rFonts w:ascii="Century Gothic" w:hAnsi="Century Gothic"/>
          <w:sz w:val="22"/>
          <w:szCs w:val="22"/>
        </w:rPr>
        <w:t>http://www.mdpi.com/2072-4292/7/7/8655/htm</w:t>
      </w:r>
      <w:r w:rsidR="00F5593A" w:rsidRPr="0067412E">
        <w:rPr>
          <w:rStyle w:val="Hyperlink"/>
          <w:rFonts w:ascii="Century Gothic" w:hAnsi="Century Gothic"/>
          <w:color w:val="1155CC"/>
          <w:sz w:val="22"/>
          <w:szCs w:val="22"/>
        </w:rPr>
        <w:t xml:space="preserve"> </w:t>
      </w:r>
    </w:p>
    <w:p w14:paraId="122991D1" w14:textId="77777777" w:rsidR="00A5085E" w:rsidRPr="0067412E" w:rsidRDefault="00A5085E" w:rsidP="005A6706">
      <w:pPr>
        <w:spacing w:after="0" w:line="240" w:lineRule="auto"/>
        <w:rPr>
          <w:rFonts w:ascii="Century Gothic" w:hAnsi="Century Gothic"/>
        </w:rPr>
      </w:pPr>
    </w:p>
    <w:p w14:paraId="5FCBC030" w14:textId="535C4A7E"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Carlson, M. L., Kowalski, K. P., &amp; Wilcox, D. A. (2009). P</w:t>
      </w:r>
      <w:r w:rsidR="00ED0A42" w:rsidRPr="0067412E">
        <w:rPr>
          <w:rFonts w:ascii="Century Gothic" w:hAnsi="Century Gothic"/>
          <w:color w:val="000000"/>
          <w:sz w:val="22"/>
          <w:szCs w:val="22"/>
        </w:rPr>
        <w:t>romoting Species E</w:t>
      </w:r>
      <w:r w:rsidRPr="0067412E">
        <w:rPr>
          <w:rFonts w:ascii="Century Gothic" w:hAnsi="Century Gothic"/>
          <w:color w:val="000000"/>
          <w:sz w:val="22"/>
          <w:szCs w:val="22"/>
        </w:rPr>
        <w:t>stablishment in a Ph</w:t>
      </w:r>
      <w:r w:rsidR="00ED0A42" w:rsidRPr="0067412E">
        <w:rPr>
          <w:rFonts w:ascii="Century Gothic" w:hAnsi="Century Gothic"/>
          <w:color w:val="000000"/>
          <w:sz w:val="22"/>
          <w:szCs w:val="22"/>
        </w:rPr>
        <w:t>ragmites-dominated Great Lakes Coastal W</w:t>
      </w:r>
      <w:r w:rsidRPr="0067412E">
        <w:rPr>
          <w:rFonts w:ascii="Century Gothic" w:hAnsi="Century Gothic"/>
          <w:color w:val="000000"/>
          <w:sz w:val="22"/>
          <w:szCs w:val="22"/>
        </w:rPr>
        <w:t xml:space="preserve">etland. </w:t>
      </w:r>
      <w:r w:rsidRPr="0067412E">
        <w:rPr>
          <w:rFonts w:ascii="Century Gothic" w:hAnsi="Century Gothic"/>
          <w:i/>
          <w:iCs/>
          <w:color w:val="000000"/>
          <w:sz w:val="22"/>
          <w:szCs w:val="22"/>
        </w:rPr>
        <w:t>Natural Areas Journal,</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29</w:t>
      </w:r>
      <w:r w:rsidRPr="0067412E">
        <w:rPr>
          <w:rFonts w:ascii="Century Gothic" w:hAnsi="Century Gothic"/>
          <w:color w:val="000000"/>
          <w:sz w:val="22"/>
          <w:szCs w:val="22"/>
        </w:rPr>
        <w:t xml:space="preserve">(3), 263-280. </w:t>
      </w:r>
    </w:p>
    <w:p w14:paraId="2698D34C" w14:textId="77777777" w:rsidR="00A5085E" w:rsidRPr="0067412E" w:rsidRDefault="00A5085E" w:rsidP="005A6706">
      <w:pPr>
        <w:spacing w:after="0" w:line="240" w:lineRule="auto"/>
        <w:rPr>
          <w:rFonts w:ascii="Century Gothic" w:hAnsi="Century Gothic"/>
        </w:rPr>
      </w:pPr>
    </w:p>
    <w:p w14:paraId="4FEEC6A0" w14:textId="54F46B3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Catling, Paul M., </w:t>
      </w:r>
      <w:r w:rsidR="00413DC0" w:rsidRPr="0067412E">
        <w:rPr>
          <w:rFonts w:ascii="Century Gothic" w:hAnsi="Century Gothic"/>
          <w:color w:val="000000"/>
          <w:sz w:val="22"/>
          <w:szCs w:val="22"/>
        </w:rPr>
        <w:t>&amp;</w:t>
      </w:r>
      <w:r w:rsidRPr="0067412E">
        <w:rPr>
          <w:rFonts w:ascii="Century Gothic" w:hAnsi="Century Gothic"/>
          <w:color w:val="000000"/>
          <w:sz w:val="22"/>
          <w:szCs w:val="22"/>
        </w:rPr>
        <w:t xml:space="preserve"> Gisèle Mitrow. </w:t>
      </w:r>
      <w:r w:rsidR="003B7D9E" w:rsidRPr="0067412E">
        <w:rPr>
          <w:rFonts w:ascii="Century Gothic" w:hAnsi="Century Gothic"/>
          <w:color w:val="000000"/>
          <w:sz w:val="22"/>
          <w:szCs w:val="22"/>
        </w:rPr>
        <w:t>(</w:t>
      </w:r>
      <w:r w:rsidRPr="0067412E">
        <w:rPr>
          <w:rFonts w:ascii="Century Gothic" w:hAnsi="Century Gothic"/>
          <w:color w:val="000000"/>
          <w:sz w:val="22"/>
          <w:szCs w:val="22"/>
        </w:rPr>
        <w:t>2011</w:t>
      </w:r>
      <w:r w:rsidR="003B7D9E" w:rsidRPr="0067412E">
        <w:rPr>
          <w:rFonts w:ascii="Century Gothic" w:hAnsi="Century Gothic"/>
          <w:color w:val="000000"/>
          <w:sz w:val="22"/>
          <w:szCs w:val="22"/>
        </w:rPr>
        <w:t>)</w:t>
      </w:r>
      <w:r w:rsidRPr="0067412E">
        <w:rPr>
          <w:rFonts w:ascii="Century Gothic" w:hAnsi="Century Gothic"/>
          <w:color w:val="000000"/>
          <w:sz w:val="22"/>
          <w:szCs w:val="22"/>
        </w:rPr>
        <w:t>. T</w:t>
      </w:r>
      <w:r w:rsidR="00ED0A42" w:rsidRPr="0067412E">
        <w:rPr>
          <w:rFonts w:ascii="Century Gothic" w:hAnsi="Century Gothic"/>
          <w:color w:val="000000"/>
          <w:sz w:val="22"/>
          <w:szCs w:val="22"/>
        </w:rPr>
        <w:t>he Recent Spread and Potential D</w:t>
      </w:r>
      <w:r w:rsidRPr="0067412E">
        <w:rPr>
          <w:rFonts w:ascii="Century Gothic" w:hAnsi="Century Gothic"/>
          <w:color w:val="000000"/>
          <w:sz w:val="22"/>
          <w:szCs w:val="22"/>
        </w:rPr>
        <w:t xml:space="preserve">istribution of Phragmites australis subsp. australis in Canada. </w:t>
      </w:r>
      <w:r w:rsidRPr="0067412E">
        <w:rPr>
          <w:rFonts w:ascii="Century Gothic" w:hAnsi="Century Gothic"/>
          <w:i/>
          <w:color w:val="000000"/>
          <w:sz w:val="22"/>
          <w:szCs w:val="22"/>
        </w:rPr>
        <w:t>Canadian Field-Naturalist</w:t>
      </w:r>
      <w:r w:rsidRPr="0067412E">
        <w:rPr>
          <w:rFonts w:ascii="Century Gothic" w:hAnsi="Century Gothic"/>
          <w:color w:val="000000"/>
          <w:sz w:val="22"/>
          <w:szCs w:val="22"/>
        </w:rPr>
        <w:t xml:space="preserve"> 125</w:t>
      </w:r>
      <w:r w:rsidR="003B7D9E" w:rsidRPr="0067412E">
        <w:rPr>
          <w:rFonts w:ascii="Century Gothic" w:hAnsi="Century Gothic"/>
          <w:color w:val="000000"/>
          <w:sz w:val="22"/>
          <w:szCs w:val="22"/>
        </w:rPr>
        <w:t>,</w:t>
      </w:r>
      <w:r w:rsidRPr="0067412E">
        <w:rPr>
          <w:rFonts w:ascii="Century Gothic" w:hAnsi="Century Gothic"/>
          <w:color w:val="000000"/>
          <w:sz w:val="22"/>
          <w:szCs w:val="22"/>
        </w:rPr>
        <w:t xml:space="preserve"> 95–104.</w:t>
      </w:r>
    </w:p>
    <w:p w14:paraId="1646D4EC" w14:textId="77777777" w:rsidR="00A5085E" w:rsidRPr="0067412E" w:rsidRDefault="00A5085E" w:rsidP="005A6706">
      <w:pPr>
        <w:spacing w:after="0" w:line="240" w:lineRule="auto"/>
        <w:rPr>
          <w:rFonts w:ascii="Century Gothic" w:hAnsi="Century Gothic"/>
        </w:rPr>
      </w:pPr>
    </w:p>
    <w:p w14:paraId="366331AF" w14:textId="5FE7DB5F"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Chambers, R. M., Meyerson, L. A., &amp; Saltonstall, K. (1999). Expansio</w:t>
      </w:r>
      <w:r w:rsidR="00ED0A42" w:rsidRPr="0067412E">
        <w:rPr>
          <w:rFonts w:ascii="Century Gothic" w:hAnsi="Century Gothic"/>
          <w:color w:val="000000"/>
          <w:sz w:val="22"/>
          <w:szCs w:val="22"/>
        </w:rPr>
        <w:t xml:space="preserve">n of </w:t>
      </w:r>
      <w:r w:rsidR="00ED0A42" w:rsidRPr="0067412E">
        <w:rPr>
          <w:rFonts w:ascii="Century Gothic" w:hAnsi="Century Gothic"/>
          <w:i/>
          <w:color w:val="000000"/>
          <w:sz w:val="22"/>
          <w:szCs w:val="22"/>
        </w:rPr>
        <w:t>Phragmites australis</w:t>
      </w:r>
      <w:r w:rsidR="00ED0A42" w:rsidRPr="0067412E">
        <w:rPr>
          <w:rFonts w:ascii="Century Gothic" w:hAnsi="Century Gothic"/>
          <w:color w:val="000000"/>
          <w:sz w:val="22"/>
          <w:szCs w:val="22"/>
        </w:rPr>
        <w:t xml:space="preserve"> into Tidal W</w:t>
      </w:r>
      <w:r w:rsidRPr="0067412E">
        <w:rPr>
          <w:rFonts w:ascii="Century Gothic" w:hAnsi="Century Gothic"/>
          <w:color w:val="000000"/>
          <w:sz w:val="22"/>
          <w:szCs w:val="22"/>
        </w:rPr>
        <w:t xml:space="preserve">etlands of North America. </w:t>
      </w:r>
      <w:r w:rsidRPr="0067412E">
        <w:rPr>
          <w:rFonts w:ascii="Century Gothic" w:hAnsi="Century Gothic"/>
          <w:i/>
          <w:iCs/>
          <w:color w:val="000000"/>
          <w:sz w:val="22"/>
          <w:szCs w:val="22"/>
        </w:rPr>
        <w:t>Aquatic Botany,</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64</w:t>
      </w:r>
      <w:r w:rsidRPr="0067412E">
        <w:rPr>
          <w:rFonts w:ascii="Century Gothic" w:hAnsi="Century Gothic"/>
          <w:color w:val="000000"/>
          <w:sz w:val="22"/>
          <w:szCs w:val="22"/>
        </w:rPr>
        <w:t xml:space="preserve">, 261-273. </w:t>
      </w:r>
    </w:p>
    <w:p w14:paraId="1675D926" w14:textId="77777777" w:rsidR="00A5085E" w:rsidRPr="0067412E" w:rsidRDefault="00A5085E" w:rsidP="005A6706">
      <w:pPr>
        <w:spacing w:after="0" w:line="240" w:lineRule="auto"/>
        <w:rPr>
          <w:rFonts w:ascii="Century Gothic" w:hAnsi="Century Gothic"/>
        </w:rPr>
      </w:pPr>
    </w:p>
    <w:p w14:paraId="421840B9" w14:textId="44521649"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Federal, Provincial and Territorial Governments of Canada. </w:t>
      </w:r>
      <w:r w:rsidR="003B7D9E" w:rsidRPr="0067412E">
        <w:rPr>
          <w:rFonts w:ascii="Century Gothic" w:hAnsi="Century Gothic"/>
          <w:color w:val="000000"/>
          <w:sz w:val="22"/>
          <w:szCs w:val="22"/>
        </w:rPr>
        <w:t>(</w:t>
      </w:r>
      <w:r w:rsidRPr="0067412E">
        <w:rPr>
          <w:rFonts w:ascii="Century Gothic" w:hAnsi="Century Gothic"/>
          <w:color w:val="000000"/>
          <w:sz w:val="22"/>
          <w:szCs w:val="22"/>
        </w:rPr>
        <w:t>2010</w:t>
      </w:r>
      <w:r w:rsidR="003B7D9E" w:rsidRPr="0067412E">
        <w:rPr>
          <w:rFonts w:ascii="Century Gothic" w:hAnsi="Century Gothic"/>
          <w:color w:val="000000"/>
          <w:sz w:val="22"/>
          <w:szCs w:val="22"/>
        </w:rPr>
        <w:t>)</w:t>
      </w:r>
      <w:r w:rsidRPr="0067412E">
        <w:rPr>
          <w:rFonts w:ascii="Century Gothic" w:hAnsi="Century Gothic"/>
          <w:color w:val="000000"/>
          <w:sz w:val="22"/>
          <w:szCs w:val="22"/>
        </w:rPr>
        <w:t>. Canadian Biodiversity: Ecosystem Status and Trends 2010. Canadian Councils of Resource Ministers. Ottawa, ON. vi + 142 p</w:t>
      </w:r>
    </w:p>
    <w:p w14:paraId="3777E2B5" w14:textId="77777777" w:rsidR="00A5085E" w:rsidRPr="0067412E" w:rsidRDefault="00A5085E" w:rsidP="005A6706">
      <w:pPr>
        <w:spacing w:after="0" w:line="240" w:lineRule="auto"/>
        <w:rPr>
          <w:rFonts w:ascii="Century Gothic" w:hAnsi="Century Gothic"/>
        </w:rPr>
      </w:pPr>
    </w:p>
    <w:p w14:paraId="0D410A01" w14:textId="5E92896F"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Gucker, Corey L. </w:t>
      </w:r>
      <w:r w:rsidR="003B7D9E" w:rsidRPr="0067412E">
        <w:rPr>
          <w:rFonts w:ascii="Century Gothic" w:hAnsi="Century Gothic"/>
          <w:color w:val="000000"/>
          <w:sz w:val="22"/>
          <w:szCs w:val="22"/>
        </w:rPr>
        <w:t>(</w:t>
      </w:r>
      <w:r w:rsidRPr="0067412E">
        <w:rPr>
          <w:rFonts w:ascii="Century Gothic" w:hAnsi="Century Gothic"/>
          <w:color w:val="000000"/>
          <w:sz w:val="22"/>
          <w:szCs w:val="22"/>
        </w:rPr>
        <w:t>2008</w:t>
      </w:r>
      <w:r w:rsidR="0022262D" w:rsidRPr="0067412E">
        <w:rPr>
          <w:rFonts w:ascii="Century Gothic" w:hAnsi="Century Gothic"/>
          <w:color w:val="000000"/>
          <w:sz w:val="22"/>
          <w:szCs w:val="22"/>
        </w:rPr>
        <w:t>)</w:t>
      </w:r>
      <w:r w:rsidRPr="0067412E">
        <w:rPr>
          <w:rFonts w:ascii="Century Gothic" w:hAnsi="Century Gothic"/>
          <w:color w:val="000000"/>
          <w:sz w:val="22"/>
          <w:szCs w:val="22"/>
        </w:rPr>
        <w:t xml:space="preserve">. Phragmites australis. In: Fire Effects Information System, [Online]. U.S. Department of Agriculture, Forest Service, Rocky Mountain Research Station, Fire Sciences Laboratory (Producer). Available: http://www.fs.fed.us/database/feis/ [2016, February 18]. </w:t>
      </w:r>
    </w:p>
    <w:p w14:paraId="13299073" w14:textId="77777777" w:rsidR="00A5085E" w:rsidRDefault="00A5085E" w:rsidP="005A6706">
      <w:pPr>
        <w:spacing w:after="0" w:line="240" w:lineRule="auto"/>
        <w:rPr>
          <w:rFonts w:ascii="Century Gothic" w:hAnsi="Century Gothic"/>
        </w:rPr>
      </w:pPr>
    </w:p>
    <w:p w14:paraId="5BD0BAC2" w14:textId="37FE8685" w:rsidR="00753B70" w:rsidRDefault="00753B70" w:rsidP="005A6706">
      <w:pPr>
        <w:spacing w:after="0" w:line="240" w:lineRule="auto"/>
        <w:rPr>
          <w:rFonts w:ascii="Century Gothic" w:hAnsi="Century Gothic"/>
        </w:rPr>
      </w:pPr>
      <w:r w:rsidRPr="00753B70">
        <w:rPr>
          <w:rFonts w:ascii="Century Gothic" w:hAnsi="Century Gothic"/>
        </w:rPr>
        <w:t>Guo, W.-Y., Lambertini, C., Li, X.-Z., Meyerson, L. A. and Brix, H. (2013)</w:t>
      </w:r>
      <w:r>
        <w:rPr>
          <w:rFonts w:ascii="Century Gothic" w:hAnsi="Century Gothic"/>
        </w:rPr>
        <w:t>.</w:t>
      </w:r>
      <w:r w:rsidRPr="00753B70">
        <w:rPr>
          <w:rFonts w:ascii="Century Gothic" w:hAnsi="Century Gothic"/>
        </w:rPr>
        <w:t xml:space="preserve"> Invasion of Old World </w:t>
      </w:r>
      <w:r w:rsidRPr="00753B70">
        <w:rPr>
          <w:rFonts w:ascii="Century Gothic" w:hAnsi="Century Gothic"/>
          <w:i/>
          <w:iCs/>
        </w:rPr>
        <w:t>Phragmites australis</w:t>
      </w:r>
      <w:r w:rsidRPr="00753B70">
        <w:rPr>
          <w:rFonts w:ascii="Century Gothic" w:hAnsi="Century Gothic"/>
        </w:rPr>
        <w:t xml:space="preserve"> in the New World: precipitation and temperature patterns combined with human influences redesign the invasive niche. </w:t>
      </w:r>
      <w:r w:rsidRPr="00753B70">
        <w:rPr>
          <w:rFonts w:ascii="Century Gothic" w:hAnsi="Century Gothic"/>
          <w:i/>
        </w:rPr>
        <w:t>Global Change Biology</w:t>
      </w:r>
      <w:r>
        <w:rPr>
          <w:rFonts w:ascii="Century Gothic" w:hAnsi="Century Gothic"/>
        </w:rPr>
        <w:t>, 19: 3406–3422.</w:t>
      </w:r>
    </w:p>
    <w:p w14:paraId="2967F38D" w14:textId="77777777" w:rsidR="00753B70" w:rsidRDefault="00753B70" w:rsidP="005A6706">
      <w:pPr>
        <w:spacing w:after="0" w:line="240" w:lineRule="auto"/>
        <w:rPr>
          <w:rFonts w:ascii="Century Gothic" w:hAnsi="Century Gothic"/>
        </w:rPr>
      </w:pPr>
    </w:p>
    <w:p w14:paraId="639F7B5C" w14:textId="2138C436" w:rsidR="0067412E" w:rsidRDefault="0067412E" w:rsidP="005A6706">
      <w:pPr>
        <w:spacing w:after="0" w:line="240" w:lineRule="auto"/>
        <w:rPr>
          <w:rFonts w:ascii="Century Gothic" w:hAnsi="Century Gothic"/>
        </w:rPr>
      </w:pPr>
      <w:r w:rsidRPr="0067412E">
        <w:rPr>
          <w:rFonts w:ascii="Century Gothic" w:hAnsi="Century Gothic"/>
        </w:rPr>
        <w:t>Hijmans, R</w:t>
      </w:r>
      <w:r>
        <w:rPr>
          <w:rFonts w:ascii="Century Gothic" w:hAnsi="Century Gothic"/>
        </w:rPr>
        <w:t>. J. (2004).</w:t>
      </w:r>
      <w:r w:rsidRPr="0067412E">
        <w:rPr>
          <w:rFonts w:ascii="Century Gothic" w:hAnsi="Century Gothic"/>
        </w:rPr>
        <w:t xml:space="preserve"> Arc Macro Language (AML®) version</w:t>
      </w:r>
      <w:r>
        <w:rPr>
          <w:rFonts w:ascii="Century Gothic" w:hAnsi="Century Gothic"/>
        </w:rPr>
        <w:t xml:space="preserve"> </w:t>
      </w:r>
      <w:r w:rsidRPr="0067412E">
        <w:rPr>
          <w:rFonts w:ascii="Century Gothic" w:hAnsi="Century Gothic"/>
        </w:rPr>
        <w:t>2.1 for calculating 19</w:t>
      </w:r>
      <w:r>
        <w:rPr>
          <w:rFonts w:ascii="Century Gothic" w:hAnsi="Century Gothic"/>
        </w:rPr>
        <w:t xml:space="preserve"> </w:t>
      </w:r>
      <w:r w:rsidRPr="0067412E">
        <w:rPr>
          <w:rFonts w:ascii="Century Gothic" w:hAnsi="Century Gothic"/>
        </w:rPr>
        <w:t>bioclimatic predictors: Berkeley, Calif,</w:t>
      </w:r>
      <w:r>
        <w:rPr>
          <w:rFonts w:ascii="Century Gothic" w:hAnsi="Century Gothic"/>
        </w:rPr>
        <w:t xml:space="preserve"> </w:t>
      </w:r>
      <w:r w:rsidRPr="0067412E">
        <w:rPr>
          <w:rFonts w:ascii="Century Gothic" w:hAnsi="Century Gothic"/>
        </w:rPr>
        <w:t>Museum of Vertebrate Zoology, University of California at</w:t>
      </w:r>
      <w:r>
        <w:rPr>
          <w:rFonts w:ascii="Century Gothic" w:hAnsi="Century Gothic"/>
        </w:rPr>
        <w:t xml:space="preserve"> </w:t>
      </w:r>
      <w:r w:rsidRPr="0067412E">
        <w:rPr>
          <w:rFonts w:ascii="Century Gothic" w:hAnsi="Century Gothic"/>
        </w:rPr>
        <w:t>Berkeley. Available</w:t>
      </w:r>
      <w:r>
        <w:rPr>
          <w:rFonts w:ascii="Century Gothic" w:hAnsi="Century Gothic"/>
        </w:rPr>
        <w:t xml:space="preserve">: </w:t>
      </w:r>
      <w:r w:rsidRPr="0067412E">
        <w:rPr>
          <w:rFonts w:ascii="Century Gothic" w:hAnsi="Century Gothic"/>
        </w:rPr>
        <w:t xml:space="preserve"> http://www.worldclim.org/bioclim</w:t>
      </w:r>
      <w:r>
        <w:rPr>
          <w:rFonts w:ascii="Century Gothic" w:hAnsi="Century Gothic"/>
        </w:rPr>
        <w:t xml:space="preserve"> </w:t>
      </w:r>
      <w:r w:rsidRPr="0067412E">
        <w:rPr>
          <w:rFonts w:ascii="Century Gothic" w:hAnsi="Century Gothic"/>
          <w:color w:val="000000"/>
        </w:rPr>
        <w:t>[2016, February 18]</w:t>
      </w:r>
      <w:r>
        <w:rPr>
          <w:rFonts w:ascii="Century Gothic" w:hAnsi="Century Gothic"/>
          <w:color w:val="000000"/>
        </w:rPr>
        <w:t>.</w:t>
      </w:r>
    </w:p>
    <w:p w14:paraId="12D07EDC" w14:textId="77777777" w:rsidR="0067412E" w:rsidRPr="0067412E" w:rsidRDefault="0067412E" w:rsidP="005A6706">
      <w:pPr>
        <w:spacing w:after="0" w:line="240" w:lineRule="auto"/>
        <w:rPr>
          <w:rFonts w:ascii="Century Gothic" w:hAnsi="Century Gothic"/>
        </w:rPr>
      </w:pPr>
    </w:p>
    <w:p w14:paraId="3C973537"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King, M. D. (2006). </w:t>
      </w:r>
      <w:r w:rsidRPr="0067412E">
        <w:rPr>
          <w:rFonts w:ascii="Century Gothic" w:hAnsi="Century Gothic"/>
          <w:i/>
          <w:iCs/>
          <w:color w:val="000000"/>
          <w:sz w:val="22"/>
          <w:szCs w:val="22"/>
        </w:rPr>
        <w:t>Earth Science Reference Handbook - A Guide to NASA's Earth Science Program and Earth Observing Satellite Missions</w:t>
      </w:r>
      <w:r w:rsidRPr="0067412E">
        <w:rPr>
          <w:rFonts w:ascii="Century Gothic" w:hAnsi="Century Gothic"/>
          <w:color w:val="000000"/>
          <w:sz w:val="22"/>
          <w:szCs w:val="22"/>
        </w:rPr>
        <w:t xml:space="preserve"> (C. L. Parkinson &amp; A. Ward, Eds.). Washington, D.C.: National Aeronautics and Space Administration. </w:t>
      </w:r>
    </w:p>
    <w:p w14:paraId="0FE1439E" w14:textId="77777777" w:rsidR="00A5085E" w:rsidRPr="0067412E" w:rsidRDefault="00A5085E" w:rsidP="005A6706">
      <w:pPr>
        <w:spacing w:after="0" w:line="240" w:lineRule="auto"/>
        <w:rPr>
          <w:rFonts w:ascii="Century Gothic" w:hAnsi="Century Gothic"/>
        </w:rPr>
      </w:pPr>
    </w:p>
    <w:p w14:paraId="4FEBC68F"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Lantz, N. J., &amp; Wang, J. (2013). Object-based classification of Worldview-2 imagery for mapping invasive common reed,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Canadian Journal of Remote Sensing,</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39</w:t>
      </w:r>
      <w:r w:rsidRPr="0067412E">
        <w:rPr>
          <w:rFonts w:ascii="Century Gothic" w:hAnsi="Century Gothic"/>
          <w:color w:val="000000"/>
          <w:sz w:val="22"/>
          <w:szCs w:val="22"/>
        </w:rPr>
        <w:t>(4), 328-340.</w:t>
      </w:r>
    </w:p>
    <w:p w14:paraId="232D44B3" w14:textId="77777777" w:rsidR="00A5085E" w:rsidRPr="0067412E" w:rsidRDefault="00A5085E" w:rsidP="005A6706">
      <w:pPr>
        <w:spacing w:after="0" w:line="240" w:lineRule="auto"/>
        <w:rPr>
          <w:rFonts w:ascii="Century Gothic" w:hAnsi="Century Gothic"/>
        </w:rPr>
      </w:pPr>
    </w:p>
    <w:p w14:paraId="1AB15E52" w14:textId="68E9BEF1"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Mazur, M. C., Kowalski, K., &amp; Galbraith, D. D. (2014). Assessment of suitable habitat for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(common reed) in the Great Lakes coastal zone.</w:t>
      </w:r>
      <w:r w:rsidR="0022262D" w:rsidRPr="0067412E">
        <w:rPr>
          <w:rFonts w:ascii="Century Gothic" w:hAnsi="Century Gothic"/>
          <w:color w:val="000000"/>
          <w:sz w:val="22"/>
          <w:szCs w:val="22"/>
        </w:rPr>
        <w:t xml:space="preserve"> </w:t>
      </w:r>
      <w:r w:rsidRPr="0067412E">
        <w:rPr>
          <w:rFonts w:ascii="Century Gothic" w:hAnsi="Century Gothic"/>
          <w:i/>
          <w:color w:val="000000"/>
          <w:sz w:val="22"/>
          <w:szCs w:val="22"/>
        </w:rPr>
        <w:t xml:space="preserve">Aquatic Invasions </w:t>
      </w:r>
      <w:r w:rsidRPr="0067412E">
        <w:rPr>
          <w:rFonts w:ascii="Century Gothic" w:hAnsi="Century Gothic"/>
          <w:i/>
          <w:color w:val="000000"/>
          <w:sz w:val="22"/>
          <w:szCs w:val="22"/>
        </w:rPr>
        <w:lastRenderedPageBreak/>
        <w:t>AI</w:t>
      </w:r>
      <w:r w:rsidRPr="0067412E">
        <w:rPr>
          <w:rFonts w:ascii="Century Gothic" w:hAnsi="Century Gothic"/>
          <w:color w:val="000000"/>
          <w:sz w:val="22"/>
          <w:szCs w:val="22"/>
        </w:rPr>
        <w:t xml:space="preserve">, </w:t>
      </w:r>
      <w:r w:rsidRPr="0067412E">
        <w:rPr>
          <w:rFonts w:ascii="Century Gothic" w:hAnsi="Century Gothic"/>
          <w:i/>
          <w:color w:val="000000"/>
          <w:sz w:val="22"/>
          <w:szCs w:val="22"/>
        </w:rPr>
        <w:t>9</w:t>
      </w:r>
      <w:r w:rsidRPr="0067412E">
        <w:rPr>
          <w:rFonts w:ascii="Century Gothic" w:hAnsi="Century Gothic"/>
          <w:color w:val="000000"/>
          <w:sz w:val="22"/>
          <w:szCs w:val="22"/>
        </w:rPr>
        <w:t xml:space="preserve">(1), 1-19. Retrieved February 17, 2016, from </w:t>
      </w:r>
      <w:r w:rsidRPr="005A6706">
        <w:rPr>
          <w:rFonts w:ascii="Century Gothic" w:hAnsi="Century Gothic"/>
          <w:sz w:val="22"/>
          <w:szCs w:val="22"/>
        </w:rPr>
        <w:t>http://www.aquaticinvasions.net/2014/AI_2014_CarlsonMazur_etal.pdf</w:t>
      </w:r>
      <w:r w:rsidRPr="0067412E">
        <w:rPr>
          <w:rFonts w:ascii="Century Gothic" w:hAnsi="Century Gothic"/>
          <w:color w:val="000000"/>
          <w:sz w:val="22"/>
          <w:szCs w:val="22"/>
        </w:rPr>
        <w:t xml:space="preserve"> </w:t>
      </w:r>
    </w:p>
    <w:p w14:paraId="217C3AB8" w14:textId="77777777" w:rsidR="00A5085E" w:rsidRPr="0067412E" w:rsidRDefault="00A5085E" w:rsidP="005A6706">
      <w:pPr>
        <w:spacing w:after="0" w:line="240" w:lineRule="auto"/>
        <w:rPr>
          <w:rFonts w:ascii="Century Gothic" w:hAnsi="Century Gothic"/>
        </w:rPr>
      </w:pPr>
    </w:p>
    <w:p w14:paraId="781953D4" w14:textId="77777777" w:rsidR="005A6706" w:rsidRDefault="00A5085E" w:rsidP="005A6706">
      <w:pPr>
        <w:pStyle w:val="NormalWeb"/>
        <w:spacing w:before="0" w:beforeAutospacing="0" w:after="0" w:afterAutospacing="0"/>
        <w:rPr>
          <w:rFonts w:ascii="Century Gothic" w:hAnsi="Century Gothic"/>
          <w:color w:val="000000"/>
          <w:sz w:val="22"/>
          <w:szCs w:val="22"/>
        </w:rPr>
      </w:pPr>
      <w:r w:rsidRPr="0067412E">
        <w:rPr>
          <w:rFonts w:ascii="Century Gothic" w:hAnsi="Century Gothic"/>
          <w:color w:val="000000"/>
          <w:sz w:val="22"/>
          <w:szCs w:val="22"/>
        </w:rPr>
        <w:t>NOAA (2013), NOAA's Coastal Change Analysis Program (C-CAP) 1996 to 2010 Regional Land Cov</w:t>
      </w:r>
      <w:r w:rsidR="005A6706">
        <w:rPr>
          <w:rFonts w:ascii="Century Gothic" w:hAnsi="Century Gothic"/>
          <w:color w:val="000000"/>
          <w:sz w:val="22"/>
          <w:szCs w:val="22"/>
        </w:rPr>
        <w:t xml:space="preserve">er Change Data - Coastal United </w:t>
      </w:r>
      <w:r w:rsidRPr="0067412E">
        <w:rPr>
          <w:rFonts w:ascii="Century Gothic" w:hAnsi="Century Gothic"/>
          <w:color w:val="000000"/>
          <w:sz w:val="22"/>
          <w:szCs w:val="22"/>
        </w:rPr>
        <w:t xml:space="preserve">States, </w:t>
      </w:r>
    </w:p>
    <w:p w14:paraId="35E570E6" w14:textId="0967019D" w:rsidR="00A5085E" w:rsidRPr="0067412E" w:rsidRDefault="00A5085E" w:rsidP="005A6706">
      <w:pPr>
        <w:pStyle w:val="NormalWeb"/>
        <w:spacing w:before="0" w:beforeAutospacing="0" w:after="0" w:afterAutospacing="0"/>
        <w:rPr>
          <w:rFonts w:ascii="Century Gothic" w:hAnsi="Century Gothic"/>
        </w:rPr>
      </w:pPr>
      <w:r w:rsidRPr="005A6706">
        <w:rPr>
          <w:rFonts w:ascii="Century Gothic" w:hAnsi="Century Gothic"/>
          <w:sz w:val="22"/>
          <w:szCs w:val="22"/>
        </w:rPr>
        <w:t>https://coast.noaa.gov/dataregistry/search/collection/info/ccapregional</w:t>
      </w:r>
      <w:r w:rsidRPr="0067412E">
        <w:rPr>
          <w:rFonts w:ascii="Century Gothic" w:hAnsi="Century Gothic"/>
          <w:color w:val="000000"/>
          <w:sz w:val="22"/>
          <w:szCs w:val="22"/>
        </w:rPr>
        <w:t xml:space="preserve">, NOAA's Ocean Service, Office for Coastal Management (OCM), Charleston, SC. </w:t>
      </w:r>
    </w:p>
    <w:p w14:paraId="3E28E90B" w14:textId="77777777" w:rsidR="00A5085E" w:rsidRPr="0067412E" w:rsidRDefault="00A5085E" w:rsidP="005A6706">
      <w:pPr>
        <w:spacing w:after="0" w:line="240" w:lineRule="auto"/>
        <w:rPr>
          <w:rFonts w:ascii="Century Gothic" w:hAnsi="Century Gothic"/>
        </w:rPr>
      </w:pPr>
    </w:p>
    <w:p w14:paraId="42811B65"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Natural Resources Canada (NRC) (2015), Characterization and Monitoring Change of Canada's Land Surface. Retrieved February 18, 2016, from http://www.nrcan.gc.ca/earth-sciences/land-surface-vegetation/land-cover/north-american-landcover/9146#_North_American_Land </w:t>
      </w:r>
    </w:p>
    <w:p w14:paraId="6E04C7B5" w14:textId="77777777" w:rsidR="00A5085E" w:rsidRPr="0067412E" w:rsidRDefault="00A5085E" w:rsidP="005A6706">
      <w:pPr>
        <w:spacing w:after="0" w:line="240" w:lineRule="auto"/>
        <w:rPr>
          <w:rFonts w:ascii="Century Gothic" w:hAnsi="Century Gothic"/>
        </w:rPr>
      </w:pPr>
    </w:p>
    <w:p w14:paraId="115B2399" w14:textId="351AEF15" w:rsidR="0067412E" w:rsidRDefault="0067412E" w:rsidP="005A6706">
      <w:pPr>
        <w:spacing w:after="0" w:line="240" w:lineRule="auto"/>
        <w:rPr>
          <w:rFonts w:ascii="Century Gothic" w:hAnsi="Century Gothic"/>
        </w:rPr>
      </w:pPr>
      <w:r w:rsidRPr="0067412E">
        <w:rPr>
          <w:rFonts w:ascii="Century Gothic" w:hAnsi="Century Gothic"/>
        </w:rPr>
        <w:t>Nix, H</w:t>
      </w:r>
      <w:r>
        <w:rPr>
          <w:rFonts w:ascii="Century Gothic" w:hAnsi="Century Gothic"/>
        </w:rPr>
        <w:t>.</w:t>
      </w:r>
      <w:r w:rsidRPr="0067412E">
        <w:rPr>
          <w:rFonts w:ascii="Century Gothic" w:hAnsi="Century Gothic"/>
        </w:rPr>
        <w:t xml:space="preserve"> A.</w:t>
      </w:r>
      <w:r>
        <w:rPr>
          <w:rFonts w:ascii="Century Gothic" w:hAnsi="Century Gothic"/>
        </w:rPr>
        <w:t xml:space="preserve"> (</w:t>
      </w:r>
      <w:r w:rsidRPr="0067412E">
        <w:rPr>
          <w:rFonts w:ascii="Century Gothic" w:hAnsi="Century Gothic"/>
        </w:rPr>
        <w:t>1986</w:t>
      </w:r>
      <w:r>
        <w:rPr>
          <w:rFonts w:ascii="Century Gothic" w:hAnsi="Century Gothic"/>
        </w:rPr>
        <w:t>).</w:t>
      </w:r>
      <w:r w:rsidRPr="0067412E">
        <w:rPr>
          <w:rFonts w:ascii="Century Gothic" w:hAnsi="Century Gothic"/>
        </w:rPr>
        <w:t xml:space="preserve"> A biogeographic analysis of Australian elapid snakes, in Longmore, Richard, ed., </w:t>
      </w:r>
      <w:r w:rsidRPr="0067412E">
        <w:rPr>
          <w:rFonts w:ascii="Century Gothic" w:hAnsi="Century Gothic"/>
          <w:i/>
        </w:rPr>
        <w:t>Atlas of elapid snakes of Australia: Canberra, Australian Flora and Fauna Series 7</w:t>
      </w:r>
      <w:r w:rsidRPr="0067412E">
        <w:rPr>
          <w:rFonts w:ascii="Century Gothic" w:hAnsi="Century Gothic"/>
        </w:rPr>
        <w:t>, Australian Governme</w:t>
      </w:r>
      <w:r>
        <w:rPr>
          <w:rFonts w:ascii="Century Gothic" w:hAnsi="Century Gothic"/>
        </w:rPr>
        <w:t>nt Publishing Service</w:t>
      </w:r>
      <w:r w:rsidRPr="0067412E">
        <w:rPr>
          <w:rFonts w:ascii="Century Gothic" w:hAnsi="Century Gothic"/>
        </w:rPr>
        <w:t>.</w:t>
      </w:r>
    </w:p>
    <w:p w14:paraId="17C8AA61" w14:textId="77777777" w:rsidR="0067412E" w:rsidRPr="0067412E" w:rsidRDefault="0067412E" w:rsidP="005A6706">
      <w:pPr>
        <w:spacing w:after="0" w:line="240" w:lineRule="auto"/>
        <w:rPr>
          <w:rFonts w:ascii="Century Gothic" w:hAnsi="Century Gothic"/>
        </w:rPr>
      </w:pPr>
    </w:p>
    <w:p w14:paraId="4475D154" w14:textId="59DA6A0F" w:rsidR="0067412E" w:rsidRDefault="00BF5A25" w:rsidP="005A6706">
      <w:pPr>
        <w:pStyle w:val="NormalWeb"/>
        <w:spacing w:before="0" w:beforeAutospacing="0" w:after="0" w:afterAutospacing="0"/>
        <w:rPr>
          <w:rFonts w:ascii="Century Gothic" w:hAnsi="Century Gothic"/>
          <w:color w:val="000000"/>
          <w:sz w:val="22"/>
          <w:szCs w:val="22"/>
        </w:rPr>
      </w:pPr>
      <w:r w:rsidRPr="00BF5A25">
        <w:rPr>
          <w:rFonts w:ascii="Century Gothic" w:hAnsi="Century Gothic"/>
          <w:color w:val="000000"/>
          <w:sz w:val="22"/>
          <w:szCs w:val="22"/>
        </w:rPr>
        <w:t>O’Donnell, M.S., and Ignizio, D.A.</w:t>
      </w:r>
      <w:r>
        <w:rPr>
          <w:rFonts w:ascii="Century Gothic" w:hAnsi="Century Gothic"/>
          <w:color w:val="000000"/>
          <w:sz w:val="22"/>
          <w:szCs w:val="22"/>
        </w:rPr>
        <w:t xml:space="preserve"> (</w:t>
      </w:r>
      <w:r w:rsidRPr="00BF5A25">
        <w:rPr>
          <w:rFonts w:ascii="Century Gothic" w:hAnsi="Century Gothic"/>
          <w:color w:val="000000"/>
          <w:sz w:val="22"/>
          <w:szCs w:val="22"/>
        </w:rPr>
        <w:t>2012</w:t>
      </w:r>
      <w:r>
        <w:rPr>
          <w:rFonts w:ascii="Century Gothic" w:hAnsi="Century Gothic"/>
          <w:color w:val="000000"/>
          <w:sz w:val="22"/>
          <w:szCs w:val="22"/>
        </w:rPr>
        <w:t xml:space="preserve">). </w:t>
      </w:r>
      <w:r w:rsidRPr="00BF5A25">
        <w:rPr>
          <w:rFonts w:ascii="Century Gothic" w:hAnsi="Century Gothic"/>
          <w:color w:val="000000"/>
          <w:sz w:val="22"/>
          <w:szCs w:val="22"/>
        </w:rPr>
        <w:t>Bioclimatic predictors for supporting ecological applications in the conterminous United States: U.S. Geological Survey Data Series 691</w:t>
      </w:r>
      <w:r>
        <w:rPr>
          <w:rFonts w:ascii="Century Gothic" w:hAnsi="Century Gothic"/>
          <w:color w:val="000000"/>
          <w:sz w:val="22"/>
          <w:szCs w:val="22"/>
        </w:rPr>
        <w:t>.</w:t>
      </w:r>
    </w:p>
    <w:p w14:paraId="463A8022" w14:textId="77777777" w:rsidR="00BF5A25" w:rsidRDefault="00BF5A25" w:rsidP="005A6706">
      <w:pPr>
        <w:pStyle w:val="NormalWeb"/>
        <w:spacing w:before="0" w:beforeAutospacing="0" w:after="0" w:afterAutospacing="0"/>
        <w:rPr>
          <w:rFonts w:ascii="Century Gothic" w:hAnsi="Century Gothic"/>
          <w:color w:val="000000"/>
          <w:sz w:val="22"/>
          <w:szCs w:val="22"/>
        </w:rPr>
      </w:pPr>
    </w:p>
    <w:p w14:paraId="486E58AC"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Ontario Ministry of Natural Resources (OMNR), Invasive Phragmites – Best Management Practices, Ontario Ministry of Natural Resources, Peterborough, Ontario. Version 2011. 17p.</w:t>
      </w:r>
    </w:p>
    <w:p w14:paraId="4C4CAA4E" w14:textId="77777777" w:rsidR="00A5085E" w:rsidRPr="0067412E" w:rsidRDefault="00A5085E" w:rsidP="005A6706">
      <w:pPr>
        <w:spacing w:after="0" w:line="240" w:lineRule="auto"/>
        <w:rPr>
          <w:rFonts w:ascii="Century Gothic" w:hAnsi="Century Gothic"/>
        </w:rPr>
      </w:pPr>
    </w:p>
    <w:p w14:paraId="7E5AC34B" w14:textId="7ACA02B6" w:rsidR="0022262D"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Pengra, B. W., Johnston, C. A., &amp; Loveland, T. R. (2007). Mapping an invasive plant,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in coastal wetlands using the EO-1 Hyperion hyperspectral sensor. </w:t>
      </w:r>
      <w:r w:rsidRPr="0067412E">
        <w:rPr>
          <w:rFonts w:ascii="Century Gothic" w:hAnsi="Century Gothic"/>
          <w:i/>
          <w:iCs/>
          <w:color w:val="000000"/>
          <w:sz w:val="22"/>
          <w:szCs w:val="22"/>
        </w:rPr>
        <w:t>Remote Sensing of Environment,</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108</w:t>
      </w:r>
      <w:r w:rsidRPr="0067412E">
        <w:rPr>
          <w:rFonts w:ascii="Century Gothic" w:hAnsi="Century Gothic"/>
          <w:color w:val="000000"/>
          <w:sz w:val="22"/>
          <w:szCs w:val="22"/>
        </w:rPr>
        <w:t xml:space="preserve">, 74-81. </w:t>
      </w:r>
    </w:p>
    <w:p w14:paraId="12722681" w14:textId="77777777" w:rsidR="00A5085E" w:rsidRPr="0067412E" w:rsidRDefault="00A5085E" w:rsidP="005A6706">
      <w:pPr>
        <w:pStyle w:val="NormalWeb"/>
        <w:spacing w:before="0" w:beforeAutospacing="0" w:after="0" w:afterAutospacing="0"/>
        <w:rPr>
          <w:rFonts w:ascii="Century Gothic" w:hAnsi="Century Gothic"/>
          <w:color w:val="000000"/>
          <w:sz w:val="22"/>
          <w:szCs w:val="22"/>
        </w:rPr>
      </w:pPr>
      <w:r w:rsidRPr="0067412E">
        <w:rPr>
          <w:rFonts w:ascii="Century Gothic" w:hAnsi="Century Gothic"/>
        </w:rPr>
        <w:br/>
      </w:r>
      <w:r w:rsidRPr="0067412E">
        <w:rPr>
          <w:rFonts w:ascii="Century Gothic" w:hAnsi="Century Gothic"/>
          <w:color w:val="000000"/>
          <w:sz w:val="22"/>
          <w:szCs w:val="22"/>
        </w:rPr>
        <w:t xml:space="preserve">Tulbure, M. G., Johnston, C. A., &amp; Auger, D. L. (2007). Rapid Invasion of a Great Lakes Coastal Wetland by Non-native Phragmites australis and Typha. </w:t>
      </w:r>
      <w:r w:rsidRPr="0067412E">
        <w:rPr>
          <w:rFonts w:ascii="Century Gothic" w:hAnsi="Century Gothic"/>
          <w:i/>
          <w:color w:val="000000"/>
          <w:sz w:val="22"/>
          <w:szCs w:val="22"/>
        </w:rPr>
        <w:t>Journal of Great Lakes Research, 33</w:t>
      </w:r>
      <w:r w:rsidRPr="0067412E">
        <w:rPr>
          <w:rFonts w:ascii="Century Gothic" w:hAnsi="Century Gothic"/>
          <w:color w:val="000000"/>
          <w:sz w:val="22"/>
          <w:szCs w:val="22"/>
        </w:rPr>
        <w:t>(3), 269-279. Retrieved February 14, 2016.</w:t>
      </w:r>
    </w:p>
    <w:p w14:paraId="646F2E87" w14:textId="72FAEC09" w:rsidR="00E41324" w:rsidRPr="00B265D9" w:rsidRDefault="0001001C" w:rsidP="00A5085E">
      <w:pPr>
        <w:pStyle w:val="Heading1"/>
        <w:rPr>
          <w:rFonts w:ascii="Century Gothic" w:hAnsi="Century Gothic"/>
        </w:rPr>
      </w:pPr>
      <w:r>
        <w:rPr>
          <w:rFonts w:ascii="Century Gothic" w:hAnsi="Century Gothic"/>
        </w:rPr>
        <w:t>IX</w:t>
      </w:r>
      <w:r w:rsidR="008B7071">
        <w:rPr>
          <w:rFonts w:ascii="Century Gothic" w:hAnsi="Century Gothic"/>
        </w:rPr>
        <w:t xml:space="preserve">. </w:t>
      </w:r>
      <w:r w:rsidR="006528A0">
        <w:rPr>
          <w:rFonts w:ascii="Century Gothic" w:hAnsi="Century Gothic"/>
        </w:rPr>
        <w:t>Content Innovation</w:t>
      </w:r>
      <w:bookmarkEnd w:id="6"/>
    </w:p>
    <w:p w14:paraId="5D1A07BC" w14:textId="77777777" w:rsidR="00A36F35" w:rsidRDefault="00A36F35" w:rsidP="00A36F35">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VPS</w:t>
      </w:r>
    </w:p>
    <w:p w14:paraId="38A9842E" w14:textId="2C899E15" w:rsidR="00A5085E" w:rsidRPr="00A5085E" w:rsidRDefault="00A5085E" w:rsidP="00A5085E">
      <w:pPr>
        <w:spacing w:after="0" w:line="240" w:lineRule="auto"/>
        <w:rPr>
          <w:rFonts w:ascii="Times New Roman" w:eastAsia="Times New Roman" w:hAnsi="Times New Roman" w:cs="Times New Roman"/>
          <w:sz w:val="24"/>
          <w:szCs w:val="24"/>
        </w:rPr>
      </w:pPr>
      <w:bookmarkStart w:id="7" w:name="_GoBack"/>
      <w:bookmarkEnd w:id="7"/>
      <w:r w:rsidRPr="00A5085E">
        <w:rPr>
          <w:rFonts w:ascii="Century Gothic" w:eastAsia="Times New Roman" w:hAnsi="Century Gothic" w:cs="Times New Roman"/>
          <w:color w:val="000000"/>
        </w:rPr>
        <w:t xml:space="preserve">Inline Supplementary Material </w:t>
      </w:r>
    </w:p>
    <w:p w14:paraId="20E7C973" w14:textId="050342A5" w:rsidR="00E658C2" w:rsidRDefault="00E658C2" w:rsidP="00E658C2">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Interactive Map Viewer</w:t>
      </w:r>
      <w:r w:rsidR="00073B52">
        <w:rPr>
          <w:rFonts w:ascii="Century Gothic" w:eastAsia="Times New Roman" w:hAnsi="Century Gothic" w:cs="Times New Roman"/>
          <w:color w:val="000000"/>
        </w:rPr>
        <w:t xml:space="preserve">: </w:t>
      </w:r>
      <w:r w:rsidR="00A36F35">
        <w:rPr>
          <w:rFonts w:ascii="Century Gothic" w:eastAsia="Times New Roman" w:hAnsi="Century Gothic" w:cs="Times New Roman"/>
          <w:color w:val="000000"/>
        </w:rPr>
        <w:t>Three</w:t>
      </w:r>
      <w:r w:rsidR="00073B52">
        <w:rPr>
          <w:rFonts w:ascii="Century Gothic" w:eastAsia="Times New Roman" w:hAnsi="Century Gothic" w:cs="Times New Roman"/>
          <w:color w:val="000000"/>
        </w:rPr>
        <w:t xml:space="preserve"> </w:t>
      </w:r>
      <w:r w:rsidR="00A36F35">
        <w:rPr>
          <w:rFonts w:ascii="Century Gothic" w:eastAsia="Times New Roman" w:hAnsi="Century Gothic" w:cs="Times New Roman"/>
          <w:color w:val="000000"/>
        </w:rPr>
        <w:t xml:space="preserve">Map </w:t>
      </w:r>
      <w:r w:rsidR="00073B52">
        <w:rPr>
          <w:rFonts w:ascii="Century Gothic" w:eastAsia="Times New Roman" w:hAnsi="Century Gothic" w:cs="Times New Roman"/>
          <w:color w:val="000000"/>
        </w:rPr>
        <w:t>Files</w:t>
      </w:r>
    </w:p>
    <w:p w14:paraId="17F158C9" w14:textId="77777777" w:rsidR="00E658C2" w:rsidRDefault="00E658C2" w:rsidP="00A5085E">
      <w:pPr>
        <w:spacing w:after="0" w:line="240" w:lineRule="auto"/>
        <w:rPr>
          <w:rFonts w:ascii="Century Gothic" w:eastAsia="Times New Roman" w:hAnsi="Century Gothic" w:cs="Times New Roman"/>
          <w:color w:val="000000"/>
        </w:rPr>
      </w:pPr>
    </w:p>
    <w:p w14:paraId="7727FD9E" w14:textId="43B6EFA1" w:rsidR="00E658C2" w:rsidRDefault="00073B52" w:rsidP="00073B52">
      <w:pPr>
        <w:pStyle w:val="ListParagraph"/>
        <w:numPr>
          <w:ilvl w:val="0"/>
          <w:numId w:val="13"/>
        </w:numPr>
        <w:spacing w:after="0" w:line="240" w:lineRule="auto"/>
        <w:rPr>
          <w:rFonts w:ascii="Century Gothic" w:eastAsia="Times New Roman" w:hAnsi="Century Gothic" w:cs="Times New Roman"/>
          <w:color w:val="000000"/>
        </w:rPr>
      </w:pPr>
      <w:r w:rsidRPr="00073B52">
        <w:rPr>
          <w:rFonts w:ascii="Century Gothic" w:eastAsia="Times New Roman" w:hAnsi="Century Gothic" w:cs="Times New Roman"/>
          <w:color w:val="000000"/>
        </w:rPr>
        <w:t>Spring2016_GSFC_GreatLakesEcoForecast_ContentInnovation_MapViewer_Racine_WI</w:t>
      </w:r>
      <w:r>
        <w:rPr>
          <w:rFonts w:ascii="Century Gothic" w:eastAsia="Times New Roman" w:hAnsi="Century Gothic" w:cs="Times New Roman"/>
          <w:color w:val="000000"/>
        </w:rPr>
        <w:t>.kmz</w:t>
      </w:r>
    </w:p>
    <w:p w14:paraId="18D2B75E" w14:textId="19084458" w:rsidR="00A36F35" w:rsidRDefault="00A36F35" w:rsidP="00A36F35">
      <w:pPr>
        <w:pStyle w:val="ListParagraph"/>
        <w:numPr>
          <w:ilvl w:val="0"/>
          <w:numId w:val="13"/>
        </w:numPr>
        <w:spacing w:after="0" w:line="240" w:lineRule="auto"/>
        <w:rPr>
          <w:rFonts w:ascii="Century Gothic" w:eastAsia="Times New Roman" w:hAnsi="Century Gothic" w:cs="Times New Roman"/>
          <w:color w:val="000000"/>
        </w:rPr>
      </w:pPr>
      <w:r w:rsidRPr="00A36F35">
        <w:rPr>
          <w:rFonts w:ascii="Century Gothic" w:eastAsia="Times New Roman" w:hAnsi="Century Gothic" w:cs="Times New Roman"/>
          <w:color w:val="000000"/>
        </w:rPr>
        <w:t>Spring2016_GSFC_GreatLakesEcoForecast_ContentInnovation_MapViewer_Gary_IN</w:t>
      </w:r>
    </w:p>
    <w:p w14:paraId="6D32AA53" w14:textId="30E1E87C" w:rsidR="00A36F35" w:rsidRDefault="00A36F35" w:rsidP="00A36F35">
      <w:pPr>
        <w:pStyle w:val="ListParagraph"/>
        <w:numPr>
          <w:ilvl w:val="0"/>
          <w:numId w:val="13"/>
        </w:numPr>
        <w:spacing w:after="0" w:line="240" w:lineRule="auto"/>
        <w:rPr>
          <w:rFonts w:ascii="Century Gothic" w:eastAsia="Times New Roman" w:hAnsi="Century Gothic" w:cs="Times New Roman"/>
          <w:color w:val="000000"/>
        </w:rPr>
      </w:pPr>
      <w:r w:rsidRPr="00A36F35">
        <w:rPr>
          <w:rFonts w:ascii="Century Gothic" w:eastAsia="Times New Roman" w:hAnsi="Century Gothic" w:cs="Times New Roman"/>
          <w:color w:val="000000"/>
        </w:rPr>
        <w:t>Spring2016_GSFC_GreatLakesEcoForecast_ContentInnovation_MapViewer_Milwaukee_WI</w:t>
      </w:r>
    </w:p>
    <w:p w14:paraId="26802684" w14:textId="77777777" w:rsidR="00E66486" w:rsidRPr="00E66486" w:rsidRDefault="00E66486" w:rsidP="00E66486">
      <w:pPr>
        <w:spacing w:after="0" w:line="240" w:lineRule="auto"/>
        <w:rPr>
          <w:rFonts w:ascii="Century Gothic" w:eastAsia="Times New Roman" w:hAnsi="Century Gothic" w:cs="Times New Roman"/>
          <w:color w:val="000000"/>
        </w:rPr>
      </w:pPr>
    </w:p>
    <w:p w14:paraId="7CA9A253" w14:textId="295DC791" w:rsidR="00615E3A" w:rsidRPr="00B265D9" w:rsidRDefault="0001001C" w:rsidP="00615E3A">
      <w:pPr>
        <w:pStyle w:val="Heading1"/>
        <w:rPr>
          <w:rFonts w:ascii="Century Gothic" w:hAnsi="Century Gothic"/>
        </w:rPr>
      </w:pPr>
      <w:r>
        <w:rPr>
          <w:rFonts w:ascii="Century Gothic" w:hAnsi="Century Gothic"/>
        </w:rPr>
        <w:lastRenderedPageBreak/>
        <w:t>X</w:t>
      </w:r>
      <w:r w:rsidR="00615E3A">
        <w:rPr>
          <w:rFonts w:ascii="Century Gothic" w:hAnsi="Century Gothic"/>
        </w:rPr>
        <w:t xml:space="preserve">. </w:t>
      </w:r>
      <w:r w:rsidR="00615E3A" w:rsidRPr="00B265D9">
        <w:rPr>
          <w:rFonts w:ascii="Century Gothic" w:hAnsi="Century Gothic"/>
        </w:rPr>
        <w:t>Appendices</w:t>
      </w:r>
    </w:p>
    <w:p w14:paraId="6CA5AC24" w14:textId="1E6A6FF4" w:rsidR="00A5085E" w:rsidRPr="00D4174C" w:rsidRDefault="00747BEB" w:rsidP="00D4174C">
      <w:pPr>
        <w:rPr>
          <w:rFonts w:ascii="Century Gothic" w:hAnsi="Century Gothic"/>
          <w:szCs w:val="24"/>
        </w:rPr>
      </w:pPr>
      <w:r w:rsidRPr="00D4174C">
        <w:rPr>
          <w:rFonts w:ascii="Century Gothic" w:hAnsi="Century Gothic"/>
          <w:szCs w:val="24"/>
        </w:rPr>
        <w:t>Table 2</w:t>
      </w:r>
      <w:r w:rsidR="00A5085E" w:rsidRPr="00D4174C">
        <w:rPr>
          <w:rFonts w:ascii="Century Gothic" w:hAnsi="Century Gothic"/>
          <w:szCs w:val="24"/>
        </w:rPr>
        <w:t>. Variables used to model</w:t>
      </w:r>
      <w:r w:rsidR="0067036F" w:rsidRPr="00D4174C">
        <w:rPr>
          <w:rFonts w:ascii="Century Gothic" w:hAnsi="Century Gothic"/>
          <w:szCs w:val="24"/>
        </w:rPr>
        <w:t xml:space="preserve"> Phragmites in the Great Lakes B</w:t>
      </w:r>
      <w:r w:rsidR="00A5085E" w:rsidRPr="00D4174C">
        <w:rPr>
          <w:rFonts w:ascii="Century Gothic" w:hAnsi="Century Gothic"/>
          <w:szCs w:val="24"/>
        </w:rPr>
        <w:t>asin.</w:t>
      </w:r>
    </w:p>
    <w:tbl>
      <w:tblPr>
        <w:tblStyle w:val="LightList"/>
        <w:tblW w:w="4234" w:type="pct"/>
        <w:jc w:val="center"/>
        <w:tblLook w:val="0620" w:firstRow="1" w:lastRow="0" w:firstColumn="0" w:lastColumn="0" w:noHBand="1" w:noVBand="1"/>
      </w:tblPr>
      <w:tblGrid>
        <w:gridCol w:w="1515"/>
        <w:gridCol w:w="2672"/>
        <w:gridCol w:w="1547"/>
        <w:gridCol w:w="2175"/>
      </w:tblGrid>
      <w:tr w:rsidR="00A5085E" w14:paraId="464B53C5" w14:textId="77777777" w:rsidTr="008A6557">
        <w:trPr>
          <w:cnfStyle w:val="100000000000" w:firstRow="1" w:lastRow="0" w:firstColumn="0" w:lastColumn="0" w:oddVBand="0" w:evenVBand="0" w:oddHBand="0" w:evenHBand="0" w:firstRowFirstColumn="0" w:firstRowLastColumn="0" w:lastRowFirstColumn="0" w:lastRowLastColumn="0"/>
          <w:jc w:val="center"/>
        </w:trPr>
        <w:tc>
          <w:tcPr>
            <w:tcW w:w="958" w:type="pct"/>
            <w:vAlign w:val="center"/>
          </w:tcPr>
          <w:p w14:paraId="2AC9CB54" w14:textId="77777777" w:rsidR="00A5085E" w:rsidRPr="007624C5" w:rsidRDefault="00A5085E" w:rsidP="00EA4592">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Category</w:t>
            </w:r>
          </w:p>
        </w:tc>
        <w:tc>
          <w:tcPr>
            <w:tcW w:w="1689" w:type="pct"/>
            <w:vAlign w:val="center"/>
          </w:tcPr>
          <w:p w14:paraId="1A8A1EDF"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Variable</w:t>
            </w:r>
          </w:p>
        </w:tc>
        <w:tc>
          <w:tcPr>
            <w:tcW w:w="978" w:type="pct"/>
            <w:vAlign w:val="center"/>
          </w:tcPr>
          <w:p w14:paraId="3FCF242F"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Time Period</w:t>
            </w:r>
          </w:p>
        </w:tc>
        <w:tc>
          <w:tcPr>
            <w:tcW w:w="1376" w:type="pct"/>
            <w:vAlign w:val="center"/>
          </w:tcPr>
          <w:p w14:paraId="08ABEA61"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Source</w:t>
            </w:r>
          </w:p>
        </w:tc>
      </w:tr>
      <w:tr w:rsidR="00A5085E" w14:paraId="42B7B901" w14:textId="77777777" w:rsidTr="008A6557">
        <w:trPr>
          <w:jc w:val="center"/>
        </w:trPr>
        <w:tc>
          <w:tcPr>
            <w:tcW w:w="958" w:type="pct"/>
            <w:tcBorders>
              <w:right w:val="single" w:sz="4" w:space="0" w:color="auto"/>
            </w:tcBorders>
            <w:vAlign w:val="center"/>
          </w:tcPr>
          <w:p w14:paraId="52D97FD0"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Climate</w:t>
            </w:r>
          </w:p>
        </w:tc>
        <w:tc>
          <w:tcPr>
            <w:tcW w:w="1689" w:type="pct"/>
            <w:tcBorders>
              <w:left w:val="single" w:sz="4" w:space="0" w:color="auto"/>
              <w:bottom w:val="single" w:sz="4" w:space="0" w:color="auto"/>
              <w:right w:val="single" w:sz="4" w:space="0" w:color="auto"/>
            </w:tcBorders>
            <w:vAlign w:val="center"/>
          </w:tcPr>
          <w:p w14:paraId="7D0920D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Temperature</w:t>
            </w:r>
          </w:p>
        </w:tc>
        <w:tc>
          <w:tcPr>
            <w:tcW w:w="978" w:type="pct"/>
            <w:tcBorders>
              <w:left w:val="single" w:sz="4" w:space="0" w:color="auto"/>
              <w:bottom w:val="single" w:sz="4" w:space="0" w:color="auto"/>
              <w:right w:val="single" w:sz="4" w:space="0" w:color="auto"/>
            </w:tcBorders>
            <w:vAlign w:val="center"/>
          </w:tcPr>
          <w:p w14:paraId="623D7626"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1981-2015</w:t>
            </w:r>
          </w:p>
        </w:tc>
        <w:tc>
          <w:tcPr>
            <w:tcW w:w="1376" w:type="pct"/>
            <w:tcBorders>
              <w:left w:val="single" w:sz="4" w:space="0" w:color="auto"/>
              <w:bottom w:val="single" w:sz="4" w:space="0" w:color="auto"/>
            </w:tcBorders>
            <w:vAlign w:val="center"/>
          </w:tcPr>
          <w:p w14:paraId="6AEA89DC"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MERRA</w:t>
            </w:r>
            <w:r w:rsidRPr="007624C5">
              <w:rPr>
                <w:rFonts w:ascii="Century Gothic" w:eastAsia="Times New Roman" w:hAnsi="Century Gothic" w:cs="Times New Roman"/>
                <w:color w:val="000000"/>
              </w:rPr>
              <w:t>-2</w:t>
            </w:r>
          </w:p>
        </w:tc>
      </w:tr>
      <w:tr w:rsidR="00A5085E" w14:paraId="2E212BC7" w14:textId="77777777" w:rsidTr="00076427">
        <w:trPr>
          <w:trHeight w:val="252"/>
          <w:jc w:val="center"/>
        </w:trPr>
        <w:tc>
          <w:tcPr>
            <w:tcW w:w="958" w:type="pct"/>
            <w:tcBorders>
              <w:bottom w:val="single" w:sz="4" w:space="0" w:color="auto"/>
              <w:right w:val="single" w:sz="4" w:space="0" w:color="auto"/>
            </w:tcBorders>
            <w:vAlign w:val="center"/>
          </w:tcPr>
          <w:p w14:paraId="1D412D6A"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6877EB0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Precipitation</w:t>
            </w:r>
          </w:p>
        </w:tc>
        <w:tc>
          <w:tcPr>
            <w:tcW w:w="978" w:type="pct"/>
            <w:tcBorders>
              <w:top w:val="single" w:sz="4" w:space="0" w:color="auto"/>
              <w:left w:val="single" w:sz="4" w:space="0" w:color="auto"/>
              <w:bottom w:val="single" w:sz="4" w:space="0" w:color="auto"/>
              <w:right w:val="single" w:sz="4" w:space="0" w:color="auto"/>
            </w:tcBorders>
            <w:vAlign w:val="center"/>
          </w:tcPr>
          <w:p w14:paraId="5B7FB212" w14:textId="147FCD68" w:rsidR="00A5085E" w:rsidRPr="007624C5" w:rsidRDefault="00A3191B">
            <w:pPr>
              <w:rPr>
                <w:rFonts w:ascii="Century Gothic" w:eastAsia="Times New Roman" w:hAnsi="Century Gothic" w:cs="Times New Roman"/>
                <w:color w:val="000000"/>
              </w:rPr>
            </w:pPr>
            <w:r>
              <w:rPr>
                <w:rFonts w:ascii="Century Gothic" w:eastAsia="Times New Roman" w:hAnsi="Century Gothic" w:cs="Times New Roman"/>
                <w:color w:val="000000"/>
              </w:rPr>
              <w:t>1998</w:t>
            </w:r>
            <w:r w:rsidR="00A5085E" w:rsidRPr="007624C5">
              <w:rPr>
                <w:rFonts w:ascii="Century Gothic" w:eastAsia="Times New Roman" w:hAnsi="Century Gothic" w:cs="Times New Roman"/>
                <w:color w:val="000000"/>
              </w:rPr>
              <w:t>-2015</w:t>
            </w:r>
          </w:p>
        </w:tc>
        <w:tc>
          <w:tcPr>
            <w:tcW w:w="1376" w:type="pct"/>
            <w:tcBorders>
              <w:top w:val="single" w:sz="4" w:space="0" w:color="auto"/>
              <w:left w:val="single" w:sz="4" w:space="0" w:color="auto"/>
              <w:bottom w:val="single" w:sz="4" w:space="0" w:color="auto"/>
            </w:tcBorders>
            <w:vAlign w:val="center"/>
          </w:tcPr>
          <w:p w14:paraId="4CDF5087" w14:textId="16B1BC2A" w:rsidR="00A5085E" w:rsidRPr="007624C5" w:rsidRDefault="00A3191B">
            <w:pPr>
              <w:rPr>
                <w:rFonts w:ascii="Century Gothic" w:eastAsia="Times New Roman" w:hAnsi="Century Gothic" w:cs="Times New Roman"/>
                <w:color w:val="000000"/>
              </w:rPr>
            </w:pPr>
            <w:r>
              <w:rPr>
                <w:rFonts w:ascii="Century Gothic" w:eastAsia="Times New Roman" w:hAnsi="Century Gothic" w:cs="Times New Roman"/>
                <w:color w:val="000000"/>
              </w:rPr>
              <w:t>TREMM+GPM</w:t>
            </w:r>
          </w:p>
        </w:tc>
      </w:tr>
      <w:tr w:rsidR="00A5085E" w14:paraId="48E4CDF8" w14:textId="77777777" w:rsidTr="00076427">
        <w:trPr>
          <w:trHeight w:val="270"/>
          <w:jc w:val="center"/>
        </w:trPr>
        <w:tc>
          <w:tcPr>
            <w:tcW w:w="958" w:type="pct"/>
            <w:tcBorders>
              <w:top w:val="single" w:sz="4" w:space="0" w:color="auto"/>
              <w:bottom w:val="nil"/>
              <w:right w:val="single" w:sz="4" w:space="0" w:color="auto"/>
            </w:tcBorders>
            <w:vAlign w:val="center"/>
          </w:tcPr>
          <w:p w14:paraId="17E65087"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Disturbance</w:t>
            </w:r>
          </w:p>
        </w:tc>
        <w:tc>
          <w:tcPr>
            <w:tcW w:w="1689" w:type="pct"/>
            <w:tcBorders>
              <w:top w:val="single" w:sz="4" w:space="0" w:color="auto"/>
              <w:left w:val="single" w:sz="4" w:space="0" w:color="auto"/>
              <w:bottom w:val="single" w:sz="4" w:space="0" w:color="auto"/>
              <w:right w:val="single" w:sz="4" w:space="0" w:color="auto"/>
            </w:tcBorders>
            <w:vAlign w:val="center"/>
          </w:tcPr>
          <w:p w14:paraId="79AC16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roads</w:t>
            </w:r>
          </w:p>
        </w:tc>
        <w:tc>
          <w:tcPr>
            <w:tcW w:w="978" w:type="pct"/>
            <w:tcBorders>
              <w:left w:val="single" w:sz="4" w:space="0" w:color="auto"/>
              <w:bottom w:val="single" w:sz="4" w:space="0" w:color="auto"/>
              <w:right w:val="single" w:sz="4" w:space="0" w:color="auto"/>
            </w:tcBorders>
            <w:vAlign w:val="center"/>
          </w:tcPr>
          <w:p w14:paraId="59F63BF5"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1992</w:t>
            </w:r>
          </w:p>
        </w:tc>
        <w:tc>
          <w:tcPr>
            <w:tcW w:w="1376" w:type="pct"/>
            <w:tcBorders>
              <w:top w:val="single" w:sz="4" w:space="0" w:color="auto"/>
              <w:left w:val="single" w:sz="4" w:space="0" w:color="auto"/>
              <w:bottom w:val="single" w:sz="4" w:space="0" w:color="auto"/>
            </w:tcBorders>
            <w:vAlign w:val="center"/>
          </w:tcPr>
          <w:p w14:paraId="566702D7"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DIVA-GIS</w:t>
            </w:r>
          </w:p>
        </w:tc>
      </w:tr>
      <w:tr w:rsidR="00A5085E" w14:paraId="123795FC" w14:textId="77777777" w:rsidTr="00076427">
        <w:trPr>
          <w:jc w:val="center"/>
        </w:trPr>
        <w:tc>
          <w:tcPr>
            <w:tcW w:w="958" w:type="pct"/>
            <w:tcBorders>
              <w:top w:val="nil"/>
              <w:right w:val="single" w:sz="4" w:space="0" w:color="auto"/>
            </w:tcBorders>
            <w:vAlign w:val="center"/>
          </w:tcPr>
          <w:p w14:paraId="0CBE7119"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010582EF"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agriculture</w:t>
            </w:r>
          </w:p>
        </w:tc>
        <w:tc>
          <w:tcPr>
            <w:tcW w:w="978" w:type="pct"/>
            <w:tcBorders>
              <w:top w:val="single" w:sz="4" w:space="0" w:color="auto"/>
              <w:left w:val="single" w:sz="4" w:space="0" w:color="auto"/>
              <w:bottom w:val="single" w:sz="4" w:space="0" w:color="auto"/>
              <w:right w:val="single" w:sz="4" w:space="0" w:color="auto"/>
            </w:tcBorders>
            <w:vAlign w:val="center"/>
          </w:tcPr>
          <w:p w14:paraId="4B7CBCCD"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76" w:type="pct"/>
            <w:tcBorders>
              <w:top w:val="single" w:sz="4" w:space="0" w:color="auto"/>
              <w:left w:val="single" w:sz="4" w:space="0" w:color="auto"/>
              <w:bottom w:val="single" w:sz="4" w:space="0" w:color="auto"/>
            </w:tcBorders>
            <w:vAlign w:val="center"/>
          </w:tcPr>
          <w:p w14:paraId="0B63E43C"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D4CE6D0" w14:textId="77777777" w:rsidTr="008A6557">
        <w:trPr>
          <w:jc w:val="center"/>
        </w:trPr>
        <w:tc>
          <w:tcPr>
            <w:tcW w:w="958" w:type="pct"/>
            <w:tcBorders>
              <w:bottom w:val="single" w:sz="4" w:space="0" w:color="auto"/>
              <w:right w:val="single" w:sz="4" w:space="0" w:color="auto"/>
            </w:tcBorders>
            <w:vAlign w:val="center"/>
          </w:tcPr>
          <w:p w14:paraId="7981A342"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7D611C7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developed land</w:t>
            </w:r>
          </w:p>
        </w:tc>
        <w:tc>
          <w:tcPr>
            <w:tcW w:w="978" w:type="pct"/>
            <w:tcBorders>
              <w:top w:val="single" w:sz="4" w:space="0" w:color="auto"/>
              <w:left w:val="single" w:sz="4" w:space="0" w:color="auto"/>
              <w:bottom w:val="single" w:sz="4" w:space="0" w:color="auto"/>
              <w:right w:val="single" w:sz="4" w:space="0" w:color="auto"/>
            </w:tcBorders>
            <w:vAlign w:val="center"/>
          </w:tcPr>
          <w:p w14:paraId="118D6330"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76" w:type="pct"/>
            <w:tcBorders>
              <w:top w:val="single" w:sz="4" w:space="0" w:color="auto"/>
              <w:left w:val="single" w:sz="4" w:space="0" w:color="auto"/>
              <w:bottom w:val="single" w:sz="4" w:space="0" w:color="auto"/>
            </w:tcBorders>
            <w:vAlign w:val="center"/>
          </w:tcPr>
          <w:p w14:paraId="7822E234"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5D7AE03" w14:textId="77777777" w:rsidTr="008A6557">
        <w:trPr>
          <w:jc w:val="center"/>
        </w:trPr>
        <w:tc>
          <w:tcPr>
            <w:tcW w:w="958" w:type="pct"/>
            <w:tcBorders>
              <w:top w:val="single" w:sz="4" w:space="0" w:color="auto"/>
              <w:bottom w:val="single" w:sz="4" w:space="0" w:color="auto"/>
              <w:right w:val="single" w:sz="4" w:space="0" w:color="auto"/>
            </w:tcBorders>
            <w:vAlign w:val="center"/>
          </w:tcPr>
          <w:p w14:paraId="3A3FB891" w14:textId="77777777" w:rsidR="00A5085E" w:rsidRPr="007624C5" w:rsidRDefault="00A5085E" w:rsidP="00EA4592">
            <w:pPr>
              <w:rPr>
                <w:rFonts w:ascii="Century Gothic" w:eastAsia="Times New Roman" w:hAnsi="Century Gothic" w:cs="Times New Roman"/>
                <w:color w:val="000000"/>
              </w:rPr>
            </w:pPr>
            <w:r>
              <w:rPr>
                <w:rFonts w:ascii="Century Gothic" w:eastAsia="Times New Roman" w:hAnsi="Century Gothic" w:cs="Times New Roman"/>
                <w:color w:val="000000"/>
              </w:rPr>
              <w:t>Topography</w:t>
            </w:r>
          </w:p>
        </w:tc>
        <w:tc>
          <w:tcPr>
            <w:tcW w:w="1689" w:type="pct"/>
            <w:tcBorders>
              <w:left w:val="single" w:sz="4" w:space="0" w:color="auto"/>
              <w:bottom w:val="single" w:sz="4" w:space="0" w:color="auto"/>
              <w:right w:val="single" w:sz="4" w:space="0" w:color="auto"/>
            </w:tcBorders>
            <w:vAlign w:val="center"/>
          </w:tcPr>
          <w:p w14:paraId="3998680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Elevation</w:t>
            </w:r>
          </w:p>
        </w:tc>
        <w:tc>
          <w:tcPr>
            <w:tcW w:w="978" w:type="pct"/>
            <w:tcBorders>
              <w:left w:val="single" w:sz="4" w:space="0" w:color="auto"/>
              <w:bottom w:val="single" w:sz="4" w:space="0" w:color="auto"/>
              <w:right w:val="single" w:sz="4" w:space="0" w:color="auto"/>
            </w:tcBorders>
            <w:vAlign w:val="center"/>
          </w:tcPr>
          <w:p w14:paraId="26DB5D6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2000</w:t>
            </w:r>
          </w:p>
        </w:tc>
        <w:tc>
          <w:tcPr>
            <w:tcW w:w="1376" w:type="pct"/>
            <w:tcBorders>
              <w:left w:val="single" w:sz="4" w:space="0" w:color="auto"/>
              <w:bottom w:val="single" w:sz="4" w:space="0" w:color="auto"/>
            </w:tcBorders>
            <w:vAlign w:val="center"/>
          </w:tcPr>
          <w:p w14:paraId="489A631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NASA SRTM Plus Void-Filled</w:t>
            </w:r>
          </w:p>
        </w:tc>
      </w:tr>
      <w:tr w:rsidR="00A5085E" w14:paraId="42976771" w14:textId="77777777" w:rsidTr="008A6557">
        <w:trPr>
          <w:trHeight w:val="80"/>
          <w:jc w:val="center"/>
        </w:trPr>
        <w:tc>
          <w:tcPr>
            <w:tcW w:w="958" w:type="pct"/>
            <w:tcBorders>
              <w:top w:val="single" w:sz="4" w:space="0" w:color="auto"/>
              <w:bottom w:val="single" w:sz="4" w:space="0" w:color="auto"/>
              <w:right w:val="single" w:sz="4" w:space="0" w:color="auto"/>
            </w:tcBorders>
            <w:vAlign w:val="center"/>
          </w:tcPr>
          <w:p w14:paraId="1E3B8853"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w:t>
            </w:r>
          </w:p>
        </w:tc>
        <w:tc>
          <w:tcPr>
            <w:tcW w:w="1689" w:type="pct"/>
            <w:tcBorders>
              <w:top w:val="single" w:sz="4" w:space="0" w:color="auto"/>
              <w:left w:val="single" w:sz="4" w:space="0" w:color="auto"/>
              <w:bottom w:val="single" w:sz="4" w:space="0" w:color="auto"/>
              <w:right w:val="single" w:sz="4" w:space="0" w:color="auto"/>
            </w:tcBorders>
            <w:vAlign w:val="center"/>
          </w:tcPr>
          <w:p w14:paraId="6CE9ACD2"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 drainage class</w:t>
            </w:r>
          </w:p>
        </w:tc>
        <w:tc>
          <w:tcPr>
            <w:tcW w:w="978" w:type="pct"/>
            <w:tcBorders>
              <w:top w:val="single" w:sz="4" w:space="0" w:color="auto"/>
              <w:left w:val="single" w:sz="4" w:space="0" w:color="auto"/>
              <w:bottom w:val="single" w:sz="4" w:space="0" w:color="auto"/>
              <w:right w:val="single" w:sz="4" w:space="0" w:color="auto"/>
            </w:tcBorders>
            <w:vAlign w:val="center"/>
          </w:tcPr>
          <w:p w14:paraId="5B97D7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2006</w:t>
            </w:r>
          </w:p>
        </w:tc>
        <w:tc>
          <w:tcPr>
            <w:tcW w:w="1376" w:type="pct"/>
            <w:tcBorders>
              <w:top w:val="single" w:sz="4" w:space="0" w:color="auto"/>
              <w:left w:val="single" w:sz="4" w:space="0" w:color="auto"/>
              <w:bottom w:val="single" w:sz="4" w:space="0" w:color="auto"/>
            </w:tcBorders>
            <w:vAlign w:val="center"/>
          </w:tcPr>
          <w:p w14:paraId="6B4148EC"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Food and Agricultural Organization United Nations (FAO UN) World Resource Base Map of Soil Resources</w:t>
            </w:r>
          </w:p>
        </w:tc>
      </w:tr>
    </w:tbl>
    <w:p w14:paraId="7EDCCC90" w14:textId="5F376EE2" w:rsidR="00500B0C" w:rsidRDefault="00500B0C" w:rsidP="00500B0C">
      <w:pPr>
        <w:spacing w:after="0" w:line="240" w:lineRule="auto"/>
        <w:rPr>
          <w:rFonts w:ascii="Century Gothic" w:hAnsi="Century Gothic"/>
          <w:szCs w:val="24"/>
        </w:rPr>
      </w:pPr>
    </w:p>
    <w:p w14:paraId="6A95233B" w14:textId="77777777" w:rsidR="00F41BAB" w:rsidRPr="003B4044" w:rsidRDefault="00F41BAB" w:rsidP="00F41BAB">
      <w:pPr>
        <w:spacing w:after="0" w:line="240" w:lineRule="auto"/>
        <w:rPr>
          <w:rFonts w:ascii="Century Gothic" w:hAnsi="Century Gothic"/>
          <w:szCs w:val="24"/>
        </w:rPr>
      </w:pPr>
      <w:r w:rsidRPr="003B4044">
        <w:rPr>
          <w:rFonts w:ascii="Century Gothic" w:hAnsi="Century Gothic"/>
          <w:szCs w:val="24"/>
        </w:rPr>
        <w:t xml:space="preserve">Figure 2. The graph below shows the frequency of </w:t>
      </w:r>
      <w:r w:rsidRPr="002C428B">
        <w:rPr>
          <w:rFonts w:ascii="Century Gothic" w:hAnsi="Century Gothic"/>
          <w:i/>
          <w:szCs w:val="24"/>
        </w:rPr>
        <w:t>in situ</w:t>
      </w:r>
      <w:r w:rsidRPr="003B4044">
        <w:rPr>
          <w:rFonts w:ascii="Century Gothic" w:hAnsi="Century Gothic"/>
          <w:szCs w:val="24"/>
        </w:rPr>
        <w:t xml:space="preserve"> data in each land cover category within the US. Data was collected by MTRI.</w:t>
      </w:r>
    </w:p>
    <w:p w14:paraId="76758B43" w14:textId="77777777" w:rsidR="00F41BAB" w:rsidRDefault="00F41BAB" w:rsidP="00F41BAB">
      <w:pPr>
        <w:spacing w:after="0" w:line="240" w:lineRule="auto"/>
        <w:rPr>
          <w:rFonts w:ascii="Century Gothic" w:hAnsi="Century Gothic"/>
          <w:color w:val="000000"/>
        </w:rPr>
      </w:pPr>
    </w:p>
    <w:p w14:paraId="166C7AB6" w14:textId="77777777" w:rsidR="00F41BAB" w:rsidRPr="0067412E" w:rsidRDefault="00F41BAB" w:rsidP="00F41BAB">
      <w:pPr>
        <w:spacing w:after="0" w:line="240" w:lineRule="auto"/>
        <w:jc w:val="center"/>
        <w:rPr>
          <w:rFonts w:ascii="Century Gothic" w:hAnsi="Century Gothic"/>
          <w:color w:val="000000"/>
        </w:rPr>
      </w:pPr>
      <w:r>
        <w:rPr>
          <w:noProof/>
        </w:rPr>
        <w:lastRenderedPageBreak/>
        <w:drawing>
          <wp:inline distT="0" distB="0" distL="0" distR="0" wp14:anchorId="5AAC44D9" wp14:editId="1DDA2388">
            <wp:extent cx="5381625" cy="24669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98B95A" w14:textId="77777777" w:rsidR="00F41BAB" w:rsidRDefault="00F41BAB" w:rsidP="00AE6B34">
      <w:pPr>
        <w:spacing w:after="0" w:line="240" w:lineRule="auto"/>
        <w:rPr>
          <w:rFonts w:ascii="Century Gothic" w:hAnsi="Century Gothic"/>
          <w:szCs w:val="24"/>
        </w:rPr>
      </w:pPr>
    </w:p>
    <w:p w14:paraId="500BAA67" w14:textId="77777777" w:rsidR="00F41BAB" w:rsidRDefault="00F41BAB" w:rsidP="00AE6B34">
      <w:pPr>
        <w:spacing w:after="0" w:line="240" w:lineRule="auto"/>
        <w:rPr>
          <w:rFonts w:ascii="Century Gothic" w:hAnsi="Century Gothic"/>
          <w:szCs w:val="24"/>
        </w:rPr>
      </w:pPr>
    </w:p>
    <w:p w14:paraId="305CDE96" w14:textId="77777777" w:rsidR="00AE6B34" w:rsidRDefault="00AE6B34" w:rsidP="00AE6B34">
      <w:pPr>
        <w:spacing w:after="0" w:line="240" w:lineRule="auto"/>
        <w:rPr>
          <w:rFonts w:ascii="Century Gothic" w:hAnsi="Century Gothic"/>
          <w:szCs w:val="24"/>
        </w:rPr>
      </w:pPr>
      <w:r>
        <w:rPr>
          <w:rFonts w:ascii="Century Gothic" w:hAnsi="Century Gothic"/>
          <w:szCs w:val="24"/>
        </w:rPr>
        <w:t xml:space="preserve">Table 4. Correlation matrix for the 9 original Environmental Variables. Coefficients &gt; 0.7 were used to remove variables and create the most parsimonious model. </w:t>
      </w:r>
    </w:p>
    <w:p w14:paraId="75D3F4A2" w14:textId="77777777" w:rsidR="00AE6B34" w:rsidRDefault="00AE6B34" w:rsidP="00AE6B34">
      <w:pPr>
        <w:spacing w:after="0" w:line="240" w:lineRule="auto"/>
        <w:rPr>
          <w:rFonts w:ascii="Century Gothic" w:hAnsi="Century Gothic"/>
          <w:szCs w:val="24"/>
        </w:rPr>
      </w:pPr>
    </w:p>
    <w:p w14:paraId="5F5CEA61" w14:textId="77777777" w:rsidR="00AE6B34" w:rsidRPr="00494746" w:rsidRDefault="00AE6B34" w:rsidP="00AE6B3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0A986B13" wp14:editId="14507798">
            <wp:extent cx="6079713"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CA.JPG"/>
                    <pic:cNvPicPr/>
                  </pic:nvPicPr>
                  <pic:blipFill>
                    <a:blip r:embed="rId16">
                      <a:extLst>
                        <a:ext uri="{28A0092B-C50C-407E-A947-70E740481C1C}">
                          <a14:useLocalDpi xmlns:a14="http://schemas.microsoft.com/office/drawing/2010/main" val="0"/>
                        </a:ext>
                      </a:extLst>
                    </a:blip>
                    <a:stretch>
                      <a:fillRect/>
                    </a:stretch>
                  </pic:blipFill>
                  <pic:spPr>
                    <a:xfrm>
                      <a:off x="0" y="0"/>
                      <a:ext cx="6088024" cy="1278095"/>
                    </a:xfrm>
                    <a:prstGeom prst="rect">
                      <a:avLst/>
                    </a:prstGeom>
                  </pic:spPr>
                </pic:pic>
              </a:graphicData>
            </a:graphic>
          </wp:inline>
        </w:drawing>
      </w:r>
    </w:p>
    <w:p w14:paraId="3EA44413" w14:textId="77777777" w:rsidR="00AE6B34" w:rsidRDefault="00AE6B34" w:rsidP="006F0C24">
      <w:pPr>
        <w:spacing w:after="0" w:line="240" w:lineRule="auto"/>
        <w:rPr>
          <w:rFonts w:ascii="Century Gothic" w:hAnsi="Century Gothic"/>
          <w:szCs w:val="24"/>
        </w:rPr>
      </w:pPr>
    </w:p>
    <w:p w14:paraId="035E9FB6" w14:textId="77777777" w:rsidR="00F41BAB" w:rsidRDefault="00F41BAB" w:rsidP="006F0C24">
      <w:pPr>
        <w:spacing w:after="0" w:line="240" w:lineRule="auto"/>
        <w:rPr>
          <w:rFonts w:ascii="Century Gothic" w:hAnsi="Century Gothic"/>
          <w:szCs w:val="24"/>
        </w:rPr>
      </w:pPr>
    </w:p>
    <w:p w14:paraId="76047279" w14:textId="77777777" w:rsidR="00F41BAB" w:rsidRDefault="00F41BAB">
      <w:pPr>
        <w:rPr>
          <w:rFonts w:ascii="Century Gothic" w:hAnsi="Century Gothic"/>
          <w:szCs w:val="24"/>
        </w:rPr>
      </w:pPr>
      <w:r>
        <w:rPr>
          <w:rFonts w:ascii="Century Gothic" w:hAnsi="Century Gothic"/>
          <w:szCs w:val="24"/>
        </w:rPr>
        <w:br w:type="page"/>
      </w:r>
    </w:p>
    <w:p w14:paraId="2DF9D316" w14:textId="76AA156A" w:rsidR="00F41BAB" w:rsidRDefault="00F41BAB" w:rsidP="00F41BAB">
      <w:pPr>
        <w:spacing w:after="0" w:line="240" w:lineRule="auto"/>
        <w:rPr>
          <w:rFonts w:ascii="Century Gothic" w:hAnsi="Century Gothic"/>
          <w:szCs w:val="24"/>
        </w:rPr>
      </w:pPr>
      <w:r>
        <w:rPr>
          <w:rFonts w:ascii="Century Gothic" w:hAnsi="Century Gothic"/>
          <w:szCs w:val="24"/>
        </w:rPr>
        <w:lastRenderedPageBreak/>
        <w:t>Figure 6: AUC Maxent 2010</w:t>
      </w:r>
    </w:p>
    <w:p w14:paraId="6423C470" w14:textId="77777777" w:rsidR="00F41BAB" w:rsidRDefault="00F41BAB" w:rsidP="00F41BAB">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4B33E789" wp14:editId="5885F1E6">
            <wp:extent cx="5153025" cy="33235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_ProxFromAgr.JPG"/>
                    <pic:cNvPicPr/>
                  </pic:nvPicPr>
                  <pic:blipFill>
                    <a:blip r:embed="rId17">
                      <a:extLst>
                        <a:ext uri="{28A0092B-C50C-407E-A947-70E740481C1C}">
                          <a14:useLocalDpi xmlns:a14="http://schemas.microsoft.com/office/drawing/2010/main" val="0"/>
                        </a:ext>
                      </a:extLst>
                    </a:blip>
                    <a:stretch>
                      <a:fillRect/>
                    </a:stretch>
                  </pic:blipFill>
                  <pic:spPr>
                    <a:xfrm>
                      <a:off x="0" y="0"/>
                      <a:ext cx="5209793" cy="3360205"/>
                    </a:xfrm>
                    <a:prstGeom prst="rect">
                      <a:avLst/>
                    </a:prstGeom>
                  </pic:spPr>
                </pic:pic>
              </a:graphicData>
            </a:graphic>
          </wp:inline>
        </w:drawing>
      </w:r>
    </w:p>
    <w:p w14:paraId="09C59F76" w14:textId="77777777" w:rsidR="00F41BAB" w:rsidRDefault="00F41BAB" w:rsidP="006F0C24">
      <w:pPr>
        <w:spacing w:after="0" w:line="240" w:lineRule="auto"/>
        <w:rPr>
          <w:rFonts w:ascii="Century Gothic" w:hAnsi="Century Gothic"/>
          <w:szCs w:val="24"/>
        </w:rPr>
      </w:pPr>
    </w:p>
    <w:p w14:paraId="7D83379F" w14:textId="77777777" w:rsidR="00F41BAB" w:rsidRDefault="00F41BAB" w:rsidP="006F0C24">
      <w:pPr>
        <w:spacing w:after="0" w:line="240" w:lineRule="auto"/>
        <w:rPr>
          <w:rFonts w:ascii="Century Gothic" w:hAnsi="Century Gothic"/>
          <w:szCs w:val="24"/>
        </w:rPr>
      </w:pPr>
    </w:p>
    <w:p w14:paraId="6021BFBD" w14:textId="77777777" w:rsidR="00F41BAB" w:rsidRDefault="00F41BAB" w:rsidP="006F0C24">
      <w:pPr>
        <w:spacing w:after="0" w:line="240" w:lineRule="auto"/>
        <w:rPr>
          <w:rFonts w:ascii="Century Gothic" w:hAnsi="Century Gothic"/>
          <w:szCs w:val="24"/>
        </w:rPr>
      </w:pPr>
    </w:p>
    <w:p w14:paraId="304D8E75" w14:textId="512ECDE9" w:rsidR="006F0C24" w:rsidRDefault="00AE6B34" w:rsidP="006F0C24">
      <w:pPr>
        <w:spacing w:after="0" w:line="240" w:lineRule="auto"/>
        <w:rPr>
          <w:rFonts w:ascii="Century Gothic" w:hAnsi="Century Gothic"/>
          <w:szCs w:val="24"/>
        </w:rPr>
      </w:pPr>
      <w:r>
        <w:rPr>
          <w:rFonts w:ascii="Century Gothic" w:hAnsi="Century Gothic"/>
          <w:szCs w:val="24"/>
        </w:rPr>
        <w:t>Figure 8</w:t>
      </w:r>
      <w:r w:rsidR="006F0C24">
        <w:rPr>
          <w:rFonts w:ascii="Century Gothic" w:hAnsi="Century Gothic"/>
          <w:szCs w:val="24"/>
        </w:rPr>
        <w:t>: The following graph shows the Area Un</w:t>
      </w:r>
      <w:r w:rsidR="003B4044">
        <w:rPr>
          <w:rFonts w:ascii="Century Gothic" w:hAnsi="Century Gothic"/>
          <w:szCs w:val="24"/>
        </w:rPr>
        <w:t xml:space="preserve">der the Curve (AUC) for the </w:t>
      </w:r>
      <w:r w:rsidR="00076427">
        <w:rPr>
          <w:rFonts w:ascii="Century Gothic" w:hAnsi="Century Gothic"/>
          <w:szCs w:val="24"/>
        </w:rPr>
        <w:t>Maxent</w:t>
      </w:r>
      <w:r w:rsidR="006F0C24">
        <w:rPr>
          <w:rFonts w:ascii="Century Gothic" w:hAnsi="Century Gothic"/>
          <w:szCs w:val="24"/>
        </w:rPr>
        <w:t xml:space="preserve"> output for 2020 in the US after running the model with four environmental variables: Dry Temperature (2020), Topographic Roughness, Proximity from Agriculture (2020), and Soil Drainage.</w:t>
      </w:r>
    </w:p>
    <w:p w14:paraId="6EFF64C1" w14:textId="5DD46A05" w:rsidR="006F0C24" w:rsidRDefault="006F0C24" w:rsidP="006F0C24">
      <w:pPr>
        <w:spacing w:after="0" w:line="240" w:lineRule="auto"/>
        <w:rPr>
          <w:rFonts w:ascii="Century Gothic" w:hAnsi="Century Gothic"/>
          <w:szCs w:val="24"/>
        </w:rPr>
      </w:pPr>
    </w:p>
    <w:p w14:paraId="38F43D13" w14:textId="5D954831" w:rsidR="006F0C24" w:rsidRDefault="006F0C24" w:rsidP="006F0C2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41847BAF" wp14:editId="61E6936B">
            <wp:extent cx="5086350" cy="326754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_ProxFromAgr.JPG"/>
                    <pic:cNvPicPr/>
                  </pic:nvPicPr>
                  <pic:blipFill>
                    <a:blip r:embed="rId18">
                      <a:extLst>
                        <a:ext uri="{28A0092B-C50C-407E-A947-70E740481C1C}">
                          <a14:useLocalDpi xmlns:a14="http://schemas.microsoft.com/office/drawing/2010/main" val="0"/>
                        </a:ext>
                      </a:extLst>
                    </a:blip>
                    <a:stretch>
                      <a:fillRect/>
                    </a:stretch>
                  </pic:blipFill>
                  <pic:spPr>
                    <a:xfrm>
                      <a:off x="0" y="0"/>
                      <a:ext cx="5096418" cy="3274013"/>
                    </a:xfrm>
                    <a:prstGeom prst="rect">
                      <a:avLst/>
                    </a:prstGeom>
                  </pic:spPr>
                </pic:pic>
              </a:graphicData>
            </a:graphic>
          </wp:inline>
        </w:drawing>
      </w:r>
    </w:p>
    <w:p w14:paraId="42FF74FD" w14:textId="3ACBF089" w:rsidR="006F0C24" w:rsidRDefault="006F0C24" w:rsidP="006F0C24">
      <w:pPr>
        <w:spacing w:after="0" w:line="240" w:lineRule="auto"/>
        <w:jc w:val="center"/>
        <w:rPr>
          <w:rFonts w:ascii="Century Gothic" w:hAnsi="Century Gothic"/>
          <w:szCs w:val="24"/>
        </w:rPr>
      </w:pPr>
    </w:p>
    <w:p w14:paraId="3CD79C2D" w14:textId="511C8A8C" w:rsidR="006F0C24" w:rsidRDefault="00AE6B34" w:rsidP="00AE6B34">
      <w:pPr>
        <w:spacing w:after="0" w:line="240" w:lineRule="auto"/>
        <w:rPr>
          <w:rFonts w:ascii="Century Gothic" w:hAnsi="Century Gothic"/>
          <w:szCs w:val="24"/>
        </w:rPr>
      </w:pPr>
      <w:r>
        <w:rPr>
          <w:rFonts w:ascii="Century Gothic" w:hAnsi="Century Gothic"/>
          <w:szCs w:val="24"/>
        </w:rPr>
        <w:t>Table 6</w:t>
      </w:r>
      <w:r w:rsidR="006F0C24">
        <w:rPr>
          <w:rFonts w:ascii="Century Gothic" w:hAnsi="Century Gothic"/>
          <w:szCs w:val="24"/>
        </w:rPr>
        <w:t>: The following table shows the four environmental variables and</w:t>
      </w:r>
      <w:r w:rsidR="003B4044">
        <w:rPr>
          <w:rFonts w:ascii="Century Gothic" w:hAnsi="Century Gothic"/>
          <w:szCs w:val="24"/>
        </w:rPr>
        <w:t xml:space="preserve"> their contributions to the </w:t>
      </w:r>
      <w:r w:rsidR="00076427">
        <w:rPr>
          <w:rFonts w:ascii="Century Gothic" w:hAnsi="Century Gothic"/>
          <w:szCs w:val="24"/>
        </w:rPr>
        <w:t>Maxent</w:t>
      </w:r>
      <w:r w:rsidR="006F0C24">
        <w:rPr>
          <w:rFonts w:ascii="Century Gothic" w:hAnsi="Century Gothic"/>
          <w:szCs w:val="24"/>
        </w:rPr>
        <w:t xml:space="preserve"> model in 2020 in the US: Dry Temperature (2020), Topographic Roughness, Proximity from A</w:t>
      </w:r>
      <w:r>
        <w:rPr>
          <w:rFonts w:ascii="Century Gothic" w:hAnsi="Century Gothic"/>
          <w:szCs w:val="24"/>
        </w:rPr>
        <w:t xml:space="preserve">griculture, and Soil Drainage. </w:t>
      </w:r>
    </w:p>
    <w:p w14:paraId="22552962" w14:textId="77777777" w:rsidR="00AE6B34" w:rsidRDefault="00AE6B34" w:rsidP="00AE6B34">
      <w:pPr>
        <w:spacing w:after="0" w:line="240" w:lineRule="auto"/>
        <w:rPr>
          <w:rFonts w:ascii="Century Gothic" w:hAnsi="Century Gothic"/>
          <w:szCs w:val="24"/>
        </w:rPr>
      </w:pPr>
    </w:p>
    <w:tbl>
      <w:tblPr>
        <w:tblStyle w:val="TableGrid"/>
        <w:tblW w:w="7555" w:type="dxa"/>
        <w:jc w:val="center"/>
        <w:tblLook w:val="04A0" w:firstRow="1" w:lastRow="0" w:firstColumn="1" w:lastColumn="0" w:noHBand="0" w:noVBand="1"/>
      </w:tblPr>
      <w:tblGrid>
        <w:gridCol w:w="2158"/>
        <w:gridCol w:w="2536"/>
        <w:gridCol w:w="2861"/>
      </w:tblGrid>
      <w:tr w:rsidR="00AE6B34" w:rsidRPr="00D168B7" w14:paraId="20236B17" w14:textId="77777777" w:rsidTr="001A63B0">
        <w:trPr>
          <w:trHeight w:val="600"/>
          <w:jc w:val="center"/>
        </w:trPr>
        <w:tc>
          <w:tcPr>
            <w:tcW w:w="2158" w:type="dxa"/>
            <w:hideMark/>
          </w:tcPr>
          <w:p w14:paraId="3DFBFEF6" w14:textId="77777777" w:rsidR="00AE6B34" w:rsidRPr="00D168B7" w:rsidRDefault="00AE6B34" w:rsidP="001A63B0">
            <w:pPr>
              <w:rPr>
                <w:rFonts w:ascii="Century Gothic" w:hAnsi="Century Gothic"/>
                <w:b/>
                <w:bCs/>
                <w:szCs w:val="24"/>
              </w:rPr>
            </w:pPr>
            <w:r>
              <w:rPr>
                <w:rFonts w:ascii="Century Gothic" w:hAnsi="Century Gothic"/>
                <w:b/>
                <w:bCs/>
                <w:szCs w:val="24"/>
              </w:rPr>
              <w:t>Variable</w:t>
            </w:r>
          </w:p>
        </w:tc>
        <w:tc>
          <w:tcPr>
            <w:tcW w:w="2536" w:type="dxa"/>
            <w:hideMark/>
          </w:tcPr>
          <w:p w14:paraId="0770EC5A" w14:textId="77777777" w:rsidR="00AE6B34" w:rsidRPr="00D168B7" w:rsidRDefault="00AE6B34" w:rsidP="001A63B0">
            <w:pPr>
              <w:rPr>
                <w:rFonts w:ascii="Century Gothic" w:hAnsi="Century Gothic"/>
                <w:b/>
                <w:bCs/>
                <w:szCs w:val="24"/>
              </w:rPr>
            </w:pPr>
            <w:r>
              <w:rPr>
                <w:rFonts w:ascii="Century Gothic" w:hAnsi="Century Gothic"/>
                <w:b/>
                <w:bCs/>
                <w:szCs w:val="24"/>
              </w:rPr>
              <w:t>Percent contribution</w:t>
            </w:r>
          </w:p>
        </w:tc>
        <w:tc>
          <w:tcPr>
            <w:tcW w:w="2861" w:type="dxa"/>
            <w:hideMark/>
          </w:tcPr>
          <w:p w14:paraId="1227E907" w14:textId="77777777" w:rsidR="00AE6B34" w:rsidRPr="00D168B7" w:rsidRDefault="00AE6B34" w:rsidP="001A63B0">
            <w:pPr>
              <w:rPr>
                <w:rFonts w:ascii="Century Gothic" w:hAnsi="Century Gothic"/>
                <w:b/>
                <w:bCs/>
                <w:szCs w:val="24"/>
              </w:rPr>
            </w:pPr>
            <w:r>
              <w:rPr>
                <w:rFonts w:ascii="Century Gothic" w:hAnsi="Century Gothic"/>
                <w:b/>
                <w:bCs/>
                <w:szCs w:val="24"/>
              </w:rPr>
              <w:t>Permutation Importance</w:t>
            </w:r>
          </w:p>
        </w:tc>
      </w:tr>
      <w:tr w:rsidR="00AE6B34" w:rsidRPr="00D168B7" w14:paraId="4EE2EFAB" w14:textId="77777777" w:rsidTr="001A63B0">
        <w:trPr>
          <w:trHeight w:val="300"/>
          <w:jc w:val="center"/>
        </w:trPr>
        <w:tc>
          <w:tcPr>
            <w:tcW w:w="2158" w:type="dxa"/>
            <w:hideMark/>
          </w:tcPr>
          <w:p w14:paraId="09D01804" w14:textId="77777777" w:rsidR="00AE6B34" w:rsidRPr="00D168B7" w:rsidRDefault="00AE6B34" w:rsidP="001A63B0">
            <w:pPr>
              <w:rPr>
                <w:rFonts w:ascii="Century Gothic" w:hAnsi="Century Gothic"/>
                <w:szCs w:val="24"/>
              </w:rPr>
            </w:pPr>
            <w:r>
              <w:rPr>
                <w:rFonts w:ascii="Century Gothic" w:hAnsi="Century Gothic"/>
                <w:szCs w:val="24"/>
              </w:rPr>
              <w:t>Dry season Temperature</w:t>
            </w:r>
          </w:p>
        </w:tc>
        <w:tc>
          <w:tcPr>
            <w:tcW w:w="2536" w:type="dxa"/>
            <w:hideMark/>
          </w:tcPr>
          <w:p w14:paraId="0F360FF2" w14:textId="2B9621A4" w:rsidR="00AE6B34" w:rsidRPr="00D168B7" w:rsidRDefault="00AE6B34" w:rsidP="001A63B0">
            <w:pPr>
              <w:tabs>
                <w:tab w:val="left" w:pos="1590"/>
              </w:tabs>
              <w:rPr>
                <w:rFonts w:ascii="Century Gothic" w:hAnsi="Century Gothic"/>
                <w:szCs w:val="24"/>
              </w:rPr>
            </w:pPr>
            <w:r>
              <w:rPr>
                <w:rFonts w:ascii="Century Gothic" w:hAnsi="Century Gothic"/>
                <w:szCs w:val="24"/>
              </w:rPr>
              <w:t>37.9</w:t>
            </w:r>
          </w:p>
        </w:tc>
        <w:tc>
          <w:tcPr>
            <w:tcW w:w="2861" w:type="dxa"/>
            <w:hideMark/>
          </w:tcPr>
          <w:p w14:paraId="280E7D20" w14:textId="4C800BC4" w:rsidR="00AE6B34" w:rsidRPr="00D168B7" w:rsidRDefault="00AE6B34" w:rsidP="001A63B0">
            <w:pPr>
              <w:rPr>
                <w:rFonts w:ascii="Century Gothic" w:hAnsi="Century Gothic"/>
                <w:szCs w:val="24"/>
              </w:rPr>
            </w:pPr>
            <w:r>
              <w:rPr>
                <w:rFonts w:ascii="Century Gothic" w:hAnsi="Century Gothic"/>
                <w:szCs w:val="24"/>
              </w:rPr>
              <w:t>48.9</w:t>
            </w:r>
          </w:p>
        </w:tc>
      </w:tr>
      <w:tr w:rsidR="00AE6B34" w:rsidRPr="00D168B7" w14:paraId="70B0FA02" w14:textId="77777777" w:rsidTr="001A63B0">
        <w:trPr>
          <w:trHeight w:val="300"/>
          <w:jc w:val="center"/>
        </w:trPr>
        <w:tc>
          <w:tcPr>
            <w:tcW w:w="2158" w:type="dxa"/>
            <w:hideMark/>
          </w:tcPr>
          <w:p w14:paraId="7311520D" w14:textId="77777777" w:rsidR="00AE6B34" w:rsidRPr="00D168B7" w:rsidRDefault="00AE6B34" w:rsidP="001A63B0">
            <w:pPr>
              <w:rPr>
                <w:rFonts w:ascii="Century Gothic" w:hAnsi="Century Gothic"/>
                <w:szCs w:val="24"/>
              </w:rPr>
            </w:pPr>
            <w:r>
              <w:rPr>
                <w:rFonts w:ascii="Century Gothic" w:hAnsi="Century Gothic"/>
                <w:szCs w:val="24"/>
              </w:rPr>
              <w:t>Topographic Roughness</w:t>
            </w:r>
          </w:p>
        </w:tc>
        <w:tc>
          <w:tcPr>
            <w:tcW w:w="2536" w:type="dxa"/>
            <w:hideMark/>
          </w:tcPr>
          <w:p w14:paraId="7A85C23E" w14:textId="178EC71B" w:rsidR="00AE6B34" w:rsidRPr="00D168B7" w:rsidRDefault="00AE6B34" w:rsidP="001A63B0">
            <w:pPr>
              <w:rPr>
                <w:rFonts w:ascii="Century Gothic" w:hAnsi="Century Gothic"/>
                <w:szCs w:val="24"/>
              </w:rPr>
            </w:pPr>
            <w:r>
              <w:rPr>
                <w:rFonts w:ascii="Century Gothic" w:hAnsi="Century Gothic"/>
                <w:szCs w:val="24"/>
              </w:rPr>
              <w:t>31</w:t>
            </w:r>
          </w:p>
        </w:tc>
        <w:tc>
          <w:tcPr>
            <w:tcW w:w="2861" w:type="dxa"/>
            <w:hideMark/>
          </w:tcPr>
          <w:p w14:paraId="7879B8BC" w14:textId="69BC54F4" w:rsidR="00AE6B34" w:rsidRPr="00D168B7" w:rsidRDefault="00AE6B34" w:rsidP="001A63B0">
            <w:pPr>
              <w:rPr>
                <w:rFonts w:ascii="Century Gothic" w:hAnsi="Century Gothic"/>
                <w:szCs w:val="24"/>
              </w:rPr>
            </w:pPr>
            <w:r>
              <w:rPr>
                <w:rFonts w:ascii="Century Gothic" w:hAnsi="Century Gothic"/>
                <w:szCs w:val="24"/>
              </w:rPr>
              <w:t>30.2</w:t>
            </w:r>
          </w:p>
        </w:tc>
      </w:tr>
      <w:tr w:rsidR="00AE6B34" w:rsidRPr="00D168B7" w14:paraId="7B456DA1" w14:textId="77777777" w:rsidTr="001A63B0">
        <w:trPr>
          <w:trHeight w:val="300"/>
          <w:jc w:val="center"/>
        </w:trPr>
        <w:tc>
          <w:tcPr>
            <w:tcW w:w="2158" w:type="dxa"/>
            <w:hideMark/>
          </w:tcPr>
          <w:p w14:paraId="5074065A" w14:textId="77777777" w:rsidR="00AE6B34" w:rsidRPr="00D168B7" w:rsidRDefault="00AE6B34" w:rsidP="001A63B0">
            <w:pPr>
              <w:rPr>
                <w:rFonts w:ascii="Century Gothic" w:hAnsi="Century Gothic"/>
                <w:szCs w:val="24"/>
              </w:rPr>
            </w:pPr>
            <w:r>
              <w:rPr>
                <w:rFonts w:ascii="Century Gothic" w:hAnsi="Century Gothic"/>
                <w:szCs w:val="24"/>
              </w:rPr>
              <w:t>Distance from Agriculture</w:t>
            </w:r>
          </w:p>
        </w:tc>
        <w:tc>
          <w:tcPr>
            <w:tcW w:w="2536" w:type="dxa"/>
            <w:hideMark/>
          </w:tcPr>
          <w:p w14:paraId="0E248CA1" w14:textId="4C05BEBA" w:rsidR="00AE6B34" w:rsidRPr="00D168B7" w:rsidRDefault="00AE6B34" w:rsidP="001A63B0">
            <w:pPr>
              <w:rPr>
                <w:rFonts w:ascii="Century Gothic" w:hAnsi="Century Gothic"/>
                <w:szCs w:val="24"/>
              </w:rPr>
            </w:pPr>
            <w:r>
              <w:rPr>
                <w:rFonts w:ascii="Century Gothic" w:hAnsi="Century Gothic"/>
                <w:szCs w:val="24"/>
              </w:rPr>
              <w:t>16.3</w:t>
            </w:r>
          </w:p>
        </w:tc>
        <w:tc>
          <w:tcPr>
            <w:tcW w:w="2861" w:type="dxa"/>
            <w:hideMark/>
          </w:tcPr>
          <w:p w14:paraId="2B33BF7A" w14:textId="22C84600" w:rsidR="00AE6B34" w:rsidRPr="00D168B7" w:rsidRDefault="00AE6B34" w:rsidP="001A63B0">
            <w:pPr>
              <w:rPr>
                <w:rFonts w:ascii="Century Gothic" w:hAnsi="Century Gothic"/>
                <w:szCs w:val="24"/>
              </w:rPr>
            </w:pPr>
            <w:r>
              <w:rPr>
                <w:rFonts w:ascii="Century Gothic" w:hAnsi="Century Gothic"/>
                <w:szCs w:val="24"/>
              </w:rPr>
              <w:t>10.5</w:t>
            </w:r>
          </w:p>
        </w:tc>
      </w:tr>
      <w:tr w:rsidR="00AE6B34" w:rsidRPr="00D168B7" w14:paraId="2D015A4F" w14:textId="77777777" w:rsidTr="001A63B0">
        <w:trPr>
          <w:trHeight w:val="300"/>
          <w:jc w:val="center"/>
        </w:trPr>
        <w:tc>
          <w:tcPr>
            <w:tcW w:w="2158" w:type="dxa"/>
            <w:hideMark/>
          </w:tcPr>
          <w:p w14:paraId="318BB02D" w14:textId="77777777" w:rsidR="00AE6B34" w:rsidRPr="00D168B7" w:rsidRDefault="00AE6B34" w:rsidP="001A63B0">
            <w:pPr>
              <w:rPr>
                <w:rFonts w:ascii="Century Gothic" w:hAnsi="Century Gothic"/>
                <w:szCs w:val="24"/>
              </w:rPr>
            </w:pPr>
            <w:r>
              <w:rPr>
                <w:rFonts w:ascii="Century Gothic" w:hAnsi="Century Gothic"/>
                <w:szCs w:val="24"/>
              </w:rPr>
              <w:t>Soil Drainage</w:t>
            </w:r>
          </w:p>
        </w:tc>
        <w:tc>
          <w:tcPr>
            <w:tcW w:w="2536" w:type="dxa"/>
            <w:hideMark/>
          </w:tcPr>
          <w:p w14:paraId="56F27D65" w14:textId="06543040" w:rsidR="00AE6B34" w:rsidRPr="00D168B7" w:rsidRDefault="00AE6B34" w:rsidP="001A63B0">
            <w:pPr>
              <w:rPr>
                <w:rFonts w:ascii="Century Gothic" w:hAnsi="Century Gothic"/>
                <w:szCs w:val="24"/>
              </w:rPr>
            </w:pPr>
            <w:r>
              <w:rPr>
                <w:rFonts w:ascii="Century Gothic" w:hAnsi="Century Gothic"/>
                <w:szCs w:val="24"/>
              </w:rPr>
              <w:t>14.8</w:t>
            </w:r>
          </w:p>
        </w:tc>
        <w:tc>
          <w:tcPr>
            <w:tcW w:w="2861" w:type="dxa"/>
            <w:hideMark/>
          </w:tcPr>
          <w:p w14:paraId="2FC17DBC" w14:textId="23429651" w:rsidR="00AE6B34" w:rsidRPr="00D168B7" w:rsidRDefault="00AE6B34" w:rsidP="001A63B0">
            <w:pPr>
              <w:rPr>
                <w:rFonts w:ascii="Century Gothic" w:hAnsi="Century Gothic"/>
                <w:szCs w:val="24"/>
              </w:rPr>
            </w:pPr>
            <w:r>
              <w:rPr>
                <w:rFonts w:ascii="Century Gothic" w:hAnsi="Century Gothic"/>
                <w:szCs w:val="24"/>
              </w:rPr>
              <w:t>10.3</w:t>
            </w:r>
          </w:p>
        </w:tc>
      </w:tr>
    </w:tbl>
    <w:p w14:paraId="74CB45A8" w14:textId="77777777" w:rsidR="00AE6B34" w:rsidRDefault="00AE6B34" w:rsidP="00AE6B34">
      <w:pPr>
        <w:spacing w:after="0" w:line="240" w:lineRule="auto"/>
        <w:rPr>
          <w:rFonts w:ascii="Century Gothic" w:hAnsi="Century Gothic"/>
          <w:szCs w:val="24"/>
        </w:rPr>
      </w:pPr>
    </w:p>
    <w:p w14:paraId="4830B9EB" w14:textId="77777777" w:rsidR="00AE6B34" w:rsidRDefault="00AE6B34" w:rsidP="00AE6B34">
      <w:pPr>
        <w:spacing w:after="0" w:line="240" w:lineRule="auto"/>
        <w:rPr>
          <w:rFonts w:ascii="Century Gothic" w:hAnsi="Century Gothic"/>
          <w:szCs w:val="24"/>
        </w:rPr>
      </w:pPr>
    </w:p>
    <w:p w14:paraId="43D59544" w14:textId="49B7199D" w:rsidR="006F0C24" w:rsidRDefault="006F0C24" w:rsidP="006F0C24">
      <w:pPr>
        <w:spacing w:after="0" w:line="240" w:lineRule="auto"/>
        <w:jc w:val="center"/>
        <w:rPr>
          <w:rFonts w:ascii="Century Gothic" w:hAnsi="Century Gothic"/>
          <w:szCs w:val="24"/>
        </w:rPr>
      </w:pPr>
    </w:p>
    <w:p w14:paraId="32B030F6" w14:textId="77777777" w:rsidR="006F0C24" w:rsidRDefault="006F0C24" w:rsidP="00D4174C">
      <w:pPr>
        <w:spacing w:after="0" w:line="240" w:lineRule="auto"/>
        <w:rPr>
          <w:rFonts w:ascii="Century Gothic" w:hAnsi="Century Gothic"/>
          <w:szCs w:val="24"/>
        </w:rPr>
      </w:pPr>
    </w:p>
    <w:sectPr w:rsidR="006F0C24" w:rsidSect="0064280B">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8524" w14:textId="77777777" w:rsidR="00B417A0" w:rsidRDefault="00B417A0" w:rsidP="00242822">
      <w:pPr>
        <w:spacing w:after="0" w:line="240" w:lineRule="auto"/>
      </w:pPr>
      <w:r>
        <w:separator/>
      </w:r>
    </w:p>
  </w:endnote>
  <w:endnote w:type="continuationSeparator" w:id="0">
    <w:p w14:paraId="7A3A16FF" w14:textId="77777777" w:rsidR="00B417A0" w:rsidRDefault="00B417A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0E8806FE" w:rsidR="00674F5E" w:rsidRDefault="00674F5E">
        <w:pPr>
          <w:pStyle w:val="Footer"/>
          <w:jc w:val="center"/>
        </w:pPr>
        <w:r>
          <w:fldChar w:fldCharType="begin"/>
        </w:r>
        <w:r>
          <w:instrText xml:space="preserve"> PAGE   \* MERGEFORMAT </w:instrText>
        </w:r>
        <w:r>
          <w:fldChar w:fldCharType="separate"/>
        </w:r>
        <w:r w:rsidR="00A36F35">
          <w:rPr>
            <w:noProof/>
          </w:rPr>
          <w:t>17</w:t>
        </w:r>
        <w:r>
          <w:rPr>
            <w:noProof/>
          </w:rPr>
          <w:fldChar w:fldCharType="end"/>
        </w:r>
      </w:p>
    </w:sdtContent>
  </w:sdt>
  <w:p w14:paraId="472788A1" w14:textId="77777777" w:rsidR="00674F5E" w:rsidRDefault="00674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674F5E" w:rsidRDefault="00674F5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A027" w14:textId="77777777" w:rsidR="00B417A0" w:rsidRDefault="00B417A0" w:rsidP="00242822">
      <w:pPr>
        <w:spacing w:after="0" w:line="240" w:lineRule="auto"/>
      </w:pPr>
      <w:r>
        <w:separator/>
      </w:r>
    </w:p>
  </w:footnote>
  <w:footnote w:type="continuationSeparator" w:id="0">
    <w:p w14:paraId="506C3BBD" w14:textId="77777777" w:rsidR="00B417A0" w:rsidRDefault="00B417A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674F5E" w:rsidRDefault="00674F5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CF6"/>
    <w:multiLevelType w:val="multilevel"/>
    <w:tmpl w:val="C31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34D35"/>
    <w:multiLevelType w:val="hybridMultilevel"/>
    <w:tmpl w:val="F718D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7FE8"/>
    <w:multiLevelType w:val="hybridMultilevel"/>
    <w:tmpl w:val="62DC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47AA4"/>
    <w:multiLevelType w:val="hybridMultilevel"/>
    <w:tmpl w:val="5BB8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D38AF"/>
    <w:multiLevelType w:val="hybridMultilevel"/>
    <w:tmpl w:val="97181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81130"/>
    <w:multiLevelType w:val="hybridMultilevel"/>
    <w:tmpl w:val="1AAA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D1B7C"/>
    <w:multiLevelType w:val="hybridMultilevel"/>
    <w:tmpl w:val="1EF4B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72329"/>
    <w:multiLevelType w:val="multilevel"/>
    <w:tmpl w:val="465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7"/>
  </w:num>
  <w:num w:numId="5">
    <w:abstractNumId w:val="9"/>
  </w:num>
  <w:num w:numId="6">
    <w:abstractNumId w:val="0"/>
  </w:num>
  <w:num w:numId="7">
    <w:abstractNumId w:val="12"/>
  </w:num>
  <w:num w:numId="8">
    <w:abstractNumId w:val="2"/>
  </w:num>
  <w:num w:numId="9">
    <w:abstractNumId w:val="6"/>
  </w:num>
  <w:num w:numId="10">
    <w:abstractNumId w:val="1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001C"/>
    <w:rsid w:val="00030B13"/>
    <w:rsid w:val="000417D0"/>
    <w:rsid w:val="00061173"/>
    <w:rsid w:val="0006601D"/>
    <w:rsid w:val="00071980"/>
    <w:rsid w:val="00073746"/>
    <w:rsid w:val="00073B52"/>
    <w:rsid w:val="00076427"/>
    <w:rsid w:val="00085554"/>
    <w:rsid w:val="00096A1D"/>
    <w:rsid w:val="000A41E3"/>
    <w:rsid w:val="000D5128"/>
    <w:rsid w:val="000E38C6"/>
    <w:rsid w:val="000F1545"/>
    <w:rsid w:val="0011512F"/>
    <w:rsid w:val="00115EA9"/>
    <w:rsid w:val="0014039E"/>
    <w:rsid w:val="0014286F"/>
    <w:rsid w:val="0015019B"/>
    <w:rsid w:val="00153EB6"/>
    <w:rsid w:val="001556CC"/>
    <w:rsid w:val="0016227D"/>
    <w:rsid w:val="00163111"/>
    <w:rsid w:val="00163542"/>
    <w:rsid w:val="00176C4B"/>
    <w:rsid w:val="001821EB"/>
    <w:rsid w:val="00195B69"/>
    <w:rsid w:val="00195D23"/>
    <w:rsid w:val="001A6DC5"/>
    <w:rsid w:val="001B45D9"/>
    <w:rsid w:val="001B5BF5"/>
    <w:rsid w:val="001F1328"/>
    <w:rsid w:val="001F2DA3"/>
    <w:rsid w:val="0022262D"/>
    <w:rsid w:val="0022549A"/>
    <w:rsid w:val="00233292"/>
    <w:rsid w:val="0023574D"/>
    <w:rsid w:val="00242822"/>
    <w:rsid w:val="0028535B"/>
    <w:rsid w:val="0029088E"/>
    <w:rsid w:val="00290D75"/>
    <w:rsid w:val="00293F47"/>
    <w:rsid w:val="002967D0"/>
    <w:rsid w:val="00296AAA"/>
    <w:rsid w:val="002A37F8"/>
    <w:rsid w:val="002A4A1D"/>
    <w:rsid w:val="002A4D2C"/>
    <w:rsid w:val="002B2BE4"/>
    <w:rsid w:val="002C428B"/>
    <w:rsid w:val="002C4C2E"/>
    <w:rsid w:val="002F6CC8"/>
    <w:rsid w:val="00301747"/>
    <w:rsid w:val="00312474"/>
    <w:rsid w:val="0032034C"/>
    <w:rsid w:val="003364B4"/>
    <w:rsid w:val="0034156E"/>
    <w:rsid w:val="003573A5"/>
    <w:rsid w:val="00357F5B"/>
    <w:rsid w:val="00366BA2"/>
    <w:rsid w:val="00383581"/>
    <w:rsid w:val="003B1473"/>
    <w:rsid w:val="003B4044"/>
    <w:rsid w:val="003B7D9E"/>
    <w:rsid w:val="003D4369"/>
    <w:rsid w:val="003D4981"/>
    <w:rsid w:val="003F39BF"/>
    <w:rsid w:val="004026AB"/>
    <w:rsid w:val="0041150E"/>
    <w:rsid w:val="00413DC0"/>
    <w:rsid w:val="0042687F"/>
    <w:rsid w:val="0043112E"/>
    <w:rsid w:val="004473B7"/>
    <w:rsid w:val="00450162"/>
    <w:rsid w:val="00466A2F"/>
    <w:rsid w:val="00482519"/>
    <w:rsid w:val="00484E4D"/>
    <w:rsid w:val="00494746"/>
    <w:rsid w:val="004951A9"/>
    <w:rsid w:val="004D19D3"/>
    <w:rsid w:val="004D776F"/>
    <w:rsid w:val="004E57A3"/>
    <w:rsid w:val="004E6550"/>
    <w:rsid w:val="00500B0C"/>
    <w:rsid w:val="005517AB"/>
    <w:rsid w:val="0056313A"/>
    <w:rsid w:val="00594B03"/>
    <w:rsid w:val="005A4CB6"/>
    <w:rsid w:val="005A6706"/>
    <w:rsid w:val="005A7151"/>
    <w:rsid w:val="005B4988"/>
    <w:rsid w:val="005C723F"/>
    <w:rsid w:val="005E4C44"/>
    <w:rsid w:val="005F6AD4"/>
    <w:rsid w:val="00600C05"/>
    <w:rsid w:val="00615E3A"/>
    <w:rsid w:val="00623C3A"/>
    <w:rsid w:val="00625843"/>
    <w:rsid w:val="0064280B"/>
    <w:rsid w:val="00644BCE"/>
    <w:rsid w:val="00645C58"/>
    <w:rsid w:val="006528A0"/>
    <w:rsid w:val="00655BC8"/>
    <w:rsid w:val="00663B11"/>
    <w:rsid w:val="0067036F"/>
    <w:rsid w:val="0067412E"/>
    <w:rsid w:val="00674F5E"/>
    <w:rsid w:val="00684FE5"/>
    <w:rsid w:val="006948F9"/>
    <w:rsid w:val="00695331"/>
    <w:rsid w:val="006A3437"/>
    <w:rsid w:val="006C7B8F"/>
    <w:rsid w:val="006D1A28"/>
    <w:rsid w:val="006E1497"/>
    <w:rsid w:val="006E2A1C"/>
    <w:rsid w:val="006F0C24"/>
    <w:rsid w:val="00714D89"/>
    <w:rsid w:val="00716586"/>
    <w:rsid w:val="00732B10"/>
    <w:rsid w:val="00744A93"/>
    <w:rsid w:val="00747BEB"/>
    <w:rsid w:val="00753B70"/>
    <w:rsid w:val="007624C5"/>
    <w:rsid w:val="00770650"/>
    <w:rsid w:val="00771691"/>
    <w:rsid w:val="007775D4"/>
    <w:rsid w:val="00777E53"/>
    <w:rsid w:val="007974AD"/>
    <w:rsid w:val="007A3048"/>
    <w:rsid w:val="007E2389"/>
    <w:rsid w:val="007E508C"/>
    <w:rsid w:val="007E68B5"/>
    <w:rsid w:val="007F6093"/>
    <w:rsid w:val="007F7EAE"/>
    <w:rsid w:val="0081261B"/>
    <w:rsid w:val="00855532"/>
    <w:rsid w:val="008704BF"/>
    <w:rsid w:val="00870E95"/>
    <w:rsid w:val="008741CE"/>
    <w:rsid w:val="00877FB3"/>
    <w:rsid w:val="00882BE1"/>
    <w:rsid w:val="008975BD"/>
    <w:rsid w:val="008A6557"/>
    <w:rsid w:val="008B7071"/>
    <w:rsid w:val="008D7B72"/>
    <w:rsid w:val="008E213C"/>
    <w:rsid w:val="008E4F8D"/>
    <w:rsid w:val="008E68B4"/>
    <w:rsid w:val="008F141C"/>
    <w:rsid w:val="0091581F"/>
    <w:rsid w:val="00916AAB"/>
    <w:rsid w:val="00933965"/>
    <w:rsid w:val="00945ECD"/>
    <w:rsid w:val="00950730"/>
    <w:rsid w:val="009510D5"/>
    <w:rsid w:val="0095182E"/>
    <w:rsid w:val="0096219C"/>
    <w:rsid w:val="00966122"/>
    <w:rsid w:val="00973C84"/>
    <w:rsid w:val="0097554B"/>
    <w:rsid w:val="009830D6"/>
    <w:rsid w:val="00995E74"/>
    <w:rsid w:val="009A0D41"/>
    <w:rsid w:val="009A20ED"/>
    <w:rsid w:val="009A3960"/>
    <w:rsid w:val="009E0D4B"/>
    <w:rsid w:val="009F5966"/>
    <w:rsid w:val="009F7122"/>
    <w:rsid w:val="00A11DB7"/>
    <w:rsid w:val="00A21620"/>
    <w:rsid w:val="00A2773A"/>
    <w:rsid w:val="00A3191B"/>
    <w:rsid w:val="00A36F35"/>
    <w:rsid w:val="00A37A10"/>
    <w:rsid w:val="00A44FFF"/>
    <w:rsid w:val="00A451FD"/>
    <w:rsid w:val="00A4723F"/>
    <w:rsid w:val="00A5085E"/>
    <w:rsid w:val="00A60645"/>
    <w:rsid w:val="00A67372"/>
    <w:rsid w:val="00A74C1A"/>
    <w:rsid w:val="00A85253"/>
    <w:rsid w:val="00AB12D0"/>
    <w:rsid w:val="00AD068C"/>
    <w:rsid w:val="00AD5D0D"/>
    <w:rsid w:val="00AD7FD1"/>
    <w:rsid w:val="00AE6B34"/>
    <w:rsid w:val="00B2307C"/>
    <w:rsid w:val="00B24E61"/>
    <w:rsid w:val="00B265D9"/>
    <w:rsid w:val="00B417A0"/>
    <w:rsid w:val="00B41B37"/>
    <w:rsid w:val="00B64CCF"/>
    <w:rsid w:val="00B6627C"/>
    <w:rsid w:val="00B72FD9"/>
    <w:rsid w:val="00B91050"/>
    <w:rsid w:val="00B9694A"/>
    <w:rsid w:val="00BA41F7"/>
    <w:rsid w:val="00BD1B12"/>
    <w:rsid w:val="00BE3E18"/>
    <w:rsid w:val="00BF5A25"/>
    <w:rsid w:val="00C04A67"/>
    <w:rsid w:val="00C06C59"/>
    <w:rsid w:val="00C240F6"/>
    <w:rsid w:val="00C3045C"/>
    <w:rsid w:val="00C54C62"/>
    <w:rsid w:val="00C60F7D"/>
    <w:rsid w:val="00C70033"/>
    <w:rsid w:val="00C758D3"/>
    <w:rsid w:val="00C77B7E"/>
    <w:rsid w:val="00C82473"/>
    <w:rsid w:val="00CA766B"/>
    <w:rsid w:val="00CB0664"/>
    <w:rsid w:val="00CB1C0F"/>
    <w:rsid w:val="00CB50B5"/>
    <w:rsid w:val="00CC694C"/>
    <w:rsid w:val="00CD092A"/>
    <w:rsid w:val="00CD412C"/>
    <w:rsid w:val="00CD6BAA"/>
    <w:rsid w:val="00CE7909"/>
    <w:rsid w:val="00CF6083"/>
    <w:rsid w:val="00D168B7"/>
    <w:rsid w:val="00D3013B"/>
    <w:rsid w:val="00D4174C"/>
    <w:rsid w:val="00D523CD"/>
    <w:rsid w:val="00D77B5A"/>
    <w:rsid w:val="00DA3119"/>
    <w:rsid w:val="00DA7F96"/>
    <w:rsid w:val="00DB1386"/>
    <w:rsid w:val="00DD21A3"/>
    <w:rsid w:val="00DE68A2"/>
    <w:rsid w:val="00E00E6B"/>
    <w:rsid w:val="00E03B8E"/>
    <w:rsid w:val="00E41324"/>
    <w:rsid w:val="00E53CCC"/>
    <w:rsid w:val="00E578D6"/>
    <w:rsid w:val="00E6105B"/>
    <w:rsid w:val="00E64FEA"/>
    <w:rsid w:val="00E653DD"/>
    <w:rsid w:val="00E658C2"/>
    <w:rsid w:val="00E66486"/>
    <w:rsid w:val="00E713FD"/>
    <w:rsid w:val="00E74845"/>
    <w:rsid w:val="00E75D54"/>
    <w:rsid w:val="00E818AF"/>
    <w:rsid w:val="00EA4592"/>
    <w:rsid w:val="00EA72E4"/>
    <w:rsid w:val="00EC1AAD"/>
    <w:rsid w:val="00EC1DC5"/>
    <w:rsid w:val="00ED0A42"/>
    <w:rsid w:val="00ED4657"/>
    <w:rsid w:val="00F24FCE"/>
    <w:rsid w:val="00F27BFA"/>
    <w:rsid w:val="00F41BAB"/>
    <w:rsid w:val="00F5593A"/>
    <w:rsid w:val="00F66AA6"/>
    <w:rsid w:val="00F822BD"/>
    <w:rsid w:val="00F85D9B"/>
    <w:rsid w:val="00FB2F9A"/>
    <w:rsid w:val="00FB5846"/>
    <w:rsid w:val="00FC0DB7"/>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DF33163F-0CD8-471D-ACC0-2285A776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FC0DB7"/>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C0D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233292"/>
    <w:pPr>
      <w:spacing w:line="240" w:lineRule="auto"/>
    </w:pPr>
    <w:rPr>
      <w:i/>
      <w:iCs/>
      <w:color w:val="1F497D" w:themeColor="text2"/>
      <w:sz w:val="18"/>
      <w:szCs w:val="18"/>
    </w:rPr>
  </w:style>
  <w:style w:type="paragraph" w:styleId="Revision">
    <w:name w:val="Revision"/>
    <w:hidden/>
    <w:uiPriority w:val="99"/>
    <w:semiHidden/>
    <w:rsid w:val="00C77B7E"/>
    <w:pPr>
      <w:spacing w:after="0" w:line="240" w:lineRule="auto"/>
    </w:pPr>
  </w:style>
  <w:style w:type="table" w:styleId="TableGrid">
    <w:name w:val="Table Grid"/>
    <w:basedOn w:val="TableNormal"/>
    <w:uiPriority w:val="59"/>
    <w:rsid w:val="003B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6DC5"/>
    <w:rPr>
      <w:color w:val="808080"/>
    </w:rPr>
  </w:style>
  <w:style w:type="character" w:styleId="FollowedHyperlink">
    <w:name w:val="FollowedHyperlink"/>
    <w:basedOn w:val="DefaultParagraphFont"/>
    <w:uiPriority w:val="99"/>
    <w:semiHidden/>
    <w:unhideWhenUsed/>
    <w:rsid w:val="00E66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734">
      <w:bodyDiv w:val="1"/>
      <w:marLeft w:val="0"/>
      <w:marRight w:val="0"/>
      <w:marTop w:val="0"/>
      <w:marBottom w:val="0"/>
      <w:divBdr>
        <w:top w:val="none" w:sz="0" w:space="0" w:color="auto"/>
        <w:left w:val="none" w:sz="0" w:space="0" w:color="auto"/>
        <w:bottom w:val="none" w:sz="0" w:space="0" w:color="auto"/>
        <w:right w:val="none" w:sz="0" w:space="0" w:color="auto"/>
      </w:divBdr>
    </w:div>
    <w:div w:id="142698844">
      <w:bodyDiv w:val="1"/>
      <w:marLeft w:val="0"/>
      <w:marRight w:val="0"/>
      <w:marTop w:val="0"/>
      <w:marBottom w:val="0"/>
      <w:divBdr>
        <w:top w:val="none" w:sz="0" w:space="0" w:color="auto"/>
        <w:left w:val="none" w:sz="0" w:space="0" w:color="auto"/>
        <w:bottom w:val="none" w:sz="0" w:space="0" w:color="auto"/>
        <w:right w:val="none" w:sz="0" w:space="0" w:color="auto"/>
      </w:divBdr>
      <w:divsChild>
        <w:div w:id="17857355">
          <w:marLeft w:val="0"/>
          <w:marRight w:val="0"/>
          <w:marTop w:val="0"/>
          <w:marBottom w:val="0"/>
          <w:divBdr>
            <w:top w:val="none" w:sz="0" w:space="0" w:color="auto"/>
            <w:left w:val="none" w:sz="0" w:space="0" w:color="auto"/>
            <w:bottom w:val="none" w:sz="0" w:space="0" w:color="auto"/>
            <w:right w:val="none" w:sz="0" w:space="0" w:color="auto"/>
          </w:divBdr>
          <w:divsChild>
            <w:div w:id="1265500270">
              <w:marLeft w:val="0"/>
              <w:marRight w:val="0"/>
              <w:marTop w:val="0"/>
              <w:marBottom w:val="0"/>
              <w:divBdr>
                <w:top w:val="none" w:sz="0" w:space="0" w:color="auto"/>
                <w:left w:val="none" w:sz="0" w:space="0" w:color="auto"/>
                <w:bottom w:val="none" w:sz="0" w:space="0" w:color="auto"/>
                <w:right w:val="none" w:sz="0" w:space="0" w:color="auto"/>
              </w:divBdr>
              <w:divsChild>
                <w:div w:id="47147457">
                  <w:marLeft w:val="0"/>
                  <w:marRight w:val="0"/>
                  <w:marTop w:val="0"/>
                  <w:marBottom w:val="0"/>
                  <w:divBdr>
                    <w:top w:val="none" w:sz="0" w:space="0" w:color="auto"/>
                    <w:left w:val="none" w:sz="0" w:space="0" w:color="auto"/>
                    <w:bottom w:val="none" w:sz="0" w:space="0" w:color="auto"/>
                    <w:right w:val="none" w:sz="0" w:space="0" w:color="auto"/>
                  </w:divBdr>
                  <w:divsChild>
                    <w:div w:id="140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1538">
      <w:bodyDiv w:val="1"/>
      <w:marLeft w:val="0"/>
      <w:marRight w:val="0"/>
      <w:marTop w:val="0"/>
      <w:marBottom w:val="0"/>
      <w:divBdr>
        <w:top w:val="none" w:sz="0" w:space="0" w:color="auto"/>
        <w:left w:val="none" w:sz="0" w:space="0" w:color="auto"/>
        <w:bottom w:val="none" w:sz="0" w:space="0" w:color="auto"/>
        <w:right w:val="none" w:sz="0" w:space="0" w:color="auto"/>
      </w:divBdr>
    </w:div>
    <w:div w:id="288899598">
      <w:bodyDiv w:val="1"/>
      <w:marLeft w:val="0"/>
      <w:marRight w:val="0"/>
      <w:marTop w:val="0"/>
      <w:marBottom w:val="0"/>
      <w:divBdr>
        <w:top w:val="none" w:sz="0" w:space="0" w:color="auto"/>
        <w:left w:val="none" w:sz="0" w:space="0" w:color="auto"/>
        <w:bottom w:val="none" w:sz="0" w:space="0" w:color="auto"/>
        <w:right w:val="none" w:sz="0" w:space="0" w:color="auto"/>
      </w:divBdr>
    </w:div>
    <w:div w:id="520163716">
      <w:bodyDiv w:val="1"/>
      <w:marLeft w:val="0"/>
      <w:marRight w:val="0"/>
      <w:marTop w:val="0"/>
      <w:marBottom w:val="0"/>
      <w:divBdr>
        <w:top w:val="none" w:sz="0" w:space="0" w:color="auto"/>
        <w:left w:val="none" w:sz="0" w:space="0" w:color="auto"/>
        <w:bottom w:val="none" w:sz="0" w:space="0" w:color="auto"/>
        <w:right w:val="none" w:sz="0" w:space="0" w:color="auto"/>
      </w:divBdr>
    </w:div>
    <w:div w:id="562643304">
      <w:bodyDiv w:val="1"/>
      <w:marLeft w:val="0"/>
      <w:marRight w:val="0"/>
      <w:marTop w:val="0"/>
      <w:marBottom w:val="0"/>
      <w:divBdr>
        <w:top w:val="none" w:sz="0" w:space="0" w:color="auto"/>
        <w:left w:val="none" w:sz="0" w:space="0" w:color="auto"/>
        <w:bottom w:val="none" w:sz="0" w:space="0" w:color="auto"/>
        <w:right w:val="none" w:sz="0" w:space="0" w:color="auto"/>
      </w:divBdr>
    </w:div>
    <w:div w:id="716587479">
      <w:bodyDiv w:val="1"/>
      <w:marLeft w:val="0"/>
      <w:marRight w:val="0"/>
      <w:marTop w:val="0"/>
      <w:marBottom w:val="0"/>
      <w:divBdr>
        <w:top w:val="none" w:sz="0" w:space="0" w:color="auto"/>
        <w:left w:val="none" w:sz="0" w:space="0" w:color="auto"/>
        <w:bottom w:val="none" w:sz="0" w:space="0" w:color="auto"/>
        <w:right w:val="none" w:sz="0" w:space="0" w:color="auto"/>
      </w:divBdr>
    </w:div>
    <w:div w:id="722749446">
      <w:bodyDiv w:val="1"/>
      <w:marLeft w:val="0"/>
      <w:marRight w:val="0"/>
      <w:marTop w:val="0"/>
      <w:marBottom w:val="0"/>
      <w:divBdr>
        <w:top w:val="none" w:sz="0" w:space="0" w:color="auto"/>
        <w:left w:val="none" w:sz="0" w:space="0" w:color="auto"/>
        <w:bottom w:val="none" w:sz="0" w:space="0" w:color="auto"/>
        <w:right w:val="none" w:sz="0" w:space="0" w:color="auto"/>
      </w:divBdr>
    </w:div>
    <w:div w:id="786654418">
      <w:bodyDiv w:val="1"/>
      <w:marLeft w:val="0"/>
      <w:marRight w:val="0"/>
      <w:marTop w:val="0"/>
      <w:marBottom w:val="0"/>
      <w:divBdr>
        <w:top w:val="none" w:sz="0" w:space="0" w:color="auto"/>
        <w:left w:val="none" w:sz="0" w:space="0" w:color="auto"/>
        <w:bottom w:val="none" w:sz="0" w:space="0" w:color="auto"/>
        <w:right w:val="none" w:sz="0" w:space="0" w:color="auto"/>
      </w:divBdr>
    </w:div>
    <w:div w:id="840582307">
      <w:bodyDiv w:val="1"/>
      <w:marLeft w:val="0"/>
      <w:marRight w:val="0"/>
      <w:marTop w:val="0"/>
      <w:marBottom w:val="0"/>
      <w:divBdr>
        <w:top w:val="none" w:sz="0" w:space="0" w:color="auto"/>
        <w:left w:val="none" w:sz="0" w:space="0" w:color="auto"/>
        <w:bottom w:val="none" w:sz="0" w:space="0" w:color="auto"/>
        <w:right w:val="none" w:sz="0" w:space="0" w:color="auto"/>
      </w:divBdr>
    </w:div>
    <w:div w:id="843324214">
      <w:bodyDiv w:val="1"/>
      <w:marLeft w:val="0"/>
      <w:marRight w:val="0"/>
      <w:marTop w:val="0"/>
      <w:marBottom w:val="0"/>
      <w:divBdr>
        <w:top w:val="none" w:sz="0" w:space="0" w:color="auto"/>
        <w:left w:val="none" w:sz="0" w:space="0" w:color="auto"/>
        <w:bottom w:val="none" w:sz="0" w:space="0" w:color="auto"/>
        <w:right w:val="none" w:sz="0" w:space="0" w:color="auto"/>
      </w:divBdr>
    </w:div>
    <w:div w:id="902182841">
      <w:bodyDiv w:val="1"/>
      <w:marLeft w:val="0"/>
      <w:marRight w:val="0"/>
      <w:marTop w:val="0"/>
      <w:marBottom w:val="0"/>
      <w:divBdr>
        <w:top w:val="none" w:sz="0" w:space="0" w:color="auto"/>
        <w:left w:val="none" w:sz="0" w:space="0" w:color="auto"/>
        <w:bottom w:val="none" w:sz="0" w:space="0" w:color="auto"/>
        <w:right w:val="none" w:sz="0" w:space="0" w:color="auto"/>
      </w:divBdr>
    </w:div>
    <w:div w:id="972097451">
      <w:bodyDiv w:val="1"/>
      <w:marLeft w:val="0"/>
      <w:marRight w:val="0"/>
      <w:marTop w:val="0"/>
      <w:marBottom w:val="0"/>
      <w:divBdr>
        <w:top w:val="none" w:sz="0" w:space="0" w:color="auto"/>
        <w:left w:val="none" w:sz="0" w:space="0" w:color="auto"/>
        <w:bottom w:val="none" w:sz="0" w:space="0" w:color="auto"/>
        <w:right w:val="none" w:sz="0" w:space="0" w:color="auto"/>
      </w:divBdr>
    </w:div>
    <w:div w:id="1012103043">
      <w:bodyDiv w:val="1"/>
      <w:marLeft w:val="0"/>
      <w:marRight w:val="0"/>
      <w:marTop w:val="0"/>
      <w:marBottom w:val="0"/>
      <w:divBdr>
        <w:top w:val="none" w:sz="0" w:space="0" w:color="auto"/>
        <w:left w:val="none" w:sz="0" w:space="0" w:color="auto"/>
        <w:bottom w:val="none" w:sz="0" w:space="0" w:color="auto"/>
        <w:right w:val="none" w:sz="0" w:space="0" w:color="auto"/>
      </w:divBdr>
    </w:div>
    <w:div w:id="1024206677">
      <w:bodyDiv w:val="1"/>
      <w:marLeft w:val="0"/>
      <w:marRight w:val="0"/>
      <w:marTop w:val="0"/>
      <w:marBottom w:val="0"/>
      <w:divBdr>
        <w:top w:val="none" w:sz="0" w:space="0" w:color="auto"/>
        <w:left w:val="none" w:sz="0" w:space="0" w:color="auto"/>
        <w:bottom w:val="none" w:sz="0" w:space="0" w:color="auto"/>
        <w:right w:val="none" w:sz="0" w:space="0" w:color="auto"/>
      </w:divBdr>
    </w:div>
    <w:div w:id="1185635027">
      <w:bodyDiv w:val="1"/>
      <w:marLeft w:val="0"/>
      <w:marRight w:val="0"/>
      <w:marTop w:val="0"/>
      <w:marBottom w:val="0"/>
      <w:divBdr>
        <w:top w:val="none" w:sz="0" w:space="0" w:color="auto"/>
        <w:left w:val="none" w:sz="0" w:space="0" w:color="auto"/>
        <w:bottom w:val="none" w:sz="0" w:space="0" w:color="auto"/>
        <w:right w:val="none" w:sz="0" w:space="0" w:color="auto"/>
      </w:divBdr>
    </w:div>
    <w:div w:id="1218320140">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2896972">
      <w:bodyDiv w:val="1"/>
      <w:marLeft w:val="0"/>
      <w:marRight w:val="0"/>
      <w:marTop w:val="0"/>
      <w:marBottom w:val="0"/>
      <w:divBdr>
        <w:top w:val="none" w:sz="0" w:space="0" w:color="auto"/>
        <w:left w:val="none" w:sz="0" w:space="0" w:color="auto"/>
        <w:bottom w:val="none" w:sz="0" w:space="0" w:color="auto"/>
        <w:right w:val="none" w:sz="0" w:space="0" w:color="auto"/>
      </w:divBdr>
    </w:div>
    <w:div w:id="1541240153">
      <w:bodyDiv w:val="1"/>
      <w:marLeft w:val="0"/>
      <w:marRight w:val="0"/>
      <w:marTop w:val="0"/>
      <w:marBottom w:val="0"/>
      <w:divBdr>
        <w:top w:val="none" w:sz="0" w:space="0" w:color="auto"/>
        <w:left w:val="none" w:sz="0" w:space="0" w:color="auto"/>
        <w:bottom w:val="none" w:sz="0" w:space="0" w:color="auto"/>
        <w:right w:val="none" w:sz="0" w:space="0" w:color="auto"/>
      </w:divBdr>
    </w:div>
    <w:div w:id="1550455845">
      <w:bodyDiv w:val="1"/>
      <w:marLeft w:val="0"/>
      <w:marRight w:val="0"/>
      <w:marTop w:val="0"/>
      <w:marBottom w:val="0"/>
      <w:divBdr>
        <w:top w:val="none" w:sz="0" w:space="0" w:color="auto"/>
        <w:left w:val="none" w:sz="0" w:space="0" w:color="auto"/>
        <w:bottom w:val="none" w:sz="0" w:space="0" w:color="auto"/>
        <w:right w:val="none" w:sz="0" w:space="0" w:color="auto"/>
      </w:divBdr>
    </w:div>
    <w:div w:id="1569998909">
      <w:bodyDiv w:val="1"/>
      <w:marLeft w:val="0"/>
      <w:marRight w:val="0"/>
      <w:marTop w:val="0"/>
      <w:marBottom w:val="0"/>
      <w:divBdr>
        <w:top w:val="none" w:sz="0" w:space="0" w:color="auto"/>
        <w:left w:val="none" w:sz="0" w:space="0" w:color="auto"/>
        <w:bottom w:val="none" w:sz="0" w:space="0" w:color="auto"/>
        <w:right w:val="none" w:sz="0" w:space="0" w:color="auto"/>
      </w:divBdr>
    </w:div>
    <w:div w:id="1603604263">
      <w:bodyDiv w:val="1"/>
      <w:marLeft w:val="0"/>
      <w:marRight w:val="0"/>
      <w:marTop w:val="0"/>
      <w:marBottom w:val="0"/>
      <w:divBdr>
        <w:top w:val="none" w:sz="0" w:space="0" w:color="auto"/>
        <w:left w:val="none" w:sz="0" w:space="0" w:color="auto"/>
        <w:bottom w:val="none" w:sz="0" w:space="0" w:color="auto"/>
        <w:right w:val="none" w:sz="0" w:space="0" w:color="auto"/>
      </w:divBdr>
    </w:div>
    <w:div w:id="1612123453">
      <w:bodyDiv w:val="1"/>
      <w:marLeft w:val="0"/>
      <w:marRight w:val="0"/>
      <w:marTop w:val="0"/>
      <w:marBottom w:val="0"/>
      <w:divBdr>
        <w:top w:val="none" w:sz="0" w:space="0" w:color="auto"/>
        <w:left w:val="none" w:sz="0" w:space="0" w:color="auto"/>
        <w:bottom w:val="none" w:sz="0" w:space="0" w:color="auto"/>
        <w:right w:val="none" w:sz="0" w:space="0" w:color="auto"/>
      </w:divBdr>
    </w:div>
    <w:div w:id="1630470905">
      <w:bodyDiv w:val="1"/>
      <w:marLeft w:val="0"/>
      <w:marRight w:val="0"/>
      <w:marTop w:val="0"/>
      <w:marBottom w:val="0"/>
      <w:divBdr>
        <w:top w:val="none" w:sz="0" w:space="0" w:color="auto"/>
        <w:left w:val="none" w:sz="0" w:space="0" w:color="auto"/>
        <w:bottom w:val="none" w:sz="0" w:space="0" w:color="auto"/>
        <w:right w:val="none" w:sz="0" w:space="0" w:color="auto"/>
      </w:divBdr>
    </w:div>
    <w:div w:id="1672177914">
      <w:bodyDiv w:val="1"/>
      <w:marLeft w:val="0"/>
      <w:marRight w:val="0"/>
      <w:marTop w:val="0"/>
      <w:marBottom w:val="0"/>
      <w:divBdr>
        <w:top w:val="none" w:sz="0" w:space="0" w:color="auto"/>
        <w:left w:val="none" w:sz="0" w:space="0" w:color="auto"/>
        <w:bottom w:val="none" w:sz="0" w:space="0" w:color="auto"/>
        <w:right w:val="none" w:sz="0" w:space="0" w:color="auto"/>
      </w:divBdr>
    </w:div>
    <w:div w:id="1800997424">
      <w:bodyDiv w:val="1"/>
      <w:marLeft w:val="0"/>
      <w:marRight w:val="0"/>
      <w:marTop w:val="0"/>
      <w:marBottom w:val="0"/>
      <w:divBdr>
        <w:top w:val="none" w:sz="0" w:space="0" w:color="auto"/>
        <w:left w:val="none" w:sz="0" w:space="0" w:color="auto"/>
        <w:bottom w:val="none" w:sz="0" w:space="0" w:color="auto"/>
        <w:right w:val="none" w:sz="0" w:space="0" w:color="auto"/>
      </w:divBdr>
    </w:div>
    <w:div w:id="1859922526">
      <w:bodyDiv w:val="1"/>
      <w:marLeft w:val="0"/>
      <w:marRight w:val="0"/>
      <w:marTop w:val="0"/>
      <w:marBottom w:val="0"/>
      <w:divBdr>
        <w:top w:val="none" w:sz="0" w:space="0" w:color="auto"/>
        <w:left w:val="none" w:sz="0" w:space="0" w:color="auto"/>
        <w:bottom w:val="none" w:sz="0" w:space="0" w:color="auto"/>
        <w:right w:val="none" w:sz="0" w:space="0" w:color="auto"/>
      </w:divBdr>
    </w:div>
    <w:div w:id="1890604543">
      <w:bodyDiv w:val="1"/>
      <w:marLeft w:val="0"/>
      <w:marRight w:val="0"/>
      <w:marTop w:val="0"/>
      <w:marBottom w:val="0"/>
      <w:divBdr>
        <w:top w:val="none" w:sz="0" w:space="0" w:color="auto"/>
        <w:left w:val="none" w:sz="0" w:space="0" w:color="auto"/>
        <w:bottom w:val="none" w:sz="0" w:space="0" w:color="auto"/>
        <w:right w:val="none" w:sz="0" w:space="0" w:color="auto"/>
      </w:divBdr>
    </w:div>
    <w:div w:id="1915360960">
      <w:bodyDiv w:val="1"/>
      <w:marLeft w:val="0"/>
      <w:marRight w:val="0"/>
      <w:marTop w:val="0"/>
      <w:marBottom w:val="0"/>
      <w:divBdr>
        <w:top w:val="none" w:sz="0" w:space="0" w:color="auto"/>
        <w:left w:val="none" w:sz="0" w:space="0" w:color="auto"/>
        <w:bottom w:val="none" w:sz="0" w:space="0" w:color="auto"/>
        <w:right w:val="none" w:sz="0" w:space="0" w:color="auto"/>
      </w:divBdr>
    </w:div>
    <w:div w:id="1977828659">
      <w:bodyDiv w:val="1"/>
      <w:marLeft w:val="0"/>
      <w:marRight w:val="0"/>
      <w:marTop w:val="0"/>
      <w:marBottom w:val="0"/>
      <w:divBdr>
        <w:top w:val="none" w:sz="0" w:space="0" w:color="auto"/>
        <w:left w:val="none" w:sz="0" w:space="0" w:color="auto"/>
        <w:bottom w:val="none" w:sz="0" w:space="0" w:color="auto"/>
        <w:right w:val="none" w:sz="0" w:space="0" w:color="auto"/>
      </w:divBdr>
    </w:div>
    <w:div w:id="19898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mccart4\Desktop\Stats_Tech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Net Land Cover Change in the US (km2)</a:t>
            </a:r>
          </a:p>
          <a:p>
            <a:pPr>
              <a:defRPr/>
            </a:pPr>
            <a:r>
              <a:rPr lang="en-US"/>
              <a:t>1985 - 2010</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Sheet1!$G$1</c:f>
              <c:strCache>
                <c:ptCount val="1"/>
                <c:pt idx="0">
                  <c:v>Net Change by Category</c:v>
                </c:pt>
              </c:strCache>
            </c:strRef>
          </c:tx>
          <c:spPr>
            <a:solidFill>
              <a:schemeClr val="tx2">
                <a:lumMod val="40000"/>
                <a:lumOff val="60000"/>
                <a:alpha val="70000"/>
              </a:schemeClr>
            </a:solidFill>
            <a:ln>
              <a:noFill/>
            </a:ln>
            <a:effectLst/>
          </c:spPr>
          <c:invertIfNegative val="0"/>
          <c:dLbls>
            <c:dLbl>
              <c:idx val="0"/>
              <c:layout>
                <c:manualLayout>
                  <c:x val="0"/>
                  <c:y val="1.844925634295710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6AF-4047-9053-C567D55D0F7F}"/>
                </c:ext>
                <c:ext xmlns:c15="http://schemas.microsoft.com/office/drawing/2012/chart" uri="{CE6537A1-D6FC-4f65-9D91-7224C49458BB}"/>
              </c:extLst>
            </c:dLbl>
            <c:dLbl>
              <c:idx val="1"/>
              <c:layout>
                <c:manualLayout>
                  <c:x val="-2.0898645027299062E-3"/>
                  <c:y val="9.189997083697828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AF-4047-9053-C567D55D0F7F}"/>
                </c:ext>
                <c:ext xmlns:c15="http://schemas.microsoft.com/office/drawing/2012/chart" uri="{CE6537A1-D6FC-4f65-9D91-7224C49458BB}"/>
              </c:extLst>
            </c:dLbl>
            <c:dLbl>
              <c:idx val="2"/>
              <c:layout>
                <c:manualLayout>
                  <c:x val="0"/>
                  <c:y val="1.381962671332745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AF-4047-9053-C567D55D0F7F}"/>
                </c:ext>
                <c:ext xmlns:c15="http://schemas.microsoft.com/office/drawing/2012/chart" uri="{CE6537A1-D6FC-4f65-9D91-7224C49458BB}"/>
              </c:extLst>
            </c:dLbl>
            <c:dLbl>
              <c:idx val="3"/>
              <c:layout>
                <c:manualLayout>
                  <c:x val="0"/>
                  <c:y val="1.844925634295708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AF-4047-9053-C567D55D0F7F}"/>
                </c:ext>
                <c:ext xmlns:c15="http://schemas.microsoft.com/office/drawing/2012/chart" uri="{CE6537A1-D6FC-4f65-9D91-7224C49458BB}"/>
              </c:extLst>
            </c:dLbl>
            <c:dLbl>
              <c:idx val="4"/>
              <c:layout>
                <c:manualLayout>
                  <c:x val="0"/>
                  <c:y val="1.27522601341498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6AF-4047-9053-C567D55D0F7F}"/>
                </c:ext>
                <c:ext xmlns:c15="http://schemas.microsoft.com/office/drawing/2012/chart" uri="{CE6537A1-D6FC-4f65-9D91-7224C49458BB}"/>
              </c:extLst>
            </c:dLbl>
            <c:dLbl>
              <c:idx val="5"/>
              <c:layout>
                <c:manualLayout>
                  <c:x val="-2.0898645027299062E-3"/>
                  <c:y val="1.065726159230096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6AF-4047-9053-C567D55D0F7F}"/>
                </c:ext>
                <c:ext xmlns:c15="http://schemas.microsoft.com/office/drawing/2012/chart" uri="{CE6537A1-D6FC-4f65-9D91-7224C49458BB}"/>
              </c:extLst>
            </c:dLbl>
            <c:dLbl>
              <c:idx val="7"/>
              <c:layout>
                <c:manualLayout>
                  <c:x val="-7.662747989290996E-17"/>
                  <c:y val="1.273658501020705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6AF-4047-9053-C567D55D0F7F}"/>
                </c:ext>
                <c:ext xmlns:c15="http://schemas.microsoft.com/office/drawing/2012/chart" uri="{CE6537A1-D6FC-4f65-9D91-7224C49458BB}"/>
              </c:extLst>
            </c:dLbl>
            <c:dLbl>
              <c:idx val="8"/>
              <c:layout>
                <c:manualLayout>
                  <c:x val="-2.0898645027299825E-3"/>
                  <c:y val="3.381962671332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6AF-4047-9053-C567D55D0F7F}"/>
                </c:ext>
                <c:ext xmlns:c15="http://schemas.microsoft.com/office/drawing/2012/chart" uri="{CE6537A1-D6FC-4f65-9D91-7224C49458BB}"/>
              </c:extLst>
            </c:dLbl>
            <c:dLbl>
              <c:idx val="9"/>
              <c:layout>
                <c:manualLayout>
                  <c:x val="-2.0898645027297527E-3"/>
                  <c:y val="6.743875765529308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6AF-4047-9053-C567D55D0F7F}"/>
                </c:ext>
                <c:ext xmlns:c15="http://schemas.microsoft.com/office/drawing/2012/chart" uri="{CE6537A1-D6FC-4f65-9D91-7224C49458BB}"/>
              </c:extLst>
            </c:dLbl>
            <c:dLbl>
              <c:idx val="10"/>
              <c:layout>
                <c:manualLayout>
                  <c:x val="8.2278130028736465E-8"/>
                  <c:y val="1.8448709536307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6AF-4047-9053-C567D55D0F7F}"/>
                </c:ext>
                <c:ext xmlns:c15="http://schemas.microsoft.com/office/drawing/2012/chart" uri="{CE6537A1-D6FC-4f65-9D91-7224C49458BB}"/>
              </c:extLst>
            </c:dLbl>
            <c:dLbl>
              <c:idx val="11"/>
              <c:layout>
                <c:manualLayout>
                  <c:x val="-1.5325495978581992E-16"/>
                  <c:y val="9.189997083697871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6AF-4047-9053-C567D55D0F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Sheet1!$F$2:$F$13</c:f>
              <c:strCache>
                <c:ptCount val="12"/>
                <c:pt idx="0">
                  <c:v>Dev Low Intensity</c:v>
                </c:pt>
                <c:pt idx="1">
                  <c:v>Dev Open Space</c:v>
                </c:pt>
                <c:pt idx="2">
                  <c:v>Dev Med Intensity</c:v>
                </c:pt>
                <c:pt idx="3">
                  <c:v>Scrub/Shrub</c:v>
                </c:pt>
                <c:pt idx="4">
                  <c:v>Dev High Intensity</c:v>
                </c:pt>
                <c:pt idx="5">
                  <c:v>Bare Land</c:v>
                </c:pt>
                <c:pt idx="6">
                  <c:v>Wetland</c:v>
                </c:pt>
                <c:pt idx="7">
                  <c:v>Unconsolidated Shoreline</c:v>
                </c:pt>
                <c:pt idx="8">
                  <c:v>Grassland</c:v>
                </c:pt>
                <c:pt idx="9">
                  <c:v>Water</c:v>
                </c:pt>
                <c:pt idx="10">
                  <c:v>Agriculture</c:v>
                </c:pt>
                <c:pt idx="11">
                  <c:v>Forest</c:v>
                </c:pt>
              </c:strCache>
            </c:strRef>
          </c:cat>
          <c:val>
            <c:numRef>
              <c:f>Sheet1!$G$2:$G$13</c:f>
              <c:numCache>
                <c:formatCode>#,##0</c:formatCode>
                <c:ptCount val="12"/>
                <c:pt idx="0">
                  <c:v>325</c:v>
                </c:pt>
                <c:pt idx="1">
                  <c:v>230</c:v>
                </c:pt>
                <c:pt idx="2">
                  <c:v>195</c:v>
                </c:pt>
                <c:pt idx="3">
                  <c:v>150</c:v>
                </c:pt>
                <c:pt idx="4">
                  <c:v>105</c:v>
                </c:pt>
                <c:pt idx="5">
                  <c:v>35</c:v>
                </c:pt>
                <c:pt idx="6">
                  <c:v>16</c:v>
                </c:pt>
                <c:pt idx="7">
                  <c:v>5</c:v>
                </c:pt>
                <c:pt idx="8">
                  <c:v>-22</c:v>
                </c:pt>
                <c:pt idx="9">
                  <c:v>-77</c:v>
                </c:pt>
                <c:pt idx="10">
                  <c:v>-450</c:v>
                </c:pt>
                <c:pt idx="11">
                  <c:v>-505</c:v>
                </c:pt>
              </c:numCache>
            </c:numRef>
          </c:val>
          <c:extLst xmlns:c16r2="http://schemas.microsoft.com/office/drawing/2015/06/chart">
            <c:ext xmlns:c16="http://schemas.microsoft.com/office/drawing/2014/chart" uri="{C3380CC4-5D6E-409C-BE32-E72D297353CC}">
              <c16:uniqueId val="{0000000B-D6AF-4047-9053-C567D55D0F7F}"/>
            </c:ext>
          </c:extLst>
        </c:ser>
        <c:dLbls>
          <c:dLblPos val="inEnd"/>
          <c:showLegendKey val="0"/>
          <c:showVal val="1"/>
          <c:showCatName val="0"/>
          <c:showSerName val="0"/>
          <c:showPercent val="0"/>
          <c:showBubbleSize val="0"/>
        </c:dLbls>
        <c:gapWidth val="80"/>
        <c:overlap val="25"/>
        <c:axId val="221654216"/>
        <c:axId val="278907352"/>
      </c:barChart>
      <c:catAx>
        <c:axId val="22165421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t>LaND</a:t>
                </a:r>
                <a:r>
                  <a:rPr lang="en-US" b="1" baseline="0"/>
                  <a:t> COVER</a:t>
                </a:r>
                <a:endParaRPr lang="en-US" b="1"/>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78907352"/>
        <c:crosses val="autoZero"/>
        <c:auto val="1"/>
        <c:lblAlgn val="ctr"/>
        <c:lblOffset val="100"/>
        <c:noMultiLvlLbl val="0"/>
      </c:catAx>
      <c:valAx>
        <c:axId val="27890735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t>Hectares</a:t>
                </a:r>
              </a:p>
            </c:rich>
          </c:tx>
          <c:layout>
            <c:manualLayout>
              <c:xMode val="edge"/>
              <c:yMode val="edge"/>
              <c:x val="1.8808777429467086E-2"/>
              <c:y val="0.3883410075470670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216542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latin typeface="Century Gothic" panose="020B0502020202020204" pitchFamily="34" charset="0"/>
              </a:rPr>
              <a:t>In</a:t>
            </a:r>
            <a:r>
              <a:rPr lang="en-US" i="1" baseline="0">
                <a:latin typeface="Century Gothic" panose="020B0502020202020204" pitchFamily="34" charset="0"/>
              </a:rPr>
              <a:t> Situ </a:t>
            </a:r>
            <a:r>
              <a:rPr lang="en-US" baseline="0">
                <a:latin typeface="Century Gothic" panose="020B0502020202020204" pitchFamily="34" charset="0"/>
              </a:rPr>
              <a:t>Data </a:t>
            </a:r>
            <a:r>
              <a:rPr lang="en-US">
                <a:latin typeface="Century Gothic" panose="020B0502020202020204" pitchFamily="34" charset="0"/>
              </a:rPr>
              <a:t>- USA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Sheet1!$V$1</c:f>
              <c:strCache>
                <c:ptCount val="1"/>
                <c:pt idx="0">
                  <c:v>Frequency of Sampling</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Sheet1!$U$2:$U$13</c:f>
              <c:strCache>
                <c:ptCount val="12"/>
                <c:pt idx="0">
                  <c:v>Scrub/Shrub</c:v>
                </c:pt>
                <c:pt idx="1">
                  <c:v>Dev High Intensity</c:v>
                </c:pt>
                <c:pt idx="2">
                  <c:v>Grassland</c:v>
                </c:pt>
                <c:pt idx="3">
                  <c:v>Unconsolidated Shoreline</c:v>
                </c:pt>
                <c:pt idx="4">
                  <c:v>Dev Open Space</c:v>
                </c:pt>
                <c:pt idx="5">
                  <c:v>Dev Med Intensity</c:v>
                </c:pt>
                <c:pt idx="6">
                  <c:v>Forest</c:v>
                </c:pt>
                <c:pt idx="7">
                  <c:v>Bare Land</c:v>
                </c:pt>
                <c:pt idx="8">
                  <c:v>Agriculture</c:v>
                </c:pt>
                <c:pt idx="9">
                  <c:v>Dev Low Intensity</c:v>
                </c:pt>
                <c:pt idx="10">
                  <c:v>Water</c:v>
                </c:pt>
                <c:pt idx="11">
                  <c:v>Wetland</c:v>
                </c:pt>
              </c:strCache>
            </c:strRef>
          </c:cat>
          <c:val>
            <c:numRef>
              <c:f>Sheet1!$V$2:$V$13</c:f>
              <c:numCache>
                <c:formatCode>General</c:formatCode>
                <c:ptCount val="12"/>
                <c:pt idx="0">
                  <c:v>1</c:v>
                </c:pt>
                <c:pt idx="1">
                  <c:v>1</c:v>
                </c:pt>
                <c:pt idx="2">
                  <c:v>3</c:v>
                </c:pt>
                <c:pt idx="3">
                  <c:v>5</c:v>
                </c:pt>
                <c:pt idx="4">
                  <c:v>6</c:v>
                </c:pt>
                <c:pt idx="5">
                  <c:v>6</c:v>
                </c:pt>
                <c:pt idx="6">
                  <c:v>7</c:v>
                </c:pt>
                <c:pt idx="7">
                  <c:v>8</c:v>
                </c:pt>
                <c:pt idx="8">
                  <c:v>11</c:v>
                </c:pt>
                <c:pt idx="9">
                  <c:v>18</c:v>
                </c:pt>
                <c:pt idx="10">
                  <c:v>21</c:v>
                </c:pt>
                <c:pt idx="11">
                  <c:v>159</c:v>
                </c:pt>
              </c:numCache>
            </c:numRef>
          </c:val>
          <c:extLst xmlns:c16r2="http://schemas.microsoft.com/office/drawing/2015/06/chart">
            <c:ext xmlns:c16="http://schemas.microsoft.com/office/drawing/2014/chart" uri="{C3380CC4-5D6E-409C-BE32-E72D297353CC}">
              <c16:uniqueId val="{00000000-8404-42AE-801B-9B5E3962E7B1}"/>
            </c:ext>
          </c:extLst>
        </c:ser>
        <c:dLbls>
          <c:dLblPos val="outEnd"/>
          <c:showLegendKey val="0"/>
          <c:showVal val="1"/>
          <c:showCatName val="0"/>
          <c:showSerName val="0"/>
          <c:showPercent val="0"/>
          <c:showBubbleSize val="0"/>
        </c:dLbls>
        <c:gapWidth val="182"/>
        <c:axId val="278907744"/>
        <c:axId val="278908136"/>
      </c:barChart>
      <c:catAx>
        <c:axId val="2789077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Century Gothic" panose="020B0502020202020204" pitchFamily="34" charset="0"/>
                  </a:rPr>
                  <a:t>Land Cover</a:t>
                </a:r>
              </a:p>
            </c:rich>
          </c:tx>
          <c:layout>
            <c:manualLayout>
              <c:xMode val="edge"/>
              <c:yMode val="edge"/>
              <c:x val="1.5549078360008912E-2"/>
              <c:y val="0.362365121026538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278908136"/>
        <c:crosses val="autoZero"/>
        <c:auto val="1"/>
        <c:lblAlgn val="ctr"/>
        <c:lblOffset val="100"/>
        <c:noMultiLvlLbl val="0"/>
      </c:catAx>
      <c:valAx>
        <c:axId val="27890813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Century Gothic" panose="020B0502020202020204" pitchFamily="34" charset="0"/>
                  </a:rPr>
                  <a:t>Frequency</a:t>
                </a:r>
              </a:p>
            </c:rich>
          </c:tx>
          <c:layout>
            <c:manualLayout>
              <c:xMode val="edge"/>
              <c:yMode val="edge"/>
              <c:x val="0.6020521213518778"/>
              <c:y val="0.872830783440736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27890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E2D6-C290-4834-81B6-5F47B69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3</cp:revision>
  <cp:lastPrinted>2016-04-11T14:23:00Z</cp:lastPrinted>
  <dcterms:created xsi:type="dcterms:W3CDTF">2016-04-11T18:59:00Z</dcterms:created>
  <dcterms:modified xsi:type="dcterms:W3CDTF">2016-04-11T21:12:00Z</dcterms:modified>
</cp:coreProperties>
</file>