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43927E08" w:rsidR="006E2A1C" w:rsidRPr="007E68B5" w:rsidRDefault="008434F3" w:rsidP="00195D23">
      <w:pPr>
        <w:spacing w:after="0" w:line="240" w:lineRule="auto"/>
        <w:jc w:val="right"/>
        <w:rPr>
          <w:rFonts w:ascii="Century Gothic" w:hAnsi="Century Gothic" w:cs="Arial"/>
          <w:sz w:val="32"/>
        </w:rPr>
      </w:pPr>
      <w:r>
        <w:rPr>
          <w:rFonts w:ascii="Century Gothic" w:hAnsi="Century Gothic" w:cs="Arial"/>
          <w:sz w:val="32"/>
        </w:rPr>
        <w:t>NASA Goddard Space Flight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671CDBAC" w:rsidR="009830D6" w:rsidRPr="00E578D6" w:rsidRDefault="008434F3" w:rsidP="00E578D6">
      <w:pPr>
        <w:spacing w:after="0" w:line="240" w:lineRule="auto"/>
        <w:jc w:val="right"/>
        <w:rPr>
          <w:rFonts w:ascii="Century Gothic" w:hAnsi="Century Gothic" w:cs="Arial"/>
          <w:sz w:val="40"/>
        </w:rPr>
      </w:pPr>
      <w:r>
        <w:rPr>
          <w:rFonts w:ascii="Century Gothic" w:hAnsi="Century Gothic" w:cs="Arial"/>
          <w:sz w:val="40"/>
        </w:rPr>
        <w:t>Gulf of Mexico Health &amp; Air Quality</w:t>
      </w:r>
    </w:p>
    <w:p w14:paraId="5C53A2B7" w14:textId="71CF8145" w:rsidR="009830D6" w:rsidRPr="00B265D9" w:rsidRDefault="008434F3" w:rsidP="00E578D6">
      <w:pPr>
        <w:spacing w:after="0" w:line="240" w:lineRule="auto"/>
        <w:jc w:val="right"/>
        <w:rPr>
          <w:rFonts w:ascii="Century Gothic" w:hAnsi="Century Gothic" w:cs="Arial"/>
          <w:sz w:val="28"/>
        </w:rPr>
      </w:pPr>
      <w:r>
        <w:rPr>
          <w:rFonts w:ascii="Century Gothic" w:hAnsi="Century Gothic" w:cs="Arial"/>
          <w:sz w:val="28"/>
        </w:rPr>
        <w:t>Utilizing NASA Earth Observations to Manage Air Quality and Pollutants over the Gulf of</w:t>
      </w:r>
      <w:r w:rsidR="009830D6" w:rsidRPr="00B265D9">
        <w:rPr>
          <w:rFonts w:ascii="Century Gothic" w:hAnsi="Century Gothic" w:cs="Arial"/>
          <w:sz w:val="28"/>
        </w:rPr>
        <w:t xml:space="preserve"> Mexico</w:t>
      </w:r>
      <w:bookmarkStart w:id="0" w:name="_GoBack"/>
      <w:bookmarkEnd w:id="0"/>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7E032B39" w:rsidR="0041150E" w:rsidRPr="00FC670A" w:rsidRDefault="008434F3" w:rsidP="00E578D6">
      <w:pPr>
        <w:spacing w:after="0" w:line="240" w:lineRule="auto"/>
        <w:jc w:val="center"/>
        <w:rPr>
          <w:rFonts w:ascii="Century Gothic" w:hAnsi="Century Gothic" w:cs="Arial"/>
          <w:sz w:val="20"/>
          <w:szCs w:val="20"/>
        </w:rPr>
      </w:pPr>
      <w:r>
        <w:rPr>
          <w:rFonts w:ascii="Century Gothic" w:hAnsi="Century Gothic" w:cs="Arial"/>
          <w:sz w:val="20"/>
          <w:szCs w:val="20"/>
        </w:rPr>
        <w:t>Amanda Clayton</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0044C6C6" w:rsidR="00B265D9" w:rsidRPr="00FC670A" w:rsidRDefault="008434F3" w:rsidP="00FC670A">
      <w:pPr>
        <w:spacing w:after="0" w:line="240" w:lineRule="auto"/>
        <w:jc w:val="center"/>
        <w:rPr>
          <w:rFonts w:ascii="Century Gothic" w:hAnsi="Century Gothic" w:cs="Arial"/>
          <w:sz w:val="20"/>
          <w:szCs w:val="20"/>
        </w:rPr>
      </w:pPr>
      <w:r>
        <w:rPr>
          <w:rFonts w:ascii="Century Gothic" w:hAnsi="Century Gothic" w:cs="Arial"/>
          <w:sz w:val="20"/>
          <w:szCs w:val="20"/>
        </w:rPr>
        <w:t>Lori Mandable</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49410BA9" w:rsidR="00916AAB" w:rsidRPr="00FC670A" w:rsidRDefault="008434F3" w:rsidP="00E578D6">
      <w:pPr>
        <w:spacing w:after="0" w:line="240" w:lineRule="auto"/>
        <w:jc w:val="center"/>
        <w:rPr>
          <w:rFonts w:ascii="Century Gothic" w:hAnsi="Century Gothic" w:cs="Arial"/>
          <w:sz w:val="20"/>
          <w:szCs w:val="20"/>
        </w:rPr>
      </w:pPr>
      <w:r>
        <w:rPr>
          <w:rFonts w:ascii="Century Gothic" w:hAnsi="Century Gothic" w:cs="Arial"/>
          <w:sz w:val="20"/>
          <w:szCs w:val="20"/>
        </w:rPr>
        <w:t>Dr. Robert Levy</w:t>
      </w:r>
      <w:r w:rsidR="00916AAB" w:rsidRPr="00FC670A">
        <w:rPr>
          <w:rFonts w:ascii="Century Gothic" w:hAnsi="Century Gothic" w:cs="Arial"/>
          <w:sz w:val="20"/>
          <w:szCs w:val="20"/>
        </w:rPr>
        <w:t xml:space="preserve">, </w:t>
      </w:r>
      <w:r>
        <w:rPr>
          <w:rFonts w:ascii="Century Gothic" w:hAnsi="Century Gothic" w:cs="Arial"/>
          <w:sz w:val="20"/>
          <w:szCs w:val="20"/>
        </w:rPr>
        <w:t>NASA GSFC</w:t>
      </w:r>
      <w:r w:rsidR="00916AAB" w:rsidRPr="00FC670A">
        <w:rPr>
          <w:rFonts w:ascii="Century Gothic" w:hAnsi="Century Gothic" w:cs="Arial"/>
          <w:sz w:val="20"/>
          <w:szCs w:val="20"/>
        </w:rPr>
        <w:t xml:space="preserve"> (Science Advisor)</w:t>
      </w:r>
    </w:p>
    <w:p w14:paraId="74093909" w14:textId="10183F36" w:rsidR="006E2A1C" w:rsidRPr="00FC670A" w:rsidRDefault="008434F3" w:rsidP="00E578D6">
      <w:pPr>
        <w:spacing w:after="0" w:line="240" w:lineRule="auto"/>
        <w:jc w:val="center"/>
        <w:rPr>
          <w:rFonts w:ascii="Century Gothic" w:hAnsi="Century Gothic" w:cs="Arial"/>
          <w:sz w:val="20"/>
          <w:szCs w:val="20"/>
        </w:rPr>
      </w:pPr>
      <w:r>
        <w:rPr>
          <w:rFonts w:ascii="Century Gothic" w:hAnsi="Century Gothic" w:cs="Arial"/>
          <w:sz w:val="20"/>
          <w:szCs w:val="20"/>
        </w:rPr>
        <w:t>Dr. Pawan Gupta, GESTAR/USRA</w:t>
      </w:r>
      <w:r w:rsidR="00916AAB" w:rsidRPr="00FC670A">
        <w:rPr>
          <w:rFonts w:ascii="Century Gothic" w:hAnsi="Century Gothic" w:cs="Arial"/>
          <w:sz w:val="20"/>
          <w:szCs w:val="20"/>
        </w:rPr>
        <w:t>,</w:t>
      </w:r>
      <w:r>
        <w:rPr>
          <w:rFonts w:ascii="Century Gothic" w:hAnsi="Century Gothic" w:cs="Arial"/>
          <w:sz w:val="20"/>
          <w:szCs w:val="20"/>
        </w:rPr>
        <w:t xml:space="preserve"> NASA GSFC </w:t>
      </w:r>
      <w:r w:rsidR="00916AAB" w:rsidRPr="00FC670A">
        <w:rPr>
          <w:rFonts w:ascii="Century Gothic" w:hAnsi="Century Gothic" w:cs="Arial"/>
          <w:sz w:val="20"/>
          <w:szCs w:val="20"/>
        </w:rPr>
        <w:t>(Science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075CE337" w:rsidR="002C4C2E" w:rsidRPr="00494746" w:rsidRDefault="008434F3" w:rsidP="008434F3">
      <w:pPr>
        <w:spacing w:after="0" w:line="240" w:lineRule="auto"/>
        <w:rPr>
          <w:rFonts w:ascii="Century Gothic" w:hAnsi="Century Gothic" w:cs="Arial"/>
        </w:rPr>
      </w:pPr>
      <w:r>
        <w:rPr>
          <w:rFonts w:ascii="Century Gothic" w:hAnsi="Century Gothic" w:cs="Arial"/>
        </w:rPr>
        <w:t>Remote Sensing, Gulf of Mexico, Air Quality, Particulate Matter, Nitrogen Dioxide, Sulfur Dioxide, MODIS, OMI</w:t>
      </w:r>
    </w:p>
    <w:p w14:paraId="2FB6D409" w14:textId="77777777" w:rsidR="00FB5846" w:rsidRPr="00B265D9" w:rsidRDefault="008B7071" w:rsidP="00D3013B">
      <w:pPr>
        <w:pStyle w:val="Heading1"/>
        <w:rPr>
          <w:rFonts w:ascii="Century Gothic" w:hAnsi="Century Gothic"/>
        </w:rPr>
      </w:pPr>
      <w:bookmarkStart w:id="1" w:name="_Toc334198720"/>
      <w:r>
        <w:rPr>
          <w:rFonts w:ascii="Century Gothic" w:hAnsi="Century Gothic"/>
        </w:rPr>
        <w:t xml:space="preserve">II. </w:t>
      </w:r>
      <w:r w:rsidR="00FB5846" w:rsidRPr="00B265D9">
        <w:rPr>
          <w:rFonts w:ascii="Century Gothic" w:hAnsi="Century Gothic"/>
        </w:rPr>
        <w:t>Introduction</w:t>
      </w:r>
      <w:bookmarkEnd w:id="1"/>
    </w:p>
    <w:p w14:paraId="7BF749E2" w14:textId="65FDDE1A" w:rsidR="00CB589A" w:rsidRPr="00CB589A" w:rsidRDefault="00CB589A" w:rsidP="00CB589A">
      <w:pPr>
        <w:spacing w:after="0" w:line="240" w:lineRule="auto"/>
        <w:rPr>
          <w:rFonts w:ascii="Century Gothic" w:eastAsia="Times New Roman" w:hAnsi="Century Gothic" w:cs="Times New Roman"/>
          <w:b/>
        </w:rPr>
      </w:pPr>
      <w:r w:rsidRPr="00CB589A">
        <w:rPr>
          <w:rFonts w:ascii="Century Gothic" w:eastAsia="Times New Roman" w:hAnsi="Century Gothic" w:cs="Times New Roman"/>
          <w:b/>
          <w:color w:val="000000"/>
        </w:rPr>
        <w:t>Background</w:t>
      </w:r>
    </w:p>
    <w:p w14:paraId="58DA68C6" w14:textId="71570C5E"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Aerosols and trace gas emissions are primarily responsible for polluting air quality within t</w:t>
      </w:r>
      <w:r>
        <w:rPr>
          <w:rFonts w:ascii="Century Gothic" w:eastAsia="Times New Roman" w:hAnsi="Century Gothic" w:cs="Times New Roman"/>
          <w:color w:val="000000"/>
        </w:rPr>
        <w:t xml:space="preserve">he lower troposphere of Earth. </w:t>
      </w:r>
      <w:r w:rsidRPr="00CB589A">
        <w:rPr>
          <w:rFonts w:ascii="Century Gothic" w:eastAsia="Times New Roman" w:hAnsi="Century Gothic" w:cs="Times New Roman"/>
          <w:color w:val="000000"/>
        </w:rPr>
        <w:t>Aerosols, also known as particulate matter (PM) are collections of particles within air or a gas as defined by the United States National Aeronautics and Spa</w:t>
      </w:r>
      <w:r>
        <w:rPr>
          <w:rFonts w:ascii="Century Gothic" w:eastAsia="Times New Roman" w:hAnsi="Century Gothic" w:cs="Times New Roman"/>
          <w:color w:val="000000"/>
        </w:rPr>
        <w:t>ce Administration (NASA, 1996).</w:t>
      </w:r>
      <w:r w:rsidRPr="00CB589A">
        <w:rPr>
          <w:rFonts w:ascii="Century Gothic" w:eastAsia="Times New Roman" w:hAnsi="Century Gothic" w:cs="Times New Roman"/>
          <w:color w:val="000000"/>
        </w:rPr>
        <w:t xml:space="preserve"> These aerosols are produced by a variety of activities such as dust blowing off of desert areas, salt </w:t>
      </w:r>
      <w:proofErr w:type="spellStart"/>
      <w:r w:rsidRPr="00CB589A">
        <w:rPr>
          <w:rFonts w:ascii="Century Gothic" w:eastAsia="Times New Roman" w:hAnsi="Century Gothic" w:cs="Times New Roman"/>
          <w:color w:val="000000"/>
        </w:rPr>
        <w:t>evaporites</w:t>
      </w:r>
      <w:proofErr w:type="spellEnd"/>
      <w:r w:rsidRPr="00CB589A">
        <w:rPr>
          <w:rFonts w:ascii="Century Gothic" w:eastAsia="Times New Roman" w:hAnsi="Century Gothic" w:cs="Times New Roman"/>
          <w:color w:val="000000"/>
        </w:rPr>
        <w:t xml:space="preserve">, </w:t>
      </w:r>
      <w:proofErr w:type="gramStart"/>
      <w:r w:rsidRPr="00CB589A">
        <w:rPr>
          <w:rFonts w:ascii="Century Gothic" w:eastAsia="Times New Roman" w:hAnsi="Century Gothic" w:cs="Times New Roman"/>
          <w:color w:val="000000"/>
        </w:rPr>
        <w:t>volcanic</w:t>
      </w:r>
      <w:proofErr w:type="gramEnd"/>
      <w:r w:rsidRPr="00CB589A">
        <w:rPr>
          <w:rFonts w:ascii="Century Gothic" w:eastAsia="Times New Roman" w:hAnsi="Century Gothic" w:cs="Times New Roman"/>
          <w:color w:val="000000"/>
        </w:rPr>
        <w:t xml:space="preserve"> eruption</w:t>
      </w:r>
      <w:r w:rsidR="0027003E">
        <w:rPr>
          <w:rFonts w:ascii="Century Gothic" w:eastAsia="Times New Roman" w:hAnsi="Century Gothic" w:cs="Times New Roman"/>
          <w:color w:val="000000"/>
        </w:rPr>
        <w:t>s</w:t>
      </w:r>
      <w:r w:rsidRPr="00CB589A">
        <w:rPr>
          <w:rFonts w:ascii="Century Gothic" w:eastAsia="Times New Roman" w:hAnsi="Century Gothic" w:cs="Times New Roman"/>
          <w:color w:val="000000"/>
        </w:rPr>
        <w:t xml:space="preserve"> and through anthropogenic burning of fossil fuels and forested areas (Kaufman et al., 2002; NASA, 1996). The net effect of aerosols is to cool the Earth’s surface by reflecting solar radiation and changing cloud properties (Allen</w:t>
      </w:r>
      <w:r>
        <w:rPr>
          <w:rFonts w:ascii="Century Gothic" w:eastAsia="Times New Roman" w:hAnsi="Century Gothic" w:cs="Times New Roman"/>
          <w:color w:val="000000"/>
        </w:rPr>
        <w:t xml:space="preserve">, 1996; Kaufman et al., 2002). </w:t>
      </w:r>
      <w:r w:rsidRPr="00CB589A">
        <w:rPr>
          <w:rFonts w:ascii="Century Gothic" w:eastAsia="Times New Roman" w:hAnsi="Century Gothic" w:cs="Times New Roman"/>
          <w:color w:val="000000"/>
        </w:rPr>
        <w:t xml:space="preserve">Such cooling occurs on a regional basis due to the short lifetime </w:t>
      </w:r>
      <w:r w:rsidR="0027003E">
        <w:rPr>
          <w:rFonts w:ascii="Century Gothic" w:eastAsia="Times New Roman" w:hAnsi="Century Gothic" w:cs="Times New Roman"/>
          <w:color w:val="000000"/>
        </w:rPr>
        <w:t xml:space="preserve">of particulate matter settling </w:t>
      </w:r>
      <w:r w:rsidRPr="00CB589A">
        <w:rPr>
          <w:rFonts w:ascii="Century Gothic" w:eastAsia="Times New Roman" w:hAnsi="Century Gothic" w:cs="Times New Roman"/>
          <w:color w:val="000000"/>
        </w:rPr>
        <w:t>and trace gases recombining within the lower troposphere to form secondary particulate</w:t>
      </w:r>
      <w:r>
        <w:rPr>
          <w:rFonts w:ascii="Century Gothic" w:eastAsia="Times New Roman" w:hAnsi="Century Gothic" w:cs="Times New Roman"/>
          <w:color w:val="000000"/>
        </w:rPr>
        <w:t xml:space="preserve"> matter (Kaufman et al., 2002).</w:t>
      </w:r>
      <w:r w:rsidRPr="00CB589A">
        <w:rPr>
          <w:rFonts w:ascii="Century Gothic" w:eastAsia="Times New Roman" w:hAnsi="Century Gothic" w:cs="Times New Roman"/>
          <w:color w:val="000000"/>
        </w:rPr>
        <w:t> Particulate matter is further classified by the size of the particle, with PM</w:t>
      </w:r>
      <w:r w:rsidRPr="00CB589A">
        <w:rPr>
          <w:rFonts w:ascii="Century Gothic" w:eastAsia="Times New Roman" w:hAnsi="Century Gothic" w:cs="Times New Roman"/>
          <w:color w:val="000000"/>
          <w:vertAlign w:val="subscript"/>
        </w:rPr>
        <w:t>10</w:t>
      </w:r>
      <w:r w:rsidRPr="00CB589A">
        <w:rPr>
          <w:rFonts w:ascii="Century Gothic" w:eastAsia="Times New Roman" w:hAnsi="Century Gothic" w:cs="Times New Roman"/>
          <w:color w:val="000000"/>
        </w:rPr>
        <w:t xml:space="preserve"> indicating the mass concentration of particles of size less than 10 micrometers and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xml:space="preserve"> indicating the mass concentration of particles of size less than 2.5 micrometers.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xml:space="preserve"> particles are considered “fine” in grain size and due to their fine size can easily penetrate respiratory tracts causing illness and premature death (Shepherd, 2004).</w:t>
      </w:r>
    </w:p>
    <w:p w14:paraId="4DF25B1B" w14:textId="77777777" w:rsidR="00CB589A" w:rsidRPr="00CB589A" w:rsidRDefault="00CB589A" w:rsidP="00CB589A">
      <w:pPr>
        <w:spacing w:after="0" w:line="240" w:lineRule="auto"/>
        <w:rPr>
          <w:rFonts w:ascii="Century Gothic" w:eastAsia="Times New Roman" w:hAnsi="Century Gothic" w:cs="Times New Roman"/>
        </w:rPr>
      </w:pPr>
    </w:p>
    <w:p w14:paraId="659DF937" w14:textId="6EA10BAC"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Trace gases such as nitrogen dioxide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and sulfur dioxide (SO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are produced primarily by anthropogenic sources such as combustion engines, coal burning electrical utilities and industrial boilers (United States Environmen</w:t>
      </w:r>
      <w:r>
        <w:rPr>
          <w:rFonts w:ascii="Century Gothic" w:eastAsia="Times New Roman" w:hAnsi="Century Gothic" w:cs="Times New Roman"/>
          <w:color w:val="000000"/>
        </w:rPr>
        <w:t xml:space="preserve">tal Protection Agency, 2015a). </w:t>
      </w:r>
      <w:r w:rsidRPr="00CB589A">
        <w:rPr>
          <w:rFonts w:ascii="Century Gothic" w:eastAsia="Times New Roman" w:hAnsi="Century Gothic" w:cs="Times New Roman"/>
          <w:color w:val="000000"/>
        </w:rPr>
        <w:t>Additionally, sulfur dioxide is also produced through volcanic eruption and wildfires, though anthropogenic emissions account for 90-95% of sulfur dioxide in the troposphere (</w:t>
      </w:r>
      <w:proofErr w:type="spellStart"/>
      <w:r w:rsidRPr="00CB589A">
        <w:rPr>
          <w:rFonts w:ascii="Century Gothic" w:eastAsia="Times New Roman" w:hAnsi="Century Gothic" w:cs="Times New Roman"/>
          <w:color w:val="000000"/>
        </w:rPr>
        <w:t>Textor</w:t>
      </w:r>
      <w:proofErr w:type="spellEnd"/>
      <w:r w:rsidRPr="00CB589A">
        <w:rPr>
          <w:rFonts w:ascii="Century Gothic" w:eastAsia="Times New Roman" w:hAnsi="Century Gothic" w:cs="Times New Roman"/>
          <w:color w:val="000000"/>
        </w:rPr>
        <w:t xml:space="preserve"> et al., </w:t>
      </w:r>
      <w:r>
        <w:rPr>
          <w:rFonts w:ascii="Century Gothic" w:eastAsia="Times New Roman" w:hAnsi="Century Gothic" w:cs="Times New Roman"/>
          <w:color w:val="000000"/>
        </w:rPr>
        <w:t xml:space="preserve">2003 and </w:t>
      </w:r>
      <w:proofErr w:type="spellStart"/>
      <w:r>
        <w:rPr>
          <w:rFonts w:ascii="Century Gothic" w:eastAsia="Times New Roman" w:hAnsi="Century Gothic" w:cs="Times New Roman"/>
          <w:color w:val="000000"/>
        </w:rPr>
        <w:t>Klimont</w:t>
      </w:r>
      <w:proofErr w:type="spellEnd"/>
      <w:r>
        <w:rPr>
          <w:rFonts w:ascii="Century Gothic" w:eastAsia="Times New Roman" w:hAnsi="Century Gothic" w:cs="Times New Roman"/>
          <w:color w:val="000000"/>
        </w:rPr>
        <w:t xml:space="preserve"> et al., 2013).</w:t>
      </w:r>
      <w:r w:rsidRPr="00CB589A">
        <w:rPr>
          <w:rFonts w:ascii="Century Gothic" w:eastAsia="Times New Roman" w:hAnsi="Century Gothic" w:cs="Times New Roman"/>
          <w:color w:val="000000"/>
        </w:rPr>
        <w:t> The emissions of these trace gases contribute to air pollution as a primary source and as a secondary source when they react with other particulate matter in the troposphere, producing nitrate and sulfate products (Shepherd, 2004).  </w:t>
      </w:r>
    </w:p>
    <w:p w14:paraId="02E4774F" w14:textId="09146649" w:rsidR="00CB589A" w:rsidRPr="00CB589A" w:rsidRDefault="00CB589A" w:rsidP="0027003E">
      <w:pPr>
        <w:spacing w:line="240" w:lineRule="auto"/>
        <w:rPr>
          <w:rFonts w:ascii="Times New Roman" w:eastAsia="Times New Roman" w:hAnsi="Times New Roman" w:cs="Times New Roman"/>
          <w:sz w:val="24"/>
          <w:szCs w:val="24"/>
        </w:rPr>
      </w:pPr>
      <w:r w:rsidRPr="00CB589A">
        <w:rPr>
          <w:rFonts w:ascii="Century Gothic" w:eastAsia="Times New Roman" w:hAnsi="Century Gothic" w:cs="Times New Roman"/>
        </w:rPr>
        <w:br/>
      </w:r>
      <w:r w:rsidRPr="00CB589A">
        <w:rPr>
          <w:rFonts w:ascii="Century Gothic" w:eastAsia="Times New Roman" w:hAnsi="Century Gothic" w:cs="Times New Roman"/>
          <w:color w:val="000000"/>
        </w:rPr>
        <w:t>Anthropogenic aerosols emitted from urban and industrial regi</w:t>
      </w:r>
      <w:r>
        <w:rPr>
          <w:rFonts w:ascii="Century Gothic" w:eastAsia="Times New Roman" w:hAnsi="Century Gothic" w:cs="Times New Roman"/>
          <w:color w:val="000000"/>
        </w:rPr>
        <w:t xml:space="preserve">onal pollution are a source of </w:t>
      </w:r>
      <w:r w:rsidRPr="00CB589A">
        <w:rPr>
          <w:rFonts w:ascii="Century Gothic" w:eastAsia="Times New Roman" w:hAnsi="Century Gothic" w:cs="Times New Roman"/>
          <w:color w:val="000000"/>
        </w:rPr>
        <w:t>large concentrations of fine aerosols (Kaufman et al., 2002). Particulate matter air pollution can have negative cardiovascular and respiratory health effects along with environmental i</w:t>
      </w:r>
      <w:r>
        <w:rPr>
          <w:rFonts w:ascii="Century Gothic" w:eastAsia="Times New Roman" w:hAnsi="Century Gothic" w:cs="Times New Roman"/>
          <w:color w:val="000000"/>
        </w:rPr>
        <w:t>mpacts (Anderson et al., 2012).</w:t>
      </w:r>
      <w:r w:rsidRPr="00CB589A">
        <w:rPr>
          <w:rFonts w:ascii="Century Gothic" w:eastAsia="Times New Roman" w:hAnsi="Century Gothic" w:cs="Times New Roman"/>
          <w:color w:val="000000"/>
        </w:rPr>
        <w:t> Table 1 below outlines air quality thresholds not to be exceeded for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and SO</w:t>
      </w:r>
      <w:r w:rsidRPr="00CB589A">
        <w:rPr>
          <w:rFonts w:ascii="Century Gothic" w:eastAsia="Times New Roman" w:hAnsi="Century Gothic" w:cs="Times New Roman"/>
          <w:color w:val="000000"/>
          <w:vertAlign w:val="subscript"/>
        </w:rPr>
        <w:t xml:space="preserve">2 </w:t>
      </w:r>
      <w:r w:rsidRPr="00CB589A">
        <w:rPr>
          <w:rFonts w:ascii="Century Gothic" w:eastAsia="Times New Roman" w:hAnsi="Century Gothic" w:cs="Times New Roman"/>
          <w:color w:val="000000"/>
        </w:rPr>
        <w:t>as determined by the United States Environmental Protection Agency (EPA).</w:t>
      </w:r>
      <w:r w:rsidRPr="00CB589A">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621"/>
        <w:gridCol w:w="2324"/>
        <w:gridCol w:w="1422"/>
        <w:gridCol w:w="948"/>
        <w:gridCol w:w="3029"/>
      </w:tblGrid>
      <w:tr w:rsidR="00CB589A" w:rsidRPr="00CB589A" w14:paraId="57C4159A" w14:textId="77777777" w:rsidTr="00CB589A">
        <w:tc>
          <w:tcPr>
            <w:tcW w:w="0" w:type="auto"/>
            <w:tcBorders>
              <w:top w:val="single" w:sz="6" w:space="0" w:color="000000"/>
              <w:left w:val="single" w:sz="6" w:space="0" w:color="000000"/>
              <w:bottom w:val="single" w:sz="6" w:space="0" w:color="000000"/>
              <w:right w:val="single" w:sz="6" w:space="0" w:color="000000"/>
            </w:tcBorders>
            <w:shd w:val="clear" w:color="auto" w:fill="4472C4"/>
            <w:tcMar>
              <w:top w:w="105" w:type="dxa"/>
              <w:left w:w="105" w:type="dxa"/>
              <w:bottom w:w="105" w:type="dxa"/>
              <w:right w:w="105" w:type="dxa"/>
            </w:tcMar>
            <w:hideMark/>
          </w:tcPr>
          <w:p w14:paraId="11C1B406"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shd w:val="clear" w:color="auto" w:fill="4472C4"/>
              </w:rPr>
              <w:lastRenderedPageBreak/>
              <w:t>Pollutant</w:t>
            </w:r>
          </w:p>
        </w:tc>
        <w:tc>
          <w:tcPr>
            <w:tcW w:w="0" w:type="auto"/>
            <w:tcBorders>
              <w:top w:val="single" w:sz="6" w:space="0" w:color="000000"/>
              <w:left w:val="single" w:sz="6" w:space="0" w:color="000000"/>
              <w:bottom w:val="single" w:sz="6" w:space="0" w:color="000000"/>
              <w:right w:val="single" w:sz="6" w:space="0" w:color="000000"/>
            </w:tcBorders>
            <w:shd w:val="clear" w:color="auto" w:fill="4472C4"/>
            <w:tcMar>
              <w:top w:w="105" w:type="dxa"/>
              <w:left w:w="105" w:type="dxa"/>
              <w:bottom w:w="105" w:type="dxa"/>
              <w:right w:w="105" w:type="dxa"/>
            </w:tcMar>
            <w:hideMark/>
          </w:tcPr>
          <w:p w14:paraId="4F23F5A2"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shd w:val="clear" w:color="auto" w:fill="4472C4"/>
              </w:rPr>
              <w:t>Primary/Secondary</w:t>
            </w:r>
          </w:p>
        </w:tc>
        <w:tc>
          <w:tcPr>
            <w:tcW w:w="0" w:type="auto"/>
            <w:tcBorders>
              <w:top w:val="single" w:sz="6" w:space="0" w:color="000000"/>
              <w:left w:val="single" w:sz="6" w:space="0" w:color="000000"/>
              <w:bottom w:val="single" w:sz="6" w:space="0" w:color="000000"/>
              <w:right w:val="single" w:sz="6" w:space="0" w:color="000000"/>
            </w:tcBorders>
            <w:shd w:val="clear" w:color="auto" w:fill="4472C4"/>
            <w:tcMar>
              <w:top w:w="105" w:type="dxa"/>
              <w:left w:w="105" w:type="dxa"/>
              <w:bottom w:w="105" w:type="dxa"/>
              <w:right w:w="105" w:type="dxa"/>
            </w:tcMar>
            <w:hideMark/>
          </w:tcPr>
          <w:p w14:paraId="3193278E"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shd w:val="clear" w:color="auto" w:fill="4472C4"/>
              </w:rPr>
              <w:t>Averaging Time</w:t>
            </w:r>
          </w:p>
        </w:tc>
        <w:tc>
          <w:tcPr>
            <w:tcW w:w="0" w:type="auto"/>
            <w:tcBorders>
              <w:top w:val="single" w:sz="6" w:space="0" w:color="000000"/>
              <w:left w:val="single" w:sz="6" w:space="0" w:color="000000"/>
              <w:bottom w:val="single" w:sz="6" w:space="0" w:color="000000"/>
              <w:right w:val="single" w:sz="6" w:space="0" w:color="000000"/>
            </w:tcBorders>
            <w:shd w:val="clear" w:color="auto" w:fill="4472C4"/>
            <w:tcMar>
              <w:top w:w="105" w:type="dxa"/>
              <w:left w:w="105" w:type="dxa"/>
              <w:bottom w:w="105" w:type="dxa"/>
              <w:right w:w="105" w:type="dxa"/>
            </w:tcMar>
            <w:hideMark/>
          </w:tcPr>
          <w:p w14:paraId="756142D5"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shd w:val="clear" w:color="auto" w:fill="4472C4"/>
              </w:rPr>
              <w:t>Level</w:t>
            </w:r>
          </w:p>
        </w:tc>
        <w:tc>
          <w:tcPr>
            <w:tcW w:w="0" w:type="auto"/>
            <w:tcBorders>
              <w:top w:val="single" w:sz="6" w:space="0" w:color="000000"/>
              <w:left w:val="single" w:sz="6" w:space="0" w:color="000000"/>
              <w:bottom w:val="single" w:sz="6" w:space="0" w:color="000000"/>
              <w:right w:val="single" w:sz="6" w:space="0" w:color="000000"/>
            </w:tcBorders>
            <w:shd w:val="clear" w:color="auto" w:fill="4472C4"/>
            <w:tcMar>
              <w:top w:w="105" w:type="dxa"/>
              <w:left w:w="105" w:type="dxa"/>
              <w:bottom w:w="105" w:type="dxa"/>
              <w:right w:w="105" w:type="dxa"/>
            </w:tcMar>
            <w:hideMark/>
          </w:tcPr>
          <w:p w14:paraId="2F4DD3D3"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shd w:val="clear" w:color="auto" w:fill="4472C4"/>
              </w:rPr>
              <w:t>Form</w:t>
            </w:r>
          </w:p>
        </w:tc>
      </w:tr>
      <w:tr w:rsidR="00CB589A" w:rsidRPr="00CB589A" w14:paraId="65564708" w14:textId="77777777" w:rsidTr="00CB589A">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7D8785"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Particulate Matter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C4B33D"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Primary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1CEE4B"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 year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EEA9DC"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12.0 µg/m</w:t>
            </w:r>
            <w:r w:rsidRPr="00CB589A">
              <w:rPr>
                <w:rFonts w:ascii="Century Gothic" w:eastAsia="Times New Roman" w:hAnsi="Century Gothic" w:cs="Times New Roman"/>
                <w:color w:val="000000"/>
                <w:vertAlign w:val="superscript"/>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F72514"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Annual Mean, averaged over 3 years</w:t>
            </w:r>
          </w:p>
        </w:tc>
      </w:tr>
      <w:tr w:rsidR="00CB589A" w:rsidRPr="00CB589A" w14:paraId="7B2A6E8C" w14:textId="77777777" w:rsidTr="00CB589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EFE4C9" w14:textId="77777777" w:rsidR="00CB589A" w:rsidRPr="00CB589A" w:rsidRDefault="00CB589A" w:rsidP="00CB589A">
            <w:pPr>
              <w:spacing w:after="0" w:line="240" w:lineRule="auto"/>
              <w:rPr>
                <w:rFonts w:ascii="Century Gothic" w:eastAsia="Times New Roman" w:hAnsi="Century Gothic"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28B58E"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Secondary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C9EDD1"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 year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B52D9C"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15.0 µg/m</w:t>
            </w:r>
            <w:r w:rsidRPr="00CB589A">
              <w:rPr>
                <w:rFonts w:ascii="Century Gothic" w:eastAsia="Times New Roman" w:hAnsi="Century Gothic" w:cs="Times New Roman"/>
                <w:color w:val="000000"/>
                <w:vertAlign w:val="superscript"/>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A3ACD7"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Annual Mean, averaged over 3 years</w:t>
            </w:r>
          </w:p>
        </w:tc>
      </w:tr>
      <w:tr w:rsidR="00CB589A" w:rsidRPr="00CB589A" w14:paraId="70B6BB66" w14:textId="77777777" w:rsidTr="00CB589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DFE4C6" w14:textId="77777777" w:rsidR="00CB589A" w:rsidRPr="00CB589A" w:rsidRDefault="00CB589A" w:rsidP="00CB589A">
            <w:pPr>
              <w:spacing w:after="0" w:line="240" w:lineRule="auto"/>
              <w:rPr>
                <w:rFonts w:ascii="Century Gothic" w:eastAsia="Times New Roman" w:hAnsi="Century Gothic"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5859C5"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Primary and Secondary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78AC3C"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24 hours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974798D"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35.0 µg/m</w:t>
            </w:r>
            <w:r w:rsidRPr="00CB589A">
              <w:rPr>
                <w:rFonts w:ascii="Century Gothic" w:eastAsia="Times New Roman" w:hAnsi="Century Gothic" w:cs="Times New Roman"/>
                <w:color w:val="000000"/>
                <w:vertAlign w:val="superscript"/>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67E487"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98</w:t>
            </w:r>
            <w:r w:rsidRPr="00CB589A">
              <w:rPr>
                <w:rFonts w:ascii="Century Gothic" w:eastAsia="Times New Roman" w:hAnsi="Century Gothic" w:cs="Times New Roman"/>
                <w:color w:val="000000"/>
                <w:vertAlign w:val="superscript"/>
              </w:rPr>
              <w:t>th</w:t>
            </w:r>
            <w:r w:rsidRPr="00CB589A">
              <w:rPr>
                <w:rFonts w:ascii="Century Gothic" w:eastAsia="Times New Roman" w:hAnsi="Century Gothic" w:cs="Times New Roman"/>
                <w:color w:val="000000"/>
              </w:rPr>
              <w:t xml:space="preserve"> percentile, averaged over 3 years</w:t>
            </w:r>
          </w:p>
        </w:tc>
      </w:tr>
      <w:tr w:rsidR="00CB589A" w:rsidRPr="00CB589A" w14:paraId="10BE9FEF" w14:textId="77777777" w:rsidTr="00CB589A">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402647"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Nitrogen Dioxide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092CC4"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Primary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070CCF"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 hour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831E1E"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100 ppb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27323A"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98</w:t>
            </w:r>
            <w:r w:rsidRPr="00CB589A">
              <w:rPr>
                <w:rFonts w:ascii="Century Gothic" w:eastAsia="Times New Roman" w:hAnsi="Century Gothic" w:cs="Times New Roman"/>
                <w:color w:val="000000"/>
                <w:vertAlign w:val="superscript"/>
              </w:rPr>
              <w:t>th</w:t>
            </w:r>
            <w:r w:rsidRPr="00CB589A">
              <w:rPr>
                <w:rFonts w:ascii="Century Gothic" w:eastAsia="Times New Roman" w:hAnsi="Century Gothic" w:cs="Times New Roman"/>
                <w:color w:val="000000"/>
              </w:rPr>
              <w:t xml:space="preserve"> percentile of 1-hour daily maximum concentrations, averaged over 3 years</w:t>
            </w:r>
          </w:p>
        </w:tc>
      </w:tr>
      <w:tr w:rsidR="00CB589A" w:rsidRPr="00CB589A" w14:paraId="4F1727F4" w14:textId="77777777" w:rsidTr="00CB589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0A4486" w14:textId="77777777" w:rsidR="00CB589A" w:rsidRPr="00CB589A" w:rsidRDefault="00CB589A" w:rsidP="00CB589A">
            <w:pPr>
              <w:spacing w:after="0" w:line="240" w:lineRule="auto"/>
              <w:rPr>
                <w:rFonts w:ascii="Century Gothic" w:eastAsia="Times New Roman" w:hAnsi="Century Gothic"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F3CB6E"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Primary and Secondary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D01374"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 year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871079"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53 ppb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8FC8CC"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Annual Mean</w:t>
            </w:r>
          </w:p>
        </w:tc>
      </w:tr>
      <w:tr w:rsidR="00CB589A" w:rsidRPr="00CB589A" w14:paraId="052CD438" w14:textId="77777777" w:rsidTr="00CB589A">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664A06B"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Sulfur Dioxide (SO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6B0E7A"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Primary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171D7C"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 hour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D2FC9C"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75 ppb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31A8FD"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99</w:t>
            </w:r>
            <w:r w:rsidRPr="00CB589A">
              <w:rPr>
                <w:rFonts w:ascii="Century Gothic" w:eastAsia="Times New Roman" w:hAnsi="Century Gothic" w:cs="Times New Roman"/>
                <w:color w:val="000000"/>
                <w:vertAlign w:val="superscript"/>
              </w:rPr>
              <w:t>th</w:t>
            </w:r>
            <w:r w:rsidRPr="00CB589A">
              <w:rPr>
                <w:rFonts w:ascii="Century Gothic" w:eastAsia="Times New Roman" w:hAnsi="Century Gothic" w:cs="Times New Roman"/>
                <w:color w:val="000000"/>
              </w:rPr>
              <w:t xml:space="preserve"> percentile of 1-hour daily maximum concentrations, averaged over 3 years</w:t>
            </w:r>
          </w:p>
        </w:tc>
      </w:tr>
      <w:tr w:rsidR="00CB589A" w:rsidRPr="00CB589A" w14:paraId="41A7BF73" w14:textId="77777777" w:rsidTr="00CB589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D627CF" w14:textId="77777777" w:rsidR="00CB589A" w:rsidRPr="00CB589A" w:rsidRDefault="00CB589A" w:rsidP="00CB589A">
            <w:pPr>
              <w:spacing w:after="0" w:line="240" w:lineRule="auto"/>
              <w:rPr>
                <w:rFonts w:ascii="Century Gothic" w:eastAsia="Times New Roman" w:hAnsi="Century Gothic"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C20444"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Secondary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2A9D43"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3 hours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DFF725"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0.5 ppm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191E2F"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Not to be exceeded more than once per year</w:t>
            </w:r>
          </w:p>
        </w:tc>
      </w:tr>
    </w:tbl>
    <w:p w14:paraId="51E25754" w14:textId="77777777" w:rsidR="00CB589A" w:rsidRPr="00CB589A" w:rsidRDefault="00CB589A" w:rsidP="00CB589A">
      <w:pPr>
        <w:spacing w:after="0" w:line="240" w:lineRule="auto"/>
        <w:rPr>
          <w:rFonts w:ascii="Century Gothic" w:eastAsia="Times New Roman" w:hAnsi="Century Gothic" w:cs="Times New Roman"/>
          <w:sz w:val="20"/>
          <w:szCs w:val="20"/>
        </w:rPr>
      </w:pPr>
      <w:r w:rsidRPr="00CB589A">
        <w:rPr>
          <w:rFonts w:ascii="Century Gothic" w:eastAsia="Times New Roman" w:hAnsi="Century Gothic" w:cs="Times New Roman"/>
          <w:color w:val="000000"/>
          <w:sz w:val="20"/>
          <w:szCs w:val="20"/>
        </w:rPr>
        <w:t>Table 1. EPA National Ambient Air Quality Standards (Protection of Environment, 2011).</w:t>
      </w:r>
    </w:p>
    <w:p w14:paraId="13F122F5" w14:textId="761D8800" w:rsidR="00FB5846" w:rsidRDefault="00CB589A" w:rsidP="00CB589A">
      <w:pPr>
        <w:spacing w:after="0" w:line="240" w:lineRule="auto"/>
        <w:rPr>
          <w:rFonts w:ascii="Century Gothic" w:eastAsia="Times New Roman" w:hAnsi="Century Gothic" w:cs="Times New Roman"/>
          <w:color w:val="000000"/>
        </w:rPr>
      </w:pPr>
      <w:r w:rsidRPr="00CB589A">
        <w:rPr>
          <w:rFonts w:ascii="Century Gothic" w:eastAsia="Times New Roman" w:hAnsi="Century Gothic" w:cs="Times New Roman"/>
        </w:rPr>
        <w:br/>
      </w:r>
      <w:r w:rsidRPr="00CB589A">
        <w:rPr>
          <w:rFonts w:ascii="Century Gothic" w:eastAsia="Times New Roman" w:hAnsi="Century Gothic" w:cs="Times New Roman"/>
          <w:color w:val="000000"/>
        </w:rPr>
        <w:t xml:space="preserve">As of 2009, Hoff and Christopher found that no satellite measurements had been used to quantitatively address the </w:t>
      </w:r>
      <w:proofErr w:type="spellStart"/>
      <w:r w:rsidRPr="00CB589A">
        <w:rPr>
          <w:rFonts w:ascii="Century Gothic" w:eastAsia="Times New Roman" w:hAnsi="Century Gothic" w:cs="Times New Roman"/>
          <w:color w:val="000000"/>
        </w:rPr>
        <w:t>the</w:t>
      </w:r>
      <w:proofErr w:type="spellEnd"/>
      <w:r w:rsidRPr="00CB589A">
        <w:rPr>
          <w:rFonts w:ascii="Century Gothic" w:eastAsia="Times New Roman" w:hAnsi="Century Gothic" w:cs="Times New Roman"/>
          <w:color w:val="000000"/>
        </w:rPr>
        <w:t xml:space="preserve"> EPA’s National Ambient Air Quality Standards (NAAQS). Satellite data of atmospheric pollutants can help end-users in public, private sector and nonprofit organizations for air quality applications (Duncan et al., 2014). Many of NASA’s Earth observing satellites have instruments capable of measuring atmospheric aerosol and </w:t>
      </w:r>
      <w:r>
        <w:rPr>
          <w:rFonts w:ascii="Century Gothic" w:eastAsia="Times New Roman" w:hAnsi="Century Gothic" w:cs="Times New Roman"/>
          <w:color w:val="000000"/>
        </w:rPr>
        <w:t xml:space="preserve">greenhouse gas concentrations. </w:t>
      </w:r>
      <w:r w:rsidRPr="00CB589A">
        <w:rPr>
          <w:rFonts w:ascii="Century Gothic" w:eastAsia="Times New Roman" w:hAnsi="Century Gothic" w:cs="Times New Roman"/>
          <w:color w:val="000000"/>
        </w:rPr>
        <w:t xml:space="preserve">These satellite instruments include the Ozone Monitoring Instrument (OMI), Moderate Resolution Imaging </w:t>
      </w:r>
      <w:proofErr w:type="spellStart"/>
      <w:r w:rsidRPr="00CB589A">
        <w:rPr>
          <w:rFonts w:ascii="Century Gothic" w:eastAsia="Times New Roman" w:hAnsi="Century Gothic" w:cs="Times New Roman"/>
          <w:color w:val="000000"/>
        </w:rPr>
        <w:t>Spectroradiometer</w:t>
      </w:r>
      <w:proofErr w:type="spellEnd"/>
      <w:r w:rsidRPr="00CB589A">
        <w:rPr>
          <w:rFonts w:ascii="Century Gothic" w:eastAsia="Times New Roman" w:hAnsi="Century Gothic" w:cs="Times New Roman"/>
          <w:color w:val="000000"/>
        </w:rPr>
        <w:t xml:space="preserve"> (MODIS), Cloud-Aerosol </w:t>
      </w:r>
      <w:proofErr w:type="spellStart"/>
      <w:r w:rsidRPr="00CB589A">
        <w:rPr>
          <w:rFonts w:ascii="Century Gothic" w:eastAsia="Times New Roman" w:hAnsi="Century Gothic" w:cs="Times New Roman"/>
          <w:color w:val="000000"/>
        </w:rPr>
        <w:t>Lidar</w:t>
      </w:r>
      <w:proofErr w:type="spellEnd"/>
      <w:r w:rsidRPr="00CB589A">
        <w:rPr>
          <w:rFonts w:ascii="Century Gothic" w:eastAsia="Times New Roman" w:hAnsi="Century Gothic" w:cs="Times New Roman"/>
          <w:color w:val="000000"/>
        </w:rPr>
        <w:t xml:space="preserve"> with Orthogonal Polarization (CALIOP), Ozone Mapping Profiler Suite (OMPS), and Measurements of Pollution </w:t>
      </w:r>
      <w:proofErr w:type="gramStart"/>
      <w:r w:rsidRPr="00CB589A">
        <w:rPr>
          <w:rFonts w:ascii="Century Gothic" w:eastAsia="Times New Roman" w:hAnsi="Century Gothic" w:cs="Times New Roman"/>
          <w:color w:val="000000"/>
        </w:rPr>
        <w:t>In The</w:t>
      </w:r>
      <w:proofErr w:type="gramEnd"/>
      <w:r w:rsidRPr="00CB589A">
        <w:rPr>
          <w:rFonts w:ascii="Century Gothic" w:eastAsia="Times New Roman" w:hAnsi="Century Gothic" w:cs="Times New Roman"/>
          <w:color w:val="000000"/>
        </w:rPr>
        <w:t xml:space="preserve"> Troposphere (MOPITT). Because utilizing satellite data requires technical skills involved with accessing, processing, and interpreting satellite data, it was not often used by end-users for air quality applications, who relied on point data sources in determining pollution products (Duncan et al., 2014). However, satellite data has the benefit of regional to global coverage, enabling end-users to analyze larger scale patterns present in air quality assessment (Lamsal et al., 2015).</w:t>
      </w:r>
    </w:p>
    <w:p w14:paraId="65F76D98" w14:textId="77777777" w:rsidR="00CB589A" w:rsidRDefault="00CB589A" w:rsidP="00CB589A">
      <w:pPr>
        <w:spacing w:after="0" w:line="240" w:lineRule="auto"/>
        <w:rPr>
          <w:rFonts w:ascii="Century Gothic" w:eastAsia="Times New Roman" w:hAnsi="Century Gothic" w:cs="Times New Roman"/>
          <w:color w:val="000000"/>
        </w:rPr>
      </w:pPr>
    </w:p>
    <w:p w14:paraId="584DBF65" w14:textId="12279785"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b/>
          <w:bCs/>
          <w:color w:val="000000"/>
        </w:rPr>
        <w:t>Project Partners and Objectives</w:t>
      </w:r>
      <w:r w:rsidRPr="00CB589A">
        <w:rPr>
          <w:rFonts w:ascii="Century Gothic" w:eastAsia="Times New Roman" w:hAnsi="Century Gothic" w:cs="Times New Roman"/>
          <w:color w:val="000000"/>
        </w:rPr>
        <w:t xml:space="preserve"> </w:t>
      </w:r>
    </w:p>
    <w:p w14:paraId="39B46CB8" w14:textId="03FBE399"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 xml:space="preserve">The Bureau of Ocean Energy Management (BOEM) assesses the potential onshore air quality impacts from petroleum resources in the Outer Continental Shelf of the Gulf of </w:t>
      </w:r>
      <w:r w:rsidRPr="00CB589A">
        <w:rPr>
          <w:rFonts w:ascii="Century Gothic" w:eastAsia="Times New Roman" w:hAnsi="Century Gothic" w:cs="Times New Roman"/>
          <w:color w:val="000000"/>
        </w:rPr>
        <w:lastRenderedPageBreak/>
        <w:t xml:space="preserve">Mexico (GOM). To make a decision regarding air quality, offshore facility operators must include air emission information when they submit exploratory, development, and production plans. BOEM applies laws presented in the 30 Code for Federal Regulations 550.302 through 304, and, in general, follows the National Ambient Air Quality Standards defined by U.S. EPA. While BOEM is able to monitor air quality through their monthly inventories of platform and non-platform emissions, this type of data is cost prohibitive in producing long-term, regionally scaled studies. Satellite data will allow BOEM to track pollutant plumes, determine exceptional events, </w:t>
      </w:r>
      <w:r w:rsidR="0027003E" w:rsidRPr="00CB589A">
        <w:rPr>
          <w:rFonts w:ascii="Century Gothic" w:eastAsia="Times New Roman" w:hAnsi="Century Gothic" w:cs="Times New Roman"/>
          <w:color w:val="000000"/>
        </w:rPr>
        <w:t>and evaluate</w:t>
      </w:r>
      <w:r w:rsidRPr="00CB589A">
        <w:rPr>
          <w:rFonts w:ascii="Century Gothic" w:eastAsia="Times New Roman" w:hAnsi="Century Gothic" w:cs="Times New Roman"/>
          <w:color w:val="000000"/>
        </w:rPr>
        <w:t xml:space="preserve"> air quality models based on emissions inventory data. </w:t>
      </w:r>
    </w:p>
    <w:p w14:paraId="59BB9F51" w14:textId="77777777" w:rsidR="00CB589A" w:rsidRPr="00CB589A" w:rsidRDefault="00CB589A" w:rsidP="00CB589A">
      <w:pPr>
        <w:spacing w:after="0" w:line="240" w:lineRule="auto"/>
        <w:rPr>
          <w:rFonts w:ascii="Century Gothic" w:eastAsia="Times New Roman" w:hAnsi="Century Gothic" w:cs="Times New Roman"/>
        </w:rPr>
      </w:pPr>
    </w:p>
    <w:p w14:paraId="0DDBC36A" w14:textId="00DD8F0A"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The objectives of the this project were to map and analyze airborne pollutant concentrations of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xml:space="preserve"> aerosol, nitrogen dioxide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and sulfur dioxide (SO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using remotely sensed  data from NASA’s Aqua/Terra MODIS and A</w:t>
      </w:r>
      <w:r w:rsidR="0027003E">
        <w:rPr>
          <w:rFonts w:ascii="Century Gothic" w:eastAsia="Times New Roman" w:hAnsi="Century Gothic" w:cs="Times New Roman"/>
          <w:color w:val="000000"/>
        </w:rPr>
        <w:t xml:space="preserve">ura OMI satellite instruments. </w:t>
      </w:r>
      <w:r w:rsidRPr="00CB589A">
        <w:rPr>
          <w:rFonts w:ascii="Century Gothic" w:eastAsia="Times New Roman" w:hAnsi="Century Gothic" w:cs="Times New Roman"/>
          <w:color w:val="000000"/>
        </w:rPr>
        <w:t xml:space="preserve">Pollutant data was compared to </w:t>
      </w:r>
      <w:r w:rsidRPr="00CB589A">
        <w:rPr>
          <w:rFonts w:ascii="Century Gothic" w:eastAsia="Times New Roman" w:hAnsi="Century Gothic" w:cs="Times New Roman"/>
          <w:i/>
          <w:iCs/>
          <w:color w:val="000000"/>
        </w:rPr>
        <w:t>in situ</w:t>
      </w:r>
      <w:r w:rsidRPr="00CB589A">
        <w:rPr>
          <w:rFonts w:ascii="Century Gothic" w:eastAsia="Times New Roman" w:hAnsi="Century Gothic" w:cs="Times New Roman"/>
          <w:color w:val="000000"/>
        </w:rPr>
        <w:t xml:space="preserve"> data collected by the Bureau of Ocean Energy Management and the U.S. Environmental Protection Agency (EPA) to determine correlations between these pollutants and primary emission sources.</w:t>
      </w:r>
    </w:p>
    <w:p w14:paraId="42E47CF2" w14:textId="77777777" w:rsidR="00CB589A" w:rsidRPr="00CB589A" w:rsidRDefault="00CB589A" w:rsidP="00CB589A">
      <w:pPr>
        <w:spacing w:after="0" w:line="240" w:lineRule="auto"/>
        <w:rPr>
          <w:rFonts w:ascii="Century Gothic" w:eastAsia="Times New Roman" w:hAnsi="Century Gothic" w:cs="Times New Roman"/>
        </w:rPr>
      </w:pPr>
    </w:p>
    <w:p w14:paraId="529A15AC" w14:textId="13EC7CCC"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b/>
          <w:bCs/>
          <w:color w:val="000000"/>
        </w:rPr>
        <w:t>Study Area and Study Period</w:t>
      </w:r>
      <w:r w:rsidRPr="00CB589A">
        <w:rPr>
          <w:rFonts w:ascii="Century Gothic" w:eastAsia="Times New Roman" w:hAnsi="Century Gothic" w:cs="Times New Roman"/>
          <w:color w:val="000000"/>
        </w:rPr>
        <w:t xml:space="preserve"> </w:t>
      </w:r>
    </w:p>
    <w:p w14:paraId="7C3E4571" w14:textId="3A715EE9"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 xml:space="preserve">The study area for this project encompasses the Outer Continental Shelf (OCS) of the Gulf of Mexico including onshore areas of Texas, Louisiana, Mississippi, and Alabama. The bounding coordinates for the study area (-97.6904, 25.8838, -86.4404, 30.9375) include all active oil and gas facilities in the GOM under BOEM monitoring along with onshore areas with EPA monitoring stations. Figure 1 displays BOEM monitored facilities within the GOM. The Bureau of Ocean Energy Management created a baseline emissions inventory in 2000 and produced subsequent inventories in the years 2005, 2008, and 2011. Satellite data provides coverage and long-term record of metrics related to air quality throughout the GOM. This study produced a monthly and annual regional analysis for a fifteen year period from 2000 to 2015, focusing on the </w:t>
      </w:r>
      <w:proofErr w:type="spellStart"/>
      <w:r w:rsidRPr="00CB589A">
        <w:rPr>
          <w:rFonts w:ascii="Century Gothic" w:eastAsia="Times New Roman" w:hAnsi="Century Gothic" w:cs="Times New Roman"/>
          <w:color w:val="000000"/>
        </w:rPr>
        <w:t>years</w:t>
      </w:r>
      <w:proofErr w:type="spellEnd"/>
      <w:r w:rsidRPr="00CB589A">
        <w:rPr>
          <w:rFonts w:ascii="Century Gothic" w:eastAsia="Times New Roman" w:hAnsi="Century Gothic" w:cs="Times New Roman"/>
          <w:color w:val="000000"/>
        </w:rPr>
        <w:t xml:space="preserve"> corresponding with BOEM’s previous emissions inventories.</w:t>
      </w:r>
    </w:p>
    <w:p w14:paraId="6301C725" w14:textId="172A03FC" w:rsidR="0027003E" w:rsidRDefault="00D71CBB" w:rsidP="00E03B8E">
      <w:pPr>
        <w:spacing w:after="0" w:line="240" w:lineRule="auto"/>
        <w:rPr>
          <w:rFonts w:ascii="Century Gothic" w:hAnsi="Century Gothic"/>
          <w:color w:val="000000"/>
        </w:rPr>
      </w:pPr>
      <w:r w:rsidRPr="00D71CBB">
        <w:rPr>
          <w:rFonts w:ascii="Century Gothic" w:hAnsi="Century Gothic"/>
        </w:rPr>
        <w:lastRenderedPageBreak/>
        <w:drawing>
          <wp:anchor distT="0" distB="0" distL="114300" distR="114300" simplePos="0" relativeHeight="251661312" behindDoc="0" locked="0" layoutInCell="1" allowOverlap="1" wp14:anchorId="3FF92194" wp14:editId="5389FE76">
            <wp:simplePos x="0" y="0"/>
            <wp:positionH relativeFrom="column">
              <wp:posOffset>0</wp:posOffset>
            </wp:positionH>
            <wp:positionV relativeFrom="paragraph">
              <wp:posOffset>171450</wp:posOffset>
            </wp:positionV>
            <wp:extent cx="5943600" cy="4592955"/>
            <wp:effectExtent l="0" t="0" r="0" b="0"/>
            <wp:wrapThrough wrapText="bothSides">
              <wp:wrapPolygon edited="0">
                <wp:start x="0" y="0"/>
                <wp:lineTo x="0" y="21501"/>
                <wp:lineTo x="21531" y="21501"/>
                <wp:lineTo x="2153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udy Are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14:sizeRelH relativeFrom="page">
              <wp14:pctWidth>0</wp14:pctWidth>
            </wp14:sizeRelH>
            <wp14:sizeRelV relativeFrom="page">
              <wp14:pctHeight>0</wp14:pctHeight>
            </wp14:sizeRelV>
          </wp:anchor>
        </w:drawing>
      </w:r>
      <w:r w:rsidRPr="00D71CBB">
        <w:rPr>
          <w:rFonts w:ascii="Century Gothic" w:hAnsi="Century Gothic"/>
        </w:rPr>
        <w:drawing>
          <wp:anchor distT="0" distB="0" distL="114300" distR="114300" simplePos="0" relativeHeight="251662336" behindDoc="0" locked="0" layoutInCell="1" allowOverlap="1" wp14:anchorId="6FF3CA95" wp14:editId="76AFAE89">
            <wp:simplePos x="0" y="0"/>
            <wp:positionH relativeFrom="column">
              <wp:posOffset>323850</wp:posOffset>
            </wp:positionH>
            <wp:positionV relativeFrom="paragraph">
              <wp:posOffset>3133725</wp:posOffset>
            </wp:positionV>
            <wp:extent cx="2641499" cy="1280160"/>
            <wp:effectExtent l="0" t="0" r="6985" b="0"/>
            <wp:wrapThrough wrapText="bothSides">
              <wp:wrapPolygon edited="0">
                <wp:start x="0" y="0"/>
                <wp:lineTo x="0" y="21214"/>
                <wp:lineTo x="21501" y="21214"/>
                <wp:lineTo x="2150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udy Area Legend.JPG"/>
                    <pic:cNvPicPr/>
                  </pic:nvPicPr>
                  <pic:blipFill>
                    <a:blip r:embed="rId11">
                      <a:extLst>
                        <a:ext uri="{28A0092B-C50C-407E-A947-70E740481C1C}">
                          <a14:useLocalDpi xmlns:a14="http://schemas.microsoft.com/office/drawing/2010/main" val="0"/>
                        </a:ext>
                      </a:extLst>
                    </a:blip>
                    <a:stretch>
                      <a:fillRect/>
                    </a:stretch>
                  </pic:blipFill>
                  <pic:spPr>
                    <a:xfrm>
                      <a:off x="0" y="0"/>
                      <a:ext cx="2641499" cy="1280160"/>
                    </a:xfrm>
                    <a:prstGeom prst="rect">
                      <a:avLst/>
                    </a:prstGeom>
                  </pic:spPr>
                </pic:pic>
              </a:graphicData>
            </a:graphic>
            <wp14:sizeRelH relativeFrom="page">
              <wp14:pctWidth>0</wp14:pctWidth>
            </wp14:sizeRelH>
            <wp14:sizeRelV relativeFrom="page">
              <wp14:pctHeight>0</wp14:pctHeight>
            </wp14:sizeRelV>
          </wp:anchor>
        </w:drawing>
      </w:r>
    </w:p>
    <w:p w14:paraId="657F98CF" w14:textId="4840ED72" w:rsidR="00D71CBB" w:rsidRPr="00D71CBB" w:rsidRDefault="00D71CBB" w:rsidP="00E03B8E">
      <w:pPr>
        <w:spacing w:after="0" w:line="240" w:lineRule="auto"/>
        <w:rPr>
          <w:rFonts w:ascii="Century Gothic" w:hAnsi="Century Gothic"/>
        </w:rPr>
      </w:pPr>
      <w:r w:rsidRPr="00D71CBB">
        <w:rPr>
          <w:rFonts w:ascii="Century Gothic" w:hAnsi="Century Gothic"/>
          <w:color w:val="000000"/>
        </w:rPr>
        <w:t>Figure 1. Study area of the Outer Continental Shelf of the Gulf of Mexico</w:t>
      </w:r>
    </w:p>
    <w:p w14:paraId="6B1626FF" w14:textId="77777777" w:rsidR="00D71CBB" w:rsidRDefault="00D71CBB" w:rsidP="00E03B8E">
      <w:pPr>
        <w:spacing w:after="0" w:line="240" w:lineRule="auto"/>
        <w:rPr>
          <w:rFonts w:ascii="Century Gothic" w:hAnsi="Century Gothic"/>
        </w:rPr>
      </w:pPr>
    </w:p>
    <w:p w14:paraId="016C6729"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b/>
          <w:bCs/>
          <w:color w:val="000000"/>
        </w:rPr>
        <w:t>National Application Addressed</w:t>
      </w:r>
      <w:r w:rsidRPr="00CB589A">
        <w:rPr>
          <w:rFonts w:ascii="Century Gothic" w:eastAsia="Times New Roman" w:hAnsi="Century Gothic" w:cs="Times New Roman"/>
          <w:color w:val="000000"/>
        </w:rPr>
        <w:t xml:space="preserve">: </w:t>
      </w:r>
    </w:p>
    <w:p w14:paraId="75BD8BF3" w14:textId="36BE4698" w:rsidR="00CB589A" w:rsidRPr="00CB589A" w:rsidRDefault="00CB589A" w:rsidP="00CB589A">
      <w:pPr>
        <w:spacing w:after="0" w:line="240" w:lineRule="auto"/>
        <w:rPr>
          <w:rFonts w:ascii="Century Gothic" w:hAnsi="Century Gothic"/>
        </w:rPr>
      </w:pPr>
      <w:r w:rsidRPr="00CB589A">
        <w:rPr>
          <w:rFonts w:ascii="Century Gothic" w:eastAsia="Times New Roman" w:hAnsi="Century Gothic" w:cs="Times New Roman"/>
          <w:color w:val="000000"/>
        </w:rPr>
        <w:t>This project addressed the Health and Air Quality NASA national application area. NASA Earth observations provided satellite retrievals of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and SO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emission concentrations for regional and long-term analysis over the Gulf of Mexico. Our end-users at BOEM can apply the methodology developed in this project to other criteria pollutants (e.g., CO, CH</w:t>
      </w:r>
      <w:r w:rsidRPr="00CB589A">
        <w:rPr>
          <w:rFonts w:ascii="Century Gothic" w:eastAsia="Times New Roman" w:hAnsi="Century Gothic" w:cs="Times New Roman"/>
          <w:color w:val="000000"/>
          <w:vertAlign w:val="subscript"/>
        </w:rPr>
        <w:t>4</w:t>
      </w:r>
      <w:r w:rsidRPr="00CB589A">
        <w:rPr>
          <w:rFonts w:ascii="Century Gothic" w:eastAsia="Times New Roman" w:hAnsi="Century Gothic" w:cs="Times New Roman"/>
          <w:color w:val="000000"/>
        </w:rPr>
        <w:t xml:space="preserve">, VOC’s) measured by facility operators included in the </w:t>
      </w:r>
      <w:proofErr w:type="spellStart"/>
      <w:r w:rsidRPr="00CB589A">
        <w:rPr>
          <w:rFonts w:ascii="Century Gothic" w:eastAsia="Times New Roman" w:hAnsi="Century Gothic" w:cs="Times New Roman"/>
          <w:color w:val="000000"/>
        </w:rPr>
        <w:t>Gulfwide</w:t>
      </w:r>
      <w:proofErr w:type="spellEnd"/>
      <w:r w:rsidRPr="00CB589A">
        <w:rPr>
          <w:rFonts w:ascii="Century Gothic" w:eastAsia="Times New Roman" w:hAnsi="Century Gothic" w:cs="Times New Roman"/>
          <w:color w:val="000000"/>
        </w:rPr>
        <w:t xml:space="preserve"> Emissions Inventory reports.</w:t>
      </w:r>
    </w:p>
    <w:p w14:paraId="4EAB8422" w14:textId="754E4C78" w:rsidR="00E41324" w:rsidRPr="00B265D9" w:rsidRDefault="008B7071" w:rsidP="00D3013B">
      <w:pPr>
        <w:pStyle w:val="Heading1"/>
        <w:rPr>
          <w:rFonts w:ascii="Century Gothic" w:hAnsi="Century Gothic"/>
        </w:rPr>
      </w:pPr>
      <w:bookmarkStart w:id="2" w:name="_Toc334198726"/>
      <w:r>
        <w:rPr>
          <w:rFonts w:ascii="Century Gothic" w:hAnsi="Century Gothic"/>
        </w:rPr>
        <w:t xml:space="preserve">III. </w:t>
      </w:r>
      <w:r w:rsidR="00E41324" w:rsidRPr="00B265D9">
        <w:rPr>
          <w:rFonts w:ascii="Century Gothic" w:hAnsi="Century Gothic"/>
        </w:rPr>
        <w:t>Methodology</w:t>
      </w:r>
      <w:bookmarkEnd w:id="2"/>
    </w:p>
    <w:p w14:paraId="2D897054" w14:textId="77777777" w:rsidR="00CB589A" w:rsidRPr="00CB589A" w:rsidRDefault="00CB589A" w:rsidP="00CB589A">
      <w:pPr>
        <w:spacing w:after="0" w:line="240" w:lineRule="auto"/>
        <w:rPr>
          <w:rFonts w:ascii="Century Gothic" w:eastAsia="Times New Roman" w:hAnsi="Century Gothic" w:cs="Times New Roman"/>
        </w:rPr>
      </w:pPr>
      <w:bookmarkStart w:id="3" w:name="_Toc334198727"/>
      <w:r w:rsidRPr="00CB589A">
        <w:rPr>
          <w:rFonts w:ascii="Century Gothic" w:eastAsia="Times New Roman" w:hAnsi="Century Gothic" w:cs="Times New Roman"/>
          <w:i/>
          <w:iCs/>
          <w:color w:val="000000"/>
        </w:rPr>
        <w:t>Level 3 data</w:t>
      </w:r>
    </w:p>
    <w:p w14:paraId="0CA71352" w14:textId="47232970"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Level 3 (L3) satellite data is easy to analyze and can be used for regional air quality appli</w:t>
      </w:r>
      <w:r w:rsidR="0027003E">
        <w:rPr>
          <w:rFonts w:ascii="Century Gothic" w:eastAsia="Times New Roman" w:hAnsi="Century Gothic" w:cs="Times New Roman"/>
          <w:color w:val="000000"/>
        </w:rPr>
        <w:t xml:space="preserve">cations (Duncan et al., 2014). </w:t>
      </w:r>
      <w:r w:rsidRPr="00CB589A">
        <w:rPr>
          <w:rFonts w:ascii="Century Gothic" w:eastAsia="Times New Roman" w:hAnsi="Century Gothic" w:cs="Times New Roman"/>
          <w:color w:val="000000"/>
        </w:rPr>
        <w:t xml:space="preserve">Geospatial Interactive Online Visualization and Analysis Infrastructure (GIOVANNI) was used to examine L3 data for aerosol optical depth, SO2, and NO2 satellite retrievals. </w:t>
      </w:r>
    </w:p>
    <w:p w14:paraId="009CEB3D" w14:textId="77777777" w:rsidR="00CB589A" w:rsidRPr="00CB589A" w:rsidRDefault="00CB589A" w:rsidP="00CB589A">
      <w:pPr>
        <w:spacing w:after="0" w:line="240" w:lineRule="auto"/>
        <w:rPr>
          <w:rFonts w:ascii="Century Gothic" w:eastAsia="Times New Roman" w:hAnsi="Century Gothic" w:cs="Times New Roman"/>
        </w:rPr>
      </w:pPr>
    </w:p>
    <w:p w14:paraId="1EF92A5A" w14:textId="3F89FA79"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lastRenderedPageBreak/>
        <w:t>Aerosol Optical Depth (AOD), or Aerosol Optical Thickness (AOT), is used as a proxy for ground-based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xml:space="preserve">. MODIS/Terra data for AOD at 550 nm (Dark Target) with 1° spatial resolution were plotted. Data were available at a monthly temporal resolution from March 2000 - December 2015. AOD is a </w:t>
      </w:r>
      <w:proofErr w:type="spellStart"/>
      <w:r w:rsidRPr="00CB589A">
        <w:rPr>
          <w:rFonts w:ascii="Century Gothic" w:eastAsia="Times New Roman" w:hAnsi="Century Gothic" w:cs="Times New Roman"/>
          <w:color w:val="000000"/>
        </w:rPr>
        <w:t>unitless</w:t>
      </w:r>
      <w:proofErr w:type="spellEnd"/>
      <w:r w:rsidRPr="00CB589A">
        <w:rPr>
          <w:rFonts w:ascii="Century Gothic" w:eastAsia="Times New Roman" w:hAnsi="Century Gothic" w:cs="Times New Roman"/>
          <w:color w:val="000000"/>
        </w:rPr>
        <w:t xml:space="preserve"> quantity. GIOVANNI was used to visualize the OMI/AURA Level 3 Global Gridded (0.25° latitude x 0.25° longitude) nitrogen dioxide data product. These data were available as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Tropospheric Column (30% cloud screened) in 1/cm</w:t>
      </w:r>
      <w:r w:rsidRPr="00CB589A">
        <w:rPr>
          <w:rFonts w:ascii="Century Gothic" w:eastAsia="Times New Roman" w:hAnsi="Century Gothic" w:cs="Times New Roman"/>
          <w:color w:val="000000"/>
          <w:vertAlign w:val="superscript"/>
        </w:rPr>
        <w:t>2</w:t>
      </w:r>
      <w:r w:rsidR="0027003E">
        <w:rPr>
          <w:rFonts w:ascii="Century Gothic" w:eastAsia="Times New Roman" w:hAnsi="Century Gothic" w:cs="Times New Roman"/>
          <w:color w:val="000000"/>
        </w:rPr>
        <w:t xml:space="preserve">. </w:t>
      </w:r>
      <w:r w:rsidRPr="00CB589A">
        <w:rPr>
          <w:rFonts w:ascii="Century Gothic" w:eastAsia="Times New Roman" w:hAnsi="Century Gothic" w:cs="Times New Roman"/>
          <w:color w:val="000000"/>
        </w:rPr>
        <w:t>Data were available at a daily temporal resolution from October 2004 - December 2015. For sulfur dioxide, the OMI/Aura Level 3e (0.25° latitude x 0.25° longitude) SO</w:t>
      </w:r>
      <w:r w:rsidRPr="00CB589A">
        <w:rPr>
          <w:rFonts w:ascii="Century Gothic" w:eastAsia="Times New Roman" w:hAnsi="Century Gothic" w:cs="Times New Roman"/>
          <w:color w:val="000000"/>
          <w:vertAlign w:val="subscript"/>
        </w:rPr>
        <w:t>2</w:t>
      </w:r>
      <w:r w:rsidR="0027003E">
        <w:rPr>
          <w:rFonts w:ascii="Century Gothic" w:eastAsia="Times New Roman" w:hAnsi="Century Gothic" w:cs="Times New Roman"/>
          <w:color w:val="000000"/>
        </w:rPr>
        <w:t xml:space="preserve"> data product was utilized. </w:t>
      </w:r>
      <w:r w:rsidRPr="00CB589A">
        <w:rPr>
          <w:rFonts w:ascii="Century Gothic" w:eastAsia="Times New Roman" w:hAnsi="Century Gothic" w:cs="Times New Roman"/>
          <w:color w:val="000000"/>
        </w:rPr>
        <w:t>This product retrieves the SO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column amount (Planetary boundary layer) in Dobson Units (DU). Data were available at a daily temporal resolution from October 2004 - December 2015.</w:t>
      </w:r>
    </w:p>
    <w:p w14:paraId="57DA7219" w14:textId="77777777" w:rsidR="00CB589A" w:rsidRPr="00CB589A" w:rsidRDefault="00CB589A" w:rsidP="00CB589A">
      <w:pPr>
        <w:spacing w:after="0" w:line="240" w:lineRule="auto"/>
        <w:rPr>
          <w:rFonts w:ascii="Century Gothic" w:eastAsia="Times New Roman" w:hAnsi="Century Gothic" w:cs="Times New Roman"/>
        </w:rPr>
      </w:pPr>
    </w:p>
    <w:p w14:paraId="7257FF49" w14:textId="549BC808"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Time averaged maps and area-averaged time series were created yearly and for the entire study period, as data were available. These allowed us to identify time frames in which levels exceeded predetermined thresholds of pollutant concentration (need statistical %, s</w:t>
      </w:r>
      <w:r w:rsidR="0027003E">
        <w:rPr>
          <w:rFonts w:ascii="Century Gothic" w:eastAsia="Times New Roman" w:hAnsi="Century Gothic" w:cs="Times New Roman"/>
          <w:color w:val="000000"/>
        </w:rPr>
        <w:t xml:space="preserve">tandard deviation, etc. here). </w:t>
      </w:r>
      <w:r w:rsidRPr="00CB589A">
        <w:rPr>
          <w:rFonts w:ascii="Century Gothic" w:eastAsia="Times New Roman" w:hAnsi="Century Gothic" w:cs="Times New Roman"/>
          <w:color w:val="000000"/>
        </w:rPr>
        <w:t>With the timeframe parameter known, GIOVANNI could then be queried to display the area in which the gas level exceeded threshold to provide the coordinates needed for a Level 2 data query.</w:t>
      </w:r>
    </w:p>
    <w:p w14:paraId="34E97FB8" w14:textId="77777777" w:rsidR="00CB589A" w:rsidRPr="00CB589A" w:rsidRDefault="00CB589A" w:rsidP="00CB589A">
      <w:pPr>
        <w:spacing w:after="0" w:line="240" w:lineRule="auto"/>
        <w:rPr>
          <w:rFonts w:ascii="Century Gothic" w:eastAsia="Times New Roman" w:hAnsi="Century Gothic" w:cs="Times New Roman"/>
        </w:rPr>
      </w:pPr>
    </w:p>
    <w:p w14:paraId="7CD57468"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i/>
          <w:iCs/>
          <w:color w:val="000000"/>
        </w:rPr>
        <w:t xml:space="preserve">Level 2 data </w:t>
      </w:r>
      <w:r w:rsidRPr="00CB589A">
        <w:rPr>
          <w:rFonts w:ascii="Century Gothic" w:eastAsia="Times New Roman" w:hAnsi="Century Gothic" w:cs="Times New Roman"/>
          <w:color w:val="FF0000"/>
        </w:rPr>
        <w:t>[In Progress]</w:t>
      </w:r>
    </w:p>
    <w:p w14:paraId="23DFAD53" w14:textId="77777777" w:rsidR="00CB589A" w:rsidRPr="00CB589A" w:rsidRDefault="00CB589A" w:rsidP="00CB589A">
      <w:pPr>
        <w:spacing w:after="0" w:line="240" w:lineRule="auto"/>
        <w:rPr>
          <w:rFonts w:ascii="Century Gothic" w:eastAsia="Times New Roman" w:hAnsi="Century Gothic" w:cs="Times New Roman"/>
        </w:rPr>
      </w:pPr>
    </w:p>
    <w:p w14:paraId="57090039" w14:textId="2FEF5EF2"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 xml:space="preserve">Level 2 (L2) satellite data are original </w:t>
      </w:r>
      <w:proofErr w:type="spellStart"/>
      <w:r w:rsidRPr="00CB589A">
        <w:rPr>
          <w:rFonts w:ascii="Century Gothic" w:eastAsia="Times New Roman" w:hAnsi="Century Gothic" w:cs="Times New Roman"/>
          <w:color w:val="000000"/>
        </w:rPr>
        <w:t>geolocated</w:t>
      </w:r>
      <w:proofErr w:type="spellEnd"/>
      <w:r w:rsidRPr="00CB589A">
        <w:rPr>
          <w:rFonts w:ascii="Century Gothic" w:eastAsia="Times New Roman" w:hAnsi="Century Gothic" w:cs="Times New Roman"/>
          <w:color w:val="000000"/>
        </w:rPr>
        <w:t xml:space="preserve"> observations which can be used to analyze point sources (Duncan, 2014). High resolution OMI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and SO</w:t>
      </w:r>
      <w:r w:rsidRPr="00CB589A">
        <w:rPr>
          <w:rFonts w:ascii="Century Gothic" w:eastAsia="Times New Roman" w:hAnsi="Century Gothic" w:cs="Times New Roman"/>
          <w:color w:val="000000"/>
          <w:vertAlign w:val="subscript"/>
        </w:rPr>
        <w:t>2</w:t>
      </w:r>
      <w:r w:rsidR="0027003E">
        <w:rPr>
          <w:rFonts w:ascii="Century Gothic" w:eastAsia="Times New Roman" w:hAnsi="Century Gothic" w:cs="Times New Roman"/>
          <w:color w:val="000000"/>
        </w:rPr>
        <w:t xml:space="preserve"> </w:t>
      </w:r>
      <w:r w:rsidRPr="00CB589A">
        <w:rPr>
          <w:rFonts w:ascii="Century Gothic" w:eastAsia="Times New Roman" w:hAnsi="Century Gothic" w:cs="Times New Roman"/>
          <w:color w:val="000000"/>
        </w:rPr>
        <w:t>data were acquired from the Aura Validation Data Center.</w:t>
      </w:r>
    </w:p>
    <w:p w14:paraId="0F5A77F5" w14:textId="77777777" w:rsidR="00CB589A" w:rsidRPr="00CB589A" w:rsidRDefault="00CB589A" w:rsidP="00CB589A">
      <w:pPr>
        <w:spacing w:after="0" w:line="240" w:lineRule="auto"/>
        <w:rPr>
          <w:rFonts w:ascii="Century Gothic" w:eastAsia="Times New Roman" w:hAnsi="Century Gothic" w:cs="Times New Roman"/>
        </w:rPr>
      </w:pPr>
    </w:p>
    <w:p w14:paraId="1CB89F0A"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i/>
          <w:iCs/>
          <w:color w:val="000000"/>
        </w:rPr>
        <w:t>Ancillary &amp; In situ data</w:t>
      </w:r>
      <w:r w:rsidRPr="00CB589A">
        <w:rPr>
          <w:rFonts w:ascii="Century Gothic" w:eastAsia="Times New Roman" w:hAnsi="Century Gothic" w:cs="Times New Roman"/>
          <w:color w:val="000000"/>
        </w:rPr>
        <w:t xml:space="preserve"> </w:t>
      </w:r>
      <w:r w:rsidRPr="00CB589A">
        <w:rPr>
          <w:rFonts w:ascii="Century Gothic" w:eastAsia="Times New Roman" w:hAnsi="Century Gothic" w:cs="Times New Roman"/>
          <w:color w:val="FF0000"/>
        </w:rPr>
        <w:t>[In Progress]</w:t>
      </w:r>
    </w:p>
    <w:p w14:paraId="71B9FC7A" w14:textId="41786DE0"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i/>
          <w:iCs/>
          <w:color w:val="000000"/>
        </w:rPr>
        <w:t>In situ</w:t>
      </w:r>
      <w:r w:rsidRPr="00CB589A">
        <w:rPr>
          <w:rFonts w:ascii="Century Gothic" w:eastAsia="Times New Roman" w:hAnsi="Century Gothic" w:cs="Times New Roman"/>
          <w:color w:val="000000"/>
        </w:rPr>
        <w:t xml:space="preserve"> emissions and air quality data were obtained from the Bureau of Ocean Energy Management’s </w:t>
      </w:r>
      <w:proofErr w:type="spellStart"/>
      <w:r w:rsidRPr="00CB589A">
        <w:rPr>
          <w:rFonts w:ascii="Century Gothic" w:eastAsia="Times New Roman" w:hAnsi="Century Gothic" w:cs="Times New Roman"/>
          <w:color w:val="000000"/>
        </w:rPr>
        <w:t>Gulfwide</w:t>
      </w:r>
      <w:proofErr w:type="spellEnd"/>
      <w:r w:rsidRPr="00CB589A">
        <w:rPr>
          <w:rFonts w:ascii="Century Gothic" w:eastAsia="Times New Roman" w:hAnsi="Century Gothic" w:cs="Times New Roman"/>
          <w:color w:val="000000"/>
        </w:rPr>
        <w:t xml:space="preserve"> Emissions Inventories and the Environmental Protection Agency’s </w:t>
      </w:r>
      <w:proofErr w:type="spellStart"/>
      <w:r w:rsidRPr="00CB589A">
        <w:rPr>
          <w:rFonts w:ascii="Century Gothic" w:eastAsia="Times New Roman" w:hAnsi="Century Gothic" w:cs="Times New Roman"/>
          <w:color w:val="000000"/>
        </w:rPr>
        <w:t>AirData</w:t>
      </w:r>
      <w:proofErr w:type="spellEnd"/>
      <w:r w:rsidRPr="00CB589A">
        <w:rPr>
          <w:rFonts w:ascii="Century Gothic" w:eastAsia="Times New Roman" w:hAnsi="Century Gothic" w:cs="Times New Roman"/>
          <w:color w:val="000000"/>
        </w:rPr>
        <w:t xml:space="preserve">. BOEM emissions inventories include monthly emissions data collected from OCU oil and gas production platform (e.g. diesel and natural gas engines, flares, drilling equipment, etc.) and non-platform (e.g. drilling rigs, pipe laying vessels, helicopters, etc.) sources. </w:t>
      </w:r>
      <w:proofErr w:type="spellStart"/>
      <w:r w:rsidRPr="00CB589A">
        <w:rPr>
          <w:rFonts w:ascii="Century Gothic" w:eastAsia="Times New Roman" w:hAnsi="Century Gothic" w:cs="Times New Roman"/>
          <w:color w:val="000000"/>
        </w:rPr>
        <w:t>Gulfwide</w:t>
      </w:r>
      <w:proofErr w:type="spellEnd"/>
      <w:r w:rsidRPr="00CB589A">
        <w:rPr>
          <w:rFonts w:ascii="Century Gothic" w:eastAsia="Times New Roman" w:hAnsi="Century Gothic" w:cs="Times New Roman"/>
          <w:color w:val="000000"/>
        </w:rPr>
        <w:t xml:space="preserve"> Emissions Inventory reports were compiled for the years 2000, 2005, 2008, and 2011 and contain information for a number of criteria pollutants and greenhouse gasses including PM 2.5,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and SO</w:t>
      </w:r>
      <w:r w:rsidRPr="00CB589A">
        <w:rPr>
          <w:rFonts w:ascii="Century Gothic" w:eastAsia="Times New Roman" w:hAnsi="Century Gothic" w:cs="Times New Roman"/>
          <w:color w:val="000000"/>
          <w:vertAlign w:val="subscript"/>
        </w:rPr>
        <w:t>2</w:t>
      </w:r>
      <w:r w:rsidR="0027003E">
        <w:rPr>
          <w:rFonts w:ascii="Century Gothic" w:eastAsia="Times New Roman" w:hAnsi="Century Gothic" w:cs="Times New Roman"/>
          <w:color w:val="000000"/>
        </w:rPr>
        <w:t>.</w:t>
      </w:r>
      <w:r w:rsidRPr="00CB589A">
        <w:rPr>
          <w:rFonts w:ascii="Century Gothic" w:eastAsia="Times New Roman" w:hAnsi="Century Gothic" w:cs="Times New Roman"/>
          <w:color w:val="000000"/>
        </w:rPr>
        <w:t> Data were obtained in Microsoft Access format, where data were then filtered and joined together to identify emissions for the pollutants of concern for this study. Data provided by these inventories reported in the units of pounds or tons per year and was then exported into Microsoft Excel for upload into ArcGIS.</w:t>
      </w:r>
    </w:p>
    <w:p w14:paraId="0717B6DB" w14:textId="77777777" w:rsidR="00CB589A" w:rsidRPr="00CB589A" w:rsidRDefault="00CB589A" w:rsidP="00CB589A">
      <w:pPr>
        <w:spacing w:after="0" w:line="240" w:lineRule="auto"/>
        <w:rPr>
          <w:rFonts w:ascii="Century Gothic" w:eastAsia="Times New Roman" w:hAnsi="Century Gothic" w:cs="Times New Roman"/>
        </w:rPr>
      </w:pPr>
    </w:p>
    <w:p w14:paraId="33CE9DA4"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There are approximately 200 on ground EPA data monitoring sites within the study area that measure the air pollution concentrations of PM 2.5,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SO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These sites are unevenly distributed and are concentrated near major urban areas within the study area (i.e. Houston, TX and New Orleans, LA). Data from the EPA’s Monitor Values Report were downloaded to the years corresponding to BOEM’s </w:t>
      </w:r>
      <w:proofErr w:type="spellStart"/>
      <w:r w:rsidRPr="00CB589A">
        <w:rPr>
          <w:rFonts w:ascii="Century Gothic" w:eastAsia="Times New Roman" w:hAnsi="Century Gothic" w:cs="Times New Roman"/>
          <w:color w:val="000000"/>
        </w:rPr>
        <w:t>Gulfwide</w:t>
      </w:r>
      <w:proofErr w:type="spellEnd"/>
      <w:r w:rsidRPr="00CB589A">
        <w:rPr>
          <w:rFonts w:ascii="Century Gothic" w:eastAsia="Times New Roman" w:hAnsi="Century Gothic" w:cs="Times New Roman"/>
          <w:color w:val="000000"/>
        </w:rPr>
        <w:t xml:space="preserve"> Emissions Inventories. Daily and annual summary data were extracted for dates identified with high atmospheric pollutant concentrations as shown in L3 and L2 satellite data products. </w:t>
      </w:r>
    </w:p>
    <w:p w14:paraId="18826B41" w14:textId="77777777" w:rsidR="00CB589A" w:rsidRPr="00CB589A" w:rsidRDefault="00CB589A" w:rsidP="00CB589A">
      <w:pPr>
        <w:spacing w:after="0" w:line="240" w:lineRule="auto"/>
        <w:rPr>
          <w:rFonts w:ascii="Century Gothic" w:eastAsia="Times New Roman" w:hAnsi="Century Gothic" w:cs="Times New Roman"/>
        </w:rPr>
      </w:pPr>
    </w:p>
    <w:p w14:paraId="5E596BD0" w14:textId="3750716C" w:rsidR="00CB589A" w:rsidRPr="00CB589A" w:rsidRDefault="00CB589A" w:rsidP="00CB589A">
      <w:pPr>
        <w:spacing w:after="0" w:line="240" w:lineRule="auto"/>
        <w:rPr>
          <w:rFonts w:ascii="Times New Roman" w:eastAsia="Times New Roman" w:hAnsi="Times New Roman" w:cs="Times New Roman"/>
          <w:sz w:val="24"/>
          <w:szCs w:val="24"/>
        </w:rPr>
      </w:pPr>
      <w:r w:rsidRPr="00CB589A">
        <w:rPr>
          <w:rFonts w:ascii="Century Gothic" w:eastAsia="Times New Roman" w:hAnsi="Century Gothic" w:cs="Times New Roman"/>
          <w:color w:val="000000"/>
        </w:rPr>
        <w:lastRenderedPageBreak/>
        <w:t>NASA’s Aerosol Robotic Network (AERONET) data were used to</w:t>
      </w:r>
      <w:r>
        <w:rPr>
          <w:rFonts w:ascii="Century Gothic" w:eastAsia="Times New Roman" w:hAnsi="Century Gothic" w:cs="Times New Roman"/>
          <w:color w:val="000000"/>
        </w:rPr>
        <w:t xml:space="preserve"> validate of satellite data.</w:t>
      </w:r>
    </w:p>
    <w:p w14:paraId="1F53876F" w14:textId="77777777" w:rsidR="00E41324" w:rsidRPr="00B265D9" w:rsidRDefault="008B7071" w:rsidP="00D3013B">
      <w:pPr>
        <w:pStyle w:val="Heading1"/>
        <w:rPr>
          <w:rFonts w:ascii="Century Gothic" w:hAnsi="Century Gothic"/>
        </w:rPr>
      </w:pPr>
      <w:bookmarkStart w:id="4" w:name="_Toc334198730"/>
      <w:bookmarkEnd w:id="3"/>
      <w:r>
        <w:rPr>
          <w:rFonts w:ascii="Century Gothic" w:hAnsi="Century Gothic"/>
        </w:rPr>
        <w:t xml:space="preserve">IV. </w:t>
      </w:r>
      <w:r w:rsidR="00E41324" w:rsidRPr="00B265D9">
        <w:rPr>
          <w:rFonts w:ascii="Century Gothic" w:hAnsi="Century Gothic"/>
        </w:rPr>
        <w:t>Results</w:t>
      </w:r>
      <w:bookmarkEnd w:id="4"/>
      <w:r w:rsidR="001F1328">
        <w:rPr>
          <w:rFonts w:ascii="Century Gothic" w:hAnsi="Century Gothic"/>
        </w:rPr>
        <w:t xml:space="preserve"> &amp; Discussion</w:t>
      </w:r>
    </w:p>
    <w:p w14:paraId="46EB17D4" w14:textId="77777777" w:rsidR="008434F3" w:rsidRDefault="008434F3" w:rsidP="008975BD">
      <w:pPr>
        <w:spacing w:after="0" w:line="240" w:lineRule="auto"/>
        <w:rPr>
          <w:rFonts w:ascii="Century Gothic" w:hAnsi="Century Gothic"/>
          <w:color w:val="FF0000"/>
          <w:szCs w:val="24"/>
        </w:rPr>
      </w:pPr>
      <w:r>
        <w:rPr>
          <w:rFonts w:ascii="Century Gothic" w:hAnsi="Century Gothic"/>
          <w:color w:val="FF0000"/>
          <w:szCs w:val="24"/>
        </w:rPr>
        <w:t xml:space="preserve">[In Progress] </w:t>
      </w:r>
    </w:p>
    <w:p w14:paraId="241C176D" w14:textId="77777777" w:rsidR="00CB589A" w:rsidRDefault="00CB589A" w:rsidP="008975BD">
      <w:pPr>
        <w:spacing w:after="0" w:line="240" w:lineRule="auto"/>
        <w:rPr>
          <w:rFonts w:ascii="Century Gothic" w:hAnsi="Century Gothic"/>
          <w:i/>
          <w:szCs w:val="24"/>
        </w:rPr>
      </w:pPr>
    </w:p>
    <w:p w14:paraId="3DFE582E" w14:textId="7A3CFBB9" w:rsidR="008434F3" w:rsidRPr="008434F3" w:rsidRDefault="008434F3" w:rsidP="008975BD">
      <w:pPr>
        <w:spacing w:after="0" w:line="240" w:lineRule="auto"/>
        <w:rPr>
          <w:rFonts w:ascii="Century Gothic" w:hAnsi="Century Gothic"/>
          <w:i/>
          <w:szCs w:val="24"/>
        </w:rPr>
      </w:pPr>
      <w:r w:rsidRPr="008434F3">
        <w:rPr>
          <w:rFonts w:ascii="Century Gothic" w:hAnsi="Century Gothic"/>
          <w:i/>
          <w:szCs w:val="24"/>
        </w:rPr>
        <w:t>Aerosol Optical Depth - AOD</w:t>
      </w:r>
    </w:p>
    <w:p w14:paraId="0BC5239D" w14:textId="77777777" w:rsidR="008434F3" w:rsidRPr="008434F3" w:rsidRDefault="008434F3" w:rsidP="008434F3">
      <w:pPr>
        <w:pStyle w:val="NormalWeb"/>
        <w:spacing w:before="0" w:beforeAutospacing="0" w:after="0" w:afterAutospacing="0"/>
        <w:rPr>
          <w:rFonts w:ascii="Century Gothic" w:hAnsi="Century Gothic"/>
        </w:rPr>
      </w:pPr>
      <w:r>
        <w:t> </w:t>
      </w:r>
      <w:r w:rsidRPr="008434F3">
        <w:rPr>
          <w:rFonts w:ascii="Century Gothic" w:hAnsi="Century Gothic" w:cs="Arial"/>
          <w:noProof/>
          <w:color w:val="000000"/>
        </w:rPr>
        <w:drawing>
          <wp:inline distT="0" distB="0" distL="0" distR="0" wp14:anchorId="0964805D" wp14:editId="7507B5EB">
            <wp:extent cx="5943600" cy="3114675"/>
            <wp:effectExtent l="0" t="0" r="0" b="9525"/>
            <wp:docPr id="2" name="Picture 2" descr="GIOVANNI-outputVIFMXP3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OVANNI-outputVIFMXP3q.png"/>
                    <pic:cNvPicPr>
                      <a:picLocks noChangeAspect="1" noChangeArrowheads="1"/>
                    </pic:cNvPicPr>
                  </pic:nvPicPr>
                  <pic:blipFill rotWithShape="1">
                    <a:blip r:embed="rId12">
                      <a:extLst>
                        <a:ext uri="{28A0092B-C50C-407E-A947-70E740481C1C}">
                          <a14:useLocalDpi xmlns:a14="http://schemas.microsoft.com/office/drawing/2010/main" val="0"/>
                        </a:ext>
                      </a:extLst>
                    </a:blip>
                    <a:srcRect b="6838"/>
                    <a:stretch/>
                  </pic:blipFill>
                  <pic:spPr bwMode="auto">
                    <a:xfrm>
                      <a:off x="0" y="0"/>
                      <a:ext cx="5943600" cy="3114675"/>
                    </a:xfrm>
                    <a:prstGeom prst="rect">
                      <a:avLst/>
                    </a:prstGeom>
                    <a:noFill/>
                    <a:ln>
                      <a:noFill/>
                    </a:ln>
                    <a:extLst>
                      <a:ext uri="{53640926-AAD7-44D8-BBD7-CCE9431645EC}">
                        <a14:shadowObscured xmlns:a14="http://schemas.microsoft.com/office/drawing/2010/main"/>
                      </a:ext>
                    </a:extLst>
                  </pic:spPr>
                </pic:pic>
              </a:graphicData>
            </a:graphic>
          </wp:inline>
        </w:drawing>
      </w:r>
      <w:r w:rsidRPr="008434F3">
        <w:rPr>
          <w:rFonts w:ascii="Century Gothic" w:hAnsi="Century Gothic" w:cs="Arial"/>
          <w:color w:val="000000"/>
          <w:sz w:val="20"/>
          <w:szCs w:val="20"/>
        </w:rPr>
        <w:t>Figure 2.GIOVANNI area-averaged time series of the Level-3 AOD data product from March 2000 to December 2015.</w:t>
      </w:r>
    </w:p>
    <w:p w14:paraId="24F3F0FD" w14:textId="77777777" w:rsidR="008434F3" w:rsidRPr="008434F3" w:rsidRDefault="008434F3" w:rsidP="008434F3">
      <w:pPr>
        <w:spacing w:after="0" w:line="240" w:lineRule="auto"/>
        <w:rPr>
          <w:rFonts w:ascii="Times New Roman" w:eastAsia="Times New Roman" w:hAnsi="Times New Roman" w:cs="Times New Roman"/>
          <w:sz w:val="24"/>
          <w:szCs w:val="24"/>
        </w:rPr>
      </w:pPr>
    </w:p>
    <w:p w14:paraId="64B7FDC9" w14:textId="77777777" w:rsidR="008434F3" w:rsidRDefault="008434F3" w:rsidP="008434F3">
      <w:pPr>
        <w:spacing w:after="0" w:line="240" w:lineRule="auto"/>
        <w:rPr>
          <w:rFonts w:ascii="Century Gothic" w:eastAsia="Times New Roman" w:hAnsi="Century Gothic" w:cs="Arial"/>
          <w:i/>
          <w:color w:val="000000"/>
        </w:rPr>
      </w:pPr>
    </w:p>
    <w:p w14:paraId="64BB663F" w14:textId="77777777" w:rsidR="00CB589A" w:rsidRDefault="00CB589A" w:rsidP="008434F3">
      <w:pPr>
        <w:spacing w:after="0" w:line="240" w:lineRule="auto"/>
        <w:rPr>
          <w:rFonts w:ascii="Century Gothic" w:eastAsia="Times New Roman" w:hAnsi="Century Gothic" w:cs="Arial"/>
          <w:i/>
          <w:color w:val="000000"/>
        </w:rPr>
      </w:pPr>
    </w:p>
    <w:p w14:paraId="044E5AD4" w14:textId="77777777" w:rsidR="00CB589A" w:rsidRDefault="00CB589A" w:rsidP="008434F3">
      <w:pPr>
        <w:spacing w:after="0" w:line="240" w:lineRule="auto"/>
        <w:rPr>
          <w:rFonts w:ascii="Century Gothic" w:eastAsia="Times New Roman" w:hAnsi="Century Gothic" w:cs="Arial"/>
          <w:i/>
          <w:color w:val="000000"/>
        </w:rPr>
      </w:pPr>
    </w:p>
    <w:p w14:paraId="4CFF259F" w14:textId="77777777" w:rsidR="00CB589A" w:rsidRDefault="00CB589A" w:rsidP="008434F3">
      <w:pPr>
        <w:spacing w:after="0" w:line="240" w:lineRule="auto"/>
        <w:rPr>
          <w:rFonts w:ascii="Century Gothic" w:eastAsia="Times New Roman" w:hAnsi="Century Gothic" w:cs="Arial"/>
          <w:i/>
          <w:color w:val="000000"/>
        </w:rPr>
      </w:pPr>
    </w:p>
    <w:p w14:paraId="73531DD9" w14:textId="77777777" w:rsidR="00CB589A" w:rsidRDefault="00CB589A" w:rsidP="008434F3">
      <w:pPr>
        <w:spacing w:after="0" w:line="240" w:lineRule="auto"/>
        <w:rPr>
          <w:rFonts w:ascii="Century Gothic" w:eastAsia="Times New Roman" w:hAnsi="Century Gothic" w:cs="Arial"/>
          <w:i/>
          <w:color w:val="000000"/>
        </w:rPr>
      </w:pPr>
    </w:p>
    <w:p w14:paraId="56AD0CE9" w14:textId="77777777" w:rsidR="00CB589A" w:rsidRDefault="00CB589A" w:rsidP="008434F3">
      <w:pPr>
        <w:spacing w:after="0" w:line="240" w:lineRule="auto"/>
        <w:rPr>
          <w:rFonts w:ascii="Century Gothic" w:eastAsia="Times New Roman" w:hAnsi="Century Gothic" w:cs="Arial"/>
          <w:i/>
          <w:color w:val="000000"/>
        </w:rPr>
      </w:pPr>
    </w:p>
    <w:p w14:paraId="47D522E2" w14:textId="77777777" w:rsidR="00CB589A" w:rsidRDefault="00CB589A" w:rsidP="008434F3">
      <w:pPr>
        <w:spacing w:after="0" w:line="240" w:lineRule="auto"/>
        <w:rPr>
          <w:rFonts w:ascii="Century Gothic" w:eastAsia="Times New Roman" w:hAnsi="Century Gothic" w:cs="Arial"/>
          <w:i/>
          <w:color w:val="000000"/>
        </w:rPr>
      </w:pPr>
    </w:p>
    <w:p w14:paraId="56A80294" w14:textId="77777777" w:rsidR="00CB589A" w:rsidRDefault="00CB589A" w:rsidP="008434F3">
      <w:pPr>
        <w:spacing w:after="0" w:line="240" w:lineRule="auto"/>
        <w:rPr>
          <w:rFonts w:ascii="Century Gothic" w:eastAsia="Times New Roman" w:hAnsi="Century Gothic" w:cs="Arial"/>
          <w:i/>
          <w:color w:val="000000"/>
        </w:rPr>
      </w:pPr>
    </w:p>
    <w:p w14:paraId="0677D6BD" w14:textId="77777777" w:rsidR="00CB589A" w:rsidRDefault="00CB589A" w:rsidP="008434F3">
      <w:pPr>
        <w:spacing w:after="0" w:line="240" w:lineRule="auto"/>
        <w:rPr>
          <w:rFonts w:ascii="Century Gothic" w:eastAsia="Times New Roman" w:hAnsi="Century Gothic" w:cs="Arial"/>
          <w:i/>
          <w:color w:val="000000"/>
        </w:rPr>
      </w:pPr>
    </w:p>
    <w:p w14:paraId="3E75C483" w14:textId="77777777" w:rsidR="00CB589A" w:rsidRDefault="00CB589A" w:rsidP="008434F3">
      <w:pPr>
        <w:spacing w:after="0" w:line="240" w:lineRule="auto"/>
        <w:rPr>
          <w:rFonts w:ascii="Century Gothic" w:eastAsia="Times New Roman" w:hAnsi="Century Gothic" w:cs="Arial"/>
          <w:i/>
          <w:color w:val="000000"/>
        </w:rPr>
      </w:pPr>
    </w:p>
    <w:p w14:paraId="4700A3BD" w14:textId="77777777" w:rsidR="00CB589A" w:rsidRDefault="00CB589A" w:rsidP="008434F3">
      <w:pPr>
        <w:spacing w:after="0" w:line="240" w:lineRule="auto"/>
        <w:rPr>
          <w:rFonts w:ascii="Century Gothic" w:eastAsia="Times New Roman" w:hAnsi="Century Gothic" w:cs="Arial"/>
          <w:i/>
          <w:color w:val="000000"/>
        </w:rPr>
      </w:pPr>
    </w:p>
    <w:p w14:paraId="7E9674CE" w14:textId="77777777" w:rsidR="00CB589A" w:rsidRDefault="00CB589A" w:rsidP="008434F3">
      <w:pPr>
        <w:spacing w:after="0" w:line="240" w:lineRule="auto"/>
        <w:rPr>
          <w:rFonts w:ascii="Century Gothic" w:eastAsia="Times New Roman" w:hAnsi="Century Gothic" w:cs="Arial"/>
          <w:i/>
          <w:color w:val="000000"/>
        </w:rPr>
      </w:pPr>
    </w:p>
    <w:p w14:paraId="6D0BF94C" w14:textId="77777777" w:rsidR="00CB589A" w:rsidRDefault="00CB589A" w:rsidP="008434F3">
      <w:pPr>
        <w:spacing w:after="0" w:line="240" w:lineRule="auto"/>
        <w:rPr>
          <w:rFonts w:ascii="Century Gothic" w:eastAsia="Times New Roman" w:hAnsi="Century Gothic" w:cs="Arial"/>
          <w:i/>
          <w:color w:val="000000"/>
        </w:rPr>
      </w:pPr>
    </w:p>
    <w:p w14:paraId="7F67B930" w14:textId="77777777" w:rsidR="00CB589A" w:rsidRDefault="00CB589A" w:rsidP="008434F3">
      <w:pPr>
        <w:spacing w:after="0" w:line="240" w:lineRule="auto"/>
        <w:rPr>
          <w:rFonts w:ascii="Century Gothic" w:eastAsia="Times New Roman" w:hAnsi="Century Gothic" w:cs="Arial"/>
          <w:i/>
          <w:color w:val="000000"/>
        </w:rPr>
      </w:pPr>
    </w:p>
    <w:p w14:paraId="49386BE2" w14:textId="77777777" w:rsidR="00CB589A" w:rsidRDefault="00CB589A" w:rsidP="008434F3">
      <w:pPr>
        <w:spacing w:after="0" w:line="240" w:lineRule="auto"/>
        <w:rPr>
          <w:rFonts w:ascii="Century Gothic" w:eastAsia="Times New Roman" w:hAnsi="Century Gothic" w:cs="Arial"/>
          <w:i/>
          <w:color w:val="000000"/>
        </w:rPr>
      </w:pPr>
    </w:p>
    <w:p w14:paraId="148FAA46" w14:textId="77777777" w:rsidR="00CB589A" w:rsidRDefault="00CB589A" w:rsidP="008434F3">
      <w:pPr>
        <w:spacing w:after="0" w:line="240" w:lineRule="auto"/>
        <w:rPr>
          <w:rFonts w:ascii="Century Gothic" w:eastAsia="Times New Roman" w:hAnsi="Century Gothic" w:cs="Arial"/>
          <w:i/>
          <w:color w:val="000000"/>
        </w:rPr>
      </w:pPr>
    </w:p>
    <w:p w14:paraId="66840BDB" w14:textId="77777777" w:rsidR="00CB589A" w:rsidRDefault="00CB589A" w:rsidP="008434F3">
      <w:pPr>
        <w:spacing w:after="0" w:line="240" w:lineRule="auto"/>
        <w:rPr>
          <w:rFonts w:ascii="Century Gothic" w:eastAsia="Times New Roman" w:hAnsi="Century Gothic" w:cs="Arial"/>
          <w:i/>
          <w:color w:val="000000"/>
        </w:rPr>
      </w:pPr>
    </w:p>
    <w:p w14:paraId="3D70E12B" w14:textId="1091E7D0" w:rsidR="008434F3" w:rsidRPr="008434F3" w:rsidRDefault="008434F3" w:rsidP="008434F3">
      <w:pPr>
        <w:spacing w:after="0" w:line="240" w:lineRule="auto"/>
        <w:rPr>
          <w:rFonts w:ascii="Century Gothic" w:eastAsia="Times New Roman" w:hAnsi="Century Gothic" w:cs="Times New Roman"/>
          <w:i/>
          <w:sz w:val="24"/>
          <w:szCs w:val="24"/>
        </w:rPr>
      </w:pPr>
      <w:r w:rsidRPr="008434F3">
        <w:rPr>
          <w:rFonts w:ascii="Century Gothic" w:eastAsia="Times New Roman" w:hAnsi="Century Gothic" w:cs="Arial"/>
          <w:i/>
          <w:color w:val="000000"/>
        </w:rPr>
        <w:lastRenderedPageBreak/>
        <w:t>Sulfur Dioxide - SO</w:t>
      </w:r>
      <w:r w:rsidRPr="008434F3">
        <w:rPr>
          <w:rFonts w:ascii="Century Gothic" w:eastAsia="Times New Roman" w:hAnsi="Century Gothic" w:cs="Arial"/>
          <w:i/>
          <w:color w:val="000000"/>
          <w:vertAlign w:val="subscript"/>
        </w:rPr>
        <w:t>2</w:t>
      </w:r>
    </w:p>
    <w:p w14:paraId="2E7AFE7F" w14:textId="77777777" w:rsidR="008434F3" w:rsidRPr="008434F3" w:rsidRDefault="008434F3" w:rsidP="008434F3">
      <w:pPr>
        <w:spacing w:after="0" w:line="240" w:lineRule="auto"/>
        <w:rPr>
          <w:rFonts w:ascii="Century Gothic" w:eastAsia="Times New Roman" w:hAnsi="Century Gothic" w:cs="Times New Roman"/>
          <w:sz w:val="24"/>
          <w:szCs w:val="24"/>
        </w:rPr>
      </w:pPr>
    </w:p>
    <w:p w14:paraId="3F8219BD" w14:textId="67607387" w:rsidR="008434F3" w:rsidRPr="008434F3" w:rsidRDefault="008434F3" w:rsidP="008434F3">
      <w:pPr>
        <w:spacing w:after="0" w:line="240" w:lineRule="auto"/>
        <w:rPr>
          <w:rFonts w:ascii="Century Gothic" w:eastAsia="Times New Roman" w:hAnsi="Century Gothic" w:cs="Times New Roman"/>
          <w:sz w:val="24"/>
          <w:szCs w:val="24"/>
        </w:rPr>
      </w:pPr>
      <w:r w:rsidRPr="008434F3">
        <w:rPr>
          <w:rFonts w:ascii="Century Gothic" w:eastAsia="Times New Roman" w:hAnsi="Century Gothic" w:cs="Arial"/>
          <w:noProof/>
          <w:color w:val="000000"/>
        </w:rPr>
        <w:drawing>
          <wp:inline distT="0" distB="0" distL="0" distR="0" wp14:anchorId="0CDE26A8" wp14:editId="31354C2C">
            <wp:extent cx="5943600" cy="2914650"/>
            <wp:effectExtent l="0" t="0" r="0" b="0"/>
            <wp:docPr id="4" name="Picture 4" descr="GIOVANNI-outputbBR_7o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OVANNI-outputbBR_7oHU.png"/>
                    <pic:cNvPicPr>
                      <a:picLocks noChangeAspect="1" noChangeArrowheads="1"/>
                    </pic:cNvPicPr>
                  </pic:nvPicPr>
                  <pic:blipFill rotWithShape="1">
                    <a:blip r:embed="rId13">
                      <a:extLst>
                        <a:ext uri="{28A0092B-C50C-407E-A947-70E740481C1C}">
                          <a14:useLocalDpi xmlns:a14="http://schemas.microsoft.com/office/drawing/2010/main" val="0"/>
                        </a:ext>
                      </a:extLst>
                    </a:blip>
                    <a:srcRect b="6991"/>
                    <a:stretch/>
                  </pic:blipFill>
                  <pic:spPr bwMode="auto">
                    <a:xfrm>
                      <a:off x="0" y="0"/>
                      <a:ext cx="5943600" cy="2914650"/>
                    </a:xfrm>
                    <a:prstGeom prst="rect">
                      <a:avLst/>
                    </a:prstGeom>
                    <a:noFill/>
                    <a:ln>
                      <a:noFill/>
                    </a:ln>
                    <a:extLst>
                      <a:ext uri="{53640926-AAD7-44D8-BBD7-CCE9431645EC}">
                        <a14:shadowObscured xmlns:a14="http://schemas.microsoft.com/office/drawing/2010/main"/>
                      </a:ext>
                    </a:extLst>
                  </pic:spPr>
                </pic:pic>
              </a:graphicData>
            </a:graphic>
          </wp:inline>
        </w:drawing>
      </w:r>
    </w:p>
    <w:p w14:paraId="7D224C10" w14:textId="77777777" w:rsidR="008434F3" w:rsidRPr="008434F3" w:rsidRDefault="008434F3" w:rsidP="008434F3">
      <w:pPr>
        <w:spacing w:after="0" w:line="240" w:lineRule="auto"/>
        <w:rPr>
          <w:rFonts w:ascii="Century Gothic" w:eastAsia="Times New Roman" w:hAnsi="Century Gothic" w:cs="Times New Roman"/>
          <w:sz w:val="20"/>
          <w:szCs w:val="20"/>
        </w:rPr>
      </w:pPr>
      <w:r w:rsidRPr="008434F3">
        <w:rPr>
          <w:rFonts w:ascii="Century Gothic" w:eastAsia="Times New Roman" w:hAnsi="Century Gothic" w:cs="Arial"/>
          <w:color w:val="000000"/>
          <w:sz w:val="20"/>
          <w:szCs w:val="20"/>
        </w:rPr>
        <w:t>Figure 3. GIOVANNI area-averaged time series of the Level-3 SO</w:t>
      </w:r>
      <w:r w:rsidRPr="008434F3">
        <w:rPr>
          <w:rFonts w:ascii="Century Gothic" w:eastAsia="Times New Roman" w:hAnsi="Century Gothic" w:cs="Arial"/>
          <w:color w:val="000000"/>
          <w:sz w:val="20"/>
          <w:szCs w:val="20"/>
          <w:vertAlign w:val="subscript"/>
        </w:rPr>
        <w:t>2</w:t>
      </w:r>
      <w:r w:rsidRPr="008434F3">
        <w:rPr>
          <w:rFonts w:ascii="Century Gothic" w:eastAsia="Times New Roman" w:hAnsi="Century Gothic" w:cs="Arial"/>
          <w:color w:val="000000"/>
          <w:sz w:val="20"/>
          <w:szCs w:val="20"/>
        </w:rPr>
        <w:t xml:space="preserve"> data product from October 2004 to December 2015. </w:t>
      </w:r>
    </w:p>
    <w:p w14:paraId="27CCEAF0" w14:textId="77777777" w:rsidR="008434F3" w:rsidRPr="008434F3" w:rsidRDefault="008434F3" w:rsidP="008434F3">
      <w:pPr>
        <w:spacing w:after="0" w:line="240" w:lineRule="auto"/>
        <w:rPr>
          <w:rFonts w:ascii="Century Gothic" w:eastAsia="Times New Roman" w:hAnsi="Century Gothic" w:cs="Times New Roman"/>
          <w:sz w:val="24"/>
          <w:szCs w:val="24"/>
        </w:rPr>
      </w:pPr>
    </w:p>
    <w:p w14:paraId="7B5DCD07" w14:textId="4876D6ED" w:rsidR="008434F3" w:rsidRPr="008434F3" w:rsidRDefault="008434F3" w:rsidP="008434F3">
      <w:pPr>
        <w:spacing w:after="0" w:line="240" w:lineRule="auto"/>
        <w:rPr>
          <w:rFonts w:ascii="Century Gothic" w:eastAsia="Times New Roman" w:hAnsi="Century Gothic" w:cs="Times New Roman"/>
          <w:i/>
          <w:sz w:val="24"/>
          <w:szCs w:val="24"/>
        </w:rPr>
      </w:pPr>
      <w:r w:rsidRPr="008434F3">
        <w:rPr>
          <w:rFonts w:ascii="Century Gothic" w:eastAsia="Times New Roman" w:hAnsi="Century Gothic" w:cs="Arial"/>
          <w:i/>
          <w:color w:val="000000"/>
        </w:rPr>
        <w:t>Nitrogen Dioxide - NO2</w:t>
      </w:r>
    </w:p>
    <w:p w14:paraId="588F8F8F" w14:textId="2B2821F2" w:rsidR="008434F3" w:rsidRPr="008434F3" w:rsidRDefault="008434F3" w:rsidP="008434F3">
      <w:pPr>
        <w:spacing w:after="0" w:line="240" w:lineRule="auto"/>
        <w:rPr>
          <w:rFonts w:ascii="Century Gothic" w:eastAsia="Times New Roman" w:hAnsi="Century Gothic" w:cs="Times New Roman"/>
          <w:sz w:val="24"/>
          <w:szCs w:val="24"/>
        </w:rPr>
      </w:pPr>
      <w:r w:rsidRPr="008434F3">
        <w:rPr>
          <w:rFonts w:ascii="Century Gothic" w:eastAsia="Times New Roman" w:hAnsi="Century Gothic" w:cs="Arial"/>
          <w:noProof/>
          <w:color w:val="000000"/>
        </w:rPr>
        <w:drawing>
          <wp:inline distT="0" distB="0" distL="0" distR="0" wp14:anchorId="417DA238" wp14:editId="0D1CA9F1">
            <wp:extent cx="5943600" cy="2905125"/>
            <wp:effectExtent l="0" t="0" r="0" b="9525"/>
            <wp:docPr id="3" name="Picture 3" descr="GIOVANNI-outputgJc1KheH_10_04_12_15_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OVANNI-outputgJc1KheH_10_04_12_15_TS.png"/>
                    <pic:cNvPicPr>
                      <a:picLocks noChangeAspect="1" noChangeArrowheads="1"/>
                    </pic:cNvPicPr>
                  </pic:nvPicPr>
                  <pic:blipFill rotWithShape="1">
                    <a:blip r:embed="rId14">
                      <a:extLst>
                        <a:ext uri="{28A0092B-C50C-407E-A947-70E740481C1C}">
                          <a14:useLocalDpi xmlns:a14="http://schemas.microsoft.com/office/drawing/2010/main" val="0"/>
                        </a:ext>
                      </a:extLst>
                    </a:blip>
                    <a:srcRect b="6154"/>
                    <a:stretch/>
                  </pic:blipFill>
                  <pic:spPr bwMode="auto">
                    <a:xfrm>
                      <a:off x="0" y="0"/>
                      <a:ext cx="5943600" cy="2905125"/>
                    </a:xfrm>
                    <a:prstGeom prst="rect">
                      <a:avLst/>
                    </a:prstGeom>
                    <a:noFill/>
                    <a:ln>
                      <a:noFill/>
                    </a:ln>
                    <a:extLst>
                      <a:ext uri="{53640926-AAD7-44D8-BBD7-CCE9431645EC}">
                        <a14:shadowObscured xmlns:a14="http://schemas.microsoft.com/office/drawing/2010/main"/>
                      </a:ext>
                    </a:extLst>
                  </pic:spPr>
                </pic:pic>
              </a:graphicData>
            </a:graphic>
          </wp:inline>
        </w:drawing>
      </w:r>
    </w:p>
    <w:p w14:paraId="16835145" w14:textId="77777777" w:rsidR="008434F3" w:rsidRPr="008434F3" w:rsidRDefault="008434F3" w:rsidP="008434F3">
      <w:pPr>
        <w:spacing w:after="0" w:line="240" w:lineRule="auto"/>
        <w:rPr>
          <w:rFonts w:ascii="Times New Roman" w:eastAsia="Times New Roman" w:hAnsi="Times New Roman" w:cs="Times New Roman"/>
          <w:sz w:val="20"/>
          <w:szCs w:val="20"/>
        </w:rPr>
      </w:pPr>
      <w:r w:rsidRPr="008434F3">
        <w:rPr>
          <w:rFonts w:ascii="Century Gothic" w:eastAsia="Times New Roman" w:hAnsi="Century Gothic" w:cs="Arial"/>
          <w:color w:val="000000"/>
          <w:sz w:val="20"/>
          <w:szCs w:val="20"/>
        </w:rPr>
        <w:t>Figure 4. GIOVANNI area-averaged time series of the Level-3 NO</w:t>
      </w:r>
      <w:r w:rsidRPr="008434F3">
        <w:rPr>
          <w:rFonts w:ascii="Century Gothic" w:eastAsia="Times New Roman" w:hAnsi="Century Gothic" w:cs="Arial"/>
          <w:color w:val="000000"/>
          <w:sz w:val="20"/>
          <w:szCs w:val="20"/>
          <w:vertAlign w:val="subscript"/>
        </w:rPr>
        <w:t>2</w:t>
      </w:r>
      <w:r w:rsidRPr="008434F3">
        <w:rPr>
          <w:rFonts w:ascii="Century Gothic" w:eastAsia="Times New Roman" w:hAnsi="Century Gothic" w:cs="Arial"/>
          <w:color w:val="000000"/>
          <w:sz w:val="20"/>
          <w:szCs w:val="20"/>
        </w:rPr>
        <w:t xml:space="preserve"> data product from October 2004 to December 2015.</w:t>
      </w:r>
      <w:r w:rsidRPr="008434F3">
        <w:rPr>
          <w:rFonts w:ascii="Arial" w:eastAsia="Times New Roman" w:hAnsi="Arial" w:cs="Arial"/>
          <w:color w:val="000000"/>
          <w:sz w:val="20"/>
          <w:szCs w:val="20"/>
        </w:rPr>
        <w:t xml:space="preserve">  </w:t>
      </w:r>
    </w:p>
    <w:p w14:paraId="2177AADA" w14:textId="77777777" w:rsidR="00E41324" w:rsidRPr="00B265D9" w:rsidRDefault="008B7071" w:rsidP="00D3013B">
      <w:pPr>
        <w:pStyle w:val="Heading1"/>
        <w:rPr>
          <w:rFonts w:ascii="Century Gothic" w:hAnsi="Century Gothic"/>
        </w:rPr>
      </w:pPr>
      <w:bookmarkStart w:id="5" w:name="_Toc334198735"/>
      <w:r>
        <w:rPr>
          <w:rFonts w:ascii="Century Gothic" w:hAnsi="Century Gothic"/>
        </w:rPr>
        <w:t xml:space="preserve">V. </w:t>
      </w:r>
      <w:r w:rsidR="00E41324" w:rsidRPr="00B265D9">
        <w:rPr>
          <w:rFonts w:ascii="Century Gothic" w:hAnsi="Century Gothic"/>
        </w:rPr>
        <w:t>Conclusions</w:t>
      </w:r>
      <w:bookmarkEnd w:id="5"/>
    </w:p>
    <w:p w14:paraId="06E22013" w14:textId="77777777" w:rsidR="00E41324"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18F3865D" w14:textId="77777777" w:rsidR="008434F3" w:rsidRDefault="008434F3" w:rsidP="008434F3">
      <w:pPr>
        <w:spacing w:after="0" w:line="240" w:lineRule="auto"/>
        <w:rPr>
          <w:rFonts w:ascii="Century Gothic" w:hAnsi="Century Gothic"/>
          <w:color w:val="FF0000"/>
          <w:szCs w:val="24"/>
        </w:rPr>
      </w:pPr>
      <w:r>
        <w:rPr>
          <w:rFonts w:ascii="Century Gothic" w:hAnsi="Century Gothic"/>
          <w:color w:val="FF0000"/>
          <w:szCs w:val="24"/>
        </w:rPr>
        <w:t xml:space="preserve">[In Progress] </w:t>
      </w:r>
    </w:p>
    <w:p w14:paraId="2BF53931" w14:textId="77777777" w:rsidR="00E41324" w:rsidRPr="00B265D9" w:rsidRDefault="008B7071" w:rsidP="00D3013B">
      <w:pPr>
        <w:pStyle w:val="Heading1"/>
        <w:rPr>
          <w:rFonts w:ascii="Century Gothic" w:hAnsi="Century Gothic"/>
        </w:rPr>
      </w:pPr>
      <w:bookmarkStart w:id="6" w:name="_Toc334198736"/>
      <w:r>
        <w:rPr>
          <w:rFonts w:ascii="Century Gothic" w:hAnsi="Century Gothic"/>
        </w:rPr>
        <w:lastRenderedPageBreak/>
        <w:t xml:space="preserve">VI. </w:t>
      </w:r>
      <w:r w:rsidR="00E41324" w:rsidRPr="00B265D9">
        <w:rPr>
          <w:rFonts w:ascii="Century Gothic" w:hAnsi="Century Gothic"/>
        </w:rPr>
        <w:t>Acknowledgments</w:t>
      </w:r>
      <w:bookmarkEnd w:id="6"/>
    </w:p>
    <w:p w14:paraId="79688FF0" w14:textId="77777777" w:rsidR="008434F3" w:rsidRPr="008434F3" w:rsidRDefault="008434F3" w:rsidP="008434F3">
      <w:pPr>
        <w:numPr>
          <w:ilvl w:val="0"/>
          <w:numId w:val="6"/>
        </w:numPr>
        <w:spacing w:after="0" w:line="240" w:lineRule="auto"/>
        <w:textAlignment w:val="baseline"/>
        <w:rPr>
          <w:rFonts w:ascii="Century Gothic" w:eastAsia="Times New Roman" w:hAnsi="Century Gothic" w:cs="Times New Roman"/>
          <w:color w:val="000000"/>
        </w:rPr>
      </w:pPr>
      <w:r w:rsidRPr="008434F3">
        <w:rPr>
          <w:rFonts w:ascii="Century Gothic" w:eastAsia="Times New Roman" w:hAnsi="Century Gothic" w:cs="Times New Roman"/>
          <w:color w:val="000000"/>
        </w:rPr>
        <w:t>Dr. Robert Levy</w:t>
      </w:r>
    </w:p>
    <w:p w14:paraId="3B66D9E8" w14:textId="77777777" w:rsidR="008434F3" w:rsidRPr="008434F3" w:rsidRDefault="008434F3" w:rsidP="008434F3">
      <w:pPr>
        <w:numPr>
          <w:ilvl w:val="0"/>
          <w:numId w:val="6"/>
        </w:numPr>
        <w:spacing w:after="0" w:line="240" w:lineRule="auto"/>
        <w:textAlignment w:val="baseline"/>
        <w:rPr>
          <w:rFonts w:ascii="Century Gothic" w:eastAsia="Times New Roman" w:hAnsi="Century Gothic" w:cs="Times New Roman"/>
          <w:color w:val="000000"/>
        </w:rPr>
      </w:pPr>
      <w:r w:rsidRPr="008434F3">
        <w:rPr>
          <w:rFonts w:ascii="Century Gothic" w:eastAsia="Times New Roman" w:hAnsi="Century Gothic" w:cs="Times New Roman"/>
          <w:color w:val="000000"/>
        </w:rPr>
        <w:t>Dr. Pawan Gupta</w:t>
      </w:r>
    </w:p>
    <w:p w14:paraId="73C26C86" w14:textId="77777777" w:rsidR="008434F3" w:rsidRPr="008434F3" w:rsidRDefault="008434F3" w:rsidP="008434F3">
      <w:pPr>
        <w:numPr>
          <w:ilvl w:val="0"/>
          <w:numId w:val="6"/>
        </w:numPr>
        <w:spacing w:after="0" w:line="240" w:lineRule="auto"/>
        <w:textAlignment w:val="baseline"/>
        <w:rPr>
          <w:rFonts w:ascii="Century Gothic" w:eastAsia="Times New Roman" w:hAnsi="Century Gothic" w:cs="Times New Roman"/>
          <w:color w:val="000000"/>
        </w:rPr>
      </w:pPr>
      <w:r w:rsidRPr="008434F3">
        <w:rPr>
          <w:rFonts w:ascii="Century Gothic" w:eastAsia="Times New Roman" w:hAnsi="Century Gothic" w:cs="Times New Roman"/>
          <w:color w:val="000000"/>
        </w:rPr>
        <w:t>Dr. Bryan Duncan</w:t>
      </w:r>
    </w:p>
    <w:p w14:paraId="04CA4951" w14:textId="77777777" w:rsidR="008434F3" w:rsidRPr="008434F3" w:rsidRDefault="008434F3" w:rsidP="008434F3">
      <w:pPr>
        <w:numPr>
          <w:ilvl w:val="0"/>
          <w:numId w:val="6"/>
        </w:numPr>
        <w:spacing w:after="0" w:line="240" w:lineRule="auto"/>
        <w:textAlignment w:val="baseline"/>
        <w:rPr>
          <w:rFonts w:ascii="Century Gothic" w:eastAsia="Times New Roman" w:hAnsi="Century Gothic" w:cs="Times New Roman"/>
          <w:color w:val="000000"/>
        </w:rPr>
      </w:pPr>
      <w:r w:rsidRPr="008434F3">
        <w:rPr>
          <w:rFonts w:ascii="Century Gothic" w:eastAsia="Times New Roman" w:hAnsi="Century Gothic" w:cs="Times New Roman"/>
          <w:color w:val="000000"/>
        </w:rPr>
        <w:t>Dr. Lok Lamsal</w:t>
      </w:r>
    </w:p>
    <w:p w14:paraId="5F6B6CFC" w14:textId="77777777" w:rsidR="008434F3" w:rsidRPr="008434F3" w:rsidRDefault="008434F3" w:rsidP="008434F3">
      <w:pPr>
        <w:numPr>
          <w:ilvl w:val="0"/>
          <w:numId w:val="6"/>
        </w:numPr>
        <w:spacing w:before="100" w:beforeAutospacing="1" w:after="100" w:afterAutospacing="1" w:line="240" w:lineRule="auto"/>
        <w:textAlignment w:val="baseline"/>
        <w:rPr>
          <w:rFonts w:ascii="Century Gothic" w:eastAsia="Times New Roman" w:hAnsi="Century Gothic" w:cs="Times New Roman"/>
          <w:color w:val="000000"/>
        </w:rPr>
      </w:pPr>
      <w:r w:rsidRPr="008434F3">
        <w:rPr>
          <w:rFonts w:ascii="Century Gothic" w:eastAsia="Times New Roman" w:hAnsi="Century Gothic" w:cs="Times New Roman"/>
          <w:color w:val="000000"/>
        </w:rPr>
        <w:t>Dr. Nickolay Krotkov</w:t>
      </w:r>
    </w:p>
    <w:p w14:paraId="108F742C" w14:textId="77777777" w:rsidR="00FC670A" w:rsidRDefault="00FC670A" w:rsidP="008975BD">
      <w:pPr>
        <w:spacing w:after="0" w:line="240" w:lineRule="auto"/>
        <w:rPr>
          <w:rFonts w:ascii="Century Gothic" w:hAnsi="Century Gothic"/>
          <w:szCs w:val="24"/>
        </w:rPr>
      </w:pPr>
      <w:commentRangeStart w:id="7"/>
      <w:r w:rsidRPr="00FC670A">
        <w:rPr>
          <w:rFonts w:ascii="Century Gothic" w:hAnsi="Century Gothic"/>
          <w:szCs w:val="24"/>
        </w:rPr>
        <w:t xml:space="preserve">This material </w:t>
      </w:r>
      <w:commentRangeEnd w:id="7"/>
      <w:r>
        <w:rPr>
          <w:rStyle w:val="CommentReference"/>
        </w:rPr>
        <w:commentReference w:id="7"/>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3B9CED36" w14:textId="77777777" w:rsidR="0057510D" w:rsidRDefault="008B7071" w:rsidP="0057510D">
      <w:pPr>
        <w:pStyle w:val="Heading1"/>
        <w:rPr>
          <w:rFonts w:ascii="Century Gothic" w:hAnsi="Century Gothic"/>
        </w:rPr>
      </w:pPr>
      <w:bookmarkStart w:id="8" w:name="_Toc334198737"/>
      <w:r>
        <w:rPr>
          <w:rFonts w:ascii="Century Gothic" w:hAnsi="Century Gothic"/>
        </w:rPr>
        <w:t xml:space="preserve">VII. </w:t>
      </w:r>
      <w:r w:rsidR="00E41324" w:rsidRPr="00B265D9">
        <w:rPr>
          <w:rFonts w:ascii="Century Gothic" w:hAnsi="Century Gothic"/>
        </w:rPr>
        <w:t>References</w:t>
      </w:r>
      <w:bookmarkEnd w:id="8"/>
    </w:p>
    <w:p w14:paraId="1F91FEFD" w14:textId="0E450CDB" w:rsidR="0057510D" w:rsidRPr="0057510D" w:rsidRDefault="0057510D" w:rsidP="0057510D">
      <w:pPr>
        <w:pStyle w:val="Heading1"/>
        <w:spacing w:before="0" w:line="240" w:lineRule="auto"/>
        <w:rPr>
          <w:rFonts w:ascii="Century Gothic" w:hAnsi="Century Gothic"/>
        </w:rPr>
      </w:pPr>
      <w:r>
        <w:rPr>
          <w:rFonts w:ascii="Century Gothic" w:hAnsi="Century Gothic"/>
          <w:b w:val="0"/>
          <w:bCs w:val="0"/>
          <w:color w:val="000000"/>
          <w:sz w:val="22"/>
          <w:szCs w:val="22"/>
          <w:shd w:val="clear" w:color="auto" w:fill="FFFFFF"/>
        </w:rPr>
        <w:t>A</w:t>
      </w:r>
      <w:r w:rsidRPr="0057510D">
        <w:rPr>
          <w:rFonts w:ascii="Century Gothic" w:hAnsi="Century Gothic"/>
          <w:b w:val="0"/>
          <w:bCs w:val="0"/>
          <w:color w:val="000000"/>
          <w:sz w:val="22"/>
          <w:szCs w:val="22"/>
          <w:shd w:val="clear" w:color="auto" w:fill="FFFFFF"/>
        </w:rPr>
        <w:t xml:space="preserve">cker, J. G., and </w:t>
      </w:r>
      <w:proofErr w:type="spellStart"/>
      <w:r w:rsidRPr="0057510D">
        <w:rPr>
          <w:rFonts w:ascii="Century Gothic" w:hAnsi="Century Gothic"/>
          <w:b w:val="0"/>
          <w:bCs w:val="0"/>
          <w:color w:val="000000"/>
          <w:sz w:val="22"/>
          <w:szCs w:val="22"/>
          <w:shd w:val="clear" w:color="auto" w:fill="FFFFFF"/>
        </w:rPr>
        <w:t>Leptoukh</w:t>
      </w:r>
      <w:proofErr w:type="spellEnd"/>
      <w:r w:rsidRPr="0057510D">
        <w:rPr>
          <w:rFonts w:ascii="Century Gothic" w:hAnsi="Century Gothic"/>
          <w:b w:val="0"/>
          <w:bCs w:val="0"/>
          <w:color w:val="000000"/>
          <w:sz w:val="22"/>
          <w:szCs w:val="22"/>
          <w:shd w:val="clear" w:color="auto" w:fill="FFFFFF"/>
        </w:rPr>
        <w:t xml:space="preserve">, G. (2007). Online analysis enhances use of NASA Earth science data. </w:t>
      </w:r>
      <w:r w:rsidRPr="0057510D">
        <w:rPr>
          <w:rFonts w:ascii="Century Gothic" w:hAnsi="Century Gothic"/>
          <w:b w:val="0"/>
          <w:bCs w:val="0"/>
          <w:i/>
          <w:iCs/>
          <w:color w:val="000000"/>
          <w:sz w:val="22"/>
          <w:szCs w:val="22"/>
          <w:shd w:val="clear" w:color="auto" w:fill="FFFFFF"/>
        </w:rPr>
        <w:t>Eos, Transactions American Geophysical Union, 88</w:t>
      </w:r>
      <w:r w:rsidRPr="0057510D">
        <w:rPr>
          <w:rFonts w:ascii="Century Gothic" w:hAnsi="Century Gothic"/>
          <w:b w:val="0"/>
          <w:bCs w:val="0"/>
          <w:color w:val="000000"/>
          <w:sz w:val="22"/>
          <w:szCs w:val="22"/>
          <w:shd w:val="clear" w:color="auto" w:fill="FFFFFF"/>
        </w:rPr>
        <w:t>(2), 14 and 17.</w:t>
      </w:r>
    </w:p>
    <w:p w14:paraId="3EEFED94" w14:textId="77777777" w:rsidR="0057510D" w:rsidRPr="0057510D" w:rsidRDefault="0057510D" w:rsidP="0057510D">
      <w:pPr>
        <w:pStyle w:val="Heading1"/>
        <w:spacing w:before="160" w:after="160"/>
        <w:rPr>
          <w:rFonts w:ascii="Century Gothic" w:hAnsi="Century Gothic"/>
        </w:rPr>
      </w:pPr>
      <w:r w:rsidRPr="0057510D">
        <w:rPr>
          <w:rFonts w:ascii="Century Gothic" w:hAnsi="Century Gothic"/>
          <w:b w:val="0"/>
          <w:bCs w:val="0"/>
          <w:color w:val="333333"/>
          <w:sz w:val="22"/>
          <w:szCs w:val="22"/>
          <w:shd w:val="clear" w:color="auto" w:fill="FFFFFF"/>
        </w:rPr>
        <w:t xml:space="preserve">Anderson, J.O., </w:t>
      </w:r>
      <w:proofErr w:type="spellStart"/>
      <w:r w:rsidRPr="0057510D">
        <w:rPr>
          <w:rFonts w:ascii="Century Gothic" w:hAnsi="Century Gothic"/>
          <w:b w:val="0"/>
          <w:bCs w:val="0"/>
          <w:color w:val="333333"/>
          <w:sz w:val="22"/>
          <w:szCs w:val="22"/>
          <w:shd w:val="clear" w:color="auto" w:fill="FFFFFF"/>
        </w:rPr>
        <w:t>Thundiyil</w:t>
      </w:r>
      <w:proofErr w:type="spellEnd"/>
      <w:r w:rsidRPr="0057510D">
        <w:rPr>
          <w:rFonts w:ascii="Century Gothic" w:hAnsi="Century Gothic"/>
          <w:b w:val="0"/>
          <w:bCs w:val="0"/>
          <w:color w:val="333333"/>
          <w:sz w:val="22"/>
          <w:szCs w:val="22"/>
          <w:shd w:val="clear" w:color="auto" w:fill="FFFFFF"/>
        </w:rPr>
        <w:t xml:space="preserve">, J.G., and </w:t>
      </w:r>
      <w:proofErr w:type="spellStart"/>
      <w:r w:rsidRPr="0057510D">
        <w:rPr>
          <w:rFonts w:ascii="Century Gothic" w:hAnsi="Century Gothic"/>
          <w:b w:val="0"/>
          <w:bCs w:val="0"/>
          <w:color w:val="333333"/>
          <w:sz w:val="22"/>
          <w:szCs w:val="22"/>
          <w:shd w:val="clear" w:color="auto" w:fill="FFFFFF"/>
        </w:rPr>
        <w:t>Stolbach</w:t>
      </w:r>
      <w:proofErr w:type="spellEnd"/>
      <w:r w:rsidRPr="0057510D">
        <w:rPr>
          <w:rFonts w:ascii="Century Gothic" w:hAnsi="Century Gothic"/>
          <w:b w:val="0"/>
          <w:bCs w:val="0"/>
          <w:color w:val="333333"/>
          <w:sz w:val="22"/>
          <w:szCs w:val="22"/>
          <w:shd w:val="clear" w:color="auto" w:fill="FFFFFF"/>
        </w:rPr>
        <w:t xml:space="preserve">, A. (2012). Clearing the air: A review of the effects of particulate matter air pollution on human health. </w:t>
      </w:r>
      <w:r w:rsidRPr="0057510D">
        <w:rPr>
          <w:rFonts w:ascii="Century Gothic" w:hAnsi="Century Gothic"/>
          <w:b w:val="0"/>
          <w:bCs w:val="0"/>
          <w:i/>
          <w:iCs/>
          <w:color w:val="333333"/>
          <w:sz w:val="22"/>
          <w:szCs w:val="22"/>
          <w:shd w:val="clear" w:color="auto" w:fill="FFFFFF"/>
        </w:rPr>
        <w:t>Journal of Medical Toxicology, 8</w:t>
      </w:r>
      <w:r w:rsidRPr="0057510D">
        <w:rPr>
          <w:rFonts w:ascii="Century Gothic" w:hAnsi="Century Gothic"/>
          <w:b w:val="0"/>
          <w:bCs w:val="0"/>
          <w:color w:val="333333"/>
          <w:sz w:val="22"/>
          <w:szCs w:val="22"/>
          <w:shd w:val="clear" w:color="auto" w:fill="FFFFFF"/>
        </w:rPr>
        <w:t>(2), 166-175.</w:t>
      </w:r>
    </w:p>
    <w:p w14:paraId="157A0D0D" w14:textId="77777777" w:rsidR="0057510D" w:rsidRPr="0057510D" w:rsidRDefault="0057510D" w:rsidP="0057510D">
      <w:pPr>
        <w:pStyle w:val="Heading1"/>
        <w:spacing w:before="160" w:after="160"/>
        <w:rPr>
          <w:rFonts w:ascii="Century Gothic" w:hAnsi="Century Gothic"/>
          <w:sz w:val="22"/>
          <w:szCs w:val="22"/>
        </w:rPr>
      </w:pPr>
      <w:r w:rsidRPr="0057510D">
        <w:rPr>
          <w:rFonts w:ascii="Century Gothic" w:hAnsi="Century Gothic"/>
          <w:b w:val="0"/>
          <w:bCs w:val="0"/>
          <w:color w:val="333333"/>
          <w:sz w:val="22"/>
          <w:szCs w:val="22"/>
          <w:shd w:val="clear" w:color="auto" w:fill="FFFFFF"/>
        </w:rPr>
        <w:t xml:space="preserve">Duncan, B.N., </w:t>
      </w:r>
      <w:proofErr w:type="spellStart"/>
      <w:r w:rsidRPr="0057510D">
        <w:rPr>
          <w:rFonts w:ascii="Century Gothic" w:hAnsi="Century Gothic"/>
          <w:b w:val="0"/>
          <w:bCs w:val="0"/>
          <w:color w:val="333333"/>
          <w:sz w:val="22"/>
          <w:szCs w:val="22"/>
          <w:shd w:val="clear" w:color="auto" w:fill="FFFFFF"/>
        </w:rPr>
        <w:t>Prados</w:t>
      </w:r>
      <w:proofErr w:type="spellEnd"/>
      <w:r w:rsidRPr="0057510D">
        <w:rPr>
          <w:rFonts w:ascii="Century Gothic" w:hAnsi="Century Gothic"/>
          <w:b w:val="0"/>
          <w:bCs w:val="0"/>
          <w:color w:val="333333"/>
          <w:sz w:val="22"/>
          <w:szCs w:val="22"/>
          <w:shd w:val="clear" w:color="auto" w:fill="FFFFFF"/>
        </w:rPr>
        <w:t>, A.I., Lamsal, L.N., Liu, Y, Streets, D.G., Gupta, P</w:t>
      </w:r>
      <w:proofErr w:type="gramStart"/>
      <w:r w:rsidRPr="0057510D">
        <w:rPr>
          <w:rFonts w:ascii="Century Gothic" w:hAnsi="Century Gothic"/>
          <w:b w:val="0"/>
          <w:bCs w:val="0"/>
          <w:color w:val="333333"/>
          <w:sz w:val="22"/>
          <w:szCs w:val="22"/>
          <w:shd w:val="clear" w:color="auto" w:fill="FFFFFF"/>
        </w:rPr>
        <w:t>., …</w:t>
      </w:r>
      <w:proofErr w:type="gramEnd"/>
      <w:r w:rsidRPr="0057510D">
        <w:rPr>
          <w:rFonts w:ascii="Century Gothic" w:hAnsi="Century Gothic"/>
          <w:b w:val="0"/>
          <w:bCs w:val="0"/>
          <w:color w:val="333333"/>
          <w:sz w:val="22"/>
          <w:szCs w:val="22"/>
          <w:shd w:val="clear" w:color="auto" w:fill="FFFFFF"/>
        </w:rPr>
        <w:t xml:space="preserve"> </w:t>
      </w:r>
      <w:proofErr w:type="spellStart"/>
      <w:r w:rsidRPr="0057510D">
        <w:rPr>
          <w:rFonts w:ascii="Century Gothic" w:hAnsi="Century Gothic"/>
          <w:b w:val="0"/>
          <w:bCs w:val="0"/>
          <w:color w:val="333333"/>
          <w:sz w:val="22"/>
          <w:szCs w:val="22"/>
          <w:shd w:val="clear" w:color="auto" w:fill="FFFFFF"/>
        </w:rPr>
        <w:t>Ziemba</w:t>
      </w:r>
      <w:proofErr w:type="spellEnd"/>
      <w:r w:rsidRPr="0057510D">
        <w:rPr>
          <w:rFonts w:ascii="Century Gothic" w:hAnsi="Century Gothic"/>
          <w:b w:val="0"/>
          <w:bCs w:val="0"/>
          <w:color w:val="333333"/>
          <w:sz w:val="22"/>
          <w:szCs w:val="22"/>
          <w:shd w:val="clear" w:color="auto" w:fill="FFFFFF"/>
        </w:rPr>
        <w:t>, L.D. (2014). Satellite data of atmospheric pollution for U.S. air quality applications: Examples of applications,</w:t>
      </w:r>
      <w:r>
        <w:rPr>
          <w:rFonts w:ascii="Questrial" w:hAnsi="Questrial"/>
          <w:b w:val="0"/>
          <w:bCs w:val="0"/>
          <w:color w:val="333333"/>
          <w:sz w:val="22"/>
          <w:szCs w:val="22"/>
          <w:shd w:val="clear" w:color="auto" w:fill="FFFFFF"/>
        </w:rPr>
        <w:t xml:space="preserve"> </w:t>
      </w:r>
      <w:r w:rsidRPr="0057510D">
        <w:rPr>
          <w:rFonts w:ascii="Century Gothic" w:hAnsi="Century Gothic"/>
          <w:b w:val="0"/>
          <w:bCs w:val="0"/>
          <w:color w:val="333333"/>
          <w:sz w:val="22"/>
          <w:szCs w:val="22"/>
          <w:shd w:val="clear" w:color="auto" w:fill="FFFFFF"/>
        </w:rPr>
        <w:t xml:space="preserve">summary of data end-user resources, answers to FAQs, and common mistakes to avoid. </w:t>
      </w:r>
      <w:r w:rsidRPr="0057510D">
        <w:rPr>
          <w:rFonts w:ascii="Century Gothic" w:hAnsi="Century Gothic"/>
          <w:b w:val="0"/>
          <w:bCs w:val="0"/>
          <w:i/>
          <w:iCs/>
          <w:color w:val="333333"/>
          <w:sz w:val="22"/>
          <w:szCs w:val="22"/>
          <w:shd w:val="clear" w:color="auto" w:fill="FFFFFF"/>
        </w:rPr>
        <w:t>Atmospheric Environment (94)</w:t>
      </w:r>
      <w:r w:rsidRPr="0057510D">
        <w:rPr>
          <w:rFonts w:ascii="Century Gothic" w:hAnsi="Century Gothic"/>
          <w:b w:val="0"/>
          <w:bCs w:val="0"/>
          <w:color w:val="333333"/>
          <w:sz w:val="22"/>
          <w:szCs w:val="22"/>
          <w:shd w:val="clear" w:color="auto" w:fill="FFFFFF"/>
        </w:rPr>
        <w:t xml:space="preserve">, 647-662. </w:t>
      </w:r>
    </w:p>
    <w:p w14:paraId="06536DBD" w14:textId="77777777" w:rsidR="0057510D" w:rsidRPr="0057510D" w:rsidRDefault="0057510D" w:rsidP="0057510D">
      <w:pPr>
        <w:pStyle w:val="Heading1"/>
        <w:spacing w:before="160" w:after="160"/>
        <w:rPr>
          <w:rFonts w:ascii="Century Gothic" w:hAnsi="Century Gothic"/>
          <w:sz w:val="22"/>
          <w:szCs w:val="22"/>
        </w:rPr>
      </w:pPr>
      <w:r w:rsidRPr="0057510D">
        <w:rPr>
          <w:rFonts w:ascii="Century Gothic" w:hAnsi="Century Gothic"/>
          <w:b w:val="0"/>
          <w:bCs w:val="0"/>
          <w:color w:val="333333"/>
          <w:sz w:val="22"/>
          <w:szCs w:val="22"/>
          <w:shd w:val="clear" w:color="auto" w:fill="FFFFFF"/>
        </w:rPr>
        <w:t xml:space="preserve">Hoff, R.M., and Christopher, S.A. (2009). Remote sensing of particulate pollution from space: Have we reached the </w:t>
      </w:r>
      <w:proofErr w:type="gramStart"/>
      <w:r w:rsidRPr="0057510D">
        <w:rPr>
          <w:rFonts w:ascii="Century Gothic" w:hAnsi="Century Gothic"/>
          <w:b w:val="0"/>
          <w:bCs w:val="0"/>
          <w:color w:val="333333"/>
          <w:sz w:val="22"/>
          <w:szCs w:val="22"/>
          <w:shd w:val="clear" w:color="auto" w:fill="FFFFFF"/>
        </w:rPr>
        <w:t>promised land</w:t>
      </w:r>
      <w:proofErr w:type="gramEnd"/>
      <w:r w:rsidRPr="0057510D">
        <w:rPr>
          <w:rFonts w:ascii="Century Gothic" w:hAnsi="Century Gothic"/>
          <w:b w:val="0"/>
          <w:bCs w:val="0"/>
          <w:color w:val="333333"/>
          <w:sz w:val="22"/>
          <w:szCs w:val="22"/>
          <w:shd w:val="clear" w:color="auto" w:fill="FFFFFF"/>
        </w:rPr>
        <w:t xml:space="preserve">? </w:t>
      </w:r>
      <w:r w:rsidRPr="0057510D">
        <w:rPr>
          <w:rFonts w:ascii="Century Gothic" w:hAnsi="Century Gothic"/>
          <w:b w:val="0"/>
          <w:bCs w:val="0"/>
          <w:i/>
          <w:iCs/>
          <w:color w:val="333333"/>
          <w:sz w:val="22"/>
          <w:szCs w:val="22"/>
          <w:shd w:val="clear" w:color="auto" w:fill="FFFFFF"/>
        </w:rPr>
        <w:t>Journal of the Air and Waste Management</w:t>
      </w:r>
      <w:r w:rsidRPr="0057510D">
        <w:rPr>
          <w:rFonts w:ascii="Century Gothic" w:hAnsi="Century Gothic"/>
          <w:b w:val="0"/>
          <w:bCs w:val="0"/>
          <w:color w:val="333333"/>
          <w:sz w:val="22"/>
          <w:szCs w:val="22"/>
          <w:shd w:val="clear" w:color="auto" w:fill="FFFFFF"/>
        </w:rPr>
        <w:t xml:space="preserve"> </w:t>
      </w:r>
      <w:r w:rsidRPr="0057510D">
        <w:rPr>
          <w:rFonts w:ascii="Century Gothic" w:hAnsi="Century Gothic"/>
          <w:b w:val="0"/>
          <w:bCs w:val="0"/>
          <w:i/>
          <w:iCs/>
          <w:color w:val="333333"/>
          <w:sz w:val="22"/>
          <w:szCs w:val="22"/>
          <w:shd w:val="clear" w:color="auto" w:fill="FFFFFF"/>
        </w:rPr>
        <w:t>Association 59</w:t>
      </w:r>
      <w:r w:rsidRPr="0057510D">
        <w:rPr>
          <w:rFonts w:ascii="Century Gothic" w:hAnsi="Century Gothic"/>
          <w:b w:val="0"/>
          <w:bCs w:val="0"/>
          <w:color w:val="333333"/>
          <w:sz w:val="22"/>
          <w:szCs w:val="22"/>
          <w:shd w:val="clear" w:color="auto" w:fill="FFFFFF"/>
        </w:rPr>
        <w:t xml:space="preserve">, 645-675. </w:t>
      </w:r>
    </w:p>
    <w:p w14:paraId="49A5A01C" w14:textId="77777777" w:rsidR="0057510D" w:rsidRPr="00CB589A" w:rsidRDefault="0057510D" w:rsidP="0057510D">
      <w:pPr>
        <w:pStyle w:val="Heading1"/>
        <w:spacing w:before="160" w:after="160"/>
        <w:rPr>
          <w:rFonts w:ascii="Century Gothic" w:hAnsi="Century Gothic"/>
          <w:b w:val="0"/>
          <w:bCs w:val="0"/>
          <w:color w:val="333333"/>
          <w:sz w:val="22"/>
          <w:szCs w:val="22"/>
          <w:shd w:val="clear" w:color="auto" w:fill="FFFFFF"/>
        </w:rPr>
      </w:pPr>
      <w:r w:rsidRPr="0057510D">
        <w:rPr>
          <w:rFonts w:ascii="Century Gothic" w:hAnsi="Century Gothic"/>
          <w:b w:val="0"/>
          <w:bCs w:val="0"/>
          <w:color w:val="333333"/>
          <w:sz w:val="22"/>
          <w:szCs w:val="22"/>
          <w:shd w:val="clear" w:color="auto" w:fill="FFFFFF"/>
        </w:rPr>
        <w:t xml:space="preserve">Kaufman, Y.J., </w:t>
      </w:r>
      <w:proofErr w:type="spellStart"/>
      <w:r w:rsidRPr="0057510D">
        <w:rPr>
          <w:rFonts w:ascii="Century Gothic" w:hAnsi="Century Gothic"/>
          <w:b w:val="0"/>
          <w:bCs w:val="0"/>
          <w:color w:val="333333"/>
          <w:sz w:val="22"/>
          <w:szCs w:val="22"/>
          <w:shd w:val="clear" w:color="auto" w:fill="FFFFFF"/>
        </w:rPr>
        <w:t>Tanré</w:t>
      </w:r>
      <w:proofErr w:type="spellEnd"/>
      <w:r w:rsidRPr="0057510D">
        <w:rPr>
          <w:rFonts w:ascii="Century Gothic" w:hAnsi="Century Gothic"/>
          <w:b w:val="0"/>
          <w:bCs w:val="0"/>
          <w:color w:val="333333"/>
          <w:sz w:val="22"/>
          <w:szCs w:val="22"/>
          <w:shd w:val="clear" w:color="auto" w:fill="FFFFFF"/>
        </w:rPr>
        <w:t xml:space="preserve">, D., and Boucher, O. (2012). A satellite view of aerosols in the </w:t>
      </w:r>
      <w:r w:rsidRPr="00CB589A">
        <w:rPr>
          <w:rFonts w:ascii="Century Gothic" w:hAnsi="Century Gothic"/>
          <w:b w:val="0"/>
          <w:bCs w:val="0"/>
          <w:color w:val="333333"/>
          <w:sz w:val="22"/>
          <w:szCs w:val="22"/>
          <w:shd w:val="clear" w:color="auto" w:fill="FFFFFF"/>
        </w:rPr>
        <w:t xml:space="preserve">climate system. </w:t>
      </w:r>
      <w:r w:rsidRPr="00CB589A">
        <w:rPr>
          <w:rFonts w:ascii="Century Gothic" w:hAnsi="Century Gothic"/>
          <w:b w:val="0"/>
          <w:bCs w:val="0"/>
          <w:i/>
          <w:iCs/>
          <w:color w:val="333333"/>
          <w:sz w:val="22"/>
          <w:szCs w:val="22"/>
          <w:shd w:val="clear" w:color="auto" w:fill="FFFFFF"/>
        </w:rPr>
        <w:t>Nature 419</w:t>
      </w:r>
      <w:r w:rsidRPr="00CB589A">
        <w:rPr>
          <w:rFonts w:ascii="Century Gothic" w:hAnsi="Century Gothic"/>
          <w:b w:val="0"/>
          <w:bCs w:val="0"/>
          <w:color w:val="333333"/>
          <w:sz w:val="22"/>
          <w:szCs w:val="22"/>
          <w:shd w:val="clear" w:color="auto" w:fill="FFFFFF"/>
        </w:rPr>
        <w:t>, 215-223.</w:t>
      </w:r>
    </w:p>
    <w:p w14:paraId="5549B7B1" w14:textId="204C935F" w:rsidR="00CB589A" w:rsidRPr="00CB589A" w:rsidRDefault="00CB589A" w:rsidP="00CB589A">
      <w:pPr>
        <w:rPr>
          <w:rFonts w:ascii="Century Gothic" w:hAnsi="Century Gothic"/>
        </w:rPr>
      </w:pPr>
      <w:proofErr w:type="spellStart"/>
      <w:r w:rsidRPr="00CB589A">
        <w:rPr>
          <w:rFonts w:ascii="Century Gothic" w:hAnsi="Century Gothic"/>
          <w:color w:val="000000"/>
        </w:rPr>
        <w:t>Klimont</w:t>
      </w:r>
      <w:proofErr w:type="spellEnd"/>
      <w:r w:rsidRPr="00CB589A">
        <w:rPr>
          <w:rFonts w:ascii="Century Gothic" w:hAnsi="Century Gothic"/>
          <w:color w:val="000000"/>
        </w:rPr>
        <w:t xml:space="preserve">, Z., Smith, S., &amp; </w:t>
      </w:r>
      <w:proofErr w:type="spellStart"/>
      <w:r w:rsidRPr="00CB589A">
        <w:rPr>
          <w:rFonts w:ascii="Century Gothic" w:hAnsi="Century Gothic"/>
          <w:color w:val="000000"/>
        </w:rPr>
        <w:t>Cofala</w:t>
      </w:r>
      <w:proofErr w:type="spellEnd"/>
      <w:r w:rsidRPr="00CB589A">
        <w:rPr>
          <w:rFonts w:ascii="Century Gothic" w:hAnsi="Century Gothic"/>
          <w:color w:val="000000"/>
        </w:rPr>
        <w:t xml:space="preserve">, J. (2013). The last decade of global anthropogenic sulfur dioxide: 2000-2011 emissions. </w:t>
      </w:r>
      <w:r w:rsidRPr="00CB589A">
        <w:rPr>
          <w:rFonts w:ascii="Century Gothic" w:hAnsi="Century Gothic"/>
          <w:i/>
          <w:iCs/>
          <w:color w:val="000000"/>
        </w:rPr>
        <w:t>Environmental Research Letters, 8</w:t>
      </w:r>
      <w:r w:rsidRPr="00CB589A">
        <w:rPr>
          <w:rFonts w:ascii="Century Gothic" w:hAnsi="Century Gothic"/>
          <w:color w:val="000000"/>
        </w:rPr>
        <w:t>, 014003. Retrieved from iopscience.iop.org/1748-9326/8/1/014003/media/erl441620suppdata.pdf</w:t>
      </w:r>
      <w:r w:rsidRPr="00CB589A">
        <w:rPr>
          <w:rFonts w:ascii="Century Gothic" w:hAnsi="Century Gothic"/>
          <w:color w:val="000000"/>
        </w:rPr>
        <w:t>.</w:t>
      </w:r>
    </w:p>
    <w:p w14:paraId="71FC31B4" w14:textId="77777777" w:rsidR="0057510D" w:rsidRPr="00CB589A" w:rsidRDefault="0057510D" w:rsidP="0057510D">
      <w:pPr>
        <w:pStyle w:val="NormalWeb"/>
        <w:spacing w:before="0" w:beforeAutospacing="0" w:after="200" w:afterAutospacing="0"/>
        <w:rPr>
          <w:rFonts w:ascii="Century Gothic" w:hAnsi="Century Gothic"/>
          <w:sz w:val="22"/>
          <w:szCs w:val="22"/>
        </w:rPr>
      </w:pPr>
      <w:r w:rsidRPr="00CB589A">
        <w:rPr>
          <w:rFonts w:ascii="Century Gothic" w:hAnsi="Century Gothic"/>
          <w:color w:val="000000"/>
          <w:sz w:val="22"/>
          <w:szCs w:val="22"/>
        </w:rPr>
        <w:t xml:space="preserve">NASA. (1996, August 1). </w:t>
      </w:r>
      <w:r w:rsidRPr="00CB589A">
        <w:rPr>
          <w:rFonts w:ascii="Century Gothic" w:hAnsi="Century Gothic"/>
          <w:i/>
          <w:iCs/>
          <w:color w:val="000000"/>
          <w:sz w:val="22"/>
          <w:szCs w:val="22"/>
        </w:rPr>
        <w:t>Atmospheric Aerosols: What Are They, and Why Are They So Important?</w:t>
      </w:r>
      <w:r w:rsidRPr="00CB589A">
        <w:rPr>
          <w:rFonts w:ascii="Century Gothic" w:hAnsi="Century Gothic"/>
          <w:color w:val="000000"/>
          <w:sz w:val="22"/>
          <w:szCs w:val="22"/>
        </w:rPr>
        <w:t xml:space="preserve"> (B. Allen, Editor) Retrieved from NASA: https://www.nasa.gov/centers/langley/news/factsheets/Aerosols.html</w:t>
      </w:r>
    </w:p>
    <w:p w14:paraId="730BB6EE" w14:textId="77777777" w:rsidR="0057510D" w:rsidRPr="00CB589A" w:rsidRDefault="0057510D" w:rsidP="0057510D">
      <w:pPr>
        <w:pStyle w:val="Heading1"/>
        <w:spacing w:before="160" w:after="160"/>
        <w:rPr>
          <w:rFonts w:ascii="Century Gothic" w:hAnsi="Century Gothic"/>
          <w:sz w:val="22"/>
          <w:szCs w:val="22"/>
        </w:rPr>
      </w:pPr>
      <w:r w:rsidRPr="00CB589A">
        <w:rPr>
          <w:rFonts w:ascii="Century Gothic" w:hAnsi="Century Gothic"/>
          <w:b w:val="0"/>
          <w:bCs w:val="0"/>
          <w:color w:val="333333"/>
          <w:sz w:val="22"/>
          <w:szCs w:val="22"/>
          <w:shd w:val="clear" w:color="auto" w:fill="FFFFFF"/>
        </w:rPr>
        <w:t xml:space="preserve">Protection of Environment, 40 C.F.R </w:t>
      </w:r>
      <w:r w:rsidRPr="00CB589A">
        <w:rPr>
          <w:rFonts w:ascii="Century Gothic" w:hAnsi="Century Gothic"/>
          <w:b w:val="0"/>
          <w:bCs w:val="0"/>
          <w:color w:val="000000"/>
          <w:sz w:val="22"/>
          <w:szCs w:val="22"/>
        </w:rPr>
        <w:t>§ 50 (2011).</w:t>
      </w:r>
    </w:p>
    <w:p w14:paraId="2375C212" w14:textId="77777777" w:rsidR="0057510D" w:rsidRPr="00CB589A" w:rsidRDefault="0057510D" w:rsidP="0057510D">
      <w:pPr>
        <w:pStyle w:val="NormalWeb"/>
        <w:spacing w:before="0" w:beforeAutospacing="0" w:after="200" w:afterAutospacing="0"/>
        <w:rPr>
          <w:rFonts w:ascii="Century Gothic" w:hAnsi="Century Gothic"/>
          <w:sz w:val="22"/>
          <w:szCs w:val="22"/>
        </w:rPr>
      </w:pPr>
      <w:r w:rsidRPr="00CB589A">
        <w:rPr>
          <w:rFonts w:ascii="Century Gothic" w:hAnsi="Century Gothic"/>
          <w:color w:val="000000"/>
          <w:sz w:val="22"/>
          <w:szCs w:val="22"/>
        </w:rPr>
        <w:t xml:space="preserve">Shepherd, M. (2004). Chapter 1: Perspective for managing PM. In P.H. </w:t>
      </w:r>
      <w:proofErr w:type="spellStart"/>
      <w:r w:rsidRPr="00CB589A">
        <w:rPr>
          <w:rFonts w:ascii="Century Gothic" w:hAnsi="Century Gothic"/>
          <w:color w:val="000000"/>
          <w:sz w:val="22"/>
          <w:szCs w:val="22"/>
        </w:rPr>
        <w:t>McMurry</w:t>
      </w:r>
      <w:proofErr w:type="spellEnd"/>
      <w:r w:rsidRPr="00CB589A">
        <w:rPr>
          <w:rFonts w:ascii="Century Gothic" w:hAnsi="Century Gothic"/>
          <w:color w:val="000000"/>
          <w:sz w:val="22"/>
          <w:szCs w:val="22"/>
        </w:rPr>
        <w:t xml:space="preserve">, M. Shepherd, and J.S. Vickery (Eds.), </w:t>
      </w:r>
      <w:r w:rsidRPr="00CB589A">
        <w:rPr>
          <w:rFonts w:ascii="Century Gothic" w:hAnsi="Century Gothic"/>
          <w:i/>
          <w:iCs/>
          <w:color w:val="000000"/>
          <w:sz w:val="22"/>
          <w:szCs w:val="22"/>
        </w:rPr>
        <w:t xml:space="preserve">Particulate matter science for policy makers: a NARSTO assessment </w:t>
      </w:r>
      <w:r w:rsidRPr="00CB589A">
        <w:rPr>
          <w:rFonts w:ascii="Century Gothic" w:hAnsi="Century Gothic"/>
          <w:color w:val="000000"/>
          <w:sz w:val="22"/>
          <w:szCs w:val="22"/>
        </w:rPr>
        <w:t>(1-16). Cambridge, UK: Cambridge University Press.</w:t>
      </w:r>
    </w:p>
    <w:p w14:paraId="34BE5DBB" w14:textId="51682E3D" w:rsidR="00CB589A" w:rsidRPr="00CB589A" w:rsidRDefault="00CB589A" w:rsidP="0057510D">
      <w:pPr>
        <w:pStyle w:val="NormalWeb"/>
        <w:spacing w:before="0" w:beforeAutospacing="0" w:after="200" w:afterAutospacing="0"/>
        <w:rPr>
          <w:rFonts w:ascii="Century Gothic" w:hAnsi="Century Gothic"/>
          <w:color w:val="000000"/>
          <w:sz w:val="22"/>
          <w:szCs w:val="22"/>
        </w:rPr>
      </w:pPr>
      <w:proofErr w:type="spellStart"/>
      <w:r w:rsidRPr="00CB589A">
        <w:rPr>
          <w:rFonts w:ascii="Century Gothic" w:hAnsi="Century Gothic"/>
          <w:color w:val="000000"/>
          <w:sz w:val="22"/>
          <w:szCs w:val="22"/>
        </w:rPr>
        <w:t>Textor</w:t>
      </w:r>
      <w:proofErr w:type="spellEnd"/>
      <w:r w:rsidRPr="00CB589A">
        <w:rPr>
          <w:rFonts w:ascii="Century Gothic" w:hAnsi="Century Gothic"/>
          <w:color w:val="000000"/>
          <w:sz w:val="22"/>
          <w:szCs w:val="22"/>
        </w:rPr>
        <w:t xml:space="preserve">, C., Graf, H., </w:t>
      </w:r>
      <w:proofErr w:type="spellStart"/>
      <w:r w:rsidRPr="00CB589A">
        <w:rPr>
          <w:rFonts w:ascii="Century Gothic" w:hAnsi="Century Gothic"/>
          <w:color w:val="000000"/>
          <w:sz w:val="22"/>
          <w:szCs w:val="22"/>
        </w:rPr>
        <w:t>Timmreck</w:t>
      </w:r>
      <w:proofErr w:type="spellEnd"/>
      <w:r w:rsidRPr="00CB589A">
        <w:rPr>
          <w:rFonts w:ascii="Century Gothic" w:hAnsi="Century Gothic"/>
          <w:color w:val="000000"/>
          <w:sz w:val="22"/>
          <w:szCs w:val="22"/>
        </w:rPr>
        <w:t xml:space="preserve">, C., &amp; </w:t>
      </w:r>
      <w:proofErr w:type="spellStart"/>
      <w:r w:rsidRPr="00CB589A">
        <w:rPr>
          <w:rFonts w:ascii="Century Gothic" w:hAnsi="Century Gothic"/>
          <w:color w:val="000000"/>
          <w:sz w:val="22"/>
          <w:szCs w:val="22"/>
        </w:rPr>
        <w:t>Robock</w:t>
      </w:r>
      <w:proofErr w:type="spellEnd"/>
      <w:r w:rsidRPr="00CB589A">
        <w:rPr>
          <w:rFonts w:ascii="Century Gothic" w:hAnsi="Century Gothic"/>
          <w:color w:val="000000"/>
          <w:sz w:val="22"/>
          <w:szCs w:val="22"/>
        </w:rPr>
        <w:t xml:space="preserve">, A. (2003). Emissions from volcanoes. In C. </w:t>
      </w:r>
      <w:proofErr w:type="spellStart"/>
      <w:r w:rsidRPr="00CB589A">
        <w:rPr>
          <w:rFonts w:ascii="Century Gothic" w:hAnsi="Century Gothic"/>
          <w:color w:val="000000"/>
          <w:sz w:val="22"/>
          <w:szCs w:val="22"/>
        </w:rPr>
        <w:t>Granier</w:t>
      </w:r>
      <w:proofErr w:type="spellEnd"/>
      <w:r w:rsidRPr="00CB589A">
        <w:rPr>
          <w:rFonts w:ascii="Century Gothic" w:hAnsi="Century Gothic"/>
          <w:color w:val="000000"/>
          <w:sz w:val="22"/>
          <w:szCs w:val="22"/>
        </w:rPr>
        <w:t xml:space="preserve">, C. Reeves, &amp; P. </w:t>
      </w:r>
      <w:proofErr w:type="spellStart"/>
      <w:r w:rsidRPr="00CB589A">
        <w:rPr>
          <w:rFonts w:ascii="Century Gothic" w:hAnsi="Century Gothic"/>
          <w:color w:val="000000"/>
          <w:sz w:val="22"/>
          <w:szCs w:val="22"/>
        </w:rPr>
        <w:t>Artaxo</w:t>
      </w:r>
      <w:proofErr w:type="spellEnd"/>
      <w:r w:rsidRPr="00CB589A">
        <w:rPr>
          <w:rFonts w:ascii="Century Gothic" w:hAnsi="Century Gothic"/>
          <w:color w:val="000000"/>
          <w:sz w:val="22"/>
          <w:szCs w:val="22"/>
        </w:rPr>
        <w:t xml:space="preserve">, </w:t>
      </w:r>
      <w:r w:rsidRPr="00CB589A">
        <w:rPr>
          <w:rFonts w:ascii="Century Gothic" w:hAnsi="Century Gothic"/>
          <w:i/>
          <w:iCs/>
          <w:color w:val="000000"/>
          <w:sz w:val="22"/>
          <w:szCs w:val="22"/>
        </w:rPr>
        <w:t xml:space="preserve">Emissions of chemical Compounds and Aerosols in the </w:t>
      </w:r>
      <w:r w:rsidRPr="00CB589A">
        <w:rPr>
          <w:rFonts w:ascii="Century Gothic" w:hAnsi="Century Gothic"/>
          <w:i/>
          <w:iCs/>
          <w:color w:val="000000"/>
          <w:sz w:val="22"/>
          <w:szCs w:val="22"/>
        </w:rPr>
        <w:lastRenderedPageBreak/>
        <w:t>Atmosphere</w:t>
      </w:r>
      <w:r w:rsidRPr="00CB589A">
        <w:rPr>
          <w:rFonts w:ascii="Century Gothic" w:hAnsi="Century Gothic"/>
          <w:color w:val="000000"/>
          <w:sz w:val="22"/>
          <w:szCs w:val="22"/>
        </w:rPr>
        <w:t xml:space="preserve"> (p. 32). Retrieved from http://climate.envsci.rutgers.edu/pdf/emissions_0207.pdf</w:t>
      </w:r>
    </w:p>
    <w:p w14:paraId="77A2FEE2" w14:textId="77777777" w:rsidR="0057510D" w:rsidRPr="0057510D" w:rsidRDefault="0057510D" w:rsidP="0057510D">
      <w:pPr>
        <w:pStyle w:val="NormalWeb"/>
        <w:spacing w:before="0" w:beforeAutospacing="0" w:after="200" w:afterAutospacing="0"/>
        <w:rPr>
          <w:rFonts w:ascii="Century Gothic" w:hAnsi="Century Gothic"/>
          <w:sz w:val="22"/>
          <w:szCs w:val="22"/>
        </w:rPr>
      </w:pPr>
      <w:r w:rsidRPr="0057510D">
        <w:rPr>
          <w:rFonts w:ascii="Century Gothic" w:hAnsi="Century Gothic"/>
          <w:color w:val="000000"/>
          <w:sz w:val="22"/>
          <w:szCs w:val="22"/>
        </w:rPr>
        <w:t xml:space="preserve">United States Environmental Protection Agency. (2015, September 19). </w:t>
      </w:r>
      <w:proofErr w:type="spellStart"/>
      <w:r w:rsidRPr="0057510D">
        <w:rPr>
          <w:rFonts w:ascii="Century Gothic" w:hAnsi="Century Gothic"/>
          <w:i/>
          <w:iCs/>
          <w:color w:val="000000"/>
          <w:sz w:val="22"/>
          <w:szCs w:val="22"/>
        </w:rPr>
        <w:t>AIRTrends</w:t>
      </w:r>
      <w:proofErr w:type="spellEnd"/>
      <w:r w:rsidRPr="0057510D">
        <w:rPr>
          <w:rFonts w:ascii="Century Gothic" w:hAnsi="Century Gothic"/>
          <w:i/>
          <w:iCs/>
          <w:color w:val="000000"/>
          <w:sz w:val="22"/>
          <w:szCs w:val="22"/>
        </w:rPr>
        <w:t xml:space="preserve"> 1995 Summary, Nitrogen Dioxide (NO2)</w:t>
      </w:r>
      <w:r w:rsidRPr="0057510D">
        <w:rPr>
          <w:rFonts w:ascii="Century Gothic" w:hAnsi="Century Gothic"/>
          <w:color w:val="000000"/>
          <w:sz w:val="22"/>
          <w:szCs w:val="22"/>
        </w:rPr>
        <w:t>. Retrieved from EPA: http://www3.epa.gov/airtrends/aqtrnd95/no2.html</w:t>
      </w:r>
    </w:p>
    <w:p w14:paraId="431915D8" w14:textId="77777777" w:rsidR="0057510D" w:rsidRPr="0057510D" w:rsidRDefault="0057510D" w:rsidP="0057510D">
      <w:pPr>
        <w:pStyle w:val="NormalWeb"/>
        <w:spacing w:before="0" w:beforeAutospacing="0" w:after="200" w:afterAutospacing="0"/>
        <w:rPr>
          <w:rFonts w:ascii="Century Gothic" w:hAnsi="Century Gothic"/>
          <w:sz w:val="22"/>
          <w:szCs w:val="22"/>
        </w:rPr>
      </w:pPr>
      <w:r w:rsidRPr="0057510D">
        <w:rPr>
          <w:rFonts w:ascii="Century Gothic" w:hAnsi="Century Gothic"/>
          <w:color w:val="000000"/>
          <w:sz w:val="22"/>
          <w:szCs w:val="22"/>
        </w:rPr>
        <w:t xml:space="preserve">United States Environmental Protection Agency. (2015, September 18). </w:t>
      </w:r>
      <w:r w:rsidRPr="0057510D">
        <w:rPr>
          <w:rFonts w:ascii="Century Gothic" w:hAnsi="Century Gothic"/>
          <w:i/>
          <w:iCs/>
          <w:color w:val="000000"/>
          <w:sz w:val="22"/>
          <w:szCs w:val="22"/>
        </w:rPr>
        <w:t>What Are the Six Common Air Pollutants?</w:t>
      </w:r>
      <w:r w:rsidRPr="0057510D">
        <w:rPr>
          <w:rFonts w:ascii="Century Gothic" w:hAnsi="Century Gothic"/>
          <w:color w:val="000000"/>
          <w:sz w:val="22"/>
          <w:szCs w:val="22"/>
        </w:rPr>
        <w:t xml:space="preserve"> Retrieved from EPA.GOV: http://www3.epa.gov/airquality/urbanair/</w:t>
      </w:r>
    </w:p>
    <w:p w14:paraId="3467CF1E" w14:textId="77777777" w:rsidR="0057510D" w:rsidRPr="0057510D" w:rsidRDefault="0057510D" w:rsidP="0057510D">
      <w:pPr>
        <w:pStyle w:val="NormalWeb"/>
        <w:spacing w:before="0" w:beforeAutospacing="0" w:after="200" w:afterAutospacing="0"/>
        <w:rPr>
          <w:rFonts w:ascii="Century Gothic" w:hAnsi="Century Gothic"/>
          <w:sz w:val="22"/>
          <w:szCs w:val="22"/>
        </w:rPr>
      </w:pPr>
      <w:r w:rsidRPr="0057510D">
        <w:rPr>
          <w:rFonts w:ascii="Century Gothic" w:hAnsi="Century Gothic"/>
          <w:color w:val="000000"/>
          <w:sz w:val="22"/>
          <w:szCs w:val="22"/>
        </w:rPr>
        <w:t xml:space="preserve">United States Environmental Protection Agency. (2016, January 7). </w:t>
      </w:r>
      <w:r w:rsidRPr="0057510D">
        <w:rPr>
          <w:rFonts w:ascii="Century Gothic" w:hAnsi="Century Gothic"/>
          <w:i/>
          <w:iCs/>
          <w:color w:val="000000"/>
          <w:sz w:val="22"/>
          <w:szCs w:val="22"/>
        </w:rPr>
        <w:t>National Ambient Air Quality Standards (NAAQS)</w:t>
      </w:r>
      <w:r w:rsidRPr="0057510D">
        <w:rPr>
          <w:rFonts w:ascii="Century Gothic" w:hAnsi="Century Gothic"/>
          <w:color w:val="000000"/>
          <w:sz w:val="22"/>
          <w:szCs w:val="22"/>
        </w:rPr>
        <w:t>. Retrieved from EPA.GOV: http://www3.epa.gov/ttn/naaqs/criteria.html</w:t>
      </w:r>
    </w:p>
    <w:p w14:paraId="0D818EF6" w14:textId="0EA101E9" w:rsidR="0057510D" w:rsidRPr="0057510D" w:rsidRDefault="0057510D" w:rsidP="0057510D">
      <w:pPr>
        <w:pStyle w:val="NormalWeb"/>
        <w:spacing w:before="0" w:beforeAutospacing="0" w:after="200" w:afterAutospacing="0"/>
        <w:rPr>
          <w:rFonts w:ascii="Century Gothic" w:hAnsi="Century Gothic"/>
          <w:sz w:val="22"/>
          <w:szCs w:val="22"/>
        </w:rPr>
      </w:pPr>
      <w:r w:rsidRPr="0057510D">
        <w:rPr>
          <w:rFonts w:ascii="Century Gothic" w:hAnsi="Century Gothic"/>
          <w:color w:val="000000"/>
          <w:sz w:val="22"/>
          <w:szCs w:val="22"/>
        </w:rPr>
        <w:t xml:space="preserve">United States Environmental Protection Agency. </w:t>
      </w:r>
      <w:r w:rsidRPr="0057510D">
        <w:rPr>
          <w:rFonts w:ascii="Century Gothic" w:hAnsi="Century Gothic"/>
          <w:i/>
          <w:iCs/>
          <w:color w:val="000000"/>
          <w:sz w:val="22"/>
          <w:szCs w:val="22"/>
        </w:rPr>
        <w:t>Air Quality System Data Mart</w:t>
      </w:r>
      <w:r w:rsidRPr="0057510D">
        <w:rPr>
          <w:rFonts w:ascii="Century Gothic" w:hAnsi="Century Gothic"/>
          <w:color w:val="000000"/>
          <w:sz w:val="22"/>
          <w:szCs w:val="22"/>
        </w:rPr>
        <w:t xml:space="preserve"> [internet database]. Retrieved from http://www.epa.gov/airdata. Accessed February 2016.</w:t>
      </w:r>
    </w:p>
    <w:p w14:paraId="3E563DC5" w14:textId="77777777" w:rsidR="0057510D" w:rsidRPr="0057510D" w:rsidRDefault="0057510D" w:rsidP="0057510D">
      <w:pPr>
        <w:pStyle w:val="NormalWeb"/>
        <w:spacing w:before="0" w:beforeAutospacing="0" w:after="200" w:afterAutospacing="0"/>
        <w:rPr>
          <w:rFonts w:ascii="Century Gothic" w:hAnsi="Century Gothic"/>
          <w:sz w:val="22"/>
          <w:szCs w:val="22"/>
        </w:rPr>
      </w:pPr>
      <w:r w:rsidRPr="0057510D">
        <w:rPr>
          <w:rFonts w:ascii="Century Gothic" w:hAnsi="Century Gothic"/>
          <w:color w:val="000000"/>
          <w:sz w:val="22"/>
          <w:szCs w:val="22"/>
        </w:rPr>
        <w:t xml:space="preserve">Wisconsin Department of Health Services. (2015, December 30). </w:t>
      </w:r>
      <w:r w:rsidRPr="0057510D">
        <w:rPr>
          <w:rFonts w:ascii="Century Gothic" w:hAnsi="Century Gothic"/>
          <w:i/>
          <w:iCs/>
          <w:color w:val="000000"/>
          <w:sz w:val="22"/>
          <w:szCs w:val="22"/>
        </w:rPr>
        <w:t>Wisconsin Department of Health Services</w:t>
      </w:r>
      <w:r w:rsidRPr="0057510D">
        <w:rPr>
          <w:rFonts w:ascii="Century Gothic" w:hAnsi="Century Gothic"/>
          <w:color w:val="000000"/>
          <w:sz w:val="22"/>
          <w:szCs w:val="22"/>
        </w:rPr>
        <w:t>. Retrieved from Sulfur Dioxide: https://www.dhs.wisconsin.gov/chemical/sulfurdioxide.htm</w:t>
      </w:r>
    </w:p>
    <w:p w14:paraId="646F2E87" w14:textId="54152A40" w:rsidR="00E41324" w:rsidRPr="00B265D9" w:rsidRDefault="008B7071" w:rsidP="00D3013B">
      <w:pPr>
        <w:pStyle w:val="Heading1"/>
        <w:rPr>
          <w:rFonts w:ascii="Century Gothic" w:hAnsi="Century Gothic"/>
        </w:rPr>
      </w:pPr>
      <w:bookmarkStart w:id="9" w:name="_Toc334198738"/>
      <w:r>
        <w:rPr>
          <w:rFonts w:ascii="Century Gothic" w:hAnsi="Century Gothic"/>
        </w:rPr>
        <w:t xml:space="preserve">VIII. </w:t>
      </w:r>
      <w:r w:rsidR="006528A0">
        <w:rPr>
          <w:rFonts w:ascii="Century Gothic" w:hAnsi="Century Gothic"/>
        </w:rPr>
        <w:t>Content Innovation</w:t>
      </w:r>
      <w:bookmarkEnd w:id="9"/>
    </w:p>
    <w:p w14:paraId="1A69093B" w14:textId="2E6A9399" w:rsidR="00E57321" w:rsidRDefault="00E57321" w:rsidP="00E57321">
      <w:pPr>
        <w:spacing w:after="0" w:line="240" w:lineRule="auto"/>
        <w:rPr>
          <w:rFonts w:ascii="Century Gothic" w:hAnsi="Century Gothic"/>
          <w:color w:val="FF0000"/>
          <w:szCs w:val="24"/>
        </w:rPr>
      </w:pPr>
      <w:r>
        <w:rPr>
          <w:rFonts w:ascii="Century Gothic" w:hAnsi="Century Gothic"/>
          <w:color w:val="FF0000"/>
          <w:szCs w:val="24"/>
        </w:rPr>
        <w:t>[</w:t>
      </w:r>
      <w:r>
        <w:rPr>
          <w:rFonts w:ascii="Century Gothic" w:hAnsi="Century Gothic"/>
          <w:color w:val="FF0000"/>
          <w:szCs w:val="24"/>
        </w:rPr>
        <w:t>Tentative</w:t>
      </w:r>
      <w:r>
        <w:rPr>
          <w:rFonts w:ascii="Century Gothic" w:hAnsi="Century Gothic"/>
          <w:color w:val="FF0000"/>
          <w:szCs w:val="24"/>
        </w:rPr>
        <w:t xml:space="preserve">] </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7"/>
      <w:headerReference w:type="first" r:id="rId18"/>
      <w:footerReference w:type="first" r:id="rId19"/>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10B2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2B2E4" w14:textId="77777777" w:rsidR="00D92595" w:rsidRDefault="00D92595" w:rsidP="00242822">
      <w:pPr>
        <w:spacing w:after="0" w:line="240" w:lineRule="auto"/>
      </w:pPr>
      <w:r>
        <w:separator/>
      </w:r>
    </w:p>
  </w:endnote>
  <w:endnote w:type="continuationSeparator" w:id="0">
    <w:p w14:paraId="58F8953E" w14:textId="77777777" w:rsidR="00D92595" w:rsidRDefault="00D92595"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8E613F">
          <w:rPr>
            <w:noProof/>
          </w:rPr>
          <w:t>9</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3DD75" w14:textId="77777777" w:rsidR="00D92595" w:rsidRDefault="00D92595" w:rsidP="00242822">
      <w:pPr>
        <w:spacing w:after="0" w:line="240" w:lineRule="auto"/>
      </w:pPr>
      <w:r>
        <w:separator/>
      </w:r>
    </w:p>
  </w:footnote>
  <w:footnote w:type="continuationSeparator" w:id="0">
    <w:p w14:paraId="2B265387" w14:textId="77777777" w:rsidR="00D92595" w:rsidRDefault="00D92595"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3B616F"/>
    <w:multiLevelType w:val="multilevel"/>
    <w:tmpl w:val="37F0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10E41"/>
    <w:rsid w:val="00030B13"/>
    <w:rsid w:val="000F1545"/>
    <w:rsid w:val="0014039E"/>
    <w:rsid w:val="0014286F"/>
    <w:rsid w:val="0015019B"/>
    <w:rsid w:val="001556CC"/>
    <w:rsid w:val="00163111"/>
    <w:rsid w:val="001821EB"/>
    <w:rsid w:val="00195D23"/>
    <w:rsid w:val="001F1328"/>
    <w:rsid w:val="0023574D"/>
    <w:rsid w:val="00242822"/>
    <w:rsid w:val="0027003E"/>
    <w:rsid w:val="00293F47"/>
    <w:rsid w:val="002A37F8"/>
    <w:rsid w:val="002B2BE4"/>
    <w:rsid w:val="002C4C2E"/>
    <w:rsid w:val="003638F0"/>
    <w:rsid w:val="00366BA2"/>
    <w:rsid w:val="003F39BF"/>
    <w:rsid w:val="0041150E"/>
    <w:rsid w:val="0043112E"/>
    <w:rsid w:val="00482519"/>
    <w:rsid w:val="00494746"/>
    <w:rsid w:val="004951A9"/>
    <w:rsid w:val="004D19D3"/>
    <w:rsid w:val="0057510D"/>
    <w:rsid w:val="005C723F"/>
    <w:rsid w:val="005F6AD4"/>
    <w:rsid w:val="00615E3A"/>
    <w:rsid w:val="0064280B"/>
    <w:rsid w:val="006528A0"/>
    <w:rsid w:val="00684FE5"/>
    <w:rsid w:val="00695331"/>
    <w:rsid w:val="006C7B8F"/>
    <w:rsid w:val="006D1A28"/>
    <w:rsid w:val="006E1497"/>
    <w:rsid w:val="006E2A1C"/>
    <w:rsid w:val="00716586"/>
    <w:rsid w:val="00732B10"/>
    <w:rsid w:val="00770650"/>
    <w:rsid w:val="00771691"/>
    <w:rsid w:val="007775D4"/>
    <w:rsid w:val="007E508C"/>
    <w:rsid w:val="007E68B5"/>
    <w:rsid w:val="007F6093"/>
    <w:rsid w:val="0081261B"/>
    <w:rsid w:val="008434F3"/>
    <w:rsid w:val="00855532"/>
    <w:rsid w:val="00870E95"/>
    <w:rsid w:val="008741CE"/>
    <w:rsid w:val="008975BD"/>
    <w:rsid w:val="008B7071"/>
    <w:rsid w:val="008E613F"/>
    <w:rsid w:val="00916AAB"/>
    <w:rsid w:val="00933965"/>
    <w:rsid w:val="009830D6"/>
    <w:rsid w:val="009A20ED"/>
    <w:rsid w:val="009F5966"/>
    <w:rsid w:val="00A11DB7"/>
    <w:rsid w:val="00A2773A"/>
    <w:rsid w:val="00A44FFF"/>
    <w:rsid w:val="00A60645"/>
    <w:rsid w:val="00AB12D0"/>
    <w:rsid w:val="00AD5D0D"/>
    <w:rsid w:val="00B2307C"/>
    <w:rsid w:val="00B24E61"/>
    <w:rsid w:val="00B265D9"/>
    <w:rsid w:val="00B64CCF"/>
    <w:rsid w:val="00BA41F7"/>
    <w:rsid w:val="00C3045C"/>
    <w:rsid w:val="00C60F7D"/>
    <w:rsid w:val="00C82473"/>
    <w:rsid w:val="00CB1C0F"/>
    <w:rsid w:val="00CB589A"/>
    <w:rsid w:val="00CD092A"/>
    <w:rsid w:val="00CE7909"/>
    <w:rsid w:val="00CF6083"/>
    <w:rsid w:val="00D3013B"/>
    <w:rsid w:val="00D523CD"/>
    <w:rsid w:val="00D71CBB"/>
    <w:rsid w:val="00D92595"/>
    <w:rsid w:val="00DA7F96"/>
    <w:rsid w:val="00E00E6B"/>
    <w:rsid w:val="00E03B8E"/>
    <w:rsid w:val="00E41324"/>
    <w:rsid w:val="00E57321"/>
    <w:rsid w:val="00E578D6"/>
    <w:rsid w:val="00E6105B"/>
    <w:rsid w:val="00E64FEA"/>
    <w:rsid w:val="00E74845"/>
    <w:rsid w:val="00E75D54"/>
    <w:rsid w:val="00F24FCE"/>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8434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12759">
      <w:bodyDiv w:val="1"/>
      <w:marLeft w:val="0"/>
      <w:marRight w:val="0"/>
      <w:marTop w:val="0"/>
      <w:marBottom w:val="0"/>
      <w:divBdr>
        <w:top w:val="none" w:sz="0" w:space="0" w:color="auto"/>
        <w:left w:val="none" w:sz="0" w:space="0" w:color="auto"/>
        <w:bottom w:val="none" w:sz="0" w:space="0" w:color="auto"/>
        <w:right w:val="none" w:sz="0" w:space="0" w:color="auto"/>
      </w:divBdr>
      <w:divsChild>
        <w:div w:id="704015495">
          <w:marLeft w:val="0"/>
          <w:marRight w:val="0"/>
          <w:marTop w:val="0"/>
          <w:marBottom w:val="0"/>
          <w:divBdr>
            <w:top w:val="none" w:sz="0" w:space="0" w:color="auto"/>
            <w:left w:val="none" w:sz="0" w:space="0" w:color="auto"/>
            <w:bottom w:val="none" w:sz="0" w:space="0" w:color="auto"/>
            <w:right w:val="none" w:sz="0" w:space="0" w:color="auto"/>
          </w:divBdr>
        </w:div>
      </w:divsChild>
    </w:div>
    <w:div w:id="406658937">
      <w:bodyDiv w:val="1"/>
      <w:marLeft w:val="0"/>
      <w:marRight w:val="0"/>
      <w:marTop w:val="0"/>
      <w:marBottom w:val="0"/>
      <w:divBdr>
        <w:top w:val="none" w:sz="0" w:space="0" w:color="auto"/>
        <w:left w:val="none" w:sz="0" w:space="0" w:color="auto"/>
        <w:bottom w:val="none" w:sz="0" w:space="0" w:color="auto"/>
        <w:right w:val="none" w:sz="0" w:space="0" w:color="auto"/>
      </w:divBdr>
    </w:div>
    <w:div w:id="480078601">
      <w:bodyDiv w:val="1"/>
      <w:marLeft w:val="0"/>
      <w:marRight w:val="0"/>
      <w:marTop w:val="0"/>
      <w:marBottom w:val="0"/>
      <w:divBdr>
        <w:top w:val="none" w:sz="0" w:space="0" w:color="auto"/>
        <w:left w:val="none" w:sz="0" w:space="0" w:color="auto"/>
        <w:bottom w:val="none" w:sz="0" w:space="0" w:color="auto"/>
        <w:right w:val="none" w:sz="0" w:space="0" w:color="auto"/>
      </w:divBdr>
    </w:div>
    <w:div w:id="860631531">
      <w:bodyDiv w:val="1"/>
      <w:marLeft w:val="0"/>
      <w:marRight w:val="0"/>
      <w:marTop w:val="0"/>
      <w:marBottom w:val="0"/>
      <w:divBdr>
        <w:top w:val="none" w:sz="0" w:space="0" w:color="auto"/>
        <w:left w:val="none" w:sz="0" w:space="0" w:color="auto"/>
        <w:bottom w:val="none" w:sz="0" w:space="0" w:color="auto"/>
        <w:right w:val="none" w:sz="0" w:space="0" w:color="auto"/>
      </w:divBdr>
    </w:div>
    <w:div w:id="872350315">
      <w:bodyDiv w:val="1"/>
      <w:marLeft w:val="0"/>
      <w:marRight w:val="0"/>
      <w:marTop w:val="0"/>
      <w:marBottom w:val="0"/>
      <w:divBdr>
        <w:top w:val="none" w:sz="0" w:space="0" w:color="auto"/>
        <w:left w:val="none" w:sz="0" w:space="0" w:color="auto"/>
        <w:bottom w:val="none" w:sz="0" w:space="0" w:color="auto"/>
        <w:right w:val="none" w:sz="0" w:space="0" w:color="auto"/>
      </w:divBdr>
    </w:div>
    <w:div w:id="1262837417">
      <w:bodyDiv w:val="1"/>
      <w:marLeft w:val="0"/>
      <w:marRight w:val="0"/>
      <w:marTop w:val="0"/>
      <w:marBottom w:val="0"/>
      <w:divBdr>
        <w:top w:val="none" w:sz="0" w:space="0" w:color="auto"/>
        <w:left w:val="none" w:sz="0" w:space="0" w:color="auto"/>
        <w:bottom w:val="none" w:sz="0" w:space="0" w:color="auto"/>
        <w:right w:val="none" w:sz="0" w:space="0" w:color="auto"/>
      </w:divBdr>
    </w:div>
    <w:div w:id="1531257329">
      <w:bodyDiv w:val="1"/>
      <w:marLeft w:val="0"/>
      <w:marRight w:val="0"/>
      <w:marTop w:val="0"/>
      <w:marBottom w:val="0"/>
      <w:divBdr>
        <w:top w:val="none" w:sz="0" w:space="0" w:color="auto"/>
        <w:left w:val="none" w:sz="0" w:space="0" w:color="auto"/>
        <w:bottom w:val="none" w:sz="0" w:space="0" w:color="auto"/>
        <w:right w:val="none" w:sz="0" w:space="0" w:color="auto"/>
      </w:divBdr>
    </w:div>
    <w:div w:id="1732071509">
      <w:bodyDiv w:val="1"/>
      <w:marLeft w:val="0"/>
      <w:marRight w:val="0"/>
      <w:marTop w:val="0"/>
      <w:marBottom w:val="0"/>
      <w:divBdr>
        <w:top w:val="none" w:sz="0" w:space="0" w:color="auto"/>
        <w:left w:val="none" w:sz="0" w:space="0" w:color="auto"/>
        <w:bottom w:val="none" w:sz="0" w:space="0" w:color="auto"/>
        <w:right w:val="none" w:sz="0" w:space="0" w:color="auto"/>
      </w:divBdr>
    </w:div>
    <w:div w:id="195528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8DFE0-FAF0-46FC-8FD3-DC5EA074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(GSFC-6170)[DEVELOP]</cp:lastModifiedBy>
  <cp:revision>7</cp:revision>
  <dcterms:created xsi:type="dcterms:W3CDTF">2016-02-17T20:35:00Z</dcterms:created>
  <dcterms:modified xsi:type="dcterms:W3CDTF">2016-02-17T21:33:00Z</dcterms:modified>
</cp:coreProperties>
</file>