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6EE5EC26" w:rsidR="007B73F9" w:rsidRPr="00A44DD0" w:rsidRDefault="008B3821">
      <w:pPr>
        <w:rPr>
          <w:b/>
          <w:sz w:val="24"/>
        </w:rPr>
      </w:pPr>
      <w:r>
        <w:rPr>
          <w:b/>
          <w:sz w:val="24"/>
        </w:rPr>
        <w:t>2017 S</w:t>
      </w:r>
      <w:r w:rsidR="00F1255A">
        <w:rPr>
          <w:b/>
          <w:sz w:val="24"/>
        </w:rPr>
        <w:t>ummer</w:t>
      </w:r>
      <w:r w:rsidR="007B73F9" w:rsidRPr="00A44DD0">
        <w:rPr>
          <w:b/>
          <w:sz w:val="24"/>
        </w:rPr>
        <w:t xml:space="preserve"> Project Proposal</w:t>
      </w:r>
    </w:p>
    <w:p w14:paraId="0CF5EA14" w14:textId="77777777" w:rsidR="00A44DD0" w:rsidRDefault="00A44DD0" w:rsidP="00A44DD0">
      <w:pPr>
        <w:rPr>
          <w:b/>
          <w:sz w:val="24"/>
        </w:rPr>
      </w:pPr>
    </w:p>
    <w:p w14:paraId="5121C8E5" w14:textId="15D2E991" w:rsidR="00A44DD0" w:rsidRPr="008B3821" w:rsidRDefault="00BA5161" w:rsidP="00A44DD0">
      <w:pPr>
        <w:rPr>
          <w:b/>
          <w:szCs w:val="20"/>
        </w:rPr>
      </w:pPr>
      <w:r>
        <w:rPr>
          <w:b/>
          <w:szCs w:val="20"/>
        </w:rPr>
        <w:t xml:space="preserve">NASA Marshall Space Flight Center </w:t>
      </w:r>
    </w:p>
    <w:p w14:paraId="1824EBE9" w14:textId="4491B94D" w:rsidR="007B73F9" w:rsidRPr="008B3821" w:rsidRDefault="00BA5161">
      <w:pPr>
        <w:rPr>
          <w:b/>
          <w:sz w:val="20"/>
          <w:szCs w:val="20"/>
        </w:rPr>
      </w:pPr>
      <w:r>
        <w:rPr>
          <w:b/>
          <w:sz w:val="20"/>
          <w:szCs w:val="20"/>
        </w:rPr>
        <w:t>Thailand Cross-Cutting</w:t>
      </w:r>
    </w:p>
    <w:p w14:paraId="5B7B00A4" w14:textId="07911729" w:rsidR="007B73F9" w:rsidRPr="008B3821" w:rsidRDefault="00BA5161">
      <w:pPr>
        <w:rPr>
          <w:i/>
          <w:sz w:val="20"/>
          <w:szCs w:val="20"/>
        </w:rPr>
      </w:pPr>
      <w:r>
        <w:rPr>
          <w:i/>
          <w:sz w:val="20"/>
          <w:szCs w:val="20"/>
        </w:rPr>
        <w:t>Utilizing Suomi NPP’s Day-Night Band to Assess Energy Consumption in Rural and Urban Areas as an Input for Poverty Analyses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F4F2532" w14:textId="6BC71BD3" w:rsidR="002F5C30" w:rsidRDefault="008B3821" w:rsidP="00276572">
      <w:pPr>
        <w:rPr>
          <w:rFonts w:ascii="Garamond" w:hAnsi="Garamond"/>
        </w:rPr>
      </w:pPr>
      <w:r w:rsidRPr="00F268BE">
        <w:rPr>
          <w:b/>
          <w:i/>
          <w:sz w:val="20"/>
          <w:szCs w:val="20"/>
        </w:rPr>
        <w:t>Project Synopsis</w:t>
      </w:r>
      <w:r>
        <w:rPr>
          <w:b/>
          <w:sz w:val="20"/>
          <w:szCs w:val="20"/>
        </w:rPr>
        <w:t xml:space="preserve">: </w:t>
      </w:r>
      <w:r w:rsidR="00BA5161">
        <w:rPr>
          <w:rFonts w:ascii="Garamond" w:hAnsi="Garamond"/>
        </w:rPr>
        <w:t xml:space="preserve">The project aims to measure light emissions at night across Thailand to utilize energy consumption in urban and rural areas as an input to poverty indicators. </w:t>
      </w:r>
      <w:r w:rsidR="00B21E0C">
        <w:rPr>
          <w:rFonts w:ascii="Garamond" w:hAnsi="Garamond"/>
        </w:rPr>
        <w:t xml:space="preserve">Light emissions will be measured with Suomi National Polar-orbiting Partnership Visible Infrared Imaging Radiometer Suite’s Day/Night Band (Suomi NPP VIIRS DNB). </w:t>
      </w:r>
      <w:r w:rsidR="00BA5161">
        <w:rPr>
          <w:rFonts w:ascii="Garamond" w:hAnsi="Garamond"/>
        </w:rPr>
        <w:t>Analyses will include the degree to which electricity decreases outside of a city, distance of lights from major highways and thoroughfares, and seasonality of night lights. This data can be combined with other census demographics to produce enhanced poverty indices to help inform and support pov</w:t>
      </w:r>
      <w:r w:rsidR="004474C3">
        <w:rPr>
          <w:rFonts w:ascii="Garamond" w:hAnsi="Garamond"/>
        </w:rPr>
        <w:t>erty reduction and aid efforts.</w:t>
      </w:r>
    </w:p>
    <w:p w14:paraId="1E7BF85A" w14:textId="77777777" w:rsidR="008B3821" w:rsidRDefault="008B3821" w:rsidP="008B3821">
      <w:pPr>
        <w:rPr>
          <w:b/>
          <w:sz w:val="20"/>
          <w:szCs w:val="20"/>
        </w:rPr>
      </w:pPr>
    </w:p>
    <w:p w14:paraId="6FA67B06" w14:textId="59238A08" w:rsidR="00616EAF" w:rsidRDefault="00353F4B" w:rsidP="008B3821">
      <w:pPr>
        <w:rPr>
          <w:rFonts w:ascii="Garamond" w:hAnsi="Garamond"/>
          <w:szCs w:val="20"/>
        </w:rPr>
      </w:pPr>
      <w:r w:rsidRPr="00CD0433">
        <w:rPr>
          <w:b/>
          <w:i/>
          <w:sz w:val="20"/>
          <w:szCs w:val="20"/>
        </w:rPr>
        <w:t>Community Concern:</w:t>
      </w:r>
      <w:r w:rsidRPr="00CD0433">
        <w:rPr>
          <w:sz w:val="20"/>
          <w:szCs w:val="20"/>
        </w:rPr>
        <w:t xml:space="preserve"> </w:t>
      </w:r>
      <w:r w:rsidR="00616EAF" w:rsidRPr="00616EAF">
        <w:rPr>
          <w:rFonts w:ascii="Garamond" w:hAnsi="Garamond"/>
          <w:szCs w:val="20"/>
        </w:rPr>
        <w:t>Poverty in Thailand has been reducing in the past 30 years</w:t>
      </w:r>
      <w:r w:rsidR="00616EAF">
        <w:rPr>
          <w:rFonts w:ascii="Garamond" w:hAnsi="Garamond"/>
          <w:szCs w:val="20"/>
        </w:rPr>
        <w:t xml:space="preserve"> due to periods of economic growth.</w:t>
      </w:r>
      <w:r w:rsidR="00616EAF" w:rsidRPr="00616EAF">
        <w:rPr>
          <w:rFonts w:ascii="Garamond" w:hAnsi="Garamond"/>
          <w:szCs w:val="20"/>
        </w:rPr>
        <w:t xml:space="preserve"> </w:t>
      </w:r>
      <w:r w:rsidR="00616EAF">
        <w:rPr>
          <w:rFonts w:ascii="Garamond" w:hAnsi="Garamond"/>
          <w:szCs w:val="20"/>
        </w:rPr>
        <w:t>Currently 13% of</w:t>
      </w:r>
      <w:r w:rsidR="0055118C">
        <w:rPr>
          <w:rFonts w:ascii="Garamond" w:hAnsi="Garamond"/>
          <w:szCs w:val="20"/>
        </w:rPr>
        <w:t xml:space="preserve"> the population is impoverished—however, due to reoccurring droughts, decreases in agricultural prices, and, therefore, an unstable economy can all contribute to rises in poverty over the next few decades. According to the World Bank, 6.7 million people live within 20% above the national poverty line and are at risk of becoming impoverished if the economy slows. Therefore, it is important to determine new methods to identify where the poverty is occurring and what groups of t</w:t>
      </w:r>
      <w:r w:rsidR="004474C3">
        <w:rPr>
          <w:rFonts w:ascii="Garamond" w:hAnsi="Garamond"/>
          <w:szCs w:val="20"/>
        </w:rPr>
        <w:t>he population are most at risk.</w:t>
      </w:r>
    </w:p>
    <w:p w14:paraId="6B794CB9" w14:textId="77777777" w:rsidR="00353F4B" w:rsidRDefault="00353F4B" w:rsidP="008B3821">
      <w:pPr>
        <w:rPr>
          <w:b/>
          <w:sz w:val="20"/>
          <w:szCs w:val="20"/>
        </w:rPr>
      </w:pPr>
    </w:p>
    <w:p w14:paraId="402D3D6A" w14:textId="3664B515" w:rsidR="002F5C30" w:rsidRPr="002F5C30" w:rsidRDefault="008B3821" w:rsidP="008B3821">
      <w:pPr>
        <w:rPr>
          <w:rFonts w:ascii="Garamond" w:hAnsi="Garamond"/>
          <w:sz w:val="20"/>
          <w:szCs w:val="20"/>
        </w:rPr>
      </w:pPr>
      <w:r w:rsidRPr="00276572">
        <w:rPr>
          <w:b/>
          <w:i/>
          <w:sz w:val="20"/>
          <w:szCs w:val="20"/>
        </w:rPr>
        <w:t>Source of Project Idea:</w:t>
      </w:r>
      <w:r w:rsidRPr="00CD0433">
        <w:rPr>
          <w:sz w:val="20"/>
          <w:szCs w:val="20"/>
        </w:rPr>
        <w:t xml:space="preserve"> </w:t>
      </w:r>
      <w:r w:rsidR="002F5C30" w:rsidRPr="0055118C">
        <w:rPr>
          <w:rFonts w:ascii="Garamond" w:hAnsi="Garamond"/>
        </w:rPr>
        <w:t>This project idea originated from several talks with the Royal Thai Embassy, NASA SERVIR, and the Asian Disaster Preparedness Center (ADPC). Eric Anderson from NASA SERVIR-Mekong Hub offered the idea, while the Royal Thai Embassy expressed their interest in the project noting that it would produce very h</w:t>
      </w:r>
      <w:r w:rsidR="004474C3">
        <w:rPr>
          <w:rFonts w:ascii="Garamond" w:hAnsi="Garamond"/>
        </w:rPr>
        <w:t>elpful products for the region.</w:t>
      </w:r>
    </w:p>
    <w:p w14:paraId="56693788" w14:textId="77777777" w:rsidR="008B3821" w:rsidRDefault="008B3821" w:rsidP="00276572">
      <w:pPr>
        <w:rPr>
          <w:b/>
          <w:sz w:val="20"/>
          <w:szCs w:val="20"/>
        </w:rPr>
      </w:pPr>
    </w:p>
    <w:p w14:paraId="1D844156" w14:textId="4FB401C7"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2F5C30">
        <w:rPr>
          <w:rFonts w:ascii="Garamond" w:hAnsi="Garamond"/>
        </w:rPr>
        <w:t>Cross-Cutting</w:t>
      </w:r>
    </w:p>
    <w:p w14:paraId="75CB4D6A" w14:textId="14132FB1"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2F5C30">
        <w:rPr>
          <w:rFonts w:ascii="Garamond" w:hAnsi="Garamond"/>
        </w:rPr>
        <w:t>Thailand</w:t>
      </w:r>
    </w:p>
    <w:p w14:paraId="0C393C51" w14:textId="45ACDF82" w:rsidR="00916099" w:rsidRPr="00916099" w:rsidRDefault="00276572" w:rsidP="00B21E0C">
      <w:pPr>
        <w:ind w:left="720" w:hanging="720"/>
        <w:rPr>
          <w:rFonts w:ascii="Garamond" w:hAnsi="Garamond"/>
        </w:rPr>
      </w:pPr>
      <w:r>
        <w:rPr>
          <w:b/>
          <w:i/>
          <w:sz w:val="20"/>
          <w:szCs w:val="20"/>
        </w:rPr>
        <w:t xml:space="preserve">Study </w:t>
      </w:r>
      <w:r w:rsidRPr="00276572">
        <w:rPr>
          <w:b/>
          <w:i/>
          <w:sz w:val="20"/>
          <w:szCs w:val="20"/>
        </w:rPr>
        <w:t>Period:</w:t>
      </w:r>
      <w:r w:rsidRPr="00CD0433">
        <w:rPr>
          <w:b/>
          <w:sz w:val="20"/>
          <w:szCs w:val="20"/>
        </w:rPr>
        <w:t xml:space="preserve"> </w:t>
      </w:r>
      <w:r w:rsidR="00B21E0C">
        <w:rPr>
          <w:rFonts w:ascii="Garamond" w:hAnsi="Garamond"/>
        </w:rPr>
        <w:t>January 2016</w:t>
      </w:r>
      <w:r w:rsidRPr="005C6FC1">
        <w:rPr>
          <w:rFonts w:ascii="Garamond" w:hAnsi="Garamond"/>
        </w:rPr>
        <w:t xml:space="preserve"> </w:t>
      </w:r>
      <w:r w:rsidR="00916099">
        <w:rPr>
          <w:rFonts w:ascii="Garamond" w:hAnsi="Garamond"/>
        </w:rPr>
        <w:t xml:space="preserve">– </w:t>
      </w:r>
      <w:r w:rsidR="00B21E0C">
        <w:rPr>
          <w:rFonts w:ascii="Garamond" w:hAnsi="Garamond"/>
        </w:rPr>
        <w:t>December</w:t>
      </w:r>
      <w:r w:rsidRPr="005C6FC1">
        <w:rPr>
          <w:rFonts w:ascii="Garamond" w:hAnsi="Garamond"/>
        </w:rPr>
        <w:t xml:space="preserve"> </w:t>
      </w:r>
      <w:r w:rsidR="00B21E0C">
        <w:rPr>
          <w:rFonts w:ascii="Garamond" w:hAnsi="Garamond"/>
        </w:rPr>
        <w:t>2016</w:t>
      </w:r>
    </w:p>
    <w:p w14:paraId="462EE0EA" w14:textId="77777777" w:rsidR="00276572" w:rsidRPr="00CD0433" w:rsidRDefault="00276572" w:rsidP="00276572">
      <w:pPr>
        <w:rPr>
          <w:b/>
          <w:sz w:val="20"/>
          <w:szCs w:val="20"/>
        </w:rPr>
      </w:pPr>
    </w:p>
    <w:p w14:paraId="0F77539E" w14:textId="298D1E5E"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2F5C30">
        <w:rPr>
          <w:rFonts w:ascii="Garamond" w:hAnsi="Garamond"/>
        </w:rPr>
        <w:t xml:space="preserve">Dr. Jeffrey </w:t>
      </w:r>
      <w:proofErr w:type="spellStart"/>
      <w:r w:rsidR="002F5C30">
        <w:rPr>
          <w:rFonts w:ascii="Garamond" w:hAnsi="Garamond"/>
        </w:rPr>
        <w:t>Luvall</w:t>
      </w:r>
      <w:proofErr w:type="spellEnd"/>
      <w:r w:rsidR="002F5C30">
        <w:rPr>
          <w:rFonts w:ascii="Garamond" w:hAnsi="Garamond"/>
        </w:rPr>
        <w:t xml:space="preserve"> (NASA </w:t>
      </w:r>
      <w:r w:rsidR="004474C3">
        <w:rPr>
          <w:rFonts w:ascii="Garamond" w:hAnsi="Garamond"/>
        </w:rPr>
        <w:t>Marshall Space Flight Center</w:t>
      </w:r>
      <w:r w:rsidR="002F5C30">
        <w:rPr>
          <w:rFonts w:ascii="Garamond" w:hAnsi="Garamond"/>
        </w:rPr>
        <w:t xml:space="preserve">), Dr. Robert Griffin (University of Alabama in Huntsville), Eric Anderson (NASA SERVIR </w:t>
      </w:r>
      <w:r w:rsidR="004474C3">
        <w:rPr>
          <w:rFonts w:ascii="Garamond" w:hAnsi="Garamond"/>
        </w:rPr>
        <w:t xml:space="preserve">Science </w:t>
      </w:r>
      <w:r w:rsidR="002F5C30">
        <w:rPr>
          <w:rFonts w:ascii="Garamond" w:hAnsi="Garamond"/>
        </w:rPr>
        <w:t>Coordination Office), Leigh Sinclair (University of Alabama in Huntsville</w:t>
      </w:r>
      <w:r w:rsidR="004474C3">
        <w:rPr>
          <w:rFonts w:ascii="Garamond" w:hAnsi="Garamond"/>
        </w:rPr>
        <w:t xml:space="preserve">, </w:t>
      </w:r>
      <w:r w:rsidR="002F5C30">
        <w:rPr>
          <w:rFonts w:ascii="Garamond" w:hAnsi="Garamond"/>
        </w:rPr>
        <w:t>Information Technology and Systems Center)</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7777777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61AA0">
        <w:tc>
          <w:tcPr>
            <w:tcW w:w="3060" w:type="dxa"/>
          </w:tcPr>
          <w:p w14:paraId="147FACB8" w14:textId="565362C4" w:rsidR="006804AC" w:rsidRPr="005C6FC1" w:rsidRDefault="002F5C30" w:rsidP="004474C3">
            <w:pPr>
              <w:rPr>
                <w:rFonts w:ascii="Garamond" w:hAnsi="Garamond"/>
              </w:rPr>
            </w:pPr>
            <w:r>
              <w:rPr>
                <w:rFonts w:ascii="Garamond" w:hAnsi="Garamond"/>
              </w:rPr>
              <w:t>Royal Thai Embassy</w:t>
            </w:r>
          </w:p>
        </w:tc>
        <w:tc>
          <w:tcPr>
            <w:tcW w:w="3510" w:type="dxa"/>
          </w:tcPr>
          <w:p w14:paraId="0111C027" w14:textId="765F97F9" w:rsidR="006804AC" w:rsidRPr="005C6FC1" w:rsidRDefault="002D4D6C" w:rsidP="00760D6E">
            <w:pPr>
              <w:rPr>
                <w:rFonts w:ascii="Garamond" w:hAnsi="Garamond"/>
              </w:rPr>
            </w:pPr>
            <w:r>
              <w:rPr>
                <w:rFonts w:ascii="Garamond" w:hAnsi="Garamond"/>
              </w:rPr>
              <w:t xml:space="preserve">Gam </w:t>
            </w:r>
            <w:proofErr w:type="spellStart"/>
            <w:r w:rsidR="00072E64">
              <w:rPr>
                <w:rFonts w:ascii="Garamond" w:hAnsi="Garamond"/>
              </w:rPr>
              <w:t>Bunyakiat</w:t>
            </w:r>
            <w:proofErr w:type="spellEnd"/>
            <w:r w:rsidR="00072E64">
              <w:rPr>
                <w:rFonts w:ascii="Garamond" w:hAnsi="Garamond"/>
              </w:rPr>
              <w:t xml:space="preserve"> Petri</w:t>
            </w:r>
            <w:r>
              <w:rPr>
                <w:rFonts w:ascii="Garamond" w:hAnsi="Garamond"/>
              </w:rPr>
              <w:t>,</w:t>
            </w:r>
            <w:r w:rsidR="00ED0146">
              <w:rPr>
                <w:rFonts w:ascii="Garamond" w:hAnsi="Garamond"/>
              </w:rPr>
              <w:t xml:space="preserve"> Project Consultant and Policy Analyst </w:t>
            </w:r>
          </w:p>
        </w:tc>
        <w:tc>
          <w:tcPr>
            <w:tcW w:w="1620" w:type="dxa"/>
          </w:tcPr>
          <w:p w14:paraId="21053937" w14:textId="07A2608B" w:rsidR="006804AC" w:rsidRPr="005C6FC1" w:rsidRDefault="002D4D6C" w:rsidP="00A44DD0">
            <w:pPr>
              <w:rPr>
                <w:rFonts w:ascii="Garamond" w:hAnsi="Garamond"/>
              </w:rPr>
            </w:pPr>
            <w:r>
              <w:rPr>
                <w:rFonts w:ascii="Garamond" w:hAnsi="Garamond"/>
              </w:rPr>
              <w:t>Collaborator</w:t>
            </w:r>
          </w:p>
        </w:tc>
        <w:tc>
          <w:tcPr>
            <w:tcW w:w="1080" w:type="dxa"/>
          </w:tcPr>
          <w:p w14:paraId="6070AA6D" w14:textId="7D3F98FF" w:rsidR="006804AC" w:rsidRPr="005C6FC1" w:rsidRDefault="006804AC" w:rsidP="006804AC">
            <w:pPr>
              <w:jc w:val="center"/>
              <w:rPr>
                <w:rFonts w:ascii="Garamond" w:hAnsi="Garamond"/>
              </w:rPr>
            </w:pPr>
            <w:r w:rsidRPr="005C6FC1">
              <w:rPr>
                <w:rFonts w:ascii="Garamond" w:hAnsi="Garamond"/>
              </w:rPr>
              <w:t>Yes</w:t>
            </w:r>
          </w:p>
        </w:tc>
      </w:tr>
      <w:tr w:rsidR="006804AC" w14:paraId="3CC8ABAF" w14:textId="77777777" w:rsidTr="00461AA0">
        <w:tc>
          <w:tcPr>
            <w:tcW w:w="3060" w:type="dxa"/>
          </w:tcPr>
          <w:p w14:paraId="09C3C822" w14:textId="23BA3346" w:rsidR="006804AC" w:rsidRPr="005C6FC1" w:rsidRDefault="002F5C30" w:rsidP="00F878E4">
            <w:pPr>
              <w:rPr>
                <w:rFonts w:ascii="Garamond" w:hAnsi="Garamond"/>
              </w:rPr>
            </w:pPr>
            <w:r>
              <w:rPr>
                <w:rFonts w:ascii="Garamond" w:hAnsi="Garamond"/>
              </w:rPr>
              <w:t>Asian Disasters Preparedness Center (ADPC</w:t>
            </w:r>
            <w:r w:rsidR="00F878E4">
              <w:rPr>
                <w:rFonts w:ascii="Garamond" w:hAnsi="Garamond"/>
              </w:rPr>
              <w:t>)</w:t>
            </w:r>
          </w:p>
        </w:tc>
        <w:tc>
          <w:tcPr>
            <w:tcW w:w="3510" w:type="dxa"/>
          </w:tcPr>
          <w:p w14:paraId="72F81866" w14:textId="77777777" w:rsidR="006804AC" w:rsidRDefault="002E4C48" w:rsidP="006804AC">
            <w:pPr>
              <w:rPr>
                <w:rFonts w:ascii="Garamond" w:hAnsi="Garamond"/>
              </w:rPr>
            </w:pPr>
            <w:r>
              <w:rPr>
                <w:rFonts w:ascii="Garamond" w:hAnsi="Garamond"/>
              </w:rPr>
              <w:t xml:space="preserve">Peter Cutter, SERVIR-Mekong Science &amp; Data Co-Lead </w:t>
            </w:r>
          </w:p>
          <w:p w14:paraId="0A7944EC" w14:textId="60B3B55D" w:rsidR="002E4C48" w:rsidRDefault="002E4C48" w:rsidP="006804AC">
            <w:pPr>
              <w:rPr>
                <w:rFonts w:ascii="Garamond" w:hAnsi="Garamond"/>
              </w:rPr>
            </w:pPr>
            <w:proofErr w:type="spellStart"/>
            <w:r>
              <w:rPr>
                <w:rFonts w:ascii="Garamond" w:hAnsi="Garamond"/>
              </w:rPr>
              <w:t>Peeranan</w:t>
            </w:r>
            <w:proofErr w:type="spellEnd"/>
            <w:r>
              <w:rPr>
                <w:rFonts w:ascii="Garamond" w:hAnsi="Garamond"/>
              </w:rPr>
              <w:t xml:space="preserve"> </w:t>
            </w:r>
            <w:proofErr w:type="spellStart"/>
            <w:r>
              <w:rPr>
                <w:rFonts w:ascii="Garamond" w:hAnsi="Garamond"/>
              </w:rPr>
              <w:t>Towashiraporn</w:t>
            </w:r>
            <w:proofErr w:type="spellEnd"/>
            <w:r w:rsidR="00072E64">
              <w:rPr>
                <w:rFonts w:ascii="Garamond" w:hAnsi="Garamond"/>
              </w:rPr>
              <w:t>, Chief of Party</w:t>
            </w:r>
          </w:p>
          <w:p w14:paraId="36E16CC9" w14:textId="35CE3DEB" w:rsidR="002E4C48" w:rsidRPr="005C6FC1" w:rsidRDefault="002E4C48" w:rsidP="006804AC">
            <w:pPr>
              <w:rPr>
                <w:rFonts w:ascii="Garamond" w:hAnsi="Garamond"/>
              </w:rPr>
            </w:pPr>
          </w:p>
        </w:tc>
        <w:tc>
          <w:tcPr>
            <w:tcW w:w="1620" w:type="dxa"/>
          </w:tcPr>
          <w:p w14:paraId="011729D9" w14:textId="08F3D334" w:rsidR="006804AC" w:rsidRPr="005C6FC1" w:rsidRDefault="00570F54" w:rsidP="00A44DD0">
            <w:pPr>
              <w:rPr>
                <w:rFonts w:ascii="Garamond" w:hAnsi="Garamond"/>
              </w:rPr>
            </w:pPr>
            <w:r>
              <w:rPr>
                <w:rFonts w:ascii="Garamond" w:hAnsi="Garamond"/>
              </w:rPr>
              <w:t>End User</w:t>
            </w:r>
          </w:p>
        </w:tc>
        <w:tc>
          <w:tcPr>
            <w:tcW w:w="1080" w:type="dxa"/>
          </w:tcPr>
          <w:p w14:paraId="70AD209A" w14:textId="34E9827C" w:rsidR="006804AC" w:rsidRPr="005C6FC1" w:rsidRDefault="002F5C30" w:rsidP="006804AC">
            <w:pPr>
              <w:jc w:val="center"/>
              <w:rPr>
                <w:rFonts w:ascii="Garamond" w:hAnsi="Garamond"/>
              </w:rPr>
            </w:pPr>
            <w:r>
              <w:rPr>
                <w:rFonts w:ascii="Garamond" w:hAnsi="Garamond"/>
              </w:rPr>
              <w:t>Yes</w:t>
            </w:r>
          </w:p>
        </w:tc>
      </w:tr>
      <w:tr w:rsidR="00F878E4" w14:paraId="0AA7E944" w14:textId="77777777" w:rsidTr="00461AA0">
        <w:tc>
          <w:tcPr>
            <w:tcW w:w="3060" w:type="dxa"/>
          </w:tcPr>
          <w:p w14:paraId="7EAE50B2" w14:textId="25D2D863" w:rsidR="00F878E4" w:rsidRDefault="00F878E4" w:rsidP="00A44DD0">
            <w:pPr>
              <w:rPr>
                <w:rFonts w:ascii="Garamond" w:hAnsi="Garamond"/>
              </w:rPr>
            </w:pPr>
            <w:r>
              <w:rPr>
                <w:rFonts w:ascii="Garamond" w:hAnsi="Garamond"/>
              </w:rPr>
              <w:lastRenderedPageBreak/>
              <w:t xml:space="preserve">NASA SERVIR </w:t>
            </w:r>
            <w:r w:rsidR="004474C3">
              <w:rPr>
                <w:rFonts w:ascii="Garamond" w:hAnsi="Garamond"/>
              </w:rPr>
              <w:t xml:space="preserve">Science </w:t>
            </w:r>
            <w:r>
              <w:rPr>
                <w:rFonts w:ascii="Garamond" w:hAnsi="Garamond"/>
              </w:rPr>
              <w:t>Coordination Office</w:t>
            </w:r>
          </w:p>
        </w:tc>
        <w:tc>
          <w:tcPr>
            <w:tcW w:w="3510" w:type="dxa"/>
          </w:tcPr>
          <w:p w14:paraId="06D1FBF6" w14:textId="4C563074" w:rsidR="00F878E4" w:rsidRDefault="00F878E4" w:rsidP="006804AC">
            <w:pPr>
              <w:rPr>
                <w:rFonts w:ascii="Garamond" w:hAnsi="Garamond"/>
              </w:rPr>
            </w:pPr>
            <w:r>
              <w:rPr>
                <w:rFonts w:ascii="Garamond" w:hAnsi="Garamond"/>
              </w:rPr>
              <w:t>Eric Anderson, SERVIR-Mekong Science Coordination Lead</w:t>
            </w:r>
            <w:r w:rsidR="00760D6E">
              <w:rPr>
                <w:rFonts w:ascii="Garamond" w:hAnsi="Garamond"/>
              </w:rPr>
              <w:t xml:space="preserve"> </w:t>
            </w:r>
          </w:p>
          <w:p w14:paraId="005AB8D3" w14:textId="7D11FAC4" w:rsidR="00F878E4" w:rsidRDefault="00F878E4" w:rsidP="006804AC">
            <w:pPr>
              <w:rPr>
                <w:rFonts w:ascii="Garamond" w:hAnsi="Garamond"/>
              </w:rPr>
            </w:pPr>
            <w:proofErr w:type="spellStart"/>
            <w:r>
              <w:rPr>
                <w:rFonts w:ascii="Garamond" w:hAnsi="Garamond"/>
              </w:rPr>
              <w:t>Kel</w:t>
            </w:r>
            <w:proofErr w:type="spellEnd"/>
            <w:r>
              <w:rPr>
                <w:rFonts w:ascii="Garamond" w:hAnsi="Garamond"/>
              </w:rPr>
              <w:t xml:space="preserve"> </w:t>
            </w:r>
            <w:proofErr w:type="spellStart"/>
            <w:r>
              <w:rPr>
                <w:rFonts w:ascii="Garamond" w:hAnsi="Garamond"/>
              </w:rPr>
              <w:t>Markert</w:t>
            </w:r>
            <w:proofErr w:type="spellEnd"/>
            <w:r>
              <w:rPr>
                <w:rFonts w:ascii="Garamond" w:hAnsi="Garamond"/>
              </w:rPr>
              <w:t>, SERVIR-Mekong Research Associate</w:t>
            </w:r>
          </w:p>
        </w:tc>
        <w:tc>
          <w:tcPr>
            <w:tcW w:w="1620" w:type="dxa"/>
          </w:tcPr>
          <w:p w14:paraId="33712961" w14:textId="394DC47E" w:rsidR="00F878E4" w:rsidRPr="005C6FC1" w:rsidRDefault="00F878E4" w:rsidP="00A44DD0">
            <w:pPr>
              <w:rPr>
                <w:rFonts w:ascii="Garamond" w:hAnsi="Garamond"/>
              </w:rPr>
            </w:pPr>
            <w:r>
              <w:rPr>
                <w:rFonts w:ascii="Garamond" w:hAnsi="Garamond"/>
              </w:rPr>
              <w:t>Collaborator</w:t>
            </w:r>
          </w:p>
        </w:tc>
        <w:tc>
          <w:tcPr>
            <w:tcW w:w="1080" w:type="dxa"/>
          </w:tcPr>
          <w:p w14:paraId="174D46F5" w14:textId="7777FB39" w:rsidR="00F878E4" w:rsidRDefault="00F878E4" w:rsidP="006804AC">
            <w:pPr>
              <w:jc w:val="center"/>
              <w:rPr>
                <w:rFonts w:ascii="Garamond" w:hAnsi="Garamond"/>
              </w:rPr>
            </w:pPr>
            <w:r>
              <w:rPr>
                <w:rFonts w:ascii="Garamond" w:hAnsi="Garamond"/>
              </w:rPr>
              <w:t>No</w:t>
            </w:r>
          </w:p>
        </w:tc>
      </w:tr>
    </w:tbl>
    <w:p w14:paraId="77D4BCBD" w14:textId="40BBBB6C"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1585FE7F" w14:textId="295C96DD" w:rsidR="00E77882" w:rsidRDefault="00F52113" w:rsidP="00E77882">
      <w:pPr>
        <w:rPr>
          <w:rFonts w:ascii="Garamond" w:hAnsi="Garamond"/>
          <w:szCs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E77882">
        <w:rPr>
          <w:rFonts w:ascii="Garamond" w:hAnsi="Garamond"/>
          <w:b/>
          <w:i/>
          <w:szCs w:val="20"/>
        </w:rPr>
        <w:t>:</w:t>
      </w:r>
      <w:r w:rsidR="00CD0433" w:rsidRPr="00E77882">
        <w:rPr>
          <w:rFonts w:ascii="Garamond" w:hAnsi="Garamond"/>
          <w:i/>
          <w:szCs w:val="20"/>
        </w:rPr>
        <w:t xml:space="preserve"> </w:t>
      </w:r>
      <w:r w:rsidR="00E77882">
        <w:rPr>
          <w:rFonts w:ascii="Garamond" w:hAnsi="Garamond"/>
          <w:i/>
          <w:szCs w:val="20"/>
        </w:rPr>
        <w:t xml:space="preserve"> </w:t>
      </w:r>
      <w:r w:rsidR="00E77882" w:rsidRPr="00E77882">
        <w:rPr>
          <w:rFonts w:ascii="Garamond" w:hAnsi="Garamond"/>
          <w:szCs w:val="20"/>
        </w:rPr>
        <w:t>ADPC</w:t>
      </w:r>
      <w:r w:rsidR="00E77882">
        <w:rPr>
          <w:rFonts w:ascii="Garamond" w:hAnsi="Garamond"/>
          <w:i/>
          <w:szCs w:val="20"/>
        </w:rPr>
        <w:t xml:space="preserve"> </w:t>
      </w:r>
      <w:r w:rsidR="00E77882" w:rsidRPr="00E77882">
        <w:rPr>
          <w:rFonts w:ascii="Garamond" w:hAnsi="Garamond"/>
          <w:szCs w:val="20"/>
        </w:rPr>
        <w:t>serve</w:t>
      </w:r>
      <w:r w:rsidR="00E77882">
        <w:rPr>
          <w:rFonts w:ascii="Garamond" w:hAnsi="Garamond"/>
          <w:szCs w:val="20"/>
        </w:rPr>
        <w:t>s</w:t>
      </w:r>
      <w:r w:rsidR="00E77882" w:rsidRPr="00E77882">
        <w:rPr>
          <w:rFonts w:ascii="Garamond" w:hAnsi="Garamond"/>
          <w:szCs w:val="20"/>
        </w:rPr>
        <w:t xml:space="preserve"> as a liaison to regional organizations throughout the Lower Mekong</w:t>
      </w:r>
      <w:r w:rsidR="00E77882">
        <w:rPr>
          <w:rFonts w:ascii="Garamond" w:hAnsi="Garamond"/>
          <w:szCs w:val="20"/>
        </w:rPr>
        <w:t xml:space="preserve"> to build their capacity to keep them informed for further decision making</w:t>
      </w:r>
      <w:r w:rsidR="00E77882" w:rsidRPr="00E77882">
        <w:rPr>
          <w:rFonts w:ascii="Garamond" w:hAnsi="Garamond"/>
          <w:szCs w:val="20"/>
        </w:rPr>
        <w:t xml:space="preserve">. </w:t>
      </w:r>
      <w:r w:rsidR="00E77882">
        <w:rPr>
          <w:rFonts w:ascii="Garamond" w:hAnsi="Garamond"/>
          <w:szCs w:val="20"/>
        </w:rPr>
        <w:t xml:space="preserve">The final products of this project can serve as a basis for their future research of poverty analysis throughout surrounding Asian countries. From there, decisions can be made as to what areas should receive the most aid for poverty conditions. </w:t>
      </w:r>
    </w:p>
    <w:p w14:paraId="4D834E3E" w14:textId="77777777" w:rsidR="002E2D9E" w:rsidRDefault="002E2D9E" w:rsidP="00E77882">
      <w:pPr>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2E7F056C" w14:textId="1FC8B90F" w:rsidR="008B3821" w:rsidRDefault="00570F54" w:rsidP="00C72F1A">
      <w:pPr>
        <w:ind w:left="720" w:hanging="720"/>
        <w:rPr>
          <w:rFonts w:ascii="Garamond" w:hAnsi="Garamond"/>
        </w:rPr>
      </w:pPr>
      <w:r>
        <w:rPr>
          <w:rFonts w:ascii="Garamond" w:hAnsi="Garamond"/>
          <w:i/>
        </w:rPr>
        <w:t>A</w:t>
      </w:r>
      <w:r w:rsidR="004474C3">
        <w:rPr>
          <w:rFonts w:ascii="Garamond" w:hAnsi="Garamond"/>
          <w:i/>
        </w:rPr>
        <w:t xml:space="preserve">sian Disasters </w:t>
      </w:r>
      <w:r>
        <w:rPr>
          <w:rFonts w:ascii="Garamond" w:hAnsi="Garamond"/>
          <w:i/>
        </w:rPr>
        <w:t>P</w:t>
      </w:r>
      <w:r w:rsidR="004474C3">
        <w:rPr>
          <w:rFonts w:ascii="Garamond" w:hAnsi="Garamond"/>
          <w:i/>
        </w:rPr>
        <w:t xml:space="preserve">reparedness </w:t>
      </w:r>
      <w:r>
        <w:rPr>
          <w:rFonts w:ascii="Garamond" w:hAnsi="Garamond"/>
          <w:i/>
        </w:rPr>
        <w:t>C</w:t>
      </w:r>
      <w:r w:rsidR="004474C3">
        <w:rPr>
          <w:rFonts w:ascii="Garamond" w:hAnsi="Garamond"/>
          <w:i/>
        </w:rPr>
        <w:t>enter (ADPC)</w:t>
      </w:r>
      <w:r w:rsidR="002E2D9E" w:rsidRPr="005C6FC1">
        <w:rPr>
          <w:rFonts w:ascii="Garamond" w:hAnsi="Garamond"/>
        </w:rPr>
        <w:t xml:space="preserve"> – </w:t>
      </w:r>
      <w:r w:rsidR="0060587F">
        <w:rPr>
          <w:rFonts w:ascii="Garamond" w:hAnsi="Garamond"/>
        </w:rPr>
        <w:t xml:space="preserve">ADPC </w:t>
      </w:r>
      <w:r w:rsidR="00E77882">
        <w:rPr>
          <w:rFonts w:ascii="Garamond" w:hAnsi="Garamond"/>
        </w:rPr>
        <w:t>is already familiar with Earth o</w:t>
      </w:r>
      <w:r w:rsidR="0060587F">
        <w:rPr>
          <w:rFonts w:ascii="Garamond" w:hAnsi="Garamond"/>
        </w:rPr>
        <w:t>bservations</w:t>
      </w:r>
      <w:r w:rsidR="0060587F" w:rsidRPr="00E77882">
        <w:rPr>
          <w:rFonts w:ascii="Garamond" w:hAnsi="Garamond"/>
        </w:rPr>
        <w:t>.</w:t>
      </w:r>
      <w:r w:rsidR="00E77882" w:rsidRPr="00E77882">
        <w:rPr>
          <w:rFonts w:ascii="Garamond" w:hAnsi="Garamond"/>
        </w:rPr>
        <w:t xml:space="preserve"> They respond to end user needs for Earth observations and information dissemination/management systems by increasing their capacity to access and use such tools.</w:t>
      </w:r>
      <w:r w:rsidR="00E77882">
        <w:rPr>
          <w:rFonts w:ascii="Garamond" w:hAnsi="Garamond"/>
        </w:rPr>
        <w:t xml:space="preserve"> Furthermore, t</w:t>
      </w:r>
      <w:r w:rsidR="0060587F">
        <w:rPr>
          <w:rFonts w:ascii="Garamond" w:hAnsi="Garamond"/>
        </w:rPr>
        <w:t>his project will expand their knowledge with Suomi NPP VIIRS DNB.</w:t>
      </w:r>
    </w:p>
    <w:p w14:paraId="46FF00D8" w14:textId="77777777" w:rsidR="006E1C6C" w:rsidRDefault="006E1C6C" w:rsidP="006E1C6C">
      <w:pPr>
        <w:ind w:left="720" w:hanging="720"/>
        <w:rPr>
          <w:sz w:val="20"/>
          <w:szCs w:val="20"/>
        </w:rPr>
      </w:pPr>
    </w:p>
    <w:p w14:paraId="3FD02666"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2F5DFF48"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44173A08" w14:textId="33149A03" w:rsidR="006E1C6C" w:rsidRPr="005C6FC1" w:rsidRDefault="003E443B" w:rsidP="009812BB">
      <w:pPr>
        <w:ind w:left="720" w:hanging="720"/>
        <w:rPr>
          <w:rFonts w:ascii="Garamond" w:hAnsi="Garamond"/>
        </w:rPr>
      </w:pPr>
      <w:r>
        <w:rPr>
          <w:rFonts w:ascii="Garamond" w:hAnsi="Garamond"/>
          <w:i/>
        </w:rPr>
        <w:t>Royal Thai Embassy</w:t>
      </w:r>
      <w:r w:rsidR="006E1C6C" w:rsidRPr="005C6FC1">
        <w:rPr>
          <w:rFonts w:ascii="Garamond" w:hAnsi="Garamond"/>
        </w:rPr>
        <w:t xml:space="preserve"> – </w:t>
      </w:r>
      <w:r w:rsidR="0060587F">
        <w:rPr>
          <w:rFonts w:ascii="Garamond" w:hAnsi="Garamond"/>
        </w:rPr>
        <w:t>The Royal Thai Embassy will be communicating with the team to provide information about the state of poverty in Thailand and offer insi</w:t>
      </w:r>
      <w:r w:rsidR="00D33F44">
        <w:rPr>
          <w:rFonts w:ascii="Garamond" w:hAnsi="Garamond"/>
        </w:rPr>
        <w:t>ght as to what facets of the research will helpful for the people of Thailand.</w:t>
      </w:r>
    </w:p>
    <w:p w14:paraId="4A1A2CAF" w14:textId="77777777" w:rsidR="009812BB" w:rsidRDefault="009812BB" w:rsidP="009812BB">
      <w:pPr>
        <w:ind w:left="720" w:hanging="720"/>
        <w:rPr>
          <w:sz w:val="20"/>
          <w:szCs w:val="20"/>
        </w:rPr>
      </w:pPr>
    </w:p>
    <w:p w14:paraId="4A45AB72" w14:textId="38654393" w:rsidR="003E443B" w:rsidRPr="005C6FC1" w:rsidRDefault="003E443B" w:rsidP="00570F54">
      <w:pPr>
        <w:ind w:left="720" w:hanging="720"/>
        <w:rPr>
          <w:rFonts w:ascii="Garamond" w:hAnsi="Garamond"/>
        </w:rPr>
      </w:pPr>
      <w:r>
        <w:rPr>
          <w:rFonts w:ascii="Garamond" w:hAnsi="Garamond"/>
          <w:i/>
        </w:rPr>
        <w:t xml:space="preserve">NASA SERVIR </w:t>
      </w:r>
      <w:r w:rsidR="004474C3">
        <w:rPr>
          <w:rFonts w:ascii="Garamond" w:hAnsi="Garamond"/>
          <w:i/>
        </w:rPr>
        <w:t xml:space="preserve">Science </w:t>
      </w:r>
      <w:r>
        <w:rPr>
          <w:rFonts w:ascii="Garamond" w:hAnsi="Garamond"/>
          <w:i/>
        </w:rPr>
        <w:t>Coordination Office</w:t>
      </w:r>
      <w:r w:rsidR="00D33F44">
        <w:rPr>
          <w:rFonts w:ascii="Garamond" w:hAnsi="Garamond"/>
        </w:rPr>
        <w:t xml:space="preserve"> – NASA SERVIR will be involved through their meetings with the team where they will offer their expertise in remote sensing and experience with the Mekong region. </w:t>
      </w:r>
    </w:p>
    <w:p w14:paraId="17B3A381" w14:textId="77777777" w:rsidR="00CA0EED" w:rsidRDefault="00CA0EED" w:rsidP="00CA0EED">
      <w:pPr>
        <w:rPr>
          <w:sz w:val="20"/>
          <w:szCs w:val="20"/>
        </w:rPr>
      </w:pPr>
    </w:p>
    <w:p w14:paraId="5A42BE83" w14:textId="77777777" w:rsidR="00F878E4" w:rsidRDefault="00C72F1A" w:rsidP="00CA0EED">
      <w:pPr>
        <w:rPr>
          <w:rFonts w:ascii="Garamond" w:hAnsi="Garamond"/>
          <w:b/>
          <w:i/>
        </w:rPr>
      </w:pPr>
      <w:r>
        <w:rPr>
          <w:b/>
          <w:i/>
          <w:sz w:val="20"/>
          <w:szCs w:val="20"/>
        </w:rPr>
        <w:t xml:space="preserve">Dissemination by </w:t>
      </w:r>
      <w:r w:rsidR="00CA0EED" w:rsidRPr="00CA0EED">
        <w:rPr>
          <w:b/>
          <w:i/>
          <w:sz w:val="20"/>
          <w:szCs w:val="20"/>
        </w:rPr>
        <w:t>Bou</w:t>
      </w:r>
      <w:r>
        <w:rPr>
          <w:b/>
          <w:i/>
          <w:sz w:val="20"/>
          <w:szCs w:val="20"/>
        </w:rPr>
        <w:t>ndary Organizations</w:t>
      </w:r>
      <w:r w:rsidR="00CA0EED" w:rsidRPr="00C72F1A">
        <w:rPr>
          <w:b/>
          <w:sz w:val="20"/>
          <w:szCs w:val="20"/>
        </w:rPr>
        <w:t>:</w:t>
      </w:r>
      <w:r w:rsidRPr="005C6FC1">
        <w:rPr>
          <w:rFonts w:ascii="Garamond" w:hAnsi="Garamond"/>
          <w:b/>
          <w:i/>
        </w:rPr>
        <w:t xml:space="preserve"> </w:t>
      </w:r>
    </w:p>
    <w:p w14:paraId="346EEDFA" w14:textId="5BF6D2D2" w:rsidR="00F878E4" w:rsidRPr="0055118C" w:rsidRDefault="00F878E4" w:rsidP="00F878E4">
      <w:pPr>
        <w:rPr>
          <w:rFonts w:ascii="Garamond" w:hAnsi="Garamond"/>
          <w:szCs w:val="20"/>
        </w:rPr>
      </w:pPr>
      <w:r w:rsidRPr="0055118C">
        <w:rPr>
          <w:rFonts w:ascii="Garamond" w:hAnsi="Garamond"/>
          <w:szCs w:val="20"/>
        </w:rPr>
        <w:t>Officials at the Royal Thai Embassy will serve as the liaison to local organizations and decision makers throughout Thailand. The Royal Thai Embassy will provide these local parties with the derived end-products and results that will improve disaster management practices a</w:t>
      </w:r>
      <w:r w:rsidR="004474C3">
        <w:rPr>
          <w:rFonts w:ascii="Garamond" w:hAnsi="Garamond"/>
          <w:szCs w:val="20"/>
        </w:rPr>
        <w:t>nd the allocation of resources.</w:t>
      </w:r>
    </w:p>
    <w:p w14:paraId="58B257E6" w14:textId="77777777" w:rsidR="00F878E4" w:rsidRPr="0055118C" w:rsidRDefault="00F878E4" w:rsidP="00F878E4">
      <w:pPr>
        <w:rPr>
          <w:rFonts w:ascii="Garamond" w:hAnsi="Garamond"/>
          <w:szCs w:val="20"/>
        </w:rPr>
      </w:pPr>
    </w:p>
    <w:p w14:paraId="4CE30199" w14:textId="7CB8C83B" w:rsidR="00F878E4" w:rsidRPr="0055118C" w:rsidRDefault="00F878E4" w:rsidP="00F878E4">
      <w:pPr>
        <w:rPr>
          <w:rFonts w:ascii="Garamond" w:hAnsi="Garamond"/>
          <w:szCs w:val="20"/>
        </w:rPr>
      </w:pPr>
      <w:r w:rsidRPr="0055118C">
        <w:rPr>
          <w:rFonts w:ascii="Garamond" w:hAnsi="Garamond"/>
          <w:szCs w:val="20"/>
        </w:rPr>
        <w:t>ADPC will also serve as a liaison to regional organizations throughout the Lower Mekong.</w:t>
      </w:r>
    </w:p>
    <w:p w14:paraId="1242BC45" w14:textId="77777777" w:rsidR="00C057E9" w:rsidRDefault="00C057E9" w:rsidP="0055118C">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270299E2"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85435F" w:rsidRPr="0085435F">
        <w:rPr>
          <w:rFonts w:ascii="Garamond" w:hAnsi="Garamond"/>
          <w:szCs w:val="20"/>
        </w:rPr>
        <w:t>The team lead of the project will set up partner calls during the first week of the term for participants and partners to introduce themselves and discuss any possible updates or desired changes to the project.</w:t>
      </w:r>
      <w:r w:rsidR="0085435F">
        <w:rPr>
          <w:rFonts w:ascii="Garamond" w:hAnsi="Garamond"/>
          <w:szCs w:val="20"/>
        </w:rPr>
        <w:t xml:space="preserve"> Communication with the Embassy should always include a DEVELOP NPO representative. Further communication throughout the term will occur on a weekly or biweekly basis via email, teleconference, or, for local partners, and in-person meeting.</w:t>
      </w:r>
    </w:p>
    <w:p w14:paraId="7D7547C5" w14:textId="77777777" w:rsidR="00C057E9" w:rsidRDefault="00C057E9" w:rsidP="00C72F1A">
      <w:pPr>
        <w:rPr>
          <w:sz w:val="20"/>
          <w:szCs w:val="20"/>
        </w:rPr>
      </w:pPr>
    </w:p>
    <w:p w14:paraId="13AE66F3" w14:textId="5986C3ED" w:rsidR="0085435F" w:rsidRPr="0085435F" w:rsidRDefault="00C057E9" w:rsidP="00C72F1A">
      <w:pPr>
        <w:rPr>
          <w:rFonts w:ascii="Garamond" w:hAnsi="Garamond"/>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85435F" w:rsidRPr="0085435F">
        <w:rPr>
          <w:rFonts w:ascii="Garamond" w:hAnsi="Garamond"/>
          <w:szCs w:val="20"/>
        </w:rPr>
        <w:t>The handoff of project end products for local partners will occur via flash drive during an in-person presentation. For non-local partners, end products will be delivered virtually in conjunction with a teleconference or Google Hangout presentation of the project’s findings. The partners will use this information during their decision making in Thailand. A software release is not anticipated for this project.</w:t>
      </w:r>
    </w:p>
    <w:p w14:paraId="55485070" w14:textId="77777777" w:rsidR="00CD0433" w:rsidRP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412"/>
        <w:gridCol w:w="4604"/>
      </w:tblGrid>
      <w:tr w:rsidR="00B76BDC" w:rsidRPr="00CD0433" w14:paraId="1E59A37D" w14:textId="77777777" w:rsidTr="00DC6974">
        <w:tc>
          <w:tcPr>
            <w:tcW w:w="216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A492A">
        <w:tc>
          <w:tcPr>
            <w:tcW w:w="2160" w:type="dxa"/>
            <w:vAlign w:val="center"/>
          </w:tcPr>
          <w:p w14:paraId="6FE1A73B" w14:textId="3CB2505A" w:rsidR="00B76BDC" w:rsidRPr="005C6FC1" w:rsidRDefault="00F878E4" w:rsidP="00B21E0C">
            <w:pPr>
              <w:rPr>
                <w:rFonts w:ascii="Garamond" w:hAnsi="Garamond"/>
                <w:b/>
                <w:bCs/>
              </w:rPr>
            </w:pPr>
            <w:r>
              <w:rPr>
                <w:rFonts w:ascii="Garamond" w:hAnsi="Garamond"/>
                <w:b/>
                <w:bCs/>
              </w:rPr>
              <w:t xml:space="preserve">Suomi </w:t>
            </w:r>
            <w:r w:rsidR="00B21E0C">
              <w:rPr>
                <w:rFonts w:ascii="Garamond" w:hAnsi="Garamond"/>
                <w:b/>
                <w:bCs/>
              </w:rPr>
              <w:t>NPP VIIRS</w:t>
            </w:r>
          </w:p>
        </w:tc>
        <w:tc>
          <w:tcPr>
            <w:tcW w:w="2430" w:type="dxa"/>
            <w:vAlign w:val="center"/>
          </w:tcPr>
          <w:p w14:paraId="3ED984CF" w14:textId="273E21EE" w:rsidR="00B76BDC" w:rsidRPr="005C6FC1" w:rsidRDefault="0055118C" w:rsidP="00F878E4">
            <w:pPr>
              <w:rPr>
                <w:rFonts w:ascii="Garamond" w:hAnsi="Garamond"/>
              </w:rPr>
            </w:pPr>
            <w:r>
              <w:rPr>
                <w:rFonts w:ascii="Garamond" w:hAnsi="Garamond"/>
              </w:rPr>
              <w:t>Day/Night Band (DNB)</w:t>
            </w:r>
          </w:p>
        </w:tc>
        <w:tc>
          <w:tcPr>
            <w:tcW w:w="4680" w:type="dxa"/>
            <w:vAlign w:val="center"/>
          </w:tcPr>
          <w:p w14:paraId="39C8D523" w14:textId="19841711" w:rsidR="00B76BDC" w:rsidRPr="005C6FC1" w:rsidRDefault="00B21E0C" w:rsidP="00F878E4">
            <w:pPr>
              <w:rPr>
                <w:rFonts w:ascii="Garamond" w:hAnsi="Garamond"/>
              </w:rPr>
            </w:pPr>
            <w:r>
              <w:rPr>
                <w:rFonts w:ascii="Garamond" w:hAnsi="Garamond"/>
              </w:rPr>
              <w:t xml:space="preserve">To identify areas that lack high light emissions as </w:t>
            </w:r>
            <w:r w:rsidR="004474C3">
              <w:rPr>
                <w:rFonts w:ascii="Garamond" w:hAnsi="Garamond"/>
              </w:rPr>
              <w:t>a proxy for poverty occurrence</w:t>
            </w:r>
          </w:p>
        </w:tc>
      </w:tr>
    </w:tbl>
    <w:p w14:paraId="4ABE973B" w14:textId="78FC82C8" w:rsidR="006A2A26" w:rsidRPr="009B448B" w:rsidRDefault="006A2A26" w:rsidP="006A2A26">
      <w:pPr>
        <w:rPr>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7B75AA29" w:rsidR="006A2A26" w:rsidRDefault="004474C3" w:rsidP="006A2A26">
      <w:pPr>
        <w:ind w:left="720" w:hanging="720"/>
        <w:rPr>
          <w:rFonts w:ascii="Garamond" w:hAnsi="Garamond"/>
        </w:rPr>
      </w:pPr>
      <w:proofErr w:type="spellStart"/>
      <w:r>
        <w:rPr>
          <w:rFonts w:ascii="Garamond" w:hAnsi="Garamond"/>
        </w:rPr>
        <w:t>Esri</w:t>
      </w:r>
      <w:proofErr w:type="spellEnd"/>
      <w:r>
        <w:rPr>
          <w:rFonts w:ascii="Garamond" w:hAnsi="Garamond"/>
        </w:rPr>
        <w:t xml:space="preserve"> </w:t>
      </w:r>
      <w:r w:rsidR="00F878E4">
        <w:rPr>
          <w:rFonts w:ascii="Garamond" w:hAnsi="Garamond"/>
        </w:rPr>
        <w:t>ArcMap 10.3 – Raster Manipulation/Analysis, Image Enhancement, and Map Creation of Suomi NPP DNB</w:t>
      </w:r>
    </w:p>
    <w:p w14:paraId="529C21FC" w14:textId="77777777" w:rsidR="006422ED" w:rsidRPr="006422ED" w:rsidRDefault="006422ED" w:rsidP="006422ED">
      <w:pPr>
        <w:rPr>
          <w:rFonts w:ascii="Garamond" w:hAnsi="Garamond" w:cs="Arial"/>
        </w:rPr>
      </w:pPr>
      <w:r w:rsidRPr="006422ED">
        <w:rPr>
          <w:rFonts w:ascii="Garamond" w:hAnsi="Garamond" w:cs="Arial"/>
        </w:rPr>
        <w:t>Google Earth Engine API – raster manipulation, statistical interpretation, map creation</w:t>
      </w:r>
    </w:p>
    <w:p w14:paraId="600FA1B9" w14:textId="77777777" w:rsidR="00272CD9" w:rsidRDefault="00272CD9" w:rsidP="00DC6974">
      <w:pPr>
        <w:ind w:left="720" w:hanging="720"/>
        <w:rPr>
          <w:b/>
          <w:sz w:val="20"/>
          <w:szCs w:val="20"/>
          <w:u w:val="single"/>
        </w:rPr>
      </w:pPr>
    </w:p>
    <w:p w14:paraId="218DBBDE" w14:textId="77777777" w:rsidR="00760D6E" w:rsidRDefault="00760D6E"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1538F2">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6CADEA21" w14:textId="77777777" w:rsidTr="009A492A">
        <w:tc>
          <w:tcPr>
            <w:tcW w:w="2070" w:type="dxa"/>
            <w:vAlign w:val="center"/>
          </w:tcPr>
          <w:p w14:paraId="60ADAAAA" w14:textId="15FEFE52" w:rsidR="001538F2" w:rsidRPr="001E31E7" w:rsidRDefault="00744A36" w:rsidP="00744A36">
            <w:pPr>
              <w:rPr>
                <w:rFonts w:ascii="Garamond" w:hAnsi="Garamond"/>
                <w:b/>
                <w:bCs/>
              </w:rPr>
            </w:pPr>
            <w:r w:rsidRPr="001E31E7">
              <w:rPr>
                <w:rFonts w:ascii="Garamond" w:hAnsi="Garamond"/>
                <w:b/>
                <w:bCs/>
              </w:rPr>
              <w:t>Night-Time Light Seasonality Time Series</w:t>
            </w:r>
          </w:p>
        </w:tc>
        <w:tc>
          <w:tcPr>
            <w:tcW w:w="3240" w:type="dxa"/>
            <w:vAlign w:val="center"/>
          </w:tcPr>
          <w:p w14:paraId="017926FC" w14:textId="28C3415F" w:rsidR="001538F2" w:rsidRPr="005C6FC1" w:rsidRDefault="00744A36" w:rsidP="00744A36">
            <w:pPr>
              <w:rPr>
                <w:rFonts w:ascii="Garamond" w:hAnsi="Garamond"/>
              </w:rPr>
            </w:pPr>
            <w:r>
              <w:rPr>
                <w:rFonts w:ascii="Garamond" w:hAnsi="Garamond"/>
              </w:rPr>
              <w:t>This time series will show light emissions of different seasons throughout the year. This will be useful for determining the seasonality of energy consumption in Thailand.</w:t>
            </w:r>
          </w:p>
        </w:tc>
        <w:tc>
          <w:tcPr>
            <w:tcW w:w="2880" w:type="dxa"/>
            <w:vAlign w:val="center"/>
          </w:tcPr>
          <w:p w14:paraId="1FD94241" w14:textId="1D2D7BA6" w:rsidR="001538F2" w:rsidRPr="005C6FC1" w:rsidRDefault="00744A36" w:rsidP="009A492A">
            <w:pPr>
              <w:rPr>
                <w:rFonts w:ascii="Garamond" w:hAnsi="Garamond"/>
              </w:rPr>
            </w:pPr>
            <w:r>
              <w:rPr>
                <w:rFonts w:ascii="Garamond" w:hAnsi="Garamond"/>
              </w:rPr>
              <w:t>Suomi NPP VIIRS DNB will be used to showcase the light emissions at night throughout the different seasons in Thailand.</w:t>
            </w:r>
          </w:p>
        </w:tc>
        <w:tc>
          <w:tcPr>
            <w:tcW w:w="1080" w:type="dxa"/>
            <w:vAlign w:val="center"/>
          </w:tcPr>
          <w:p w14:paraId="6CCF6DA3" w14:textId="74ED60E6" w:rsidR="001538F2" w:rsidRPr="005C6FC1" w:rsidRDefault="00744A36" w:rsidP="009A492A">
            <w:pPr>
              <w:rPr>
                <w:rFonts w:ascii="Garamond" w:hAnsi="Garamond"/>
              </w:rPr>
            </w:pPr>
            <w:r>
              <w:rPr>
                <w:rFonts w:ascii="Garamond" w:hAnsi="Garamond"/>
              </w:rPr>
              <w:t>N/A</w:t>
            </w:r>
          </w:p>
        </w:tc>
      </w:tr>
      <w:tr w:rsidR="00744A36" w:rsidRPr="00CD0433" w14:paraId="715DC785" w14:textId="77777777" w:rsidTr="009A492A">
        <w:tc>
          <w:tcPr>
            <w:tcW w:w="2070" w:type="dxa"/>
            <w:vAlign w:val="center"/>
          </w:tcPr>
          <w:p w14:paraId="3692B88D" w14:textId="5FD37024" w:rsidR="00744A36" w:rsidRPr="001E31E7" w:rsidRDefault="00744A36" w:rsidP="00744A36">
            <w:pPr>
              <w:rPr>
                <w:rFonts w:ascii="Garamond" w:hAnsi="Garamond"/>
                <w:b/>
                <w:bCs/>
              </w:rPr>
            </w:pPr>
            <w:r w:rsidRPr="001E31E7">
              <w:rPr>
                <w:rFonts w:ascii="Garamond" w:hAnsi="Garamond"/>
                <w:b/>
                <w:bCs/>
              </w:rPr>
              <w:t>Enhanced Poverty Indices</w:t>
            </w:r>
          </w:p>
        </w:tc>
        <w:tc>
          <w:tcPr>
            <w:tcW w:w="3240" w:type="dxa"/>
            <w:vAlign w:val="center"/>
          </w:tcPr>
          <w:p w14:paraId="35BECBDF" w14:textId="7DF6E233" w:rsidR="00744A36" w:rsidRDefault="00744A36" w:rsidP="00744A36">
            <w:pPr>
              <w:rPr>
                <w:rFonts w:ascii="Garamond" w:hAnsi="Garamond"/>
              </w:rPr>
            </w:pPr>
            <w:r>
              <w:rPr>
                <w:rFonts w:ascii="Garamond" w:hAnsi="Garamond"/>
              </w:rPr>
              <w:t xml:space="preserve">Factors such as the degree at which light emissions decrease further away from cities or distance of light from highways will aid in the creation of an indices that can be used to identify poverty. These indices will be correlated with poverty and other socioeconomic data </w:t>
            </w:r>
            <w:r w:rsidR="006B464F">
              <w:rPr>
                <w:rFonts w:ascii="Garamond" w:hAnsi="Garamond"/>
              </w:rPr>
              <w:t xml:space="preserve">to assess its accuracy. </w:t>
            </w:r>
          </w:p>
        </w:tc>
        <w:tc>
          <w:tcPr>
            <w:tcW w:w="2880" w:type="dxa"/>
            <w:vAlign w:val="center"/>
          </w:tcPr>
          <w:p w14:paraId="739FEAE6" w14:textId="0350BB36" w:rsidR="00744A36" w:rsidRDefault="006B464F" w:rsidP="009A492A">
            <w:pPr>
              <w:rPr>
                <w:rFonts w:ascii="Garamond" w:hAnsi="Garamond"/>
              </w:rPr>
            </w:pPr>
            <w:r>
              <w:rPr>
                <w:rFonts w:ascii="Garamond" w:hAnsi="Garamond"/>
              </w:rPr>
              <w:t>Suomi NPP VIIRS DNB will be used in conjunction with socioeconomic data to determine a standard for measuring poverty with remotely sensed data.</w:t>
            </w:r>
          </w:p>
        </w:tc>
        <w:tc>
          <w:tcPr>
            <w:tcW w:w="1080" w:type="dxa"/>
            <w:vAlign w:val="center"/>
          </w:tcPr>
          <w:p w14:paraId="59035EEE" w14:textId="4B2AC3AF" w:rsidR="00744A36" w:rsidRDefault="006B464F" w:rsidP="009A492A">
            <w:pPr>
              <w:rPr>
                <w:rFonts w:ascii="Garamond" w:hAnsi="Garamond"/>
              </w:rPr>
            </w:pPr>
            <w:r>
              <w:rPr>
                <w:rFonts w:ascii="Garamond" w:hAnsi="Garamond"/>
              </w:rPr>
              <w:t>N/A</w:t>
            </w:r>
          </w:p>
        </w:tc>
      </w:tr>
      <w:tr w:rsidR="006B464F" w:rsidRPr="00CD0433" w14:paraId="1B340EA4" w14:textId="77777777" w:rsidTr="009A492A">
        <w:tc>
          <w:tcPr>
            <w:tcW w:w="2070" w:type="dxa"/>
            <w:vAlign w:val="center"/>
          </w:tcPr>
          <w:p w14:paraId="10897F80" w14:textId="37227B67" w:rsidR="006B464F" w:rsidRPr="001E31E7" w:rsidRDefault="006B464F" w:rsidP="00744A36">
            <w:pPr>
              <w:rPr>
                <w:rFonts w:ascii="Garamond" w:hAnsi="Garamond"/>
                <w:b/>
                <w:bCs/>
              </w:rPr>
            </w:pPr>
            <w:r w:rsidRPr="001E31E7">
              <w:rPr>
                <w:rFonts w:ascii="Garamond" w:hAnsi="Garamond"/>
                <w:b/>
                <w:bCs/>
              </w:rPr>
              <w:t>Socioeconomic Analysis of Poverty in Thailand</w:t>
            </w:r>
          </w:p>
        </w:tc>
        <w:tc>
          <w:tcPr>
            <w:tcW w:w="3240" w:type="dxa"/>
            <w:vAlign w:val="center"/>
          </w:tcPr>
          <w:p w14:paraId="05ED0EA5" w14:textId="158D4B26" w:rsidR="006B464F" w:rsidRDefault="006B464F" w:rsidP="00744A36">
            <w:pPr>
              <w:rPr>
                <w:rFonts w:ascii="Garamond" w:hAnsi="Garamond"/>
              </w:rPr>
            </w:pPr>
            <w:r>
              <w:rPr>
                <w:rFonts w:ascii="Garamond" w:hAnsi="Garamond"/>
              </w:rPr>
              <w:t>This analysis will focus on the results from the poverty indices as well as socioeconomic data such as population of females, children, and other at-risk members of Thailand society. This can highlight the type and number of at-risk people in the population that are faced with poverty. This can inspire further research and aid to those certain groups in the population</w:t>
            </w:r>
          </w:p>
        </w:tc>
        <w:tc>
          <w:tcPr>
            <w:tcW w:w="2880" w:type="dxa"/>
            <w:vAlign w:val="center"/>
          </w:tcPr>
          <w:p w14:paraId="72578BCE" w14:textId="6888B6A3" w:rsidR="006B464F" w:rsidRDefault="006B464F" w:rsidP="009A492A">
            <w:pPr>
              <w:rPr>
                <w:rFonts w:ascii="Garamond" w:hAnsi="Garamond"/>
              </w:rPr>
            </w:pPr>
            <w:r>
              <w:rPr>
                <w:rFonts w:ascii="Garamond" w:hAnsi="Garamond"/>
              </w:rPr>
              <w:t>Results from the Enhanced Poverty Indices and socioeconomic data</w:t>
            </w:r>
          </w:p>
        </w:tc>
        <w:tc>
          <w:tcPr>
            <w:tcW w:w="1080" w:type="dxa"/>
            <w:vAlign w:val="center"/>
          </w:tcPr>
          <w:p w14:paraId="239B630F" w14:textId="7ABC2CB7" w:rsidR="006B464F" w:rsidRDefault="003E443B" w:rsidP="009A492A">
            <w:pPr>
              <w:rPr>
                <w:rFonts w:ascii="Garamond" w:hAnsi="Garamond"/>
              </w:rPr>
            </w:pPr>
            <w:r>
              <w:rPr>
                <w:rFonts w:ascii="Garamond" w:hAnsi="Garamond"/>
              </w:rPr>
              <w:t>N/A</w:t>
            </w:r>
          </w:p>
        </w:tc>
      </w:tr>
    </w:tbl>
    <w:p w14:paraId="66FBE966" w14:textId="77777777" w:rsidR="00073224" w:rsidRPr="00CD0433" w:rsidRDefault="00073224" w:rsidP="00073224">
      <w:pPr>
        <w:rPr>
          <w:b/>
          <w:sz w:val="20"/>
          <w:szCs w:val="20"/>
        </w:rPr>
      </w:pPr>
    </w:p>
    <w:p w14:paraId="318A78B8" w14:textId="0513238C" w:rsidR="008103D5" w:rsidRPr="003E443B" w:rsidRDefault="000F76DA" w:rsidP="00C72F1A">
      <w:pPr>
        <w:rPr>
          <w:szCs w:val="20"/>
        </w:rPr>
      </w:pPr>
      <w:r>
        <w:rPr>
          <w:b/>
          <w:i/>
          <w:sz w:val="20"/>
          <w:szCs w:val="20"/>
        </w:rPr>
        <w:t>End-User Benefit</w:t>
      </w:r>
      <w:r w:rsidRPr="00C72F1A">
        <w:rPr>
          <w:b/>
          <w:sz w:val="20"/>
          <w:szCs w:val="20"/>
        </w:rPr>
        <w:t>:</w:t>
      </w:r>
      <w:r w:rsidR="00C72F1A" w:rsidRPr="00C72F1A">
        <w:rPr>
          <w:sz w:val="20"/>
          <w:szCs w:val="20"/>
        </w:rPr>
        <w:t xml:space="preserve"> </w:t>
      </w:r>
      <w:r w:rsidR="008103D5">
        <w:rPr>
          <w:sz w:val="20"/>
          <w:szCs w:val="20"/>
        </w:rPr>
        <w:t xml:space="preserve"> </w:t>
      </w:r>
      <w:r w:rsidR="00D33F44" w:rsidRPr="00D33F44">
        <w:rPr>
          <w:rFonts w:ascii="Garamond" w:hAnsi="Garamond"/>
          <w:szCs w:val="20"/>
        </w:rPr>
        <w:t>These products are beneficial to the end user by identifying areas where aid should be directed for members of the population that are impoverished</w:t>
      </w:r>
      <w:r w:rsidR="00E27C73">
        <w:rPr>
          <w:rFonts w:ascii="Garamond" w:hAnsi="Garamond"/>
          <w:szCs w:val="20"/>
        </w:rPr>
        <w:t>.</w:t>
      </w:r>
      <w:r w:rsidR="00E27C73" w:rsidRPr="00E27C73">
        <w:rPr>
          <w:rFonts w:ascii="Garamond" w:hAnsi="Garamond"/>
          <w:szCs w:val="20"/>
        </w:rPr>
        <w:t xml:space="preserve"> </w:t>
      </w:r>
      <w:r w:rsidR="008103D5" w:rsidRPr="003E443B">
        <w:rPr>
          <w:rFonts w:ascii="Garamond" w:hAnsi="Garamond"/>
          <w:szCs w:val="20"/>
        </w:rPr>
        <w:t>This</w:t>
      </w:r>
      <w:r w:rsidR="00D33F44">
        <w:rPr>
          <w:rFonts w:ascii="Garamond" w:hAnsi="Garamond"/>
          <w:szCs w:val="20"/>
        </w:rPr>
        <w:t xml:space="preserve"> study</w:t>
      </w:r>
      <w:r w:rsidR="008103D5" w:rsidRPr="003E443B">
        <w:rPr>
          <w:rFonts w:ascii="Garamond" w:hAnsi="Garamond"/>
          <w:szCs w:val="20"/>
        </w:rPr>
        <w:t xml:space="preserve"> offers a less costly and time-intensive survey of poverty in Thailand.</w:t>
      </w:r>
      <w:r w:rsidR="00E27C73">
        <w:rPr>
          <w:rFonts w:ascii="Garamond" w:hAnsi="Garamond"/>
          <w:szCs w:val="20"/>
        </w:rPr>
        <w:t xml:space="preserve"> These products will also increase partners’ capacity to use remote sensing methods of analyzing socioeconomic issues throughout Southeast Asia.</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669134E"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F878E4">
        <w:rPr>
          <w:rFonts w:ascii="Garamond" w:hAnsi="Garamond"/>
        </w:rPr>
        <w:t>1 Term</w:t>
      </w:r>
      <w:r w:rsidRPr="005C6FC1">
        <w:rPr>
          <w:rFonts w:ascii="Garamond" w:hAnsi="Garamond"/>
        </w:rPr>
        <w:t xml:space="preserve">: </w:t>
      </w:r>
      <w:r w:rsidR="00F878E4">
        <w:rPr>
          <w:rFonts w:ascii="Garamond" w:hAnsi="Garamond"/>
        </w:rPr>
        <w:t>2017 Summer</w:t>
      </w:r>
      <w:r w:rsidRPr="005C6FC1">
        <w:rPr>
          <w:rFonts w:ascii="Garamond" w:hAnsi="Garamond"/>
        </w:rPr>
        <w:t xml:space="preserve"> </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10A22498"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2D4D6C">
        <w:rPr>
          <w:rFonts w:ascii="Garamond" w:hAnsi="Garamond"/>
        </w:rPr>
        <w:t>2017 Summer</w:t>
      </w:r>
      <w:r w:rsidR="00461AA0" w:rsidRPr="005C6FC1">
        <w:rPr>
          <w:rFonts w:ascii="Garamond" w:hAnsi="Garamond"/>
        </w:rPr>
        <w:t xml:space="preserve"> (</w:t>
      </w:r>
      <w:r w:rsidR="002D4D6C">
        <w:rPr>
          <w:rFonts w:ascii="Garamond" w:hAnsi="Garamond"/>
        </w:rPr>
        <w:t>MSFC</w:t>
      </w:r>
      <w:r w:rsidR="00461AA0" w:rsidRPr="005C6FC1">
        <w:rPr>
          <w:rFonts w:ascii="Garamond" w:hAnsi="Garamond"/>
        </w:rPr>
        <w:t xml:space="preserve">) – </w:t>
      </w:r>
      <w:r w:rsidR="002D4D6C">
        <w:rPr>
          <w:rFonts w:ascii="Garamond" w:hAnsi="Garamond"/>
        </w:rPr>
        <w:t>Thailand Cross-Cutting</w:t>
      </w:r>
    </w:p>
    <w:p w14:paraId="361AC4A2" w14:textId="53BB0031" w:rsidR="00AE6000" w:rsidRPr="00AE6000" w:rsidRDefault="008103D5" w:rsidP="00461AA0">
      <w:pPr>
        <w:pStyle w:val="ListParagraph"/>
        <w:numPr>
          <w:ilvl w:val="1"/>
          <w:numId w:val="2"/>
        </w:numPr>
        <w:contextualSpacing w:val="0"/>
        <w:rPr>
          <w:rFonts w:ascii="Garamond" w:hAnsi="Garamond"/>
          <w:b/>
        </w:rPr>
      </w:pPr>
      <w:r>
        <w:rPr>
          <w:rFonts w:ascii="Garamond" w:hAnsi="Garamond"/>
        </w:rPr>
        <w:lastRenderedPageBreak/>
        <w:t>The overall objective of this project is to use Suomi NPP VIIRS’s DNB to measure light emissions at night as a pr</w:t>
      </w:r>
      <w:r w:rsidR="00F8166E">
        <w:rPr>
          <w:rFonts w:ascii="Garamond" w:hAnsi="Garamond"/>
        </w:rPr>
        <w:t xml:space="preserve">oxy for poverty in the country. </w:t>
      </w:r>
      <w:r w:rsidR="003E443B">
        <w:rPr>
          <w:rFonts w:ascii="Garamond" w:hAnsi="Garamond"/>
        </w:rPr>
        <w:t xml:space="preserve">Socioeconomic factors to poverty will be addressed in this analysis along with differences in seasonality of the light emissions. Finally a creation of poverty indices will be formed by analyzing the degrees to which light emissions decrease as one moves further away from landmarks such as cities and highways. </w:t>
      </w:r>
      <w:r w:rsidR="00F8166E">
        <w:rPr>
          <w:rFonts w:ascii="Garamond" w:hAnsi="Garamond"/>
        </w:rPr>
        <w:t>This will be beneficial to the project partners because it will sa</w:t>
      </w:r>
      <w:r w:rsidR="003E443B">
        <w:rPr>
          <w:rFonts w:ascii="Garamond" w:hAnsi="Garamond"/>
        </w:rPr>
        <w:t>ve time and money for surveying as well as help in the decision making of where and who to give aid to.</w:t>
      </w:r>
    </w:p>
    <w:p w14:paraId="646F51EE" w14:textId="4A79455A" w:rsidR="00272CD9" w:rsidRPr="00E77882" w:rsidRDefault="00272CD9" w:rsidP="00E77882">
      <w:pPr>
        <w:rPr>
          <w:rFonts w:ascii="Garamond" w:hAnsi="Garamond"/>
          <w:b/>
        </w:rPr>
      </w:pPr>
    </w:p>
    <w:p w14:paraId="28EC9957" w14:textId="77777777" w:rsidR="00272CD9" w:rsidRDefault="00272CD9" w:rsidP="00F878E4">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4001E9D2" w14:textId="3E05474F" w:rsidR="00ED6B3C" w:rsidRPr="005C6FC1" w:rsidRDefault="00F878E4" w:rsidP="00DC6974">
      <w:pPr>
        <w:ind w:left="720" w:hanging="720"/>
        <w:rPr>
          <w:rFonts w:ascii="Garamond" w:hAnsi="Garamond"/>
        </w:rPr>
      </w:pPr>
      <w:r>
        <w:rPr>
          <w:rFonts w:ascii="Garamond" w:hAnsi="Garamond"/>
        </w:rPr>
        <w:t xml:space="preserve">2017 </w:t>
      </w:r>
      <w:proofErr w:type="gramStart"/>
      <w:r>
        <w:rPr>
          <w:rFonts w:ascii="Garamond" w:hAnsi="Garamond"/>
        </w:rPr>
        <w:t>Spring</w:t>
      </w:r>
      <w:proofErr w:type="gramEnd"/>
      <w:r w:rsidR="00ED6B3C" w:rsidRPr="005C6FC1">
        <w:rPr>
          <w:rFonts w:ascii="Garamond" w:hAnsi="Garamond"/>
        </w:rPr>
        <w:t xml:space="preserve"> (</w:t>
      </w:r>
      <w:r>
        <w:rPr>
          <w:rFonts w:ascii="Garamond" w:hAnsi="Garamond"/>
        </w:rPr>
        <w:t xml:space="preserve">Wise County </w:t>
      </w:r>
      <w:r w:rsidR="002D4D6C">
        <w:rPr>
          <w:rFonts w:ascii="Garamond" w:hAnsi="Garamond"/>
        </w:rPr>
        <w:t>Clerk’s</w:t>
      </w:r>
      <w:r>
        <w:rPr>
          <w:rFonts w:ascii="Garamond" w:hAnsi="Garamond"/>
        </w:rPr>
        <w:t xml:space="preserve"> Office</w:t>
      </w:r>
      <w:r w:rsidR="00ED6B3C" w:rsidRPr="005C6FC1">
        <w:rPr>
          <w:rFonts w:ascii="Garamond" w:hAnsi="Garamond"/>
        </w:rPr>
        <w:t xml:space="preserve">) </w:t>
      </w:r>
      <w:r>
        <w:rPr>
          <w:rFonts w:ascii="Garamond" w:hAnsi="Garamond"/>
        </w:rPr>
        <w:t>–</w:t>
      </w:r>
      <w:r w:rsidR="00ED6B3C" w:rsidRPr="005C6FC1">
        <w:rPr>
          <w:rFonts w:ascii="Garamond" w:hAnsi="Garamond"/>
        </w:rPr>
        <w:t xml:space="preserve"> </w:t>
      </w:r>
      <w:r>
        <w:rPr>
          <w:rFonts w:ascii="Garamond" w:hAnsi="Garamond"/>
        </w:rPr>
        <w:t>Wyoming Cross-Cutting</w:t>
      </w:r>
      <w:r w:rsidR="00752AC5" w:rsidRPr="005C6FC1">
        <w:rPr>
          <w:rFonts w:ascii="Garamond" w:hAnsi="Garamond"/>
        </w:rPr>
        <w:t xml:space="preserve">: </w:t>
      </w:r>
      <w:r w:rsidR="006422ED">
        <w:rPr>
          <w:rFonts w:ascii="Garamond" w:hAnsi="Garamond"/>
        </w:rPr>
        <w:t>Utilizing NASA Earth Observations to Detect Changes in Nighttime Sky Brightness in Grand Teton National Park</w:t>
      </w:r>
    </w:p>
    <w:p w14:paraId="00BB365A" w14:textId="77777777" w:rsidR="002D4D6C" w:rsidRPr="00CD0433" w:rsidRDefault="002D4D6C" w:rsidP="007A7268">
      <w:pPr>
        <w:ind w:left="720" w:hanging="720"/>
        <w:rPr>
          <w:sz w:val="20"/>
          <w:szCs w:val="20"/>
        </w:rPr>
      </w:pPr>
    </w:p>
    <w:p w14:paraId="7D79AE23" w14:textId="683DCA30"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p>
    <w:p w14:paraId="401A7D4F" w14:textId="0D853282" w:rsidR="003D2EDF" w:rsidRDefault="00272CD9" w:rsidP="003D2EDF">
      <w:pPr>
        <w:rPr>
          <w:sz w:val="20"/>
          <w:szCs w:val="20"/>
        </w:rPr>
      </w:pPr>
      <w:r w:rsidRPr="00272CD9">
        <w:rPr>
          <w:b/>
          <w:i/>
          <w:sz w:val="20"/>
          <w:szCs w:val="20"/>
        </w:rPr>
        <w:t>Notes</w:t>
      </w:r>
      <w:r w:rsidRPr="00C72F1A">
        <w:rPr>
          <w:b/>
          <w:sz w:val="20"/>
          <w:szCs w:val="20"/>
        </w:rPr>
        <w:t>:</w:t>
      </w:r>
      <w:r w:rsidRPr="00C72F1A">
        <w:rPr>
          <w:sz w:val="20"/>
          <w:szCs w:val="20"/>
        </w:rPr>
        <w:t xml:space="preserve"> </w:t>
      </w:r>
    </w:p>
    <w:p w14:paraId="53461EA2" w14:textId="77777777" w:rsidR="00272CD9" w:rsidRDefault="00272CD9" w:rsidP="003D2EDF">
      <w:pPr>
        <w:rPr>
          <w:sz w:val="20"/>
          <w:szCs w:val="20"/>
        </w:rPr>
      </w:pPr>
    </w:p>
    <w:p w14:paraId="44120C03" w14:textId="25828DF2" w:rsidR="00272CD9" w:rsidRDefault="00272CD9" w:rsidP="003D2EDF">
      <w:pPr>
        <w:rPr>
          <w:sz w:val="20"/>
          <w:szCs w:val="20"/>
        </w:rPr>
      </w:pPr>
      <w:r w:rsidRPr="00272CD9">
        <w:rPr>
          <w:b/>
          <w:i/>
          <w:sz w:val="20"/>
          <w:szCs w:val="20"/>
        </w:rPr>
        <w:t>References:</w:t>
      </w:r>
    </w:p>
    <w:p w14:paraId="1F82D916" w14:textId="73D4AF87" w:rsidR="005D7108" w:rsidRDefault="008103D5">
      <w:pPr>
        <w:rPr>
          <w:rFonts w:ascii="Garamond" w:hAnsi="Garamond"/>
        </w:rPr>
      </w:pPr>
      <w:r w:rsidRPr="008103D5">
        <w:rPr>
          <w:rFonts w:ascii="Garamond" w:hAnsi="Garamond"/>
        </w:rPr>
        <w:t xml:space="preserve">Noor, A. M., </w:t>
      </w:r>
      <w:proofErr w:type="spellStart"/>
      <w:r w:rsidRPr="008103D5">
        <w:rPr>
          <w:rFonts w:ascii="Garamond" w:hAnsi="Garamond"/>
        </w:rPr>
        <w:t>Alegana</w:t>
      </w:r>
      <w:proofErr w:type="spellEnd"/>
      <w:r w:rsidRPr="008103D5">
        <w:rPr>
          <w:rFonts w:ascii="Garamond" w:hAnsi="Garamond"/>
        </w:rPr>
        <w:t xml:space="preserve">, V. A., </w:t>
      </w:r>
      <w:proofErr w:type="spellStart"/>
      <w:r w:rsidRPr="008103D5">
        <w:rPr>
          <w:rFonts w:ascii="Garamond" w:hAnsi="Garamond"/>
        </w:rPr>
        <w:t>Gething</w:t>
      </w:r>
      <w:proofErr w:type="spellEnd"/>
      <w:r w:rsidRPr="008103D5">
        <w:rPr>
          <w:rFonts w:ascii="Garamond" w:hAnsi="Garamond"/>
        </w:rPr>
        <w:t xml:space="preserve">, P. W., </w:t>
      </w:r>
      <w:proofErr w:type="spellStart"/>
      <w:r w:rsidRPr="008103D5">
        <w:rPr>
          <w:rFonts w:ascii="Garamond" w:hAnsi="Garamond"/>
        </w:rPr>
        <w:t>Tatem</w:t>
      </w:r>
      <w:proofErr w:type="spellEnd"/>
      <w:r w:rsidRPr="008103D5">
        <w:rPr>
          <w:rFonts w:ascii="Garamond" w:hAnsi="Garamond"/>
        </w:rPr>
        <w:t>, A. J., &amp; Snow, R. W. (2008). Using remotely sensed night-time light as a proxy for poverty in Africa</w:t>
      </w:r>
      <w:r w:rsidRPr="004474C3">
        <w:rPr>
          <w:rFonts w:ascii="Garamond" w:hAnsi="Garamond"/>
          <w:i/>
        </w:rPr>
        <w:t>. Population Health Metrics, 6</w:t>
      </w:r>
      <w:r w:rsidRPr="008103D5">
        <w:rPr>
          <w:rFonts w:ascii="Garamond" w:hAnsi="Garamond"/>
        </w:rPr>
        <w:t xml:space="preserve">(1). </w:t>
      </w:r>
      <w:proofErr w:type="gramStart"/>
      <w:r w:rsidRPr="008103D5">
        <w:rPr>
          <w:rFonts w:ascii="Garamond" w:hAnsi="Garamond"/>
        </w:rPr>
        <w:t>doi:</w:t>
      </w:r>
      <w:proofErr w:type="gramEnd"/>
      <w:r w:rsidRPr="008103D5">
        <w:rPr>
          <w:rFonts w:ascii="Garamond" w:hAnsi="Garamond"/>
        </w:rPr>
        <w:t>10.1186/1478-7954-6-5</w:t>
      </w:r>
    </w:p>
    <w:p w14:paraId="482C3869" w14:textId="77777777" w:rsidR="00B21E0C" w:rsidRDefault="00B21E0C">
      <w:pPr>
        <w:rPr>
          <w:rFonts w:ascii="Garamond" w:hAnsi="Garamond"/>
        </w:rPr>
      </w:pPr>
    </w:p>
    <w:p w14:paraId="6DD14975" w14:textId="77777777" w:rsidR="00570F54" w:rsidRPr="00570F54" w:rsidRDefault="00570F54" w:rsidP="00570F54">
      <w:pPr>
        <w:rPr>
          <w:rFonts w:ascii="Garamond" w:hAnsi="Garamond"/>
          <w:szCs w:val="20"/>
        </w:rPr>
      </w:pPr>
      <w:r w:rsidRPr="00570F54">
        <w:rPr>
          <w:rFonts w:ascii="Garamond" w:hAnsi="Garamond"/>
          <w:szCs w:val="20"/>
        </w:rPr>
        <w:t xml:space="preserve">The World </w:t>
      </w:r>
      <w:proofErr w:type="spellStart"/>
      <w:r w:rsidRPr="00570F54">
        <w:rPr>
          <w:rFonts w:ascii="Garamond" w:hAnsi="Garamond"/>
          <w:szCs w:val="20"/>
        </w:rPr>
        <w:t>Banl</w:t>
      </w:r>
      <w:proofErr w:type="spellEnd"/>
      <w:r w:rsidRPr="00570F54">
        <w:rPr>
          <w:rFonts w:ascii="Garamond" w:hAnsi="Garamond"/>
          <w:szCs w:val="20"/>
        </w:rPr>
        <w:t xml:space="preserve"> (</w:t>
      </w:r>
      <w:proofErr w:type="spellStart"/>
      <w:r w:rsidRPr="00570F54">
        <w:rPr>
          <w:rFonts w:ascii="Garamond" w:hAnsi="Garamond"/>
          <w:szCs w:val="20"/>
        </w:rPr>
        <w:t>n.d.</w:t>
      </w:r>
      <w:proofErr w:type="spellEnd"/>
      <w:r w:rsidRPr="00570F54">
        <w:rPr>
          <w:rFonts w:ascii="Garamond" w:hAnsi="Garamond"/>
          <w:szCs w:val="20"/>
        </w:rPr>
        <w:t xml:space="preserve">). Thailand Overview. </w:t>
      </w:r>
      <w:r>
        <w:rPr>
          <w:rFonts w:ascii="Garamond" w:hAnsi="Garamond"/>
          <w:i/>
          <w:szCs w:val="20"/>
        </w:rPr>
        <w:t xml:space="preserve">Countries- </w:t>
      </w:r>
      <w:r w:rsidRPr="00570F54">
        <w:rPr>
          <w:rFonts w:ascii="Garamond" w:hAnsi="Garamond"/>
          <w:i/>
          <w:szCs w:val="20"/>
        </w:rPr>
        <w:t xml:space="preserve">Thailand </w:t>
      </w:r>
      <w:r w:rsidRPr="00570F54">
        <w:rPr>
          <w:rFonts w:ascii="Garamond" w:hAnsi="Garamond"/>
          <w:szCs w:val="20"/>
        </w:rPr>
        <w:t xml:space="preserve">http://www.worldbank.org/en/country/thailand/overview. </w:t>
      </w:r>
      <w:bookmarkStart w:id="0" w:name="_GoBack"/>
      <w:bookmarkEnd w:id="0"/>
    </w:p>
    <w:p w14:paraId="10FC095D" w14:textId="77777777" w:rsidR="00570F54" w:rsidRDefault="00570F54">
      <w:pPr>
        <w:rPr>
          <w:rFonts w:ascii="Garamond" w:hAnsi="Garamond"/>
        </w:rPr>
      </w:pPr>
    </w:p>
    <w:p w14:paraId="637CFBC5" w14:textId="1B0F7CBA" w:rsidR="00B21E0C" w:rsidRDefault="00B21E0C">
      <w:pPr>
        <w:rPr>
          <w:rFonts w:ascii="Garamond" w:hAnsi="Garamond"/>
        </w:rPr>
      </w:pPr>
      <w:r>
        <w:rPr>
          <w:rFonts w:ascii="Garamond" w:hAnsi="Garamond"/>
        </w:rPr>
        <w:t xml:space="preserve">United Nations Development </w:t>
      </w:r>
      <w:proofErr w:type="spellStart"/>
      <w:r>
        <w:rPr>
          <w:rFonts w:ascii="Garamond" w:hAnsi="Garamond"/>
        </w:rPr>
        <w:t>Programme</w:t>
      </w:r>
      <w:proofErr w:type="spellEnd"/>
      <w:r>
        <w:rPr>
          <w:rFonts w:ascii="Garamond" w:hAnsi="Garamond"/>
        </w:rPr>
        <w:t xml:space="preserve"> (UNDP) (</w:t>
      </w:r>
      <w:proofErr w:type="spellStart"/>
      <w:r>
        <w:rPr>
          <w:rFonts w:ascii="Garamond" w:hAnsi="Garamond"/>
        </w:rPr>
        <w:t>n.d.</w:t>
      </w:r>
      <w:proofErr w:type="spellEnd"/>
      <w:r>
        <w:rPr>
          <w:rFonts w:ascii="Garamond" w:hAnsi="Garamond"/>
        </w:rPr>
        <w:t xml:space="preserve">).  About Thailand. </w:t>
      </w:r>
      <w:r>
        <w:rPr>
          <w:rFonts w:ascii="Garamond" w:hAnsi="Garamond"/>
          <w:i/>
        </w:rPr>
        <w:t>UNDP in Thailand</w:t>
      </w:r>
      <w:r w:rsidR="00570F54">
        <w:rPr>
          <w:rFonts w:ascii="Garamond" w:hAnsi="Garamond"/>
        </w:rPr>
        <w:t xml:space="preserve">. </w:t>
      </w:r>
      <w:r w:rsidR="00570F54" w:rsidRPr="00570F54">
        <w:rPr>
          <w:rFonts w:ascii="Garamond" w:hAnsi="Garamond"/>
        </w:rPr>
        <w:t>http://www.th.undp.org/content/thailand/en/home/countryinfo.html</w:t>
      </w:r>
    </w:p>
    <w:p w14:paraId="3C30B3BA" w14:textId="77777777" w:rsidR="00570F54" w:rsidRDefault="00570F54">
      <w:pPr>
        <w:rPr>
          <w:sz w:val="20"/>
          <w:szCs w:val="20"/>
        </w:rPr>
      </w:pPr>
    </w:p>
    <w:sectPr w:rsidR="00570F54"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DE"/>
    <w:rsid w:val="00031A6C"/>
    <w:rsid w:val="00072E64"/>
    <w:rsid w:val="00073224"/>
    <w:rsid w:val="00075708"/>
    <w:rsid w:val="00095D93"/>
    <w:rsid w:val="000D7963"/>
    <w:rsid w:val="000E3C1F"/>
    <w:rsid w:val="000E4025"/>
    <w:rsid w:val="000F487D"/>
    <w:rsid w:val="000F76DA"/>
    <w:rsid w:val="00123B69"/>
    <w:rsid w:val="00134C6A"/>
    <w:rsid w:val="001538F2"/>
    <w:rsid w:val="001976DA"/>
    <w:rsid w:val="001A2ECC"/>
    <w:rsid w:val="001D1B19"/>
    <w:rsid w:val="001E31E7"/>
    <w:rsid w:val="002046C4"/>
    <w:rsid w:val="0022612D"/>
    <w:rsid w:val="0023408F"/>
    <w:rsid w:val="00272CD9"/>
    <w:rsid w:val="00273BD3"/>
    <w:rsid w:val="00276572"/>
    <w:rsid w:val="00285042"/>
    <w:rsid w:val="00290705"/>
    <w:rsid w:val="002B6846"/>
    <w:rsid w:val="002C501D"/>
    <w:rsid w:val="002D4D6C"/>
    <w:rsid w:val="002D6CAD"/>
    <w:rsid w:val="002E2D9E"/>
    <w:rsid w:val="002E4C48"/>
    <w:rsid w:val="002F5C30"/>
    <w:rsid w:val="003347A7"/>
    <w:rsid w:val="00334B0C"/>
    <w:rsid w:val="00347670"/>
    <w:rsid w:val="00353F4B"/>
    <w:rsid w:val="00384B24"/>
    <w:rsid w:val="003B54D0"/>
    <w:rsid w:val="003C28CD"/>
    <w:rsid w:val="003D2EDF"/>
    <w:rsid w:val="003E443B"/>
    <w:rsid w:val="0041686A"/>
    <w:rsid w:val="004228B2"/>
    <w:rsid w:val="004474C3"/>
    <w:rsid w:val="00453F48"/>
    <w:rsid w:val="00461AA0"/>
    <w:rsid w:val="00476EA1"/>
    <w:rsid w:val="004B304D"/>
    <w:rsid w:val="004C0A16"/>
    <w:rsid w:val="005344D2"/>
    <w:rsid w:val="00542AAA"/>
    <w:rsid w:val="0055118C"/>
    <w:rsid w:val="00565EE1"/>
    <w:rsid w:val="00570F54"/>
    <w:rsid w:val="00583971"/>
    <w:rsid w:val="005C5954"/>
    <w:rsid w:val="005C6FC1"/>
    <w:rsid w:val="005D3F60"/>
    <w:rsid w:val="005D7108"/>
    <w:rsid w:val="0060587F"/>
    <w:rsid w:val="00616EAF"/>
    <w:rsid w:val="00636FAE"/>
    <w:rsid w:val="006422ED"/>
    <w:rsid w:val="006452A4"/>
    <w:rsid w:val="006515E3"/>
    <w:rsid w:val="00676C74"/>
    <w:rsid w:val="006804AC"/>
    <w:rsid w:val="00695D85"/>
    <w:rsid w:val="006A2A26"/>
    <w:rsid w:val="006B464F"/>
    <w:rsid w:val="006E1C6C"/>
    <w:rsid w:val="007059D2"/>
    <w:rsid w:val="007072BA"/>
    <w:rsid w:val="007226AE"/>
    <w:rsid w:val="00735F70"/>
    <w:rsid w:val="00744A36"/>
    <w:rsid w:val="00752AC5"/>
    <w:rsid w:val="00760B99"/>
    <w:rsid w:val="00760D6E"/>
    <w:rsid w:val="007715BF"/>
    <w:rsid w:val="00782999"/>
    <w:rsid w:val="007A4F2A"/>
    <w:rsid w:val="007A7268"/>
    <w:rsid w:val="007B73F9"/>
    <w:rsid w:val="0080287D"/>
    <w:rsid w:val="008103D5"/>
    <w:rsid w:val="00835C04"/>
    <w:rsid w:val="008403B8"/>
    <w:rsid w:val="0085435F"/>
    <w:rsid w:val="00896D48"/>
    <w:rsid w:val="008B3821"/>
    <w:rsid w:val="00916099"/>
    <w:rsid w:val="00937ED2"/>
    <w:rsid w:val="0094514E"/>
    <w:rsid w:val="009812BB"/>
    <w:rsid w:val="009A09FD"/>
    <w:rsid w:val="009A492A"/>
    <w:rsid w:val="009B08C3"/>
    <w:rsid w:val="009B448B"/>
    <w:rsid w:val="009D7235"/>
    <w:rsid w:val="009E1788"/>
    <w:rsid w:val="009E4CFF"/>
    <w:rsid w:val="00A07C1D"/>
    <w:rsid w:val="00A4473F"/>
    <w:rsid w:val="00A44DD0"/>
    <w:rsid w:val="00A46F34"/>
    <w:rsid w:val="00A502A8"/>
    <w:rsid w:val="00A50CFE"/>
    <w:rsid w:val="00A5463B"/>
    <w:rsid w:val="00A60645"/>
    <w:rsid w:val="00A80A92"/>
    <w:rsid w:val="00A8257F"/>
    <w:rsid w:val="00AB2804"/>
    <w:rsid w:val="00AE46F5"/>
    <w:rsid w:val="00AE6000"/>
    <w:rsid w:val="00B21E0C"/>
    <w:rsid w:val="00B43262"/>
    <w:rsid w:val="00B73203"/>
    <w:rsid w:val="00B76459"/>
    <w:rsid w:val="00B76BDC"/>
    <w:rsid w:val="00B81E34"/>
    <w:rsid w:val="00B82905"/>
    <w:rsid w:val="00B9571C"/>
    <w:rsid w:val="00B9614C"/>
    <w:rsid w:val="00BA5161"/>
    <w:rsid w:val="00BD0255"/>
    <w:rsid w:val="00BE45CD"/>
    <w:rsid w:val="00C057E9"/>
    <w:rsid w:val="00C32A58"/>
    <w:rsid w:val="00C33A8E"/>
    <w:rsid w:val="00C55FC9"/>
    <w:rsid w:val="00C72F1A"/>
    <w:rsid w:val="00C82473"/>
    <w:rsid w:val="00C83576"/>
    <w:rsid w:val="00CA0A4F"/>
    <w:rsid w:val="00CA0EED"/>
    <w:rsid w:val="00CA4793"/>
    <w:rsid w:val="00CB421A"/>
    <w:rsid w:val="00CB51DA"/>
    <w:rsid w:val="00CC7683"/>
    <w:rsid w:val="00CD0433"/>
    <w:rsid w:val="00CE4F6F"/>
    <w:rsid w:val="00D07222"/>
    <w:rsid w:val="00D12F5B"/>
    <w:rsid w:val="00D22F4A"/>
    <w:rsid w:val="00D3189E"/>
    <w:rsid w:val="00D3192F"/>
    <w:rsid w:val="00D33F44"/>
    <w:rsid w:val="00D746C2"/>
    <w:rsid w:val="00D808DE"/>
    <w:rsid w:val="00DB5124"/>
    <w:rsid w:val="00DC6974"/>
    <w:rsid w:val="00E24415"/>
    <w:rsid w:val="00E27C73"/>
    <w:rsid w:val="00E55138"/>
    <w:rsid w:val="00E6039B"/>
    <w:rsid w:val="00E77882"/>
    <w:rsid w:val="00E9374E"/>
    <w:rsid w:val="00EB4818"/>
    <w:rsid w:val="00ED0146"/>
    <w:rsid w:val="00ED6B3C"/>
    <w:rsid w:val="00F1255A"/>
    <w:rsid w:val="00F20A93"/>
    <w:rsid w:val="00F2154C"/>
    <w:rsid w:val="00F24033"/>
    <w:rsid w:val="00F268BE"/>
    <w:rsid w:val="00F52113"/>
    <w:rsid w:val="00F8166E"/>
    <w:rsid w:val="00F878E4"/>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1A7E5200-DBEE-4FC0-8BBB-88FF619E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BE0E7-60F6-409D-8B11-BA066693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2</cp:revision>
  <dcterms:created xsi:type="dcterms:W3CDTF">2017-05-26T17:45:00Z</dcterms:created>
  <dcterms:modified xsi:type="dcterms:W3CDTF">2017-05-26T17:45:00Z</dcterms:modified>
</cp:coreProperties>
</file>