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4882570" w:rsidR="006B67F3" w:rsidRDefault="00C27B54">
      <w:pPr>
        <w:pStyle w:val="Normal4"/>
        <w:pBdr>
          <w:top w:val="nil"/>
          <w:left w:val="nil"/>
          <w:bottom w:val="nil"/>
          <w:right w:val="nil"/>
          <w:between w:val="nil"/>
        </w:pBdr>
        <w:tabs>
          <w:tab w:val="left" w:pos="7329"/>
        </w:tabs>
        <w:spacing w:after="0" w:line="240" w:lineRule="auto"/>
        <w:jc w:val="right"/>
        <w:rPr>
          <w:rFonts w:ascii="Garamond" w:eastAsia="Garamond" w:hAnsi="Garamond" w:cs="Garamond"/>
          <w:color w:val="000000"/>
          <w:sz w:val="40"/>
          <w:szCs w:val="40"/>
        </w:rPr>
      </w:pPr>
      <w:r>
        <w:rPr>
          <w:rFonts w:ascii="Garamond" w:eastAsia="Garamond" w:hAnsi="Garamond" w:cs="Garamond"/>
          <w:color w:val="000000"/>
          <w:sz w:val="40"/>
          <w:szCs w:val="40"/>
        </w:rPr>
        <w:t>Los Angeles Urban Development</w:t>
      </w:r>
    </w:p>
    <w:p w14:paraId="00000002" w14:textId="77777777" w:rsidR="006B67F3" w:rsidRDefault="00C27B54">
      <w:pPr>
        <w:pStyle w:val="Normal4"/>
        <w:pBdr>
          <w:top w:val="nil"/>
          <w:left w:val="nil"/>
          <w:bottom w:val="nil"/>
          <w:right w:val="nil"/>
          <w:between w:val="nil"/>
        </w:pBdr>
        <w:spacing w:after="0" w:line="240" w:lineRule="auto"/>
        <w:jc w:val="right"/>
        <w:rPr>
          <w:rFonts w:ascii="Garamond" w:eastAsia="Garamond" w:hAnsi="Garamond" w:cs="Garamond"/>
          <w:color w:val="000000"/>
          <w:sz w:val="28"/>
          <w:szCs w:val="28"/>
        </w:rPr>
      </w:pPr>
      <w:r>
        <w:rPr>
          <w:rFonts w:ascii="Garamond" w:eastAsia="Garamond" w:hAnsi="Garamond" w:cs="Garamond"/>
          <w:color w:val="000000"/>
          <w:sz w:val="28"/>
          <w:szCs w:val="28"/>
        </w:rPr>
        <w:t>Utilizing NASA Earth Observations to Evaluate the Impact of Tree Coverage on Urban Heat Mitigation</w:t>
      </w:r>
    </w:p>
    <w:p w14:paraId="00000003" w14:textId="77777777" w:rsidR="006B67F3" w:rsidRDefault="006B67F3">
      <w:pPr>
        <w:pStyle w:val="Normal4"/>
        <w:pBdr>
          <w:top w:val="nil"/>
          <w:left w:val="nil"/>
          <w:bottom w:val="nil"/>
          <w:right w:val="nil"/>
          <w:between w:val="nil"/>
        </w:pBdr>
        <w:spacing w:after="0" w:line="240" w:lineRule="auto"/>
        <w:rPr>
          <w:rFonts w:ascii="Garamond" w:eastAsia="Garamond" w:hAnsi="Garamond" w:cs="Garamond"/>
          <w:color w:val="000000"/>
          <w:sz w:val="32"/>
          <w:szCs w:val="32"/>
        </w:rPr>
      </w:pPr>
    </w:p>
    <w:p w14:paraId="00000004" w14:textId="77777777" w:rsidR="006B67F3" w:rsidRDefault="006B67F3">
      <w:pPr>
        <w:pStyle w:val="Normal4"/>
        <w:pBdr>
          <w:top w:val="nil"/>
          <w:left w:val="nil"/>
          <w:bottom w:val="nil"/>
          <w:right w:val="nil"/>
          <w:between w:val="nil"/>
        </w:pBdr>
        <w:spacing w:after="0" w:line="240" w:lineRule="auto"/>
        <w:rPr>
          <w:rFonts w:ascii="Garamond" w:eastAsia="Garamond" w:hAnsi="Garamond" w:cs="Garamond"/>
          <w:color w:val="000000"/>
          <w:sz w:val="32"/>
          <w:szCs w:val="32"/>
        </w:rPr>
      </w:pPr>
    </w:p>
    <w:p w14:paraId="00000005" w14:textId="77777777" w:rsidR="006B67F3" w:rsidRDefault="006B67F3">
      <w:pPr>
        <w:pStyle w:val="Normal4"/>
        <w:pBdr>
          <w:top w:val="nil"/>
          <w:left w:val="nil"/>
          <w:bottom w:val="nil"/>
          <w:right w:val="nil"/>
          <w:between w:val="nil"/>
        </w:pBdr>
        <w:spacing w:after="0" w:line="240" w:lineRule="auto"/>
        <w:rPr>
          <w:rFonts w:ascii="Garamond" w:eastAsia="Garamond" w:hAnsi="Garamond" w:cs="Garamond"/>
          <w:color w:val="000000"/>
          <w:sz w:val="32"/>
          <w:szCs w:val="32"/>
        </w:rPr>
      </w:pPr>
    </w:p>
    <w:p w14:paraId="00000006" w14:textId="77777777" w:rsidR="006B67F3" w:rsidRDefault="006B67F3">
      <w:pPr>
        <w:pStyle w:val="Normal4"/>
        <w:pBdr>
          <w:top w:val="nil"/>
          <w:left w:val="nil"/>
          <w:bottom w:val="nil"/>
          <w:right w:val="nil"/>
          <w:between w:val="nil"/>
        </w:pBdr>
        <w:spacing w:after="0" w:line="240" w:lineRule="auto"/>
        <w:rPr>
          <w:rFonts w:ascii="Garamond" w:eastAsia="Garamond" w:hAnsi="Garamond" w:cs="Garamond"/>
          <w:color w:val="000000"/>
          <w:sz w:val="32"/>
          <w:szCs w:val="32"/>
        </w:rPr>
      </w:pPr>
    </w:p>
    <w:p w14:paraId="00000007" w14:textId="77777777" w:rsidR="006B67F3" w:rsidRDefault="006B67F3">
      <w:pPr>
        <w:pStyle w:val="Normal4"/>
        <w:pBdr>
          <w:top w:val="nil"/>
          <w:left w:val="nil"/>
          <w:bottom w:val="nil"/>
          <w:right w:val="nil"/>
          <w:between w:val="nil"/>
        </w:pBdr>
        <w:spacing w:after="0" w:line="240" w:lineRule="auto"/>
        <w:jc w:val="center"/>
        <w:rPr>
          <w:rFonts w:ascii="Garamond" w:eastAsia="Garamond" w:hAnsi="Garamond" w:cs="Garamond"/>
          <w:b/>
          <w:color w:val="000000"/>
          <w:sz w:val="32"/>
          <w:szCs w:val="32"/>
        </w:rPr>
      </w:pPr>
    </w:p>
    <w:p w14:paraId="00000008" w14:textId="77777777" w:rsidR="006B67F3" w:rsidRDefault="006B67F3">
      <w:pPr>
        <w:pStyle w:val="Normal4"/>
        <w:pBdr>
          <w:top w:val="nil"/>
          <w:left w:val="nil"/>
          <w:bottom w:val="nil"/>
          <w:right w:val="nil"/>
          <w:between w:val="nil"/>
        </w:pBdr>
        <w:spacing w:after="0" w:line="240" w:lineRule="auto"/>
        <w:jc w:val="center"/>
        <w:rPr>
          <w:rFonts w:ascii="Garamond" w:eastAsia="Garamond" w:hAnsi="Garamond" w:cs="Garamond"/>
          <w:b/>
          <w:color w:val="000000"/>
          <w:sz w:val="32"/>
          <w:szCs w:val="32"/>
        </w:rPr>
      </w:pPr>
    </w:p>
    <w:p w14:paraId="00000009" w14:textId="77777777" w:rsidR="006B67F3" w:rsidRDefault="00C27B54">
      <w:pPr>
        <w:pStyle w:val="Normal4"/>
        <w:pBdr>
          <w:top w:val="nil"/>
          <w:left w:val="nil"/>
          <w:bottom w:val="nil"/>
          <w:right w:val="nil"/>
          <w:between w:val="nil"/>
        </w:pBdr>
        <w:spacing w:after="0" w:line="240" w:lineRule="auto"/>
        <w:jc w:val="center"/>
        <w:rPr>
          <w:rFonts w:ascii="Garamond" w:eastAsia="Garamond" w:hAnsi="Garamond" w:cs="Garamond"/>
          <w:b/>
          <w:color w:val="000000"/>
          <w:sz w:val="32"/>
          <w:szCs w:val="32"/>
        </w:rPr>
      </w:pPr>
      <w:r>
        <w:rPr>
          <w:rFonts w:ascii="Garamond" w:eastAsia="Garamond" w:hAnsi="Garamond" w:cs="Garamond"/>
          <w:b/>
          <w:color w:val="000000"/>
          <w:sz w:val="32"/>
          <w:szCs w:val="32"/>
        </w:rPr>
        <w:t xml:space="preserve">                 Technical Report</w:t>
      </w:r>
      <w:r>
        <w:rPr>
          <w:noProof/>
        </w:rPr>
        <w:drawing>
          <wp:anchor distT="0" distB="0" distL="114300" distR="114300" simplePos="0" relativeHeight="251658240" behindDoc="0" locked="0" layoutInCell="1" hidden="0" allowOverlap="1" wp14:anchorId="029547D8" wp14:editId="07777777">
            <wp:simplePos x="0" y="0"/>
            <wp:positionH relativeFrom="column">
              <wp:posOffset>1628140</wp:posOffset>
            </wp:positionH>
            <wp:positionV relativeFrom="paragraph">
              <wp:posOffset>56432</wp:posOffset>
            </wp:positionV>
            <wp:extent cx="968735" cy="182880"/>
            <wp:effectExtent l="0" t="0" r="0" b="0"/>
            <wp:wrapNone/>
            <wp:docPr id="7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968735" cy="182880"/>
                    </a:xfrm>
                    <a:prstGeom prst="rect">
                      <a:avLst/>
                    </a:prstGeom>
                    <a:ln/>
                  </pic:spPr>
                </pic:pic>
              </a:graphicData>
            </a:graphic>
          </wp:anchor>
        </w:drawing>
      </w:r>
    </w:p>
    <w:p w14:paraId="0000000A" w14:textId="77777777" w:rsidR="006B67F3" w:rsidRDefault="00C27B54">
      <w:pPr>
        <w:pStyle w:val="Normal4"/>
        <w:pBdr>
          <w:top w:val="nil"/>
          <w:left w:val="nil"/>
          <w:bottom w:val="nil"/>
          <w:right w:val="nil"/>
          <w:between w:val="nil"/>
        </w:pBdr>
        <w:spacing w:after="0" w:line="240" w:lineRule="auto"/>
        <w:jc w:val="center"/>
        <w:rPr>
          <w:rFonts w:ascii="Garamond" w:eastAsia="Garamond" w:hAnsi="Garamond" w:cs="Garamond"/>
          <w:color w:val="000000"/>
          <w:sz w:val="28"/>
          <w:szCs w:val="28"/>
          <w:highlight w:val="yellow"/>
        </w:rPr>
      </w:pPr>
      <w:r>
        <w:rPr>
          <w:rFonts w:ascii="Garamond" w:eastAsia="Garamond" w:hAnsi="Garamond" w:cs="Garamond"/>
          <w:sz w:val="28"/>
          <w:szCs w:val="28"/>
        </w:rPr>
        <w:t>Final</w:t>
      </w:r>
      <w:r>
        <w:rPr>
          <w:rFonts w:ascii="Garamond" w:eastAsia="Garamond" w:hAnsi="Garamond" w:cs="Garamond"/>
          <w:color w:val="000000"/>
          <w:sz w:val="28"/>
          <w:szCs w:val="28"/>
        </w:rPr>
        <w:t xml:space="preserve"> – </w:t>
      </w:r>
      <w:r>
        <w:rPr>
          <w:rFonts w:ascii="Garamond" w:eastAsia="Garamond" w:hAnsi="Garamond" w:cs="Garamond"/>
          <w:sz w:val="28"/>
          <w:szCs w:val="28"/>
        </w:rPr>
        <w:t>March</w:t>
      </w:r>
      <w:r>
        <w:rPr>
          <w:rFonts w:ascii="Garamond" w:eastAsia="Garamond" w:hAnsi="Garamond" w:cs="Garamond"/>
          <w:color w:val="000000"/>
          <w:sz w:val="28"/>
          <w:szCs w:val="28"/>
        </w:rPr>
        <w:t xml:space="preserve"> </w:t>
      </w:r>
      <w:r>
        <w:rPr>
          <w:rFonts w:ascii="Garamond" w:eastAsia="Garamond" w:hAnsi="Garamond" w:cs="Garamond"/>
          <w:sz w:val="28"/>
          <w:szCs w:val="28"/>
        </w:rPr>
        <w:t>30</w:t>
      </w:r>
      <w:r>
        <w:rPr>
          <w:rFonts w:ascii="Garamond" w:eastAsia="Garamond" w:hAnsi="Garamond" w:cs="Garamond"/>
          <w:sz w:val="28"/>
          <w:szCs w:val="28"/>
          <w:vertAlign w:val="superscript"/>
        </w:rPr>
        <w:t>th</w:t>
      </w:r>
      <w:r>
        <w:rPr>
          <w:rFonts w:ascii="Garamond" w:eastAsia="Garamond" w:hAnsi="Garamond" w:cs="Garamond"/>
          <w:color w:val="000000"/>
          <w:sz w:val="28"/>
          <w:szCs w:val="28"/>
        </w:rPr>
        <w:t>, 2023</w:t>
      </w:r>
    </w:p>
    <w:p w14:paraId="0000000B" w14:textId="77777777" w:rsidR="006B67F3" w:rsidRDefault="006B67F3">
      <w:pPr>
        <w:pStyle w:val="Normal4"/>
        <w:pBdr>
          <w:top w:val="nil"/>
          <w:left w:val="nil"/>
          <w:bottom w:val="nil"/>
          <w:right w:val="nil"/>
          <w:between w:val="nil"/>
        </w:pBdr>
        <w:spacing w:after="0" w:line="240" w:lineRule="auto"/>
        <w:jc w:val="center"/>
        <w:rPr>
          <w:rFonts w:ascii="Garamond" w:eastAsia="Garamond" w:hAnsi="Garamond" w:cs="Garamond"/>
          <w:color w:val="000000"/>
          <w:sz w:val="20"/>
          <w:szCs w:val="20"/>
        </w:rPr>
      </w:pPr>
    </w:p>
    <w:p w14:paraId="0000000C" w14:textId="77777777" w:rsidR="006B67F3" w:rsidRDefault="00C27B54">
      <w:pPr>
        <w:pStyle w:val="Normal4"/>
        <w:pBdr>
          <w:top w:val="nil"/>
          <w:left w:val="nil"/>
          <w:bottom w:val="nil"/>
          <w:right w:val="nil"/>
          <w:between w:val="nil"/>
        </w:pBd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Leyla Namazie (Project Lead)</w:t>
      </w:r>
    </w:p>
    <w:p w14:paraId="0000000D" w14:textId="77777777" w:rsidR="006B67F3" w:rsidRDefault="00C27B54">
      <w:pPr>
        <w:pStyle w:val="Normal4"/>
        <w:pBdr>
          <w:top w:val="nil"/>
          <w:left w:val="nil"/>
          <w:bottom w:val="nil"/>
          <w:right w:val="nil"/>
          <w:between w:val="nil"/>
        </w:pBd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Stephanie Hernandez</w:t>
      </w:r>
    </w:p>
    <w:p w14:paraId="0000000E" w14:textId="77777777" w:rsidR="006B67F3" w:rsidRDefault="00C27B54">
      <w:pPr>
        <w:pStyle w:val="Normal4"/>
        <w:pBdr>
          <w:top w:val="nil"/>
          <w:left w:val="nil"/>
          <w:bottom w:val="nil"/>
          <w:right w:val="nil"/>
          <w:between w:val="nil"/>
        </w:pBd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Julie Gevorgian</w:t>
      </w:r>
    </w:p>
    <w:p w14:paraId="0000000F" w14:textId="77777777" w:rsidR="006B67F3" w:rsidRDefault="00C27B54">
      <w:pPr>
        <w:pStyle w:val="Normal4"/>
        <w:pBdr>
          <w:top w:val="nil"/>
          <w:left w:val="nil"/>
          <w:bottom w:val="nil"/>
          <w:right w:val="nil"/>
          <w:between w:val="nil"/>
        </w:pBd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Theo Ross</w:t>
      </w:r>
    </w:p>
    <w:p w14:paraId="00000010" w14:textId="77777777" w:rsidR="006B67F3" w:rsidRDefault="006B67F3">
      <w:pPr>
        <w:pStyle w:val="Normal4"/>
        <w:pBdr>
          <w:top w:val="nil"/>
          <w:left w:val="nil"/>
          <w:bottom w:val="nil"/>
          <w:right w:val="nil"/>
          <w:between w:val="nil"/>
        </w:pBdr>
        <w:spacing w:after="0" w:line="240" w:lineRule="auto"/>
        <w:jc w:val="center"/>
        <w:rPr>
          <w:rFonts w:ascii="Garamond" w:eastAsia="Garamond" w:hAnsi="Garamond" w:cs="Garamond"/>
          <w:color w:val="000000"/>
          <w:sz w:val="20"/>
          <w:szCs w:val="20"/>
        </w:rPr>
      </w:pPr>
    </w:p>
    <w:p w14:paraId="00000011" w14:textId="77777777" w:rsidR="006B67F3" w:rsidRDefault="00C27B54">
      <w:pPr>
        <w:pStyle w:val="Normal4"/>
        <w:pBdr>
          <w:top w:val="nil"/>
          <w:left w:val="nil"/>
          <w:bottom w:val="nil"/>
          <w:right w:val="nil"/>
          <w:between w:val="nil"/>
        </w:pBdr>
        <w:spacing w:after="0" w:line="240" w:lineRule="auto"/>
        <w:jc w:val="center"/>
        <w:rPr>
          <w:rFonts w:ascii="Garamond" w:eastAsia="Garamond" w:hAnsi="Garamond" w:cs="Garamond"/>
          <w:b/>
          <w:i/>
          <w:color w:val="000000"/>
          <w:sz w:val="20"/>
          <w:szCs w:val="20"/>
        </w:rPr>
      </w:pPr>
      <w:r>
        <w:rPr>
          <w:rFonts w:ascii="Garamond" w:eastAsia="Garamond" w:hAnsi="Garamond" w:cs="Garamond"/>
          <w:b/>
          <w:i/>
          <w:color w:val="000000"/>
          <w:sz w:val="20"/>
          <w:szCs w:val="20"/>
        </w:rPr>
        <w:t>Advisors:</w:t>
      </w:r>
    </w:p>
    <w:p w14:paraId="00000012" w14:textId="77777777" w:rsidR="006B67F3" w:rsidRDefault="00C27B54">
      <w:pPr>
        <w:pStyle w:val="Normal4"/>
        <w:pBdr>
          <w:top w:val="nil"/>
          <w:left w:val="nil"/>
          <w:bottom w:val="nil"/>
          <w:right w:val="nil"/>
          <w:between w:val="nil"/>
        </w:pBdr>
        <w:spacing w:after="0" w:line="240" w:lineRule="auto"/>
        <w:jc w:val="center"/>
        <w:rPr>
          <w:rFonts w:ascii="Garamond" w:eastAsia="Garamond" w:hAnsi="Garamond" w:cs="Garamond"/>
          <w:color w:val="000000"/>
          <w:sz w:val="20"/>
          <w:szCs w:val="20"/>
        </w:rPr>
      </w:pPr>
      <w:r>
        <w:rPr>
          <w:rFonts w:ascii="Garamond" w:eastAsia="Garamond" w:hAnsi="Garamond" w:cs="Garamond"/>
          <w:sz w:val="20"/>
          <w:szCs w:val="20"/>
        </w:rPr>
        <w:t xml:space="preserve">Dr. </w:t>
      </w:r>
      <w:r>
        <w:rPr>
          <w:rFonts w:ascii="Garamond" w:eastAsia="Garamond" w:hAnsi="Garamond" w:cs="Garamond"/>
          <w:color w:val="000000"/>
          <w:sz w:val="20"/>
          <w:szCs w:val="20"/>
        </w:rPr>
        <w:t>Glynn Hulley, NASA Jet Propulsion Laboratory, California Institute of Technology (Science Advisor)</w:t>
      </w:r>
    </w:p>
    <w:p w14:paraId="00000013" w14:textId="77777777" w:rsidR="006B67F3" w:rsidRDefault="00C27B54">
      <w:pPr>
        <w:pStyle w:val="Normal4"/>
        <w:pBdr>
          <w:top w:val="nil"/>
          <w:left w:val="nil"/>
          <w:bottom w:val="nil"/>
          <w:right w:val="nil"/>
          <w:between w:val="nil"/>
        </w:pBd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Dr. Anamika Shreevastava. NASA Jet Propulsion Laboratory, California Institute of Technology (Science Advisor)</w:t>
      </w:r>
    </w:p>
    <w:p w14:paraId="00000014" w14:textId="77777777" w:rsidR="006B67F3" w:rsidRDefault="00C27B54">
      <w:pPr>
        <w:pStyle w:val="Normal4"/>
        <w:pBdr>
          <w:top w:val="nil"/>
          <w:left w:val="nil"/>
          <w:bottom w:val="nil"/>
          <w:right w:val="nil"/>
          <w:between w:val="nil"/>
        </w:pBd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Benjamin Holt, NASA Jet Propulsion Laboratory, California Institute of Technology (Science Advisor)</w:t>
      </w:r>
    </w:p>
    <w:p w14:paraId="00000015" w14:textId="77777777" w:rsidR="006B67F3" w:rsidRDefault="00C27B54">
      <w:pPr>
        <w:pStyle w:val="Normal4"/>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Dr. Kent Ross, NASA Langley Research Center (Science Advisor)</w:t>
      </w:r>
    </w:p>
    <w:p w14:paraId="00000016" w14:textId="77777777" w:rsidR="006B67F3" w:rsidRDefault="006B67F3">
      <w:pPr>
        <w:pStyle w:val="Normal4"/>
        <w:pBdr>
          <w:top w:val="nil"/>
          <w:left w:val="nil"/>
          <w:bottom w:val="nil"/>
          <w:right w:val="nil"/>
          <w:between w:val="nil"/>
        </w:pBdr>
        <w:spacing w:after="0" w:line="240" w:lineRule="auto"/>
        <w:rPr>
          <w:rFonts w:ascii="Garamond" w:eastAsia="Garamond" w:hAnsi="Garamond" w:cs="Garamond"/>
          <w:color w:val="000000"/>
          <w:sz w:val="20"/>
          <w:szCs w:val="20"/>
        </w:rPr>
      </w:pPr>
    </w:p>
    <w:p w14:paraId="00000017" w14:textId="77777777" w:rsidR="006B67F3" w:rsidRDefault="00C27B54">
      <w:pPr>
        <w:pStyle w:val="Normal4"/>
        <w:pBdr>
          <w:top w:val="nil"/>
          <w:left w:val="nil"/>
          <w:bottom w:val="nil"/>
          <w:right w:val="nil"/>
          <w:between w:val="nil"/>
        </w:pBdr>
        <w:spacing w:after="0" w:line="240" w:lineRule="auto"/>
        <w:jc w:val="center"/>
        <w:rPr>
          <w:rFonts w:ascii="Garamond" w:eastAsia="Garamond" w:hAnsi="Garamond" w:cs="Garamond"/>
          <w:b/>
          <w:i/>
          <w:color w:val="000000"/>
          <w:sz w:val="20"/>
          <w:szCs w:val="20"/>
        </w:rPr>
      </w:pPr>
      <w:r>
        <w:rPr>
          <w:rFonts w:ascii="Garamond" w:eastAsia="Garamond" w:hAnsi="Garamond" w:cs="Garamond"/>
          <w:b/>
          <w:i/>
          <w:color w:val="000000"/>
          <w:sz w:val="20"/>
          <w:szCs w:val="20"/>
        </w:rPr>
        <w:t>Fellow:</w:t>
      </w:r>
      <w:r>
        <w:rPr>
          <w:color w:val="000000"/>
        </w:rPr>
        <w:br/>
      </w:r>
      <w:r>
        <w:rPr>
          <w:rFonts w:ascii="Garamond" w:eastAsia="Garamond" w:hAnsi="Garamond" w:cs="Garamond"/>
          <w:color w:val="000000"/>
          <w:sz w:val="20"/>
          <w:szCs w:val="20"/>
        </w:rPr>
        <w:t>Michael Pazmino (</w:t>
      </w:r>
      <w:r>
        <w:rPr>
          <w:rFonts w:ascii="Garamond" w:eastAsia="Garamond" w:hAnsi="Garamond" w:cs="Garamond"/>
          <w:sz w:val="20"/>
          <w:szCs w:val="20"/>
        </w:rPr>
        <w:t>Jet Propulsion Laboratory</w:t>
      </w:r>
      <w:r>
        <w:rPr>
          <w:rFonts w:ascii="Garamond" w:eastAsia="Garamond" w:hAnsi="Garamond" w:cs="Garamond"/>
          <w:color w:val="000000"/>
          <w:sz w:val="20"/>
          <w:szCs w:val="20"/>
        </w:rPr>
        <w:t>)</w:t>
      </w:r>
    </w:p>
    <w:p w14:paraId="00000018" w14:textId="77777777" w:rsidR="006B67F3" w:rsidRDefault="00C27B54">
      <w:pPr>
        <w:pStyle w:val="Normal4"/>
        <w:pBdr>
          <w:top w:val="nil"/>
          <w:left w:val="nil"/>
          <w:bottom w:val="nil"/>
          <w:right w:val="nil"/>
          <w:between w:val="nil"/>
        </w:pBdr>
        <w:spacing w:after="0" w:line="240" w:lineRule="auto"/>
        <w:rPr>
          <w:rFonts w:ascii="Garamond" w:eastAsia="Garamond" w:hAnsi="Garamond" w:cs="Garamond"/>
          <w:color w:val="000000"/>
          <w:sz w:val="20"/>
          <w:szCs w:val="20"/>
        </w:rPr>
      </w:pPr>
      <w:r>
        <w:br w:type="page"/>
      </w:r>
    </w:p>
    <w:p w14:paraId="00000019" w14:textId="77777777" w:rsidR="006B67F3" w:rsidRDefault="00C27B54">
      <w:pPr>
        <w:pStyle w:val="Normal4"/>
        <w:keepNext/>
        <w:keepLines/>
        <w:spacing w:after="0" w:line="240" w:lineRule="auto"/>
        <w:rPr>
          <w:rFonts w:ascii="Garamond" w:eastAsia="Garamond" w:hAnsi="Garamond" w:cs="Garamond"/>
          <w:b/>
          <w:color w:val="366091"/>
          <w:sz w:val="28"/>
          <w:szCs w:val="28"/>
        </w:rPr>
      </w:pPr>
      <w:r w:rsidRPr="0AE4C2A7">
        <w:rPr>
          <w:rFonts w:ascii="Garamond" w:eastAsia="Garamond" w:hAnsi="Garamond" w:cs="Garamond"/>
          <w:b/>
          <w:bCs/>
          <w:color w:val="366091"/>
          <w:sz w:val="28"/>
          <w:szCs w:val="28"/>
        </w:rPr>
        <w:lastRenderedPageBreak/>
        <w:t xml:space="preserve">1. Abstract </w:t>
      </w:r>
    </w:p>
    <w:p w14:paraId="0000001B" w14:textId="30A873E6" w:rsidR="006B67F3" w:rsidRDefault="00C27B54" w:rsidP="0AE4C2A7">
      <w:pPr>
        <w:pStyle w:val="Normal4"/>
        <w:spacing w:after="0" w:line="240" w:lineRule="auto"/>
        <w:rPr>
          <w:rFonts w:ascii="Garamond" w:eastAsia="Garamond" w:hAnsi="Garamond" w:cs="Garamond"/>
        </w:rPr>
      </w:pPr>
      <w:r w:rsidRPr="15163AE6">
        <w:rPr>
          <w:rFonts w:ascii="Garamond" w:eastAsia="Garamond" w:hAnsi="Garamond" w:cs="Garamond"/>
        </w:rPr>
        <w:t xml:space="preserve">Over the last several decades the city of Los Angeles, California, has been experiencing increased temperatures resulting </w:t>
      </w:r>
      <w:r w:rsidR="5276C759" w:rsidRPr="15163AE6">
        <w:rPr>
          <w:rFonts w:ascii="Garamond" w:eastAsia="Garamond" w:hAnsi="Garamond" w:cs="Garamond"/>
        </w:rPr>
        <w:t xml:space="preserve">from </w:t>
      </w:r>
      <w:r w:rsidRPr="15163AE6">
        <w:rPr>
          <w:rFonts w:ascii="Garamond" w:eastAsia="Garamond" w:hAnsi="Garamond" w:cs="Garamond"/>
        </w:rPr>
        <w:t xml:space="preserve">the urban heat island effect. This is largely due to the expansion of developed areas which allow for the trapping of heat, posing dangerous health risks. As a solution, many organizations have turned to urban greening and tree planting initiatives to help cool vulnerable communities. NASA DEVELOP has partnered with City Plants and the City of Los Angeles, Office of Forest Management to study the role of trees in urban environments and their relation to the mitigation of local urban heat islands. This team used NASA Earth observation data spanning from 2016 to 2022, including land surface temperature and Normalized Difference Vegetation Index (NDVI) data collected from Landsat 8 Thermal Infrared Sensor (TIRS) and </w:t>
      </w:r>
      <w:r w:rsidR="009A64D0">
        <w:rPr>
          <w:rFonts w:ascii="Garamond" w:eastAsia="Garamond" w:hAnsi="Garamond" w:cs="Garamond"/>
        </w:rPr>
        <w:t>International Space Station (</w:t>
      </w:r>
      <w:r w:rsidRPr="15163AE6">
        <w:rPr>
          <w:rFonts w:ascii="Garamond" w:eastAsia="Garamond" w:hAnsi="Garamond" w:cs="Garamond"/>
        </w:rPr>
        <w:t>ISS</w:t>
      </w:r>
      <w:r w:rsidR="009A64D0">
        <w:rPr>
          <w:rFonts w:ascii="Garamond" w:eastAsia="Garamond" w:hAnsi="Garamond" w:cs="Garamond"/>
        </w:rPr>
        <w:t>)</w:t>
      </w:r>
      <w:r w:rsidRPr="15163AE6">
        <w:rPr>
          <w:rFonts w:ascii="Garamond" w:eastAsia="Garamond" w:hAnsi="Garamond" w:cs="Garamond"/>
        </w:rPr>
        <w:t xml:space="preserve"> ECOsystem Spaceborne Thermal Radiometer Experiment on Space Station (ECOSTRESS), respectively. Data from the National Agriculture Imagery Program (NAIP) were also used to obtain a supervised classification of tree canopy cover. Our analysis reveals a spatial and temporal connection between temperature and vegetation, suggesting that areas with more vegetation are less likely to suffer high summertime temperatures. Results also highlight the impacts of tree planting programs, such as the Vermont Corridor planting project, which increased tree canopy cover by up to 5% in the community between 2016 and 2022. These findings support the implementation of urban greening practices and inform residents and officials about how investing in trees will help mitigate increasing heat within Los Angeles.</w:t>
      </w:r>
    </w:p>
    <w:p w14:paraId="0000001C" w14:textId="77777777" w:rsidR="006B67F3" w:rsidRDefault="006B67F3">
      <w:pPr>
        <w:pStyle w:val="Normal4"/>
        <w:spacing w:after="0"/>
        <w:rPr>
          <w:rFonts w:ascii="Garamond" w:eastAsia="Garamond" w:hAnsi="Garamond" w:cs="Garamond"/>
        </w:rPr>
      </w:pPr>
    </w:p>
    <w:p w14:paraId="0000001D" w14:textId="77777777" w:rsidR="006B67F3" w:rsidRDefault="00C27B54">
      <w:pPr>
        <w:pStyle w:val="Normal4"/>
        <w:spacing w:after="0" w:line="240" w:lineRule="auto"/>
        <w:rPr>
          <w:b/>
        </w:rPr>
      </w:pPr>
      <w:r>
        <w:rPr>
          <w:rFonts w:ascii="Garamond" w:eastAsia="Garamond" w:hAnsi="Garamond" w:cs="Garamond"/>
          <w:b/>
        </w:rPr>
        <w:t>Key Terms</w:t>
      </w:r>
    </w:p>
    <w:p w14:paraId="0000001E" w14:textId="77777777" w:rsidR="006B67F3" w:rsidRDefault="00C27B54">
      <w:pPr>
        <w:pStyle w:val="Normal4"/>
        <w:spacing w:after="0" w:line="240" w:lineRule="auto"/>
        <w:rPr>
          <w:rFonts w:ascii="Garamond" w:eastAsia="Garamond" w:hAnsi="Garamond" w:cs="Garamond"/>
        </w:rPr>
      </w:pPr>
      <w:r>
        <w:rPr>
          <w:rFonts w:ascii="Garamond" w:eastAsia="Garamond" w:hAnsi="Garamond" w:cs="Garamond"/>
        </w:rPr>
        <w:t>Urban heat island, heat vulnerability, urban greening, tree planting initiatives, Landsat 8 TIRS, ECOSTRESS, NAIP</w:t>
      </w:r>
    </w:p>
    <w:p w14:paraId="0000001F" w14:textId="77777777" w:rsidR="006B67F3" w:rsidRDefault="006B67F3">
      <w:pPr>
        <w:pStyle w:val="Normal4"/>
        <w:keepNext/>
        <w:keepLines/>
        <w:spacing w:after="0" w:line="240" w:lineRule="auto"/>
        <w:rPr>
          <w:rFonts w:ascii="Garamond" w:eastAsia="Garamond" w:hAnsi="Garamond" w:cs="Garamond"/>
          <w:b/>
          <w:color w:val="366091"/>
          <w:sz w:val="28"/>
          <w:szCs w:val="28"/>
        </w:rPr>
      </w:pPr>
    </w:p>
    <w:p w14:paraId="00000020" w14:textId="77777777" w:rsidR="006B67F3" w:rsidRDefault="00C27B54">
      <w:pPr>
        <w:pStyle w:val="Normal4"/>
        <w:keepNext/>
        <w:keepLines/>
        <w:pBdr>
          <w:top w:val="nil"/>
          <w:left w:val="nil"/>
          <w:bottom w:val="nil"/>
          <w:right w:val="nil"/>
          <w:between w:val="nil"/>
        </w:pBdr>
        <w:spacing w:after="0" w:line="240" w:lineRule="auto"/>
        <w:rPr>
          <w:rFonts w:ascii="Garamond" w:eastAsia="Garamond" w:hAnsi="Garamond" w:cs="Garamond"/>
          <w:b/>
          <w:color w:val="366091"/>
          <w:sz w:val="28"/>
          <w:szCs w:val="28"/>
        </w:rPr>
      </w:pPr>
      <w:r>
        <w:rPr>
          <w:rFonts w:ascii="Garamond" w:eastAsia="Garamond" w:hAnsi="Garamond" w:cs="Garamond"/>
          <w:b/>
          <w:color w:val="366091"/>
          <w:sz w:val="28"/>
          <w:szCs w:val="28"/>
        </w:rPr>
        <w:t>2. Introduction</w:t>
      </w:r>
    </w:p>
    <w:p w14:paraId="00000021" w14:textId="77777777" w:rsidR="006B67F3" w:rsidRDefault="006B67F3">
      <w:pPr>
        <w:pStyle w:val="Normal4"/>
        <w:keepNext/>
        <w:keepLines/>
        <w:pBdr>
          <w:top w:val="nil"/>
          <w:left w:val="nil"/>
          <w:bottom w:val="nil"/>
          <w:right w:val="nil"/>
          <w:between w:val="nil"/>
        </w:pBdr>
        <w:spacing w:after="0" w:line="240" w:lineRule="auto"/>
        <w:rPr>
          <w:rFonts w:ascii="Garamond" w:eastAsia="Garamond" w:hAnsi="Garamond" w:cs="Garamond"/>
          <w:b/>
          <w:color w:val="366091"/>
          <w:sz w:val="28"/>
          <w:szCs w:val="28"/>
        </w:rPr>
      </w:pPr>
    </w:p>
    <w:p w14:paraId="00000022" w14:textId="77777777" w:rsidR="006B67F3" w:rsidRDefault="00C27B54">
      <w:pPr>
        <w:pStyle w:val="Normal4"/>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2.1 Background Information</w:t>
      </w:r>
    </w:p>
    <w:p w14:paraId="00000023" w14:textId="3C867964" w:rsidR="006B67F3" w:rsidRDefault="00C27B54" w:rsidP="15163AE6">
      <w:pPr>
        <w:pStyle w:val="Normal4"/>
        <w:pBdr>
          <w:top w:val="nil"/>
          <w:left w:val="nil"/>
          <w:bottom w:val="nil"/>
          <w:right w:val="nil"/>
          <w:between w:val="nil"/>
        </w:pBdr>
        <w:spacing w:after="0" w:line="240" w:lineRule="auto"/>
        <w:rPr>
          <w:rFonts w:ascii="Garamond" w:eastAsia="Garamond" w:hAnsi="Garamond" w:cs="Garamond"/>
          <w:color w:val="000000"/>
        </w:rPr>
      </w:pPr>
      <w:r w:rsidRPr="15163AE6">
        <w:rPr>
          <w:rFonts w:ascii="Garamond" w:eastAsia="Garamond" w:hAnsi="Garamond" w:cs="Garamond"/>
          <w:color w:val="000000"/>
        </w:rPr>
        <w:t>The construction of large cities often leads to the formation of urban heat islands, a phenomenon where the temperature in urban areas is much higher than in rural regions (Balany et al., 2020). This contrast in temperature is largely due to urban structures and anthropogenic heat release. Structures</w:t>
      </w:r>
      <w:r w:rsidR="00681226">
        <w:rPr>
          <w:rFonts w:ascii="Garamond" w:eastAsia="Garamond" w:hAnsi="Garamond" w:cs="Garamond"/>
          <w:color w:val="000000"/>
        </w:rPr>
        <w:t>,</w:t>
      </w:r>
      <w:r w:rsidRPr="15163AE6">
        <w:rPr>
          <w:rFonts w:ascii="Garamond" w:eastAsia="Garamond" w:hAnsi="Garamond" w:cs="Garamond"/>
          <w:color w:val="000000"/>
        </w:rPr>
        <w:t xml:space="preserve"> such as buildings or pavement</w:t>
      </w:r>
      <w:r w:rsidR="00681226">
        <w:rPr>
          <w:rFonts w:ascii="Garamond" w:eastAsia="Garamond" w:hAnsi="Garamond" w:cs="Garamond"/>
          <w:color w:val="000000"/>
        </w:rPr>
        <w:t>,</w:t>
      </w:r>
      <w:r w:rsidRPr="15163AE6">
        <w:rPr>
          <w:rFonts w:ascii="Garamond" w:eastAsia="Garamond" w:hAnsi="Garamond" w:cs="Garamond"/>
          <w:color w:val="000000"/>
        </w:rPr>
        <w:t xml:space="preserve"> can absorb, store, and release heat back into the environment even after sunset (Phelan et al., 2015). This can result in increased daytime temperatures of 1–7°F in urban areas and increased nighttime temperatures of about 2–5°F (U</w:t>
      </w:r>
      <w:r>
        <w:rPr>
          <w:rFonts w:ascii="Garamond" w:eastAsia="Garamond" w:hAnsi="Garamond" w:cs="Garamond"/>
        </w:rPr>
        <w:t>nited States</w:t>
      </w:r>
      <w:r w:rsidRPr="15163AE6">
        <w:rPr>
          <w:rFonts w:ascii="Garamond" w:eastAsia="Garamond" w:hAnsi="Garamond" w:cs="Garamond"/>
          <w:color w:val="000000"/>
        </w:rPr>
        <w:t xml:space="preserve"> Environmental Protection Agency, 2014). Mitigation studies have shown that increasing vegetation cover through tree planting can reduce temperatures in cities. Tree canopies reduce direct solar radiation by providing shade and cool surrounding areas through evapotranspiration (Balany et al., 2020). In the summertime, trees can block 70 to 90 percent of the sun’s energy from reaching the area below a tree (U</w:t>
      </w:r>
      <w:r>
        <w:rPr>
          <w:rFonts w:ascii="Garamond" w:eastAsia="Garamond" w:hAnsi="Garamond" w:cs="Garamond"/>
        </w:rPr>
        <w:t>nited States</w:t>
      </w:r>
      <w:r w:rsidRPr="15163AE6">
        <w:rPr>
          <w:rFonts w:ascii="Garamond" w:eastAsia="Garamond" w:hAnsi="Garamond" w:cs="Garamond"/>
          <w:color w:val="000000"/>
        </w:rPr>
        <w:t xml:space="preserve"> Environmental Protection Agency, 2008). Due to evapotranspiration and shading, tree canopy cover can help reduce summer air temperatures by 2 to 9°F (Kurn et al., 1994; U</w:t>
      </w:r>
      <w:r>
        <w:rPr>
          <w:rFonts w:ascii="Garamond" w:eastAsia="Garamond" w:hAnsi="Garamond" w:cs="Garamond"/>
        </w:rPr>
        <w:t>nited States</w:t>
      </w:r>
      <w:r w:rsidRPr="15163AE6">
        <w:rPr>
          <w:rFonts w:ascii="Garamond" w:eastAsia="Garamond" w:hAnsi="Garamond" w:cs="Garamond"/>
          <w:color w:val="000000"/>
        </w:rPr>
        <w:t xml:space="preserve"> </w:t>
      </w:r>
      <w:r w:rsidR="001D303F" w:rsidRPr="15163AE6">
        <w:rPr>
          <w:rFonts w:ascii="Garamond" w:eastAsia="Garamond" w:hAnsi="Garamond" w:cs="Garamond"/>
          <w:color w:val="000000"/>
        </w:rPr>
        <w:t>Environmental Protection Agency</w:t>
      </w:r>
      <w:r w:rsidRPr="15163AE6">
        <w:rPr>
          <w:rFonts w:ascii="Garamond" w:eastAsia="Garamond" w:hAnsi="Garamond" w:cs="Garamond"/>
          <w:color w:val="000000"/>
        </w:rPr>
        <w:t xml:space="preserve">, 2008). </w:t>
      </w:r>
    </w:p>
    <w:p w14:paraId="00000024" w14:textId="77777777" w:rsidR="006B67F3" w:rsidRDefault="006B67F3" w:rsidP="0AE4C2A7">
      <w:pPr>
        <w:pStyle w:val="Normal4"/>
        <w:pBdr>
          <w:top w:val="nil"/>
          <w:left w:val="nil"/>
          <w:bottom w:val="nil"/>
          <w:right w:val="nil"/>
          <w:between w:val="nil"/>
        </w:pBdr>
        <w:spacing w:after="0" w:line="240" w:lineRule="auto"/>
        <w:rPr>
          <w:rFonts w:ascii="Garamond" w:eastAsia="Garamond" w:hAnsi="Garamond" w:cs="Garamond"/>
          <w:color w:val="000000"/>
        </w:rPr>
      </w:pPr>
    </w:p>
    <w:p w14:paraId="00000025" w14:textId="0046E447" w:rsidR="006B67F3" w:rsidRDefault="2DC50F17" w:rsidP="0AE4C2A7">
      <w:pPr>
        <w:pStyle w:val="Normal4"/>
        <w:pBdr>
          <w:top w:val="nil"/>
          <w:left w:val="nil"/>
          <w:bottom w:val="nil"/>
          <w:right w:val="nil"/>
          <w:between w:val="nil"/>
        </w:pBdr>
        <w:spacing w:after="0" w:line="240" w:lineRule="auto"/>
        <w:rPr>
          <w:rFonts w:ascii="Garamond" w:eastAsia="Garamond" w:hAnsi="Garamond" w:cs="Garamond"/>
          <w:color w:val="000000"/>
        </w:rPr>
      </w:pPr>
      <w:r w:rsidRPr="0AE4C2A7">
        <w:rPr>
          <w:rFonts w:ascii="Garamond" w:eastAsia="Garamond" w:hAnsi="Garamond" w:cs="Garamond"/>
          <w:color w:val="000000"/>
        </w:rPr>
        <w:t>The city of Los Angeles</w:t>
      </w:r>
      <w:r>
        <w:rPr>
          <w:rFonts w:ascii="Garamond" w:eastAsia="Garamond" w:hAnsi="Garamond" w:cs="Garamond"/>
        </w:rPr>
        <w:t xml:space="preserve"> </w:t>
      </w:r>
      <w:r w:rsidRPr="0AE4C2A7">
        <w:rPr>
          <w:rFonts w:ascii="Garamond" w:eastAsia="Garamond" w:hAnsi="Garamond" w:cs="Garamond"/>
          <w:color w:val="000000"/>
        </w:rPr>
        <w:t xml:space="preserve">has a high degree of urbanization across a large land area. Over the last several decades, inland urban areas of </w:t>
      </w:r>
      <w:r>
        <w:rPr>
          <w:rFonts w:ascii="Garamond" w:eastAsia="Garamond" w:hAnsi="Garamond" w:cs="Garamond"/>
        </w:rPr>
        <w:t>Los Angeles</w:t>
      </w:r>
      <w:r w:rsidRPr="0AE4C2A7">
        <w:rPr>
          <w:rFonts w:ascii="Garamond" w:eastAsia="Garamond" w:hAnsi="Garamond" w:cs="Garamond"/>
          <w:color w:val="000000"/>
        </w:rPr>
        <w:t xml:space="preserve"> have experienced an increase in the frequency, duration, and intensity of heat waves (Hulley et al., 2020). The increase in developed urban areas in </w:t>
      </w:r>
      <w:r>
        <w:rPr>
          <w:rFonts w:ascii="Garamond" w:eastAsia="Garamond" w:hAnsi="Garamond" w:cs="Garamond"/>
        </w:rPr>
        <w:t>Los Angeles</w:t>
      </w:r>
      <w:r w:rsidRPr="0AE4C2A7">
        <w:rPr>
          <w:rFonts w:ascii="Garamond" w:eastAsia="Garamond" w:hAnsi="Garamond" w:cs="Garamond"/>
          <w:color w:val="000000"/>
        </w:rPr>
        <w:t xml:space="preserve"> contributes to this warming trend. Between 1992 and 2011, built up or developed land cover in southern </w:t>
      </w:r>
      <w:r>
        <w:rPr>
          <w:rFonts w:ascii="Garamond" w:eastAsia="Garamond" w:hAnsi="Garamond" w:cs="Garamond"/>
        </w:rPr>
        <w:t>Los Angeles</w:t>
      </w:r>
      <w:r w:rsidRPr="0AE4C2A7">
        <w:rPr>
          <w:rFonts w:ascii="Garamond" w:eastAsia="Garamond" w:hAnsi="Garamond" w:cs="Garamond"/>
          <w:color w:val="000000"/>
        </w:rPr>
        <w:t xml:space="preserve"> County increased from 59 to 79 percent (Ladochy et al., 2021). More impervious surfaces allow for excess heat to be trapped in the city which poses dangerous health risks during prolonged heat episodes. Additionally, climate change continues to drive extreme heat events in California with average temperatures in </w:t>
      </w:r>
      <w:r>
        <w:rPr>
          <w:rFonts w:ascii="Garamond" w:eastAsia="Garamond" w:hAnsi="Garamond" w:cs="Garamond"/>
        </w:rPr>
        <w:t>Los Angeles</w:t>
      </w:r>
      <w:r w:rsidRPr="0AE4C2A7">
        <w:rPr>
          <w:rFonts w:ascii="Garamond" w:eastAsia="Garamond" w:hAnsi="Garamond" w:cs="Garamond"/>
          <w:color w:val="000000"/>
        </w:rPr>
        <w:t xml:space="preserve"> estimated to rise by 3 to 7°F by mid-century (Guzman, 2020). Investigating the impacts of urban tree cover and tree planting initiatives is important for the future management of city resources in </w:t>
      </w:r>
      <w:r>
        <w:rPr>
          <w:rFonts w:ascii="Garamond" w:eastAsia="Garamond" w:hAnsi="Garamond" w:cs="Garamond"/>
        </w:rPr>
        <w:t>Los Angeles</w:t>
      </w:r>
      <w:r w:rsidRPr="0AE4C2A7">
        <w:rPr>
          <w:rFonts w:ascii="Garamond" w:eastAsia="Garamond" w:hAnsi="Garamond" w:cs="Garamond"/>
          <w:color w:val="000000"/>
        </w:rPr>
        <w:t>.</w:t>
      </w:r>
    </w:p>
    <w:p w14:paraId="00000026" w14:textId="77777777" w:rsidR="006B67F3" w:rsidRDefault="006B67F3" w:rsidP="0AE4C2A7">
      <w:pPr>
        <w:pStyle w:val="Normal4"/>
        <w:pBdr>
          <w:top w:val="nil"/>
          <w:left w:val="nil"/>
          <w:bottom w:val="nil"/>
          <w:right w:val="nil"/>
          <w:between w:val="nil"/>
        </w:pBdr>
        <w:spacing w:after="0" w:line="240" w:lineRule="auto"/>
        <w:rPr>
          <w:rFonts w:ascii="Garamond" w:eastAsia="Garamond" w:hAnsi="Garamond" w:cs="Garamond"/>
          <w:color w:val="000000"/>
        </w:rPr>
      </w:pPr>
    </w:p>
    <w:p w14:paraId="00000027" w14:textId="77777777" w:rsidR="006B67F3" w:rsidRDefault="2DC50F17" w:rsidP="0AE4C2A7">
      <w:pPr>
        <w:pStyle w:val="Normal4"/>
        <w:pBdr>
          <w:top w:val="nil"/>
          <w:left w:val="nil"/>
          <w:bottom w:val="nil"/>
          <w:right w:val="nil"/>
          <w:between w:val="nil"/>
        </w:pBdr>
        <w:spacing w:after="0" w:line="240" w:lineRule="auto"/>
        <w:rPr>
          <w:rFonts w:ascii="Garamond" w:eastAsia="Garamond" w:hAnsi="Garamond" w:cs="Garamond"/>
        </w:rPr>
      </w:pPr>
      <w:r w:rsidRPr="0AE4C2A7">
        <w:rPr>
          <w:rFonts w:ascii="Garamond" w:eastAsia="Garamond" w:hAnsi="Garamond" w:cs="Garamond"/>
          <w:color w:val="000000"/>
        </w:rPr>
        <w:lastRenderedPageBreak/>
        <w:t xml:space="preserve">Remote sensing technologies provide unique ways to assess the spatial relationship of temperature and tree canopy cover. Satellite based remote sensing instruments allow reliable and consistent Earth observation data to be analyzed over time to understand the distribution of vegetation and temperature across entire urban areas (Shatnawi &amp; Abu Qdais, 2019; Tufa, 2018). The temporal and spatial coverage of many remote sensing data platforms make </w:t>
      </w:r>
      <w:r>
        <w:rPr>
          <w:rFonts w:ascii="Garamond" w:eastAsia="Garamond" w:hAnsi="Garamond" w:cs="Garamond"/>
        </w:rPr>
        <w:t>them</w:t>
      </w:r>
      <w:r w:rsidRPr="0AE4C2A7">
        <w:rPr>
          <w:rFonts w:ascii="Garamond" w:eastAsia="Garamond" w:hAnsi="Garamond" w:cs="Garamond"/>
          <w:color w:val="000000"/>
        </w:rPr>
        <w:t xml:space="preserve"> valuable </w:t>
      </w:r>
      <w:r>
        <w:rPr>
          <w:rFonts w:ascii="Garamond" w:eastAsia="Garamond" w:hAnsi="Garamond" w:cs="Garamond"/>
        </w:rPr>
        <w:t>resources</w:t>
      </w:r>
      <w:r w:rsidRPr="0AE4C2A7">
        <w:rPr>
          <w:rFonts w:ascii="Garamond" w:eastAsia="Garamond" w:hAnsi="Garamond" w:cs="Garamond"/>
          <w:color w:val="000000"/>
        </w:rPr>
        <w:t xml:space="preserve"> when assessing the effects of urban tree cover on heat mitigation.</w:t>
      </w:r>
    </w:p>
    <w:p w14:paraId="00000028" w14:textId="77777777" w:rsidR="006B67F3" w:rsidRDefault="006B67F3">
      <w:pPr>
        <w:pStyle w:val="Normal4"/>
        <w:pBdr>
          <w:top w:val="nil"/>
          <w:left w:val="nil"/>
          <w:bottom w:val="nil"/>
          <w:right w:val="nil"/>
          <w:between w:val="nil"/>
        </w:pBdr>
        <w:spacing w:after="0" w:line="240" w:lineRule="auto"/>
        <w:rPr>
          <w:rFonts w:ascii="Garamond" w:eastAsia="Garamond" w:hAnsi="Garamond" w:cs="Garamond"/>
        </w:rPr>
      </w:pPr>
    </w:p>
    <w:p w14:paraId="00000029" w14:textId="77777777" w:rsidR="006B67F3" w:rsidRDefault="00C27B54">
      <w:pPr>
        <w:pStyle w:val="Normal4"/>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2.2 Project Partners &amp; Objectives</w:t>
      </w:r>
    </w:p>
    <w:p w14:paraId="0000002A" w14:textId="0B825C07" w:rsidR="006B67F3" w:rsidRDefault="2DC50F17" w:rsidP="15163AE6">
      <w:pPr>
        <w:pStyle w:val="Normal4"/>
        <w:pBdr>
          <w:top w:val="nil"/>
          <w:left w:val="nil"/>
          <w:bottom w:val="nil"/>
          <w:right w:val="nil"/>
          <w:between w:val="nil"/>
        </w:pBdr>
        <w:spacing w:line="240" w:lineRule="auto"/>
        <w:rPr>
          <w:rFonts w:ascii="Garamond" w:eastAsia="Garamond" w:hAnsi="Garamond" w:cs="Garamond"/>
          <w:color w:val="000000"/>
        </w:rPr>
      </w:pPr>
      <w:r w:rsidRPr="15163AE6">
        <w:rPr>
          <w:rFonts w:ascii="Garamond" w:eastAsia="Garamond" w:hAnsi="Garamond" w:cs="Garamond"/>
          <w:color w:val="000000"/>
        </w:rPr>
        <w:t xml:space="preserve">The Spring 2023 NASA DEVELOP Los Angeles Urban Development team partnered with City Plants and the City of Los Angeles’ Office of Forestry Management to measure and visualize urban heat trends in Los Angeles. City Plants is a non-profit organization that uses tree-planting initiatives to provide </w:t>
      </w:r>
      <w:r>
        <w:rPr>
          <w:rFonts w:ascii="Garamond" w:eastAsia="Garamond" w:hAnsi="Garamond" w:cs="Garamond"/>
        </w:rPr>
        <w:t>Los Angeles</w:t>
      </w:r>
      <w:r w:rsidRPr="15163AE6">
        <w:rPr>
          <w:rFonts w:ascii="Garamond" w:eastAsia="Garamond" w:hAnsi="Garamond" w:cs="Garamond"/>
          <w:color w:val="000000"/>
        </w:rPr>
        <w:t xml:space="preserve"> residents with equal access to trees which provide health, social, and environmental benefits. This is accomplished through collaboration with the City of Los Angeles and non-profit organizations in the city. Through these partnerships, City Plants is able to distribute and plant 20,000 trees annually, engaging Angelinos to plant and care for trees throughout the city (City Plants, 2023).  </w:t>
      </w:r>
    </w:p>
    <w:p w14:paraId="0000002B" w14:textId="04367BB7" w:rsidR="006B67F3" w:rsidRDefault="00C27B54" w:rsidP="0AE4C2A7">
      <w:pPr>
        <w:pStyle w:val="Normal4"/>
        <w:pBdr>
          <w:top w:val="nil"/>
          <w:left w:val="nil"/>
          <w:bottom w:val="nil"/>
          <w:right w:val="nil"/>
          <w:between w:val="nil"/>
        </w:pBdr>
        <w:spacing w:before="240" w:line="240" w:lineRule="auto"/>
        <w:rPr>
          <w:rFonts w:ascii="Garamond" w:eastAsia="Garamond" w:hAnsi="Garamond" w:cs="Garamond"/>
          <w:color w:val="000000"/>
        </w:rPr>
      </w:pPr>
      <w:r w:rsidRPr="0AE4C2A7">
        <w:rPr>
          <w:rFonts w:ascii="Garamond" w:eastAsia="Garamond" w:hAnsi="Garamond" w:cs="Garamond"/>
          <w:color w:val="000000"/>
        </w:rPr>
        <w:t>The City of Los Angeles, Office of City Forest Management, and Los Angeles Sanitation partnered with City Plants to organize tree-planting efforts and urban forest management in the city in aims of increasing tree canopy coverage by at least 50% by 2028 through the Green New Deal (City of Los Angeles, 2019). Although City Plants and the Office of Forest Management have experience working with satellite data products, they do not regularly implement NASA Earth observation data into their analyses to investigate the impacts of urban tree cover or evaluate planting projects.</w:t>
      </w:r>
    </w:p>
    <w:p w14:paraId="0000002C" w14:textId="278BE148" w:rsidR="006B67F3" w:rsidRDefault="00C27B54" w:rsidP="15163AE6">
      <w:pPr>
        <w:pStyle w:val="Normal4"/>
        <w:pBdr>
          <w:top w:val="nil"/>
          <w:left w:val="nil"/>
          <w:bottom w:val="nil"/>
          <w:right w:val="nil"/>
          <w:between w:val="nil"/>
        </w:pBdr>
        <w:spacing w:line="240" w:lineRule="auto"/>
        <w:rPr>
          <w:rFonts w:ascii="Garamond" w:eastAsia="Garamond" w:hAnsi="Garamond" w:cs="Garamond"/>
          <w:color w:val="000000"/>
        </w:rPr>
      </w:pPr>
      <w:r w:rsidRPr="15163AE6">
        <w:rPr>
          <w:rFonts w:ascii="Garamond" w:eastAsia="Garamond" w:hAnsi="Garamond" w:cs="Garamond"/>
          <w:color w:val="000000"/>
        </w:rPr>
        <w:t>The objective of this project was to study the role of trees in urban environments as it relates to the mitigation of local urban heat islands</w:t>
      </w:r>
      <w:r w:rsidR="4AD14CAE" w:rsidRPr="15163AE6">
        <w:rPr>
          <w:rFonts w:ascii="Garamond" w:eastAsia="Garamond" w:hAnsi="Garamond" w:cs="Garamond"/>
          <w:color w:val="000000"/>
        </w:rPr>
        <w:t xml:space="preserve"> through the use of NASA Earth observations</w:t>
      </w:r>
      <w:r w:rsidRPr="15163AE6">
        <w:rPr>
          <w:rFonts w:ascii="Garamond" w:eastAsia="Garamond" w:hAnsi="Garamond" w:cs="Garamond"/>
          <w:color w:val="000000"/>
        </w:rPr>
        <w:t xml:space="preserve">. To do this, we used thermal data from Landsat and </w:t>
      </w:r>
      <w:r w:rsidR="001D303F">
        <w:rPr>
          <w:rFonts w:ascii="Garamond" w:eastAsia="Garamond" w:hAnsi="Garamond" w:cs="Garamond"/>
        </w:rPr>
        <w:t>International Space Station</w:t>
      </w:r>
      <w:r w:rsidR="001D303F" w:rsidRPr="15163AE6">
        <w:rPr>
          <w:rFonts w:ascii="Garamond" w:eastAsia="Garamond" w:hAnsi="Garamond" w:cs="Garamond"/>
          <w:color w:val="000000"/>
        </w:rPr>
        <w:t xml:space="preserve"> </w:t>
      </w:r>
      <w:r w:rsidR="001D303F">
        <w:rPr>
          <w:rFonts w:ascii="Garamond" w:eastAsia="Garamond" w:hAnsi="Garamond" w:cs="Garamond"/>
          <w:color w:val="000000"/>
        </w:rPr>
        <w:t>(</w:t>
      </w:r>
      <w:r w:rsidRPr="15163AE6">
        <w:rPr>
          <w:rFonts w:ascii="Garamond" w:eastAsia="Garamond" w:hAnsi="Garamond" w:cs="Garamond"/>
          <w:color w:val="000000"/>
        </w:rPr>
        <w:t>ISS</w:t>
      </w:r>
      <w:r w:rsidR="001D303F">
        <w:rPr>
          <w:rFonts w:ascii="Garamond" w:eastAsia="Garamond" w:hAnsi="Garamond" w:cs="Garamond"/>
          <w:color w:val="000000"/>
        </w:rPr>
        <w:t>)</w:t>
      </w:r>
      <w:r w:rsidRPr="15163AE6">
        <w:rPr>
          <w:rFonts w:ascii="Garamond" w:eastAsia="Garamond" w:hAnsi="Garamond" w:cs="Garamond"/>
          <w:color w:val="000000"/>
        </w:rPr>
        <w:t xml:space="preserve"> sensors to calculate annual changes in average surface temperature across Los </w:t>
      </w:r>
      <w:r>
        <w:rPr>
          <w:rFonts w:ascii="Garamond" w:eastAsia="Garamond" w:hAnsi="Garamond" w:cs="Garamond"/>
        </w:rPr>
        <w:t>Angeles County and a few subregions, where tree-planting initiatives have previously taken place, including the Vermont Corridor, Central Alameda, Sylmar, South Pasadena, and Beverly Hills</w:t>
      </w:r>
      <w:r w:rsidRPr="15163AE6">
        <w:rPr>
          <w:rFonts w:ascii="Garamond" w:eastAsia="Garamond" w:hAnsi="Garamond" w:cs="Garamond"/>
          <w:color w:val="000000"/>
        </w:rPr>
        <w:t xml:space="preserve">. We paired this with calculations of regional </w:t>
      </w:r>
      <w:r w:rsidR="00DF5032" w:rsidRPr="15163AE6">
        <w:rPr>
          <w:rFonts w:ascii="Garamond" w:eastAsia="Garamond" w:hAnsi="Garamond" w:cs="Garamond"/>
        </w:rPr>
        <w:t>Normalized Difference Vegetation Index</w:t>
      </w:r>
      <w:r w:rsidR="00DF5032" w:rsidRPr="15163AE6">
        <w:rPr>
          <w:rFonts w:ascii="Garamond" w:eastAsia="Garamond" w:hAnsi="Garamond" w:cs="Garamond"/>
          <w:color w:val="000000"/>
        </w:rPr>
        <w:t xml:space="preserve"> </w:t>
      </w:r>
      <w:r w:rsidR="00DF5032">
        <w:rPr>
          <w:rFonts w:ascii="Garamond" w:eastAsia="Garamond" w:hAnsi="Garamond" w:cs="Garamond"/>
          <w:color w:val="000000"/>
        </w:rPr>
        <w:t>(</w:t>
      </w:r>
      <w:r w:rsidRPr="15163AE6">
        <w:rPr>
          <w:rFonts w:ascii="Garamond" w:eastAsia="Garamond" w:hAnsi="Garamond" w:cs="Garamond"/>
          <w:color w:val="000000"/>
        </w:rPr>
        <w:t>NDVI</w:t>
      </w:r>
      <w:r w:rsidR="00DF5032">
        <w:rPr>
          <w:rFonts w:ascii="Garamond" w:eastAsia="Garamond" w:hAnsi="Garamond" w:cs="Garamond"/>
          <w:color w:val="000000"/>
        </w:rPr>
        <w:t>)</w:t>
      </w:r>
      <w:r w:rsidRPr="15163AE6">
        <w:rPr>
          <w:rFonts w:ascii="Garamond" w:eastAsia="Garamond" w:hAnsi="Garamond" w:cs="Garamond"/>
          <w:color w:val="000000"/>
        </w:rPr>
        <w:t xml:space="preserve"> and change in percent canopy cover across </w:t>
      </w:r>
      <w:r>
        <w:rPr>
          <w:rFonts w:ascii="Garamond" w:eastAsia="Garamond" w:hAnsi="Garamond" w:cs="Garamond"/>
        </w:rPr>
        <w:t>these regions</w:t>
      </w:r>
      <w:r w:rsidRPr="15163AE6">
        <w:rPr>
          <w:rFonts w:ascii="Garamond" w:eastAsia="Garamond" w:hAnsi="Garamond" w:cs="Garamond"/>
          <w:color w:val="000000"/>
        </w:rPr>
        <w:t xml:space="preserve"> to determine the city’s thermal evolution as a function of tree presence. Our time frame of interest was between 2016 and 2022. Studying heat distribution on both a macro (citywide) and micro (</w:t>
      </w:r>
      <w:r>
        <w:rPr>
          <w:rFonts w:ascii="Garamond" w:eastAsia="Garamond" w:hAnsi="Garamond" w:cs="Garamond"/>
        </w:rPr>
        <w:t>census tract</w:t>
      </w:r>
      <w:r w:rsidRPr="15163AE6">
        <w:rPr>
          <w:rFonts w:ascii="Garamond" w:eastAsia="Garamond" w:hAnsi="Garamond" w:cs="Garamond"/>
          <w:color w:val="000000"/>
        </w:rPr>
        <w:t xml:space="preserve"> level) scale allowed us to help end-user partners City Plants and the Los Angeles Office of Forestry Management understand the influence of their tree planting programs within the community. </w:t>
      </w:r>
    </w:p>
    <w:p w14:paraId="0000002D" w14:textId="77777777" w:rsidR="006B67F3" w:rsidRDefault="00C27B54">
      <w:pPr>
        <w:pStyle w:val="Normal4"/>
        <w:pBdr>
          <w:top w:val="nil"/>
          <w:left w:val="nil"/>
          <w:bottom w:val="nil"/>
          <w:right w:val="nil"/>
          <w:between w:val="nil"/>
        </w:pBdr>
        <w:spacing w:line="240" w:lineRule="auto"/>
        <w:rPr>
          <w:rFonts w:ascii="Garamond" w:eastAsia="Garamond" w:hAnsi="Garamond" w:cs="Garamond"/>
          <w:b/>
          <w:color w:val="243F61"/>
          <w:sz w:val="28"/>
          <w:szCs w:val="28"/>
        </w:rPr>
      </w:pPr>
      <w:r>
        <w:rPr>
          <w:rFonts w:ascii="Garamond" w:eastAsia="Garamond" w:hAnsi="Garamond" w:cs="Garamond"/>
          <w:b/>
          <w:color w:val="243F61"/>
          <w:sz w:val="28"/>
          <w:szCs w:val="28"/>
        </w:rPr>
        <w:t xml:space="preserve">3. Methodology </w:t>
      </w:r>
    </w:p>
    <w:p w14:paraId="0000002E" w14:textId="77777777" w:rsidR="006B67F3" w:rsidRDefault="00C27B54">
      <w:pPr>
        <w:pStyle w:val="Normal4"/>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 xml:space="preserve">3.1 Data Acquisition </w:t>
      </w:r>
    </w:p>
    <w:p w14:paraId="0000002F" w14:textId="77777777" w:rsidR="006B67F3" w:rsidRDefault="00C27B54" w:rsidP="0AE4C2A7">
      <w:pPr>
        <w:pStyle w:val="Normal4"/>
        <w:pBdr>
          <w:top w:val="nil"/>
          <w:left w:val="nil"/>
          <w:bottom w:val="nil"/>
          <w:right w:val="nil"/>
          <w:between w:val="nil"/>
        </w:pBdr>
        <w:spacing w:after="0" w:line="240" w:lineRule="auto"/>
        <w:rPr>
          <w:rFonts w:ascii="Garamond" w:eastAsia="Garamond" w:hAnsi="Garamond" w:cs="Garamond"/>
          <w:color w:val="000000"/>
        </w:rPr>
      </w:pPr>
      <w:r w:rsidRPr="0AE4C2A7">
        <w:rPr>
          <w:rFonts w:ascii="Garamond" w:eastAsia="Garamond" w:hAnsi="Garamond" w:cs="Garamond"/>
          <w:color w:val="000000"/>
        </w:rPr>
        <w:t>We used land surface temperature data from ECOSTRESS (Ecosystem Spaceborne Thermal Radiometer Experiment on Space Station) for our project, a sensor on the International Space Station designed for monitoring vegetation responses to temperature change. To obtain ECOSTRESS data for our assessment of land surface temperature changes, we used a tool from the Land Processes Distributed Active Archive Center (LP DAAC) called the Application for Extracting and Exploring Analysis Ready Samples (AppEEARS). AppEEARS provides orthorectified, ready-to-use imagery from a variety of NASA Earth observation sensors and minimizes the amount of pre-processing required for data analysis. The ECOSTRESS product we extracted using this tool is called: ECOSTRESS Land Surface Temperature (LST)</w:t>
      </w:r>
      <w:r>
        <w:rPr>
          <w:rFonts w:ascii="Garamond" w:eastAsia="Garamond" w:hAnsi="Garamond" w:cs="Garamond"/>
        </w:rPr>
        <w:t>. Using this product, we were able to extract land surface temperature data from our region of interest.</w:t>
      </w:r>
    </w:p>
    <w:p w14:paraId="00000030" w14:textId="77777777" w:rsidR="006B67F3" w:rsidRDefault="006B67F3" w:rsidP="0AE4C2A7">
      <w:pPr>
        <w:pStyle w:val="Normal4"/>
        <w:pBdr>
          <w:top w:val="nil"/>
          <w:left w:val="nil"/>
          <w:bottom w:val="nil"/>
          <w:right w:val="nil"/>
          <w:between w:val="nil"/>
        </w:pBdr>
        <w:spacing w:after="0" w:line="240" w:lineRule="auto"/>
        <w:rPr>
          <w:rFonts w:ascii="Garamond" w:eastAsia="Garamond" w:hAnsi="Garamond" w:cs="Garamond"/>
        </w:rPr>
      </w:pPr>
    </w:p>
    <w:p w14:paraId="00000031" w14:textId="34EC7BB7" w:rsidR="006B67F3" w:rsidRDefault="00C27B54" w:rsidP="0AE4C2A7">
      <w:pPr>
        <w:pStyle w:val="Normal4"/>
        <w:pBdr>
          <w:top w:val="nil"/>
          <w:left w:val="nil"/>
          <w:bottom w:val="nil"/>
          <w:right w:val="nil"/>
          <w:between w:val="nil"/>
        </w:pBdr>
        <w:spacing w:after="0" w:line="240" w:lineRule="auto"/>
        <w:rPr>
          <w:rFonts w:ascii="Garamond" w:eastAsia="Garamond" w:hAnsi="Garamond" w:cs="Garamond"/>
          <w:color w:val="000000"/>
        </w:rPr>
      </w:pPr>
      <w:r w:rsidRPr="0AE4C2A7">
        <w:rPr>
          <w:rFonts w:ascii="Garamond" w:eastAsia="Garamond" w:hAnsi="Garamond" w:cs="Garamond"/>
          <w:color w:val="000000"/>
        </w:rPr>
        <w:t>Prior to the launch of ECOSTRESS in 2018, NASA’s Landsat suite of satellites were commonly used to study LST change. We obtained atmospherically corrected surface reflectance imagery from the Operational Land Imager (OLI) and the Thermal Infrared Sensor (TIRS) onboard Landsat 8 from Google Earth Engine</w:t>
      </w:r>
      <w:r w:rsidR="006F3804">
        <w:rPr>
          <w:rFonts w:ascii="Garamond" w:eastAsia="Garamond" w:hAnsi="Garamond" w:cs="Garamond"/>
          <w:color w:val="000000"/>
        </w:rPr>
        <w:t xml:space="preserve"> (GEE)</w:t>
      </w:r>
      <w:r w:rsidRPr="0AE4C2A7">
        <w:rPr>
          <w:rFonts w:ascii="Garamond" w:eastAsia="Garamond" w:hAnsi="Garamond" w:cs="Garamond"/>
          <w:color w:val="000000"/>
        </w:rPr>
        <w:t xml:space="preserve">. We derived LST values from the data provided by band 10 on the TIRS sensor. We looked at the </w:t>
      </w:r>
      <w:r w:rsidRPr="0AE4C2A7">
        <w:rPr>
          <w:rFonts w:ascii="Garamond" w:eastAsia="Garamond" w:hAnsi="Garamond" w:cs="Garamond"/>
          <w:color w:val="000000"/>
        </w:rPr>
        <w:lastRenderedPageBreak/>
        <w:t xml:space="preserve">spatial and temporal changes in LST during the hottest months of the year, June to August, from 2016 through 2022. </w:t>
      </w:r>
      <w:r>
        <w:rPr>
          <w:rFonts w:ascii="Garamond" w:eastAsia="Garamond" w:hAnsi="Garamond" w:cs="Garamond"/>
        </w:rPr>
        <w:t xml:space="preserve">In order to investigate the relationship between vegetation and temperature in an urban setting, we used bands 5 and 4 on the OLI sensor, shown in Table 1, to calculate yearly NDVI averages for the same months. </w:t>
      </w:r>
      <w:r w:rsidRPr="0AE4C2A7">
        <w:rPr>
          <w:rFonts w:ascii="Garamond" w:eastAsia="Garamond" w:hAnsi="Garamond" w:cs="Garamond"/>
          <w:color w:val="000000"/>
        </w:rPr>
        <w:t xml:space="preserve">To perform statistical analysis of LST data, we obtained </w:t>
      </w:r>
      <w:r>
        <w:rPr>
          <w:rFonts w:ascii="Garamond" w:eastAsia="Garamond" w:hAnsi="Garamond" w:cs="Garamond"/>
        </w:rPr>
        <w:t>United States</w:t>
      </w:r>
      <w:r w:rsidRPr="0AE4C2A7">
        <w:rPr>
          <w:rFonts w:ascii="Garamond" w:eastAsia="Garamond" w:hAnsi="Garamond" w:cs="Garamond"/>
          <w:color w:val="000000"/>
        </w:rPr>
        <w:t xml:space="preserve"> Census tract level data from the</w:t>
      </w:r>
      <w:r>
        <w:rPr>
          <w:rFonts w:ascii="Garamond" w:eastAsia="Garamond" w:hAnsi="Garamond" w:cs="Garamond"/>
        </w:rPr>
        <w:t xml:space="preserve"> </w:t>
      </w:r>
      <w:r w:rsidRPr="0AE4C2A7">
        <w:rPr>
          <w:rFonts w:ascii="Garamond" w:eastAsia="Garamond" w:hAnsi="Garamond" w:cs="Garamond"/>
          <w:color w:val="000000"/>
        </w:rPr>
        <w:t>Census Bureau's data portal.</w:t>
      </w:r>
    </w:p>
    <w:p w14:paraId="00000032" w14:textId="77777777" w:rsidR="006B67F3" w:rsidRDefault="006B67F3" w:rsidP="0AE4C2A7">
      <w:pPr>
        <w:pStyle w:val="Normal4"/>
        <w:pBdr>
          <w:top w:val="nil"/>
          <w:left w:val="nil"/>
          <w:bottom w:val="nil"/>
          <w:right w:val="nil"/>
          <w:between w:val="nil"/>
        </w:pBdr>
        <w:spacing w:after="0" w:line="240" w:lineRule="auto"/>
        <w:rPr>
          <w:rFonts w:ascii="Garamond" w:eastAsia="Garamond" w:hAnsi="Garamond" w:cs="Garamond"/>
          <w:color w:val="000000"/>
        </w:rPr>
      </w:pPr>
    </w:p>
    <w:p w14:paraId="00000033" w14:textId="75FB3AF0" w:rsidR="006B67F3" w:rsidRDefault="00C27B54" w:rsidP="15163AE6">
      <w:pPr>
        <w:pStyle w:val="Normal4"/>
        <w:pBdr>
          <w:top w:val="nil"/>
          <w:left w:val="nil"/>
          <w:bottom w:val="nil"/>
          <w:right w:val="nil"/>
          <w:between w:val="nil"/>
        </w:pBdr>
        <w:spacing w:after="0" w:line="240" w:lineRule="auto"/>
        <w:rPr>
          <w:rFonts w:ascii="Garamond" w:eastAsia="Garamond" w:hAnsi="Garamond" w:cs="Garamond"/>
          <w:color w:val="000000"/>
        </w:rPr>
      </w:pPr>
      <w:r w:rsidRPr="15163AE6">
        <w:rPr>
          <w:rFonts w:ascii="Garamond" w:eastAsia="Garamond" w:hAnsi="Garamond" w:cs="Garamond"/>
          <w:color w:val="000000"/>
        </w:rPr>
        <w:t>As a supplementary high-resolution data set, we used 0.6 m four-band imagery from the National Agriculture Imagery Program (NAIP) with red (R), green (G), blue (B), and near-infrared bands (NIR)</w:t>
      </w:r>
      <w:r w:rsidR="46724F0F" w:rsidRPr="15163AE6">
        <w:rPr>
          <w:rFonts w:ascii="Garamond" w:eastAsia="Garamond" w:hAnsi="Garamond" w:cs="Garamond"/>
          <w:color w:val="000000"/>
        </w:rPr>
        <w:t>,</w:t>
      </w:r>
      <w:r w:rsidRPr="15163AE6">
        <w:rPr>
          <w:rFonts w:ascii="Garamond" w:eastAsia="Garamond" w:hAnsi="Garamond" w:cs="Garamond"/>
          <w:color w:val="000000"/>
        </w:rPr>
        <w:t xml:space="preserve"> </w:t>
      </w:r>
      <w:r>
        <w:rPr>
          <w:rFonts w:ascii="Garamond" w:eastAsia="Garamond" w:hAnsi="Garamond" w:cs="Garamond"/>
        </w:rPr>
        <w:t>shown</w:t>
      </w:r>
      <w:r w:rsidRPr="15163AE6">
        <w:rPr>
          <w:rFonts w:ascii="Garamond" w:eastAsia="Garamond" w:hAnsi="Garamond" w:cs="Garamond"/>
          <w:color w:val="000000"/>
        </w:rPr>
        <w:t xml:space="preserve"> in Table 2. In our study, we analyzed NAIP aerial images from peak growing seasons in 2016, 2018, 2020, and 2022. NAIP data were acquired through </w:t>
      </w:r>
      <w:r w:rsidR="006F3804">
        <w:rPr>
          <w:rFonts w:ascii="Garamond" w:eastAsia="Garamond" w:hAnsi="Garamond" w:cs="Garamond"/>
          <w:color w:val="000000"/>
        </w:rPr>
        <w:t>GEE</w:t>
      </w:r>
      <w:r w:rsidRPr="15163AE6">
        <w:rPr>
          <w:rFonts w:ascii="Garamond" w:eastAsia="Garamond" w:hAnsi="Garamond" w:cs="Garamond"/>
          <w:color w:val="000000"/>
        </w:rPr>
        <w:t xml:space="preserve"> for the years 2016</w:t>
      </w:r>
      <w:r w:rsidR="004354B0">
        <w:rPr>
          <w:rFonts w:ascii="Garamond" w:eastAsia="Garamond" w:hAnsi="Garamond" w:cs="Garamond"/>
          <w:color w:val="000000"/>
        </w:rPr>
        <w:t>–</w:t>
      </w:r>
      <w:r w:rsidRPr="15163AE6">
        <w:rPr>
          <w:rFonts w:ascii="Garamond" w:eastAsia="Garamond" w:hAnsi="Garamond" w:cs="Garamond"/>
          <w:color w:val="000000"/>
        </w:rPr>
        <w:t>2020 and through the United States Department of Agriculture Geospatial Gateway for 2022 imagery.</w:t>
      </w:r>
    </w:p>
    <w:p w14:paraId="00000034" w14:textId="77777777" w:rsidR="006B67F3" w:rsidRDefault="006B67F3">
      <w:pPr>
        <w:pStyle w:val="Normal4"/>
        <w:pBdr>
          <w:top w:val="nil"/>
          <w:left w:val="nil"/>
          <w:bottom w:val="nil"/>
          <w:right w:val="nil"/>
          <w:between w:val="nil"/>
        </w:pBdr>
        <w:spacing w:after="0" w:line="240" w:lineRule="auto"/>
        <w:rPr>
          <w:rFonts w:ascii="Garamond" w:eastAsia="Garamond" w:hAnsi="Garamond" w:cs="Garamond"/>
        </w:rPr>
      </w:pPr>
    </w:p>
    <w:p w14:paraId="00000036" w14:textId="5408AC27" w:rsidR="006B67F3" w:rsidRDefault="00C27B54" w:rsidP="15163AE6">
      <w:pPr>
        <w:pStyle w:val="Normal4"/>
        <w:pBdr>
          <w:top w:val="nil"/>
          <w:left w:val="nil"/>
          <w:bottom w:val="nil"/>
          <w:right w:val="nil"/>
          <w:between w:val="nil"/>
        </w:pBdr>
        <w:spacing w:after="0" w:line="240" w:lineRule="auto"/>
        <w:rPr>
          <w:rFonts w:ascii="Garamond" w:eastAsia="Garamond" w:hAnsi="Garamond" w:cs="Garamond"/>
        </w:rPr>
      </w:pPr>
      <w:r w:rsidRPr="15163AE6">
        <w:rPr>
          <w:rFonts w:ascii="Garamond" w:eastAsia="Garamond" w:hAnsi="Garamond" w:cs="Garamond"/>
        </w:rPr>
        <w:t>Table 1</w:t>
      </w:r>
      <w:r w:rsidR="39BE043D" w:rsidRPr="15163AE6">
        <w:rPr>
          <w:rFonts w:ascii="Garamond" w:eastAsia="Garamond" w:hAnsi="Garamond" w:cs="Garamond"/>
        </w:rPr>
        <w:t>.</w:t>
      </w:r>
      <w:r w:rsidRPr="15163AE6">
        <w:rPr>
          <w:rFonts w:ascii="Garamond" w:eastAsia="Garamond" w:hAnsi="Garamond" w:cs="Garamond"/>
          <w:i/>
          <w:iCs/>
        </w:rPr>
        <w:t xml:space="preserve"> Landsat 8 </w:t>
      </w:r>
      <w:r w:rsidR="1E2CEE27" w:rsidRPr="15163AE6">
        <w:rPr>
          <w:rFonts w:ascii="Garamond" w:eastAsia="Garamond" w:hAnsi="Garamond" w:cs="Garamond"/>
          <w:i/>
          <w:iCs/>
        </w:rPr>
        <w:t>b</w:t>
      </w:r>
      <w:r w:rsidRPr="15163AE6">
        <w:rPr>
          <w:rFonts w:ascii="Garamond" w:eastAsia="Garamond" w:hAnsi="Garamond" w:cs="Garamond"/>
          <w:i/>
          <w:iCs/>
        </w:rPr>
        <w:t xml:space="preserve">ands </w:t>
      </w: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2535"/>
        <w:gridCol w:w="2205"/>
        <w:gridCol w:w="2775"/>
      </w:tblGrid>
      <w:tr w:rsidR="006B67F3" w14:paraId="0F6256E8" w14:textId="77777777" w:rsidTr="005F6867">
        <w:tc>
          <w:tcPr>
            <w:tcW w:w="1845" w:type="dxa"/>
            <w:shd w:val="clear" w:color="auto" w:fill="auto"/>
            <w:tcMar>
              <w:top w:w="100" w:type="dxa"/>
              <w:left w:w="100" w:type="dxa"/>
              <w:bottom w:w="100" w:type="dxa"/>
              <w:right w:w="100" w:type="dxa"/>
            </w:tcMar>
            <w:vAlign w:val="center"/>
          </w:tcPr>
          <w:p w14:paraId="00000037"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b/>
              </w:rPr>
            </w:pPr>
            <w:r>
              <w:rPr>
                <w:rFonts w:ascii="Garamond" w:eastAsia="Garamond" w:hAnsi="Garamond" w:cs="Garamond"/>
                <w:b/>
              </w:rPr>
              <w:t>Band</w:t>
            </w:r>
          </w:p>
        </w:tc>
        <w:tc>
          <w:tcPr>
            <w:tcW w:w="2535" w:type="dxa"/>
            <w:shd w:val="clear" w:color="auto" w:fill="auto"/>
            <w:tcMar>
              <w:top w:w="100" w:type="dxa"/>
              <w:left w:w="100" w:type="dxa"/>
              <w:bottom w:w="100" w:type="dxa"/>
              <w:right w:w="100" w:type="dxa"/>
            </w:tcMar>
            <w:vAlign w:val="center"/>
          </w:tcPr>
          <w:p w14:paraId="00000038" w14:textId="1641517D" w:rsidR="006B67F3" w:rsidRDefault="00C27B54" w:rsidP="005F6867">
            <w:pPr>
              <w:pStyle w:val="Normal4"/>
              <w:widowControl w:val="0"/>
              <w:pBdr>
                <w:top w:val="nil"/>
                <w:left w:val="nil"/>
                <w:bottom w:val="nil"/>
                <w:right w:val="nil"/>
                <w:between w:val="nil"/>
              </w:pBdr>
              <w:jc w:val="center"/>
              <w:rPr>
                <w:rFonts w:ascii="Garamond" w:eastAsia="Garamond" w:hAnsi="Garamond" w:cs="Garamond"/>
                <w:b/>
              </w:rPr>
            </w:pPr>
            <w:r>
              <w:rPr>
                <w:rFonts w:ascii="Garamond" w:eastAsia="Garamond" w:hAnsi="Garamond" w:cs="Garamond"/>
                <w:b/>
              </w:rPr>
              <w:t>Wavelength Range (micrometers)</w:t>
            </w:r>
          </w:p>
        </w:tc>
        <w:tc>
          <w:tcPr>
            <w:tcW w:w="2205" w:type="dxa"/>
            <w:shd w:val="clear" w:color="auto" w:fill="auto"/>
            <w:tcMar>
              <w:top w:w="100" w:type="dxa"/>
              <w:left w:w="100" w:type="dxa"/>
              <w:bottom w:w="100" w:type="dxa"/>
              <w:right w:w="100" w:type="dxa"/>
            </w:tcMar>
            <w:vAlign w:val="center"/>
          </w:tcPr>
          <w:p w14:paraId="00000039" w14:textId="62DFDDE8" w:rsidR="006B67F3" w:rsidRDefault="00C27B54" w:rsidP="005F6867">
            <w:pPr>
              <w:pStyle w:val="Normal4"/>
              <w:widowControl w:val="0"/>
              <w:pBdr>
                <w:top w:val="nil"/>
                <w:left w:val="nil"/>
                <w:bottom w:val="nil"/>
                <w:right w:val="nil"/>
                <w:between w:val="nil"/>
              </w:pBdr>
              <w:jc w:val="center"/>
              <w:rPr>
                <w:rFonts w:ascii="Garamond" w:eastAsia="Garamond" w:hAnsi="Garamond" w:cs="Garamond"/>
                <w:b/>
              </w:rPr>
            </w:pPr>
            <w:r>
              <w:rPr>
                <w:rFonts w:ascii="Garamond" w:eastAsia="Garamond" w:hAnsi="Garamond" w:cs="Garamond"/>
                <w:b/>
              </w:rPr>
              <w:t>Resolution</w:t>
            </w:r>
          </w:p>
          <w:p w14:paraId="0000003A"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b/>
              </w:rPr>
            </w:pPr>
            <w:r>
              <w:rPr>
                <w:rFonts w:ascii="Garamond" w:eastAsia="Garamond" w:hAnsi="Garamond" w:cs="Garamond"/>
                <w:b/>
              </w:rPr>
              <w:t>(meters)</w:t>
            </w:r>
          </w:p>
        </w:tc>
        <w:tc>
          <w:tcPr>
            <w:tcW w:w="2775" w:type="dxa"/>
            <w:shd w:val="clear" w:color="auto" w:fill="auto"/>
            <w:tcMar>
              <w:top w:w="100" w:type="dxa"/>
              <w:left w:w="100" w:type="dxa"/>
              <w:bottom w:w="100" w:type="dxa"/>
              <w:right w:w="100" w:type="dxa"/>
            </w:tcMar>
            <w:vAlign w:val="center"/>
          </w:tcPr>
          <w:p w14:paraId="0000003B"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b/>
              </w:rPr>
            </w:pPr>
            <w:r>
              <w:rPr>
                <w:rFonts w:ascii="Garamond" w:eastAsia="Garamond" w:hAnsi="Garamond" w:cs="Garamond"/>
                <w:b/>
              </w:rPr>
              <w:t>Primary Use</w:t>
            </w:r>
          </w:p>
        </w:tc>
      </w:tr>
      <w:tr w:rsidR="006B67F3" w14:paraId="4BC5B189" w14:textId="77777777" w:rsidTr="005F6867">
        <w:tc>
          <w:tcPr>
            <w:tcW w:w="1845" w:type="dxa"/>
            <w:shd w:val="clear" w:color="auto" w:fill="auto"/>
            <w:tcMar>
              <w:top w:w="100" w:type="dxa"/>
              <w:left w:w="100" w:type="dxa"/>
              <w:bottom w:w="100" w:type="dxa"/>
              <w:right w:w="100" w:type="dxa"/>
            </w:tcMar>
            <w:vAlign w:val="center"/>
          </w:tcPr>
          <w:p w14:paraId="0000003C"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2</w:t>
            </w:r>
          </w:p>
        </w:tc>
        <w:tc>
          <w:tcPr>
            <w:tcW w:w="2535" w:type="dxa"/>
            <w:shd w:val="clear" w:color="auto" w:fill="auto"/>
            <w:tcMar>
              <w:top w:w="100" w:type="dxa"/>
              <w:left w:w="100" w:type="dxa"/>
              <w:bottom w:w="100" w:type="dxa"/>
              <w:right w:w="100" w:type="dxa"/>
            </w:tcMar>
            <w:vAlign w:val="center"/>
          </w:tcPr>
          <w:p w14:paraId="0000003D" w14:textId="4210F695"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 xml:space="preserve">0.45 </w:t>
            </w:r>
            <w:r w:rsidR="004354B0">
              <w:rPr>
                <w:rFonts w:ascii="Garamond" w:eastAsia="Garamond" w:hAnsi="Garamond" w:cs="Garamond"/>
              </w:rPr>
              <w:t>–</w:t>
            </w:r>
            <w:r>
              <w:rPr>
                <w:rFonts w:ascii="Garamond" w:eastAsia="Garamond" w:hAnsi="Garamond" w:cs="Garamond"/>
              </w:rPr>
              <w:t xml:space="preserve"> 0.51</w:t>
            </w:r>
          </w:p>
        </w:tc>
        <w:tc>
          <w:tcPr>
            <w:tcW w:w="2205" w:type="dxa"/>
            <w:shd w:val="clear" w:color="auto" w:fill="auto"/>
            <w:tcMar>
              <w:top w:w="100" w:type="dxa"/>
              <w:left w:w="100" w:type="dxa"/>
              <w:bottom w:w="100" w:type="dxa"/>
              <w:right w:w="100" w:type="dxa"/>
            </w:tcMar>
            <w:vAlign w:val="center"/>
          </w:tcPr>
          <w:p w14:paraId="0000003E"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30</w:t>
            </w:r>
          </w:p>
        </w:tc>
        <w:tc>
          <w:tcPr>
            <w:tcW w:w="2775" w:type="dxa"/>
            <w:shd w:val="clear" w:color="auto" w:fill="auto"/>
            <w:tcMar>
              <w:top w:w="100" w:type="dxa"/>
              <w:left w:w="100" w:type="dxa"/>
              <w:bottom w:w="100" w:type="dxa"/>
              <w:right w:w="100" w:type="dxa"/>
            </w:tcMar>
            <w:vAlign w:val="center"/>
          </w:tcPr>
          <w:p w14:paraId="0000003F"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Blue</w:t>
            </w:r>
          </w:p>
        </w:tc>
      </w:tr>
      <w:tr w:rsidR="006B67F3" w14:paraId="4E950779" w14:textId="77777777" w:rsidTr="005F6867">
        <w:tc>
          <w:tcPr>
            <w:tcW w:w="1845" w:type="dxa"/>
            <w:shd w:val="clear" w:color="auto" w:fill="auto"/>
            <w:tcMar>
              <w:top w:w="100" w:type="dxa"/>
              <w:left w:w="100" w:type="dxa"/>
              <w:bottom w:w="100" w:type="dxa"/>
              <w:right w:w="100" w:type="dxa"/>
            </w:tcMar>
            <w:vAlign w:val="center"/>
          </w:tcPr>
          <w:p w14:paraId="00000040"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3</w:t>
            </w:r>
          </w:p>
        </w:tc>
        <w:tc>
          <w:tcPr>
            <w:tcW w:w="2535" w:type="dxa"/>
            <w:shd w:val="clear" w:color="auto" w:fill="auto"/>
            <w:tcMar>
              <w:top w:w="100" w:type="dxa"/>
              <w:left w:w="100" w:type="dxa"/>
              <w:bottom w:w="100" w:type="dxa"/>
              <w:right w:w="100" w:type="dxa"/>
            </w:tcMar>
            <w:vAlign w:val="center"/>
          </w:tcPr>
          <w:p w14:paraId="00000041" w14:textId="1FD09377"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 xml:space="preserve">0.53 </w:t>
            </w:r>
            <w:r w:rsidR="004354B0">
              <w:rPr>
                <w:rFonts w:ascii="Garamond" w:eastAsia="Garamond" w:hAnsi="Garamond" w:cs="Garamond"/>
              </w:rPr>
              <w:t>–</w:t>
            </w:r>
            <w:r>
              <w:rPr>
                <w:rFonts w:ascii="Garamond" w:eastAsia="Garamond" w:hAnsi="Garamond" w:cs="Garamond"/>
              </w:rPr>
              <w:t xml:space="preserve"> 0.59</w:t>
            </w:r>
          </w:p>
        </w:tc>
        <w:tc>
          <w:tcPr>
            <w:tcW w:w="2205" w:type="dxa"/>
            <w:shd w:val="clear" w:color="auto" w:fill="auto"/>
            <w:tcMar>
              <w:top w:w="100" w:type="dxa"/>
              <w:left w:w="100" w:type="dxa"/>
              <w:bottom w:w="100" w:type="dxa"/>
              <w:right w:w="100" w:type="dxa"/>
            </w:tcMar>
            <w:vAlign w:val="center"/>
          </w:tcPr>
          <w:p w14:paraId="00000042"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30</w:t>
            </w:r>
          </w:p>
        </w:tc>
        <w:tc>
          <w:tcPr>
            <w:tcW w:w="2775" w:type="dxa"/>
            <w:shd w:val="clear" w:color="auto" w:fill="auto"/>
            <w:tcMar>
              <w:top w:w="100" w:type="dxa"/>
              <w:left w:w="100" w:type="dxa"/>
              <w:bottom w:w="100" w:type="dxa"/>
              <w:right w:w="100" w:type="dxa"/>
            </w:tcMar>
            <w:vAlign w:val="center"/>
          </w:tcPr>
          <w:p w14:paraId="00000043"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Green</w:t>
            </w:r>
          </w:p>
        </w:tc>
      </w:tr>
      <w:tr w:rsidR="006B67F3" w14:paraId="3B89D83A" w14:textId="77777777" w:rsidTr="005F6867">
        <w:tc>
          <w:tcPr>
            <w:tcW w:w="1845" w:type="dxa"/>
            <w:shd w:val="clear" w:color="auto" w:fill="auto"/>
            <w:tcMar>
              <w:top w:w="100" w:type="dxa"/>
              <w:left w:w="100" w:type="dxa"/>
              <w:bottom w:w="100" w:type="dxa"/>
              <w:right w:w="100" w:type="dxa"/>
            </w:tcMar>
            <w:vAlign w:val="center"/>
          </w:tcPr>
          <w:p w14:paraId="00000044"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4</w:t>
            </w:r>
          </w:p>
        </w:tc>
        <w:tc>
          <w:tcPr>
            <w:tcW w:w="2535" w:type="dxa"/>
            <w:shd w:val="clear" w:color="auto" w:fill="auto"/>
            <w:tcMar>
              <w:top w:w="100" w:type="dxa"/>
              <w:left w:w="100" w:type="dxa"/>
              <w:bottom w:w="100" w:type="dxa"/>
              <w:right w:w="100" w:type="dxa"/>
            </w:tcMar>
            <w:vAlign w:val="center"/>
          </w:tcPr>
          <w:p w14:paraId="00000045" w14:textId="1FB5EDD6"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 xml:space="preserve">0.64 </w:t>
            </w:r>
            <w:r w:rsidR="004354B0">
              <w:rPr>
                <w:rFonts w:ascii="Garamond" w:eastAsia="Garamond" w:hAnsi="Garamond" w:cs="Garamond"/>
              </w:rPr>
              <w:t>–</w:t>
            </w:r>
            <w:r>
              <w:rPr>
                <w:rFonts w:ascii="Garamond" w:eastAsia="Garamond" w:hAnsi="Garamond" w:cs="Garamond"/>
              </w:rPr>
              <w:t xml:space="preserve"> 0.67</w:t>
            </w:r>
          </w:p>
        </w:tc>
        <w:tc>
          <w:tcPr>
            <w:tcW w:w="2205" w:type="dxa"/>
            <w:shd w:val="clear" w:color="auto" w:fill="auto"/>
            <w:tcMar>
              <w:top w:w="100" w:type="dxa"/>
              <w:left w:w="100" w:type="dxa"/>
              <w:bottom w:w="100" w:type="dxa"/>
              <w:right w:w="100" w:type="dxa"/>
            </w:tcMar>
            <w:vAlign w:val="center"/>
          </w:tcPr>
          <w:p w14:paraId="00000046"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30</w:t>
            </w:r>
          </w:p>
        </w:tc>
        <w:tc>
          <w:tcPr>
            <w:tcW w:w="2775" w:type="dxa"/>
            <w:shd w:val="clear" w:color="auto" w:fill="auto"/>
            <w:tcMar>
              <w:top w:w="100" w:type="dxa"/>
              <w:left w:w="100" w:type="dxa"/>
              <w:bottom w:w="100" w:type="dxa"/>
              <w:right w:w="100" w:type="dxa"/>
            </w:tcMar>
            <w:vAlign w:val="center"/>
          </w:tcPr>
          <w:p w14:paraId="00000047"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Red</w:t>
            </w:r>
          </w:p>
        </w:tc>
      </w:tr>
      <w:tr w:rsidR="006B67F3" w14:paraId="4549C61C" w14:textId="77777777" w:rsidTr="005F6867">
        <w:tc>
          <w:tcPr>
            <w:tcW w:w="1845" w:type="dxa"/>
            <w:shd w:val="clear" w:color="auto" w:fill="auto"/>
            <w:tcMar>
              <w:top w:w="100" w:type="dxa"/>
              <w:left w:w="100" w:type="dxa"/>
              <w:bottom w:w="100" w:type="dxa"/>
              <w:right w:w="100" w:type="dxa"/>
            </w:tcMar>
            <w:vAlign w:val="center"/>
          </w:tcPr>
          <w:p w14:paraId="00000048"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5</w:t>
            </w:r>
          </w:p>
        </w:tc>
        <w:tc>
          <w:tcPr>
            <w:tcW w:w="2535" w:type="dxa"/>
            <w:shd w:val="clear" w:color="auto" w:fill="auto"/>
            <w:tcMar>
              <w:top w:w="100" w:type="dxa"/>
              <w:left w:w="100" w:type="dxa"/>
              <w:bottom w:w="100" w:type="dxa"/>
              <w:right w:w="100" w:type="dxa"/>
            </w:tcMar>
            <w:vAlign w:val="center"/>
          </w:tcPr>
          <w:p w14:paraId="00000049" w14:textId="2171E7A9"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 xml:space="preserve">0.85 </w:t>
            </w:r>
            <w:r w:rsidR="004354B0">
              <w:rPr>
                <w:rFonts w:ascii="Garamond" w:eastAsia="Garamond" w:hAnsi="Garamond" w:cs="Garamond"/>
              </w:rPr>
              <w:t>–</w:t>
            </w:r>
            <w:r>
              <w:rPr>
                <w:rFonts w:ascii="Garamond" w:eastAsia="Garamond" w:hAnsi="Garamond" w:cs="Garamond"/>
              </w:rPr>
              <w:t xml:space="preserve"> 0.88</w:t>
            </w:r>
          </w:p>
        </w:tc>
        <w:tc>
          <w:tcPr>
            <w:tcW w:w="2205" w:type="dxa"/>
            <w:shd w:val="clear" w:color="auto" w:fill="auto"/>
            <w:tcMar>
              <w:top w:w="100" w:type="dxa"/>
              <w:left w:w="100" w:type="dxa"/>
              <w:bottom w:w="100" w:type="dxa"/>
              <w:right w:w="100" w:type="dxa"/>
            </w:tcMar>
            <w:vAlign w:val="center"/>
          </w:tcPr>
          <w:p w14:paraId="0000004A"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30</w:t>
            </w:r>
          </w:p>
        </w:tc>
        <w:tc>
          <w:tcPr>
            <w:tcW w:w="2775" w:type="dxa"/>
            <w:shd w:val="clear" w:color="auto" w:fill="auto"/>
            <w:tcMar>
              <w:top w:w="100" w:type="dxa"/>
              <w:left w:w="100" w:type="dxa"/>
              <w:bottom w:w="100" w:type="dxa"/>
              <w:right w:w="100" w:type="dxa"/>
            </w:tcMar>
            <w:vAlign w:val="center"/>
          </w:tcPr>
          <w:p w14:paraId="0000004B"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Near-infrared (NIR)</w:t>
            </w:r>
          </w:p>
        </w:tc>
      </w:tr>
      <w:tr w:rsidR="006B67F3" w14:paraId="6B0360C7" w14:textId="77777777" w:rsidTr="005F6867">
        <w:tc>
          <w:tcPr>
            <w:tcW w:w="1845" w:type="dxa"/>
            <w:shd w:val="clear" w:color="auto" w:fill="auto"/>
            <w:tcMar>
              <w:top w:w="100" w:type="dxa"/>
              <w:left w:w="100" w:type="dxa"/>
              <w:bottom w:w="100" w:type="dxa"/>
              <w:right w:w="100" w:type="dxa"/>
            </w:tcMar>
            <w:vAlign w:val="center"/>
          </w:tcPr>
          <w:p w14:paraId="0000004C"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10</w:t>
            </w:r>
          </w:p>
        </w:tc>
        <w:tc>
          <w:tcPr>
            <w:tcW w:w="2535" w:type="dxa"/>
            <w:shd w:val="clear" w:color="auto" w:fill="auto"/>
            <w:tcMar>
              <w:top w:w="100" w:type="dxa"/>
              <w:left w:w="100" w:type="dxa"/>
              <w:bottom w:w="100" w:type="dxa"/>
              <w:right w:w="100" w:type="dxa"/>
            </w:tcMar>
            <w:vAlign w:val="center"/>
          </w:tcPr>
          <w:p w14:paraId="0000004D" w14:textId="29D10BB9"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 xml:space="preserve">10.60 </w:t>
            </w:r>
            <w:r w:rsidR="004354B0">
              <w:rPr>
                <w:rFonts w:ascii="Garamond" w:eastAsia="Garamond" w:hAnsi="Garamond" w:cs="Garamond"/>
              </w:rPr>
              <w:t>–</w:t>
            </w:r>
            <w:r>
              <w:rPr>
                <w:rFonts w:ascii="Garamond" w:eastAsia="Garamond" w:hAnsi="Garamond" w:cs="Garamond"/>
              </w:rPr>
              <w:t xml:space="preserve"> 11.19</w:t>
            </w:r>
          </w:p>
        </w:tc>
        <w:tc>
          <w:tcPr>
            <w:tcW w:w="2205" w:type="dxa"/>
            <w:shd w:val="clear" w:color="auto" w:fill="auto"/>
            <w:tcMar>
              <w:top w:w="100" w:type="dxa"/>
              <w:left w:w="100" w:type="dxa"/>
              <w:bottom w:w="100" w:type="dxa"/>
              <w:right w:w="100" w:type="dxa"/>
            </w:tcMar>
            <w:vAlign w:val="center"/>
          </w:tcPr>
          <w:p w14:paraId="0000004E"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100</w:t>
            </w:r>
          </w:p>
        </w:tc>
        <w:tc>
          <w:tcPr>
            <w:tcW w:w="2775" w:type="dxa"/>
            <w:shd w:val="clear" w:color="auto" w:fill="auto"/>
            <w:tcMar>
              <w:top w:w="100" w:type="dxa"/>
              <w:left w:w="100" w:type="dxa"/>
              <w:bottom w:w="100" w:type="dxa"/>
              <w:right w:w="100" w:type="dxa"/>
            </w:tcMar>
            <w:vAlign w:val="center"/>
          </w:tcPr>
          <w:p w14:paraId="0000004F" w14:textId="4DE9C33A"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Thermal infrared (TIRS) 1</w:t>
            </w:r>
          </w:p>
        </w:tc>
      </w:tr>
    </w:tbl>
    <w:p w14:paraId="00000051" w14:textId="77777777" w:rsidR="006B67F3" w:rsidRDefault="006B67F3">
      <w:pPr>
        <w:pStyle w:val="Normal4"/>
        <w:pBdr>
          <w:top w:val="nil"/>
          <w:left w:val="nil"/>
          <w:bottom w:val="nil"/>
          <w:right w:val="nil"/>
          <w:between w:val="nil"/>
        </w:pBdr>
        <w:spacing w:after="0" w:line="240" w:lineRule="auto"/>
        <w:rPr>
          <w:rFonts w:ascii="Garamond" w:eastAsia="Garamond" w:hAnsi="Garamond" w:cs="Garamond"/>
        </w:rPr>
      </w:pPr>
    </w:p>
    <w:p w14:paraId="00000052" w14:textId="1AC97BBC" w:rsidR="006B67F3" w:rsidRDefault="00C27B54" w:rsidP="15163AE6">
      <w:pPr>
        <w:pStyle w:val="Normal4"/>
        <w:pBdr>
          <w:top w:val="nil"/>
          <w:left w:val="nil"/>
          <w:bottom w:val="nil"/>
          <w:right w:val="nil"/>
          <w:between w:val="nil"/>
        </w:pBdr>
        <w:spacing w:after="0" w:line="240" w:lineRule="auto"/>
        <w:rPr>
          <w:rFonts w:ascii="Garamond" w:eastAsia="Garamond" w:hAnsi="Garamond" w:cs="Garamond"/>
        </w:rPr>
      </w:pPr>
      <w:r w:rsidRPr="15163AE6">
        <w:rPr>
          <w:rFonts w:ascii="Garamond" w:eastAsia="Garamond" w:hAnsi="Garamond" w:cs="Garamond"/>
        </w:rPr>
        <w:t>Table 2</w:t>
      </w:r>
      <w:r w:rsidR="596A5DBE" w:rsidRPr="15163AE6">
        <w:rPr>
          <w:rFonts w:ascii="Garamond" w:eastAsia="Garamond" w:hAnsi="Garamond" w:cs="Garamond"/>
        </w:rPr>
        <w:t>.</w:t>
      </w:r>
      <w:r w:rsidRPr="15163AE6">
        <w:rPr>
          <w:rFonts w:ascii="Garamond" w:eastAsia="Garamond" w:hAnsi="Garamond" w:cs="Garamond"/>
        </w:rPr>
        <w:t xml:space="preserve"> </w:t>
      </w:r>
      <w:r w:rsidRPr="15163AE6">
        <w:rPr>
          <w:rFonts w:ascii="Garamond" w:eastAsia="Garamond" w:hAnsi="Garamond" w:cs="Garamond"/>
          <w:i/>
          <w:iCs/>
        </w:rPr>
        <w:t xml:space="preserve">NAIP </w:t>
      </w:r>
      <w:r w:rsidR="7B941906" w:rsidRPr="15163AE6">
        <w:rPr>
          <w:rFonts w:ascii="Garamond" w:eastAsia="Garamond" w:hAnsi="Garamond" w:cs="Garamond"/>
          <w:i/>
          <w:iCs/>
        </w:rPr>
        <w:t>b</w:t>
      </w:r>
      <w:r w:rsidRPr="15163AE6">
        <w:rPr>
          <w:rFonts w:ascii="Garamond" w:eastAsia="Garamond" w:hAnsi="Garamond" w:cs="Garamond"/>
          <w:i/>
          <w:iCs/>
        </w:rPr>
        <w:t>ands</w:t>
      </w: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2565"/>
        <w:gridCol w:w="2220"/>
        <w:gridCol w:w="2730"/>
      </w:tblGrid>
      <w:tr w:rsidR="006B67F3" w14:paraId="4216AEC4" w14:textId="77777777" w:rsidTr="005F6867">
        <w:tc>
          <w:tcPr>
            <w:tcW w:w="1845" w:type="dxa"/>
            <w:shd w:val="clear" w:color="auto" w:fill="auto"/>
            <w:tcMar>
              <w:top w:w="100" w:type="dxa"/>
              <w:left w:w="100" w:type="dxa"/>
              <w:bottom w:w="100" w:type="dxa"/>
              <w:right w:w="100" w:type="dxa"/>
            </w:tcMar>
            <w:vAlign w:val="center"/>
          </w:tcPr>
          <w:p w14:paraId="00000053" w14:textId="5AEB695C" w:rsidR="006B67F3" w:rsidRDefault="00C27B54" w:rsidP="005F6867">
            <w:pPr>
              <w:pStyle w:val="Normal4"/>
              <w:widowControl w:val="0"/>
              <w:pBdr>
                <w:top w:val="nil"/>
                <w:left w:val="nil"/>
                <w:bottom w:val="nil"/>
                <w:right w:val="nil"/>
                <w:between w:val="nil"/>
              </w:pBdr>
              <w:jc w:val="center"/>
              <w:rPr>
                <w:rFonts w:ascii="Garamond" w:eastAsia="Garamond" w:hAnsi="Garamond" w:cs="Garamond"/>
                <w:b/>
              </w:rPr>
            </w:pPr>
            <w:r>
              <w:rPr>
                <w:rFonts w:ascii="Garamond" w:eastAsia="Garamond" w:hAnsi="Garamond" w:cs="Garamond"/>
                <w:b/>
              </w:rPr>
              <w:t>Band</w:t>
            </w:r>
          </w:p>
        </w:tc>
        <w:tc>
          <w:tcPr>
            <w:tcW w:w="2565" w:type="dxa"/>
            <w:shd w:val="clear" w:color="auto" w:fill="auto"/>
            <w:tcMar>
              <w:top w:w="100" w:type="dxa"/>
              <w:left w:w="100" w:type="dxa"/>
              <w:bottom w:w="100" w:type="dxa"/>
              <w:right w:w="100" w:type="dxa"/>
            </w:tcMar>
            <w:vAlign w:val="center"/>
          </w:tcPr>
          <w:p w14:paraId="00000054"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b/>
              </w:rPr>
            </w:pPr>
            <w:r>
              <w:rPr>
                <w:rFonts w:ascii="Garamond" w:eastAsia="Garamond" w:hAnsi="Garamond" w:cs="Garamond"/>
                <w:b/>
              </w:rPr>
              <w:t>Wavelength Range</w:t>
            </w:r>
          </w:p>
          <w:p w14:paraId="00000055" w14:textId="1435CCD6" w:rsidR="006B67F3" w:rsidRDefault="00C27B54" w:rsidP="005F6867">
            <w:pPr>
              <w:pStyle w:val="Normal4"/>
              <w:widowControl w:val="0"/>
              <w:pBdr>
                <w:top w:val="nil"/>
                <w:left w:val="nil"/>
                <w:bottom w:val="nil"/>
                <w:right w:val="nil"/>
                <w:between w:val="nil"/>
              </w:pBdr>
              <w:jc w:val="center"/>
              <w:rPr>
                <w:rFonts w:ascii="Garamond" w:eastAsia="Garamond" w:hAnsi="Garamond" w:cs="Garamond"/>
                <w:b/>
              </w:rPr>
            </w:pPr>
            <w:r>
              <w:rPr>
                <w:rFonts w:ascii="Garamond" w:eastAsia="Garamond" w:hAnsi="Garamond" w:cs="Garamond"/>
                <w:b/>
              </w:rPr>
              <w:t>(micrometer</w:t>
            </w:r>
            <w:r w:rsidR="00DF5032">
              <w:rPr>
                <w:rFonts w:ascii="Garamond" w:eastAsia="Garamond" w:hAnsi="Garamond" w:cs="Garamond"/>
                <w:b/>
              </w:rPr>
              <w:t>s</w:t>
            </w:r>
            <w:r>
              <w:rPr>
                <w:rFonts w:ascii="Garamond" w:eastAsia="Garamond" w:hAnsi="Garamond" w:cs="Garamond"/>
                <w:b/>
              </w:rPr>
              <w:t>)</w:t>
            </w:r>
          </w:p>
        </w:tc>
        <w:tc>
          <w:tcPr>
            <w:tcW w:w="2220" w:type="dxa"/>
            <w:shd w:val="clear" w:color="auto" w:fill="auto"/>
            <w:tcMar>
              <w:top w:w="100" w:type="dxa"/>
              <w:left w:w="100" w:type="dxa"/>
              <w:bottom w:w="100" w:type="dxa"/>
              <w:right w:w="100" w:type="dxa"/>
            </w:tcMar>
            <w:vAlign w:val="center"/>
          </w:tcPr>
          <w:p w14:paraId="00000056" w14:textId="6EFFDC1F" w:rsidR="006B67F3" w:rsidRDefault="00C27B54" w:rsidP="005F6867">
            <w:pPr>
              <w:pStyle w:val="Normal4"/>
              <w:widowControl w:val="0"/>
              <w:pBdr>
                <w:top w:val="nil"/>
                <w:left w:val="nil"/>
                <w:bottom w:val="nil"/>
                <w:right w:val="nil"/>
                <w:between w:val="nil"/>
              </w:pBdr>
              <w:jc w:val="center"/>
              <w:rPr>
                <w:rFonts w:ascii="Garamond" w:eastAsia="Garamond" w:hAnsi="Garamond" w:cs="Garamond"/>
                <w:b/>
              </w:rPr>
            </w:pPr>
            <w:r>
              <w:rPr>
                <w:rFonts w:ascii="Garamond" w:eastAsia="Garamond" w:hAnsi="Garamond" w:cs="Garamond"/>
                <w:b/>
              </w:rPr>
              <w:t>Resolution</w:t>
            </w:r>
          </w:p>
          <w:p w14:paraId="00000057"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b/>
              </w:rPr>
            </w:pPr>
            <w:r>
              <w:rPr>
                <w:rFonts w:ascii="Garamond" w:eastAsia="Garamond" w:hAnsi="Garamond" w:cs="Garamond"/>
                <w:b/>
              </w:rPr>
              <w:t>(meters)</w:t>
            </w:r>
          </w:p>
        </w:tc>
        <w:tc>
          <w:tcPr>
            <w:tcW w:w="2730" w:type="dxa"/>
            <w:shd w:val="clear" w:color="auto" w:fill="auto"/>
            <w:tcMar>
              <w:top w:w="100" w:type="dxa"/>
              <w:left w:w="100" w:type="dxa"/>
              <w:bottom w:w="100" w:type="dxa"/>
              <w:right w:w="100" w:type="dxa"/>
            </w:tcMar>
            <w:vAlign w:val="center"/>
          </w:tcPr>
          <w:p w14:paraId="00000058"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b/>
              </w:rPr>
            </w:pPr>
            <w:r>
              <w:rPr>
                <w:rFonts w:ascii="Garamond" w:eastAsia="Garamond" w:hAnsi="Garamond" w:cs="Garamond"/>
                <w:b/>
              </w:rPr>
              <w:t>Primary Use</w:t>
            </w:r>
          </w:p>
        </w:tc>
      </w:tr>
      <w:tr w:rsidR="006B67F3" w14:paraId="7D1A8B1C" w14:textId="77777777" w:rsidTr="005F6867">
        <w:tc>
          <w:tcPr>
            <w:tcW w:w="1845" w:type="dxa"/>
            <w:shd w:val="clear" w:color="auto" w:fill="auto"/>
            <w:tcMar>
              <w:top w:w="100" w:type="dxa"/>
              <w:left w:w="100" w:type="dxa"/>
              <w:bottom w:w="100" w:type="dxa"/>
              <w:right w:w="100" w:type="dxa"/>
            </w:tcMar>
            <w:vAlign w:val="center"/>
          </w:tcPr>
          <w:p w14:paraId="00000059"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B</w:t>
            </w:r>
          </w:p>
        </w:tc>
        <w:tc>
          <w:tcPr>
            <w:tcW w:w="2565" w:type="dxa"/>
            <w:shd w:val="clear" w:color="auto" w:fill="auto"/>
            <w:tcMar>
              <w:top w:w="100" w:type="dxa"/>
              <w:left w:w="100" w:type="dxa"/>
              <w:bottom w:w="100" w:type="dxa"/>
              <w:right w:w="100" w:type="dxa"/>
            </w:tcMar>
            <w:vAlign w:val="center"/>
          </w:tcPr>
          <w:p w14:paraId="0000005A" w14:textId="53BB7D11"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 xml:space="preserve">0.4 </w:t>
            </w:r>
            <w:r w:rsidR="00DF5032">
              <w:rPr>
                <w:rFonts w:ascii="Garamond" w:eastAsia="Garamond" w:hAnsi="Garamond" w:cs="Garamond"/>
              </w:rPr>
              <w:t>–</w:t>
            </w:r>
            <w:r>
              <w:rPr>
                <w:rFonts w:ascii="Garamond" w:eastAsia="Garamond" w:hAnsi="Garamond" w:cs="Garamond"/>
              </w:rPr>
              <w:t xml:space="preserve"> 0.5</w:t>
            </w:r>
          </w:p>
        </w:tc>
        <w:tc>
          <w:tcPr>
            <w:tcW w:w="2220" w:type="dxa"/>
            <w:shd w:val="clear" w:color="auto" w:fill="auto"/>
            <w:tcMar>
              <w:top w:w="100" w:type="dxa"/>
              <w:left w:w="100" w:type="dxa"/>
              <w:bottom w:w="100" w:type="dxa"/>
              <w:right w:w="100" w:type="dxa"/>
            </w:tcMar>
            <w:vAlign w:val="center"/>
          </w:tcPr>
          <w:p w14:paraId="0000005B"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0.6</w:t>
            </w:r>
          </w:p>
        </w:tc>
        <w:tc>
          <w:tcPr>
            <w:tcW w:w="2730" w:type="dxa"/>
            <w:shd w:val="clear" w:color="auto" w:fill="auto"/>
            <w:tcMar>
              <w:top w:w="100" w:type="dxa"/>
              <w:left w:w="100" w:type="dxa"/>
              <w:bottom w:w="100" w:type="dxa"/>
              <w:right w:w="100" w:type="dxa"/>
            </w:tcMar>
            <w:vAlign w:val="center"/>
          </w:tcPr>
          <w:p w14:paraId="0000005C"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Blue</w:t>
            </w:r>
          </w:p>
        </w:tc>
      </w:tr>
      <w:tr w:rsidR="006B67F3" w14:paraId="634F16F7" w14:textId="77777777" w:rsidTr="005F6867">
        <w:tc>
          <w:tcPr>
            <w:tcW w:w="1845" w:type="dxa"/>
            <w:shd w:val="clear" w:color="auto" w:fill="auto"/>
            <w:tcMar>
              <w:top w:w="100" w:type="dxa"/>
              <w:left w:w="100" w:type="dxa"/>
              <w:bottom w:w="100" w:type="dxa"/>
              <w:right w:w="100" w:type="dxa"/>
            </w:tcMar>
            <w:vAlign w:val="center"/>
          </w:tcPr>
          <w:p w14:paraId="0000005D"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G</w:t>
            </w:r>
          </w:p>
        </w:tc>
        <w:tc>
          <w:tcPr>
            <w:tcW w:w="2565" w:type="dxa"/>
            <w:shd w:val="clear" w:color="auto" w:fill="auto"/>
            <w:tcMar>
              <w:top w:w="100" w:type="dxa"/>
              <w:left w:w="100" w:type="dxa"/>
              <w:bottom w:w="100" w:type="dxa"/>
              <w:right w:w="100" w:type="dxa"/>
            </w:tcMar>
            <w:vAlign w:val="center"/>
          </w:tcPr>
          <w:p w14:paraId="0000005E" w14:textId="5AB9CC3E"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 xml:space="preserve">0.5 </w:t>
            </w:r>
            <w:r w:rsidR="00DF5032">
              <w:rPr>
                <w:rFonts w:ascii="Garamond" w:eastAsia="Garamond" w:hAnsi="Garamond" w:cs="Garamond"/>
              </w:rPr>
              <w:t>–</w:t>
            </w:r>
            <w:r>
              <w:rPr>
                <w:rFonts w:ascii="Garamond" w:eastAsia="Garamond" w:hAnsi="Garamond" w:cs="Garamond"/>
              </w:rPr>
              <w:t xml:space="preserve"> 0.6</w:t>
            </w:r>
          </w:p>
        </w:tc>
        <w:tc>
          <w:tcPr>
            <w:tcW w:w="2220" w:type="dxa"/>
            <w:shd w:val="clear" w:color="auto" w:fill="auto"/>
            <w:tcMar>
              <w:top w:w="100" w:type="dxa"/>
              <w:left w:w="100" w:type="dxa"/>
              <w:bottom w:w="100" w:type="dxa"/>
              <w:right w:w="100" w:type="dxa"/>
            </w:tcMar>
            <w:vAlign w:val="center"/>
          </w:tcPr>
          <w:p w14:paraId="0000005F"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0.6</w:t>
            </w:r>
          </w:p>
        </w:tc>
        <w:tc>
          <w:tcPr>
            <w:tcW w:w="2730" w:type="dxa"/>
            <w:shd w:val="clear" w:color="auto" w:fill="auto"/>
            <w:tcMar>
              <w:top w:w="100" w:type="dxa"/>
              <w:left w:w="100" w:type="dxa"/>
              <w:bottom w:w="100" w:type="dxa"/>
              <w:right w:w="100" w:type="dxa"/>
            </w:tcMar>
            <w:vAlign w:val="center"/>
          </w:tcPr>
          <w:p w14:paraId="00000060"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Green</w:t>
            </w:r>
          </w:p>
        </w:tc>
      </w:tr>
      <w:tr w:rsidR="006B67F3" w14:paraId="5B8AF553" w14:textId="77777777" w:rsidTr="005F6867">
        <w:tc>
          <w:tcPr>
            <w:tcW w:w="1845" w:type="dxa"/>
            <w:shd w:val="clear" w:color="auto" w:fill="auto"/>
            <w:tcMar>
              <w:top w:w="100" w:type="dxa"/>
              <w:left w:w="100" w:type="dxa"/>
              <w:bottom w:w="100" w:type="dxa"/>
              <w:right w:w="100" w:type="dxa"/>
            </w:tcMar>
            <w:vAlign w:val="center"/>
          </w:tcPr>
          <w:p w14:paraId="00000061"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R</w:t>
            </w:r>
          </w:p>
        </w:tc>
        <w:tc>
          <w:tcPr>
            <w:tcW w:w="2565" w:type="dxa"/>
            <w:shd w:val="clear" w:color="auto" w:fill="auto"/>
            <w:tcMar>
              <w:top w:w="100" w:type="dxa"/>
              <w:left w:w="100" w:type="dxa"/>
              <w:bottom w:w="100" w:type="dxa"/>
              <w:right w:w="100" w:type="dxa"/>
            </w:tcMar>
            <w:vAlign w:val="center"/>
          </w:tcPr>
          <w:p w14:paraId="00000062" w14:textId="24DD42E9" w:rsidR="006B67F3" w:rsidRDefault="00C27B54" w:rsidP="005F6867">
            <w:pPr>
              <w:pStyle w:val="Normal4"/>
              <w:widowControl w:val="0"/>
              <w:jc w:val="center"/>
              <w:rPr>
                <w:rFonts w:ascii="Garamond" w:eastAsia="Garamond" w:hAnsi="Garamond" w:cs="Garamond"/>
              </w:rPr>
            </w:pPr>
            <w:r>
              <w:rPr>
                <w:rFonts w:ascii="Garamond" w:eastAsia="Garamond" w:hAnsi="Garamond" w:cs="Garamond"/>
              </w:rPr>
              <w:t xml:space="preserve">0.6 </w:t>
            </w:r>
            <w:r w:rsidR="00DF5032">
              <w:rPr>
                <w:rFonts w:ascii="Garamond" w:eastAsia="Garamond" w:hAnsi="Garamond" w:cs="Garamond"/>
              </w:rPr>
              <w:t>–</w:t>
            </w:r>
            <w:r>
              <w:rPr>
                <w:rFonts w:ascii="Garamond" w:eastAsia="Garamond" w:hAnsi="Garamond" w:cs="Garamond"/>
              </w:rPr>
              <w:t xml:space="preserve"> 0.7</w:t>
            </w:r>
          </w:p>
        </w:tc>
        <w:tc>
          <w:tcPr>
            <w:tcW w:w="2220" w:type="dxa"/>
            <w:shd w:val="clear" w:color="auto" w:fill="auto"/>
            <w:tcMar>
              <w:top w:w="100" w:type="dxa"/>
              <w:left w:w="100" w:type="dxa"/>
              <w:bottom w:w="100" w:type="dxa"/>
              <w:right w:w="100" w:type="dxa"/>
            </w:tcMar>
            <w:vAlign w:val="center"/>
          </w:tcPr>
          <w:p w14:paraId="00000063"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0.6</w:t>
            </w:r>
          </w:p>
        </w:tc>
        <w:tc>
          <w:tcPr>
            <w:tcW w:w="2730" w:type="dxa"/>
            <w:shd w:val="clear" w:color="auto" w:fill="auto"/>
            <w:tcMar>
              <w:top w:w="100" w:type="dxa"/>
              <w:left w:w="100" w:type="dxa"/>
              <w:bottom w:w="100" w:type="dxa"/>
              <w:right w:w="100" w:type="dxa"/>
            </w:tcMar>
            <w:vAlign w:val="center"/>
          </w:tcPr>
          <w:p w14:paraId="00000064"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Red</w:t>
            </w:r>
          </w:p>
        </w:tc>
      </w:tr>
      <w:tr w:rsidR="006B67F3" w14:paraId="10E3AE14" w14:textId="77777777" w:rsidTr="005F6867">
        <w:tc>
          <w:tcPr>
            <w:tcW w:w="1845" w:type="dxa"/>
            <w:shd w:val="clear" w:color="auto" w:fill="auto"/>
            <w:tcMar>
              <w:top w:w="100" w:type="dxa"/>
              <w:left w:w="100" w:type="dxa"/>
              <w:bottom w:w="100" w:type="dxa"/>
              <w:right w:w="100" w:type="dxa"/>
            </w:tcMar>
            <w:vAlign w:val="center"/>
          </w:tcPr>
          <w:p w14:paraId="00000065"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NIR</w:t>
            </w:r>
          </w:p>
        </w:tc>
        <w:tc>
          <w:tcPr>
            <w:tcW w:w="2565" w:type="dxa"/>
            <w:shd w:val="clear" w:color="auto" w:fill="auto"/>
            <w:tcMar>
              <w:top w:w="100" w:type="dxa"/>
              <w:left w:w="100" w:type="dxa"/>
              <w:bottom w:w="100" w:type="dxa"/>
              <w:right w:w="100" w:type="dxa"/>
            </w:tcMar>
            <w:vAlign w:val="center"/>
          </w:tcPr>
          <w:p w14:paraId="00000066" w14:textId="575CBD0F"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 xml:space="preserve">0.8 </w:t>
            </w:r>
            <w:r w:rsidR="00DF5032">
              <w:rPr>
                <w:rFonts w:ascii="Garamond" w:eastAsia="Garamond" w:hAnsi="Garamond" w:cs="Garamond"/>
              </w:rPr>
              <w:t>–</w:t>
            </w:r>
            <w:r>
              <w:rPr>
                <w:rFonts w:ascii="Garamond" w:eastAsia="Garamond" w:hAnsi="Garamond" w:cs="Garamond"/>
              </w:rPr>
              <w:t xml:space="preserve"> 0.9</w:t>
            </w:r>
          </w:p>
        </w:tc>
        <w:tc>
          <w:tcPr>
            <w:tcW w:w="2220" w:type="dxa"/>
            <w:shd w:val="clear" w:color="auto" w:fill="auto"/>
            <w:tcMar>
              <w:top w:w="100" w:type="dxa"/>
              <w:left w:w="100" w:type="dxa"/>
              <w:bottom w:w="100" w:type="dxa"/>
              <w:right w:w="100" w:type="dxa"/>
            </w:tcMar>
            <w:vAlign w:val="center"/>
          </w:tcPr>
          <w:p w14:paraId="00000067" w14:textId="77777777"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0.6</w:t>
            </w:r>
          </w:p>
        </w:tc>
        <w:tc>
          <w:tcPr>
            <w:tcW w:w="2730" w:type="dxa"/>
            <w:shd w:val="clear" w:color="auto" w:fill="auto"/>
            <w:tcMar>
              <w:top w:w="100" w:type="dxa"/>
              <w:left w:w="100" w:type="dxa"/>
              <w:bottom w:w="100" w:type="dxa"/>
              <w:right w:w="100" w:type="dxa"/>
            </w:tcMar>
            <w:vAlign w:val="center"/>
          </w:tcPr>
          <w:p w14:paraId="00000068" w14:textId="1BCDCF2E" w:rsidR="006B67F3" w:rsidRDefault="00C27B54" w:rsidP="005F6867">
            <w:pPr>
              <w:pStyle w:val="Normal4"/>
              <w:widowControl w:val="0"/>
              <w:pBdr>
                <w:top w:val="nil"/>
                <w:left w:val="nil"/>
                <w:bottom w:val="nil"/>
                <w:right w:val="nil"/>
                <w:between w:val="nil"/>
              </w:pBdr>
              <w:jc w:val="center"/>
              <w:rPr>
                <w:rFonts w:ascii="Garamond" w:eastAsia="Garamond" w:hAnsi="Garamond" w:cs="Garamond"/>
              </w:rPr>
            </w:pPr>
            <w:r>
              <w:rPr>
                <w:rFonts w:ascii="Garamond" w:eastAsia="Garamond" w:hAnsi="Garamond" w:cs="Garamond"/>
              </w:rPr>
              <w:t>Near</w:t>
            </w:r>
            <w:r w:rsidR="004354B0">
              <w:rPr>
                <w:rFonts w:ascii="Garamond" w:eastAsia="Garamond" w:hAnsi="Garamond" w:cs="Garamond"/>
              </w:rPr>
              <w:t>-i</w:t>
            </w:r>
            <w:r>
              <w:rPr>
                <w:rFonts w:ascii="Garamond" w:eastAsia="Garamond" w:hAnsi="Garamond" w:cs="Garamond"/>
              </w:rPr>
              <w:t>nfrared</w:t>
            </w:r>
            <w:r w:rsidR="004354B0">
              <w:rPr>
                <w:rFonts w:ascii="Garamond" w:eastAsia="Garamond" w:hAnsi="Garamond" w:cs="Garamond"/>
              </w:rPr>
              <w:t xml:space="preserve"> (NIR)</w:t>
            </w:r>
          </w:p>
        </w:tc>
      </w:tr>
    </w:tbl>
    <w:p w14:paraId="0000006C" w14:textId="77777777" w:rsidR="006B67F3" w:rsidRDefault="006B67F3">
      <w:pPr>
        <w:pStyle w:val="Normal4"/>
        <w:pBdr>
          <w:top w:val="nil"/>
          <w:left w:val="nil"/>
          <w:bottom w:val="nil"/>
          <w:right w:val="nil"/>
          <w:between w:val="nil"/>
        </w:pBdr>
        <w:spacing w:after="0" w:line="240" w:lineRule="auto"/>
        <w:rPr>
          <w:rFonts w:ascii="Garamond" w:eastAsia="Garamond" w:hAnsi="Garamond" w:cs="Garamond"/>
          <w:b/>
          <w:i/>
        </w:rPr>
      </w:pPr>
    </w:p>
    <w:p w14:paraId="0000006D" w14:textId="77777777" w:rsidR="006B67F3" w:rsidRDefault="00C27B54">
      <w:pPr>
        <w:pStyle w:val="Normal4"/>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3.2 Data Processing</w:t>
      </w:r>
    </w:p>
    <w:p w14:paraId="0000006E" w14:textId="77777777" w:rsidR="006B67F3" w:rsidRDefault="00C27B54">
      <w:pPr>
        <w:pStyle w:val="Normal4"/>
        <w:pBdr>
          <w:top w:val="nil"/>
          <w:left w:val="nil"/>
          <w:bottom w:val="nil"/>
          <w:right w:val="nil"/>
          <w:between w:val="nil"/>
        </w:pBdr>
        <w:spacing w:after="0" w:line="240" w:lineRule="auto"/>
        <w:rPr>
          <w:rFonts w:ascii="Garamond" w:eastAsia="Garamond" w:hAnsi="Garamond" w:cs="Garamond"/>
          <w:i/>
        </w:rPr>
      </w:pPr>
      <w:r>
        <w:rPr>
          <w:rFonts w:ascii="Garamond" w:eastAsia="Garamond" w:hAnsi="Garamond" w:cs="Garamond"/>
          <w:i/>
        </w:rPr>
        <w:t>3.2. 1 Landsat 8 LST and NDVI Calculation</w:t>
      </w:r>
    </w:p>
    <w:p w14:paraId="0000006F" w14:textId="77777777" w:rsidR="006B67F3" w:rsidRDefault="00C27B54" w:rsidP="0AE4C2A7">
      <w:pPr>
        <w:pStyle w:val="Normal4"/>
        <w:spacing w:after="0" w:line="240" w:lineRule="auto"/>
        <w:rPr>
          <w:rFonts w:ascii="Garamond" w:eastAsia="Garamond" w:hAnsi="Garamond" w:cs="Garamond"/>
        </w:rPr>
      </w:pPr>
      <w:r w:rsidRPr="0AE4C2A7">
        <w:rPr>
          <w:rFonts w:ascii="Garamond" w:eastAsia="Garamond" w:hAnsi="Garamond" w:cs="Garamond"/>
        </w:rPr>
        <w:t>We processed Landsat 8 data for July through August from 2016 to 2022. For each summer, we filtered the images of our study area to the urban areas of Los Angeles County and cloud masked all images to create a cloud-free image collection. We calculated the median value for each pixel of all bands, creating a summer composite image mosaic for each year which we then used to calculate LST and NDVI.</w:t>
      </w:r>
    </w:p>
    <w:p w14:paraId="00000070" w14:textId="77777777" w:rsidR="006B67F3" w:rsidRDefault="006B67F3">
      <w:pPr>
        <w:pStyle w:val="Normal4"/>
        <w:spacing w:after="0" w:line="240" w:lineRule="auto"/>
        <w:rPr>
          <w:rFonts w:ascii="Garamond" w:eastAsia="Garamond" w:hAnsi="Garamond" w:cs="Garamond"/>
        </w:rPr>
      </w:pPr>
    </w:p>
    <w:p w14:paraId="00000071" w14:textId="4191CC50" w:rsidR="006B67F3" w:rsidRDefault="00C27B54" w:rsidP="15163AE6">
      <w:pPr>
        <w:pStyle w:val="Normal4"/>
        <w:spacing w:after="0" w:line="240" w:lineRule="auto"/>
        <w:rPr>
          <w:rFonts w:ascii="Garamond" w:eastAsia="Garamond" w:hAnsi="Garamond" w:cs="Garamond"/>
          <w:i/>
          <w:iCs/>
        </w:rPr>
      </w:pPr>
      <w:r>
        <w:rPr>
          <w:rFonts w:ascii="Garamond" w:eastAsia="Garamond" w:hAnsi="Garamond" w:cs="Garamond"/>
        </w:rPr>
        <w:t>In our statistical analyses, we used the original 100 m resolution LST data as it provides the most accurate representation of land surface temperature distribution across the county. However, to better visualize the relationship between LST and NDVI measurements, we used a thermal sharpening technique to downscale Landsat 8 LST data to 30 m</w:t>
      </w:r>
      <w:r w:rsidR="3C611DB1">
        <w:rPr>
          <w:rFonts w:ascii="Garamond" w:eastAsia="Garamond" w:hAnsi="Garamond" w:cs="Garamond"/>
        </w:rPr>
        <w:t>, the same spatial resolution as the optical bands</w:t>
      </w:r>
      <w:r>
        <w:rPr>
          <w:rFonts w:ascii="Garamond" w:eastAsia="Garamond" w:hAnsi="Garamond" w:cs="Garamond"/>
        </w:rPr>
        <w:t xml:space="preserve">. For this calculation, we used an image regression analysis within </w:t>
      </w:r>
      <w:r w:rsidR="006F3804">
        <w:rPr>
          <w:rFonts w:ascii="Garamond" w:eastAsia="Garamond" w:hAnsi="Garamond" w:cs="Garamond"/>
        </w:rPr>
        <w:t>GEE</w:t>
      </w:r>
      <w:r>
        <w:rPr>
          <w:rFonts w:ascii="Garamond" w:eastAsia="Garamond" w:hAnsi="Garamond" w:cs="Garamond"/>
        </w:rPr>
        <w:t xml:space="preserve"> with inputs NDVI, </w:t>
      </w:r>
      <w:r w:rsidR="00DF5032">
        <w:rPr>
          <w:rFonts w:ascii="Garamond" w:eastAsia="Garamond" w:hAnsi="Garamond" w:cs="Garamond"/>
        </w:rPr>
        <w:t>Normalized Difference Water Index (</w:t>
      </w:r>
      <w:r>
        <w:rPr>
          <w:rFonts w:ascii="Garamond" w:eastAsia="Garamond" w:hAnsi="Garamond" w:cs="Garamond"/>
        </w:rPr>
        <w:t>NDWI</w:t>
      </w:r>
      <w:r w:rsidR="00DF5032">
        <w:rPr>
          <w:rFonts w:ascii="Garamond" w:eastAsia="Garamond" w:hAnsi="Garamond" w:cs="Garamond"/>
        </w:rPr>
        <w:t>)</w:t>
      </w:r>
      <w:r>
        <w:rPr>
          <w:rFonts w:ascii="Garamond" w:eastAsia="Garamond" w:hAnsi="Garamond" w:cs="Garamond"/>
        </w:rPr>
        <w:t xml:space="preserve">, and </w:t>
      </w:r>
      <w:r>
        <w:rPr>
          <w:rFonts w:ascii="Garamond" w:eastAsia="Garamond" w:hAnsi="Garamond" w:cs="Garamond"/>
        </w:rPr>
        <w:lastRenderedPageBreak/>
        <w:t>albedo,</w:t>
      </w:r>
      <w:r w:rsidR="3E254BE2">
        <w:rPr>
          <w:rFonts w:ascii="Garamond" w:eastAsia="Garamond" w:hAnsi="Garamond" w:cs="Garamond"/>
        </w:rPr>
        <w:t xml:space="preserve"> or</w:t>
      </w:r>
      <w:r>
        <w:rPr>
          <w:rFonts w:ascii="Garamond" w:eastAsia="Garamond" w:hAnsi="Garamond" w:cs="Garamond"/>
        </w:rPr>
        <w:t xml:space="preserve"> light reflected from the Earth’s surface, in order to calculate downscaled LST values for our image mosaics (Onačillová et al., 2022). </w:t>
      </w:r>
    </w:p>
    <w:p w14:paraId="00000072" w14:textId="77777777" w:rsidR="006B67F3" w:rsidRDefault="006B67F3">
      <w:pPr>
        <w:pStyle w:val="Normal4"/>
        <w:pBdr>
          <w:top w:val="nil"/>
          <w:left w:val="nil"/>
          <w:bottom w:val="nil"/>
          <w:right w:val="nil"/>
          <w:between w:val="nil"/>
        </w:pBdr>
        <w:spacing w:after="0" w:line="240" w:lineRule="auto"/>
        <w:rPr>
          <w:rFonts w:ascii="Garamond" w:eastAsia="Garamond" w:hAnsi="Garamond" w:cs="Garamond"/>
        </w:rPr>
      </w:pPr>
    </w:p>
    <w:p w14:paraId="00000073" w14:textId="77777777" w:rsidR="006B67F3" w:rsidRDefault="00C27B54">
      <w:pPr>
        <w:pStyle w:val="Normal4"/>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i/>
        </w:rPr>
        <w:t xml:space="preserve">3.2.2 ECOSTRESS </w:t>
      </w:r>
    </w:p>
    <w:p w14:paraId="00000074" w14:textId="1157E02C" w:rsidR="006B67F3" w:rsidRDefault="00C27B54" w:rsidP="0AE4C2A7">
      <w:pPr>
        <w:pStyle w:val="Normal4"/>
        <w:spacing w:after="0" w:line="240" w:lineRule="auto"/>
        <w:rPr>
          <w:rFonts w:ascii="Garamond" w:eastAsia="Garamond" w:hAnsi="Garamond" w:cs="Garamond"/>
        </w:rPr>
      </w:pPr>
      <w:r w:rsidRPr="0AE4C2A7">
        <w:rPr>
          <w:rFonts w:ascii="Garamond" w:eastAsia="Garamond" w:hAnsi="Garamond" w:cs="Garamond"/>
        </w:rPr>
        <w:t xml:space="preserve">After we acquired the ECOSTRESS data from LP DAAC AppEEARS, we sorted images by size, date, time, and average pixel value to obtain images covering all of Los Angeles County during the summer months, between the hours of 8PM and 6AM, that had little to no cloud cover in them. This was done using both Python Jupyter Notebook and QGIS. We multiplied all pixel values by the required 0.02 scaling factor in order to convert the thermal data into values of Kelvin, which were then converted into Fahrenheit. We then used QGIS to clip the tif files to a polygon shapefile of the urban areas of Los Angeles County and created a composite image for each summer using the QGIS raster calculator. </w:t>
      </w:r>
    </w:p>
    <w:p w14:paraId="00000075" w14:textId="77777777" w:rsidR="006B67F3" w:rsidRDefault="006B67F3">
      <w:pPr>
        <w:pStyle w:val="Normal4"/>
        <w:pBdr>
          <w:top w:val="nil"/>
          <w:left w:val="nil"/>
          <w:bottom w:val="nil"/>
          <w:right w:val="nil"/>
          <w:between w:val="nil"/>
        </w:pBdr>
        <w:spacing w:after="0" w:line="240" w:lineRule="auto"/>
        <w:rPr>
          <w:rFonts w:ascii="Garamond" w:eastAsia="Garamond" w:hAnsi="Garamond" w:cs="Garamond"/>
          <w:i/>
        </w:rPr>
      </w:pPr>
    </w:p>
    <w:p w14:paraId="00000076" w14:textId="77777777" w:rsidR="006B67F3" w:rsidRDefault="00C27B54">
      <w:pPr>
        <w:pStyle w:val="Normal4"/>
        <w:pBdr>
          <w:top w:val="nil"/>
          <w:left w:val="nil"/>
          <w:bottom w:val="nil"/>
          <w:right w:val="nil"/>
          <w:between w:val="nil"/>
        </w:pBdr>
        <w:spacing w:after="0" w:line="240" w:lineRule="auto"/>
        <w:rPr>
          <w:rFonts w:ascii="Garamond" w:eastAsia="Garamond" w:hAnsi="Garamond" w:cs="Garamond"/>
          <w:i/>
          <w:color w:val="000000"/>
        </w:rPr>
      </w:pPr>
      <w:r>
        <w:rPr>
          <w:rFonts w:ascii="Garamond" w:eastAsia="Garamond" w:hAnsi="Garamond" w:cs="Garamond"/>
          <w:i/>
        </w:rPr>
        <w:t xml:space="preserve">3.2.3 </w:t>
      </w:r>
      <w:r>
        <w:rPr>
          <w:rFonts w:ascii="Garamond" w:eastAsia="Garamond" w:hAnsi="Garamond" w:cs="Garamond"/>
          <w:i/>
          <w:color w:val="000000"/>
        </w:rPr>
        <w:t>Tree Canopy Cover Classification</w:t>
      </w:r>
    </w:p>
    <w:p w14:paraId="00000077" w14:textId="2B2D1BFC" w:rsidR="006B67F3" w:rsidRDefault="00C27B54" w:rsidP="0AE4C2A7">
      <w:pPr>
        <w:pStyle w:val="Normal4"/>
        <w:pBdr>
          <w:top w:val="nil"/>
          <w:left w:val="nil"/>
          <w:bottom w:val="nil"/>
          <w:right w:val="nil"/>
          <w:between w:val="nil"/>
        </w:pBdr>
        <w:spacing w:after="0" w:line="240" w:lineRule="auto"/>
        <w:rPr>
          <w:rFonts w:ascii="Garamond" w:eastAsia="Garamond" w:hAnsi="Garamond" w:cs="Garamond"/>
          <w:color w:val="000000"/>
        </w:rPr>
      </w:pPr>
      <w:r w:rsidRPr="0AE4C2A7">
        <w:rPr>
          <w:rFonts w:ascii="Garamond" w:eastAsia="Garamond" w:hAnsi="Garamond" w:cs="Garamond"/>
          <w:color w:val="000000"/>
        </w:rPr>
        <w:t>We processed NAIP imagery for the years 2016, 2018, 2020, and 2022 using Google Earth Engine. We first created image collections of cloud-free imagery of Los Angeles County</w:t>
      </w:r>
      <w:r>
        <w:rPr>
          <w:rFonts w:ascii="Garamond" w:eastAsia="Garamond" w:hAnsi="Garamond" w:cs="Garamond"/>
        </w:rPr>
        <w:t xml:space="preserve"> for each year</w:t>
      </w:r>
      <w:r w:rsidRPr="0AE4C2A7">
        <w:rPr>
          <w:rFonts w:ascii="Garamond" w:eastAsia="Garamond" w:hAnsi="Garamond" w:cs="Garamond"/>
          <w:color w:val="000000"/>
        </w:rPr>
        <w:t xml:space="preserve">. Next, we mosaiced the images to create a single image for each year. We focused on urban tree cover in our project, and to limit our analysis to urban areas, we clipped the image mosaics using a U.S. </w:t>
      </w:r>
      <w:r>
        <w:rPr>
          <w:rFonts w:ascii="Garamond" w:eastAsia="Garamond" w:hAnsi="Garamond" w:cs="Garamond"/>
        </w:rPr>
        <w:t>Census s</w:t>
      </w:r>
      <w:r w:rsidRPr="0AE4C2A7">
        <w:rPr>
          <w:rFonts w:ascii="Garamond" w:eastAsia="Garamond" w:hAnsi="Garamond" w:cs="Garamond"/>
          <w:color w:val="000000"/>
        </w:rPr>
        <w:t xml:space="preserve">hapefile of urban areas in Los Angeles County. For each image mosaic, we used the </w:t>
      </w:r>
      <w:r w:rsidR="006F3804">
        <w:rPr>
          <w:rFonts w:ascii="Garamond" w:eastAsia="Garamond" w:hAnsi="Garamond" w:cs="Garamond"/>
          <w:color w:val="000000"/>
        </w:rPr>
        <w:t>N</w:t>
      </w:r>
      <w:r w:rsidRPr="0AE4C2A7">
        <w:rPr>
          <w:rFonts w:ascii="Garamond" w:eastAsia="Garamond" w:hAnsi="Garamond" w:cs="Garamond"/>
          <w:color w:val="000000"/>
        </w:rPr>
        <w:t xml:space="preserve">ormalized </w:t>
      </w:r>
      <w:r w:rsidR="006F3804">
        <w:rPr>
          <w:rFonts w:ascii="Garamond" w:eastAsia="Garamond" w:hAnsi="Garamond" w:cs="Garamond"/>
          <w:color w:val="000000"/>
        </w:rPr>
        <w:t>D</w:t>
      </w:r>
      <w:r w:rsidRPr="0AE4C2A7">
        <w:rPr>
          <w:rFonts w:ascii="Garamond" w:eastAsia="Garamond" w:hAnsi="Garamond" w:cs="Garamond"/>
          <w:color w:val="000000"/>
        </w:rPr>
        <w:t xml:space="preserve">ifference </w:t>
      </w:r>
      <w:r w:rsidR="006F3804">
        <w:rPr>
          <w:rFonts w:ascii="Garamond" w:eastAsia="Garamond" w:hAnsi="Garamond" w:cs="Garamond"/>
          <w:color w:val="000000"/>
        </w:rPr>
        <w:t>V</w:t>
      </w:r>
      <w:r w:rsidRPr="0AE4C2A7">
        <w:rPr>
          <w:rFonts w:ascii="Garamond" w:eastAsia="Garamond" w:hAnsi="Garamond" w:cs="Garamond"/>
          <w:color w:val="000000"/>
        </w:rPr>
        <w:t xml:space="preserve">egetation </w:t>
      </w:r>
      <w:r w:rsidR="006F3804">
        <w:rPr>
          <w:rFonts w:ascii="Garamond" w:eastAsia="Garamond" w:hAnsi="Garamond" w:cs="Garamond"/>
          <w:color w:val="000000"/>
        </w:rPr>
        <w:t>I</w:t>
      </w:r>
      <w:r w:rsidRPr="0AE4C2A7">
        <w:rPr>
          <w:rFonts w:ascii="Garamond" w:eastAsia="Garamond" w:hAnsi="Garamond" w:cs="Garamond"/>
          <w:color w:val="000000"/>
        </w:rPr>
        <w:t>ndex (NDVI) to assess the vegetation greenness of each pixel. NDVI is a proxy for vegetation presence and health, calculated as a ratio between the NIR and R bands, sh</w:t>
      </w:r>
      <w:r>
        <w:rPr>
          <w:rFonts w:ascii="Garamond" w:eastAsia="Garamond" w:hAnsi="Garamond" w:cs="Garamond"/>
        </w:rPr>
        <w:t xml:space="preserve">own in Equation 1 </w:t>
      </w:r>
      <w:r w:rsidRPr="0AE4C2A7">
        <w:rPr>
          <w:rFonts w:ascii="Garamond" w:eastAsia="Garamond" w:hAnsi="Garamond" w:cs="Garamond"/>
          <w:color w:val="000000"/>
        </w:rPr>
        <w:t>(U</w:t>
      </w:r>
      <w:r>
        <w:rPr>
          <w:rFonts w:ascii="Garamond" w:eastAsia="Garamond" w:hAnsi="Garamond" w:cs="Garamond"/>
        </w:rPr>
        <w:t>nited States</w:t>
      </w:r>
      <w:r w:rsidRPr="0AE4C2A7">
        <w:rPr>
          <w:rFonts w:ascii="Garamond" w:eastAsia="Garamond" w:hAnsi="Garamond" w:cs="Garamond"/>
          <w:color w:val="000000"/>
        </w:rPr>
        <w:t xml:space="preserve"> Geological Survey, n.d.).</w:t>
      </w:r>
    </w:p>
    <w:p w14:paraId="00000078" w14:textId="77777777" w:rsidR="006B67F3" w:rsidRDefault="006B67F3">
      <w:pPr>
        <w:pStyle w:val="Normal4"/>
        <w:spacing w:after="0" w:line="240" w:lineRule="auto"/>
      </w:pPr>
    </w:p>
    <w:p w14:paraId="00000079" w14:textId="77777777" w:rsidR="006B67F3" w:rsidRDefault="0064139B">
      <w:pPr>
        <w:pStyle w:val="Normal4"/>
        <w:spacing w:after="0" w:line="240" w:lineRule="auto"/>
        <w:jc w:val="right"/>
        <w:rPr>
          <w:rFonts w:ascii="Garamond" w:eastAsia="Garamond" w:hAnsi="Garamond" w:cs="Garamond"/>
          <w:sz w:val="12"/>
          <w:szCs w:val="12"/>
        </w:rPr>
      </w:pPr>
      <m:oMath>
        <m:f>
          <m:fPr>
            <m:ctrlPr>
              <w:rPr>
                <w:rFonts w:ascii="Garamond" w:eastAsia="Garamond" w:hAnsi="Garamond" w:cs="Garamond"/>
                <w:b/>
                <w:sz w:val="48"/>
                <w:szCs w:val="48"/>
              </w:rPr>
            </m:ctrlPr>
          </m:fPr>
          <m:num>
            <m:r>
              <m:rPr>
                <m:sty m:val="bi"/>
              </m:rPr>
              <w:rPr>
                <w:rFonts w:ascii="Garamond" w:eastAsia="Garamond" w:hAnsi="Garamond" w:cs="Garamond"/>
                <w:sz w:val="48"/>
                <w:szCs w:val="48"/>
              </w:rPr>
              <m:t>(NIR - R)</m:t>
            </m:r>
          </m:num>
          <m:den>
            <m:r>
              <m:rPr>
                <m:sty m:val="bi"/>
              </m:rPr>
              <w:rPr>
                <w:rFonts w:ascii="Garamond" w:eastAsia="Garamond" w:hAnsi="Garamond" w:cs="Garamond"/>
                <w:sz w:val="48"/>
                <w:szCs w:val="48"/>
              </w:rPr>
              <m:t>(NIR + R)</m:t>
            </m:r>
          </m:den>
        </m:f>
      </m:oMath>
      <w:r w:rsidR="00C27B54">
        <w:rPr>
          <w:rFonts w:ascii="Garamond" w:eastAsia="Garamond" w:hAnsi="Garamond" w:cs="Garamond"/>
          <w:sz w:val="32"/>
          <w:szCs w:val="32"/>
        </w:rPr>
        <w:t xml:space="preserve">                                                </w:t>
      </w:r>
      <w:r w:rsidR="00C27B54">
        <w:rPr>
          <w:rFonts w:ascii="Garamond" w:eastAsia="Garamond" w:hAnsi="Garamond" w:cs="Garamond"/>
        </w:rPr>
        <w:t>(1)</w:t>
      </w:r>
    </w:p>
    <w:p w14:paraId="0000007A" w14:textId="77777777" w:rsidR="006B67F3" w:rsidRDefault="006B67F3">
      <w:pPr>
        <w:pStyle w:val="Normal4"/>
        <w:pBdr>
          <w:top w:val="nil"/>
          <w:left w:val="nil"/>
          <w:bottom w:val="nil"/>
          <w:right w:val="nil"/>
          <w:between w:val="nil"/>
        </w:pBdr>
        <w:spacing w:after="0" w:line="240" w:lineRule="auto"/>
        <w:rPr>
          <w:rFonts w:ascii="Garamond" w:eastAsia="Garamond" w:hAnsi="Garamond" w:cs="Garamond"/>
          <w:color w:val="000000"/>
        </w:rPr>
      </w:pPr>
    </w:p>
    <w:p w14:paraId="0000007B" w14:textId="7AEE0063" w:rsidR="006B67F3" w:rsidRDefault="00C27B54" w:rsidP="0AE4C2A7">
      <w:pPr>
        <w:pStyle w:val="Normal4"/>
        <w:pBdr>
          <w:top w:val="nil"/>
          <w:left w:val="nil"/>
          <w:bottom w:val="nil"/>
          <w:right w:val="nil"/>
          <w:between w:val="nil"/>
        </w:pBdr>
        <w:spacing w:after="0" w:line="240" w:lineRule="auto"/>
        <w:rPr>
          <w:color w:val="000000"/>
        </w:rPr>
      </w:pPr>
      <w:r>
        <w:rPr>
          <w:rFonts w:ascii="Garamond" w:eastAsia="Garamond" w:hAnsi="Garamond" w:cs="Garamond"/>
        </w:rPr>
        <w:t xml:space="preserve">Additionally, we used the </w:t>
      </w:r>
      <w:r w:rsidR="006F3804">
        <w:rPr>
          <w:rFonts w:ascii="Garamond" w:eastAsia="Garamond" w:hAnsi="Garamond" w:cs="Garamond"/>
        </w:rPr>
        <w:t>N</w:t>
      </w:r>
      <w:r>
        <w:rPr>
          <w:rFonts w:ascii="Garamond" w:eastAsia="Garamond" w:hAnsi="Garamond" w:cs="Garamond"/>
        </w:rPr>
        <w:t xml:space="preserve">ormalized </w:t>
      </w:r>
      <w:r w:rsidR="006F3804">
        <w:rPr>
          <w:rFonts w:ascii="Garamond" w:eastAsia="Garamond" w:hAnsi="Garamond" w:cs="Garamond"/>
        </w:rPr>
        <w:t>D</w:t>
      </w:r>
      <w:r>
        <w:rPr>
          <w:rFonts w:ascii="Garamond" w:eastAsia="Garamond" w:hAnsi="Garamond" w:cs="Garamond"/>
        </w:rPr>
        <w:t xml:space="preserve">ifference </w:t>
      </w:r>
      <w:r w:rsidR="006F3804">
        <w:rPr>
          <w:rFonts w:ascii="Garamond" w:eastAsia="Garamond" w:hAnsi="Garamond" w:cs="Garamond"/>
        </w:rPr>
        <w:t>W</w:t>
      </w:r>
      <w:r>
        <w:rPr>
          <w:rFonts w:ascii="Garamond" w:eastAsia="Garamond" w:hAnsi="Garamond" w:cs="Garamond"/>
        </w:rPr>
        <w:t xml:space="preserve">ater </w:t>
      </w:r>
      <w:r w:rsidR="006F3804">
        <w:rPr>
          <w:rFonts w:ascii="Garamond" w:eastAsia="Garamond" w:hAnsi="Garamond" w:cs="Garamond"/>
        </w:rPr>
        <w:t>I</w:t>
      </w:r>
      <w:r>
        <w:rPr>
          <w:rFonts w:ascii="Garamond" w:eastAsia="Garamond" w:hAnsi="Garamond" w:cs="Garamond"/>
        </w:rPr>
        <w:t>ndex (NDWI) to detect the presence of surface water. NDWI is calculated as a ratio between the G and NIR bands (Equation 2; McFeeters, 1996)</w:t>
      </w:r>
      <w:r w:rsidRPr="0AE4C2A7">
        <w:rPr>
          <w:rFonts w:ascii="Garamond" w:eastAsia="Garamond" w:hAnsi="Garamond" w:cs="Garamond"/>
          <w:color w:val="000000"/>
        </w:rPr>
        <w:t>. We used NDWI to help distinguish areas of shallow or m</w:t>
      </w:r>
      <w:r>
        <w:rPr>
          <w:rFonts w:ascii="Garamond" w:eastAsia="Garamond" w:hAnsi="Garamond" w:cs="Garamond"/>
        </w:rPr>
        <w:t>urky</w:t>
      </w:r>
      <w:r w:rsidRPr="0AE4C2A7">
        <w:rPr>
          <w:rFonts w:ascii="Garamond" w:eastAsia="Garamond" w:hAnsi="Garamond" w:cs="Garamond"/>
          <w:color w:val="000000"/>
        </w:rPr>
        <w:t xml:space="preserve"> surface </w:t>
      </w:r>
      <w:r>
        <w:rPr>
          <w:rFonts w:ascii="Garamond" w:eastAsia="Garamond" w:hAnsi="Garamond" w:cs="Garamond"/>
        </w:rPr>
        <w:t xml:space="preserve">water with high NDVI values from tree cover in our classification. </w:t>
      </w:r>
    </w:p>
    <w:p w14:paraId="0000007C" w14:textId="77777777" w:rsidR="006B67F3" w:rsidRDefault="0064139B">
      <w:pPr>
        <w:pStyle w:val="Normal4"/>
        <w:spacing w:after="0" w:line="240" w:lineRule="auto"/>
        <w:jc w:val="right"/>
        <w:rPr>
          <w:rFonts w:ascii="Garamond" w:eastAsia="Garamond" w:hAnsi="Garamond" w:cs="Garamond"/>
          <w:sz w:val="32"/>
          <w:szCs w:val="32"/>
        </w:rPr>
      </w:pPr>
      <m:oMath>
        <m:f>
          <m:fPr>
            <m:ctrlPr>
              <w:rPr>
                <w:rFonts w:ascii="Garamond" w:eastAsia="Garamond" w:hAnsi="Garamond" w:cs="Garamond"/>
                <w:b/>
                <w:sz w:val="48"/>
                <w:szCs w:val="48"/>
              </w:rPr>
            </m:ctrlPr>
          </m:fPr>
          <m:num>
            <m:r>
              <m:rPr>
                <m:sty m:val="bi"/>
              </m:rPr>
              <w:rPr>
                <w:rFonts w:ascii="Garamond" w:eastAsia="Garamond" w:hAnsi="Garamond" w:cs="Garamond"/>
                <w:sz w:val="48"/>
                <w:szCs w:val="48"/>
              </w:rPr>
              <m:t>(G - NIR)</m:t>
            </m:r>
          </m:num>
          <m:den>
            <m:r>
              <m:rPr>
                <m:sty m:val="bi"/>
              </m:rPr>
              <w:rPr>
                <w:rFonts w:ascii="Garamond" w:eastAsia="Garamond" w:hAnsi="Garamond" w:cs="Garamond"/>
                <w:sz w:val="48"/>
                <w:szCs w:val="48"/>
              </w:rPr>
              <m:t>(G + NIR)</m:t>
            </m:r>
          </m:den>
        </m:f>
      </m:oMath>
      <w:r w:rsidR="00C27B54">
        <w:rPr>
          <w:rFonts w:ascii="Garamond" w:eastAsia="Garamond" w:hAnsi="Garamond" w:cs="Garamond"/>
          <w:sz w:val="32"/>
          <w:szCs w:val="32"/>
        </w:rPr>
        <w:t xml:space="preserve">                                                </w:t>
      </w:r>
      <w:r w:rsidR="00C27B54">
        <w:rPr>
          <w:rFonts w:ascii="Garamond" w:eastAsia="Garamond" w:hAnsi="Garamond" w:cs="Garamond"/>
        </w:rPr>
        <w:t>(2)</w:t>
      </w:r>
    </w:p>
    <w:p w14:paraId="0000007D" w14:textId="77777777" w:rsidR="006B67F3" w:rsidRDefault="006B67F3">
      <w:pPr>
        <w:pStyle w:val="Normal4"/>
        <w:pBdr>
          <w:top w:val="nil"/>
          <w:left w:val="nil"/>
          <w:bottom w:val="nil"/>
          <w:right w:val="nil"/>
          <w:between w:val="nil"/>
        </w:pBdr>
        <w:spacing w:after="0" w:line="240" w:lineRule="auto"/>
        <w:rPr>
          <w:rFonts w:ascii="Garamond" w:eastAsia="Garamond" w:hAnsi="Garamond" w:cs="Garamond"/>
          <w:color w:val="000000"/>
        </w:rPr>
      </w:pPr>
    </w:p>
    <w:p w14:paraId="0000007E" w14:textId="77777777" w:rsidR="006B67F3" w:rsidRDefault="00C27B54" w:rsidP="0AE4C2A7">
      <w:pPr>
        <w:pStyle w:val="Normal4"/>
        <w:pBdr>
          <w:top w:val="nil"/>
          <w:left w:val="nil"/>
          <w:bottom w:val="nil"/>
          <w:right w:val="nil"/>
          <w:between w:val="nil"/>
        </w:pBdr>
        <w:spacing w:after="0" w:line="240" w:lineRule="auto"/>
        <w:rPr>
          <w:rFonts w:ascii="Garamond" w:eastAsia="Garamond" w:hAnsi="Garamond" w:cs="Garamond"/>
          <w:color w:val="000000"/>
        </w:rPr>
      </w:pPr>
      <w:r w:rsidRPr="0AE4C2A7">
        <w:rPr>
          <w:rFonts w:ascii="Garamond" w:eastAsia="Garamond" w:hAnsi="Garamond" w:cs="Garamond"/>
          <w:color w:val="000000"/>
        </w:rPr>
        <w:t xml:space="preserve">In order to better distinguish tree canopy from other types of green vegetation, such as grass fields and lawns, we calculated entropy values using </w:t>
      </w:r>
      <w:r>
        <w:rPr>
          <w:rFonts w:ascii="Garamond" w:eastAsia="Garamond" w:hAnsi="Garamond" w:cs="Garamond"/>
        </w:rPr>
        <w:t>the built-in entropy function in GEE</w:t>
      </w:r>
      <w:r w:rsidRPr="0AE4C2A7">
        <w:rPr>
          <w:rFonts w:ascii="Garamond" w:eastAsia="Garamond" w:hAnsi="Garamond" w:cs="Garamond"/>
          <w:color w:val="000000"/>
        </w:rPr>
        <w:t xml:space="preserve"> for each pixel using a 4x4 kernel window with the NIR band as input. We applied the NDVI, NDWI, and entropy calculations to each year of </w:t>
      </w:r>
      <w:r>
        <w:rPr>
          <w:rFonts w:ascii="Garamond" w:eastAsia="Garamond" w:hAnsi="Garamond" w:cs="Garamond"/>
        </w:rPr>
        <w:t>NAIP imagery</w:t>
      </w:r>
      <w:r w:rsidRPr="0AE4C2A7">
        <w:rPr>
          <w:rFonts w:ascii="Garamond" w:eastAsia="Garamond" w:hAnsi="Garamond" w:cs="Garamond"/>
          <w:color w:val="000000"/>
        </w:rPr>
        <w:t xml:space="preserve"> to use in our tree canopy cover classification analysis.</w:t>
      </w:r>
    </w:p>
    <w:p w14:paraId="0000007F" w14:textId="77777777" w:rsidR="006B67F3" w:rsidRDefault="006B67F3" w:rsidP="0AE4C2A7">
      <w:pPr>
        <w:pStyle w:val="Normal4"/>
        <w:pBdr>
          <w:top w:val="nil"/>
          <w:left w:val="nil"/>
          <w:bottom w:val="nil"/>
          <w:right w:val="nil"/>
          <w:between w:val="nil"/>
        </w:pBdr>
        <w:spacing w:after="0" w:line="240" w:lineRule="auto"/>
        <w:rPr>
          <w:rFonts w:ascii="Garamond" w:eastAsia="Garamond" w:hAnsi="Garamond" w:cs="Garamond"/>
        </w:rPr>
      </w:pPr>
    </w:p>
    <w:p w14:paraId="00000080" w14:textId="1791D592" w:rsidR="006B67F3" w:rsidRDefault="00C27B54" w:rsidP="0AE4C2A7">
      <w:pPr>
        <w:pStyle w:val="Normal4"/>
        <w:pBdr>
          <w:top w:val="nil"/>
          <w:left w:val="nil"/>
          <w:bottom w:val="nil"/>
          <w:right w:val="nil"/>
          <w:between w:val="nil"/>
        </w:pBdr>
        <w:spacing w:after="0" w:line="240" w:lineRule="auto"/>
        <w:rPr>
          <w:rFonts w:ascii="Garamond" w:eastAsia="Garamond" w:hAnsi="Garamond" w:cs="Garamond"/>
          <w:color w:val="000000"/>
        </w:rPr>
      </w:pPr>
      <w:r w:rsidRPr="0AE4C2A7">
        <w:rPr>
          <w:rFonts w:ascii="Garamond" w:eastAsia="Garamond" w:hAnsi="Garamond" w:cs="Garamond"/>
          <w:color w:val="000000"/>
        </w:rPr>
        <w:t xml:space="preserve">To perform a supervised tree canopy cover classification of each image mosaic, we trained a Random Forest (RF) classification algorithm for each year using point data of tree and non-tree </w:t>
      </w:r>
      <w:r>
        <w:rPr>
          <w:rFonts w:ascii="Garamond" w:eastAsia="Garamond" w:hAnsi="Garamond" w:cs="Garamond"/>
        </w:rPr>
        <w:t xml:space="preserve">land cover </w:t>
      </w:r>
      <w:r w:rsidRPr="0AE4C2A7">
        <w:rPr>
          <w:rFonts w:ascii="Garamond" w:eastAsia="Garamond" w:hAnsi="Garamond" w:cs="Garamond"/>
          <w:color w:val="000000"/>
        </w:rPr>
        <w:t>types.</w:t>
      </w:r>
      <w:r>
        <w:rPr>
          <w:rFonts w:ascii="Garamond" w:eastAsia="Garamond" w:hAnsi="Garamond" w:cs="Garamond"/>
        </w:rPr>
        <w:t xml:space="preserve"> Taking into account the fluctuations in the time of day and greenness of aerial images across the four years, we developed four distinct RF classifiers using training data from their corresponding images to enhance the accuracy of the model. </w:t>
      </w:r>
      <w:r w:rsidRPr="0AE4C2A7">
        <w:rPr>
          <w:rFonts w:ascii="Garamond" w:eastAsia="Garamond" w:hAnsi="Garamond" w:cs="Garamond"/>
          <w:color w:val="000000"/>
        </w:rPr>
        <w:t>For each mosaic, we collected an initial 600 tree and 600 non-tree points to train the classifier. To achieve a classification accuracy of 99.5% for each year, we collected additional training data for each time period accordingly. We used the bands R, G, B, NIR, NDVI, NDWI, and entropy as inputs into our classification, as these bands have been established as good indicators of tree canopy cover (McDon</w:t>
      </w:r>
      <w:r w:rsidR="006F3804">
        <w:rPr>
          <w:rFonts w:ascii="Garamond" w:eastAsia="Garamond" w:hAnsi="Garamond" w:cs="Garamond"/>
          <w:color w:val="000000"/>
        </w:rPr>
        <w:t>ald</w:t>
      </w:r>
      <w:r w:rsidRPr="0AE4C2A7">
        <w:rPr>
          <w:rFonts w:ascii="Garamond" w:eastAsia="Garamond" w:hAnsi="Garamond" w:cs="Garamond"/>
          <w:color w:val="000000"/>
        </w:rPr>
        <w:t xml:space="preserve"> et al., 2021). From our RF classification algorithm, we created a binary layer of tree and non-tree pixels for each year at 0.6 m spatial resolution.</w:t>
      </w:r>
    </w:p>
    <w:p w14:paraId="00000081" w14:textId="77777777" w:rsidR="006B67F3" w:rsidRDefault="006B67F3">
      <w:pPr>
        <w:pStyle w:val="Normal4"/>
        <w:pBdr>
          <w:top w:val="nil"/>
          <w:left w:val="nil"/>
          <w:bottom w:val="nil"/>
          <w:right w:val="nil"/>
          <w:between w:val="nil"/>
        </w:pBdr>
        <w:spacing w:after="0" w:line="240" w:lineRule="auto"/>
        <w:rPr>
          <w:rFonts w:ascii="Garamond" w:eastAsia="Garamond" w:hAnsi="Garamond" w:cs="Garamond"/>
          <w:color w:val="000000"/>
        </w:rPr>
      </w:pPr>
    </w:p>
    <w:p w14:paraId="00000082" w14:textId="77777777" w:rsidR="006B67F3" w:rsidRDefault="00C27B54">
      <w:pPr>
        <w:pStyle w:val="Normal4"/>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b/>
          <w:i/>
          <w:color w:val="000000"/>
        </w:rPr>
        <w:t>3.3 Data Analysis</w:t>
      </w:r>
    </w:p>
    <w:p w14:paraId="00000083" w14:textId="788EC94F" w:rsidR="006B67F3" w:rsidRDefault="00C27B54" w:rsidP="15163AE6">
      <w:pPr>
        <w:pStyle w:val="Normal4"/>
        <w:pBdr>
          <w:top w:val="nil"/>
          <w:left w:val="nil"/>
          <w:bottom w:val="nil"/>
          <w:right w:val="nil"/>
          <w:between w:val="nil"/>
        </w:pBdr>
        <w:spacing w:after="0" w:line="240" w:lineRule="auto"/>
        <w:rPr>
          <w:rFonts w:ascii="Garamond" w:eastAsia="Garamond" w:hAnsi="Garamond" w:cs="Garamond"/>
        </w:rPr>
      </w:pPr>
      <w:r w:rsidRPr="15163AE6">
        <w:rPr>
          <w:rFonts w:ascii="Garamond" w:eastAsia="Garamond" w:hAnsi="Garamond" w:cs="Garamond"/>
          <w:color w:val="000000"/>
        </w:rPr>
        <w:lastRenderedPageBreak/>
        <w:t>To analyze the data, we created a time series of daytime mean summer LST, nigh</w:t>
      </w:r>
      <w:r>
        <w:rPr>
          <w:rFonts w:ascii="Garamond" w:eastAsia="Garamond" w:hAnsi="Garamond" w:cs="Garamond"/>
        </w:rPr>
        <w:t>t</w:t>
      </w:r>
      <w:r w:rsidRPr="15163AE6">
        <w:rPr>
          <w:rFonts w:ascii="Garamond" w:eastAsia="Garamond" w:hAnsi="Garamond" w:cs="Garamond"/>
          <w:color w:val="000000"/>
        </w:rPr>
        <w:t>time mean summer LST,</w:t>
      </w:r>
      <w:r>
        <w:rPr>
          <w:rFonts w:ascii="Garamond" w:eastAsia="Garamond" w:hAnsi="Garamond" w:cs="Garamond"/>
        </w:rPr>
        <w:t xml:space="preserve"> and mean summer NDVI</w:t>
      </w:r>
      <w:r w:rsidRPr="15163AE6">
        <w:rPr>
          <w:rFonts w:ascii="Garamond" w:eastAsia="Garamond" w:hAnsi="Garamond" w:cs="Garamond"/>
          <w:color w:val="000000"/>
        </w:rPr>
        <w:t xml:space="preserve">. </w:t>
      </w:r>
      <w:r>
        <w:rPr>
          <w:rFonts w:ascii="Garamond" w:eastAsia="Garamond" w:hAnsi="Garamond" w:cs="Garamond"/>
        </w:rPr>
        <w:t xml:space="preserve">This allowed us to see how the temperature and total vegetation cover of the urban areas of Los Angeles County had changed through time. </w:t>
      </w:r>
      <w:r w:rsidRPr="15163AE6">
        <w:rPr>
          <w:rFonts w:ascii="Garamond" w:eastAsia="Garamond" w:hAnsi="Garamond" w:cs="Garamond"/>
          <w:color w:val="000000"/>
        </w:rPr>
        <w:t xml:space="preserve">We then incorporated </w:t>
      </w:r>
      <w:r>
        <w:rPr>
          <w:rFonts w:ascii="Garamond" w:eastAsia="Garamond" w:hAnsi="Garamond" w:cs="Garamond"/>
        </w:rPr>
        <w:t>c</w:t>
      </w:r>
      <w:r w:rsidRPr="15163AE6">
        <w:rPr>
          <w:rFonts w:ascii="Garamond" w:eastAsia="Garamond" w:hAnsi="Garamond" w:cs="Garamond"/>
          <w:color w:val="000000"/>
        </w:rPr>
        <w:t xml:space="preserve">ensus </w:t>
      </w:r>
      <w:r>
        <w:rPr>
          <w:rFonts w:ascii="Garamond" w:eastAsia="Garamond" w:hAnsi="Garamond" w:cs="Garamond"/>
        </w:rPr>
        <w:t>t</w:t>
      </w:r>
      <w:r w:rsidRPr="15163AE6">
        <w:rPr>
          <w:rFonts w:ascii="Garamond" w:eastAsia="Garamond" w:hAnsi="Garamond" w:cs="Garamond"/>
          <w:color w:val="000000"/>
        </w:rPr>
        <w:t xml:space="preserve">ract data from 2020 to further categorize these changes at the community level and </w:t>
      </w:r>
      <w:r>
        <w:rPr>
          <w:rFonts w:ascii="Garamond" w:eastAsia="Garamond" w:hAnsi="Garamond" w:cs="Garamond"/>
        </w:rPr>
        <w:t>highlight areas of interest including the Vermont Corridor, Central Alameda, Sylmar, South Pasadena, and Beverly Hills</w:t>
      </w:r>
      <w:r w:rsidRPr="15163AE6">
        <w:rPr>
          <w:rFonts w:ascii="Garamond" w:eastAsia="Garamond" w:hAnsi="Garamond" w:cs="Garamond"/>
          <w:color w:val="000000"/>
        </w:rPr>
        <w:t>. We were also able to look at the correlation between the median temperature and median NDVI value</w:t>
      </w:r>
      <w:r w:rsidRPr="15163AE6">
        <w:rPr>
          <w:rFonts w:ascii="Garamond" w:eastAsia="Garamond" w:hAnsi="Garamond" w:cs="Garamond"/>
        </w:rPr>
        <w:t xml:space="preserve">s of these regions </w:t>
      </w:r>
      <w:r w:rsidRPr="15163AE6">
        <w:rPr>
          <w:rFonts w:ascii="Garamond" w:eastAsia="Garamond" w:hAnsi="Garamond" w:cs="Garamond"/>
          <w:color w:val="000000"/>
        </w:rPr>
        <w:t>by plotting the data for each census tract</w:t>
      </w:r>
      <w:r w:rsidRPr="15163AE6">
        <w:rPr>
          <w:rFonts w:ascii="Garamond" w:eastAsia="Garamond" w:hAnsi="Garamond" w:cs="Garamond"/>
        </w:rPr>
        <w:t xml:space="preserve"> and </w:t>
      </w:r>
      <w:r w:rsidRPr="15163AE6">
        <w:rPr>
          <w:rFonts w:ascii="Garamond" w:eastAsia="Garamond" w:hAnsi="Garamond" w:cs="Garamond"/>
          <w:color w:val="000000"/>
        </w:rPr>
        <w:t xml:space="preserve">solving for the </w:t>
      </w:r>
      <w:r w:rsidRPr="15163AE6">
        <w:rPr>
          <w:rFonts w:ascii="Garamond" w:eastAsia="Garamond" w:hAnsi="Garamond" w:cs="Garamond"/>
          <w:color w:val="202124"/>
          <w:highlight w:val="white"/>
        </w:rPr>
        <w:t>Pearson correlation coefficient (</w:t>
      </w:r>
      <w:r w:rsidRPr="15163AE6">
        <w:rPr>
          <w:rFonts w:ascii="Garamond" w:eastAsia="Garamond" w:hAnsi="Garamond" w:cs="Garamond"/>
          <w:color w:val="000000"/>
        </w:rPr>
        <w:t>R value)</w:t>
      </w:r>
      <w:r w:rsidR="060211D7" w:rsidRPr="15163AE6">
        <w:rPr>
          <w:rFonts w:ascii="Garamond" w:eastAsia="Garamond" w:hAnsi="Garamond" w:cs="Garamond"/>
          <w:color w:val="000000"/>
        </w:rPr>
        <w:t>,</w:t>
      </w:r>
      <w:r w:rsidRPr="15163AE6">
        <w:rPr>
          <w:rFonts w:ascii="Garamond" w:eastAsia="Garamond" w:hAnsi="Garamond" w:cs="Garamond"/>
          <w:color w:val="000000"/>
        </w:rPr>
        <w:t xml:space="preserve"> which ranges from -1 to 1</w:t>
      </w:r>
      <w:r w:rsidR="603EC89D" w:rsidRPr="15163AE6">
        <w:rPr>
          <w:rFonts w:ascii="Garamond" w:eastAsia="Garamond" w:hAnsi="Garamond" w:cs="Garamond"/>
          <w:color w:val="000000"/>
        </w:rPr>
        <w:t>,</w:t>
      </w:r>
      <w:r>
        <w:rPr>
          <w:rFonts w:ascii="Garamond" w:eastAsia="Garamond" w:hAnsi="Garamond" w:cs="Garamond"/>
        </w:rPr>
        <w:t xml:space="preserve"> and the R</w:t>
      </w:r>
      <w:r>
        <w:rPr>
          <w:rFonts w:ascii="Garamond" w:eastAsia="Garamond" w:hAnsi="Garamond" w:cs="Garamond"/>
          <w:vertAlign w:val="superscript"/>
        </w:rPr>
        <w:t>2</w:t>
      </w:r>
      <w:r>
        <w:rPr>
          <w:rFonts w:ascii="Garamond" w:eastAsia="Garamond" w:hAnsi="Garamond" w:cs="Garamond"/>
        </w:rPr>
        <w:t xml:space="preserve"> value. Additionally, we calculated the percent change in NDVI between 2016 and 2022 for urban census tracts in Los Angeles to show an increase or decrease in vegetation.</w:t>
      </w:r>
    </w:p>
    <w:p w14:paraId="00000084" w14:textId="77777777" w:rsidR="006B67F3" w:rsidRDefault="006B67F3" w:rsidP="0AE4C2A7">
      <w:pPr>
        <w:pStyle w:val="Normal4"/>
        <w:pBdr>
          <w:top w:val="nil"/>
          <w:left w:val="nil"/>
          <w:bottom w:val="nil"/>
          <w:right w:val="nil"/>
          <w:between w:val="nil"/>
        </w:pBdr>
        <w:spacing w:after="0" w:line="240" w:lineRule="auto"/>
        <w:rPr>
          <w:rFonts w:ascii="Garamond" w:eastAsia="Garamond" w:hAnsi="Garamond" w:cs="Garamond"/>
        </w:rPr>
      </w:pPr>
      <w:bookmarkStart w:id="0" w:name="_heading=h.e0ilnlyjifn8" w:colFirst="0" w:colLast="0"/>
      <w:bookmarkEnd w:id="0"/>
    </w:p>
    <w:p w14:paraId="00000085" w14:textId="77777777" w:rsidR="006B67F3" w:rsidRDefault="00C27B54" w:rsidP="0AE4C2A7">
      <w:pPr>
        <w:pStyle w:val="Normal4"/>
        <w:pBdr>
          <w:top w:val="nil"/>
          <w:left w:val="nil"/>
          <w:bottom w:val="nil"/>
          <w:right w:val="nil"/>
          <w:between w:val="nil"/>
        </w:pBdr>
        <w:spacing w:after="0" w:line="240" w:lineRule="auto"/>
        <w:rPr>
          <w:rFonts w:ascii="Garamond" w:eastAsia="Garamond" w:hAnsi="Garamond" w:cs="Garamond"/>
        </w:rPr>
      </w:pPr>
      <w:bookmarkStart w:id="1" w:name="_heading=h.u92bvs6tgd2q"/>
      <w:bookmarkEnd w:id="1"/>
      <w:r w:rsidRPr="0AE4C2A7">
        <w:rPr>
          <w:rFonts w:ascii="Garamond" w:eastAsia="Garamond" w:hAnsi="Garamond" w:cs="Garamond"/>
        </w:rPr>
        <w:t>Using percent tree canopy cover for urban census tracts in Los Angeles, we created a change in tree canopy cover layer from 2016 to 2022 in order to visualize areas where there has been either a gain or loss in tree cover. We further analyzed each year in our study by creating histograms of tree canopy cover as a percent at the census tract level. Finally, we incorporated the five subregions into our analysis and plotted a time series of tree canopy cover for all regions.</w:t>
      </w:r>
    </w:p>
    <w:p w14:paraId="00000086" w14:textId="77777777" w:rsidR="006B67F3" w:rsidRDefault="006B67F3">
      <w:pPr>
        <w:pStyle w:val="Normal4"/>
        <w:pBdr>
          <w:top w:val="nil"/>
          <w:left w:val="nil"/>
          <w:bottom w:val="nil"/>
          <w:right w:val="nil"/>
          <w:between w:val="nil"/>
        </w:pBdr>
        <w:spacing w:after="0" w:line="240" w:lineRule="auto"/>
        <w:rPr>
          <w:rFonts w:ascii="Garamond" w:eastAsia="Garamond" w:hAnsi="Garamond" w:cs="Garamond"/>
        </w:rPr>
      </w:pPr>
      <w:bookmarkStart w:id="2" w:name="_heading=h.d4ggiz194t8o" w:colFirst="0" w:colLast="0"/>
      <w:bookmarkEnd w:id="2"/>
    </w:p>
    <w:p w14:paraId="00000089" w14:textId="77777777" w:rsidR="006B67F3" w:rsidRDefault="00C27B54">
      <w:pPr>
        <w:pStyle w:val="Normal4"/>
        <w:keepNext/>
        <w:keepLines/>
        <w:spacing w:after="0" w:line="240" w:lineRule="auto"/>
        <w:rPr>
          <w:rFonts w:ascii="Garamond" w:eastAsia="Garamond" w:hAnsi="Garamond" w:cs="Garamond"/>
          <w:shd w:val="clear" w:color="auto" w:fill="FAF9F8"/>
        </w:rPr>
      </w:pPr>
      <w:bookmarkStart w:id="3" w:name="_heading=h.3znysh7" w:colFirst="0" w:colLast="0"/>
      <w:bookmarkEnd w:id="3"/>
      <w:r>
        <w:rPr>
          <w:rFonts w:ascii="Garamond" w:eastAsia="Garamond" w:hAnsi="Garamond" w:cs="Garamond"/>
          <w:b/>
          <w:color w:val="366091"/>
          <w:sz w:val="28"/>
          <w:szCs w:val="28"/>
        </w:rPr>
        <w:t>4. Results &amp; Discussion</w:t>
      </w:r>
    </w:p>
    <w:p w14:paraId="0000008A" w14:textId="77777777" w:rsidR="006B67F3" w:rsidRDefault="006B67F3" w:rsidP="0AE4C2A7">
      <w:pPr>
        <w:pStyle w:val="Normal4"/>
        <w:spacing w:after="0" w:line="240" w:lineRule="auto"/>
        <w:rPr>
          <w:rFonts w:ascii="Garamond" w:eastAsia="Garamond" w:hAnsi="Garamond" w:cs="Garamond"/>
          <w:i/>
          <w:iCs/>
          <w:shd w:val="clear" w:color="auto" w:fill="FAF9F8"/>
        </w:rPr>
      </w:pPr>
    </w:p>
    <w:p w14:paraId="0000008B" w14:textId="77777777" w:rsidR="006B67F3" w:rsidRDefault="00C27B54">
      <w:pPr>
        <w:pStyle w:val="Normal4"/>
        <w:spacing w:after="0" w:line="240" w:lineRule="auto"/>
        <w:rPr>
          <w:rFonts w:ascii="Garamond" w:eastAsia="Garamond" w:hAnsi="Garamond" w:cs="Garamond"/>
          <w:i/>
        </w:rPr>
      </w:pPr>
      <w:r>
        <w:rPr>
          <w:rFonts w:ascii="Garamond" w:eastAsia="Garamond" w:hAnsi="Garamond" w:cs="Garamond"/>
          <w:b/>
          <w:i/>
        </w:rPr>
        <w:t>4.1 Analysis of Results</w:t>
      </w:r>
    </w:p>
    <w:p w14:paraId="0000008C" w14:textId="77777777" w:rsidR="006B67F3" w:rsidRDefault="00C27B54" w:rsidP="0AE4C2A7">
      <w:pPr>
        <w:pStyle w:val="Normal4"/>
        <w:spacing w:after="0" w:line="240" w:lineRule="auto"/>
        <w:rPr>
          <w:rFonts w:ascii="Garamond" w:eastAsia="Garamond" w:hAnsi="Garamond" w:cs="Garamond"/>
          <w:i/>
          <w:iCs/>
        </w:rPr>
      </w:pPr>
      <w:r w:rsidRPr="0AE4C2A7">
        <w:rPr>
          <w:rFonts w:ascii="Garamond" w:eastAsia="Garamond" w:hAnsi="Garamond" w:cs="Garamond"/>
          <w:i/>
          <w:iCs/>
        </w:rPr>
        <w:t>4.1.1 Daytime Land Surface Temperature Time Series (Landsat 8)</w:t>
      </w:r>
    </w:p>
    <w:p w14:paraId="0000008D" w14:textId="28EF6D07" w:rsidR="006B67F3" w:rsidRDefault="00C27B54" w:rsidP="0AE4C2A7">
      <w:pPr>
        <w:pStyle w:val="Normal4"/>
        <w:spacing w:after="0" w:line="240" w:lineRule="auto"/>
        <w:rPr>
          <w:rFonts w:ascii="Garamond" w:eastAsia="Garamond" w:hAnsi="Garamond" w:cs="Garamond"/>
        </w:rPr>
      </w:pPr>
      <w:r w:rsidRPr="0AE4C2A7">
        <w:rPr>
          <w:rFonts w:ascii="Garamond" w:eastAsia="Garamond" w:hAnsi="Garamond" w:cs="Garamond"/>
        </w:rPr>
        <w:t xml:space="preserve">Land surface temperature was used to calculate a total mean summertime temperature for the urban areas of </w:t>
      </w:r>
      <w:r w:rsidR="00EB285D" w:rsidRPr="15163AE6">
        <w:rPr>
          <w:rFonts w:ascii="Garamond" w:eastAsia="Garamond" w:hAnsi="Garamond" w:cs="Garamond"/>
          <w:color w:val="000000"/>
        </w:rPr>
        <w:t>Los Angeles</w:t>
      </w:r>
      <w:r w:rsidRPr="0AE4C2A7">
        <w:rPr>
          <w:rFonts w:ascii="Garamond" w:eastAsia="Garamond" w:hAnsi="Garamond" w:cs="Garamond"/>
        </w:rPr>
        <w:t xml:space="preserve"> County in addition to mean summertime temperatures of each census tract within the region for each year from 2016 to 2022. The LST distribution of the city for 2016 and 2022 can be seen in Figure A2. We isolated the census tracts of our five regions of interest, allowing us to plot a time series for each location. The results of the time series are shown in Figure 1, which provides a temporal perspective on the changing temperature of the city. Central Alameda and the Vermont Corridor have been consistently hotter than Beverly Hills, South Pasadena, and the mean of the urban areas of LA County. Sylmar is located in the San Fernando Valley and therefore experiences relatively hot temperatures</w:t>
      </w:r>
      <w:r w:rsidR="00681226">
        <w:rPr>
          <w:rFonts w:ascii="Garamond" w:eastAsia="Garamond" w:hAnsi="Garamond" w:cs="Garamond"/>
        </w:rPr>
        <w:t>,</w:t>
      </w:r>
      <w:r w:rsidRPr="0AE4C2A7">
        <w:rPr>
          <w:rFonts w:ascii="Garamond" w:eastAsia="Garamond" w:hAnsi="Garamond" w:cs="Garamond"/>
        </w:rPr>
        <w:t xml:space="preserve"> as it is shielded from cool coastal winds by the Santa Monica Mountains. </w:t>
      </w:r>
    </w:p>
    <w:p w14:paraId="0000008F" w14:textId="18ACEAB6" w:rsidR="006B67F3" w:rsidRDefault="00C27B54" w:rsidP="15163AE6">
      <w:pPr>
        <w:pStyle w:val="Normal4"/>
        <w:spacing w:after="0" w:line="240" w:lineRule="auto"/>
        <w:rPr>
          <w:rFonts w:ascii="Garamond" w:eastAsia="Garamond" w:hAnsi="Garamond" w:cs="Garamond"/>
        </w:rPr>
      </w:pPr>
      <w:r>
        <w:rPr>
          <w:rFonts w:ascii="Garamond" w:eastAsia="Garamond" w:hAnsi="Garamond" w:cs="Garamond"/>
        </w:rPr>
        <w:lastRenderedPageBreak/>
        <w:t xml:space="preserve"> </w:t>
      </w:r>
      <w:r>
        <w:rPr>
          <w:rFonts w:ascii="Garamond" w:eastAsia="Garamond" w:hAnsi="Garamond" w:cs="Garamond"/>
          <w:noProof/>
        </w:rPr>
        <w:drawing>
          <wp:inline distT="114300" distB="114300" distL="114300" distR="114300" wp14:anchorId="47C2BE3E" wp14:editId="07777777">
            <wp:extent cx="5943600" cy="3568700"/>
            <wp:effectExtent l="0" t="0" r="0" b="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3568700"/>
                    </a:xfrm>
                    <a:prstGeom prst="rect">
                      <a:avLst/>
                    </a:prstGeom>
                    <a:ln/>
                  </pic:spPr>
                </pic:pic>
              </a:graphicData>
            </a:graphic>
          </wp:inline>
        </w:drawing>
      </w:r>
      <w:r w:rsidR="37EF33B8" w:rsidRPr="15163AE6">
        <w:rPr>
          <w:rFonts w:ascii="Garamond" w:eastAsia="Garamond" w:hAnsi="Garamond" w:cs="Garamond"/>
          <w:i/>
          <w:iCs/>
        </w:rPr>
        <w:t>Figure 1</w:t>
      </w:r>
      <w:r w:rsidR="37EF33B8" w:rsidRPr="15163AE6">
        <w:rPr>
          <w:rFonts w:ascii="Garamond" w:eastAsia="Garamond" w:hAnsi="Garamond" w:cs="Garamond"/>
        </w:rPr>
        <w:t xml:space="preserve">. Mean </w:t>
      </w:r>
      <w:r w:rsidR="1C3CA57B" w:rsidRPr="15163AE6">
        <w:rPr>
          <w:rFonts w:ascii="Garamond" w:eastAsia="Garamond" w:hAnsi="Garamond" w:cs="Garamond"/>
        </w:rPr>
        <w:t>s</w:t>
      </w:r>
      <w:r w:rsidR="37EF33B8" w:rsidRPr="15163AE6">
        <w:rPr>
          <w:rFonts w:ascii="Garamond" w:eastAsia="Garamond" w:hAnsi="Garamond" w:cs="Garamond"/>
        </w:rPr>
        <w:t xml:space="preserve">ummer </w:t>
      </w:r>
      <w:r w:rsidR="15550DB7" w:rsidRPr="15163AE6">
        <w:rPr>
          <w:rFonts w:ascii="Garamond" w:eastAsia="Garamond" w:hAnsi="Garamond" w:cs="Garamond"/>
        </w:rPr>
        <w:t>d</w:t>
      </w:r>
      <w:r w:rsidR="37EF33B8" w:rsidRPr="15163AE6">
        <w:rPr>
          <w:rFonts w:ascii="Garamond" w:eastAsia="Garamond" w:hAnsi="Garamond" w:cs="Garamond"/>
        </w:rPr>
        <w:t xml:space="preserve">aytime LST </w:t>
      </w:r>
      <w:r w:rsidR="6EDE9BF4" w:rsidRPr="15163AE6">
        <w:rPr>
          <w:rFonts w:ascii="Garamond" w:eastAsia="Garamond" w:hAnsi="Garamond" w:cs="Garamond"/>
        </w:rPr>
        <w:t>t</w:t>
      </w:r>
      <w:r w:rsidR="37EF33B8" w:rsidRPr="15163AE6">
        <w:rPr>
          <w:rFonts w:ascii="Garamond" w:eastAsia="Garamond" w:hAnsi="Garamond" w:cs="Garamond"/>
        </w:rPr>
        <w:t xml:space="preserve">ime </w:t>
      </w:r>
      <w:r w:rsidR="6313F09A" w:rsidRPr="15163AE6">
        <w:rPr>
          <w:rFonts w:ascii="Garamond" w:eastAsia="Garamond" w:hAnsi="Garamond" w:cs="Garamond"/>
        </w:rPr>
        <w:t>s</w:t>
      </w:r>
      <w:r w:rsidR="37EF33B8" w:rsidRPr="15163AE6">
        <w:rPr>
          <w:rFonts w:ascii="Garamond" w:eastAsia="Garamond" w:hAnsi="Garamond" w:cs="Garamond"/>
        </w:rPr>
        <w:t xml:space="preserve">eries. Each data point represents the mean daytime land surface temperature during the </w:t>
      </w:r>
      <w:r w:rsidR="00EB285D">
        <w:rPr>
          <w:rFonts w:ascii="Garamond" w:eastAsia="Garamond" w:hAnsi="Garamond" w:cs="Garamond"/>
        </w:rPr>
        <w:t>s</w:t>
      </w:r>
      <w:r w:rsidR="37EF33B8" w:rsidRPr="15163AE6">
        <w:rPr>
          <w:rFonts w:ascii="Garamond" w:eastAsia="Garamond" w:hAnsi="Garamond" w:cs="Garamond"/>
        </w:rPr>
        <w:t>ummer of the given year. For Los Angeles County, we looked specifically at LST values from urban areas (as defined in Figure A1.)</w:t>
      </w:r>
    </w:p>
    <w:p w14:paraId="5D3A8526" w14:textId="2A995739" w:rsidR="15163AE6" w:rsidRDefault="15163AE6" w:rsidP="15163AE6">
      <w:pPr>
        <w:pStyle w:val="Normal4"/>
        <w:spacing w:after="0" w:line="240" w:lineRule="auto"/>
        <w:rPr>
          <w:rFonts w:ascii="Garamond" w:eastAsia="Garamond" w:hAnsi="Garamond" w:cs="Garamond"/>
        </w:rPr>
      </w:pPr>
    </w:p>
    <w:p w14:paraId="00000090" w14:textId="77777777" w:rsidR="006B67F3" w:rsidRDefault="00C27B54" w:rsidP="15163AE6">
      <w:pPr>
        <w:pStyle w:val="Normal4"/>
        <w:spacing w:after="0" w:line="240" w:lineRule="auto"/>
        <w:rPr>
          <w:rFonts w:ascii="Garamond" w:eastAsia="Garamond" w:hAnsi="Garamond" w:cs="Garamond"/>
          <w:i/>
          <w:iCs/>
        </w:rPr>
      </w:pPr>
      <w:r w:rsidRPr="15163AE6">
        <w:rPr>
          <w:rFonts w:ascii="Garamond" w:eastAsia="Garamond" w:hAnsi="Garamond" w:cs="Garamond"/>
          <w:i/>
          <w:iCs/>
        </w:rPr>
        <w:t>4.1.2 Nighttime Land Surface Temperature Time Series (ECOSTRESS)</w:t>
      </w:r>
    </w:p>
    <w:p w14:paraId="00000091" w14:textId="084F8EEF" w:rsidR="006B67F3" w:rsidRDefault="00C27B54" w:rsidP="15163AE6">
      <w:pPr>
        <w:pStyle w:val="Normal4"/>
        <w:spacing w:after="0" w:line="240" w:lineRule="auto"/>
        <w:rPr>
          <w:rFonts w:ascii="Garamond" w:eastAsia="Garamond" w:hAnsi="Garamond" w:cs="Garamond"/>
        </w:rPr>
      </w:pPr>
      <w:r w:rsidRPr="15163AE6">
        <w:rPr>
          <w:rFonts w:ascii="Garamond" w:eastAsia="Garamond" w:hAnsi="Garamond" w:cs="Garamond"/>
        </w:rPr>
        <w:t xml:space="preserve">Nighttime land surface temperatures were extracted from ECOSTRESS composite images for each summer between 2019 and 2022. We calculated a total mean temperature of the urban areas of </w:t>
      </w:r>
      <w:r w:rsidR="00EB285D" w:rsidRPr="15163AE6">
        <w:rPr>
          <w:rFonts w:ascii="Garamond" w:eastAsia="Garamond" w:hAnsi="Garamond" w:cs="Garamond"/>
          <w:color w:val="000000"/>
        </w:rPr>
        <w:t>Los Angeles</w:t>
      </w:r>
      <w:r w:rsidRPr="15163AE6">
        <w:rPr>
          <w:rFonts w:ascii="Garamond" w:eastAsia="Garamond" w:hAnsi="Garamond" w:cs="Garamond"/>
        </w:rPr>
        <w:t xml:space="preserve"> County and used the same isolated census tracts above to calculate changing nighttime LST values across these regions. The results from these calculations are shown in Figure 2. Sylmar produced consistently higher temperatures compared to the other 4 sites of interest. This is likely attributable to its location in the San Fernando Valley. Here, the Santa Monica Mountains to the </w:t>
      </w:r>
      <w:r w:rsidR="00EB285D">
        <w:rPr>
          <w:rFonts w:ascii="Garamond" w:eastAsia="Garamond" w:hAnsi="Garamond" w:cs="Garamond"/>
        </w:rPr>
        <w:t>s</w:t>
      </w:r>
      <w:r w:rsidRPr="15163AE6">
        <w:rPr>
          <w:rFonts w:ascii="Garamond" w:eastAsia="Garamond" w:hAnsi="Garamond" w:cs="Garamond"/>
        </w:rPr>
        <w:t xml:space="preserve">outh block the cool coastal winds that would otherwise allow for increased evaporative and radiative cooling. In the Los Angeles Basin, on the other hand, proximity to the ocean allows maritime fog to accumulate during the night, creating more homogenous diurnal temperatures. This could explain why the remaining four sites produced lower nighttime temperatures. Average nighttime temperatures around the Vermont Corridor appear to vary consistently with those in Central Alameda, South Pasadena, and Los Angeles County as a whole. Vermont Corridor and Central Alameda are also consistently hotter at night compared to Beverly Hills, despite their proximity. This could be attributable to the greater vegetation cover (higher NDVI) present in Beverly Hills. </w:t>
      </w:r>
    </w:p>
    <w:p w14:paraId="00000093" w14:textId="4A9CC604" w:rsidR="006B67F3" w:rsidRDefault="006B67F3" w:rsidP="15163AE6">
      <w:pPr>
        <w:pStyle w:val="Normal4"/>
        <w:spacing w:after="0" w:line="240" w:lineRule="auto"/>
        <w:rPr>
          <w:rFonts w:ascii="Garamond" w:eastAsia="Garamond" w:hAnsi="Garamond" w:cs="Garamond"/>
        </w:rPr>
      </w:pPr>
    </w:p>
    <w:p w14:paraId="00000094" w14:textId="77777777" w:rsidR="006B67F3" w:rsidRDefault="006B67F3" w:rsidP="15163AE6">
      <w:pPr>
        <w:pStyle w:val="Normal4"/>
        <w:spacing w:after="0" w:line="240" w:lineRule="auto"/>
        <w:rPr>
          <w:rFonts w:ascii="Garamond" w:eastAsia="Garamond" w:hAnsi="Garamond" w:cs="Garamond"/>
        </w:rPr>
      </w:pPr>
    </w:p>
    <w:p w14:paraId="00000095" w14:textId="77777777" w:rsidR="006B67F3" w:rsidRDefault="00C27B54" w:rsidP="15163AE6">
      <w:pPr>
        <w:pStyle w:val="Normal4"/>
        <w:spacing w:after="0" w:line="240" w:lineRule="auto"/>
        <w:jc w:val="center"/>
      </w:pPr>
      <w:r>
        <w:rPr>
          <w:rFonts w:ascii="Garamond" w:eastAsia="Garamond" w:hAnsi="Garamond" w:cs="Garamond"/>
          <w:b/>
          <w:noProof/>
        </w:rPr>
        <w:lastRenderedPageBreak/>
        <w:drawing>
          <wp:inline distT="114300" distB="114300" distL="114300" distR="114300" wp14:anchorId="183C5182" wp14:editId="07777777">
            <wp:extent cx="3805238" cy="3036235"/>
            <wp:effectExtent l="0" t="0" r="0" b="0"/>
            <wp:docPr id="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805238" cy="3036235"/>
                    </a:xfrm>
                    <a:prstGeom prst="rect">
                      <a:avLst/>
                    </a:prstGeom>
                    <a:ln/>
                  </pic:spPr>
                </pic:pic>
              </a:graphicData>
            </a:graphic>
          </wp:inline>
        </w:drawing>
      </w:r>
    </w:p>
    <w:p w14:paraId="32ECF997" w14:textId="664384BD" w:rsidR="632280F4" w:rsidRDefault="632280F4" w:rsidP="15163AE6">
      <w:pPr>
        <w:pStyle w:val="Normal4"/>
        <w:spacing w:after="0" w:line="240" w:lineRule="auto"/>
      </w:pPr>
      <w:r w:rsidRPr="15163AE6">
        <w:rPr>
          <w:rFonts w:ascii="Garamond" w:eastAsia="Garamond" w:hAnsi="Garamond" w:cs="Garamond"/>
          <w:i/>
          <w:iCs/>
        </w:rPr>
        <w:t>Figure 2.</w:t>
      </w:r>
      <w:r w:rsidRPr="15163AE6">
        <w:rPr>
          <w:rFonts w:ascii="Garamond" w:eastAsia="Garamond" w:hAnsi="Garamond" w:cs="Garamond"/>
        </w:rPr>
        <w:t xml:space="preserve"> Mean </w:t>
      </w:r>
      <w:r w:rsidR="0CA7B7A1" w:rsidRPr="15163AE6">
        <w:rPr>
          <w:rFonts w:ascii="Garamond" w:eastAsia="Garamond" w:hAnsi="Garamond" w:cs="Garamond"/>
        </w:rPr>
        <w:t>s</w:t>
      </w:r>
      <w:r w:rsidRPr="15163AE6">
        <w:rPr>
          <w:rFonts w:ascii="Garamond" w:eastAsia="Garamond" w:hAnsi="Garamond" w:cs="Garamond"/>
        </w:rPr>
        <w:t xml:space="preserve">ummer </w:t>
      </w:r>
      <w:r w:rsidR="240E05E9" w:rsidRPr="15163AE6">
        <w:rPr>
          <w:rFonts w:ascii="Garamond" w:eastAsia="Garamond" w:hAnsi="Garamond" w:cs="Garamond"/>
        </w:rPr>
        <w:t>n</w:t>
      </w:r>
      <w:r w:rsidRPr="15163AE6">
        <w:rPr>
          <w:rFonts w:ascii="Garamond" w:eastAsia="Garamond" w:hAnsi="Garamond" w:cs="Garamond"/>
        </w:rPr>
        <w:t xml:space="preserve">ighttime LST </w:t>
      </w:r>
      <w:r w:rsidR="3303301F" w:rsidRPr="15163AE6">
        <w:rPr>
          <w:rFonts w:ascii="Garamond" w:eastAsia="Garamond" w:hAnsi="Garamond" w:cs="Garamond"/>
        </w:rPr>
        <w:t>t</w:t>
      </w:r>
      <w:r w:rsidRPr="15163AE6">
        <w:rPr>
          <w:rFonts w:ascii="Garamond" w:eastAsia="Garamond" w:hAnsi="Garamond" w:cs="Garamond"/>
        </w:rPr>
        <w:t xml:space="preserve">ime </w:t>
      </w:r>
      <w:r w:rsidR="34B1F3D2" w:rsidRPr="15163AE6">
        <w:rPr>
          <w:rFonts w:ascii="Garamond" w:eastAsia="Garamond" w:hAnsi="Garamond" w:cs="Garamond"/>
        </w:rPr>
        <w:t>s</w:t>
      </w:r>
      <w:r w:rsidRPr="15163AE6">
        <w:rPr>
          <w:rFonts w:ascii="Garamond" w:eastAsia="Garamond" w:hAnsi="Garamond" w:cs="Garamond"/>
        </w:rPr>
        <w:t xml:space="preserve">eries. Each data point represents the mean nighttime land surface temperature during the Summer of the given year. For Los Angeles County, we looked specifically at LST values from urban areas (as defined in Figure A1). </w:t>
      </w:r>
    </w:p>
    <w:p w14:paraId="0D06A548" w14:textId="0C995AF4" w:rsidR="15163AE6" w:rsidRDefault="15163AE6" w:rsidP="15163AE6">
      <w:pPr>
        <w:pStyle w:val="Normal4"/>
        <w:spacing w:after="0" w:line="240" w:lineRule="auto"/>
        <w:jc w:val="center"/>
        <w:rPr>
          <w:rFonts w:ascii="Garamond" w:eastAsia="Garamond" w:hAnsi="Garamond" w:cs="Garamond"/>
        </w:rPr>
      </w:pPr>
    </w:p>
    <w:p w14:paraId="00000096" w14:textId="77777777" w:rsidR="006B67F3" w:rsidRDefault="00C27B54" w:rsidP="15163AE6">
      <w:pPr>
        <w:pStyle w:val="Normal4"/>
        <w:spacing w:after="0" w:line="240" w:lineRule="auto"/>
        <w:rPr>
          <w:rFonts w:ascii="Garamond" w:eastAsia="Garamond" w:hAnsi="Garamond" w:cs="Garamond"/>
          <w:i/>
          <w:iCs/>
        </w:rPr>
      </w:pPr>
      <w:r w:rsidRPr="15163AE6">
        <w:rPr>
          <w:rFonts w:ascii="Garamond" w:eastAsia="Garamond" w:hAnsi="Garamond" w:cs="Garamond"/>
          <w:i/>
          <w:iCs/>
        </w:rPr>
        <w:t>4.1.3 NDVI Time Series (Landsat 8)</w:t>
      </w:r>
    </w:p>
    <w:p w14:paraId="00000099" w14:textId="65155CB3" w:rsidR="006B67F3" w:rsidRDefault="00C27B54" w:rsidP="15163AE6">
      <w:pPr>
        <w:pStyle w:val="Normal4"/>
        <w:spacing w:after="0" w:line="240" w:lineRule="auto"/>
        <w:rPr>
          <w:rFonts w:ascii="Garamond" w:eastAsia="Garamond" w:hAnsi="Garamond" w:cs="Garamond"/>
        </w:rPr>
      </w:pPr>
      <w:r w:rsidRPr="15163AE6">
        <w:rPr>
          <w:rFonts w:ascii="Garamond" w:eastAsia="Garamond" w:hAnsi="Garamond" w:cs="Garamond"/>
        </w:rPr>
        <w:t xml:space="preserve">The NDVI data were used to calculate a total mean NDVI for the urban areas of </w:t>
      </w:r>
      <w:r w:rsidR="00244CC5" w:rsidRPr="15163AE6">
        <w:rPr>
          <w:rFonts w:ascii="Garamond" w:eastAsia="Garamond" w:hAnsi="Garamond" w:cs="Garamond"/>
          <w:color w:val="000000"/>
        </w:rPr>
        <w:t>Los Angeles</w:t>
      </w:r>
      <w:r w:rsidRPr="15163AE6">
        <w:rPr>
          <w:rFonts w:ascii="Garamond" w:eastAsia="Garamond" w:hAnsi="Garamond" w:cs="Garamond"/>
        </w:rPr>
        <w:t xml:space="preserve"> County in addition to the mean NDVI of each census tract within the region for each year from 2016 to 2022. We then isolated the census tracts of our five regions of interest, allowing us to plot a time series for each location. The results of the time series are shown in Figure 3, which provides a temporal perspective on the changing vegetation of the city. The NDVI values have been relatively steady throughout the past seven years. Beverly Hills and South Pasadena are greener compared to </w:t>
      </w:r>
      <w:r w:rsidR="00244CC5" w:rsidRPr="15163AE6">
        <w:rPr>
          <w:rFonts w:ascii="Garamond" w:eastAsia="Garamond" w:hAnsi="Garamond" w:cs="Garamond"/>
          <w:color w:val="000000"/>
        </w:rPr>
        <w:t>Los Angeles</w:t>
      </w:r>
      <w:r w:rsidRPr="15163AE6">
        <w:rPr>
          <w:rFonts w:ascii="Garamond" w:eastAsia="Garamond" w:hAnsi="Garamond" w:cs="Garamond"/>
        </w:rPr>
        <w:t xml:space="preserve"> County and Sylmar, and Central Alameda and the Vermont Corridor have the lowest NDVI values of about 0.15. The percent difference of the NDVI between 2016 and 2022 for each census tract, as shown in Figure A3, was calculated using Equation 3 in </w:t>
      </w:r>
      <w:r w:rsidR="32F19128" w:rsidRPr="15163AE6">
        <w:rPr>
          <w:rFonts w:ascii="Garamond" w:eastAsia="Garamond" w:hAnsi="Garamond" w:cs="Garamond"/>
        </w:rPr>
        <w:t xml:space="preserve">Esri </w:t>
      </w:r>
      <w:r w:rsidRPr="15163AE6">
        <w:rPr>
          <w:rFonts w:ascii="Garamond" w:eastAsia="Garamond" w:hAnsi="Garamond" w:cs="Garamond"/>
        </w:rPr>
        <w:t>ArcGIS Pro. Northern Los Angeles areas such as Pasadena and La Canada Flintridge have seen increased NDVI values while the Valley and parts of South Los Angeles decreased in NDVI.</w:t>
      </w:r>
    </w:p>
    <w:p w14:paraId="0000009A" w14:textId="77777777" w:rsidR="006B67F3" w:rsidRDefault="006B67F3" w:rsidP="15163AE6">
      <w:pPr>
        <w:pStyle w:val="Normal4"/>
        <w:spacing w:after="0" w:line="240" w:lineRule="auto"/>
        <w:rPr>
          <w:rFonts w:ascii="Garamond" w:eastAsia="Garamond" w:hAnsi="Garamond" w:cs="Garamond"/>
        </w:rPr>
      </w:pPr>
    </w:p>
    <w:p w14:paraId="5414AFB4" w14:textId="5A3B8339" w:rsidR="006B67F3" w:rsidRDefault="00C27B54" w:rsidP="15163AE6">
      <w:pPr>
        <w:pStyle w:val="Normal4"/>
        <w:spacing w:after="0" w:line="240" w:lineRule="auto"/>
        <w:jc w:val="center"/>
        <w:rPr>
          <w:rFonts w:ascii="Garamond" w:eastAsia="Garamond" w:hAnsi="Garamond" w:cs="Garamond"/>
        </w:rPr>
      </w:pPr>
      <w:r>
        <w:rPr>
          <w:rFonts w:ascii="Garamond" w:eastAsia="Garamond" w:hAnsi="Garamond" w:cs="Garamond"/>
        </w:rPr>
        <w:t xml:space="preserve">                                                                   </w:t>
      </w:r>
      <w:r>
        <w:tab/>
      </w:r>
      <w:r>
        <w:tab/>
      </w:r>
      <w:r>
        <w:tab/>
      </w:r>
      <w:r>
        <w:tab/>
      </w:r>
      <w:r>
        <w:tab/>
      </w:r>
      <w:r>
        <w:tab/>
      </w:r>
      <w:r>
        <w:tab/>
      </w:r>
      <w:r>
        <w:tab/>
      </w:r>
      <w:r>
        <w:tab/>
      </w:r>
      <m:oMath>
        <m:f>
          <m:fPr>
            <m:ctrlPr>
              <w:rPr>
                <w:rFonts w:ascii="Garamond" w:eastAsia="Garamond" w:hAnsi="Garamond" w:cs="Garamond"/>
                <w:b/>
                <w:sz w:val="48"/>
                <w:szCs w:val="48"/>
              </w:rPr>
            </m:ctrlPr>
          </m:fPr>
          <m:num>
            <m:r>
              <m:rPr>
                <m:sty m:val="bi"/>
              </m:rPr>
              <w:rPr>
                <w:rFonts w:ascii="Garamond" w:eastAsia="Garamond" w:hAnsi="Garamond" w:cs="Garamond"/>
                <w:sz w:val="48"/>
                <w:szCs w:val="48"/>
              </w:rPr>
              <m:t>(</m:t>
            </m:r>
            <m:sSub>
              <m:sSubPr>
                <m:ctrlPr>
                  <w:rPr>
                    <w:rFonts w:ascii="Garamond" w:eastAsia="Garamond" w:hAnsi="Garamond" w:cs="Garamond"/>
                    <w:b/>
                    <w:sz w:val="48"/>
                    <w:szCs w:val="48"/>
                  </w:rPr>
                </m:ctrlPr>
              </m:sSubPr>
              <m:e>
                <m:r>
                  <m:rPr>
                    <m:sty m:val="bi"/>
                  </m:rPr>
                  <w:rPr>
                    <w:rFonts w:ascii="Garamond" w:eastAsia="Garamond" w:hAnsi="Garamond" w:cs="Garamond"/>
                    <w:sz w:val="48"/>
                    <w:szCs w:val="48"/>
                  </w:rPr>
                  <m:t>M</m:t>
                </m:r>
              </m:e>
              <m:sub>
                <m:r>
                  <m:rPr>
                    <m:sty m:val="bi"/>
                  </m:rPr>
                  <w:rPr>
                    <w:rFonts w:ascii="Garamond" w:eastAsia="Garamond" w:hAnsi="Garamond" w:cs="Garamond"/>
                    <w:sz w:val="48"/>
                    <w:szCs w:val="48"/>
                  </w:rPr>
                  <m:t>2022</m:t>
                </m:r>
              </m:sub>
            </m:sSub>
            <m:r>
              <m:rPr>
                <m:sty m:val="bi"/>
              </m:rPr>
              <w:rPr>
                <w:rFonts w:ascii="Garamond" w:eastAsia="Garamond" w:hAnsi="Garamond" w:cs="Garamond"/>
                <w:sz w:val="48"/>
                <w:szCs w:val="48"/>
              </w:rPr>
              <m:t xml:space="preserve"> - </m:t>
            </m:r>
            <m:sSub>
              <m:sSubPr>
                <m:ctrlPr>
                  <w:rPr>
                    <w:rFonts w:ascii="Garamond" w:eastAsia="Garamond" w:hAnsi="Garamond" w:cs="Garamond"/>
                    <w:b/>
                    <w:sz w:val="48"/>
                    <w:szCs w:val="48"/>
                  </w:rPr>
                </m:ctrlPr>
              </m:sSubPr>
              <m:e>
                <m:r>
                  <m:rPr>
                    <m:sty m:val="bi"/>
                  </m:rPr>
                  <w:rPr>
                    <w:rFonts w:ascii="Garamond" w:eastAsia="Garamond" w:hAnsi="Garamond" w:cs="Garamond"/>
                    <w:sz w:val="48"/>
                    <w:szCs w:val="48"/>
                  </w:rPr>
                  <m:t>M</m:t>
                </m:r>
              </m:e>
              <m:sub>
                <m:r>
                  <m:rPr>
                    <m:sty m:val="bi"/>
                  </m:rPr>
                  <w:rPr>
                    <w:rFonts w:ascii="Garamond" w:eastAsia="Garamond" w:hAnsi="Garamond" w:cs="Garamond"/>
                    <w:sz w:val="48"/>
                    <w:szCs w:val="48"/>
                  </w:rPr>
                  <m:t>2016</m:t>
                </m:r>
              </m:sub>
            </m:sSub>
            <m:r>
              <m:rPr>
                <m:sty m:val="bi"/>
              </m:rPr>
              <w:rPr>
                <w:rFonts w:ascii="Garamond" w:eastAsia="Garamond" w:hAnsi="Garamond" w:cs="Garamond"/>
                <w:sz w:val="48"/>
                <w:szCs w:val="48"/>
              </w:rPr>
              <m:t>)</m:t>
            </m:r>
          </m:num>
          <m:den>
            <m:sSub>
              <m:sSubPr>
                <m:ctrlPr>
                  <w:rPr>
                    <w:rFonts w:ascii="Garamond" w:eastAsia="Garamond" w:hAnsi="Garamond" w:cs="Garamond"/>
                    <w:b/>
                    <w:sz w:val="48"/>
                    <w:szCs w:val="48"/>
                  </w:rPr>
                </m:ctrlPr>
              </m:sSubPr>
              <m:e>
                <m:r>
                  <m:rPr>
                    <m:sty m:val="bi"/>
                  </m:rPr>
                  <w:rPr>
                    <w:rFonts w:ascii="Garamond" w:eastAsia="Garamond" w:hAnsi="Garamond" w:cs="Garamond"/>
                    <w:sz w:val="48"/>
                    <w:szCs w:val="48"/>
                  </w:rPr>
                  <m:t>M</m:t>
                </m:r>
              </m:e>
              <m:sub>
                <m:r>
                  <m:rPr>
                    <m:sty m:val="bi"/>
                  </m:rPr>
                  <w:rPr>
                    <w:rFonts w:ascii="Garamond" w:eastAsia="Garamond" w:hAnsi="Garamond" w:cs="Garamond"/>
                    <w:sz w:val="48"/>
                    <w:szCs w:val="48"/>
                  </w:rPr>
                  <m:t>2016</m:t>
                </m:r>
              </m:sub>
            </m:sSub>
          </m:den>
        </m:f>
        <m:r>
          <m:rPr>
            <m:sty m:val="bi"/>
          </m:rPr>
          <w:rPr>
            <w:rFonts w:ascii="Garamond" w:eastAsia="Garamond" w:hAnsi="Garamond" w:cs="Garamond"/>
            <w:sz w:val="48"/>
            <w:szCs w:val="48"/>
          </w:rPr>
          <m:t xml:space="preserve">×100 </m:t>
        </m:r>
      </m:oMath>
      <w:r>
        <w:rPr>
          <w:rFonts w:ascii="Garamond" w:eastAsia="Garamond" w:hAnsi="Garamond" w:cs="Garamond"/>
          <w:sz w:val="32"/>
          <w:szCs w:val="32"/>
        </w:rPr>
        <w:t xml:space="preserve">    </w:t>
      </w:r>
      <w:r>
        <w:tab/>
      </w:r>
      <w:r>
        <w:rPr>
          <w:rFonts w:ascii="Garamond" w:eastAsia="Garamond" w:hAnsi="Garamond" w:cs="Garamond"/>
          <w:sz w:val="32"/>
          <w:szCs w:val="32"/>
        </w:rPr>
        <w:t xml:space="preserve">  </w:t>
      </w:r>
      <w:r w:rsidR="17D97AEC" w:rsidRPr="15163AE6">
        <w:rPr>
          <w:rFonts w:ascii="Garamond" w:eastAsia="Garamond" w:hAnsi="Garamond" w:cs="Garamond"/>
        </w:rPr>
        <w:t>(3)</w:t>
      </w:r>
    </w:p>
    <w:p w14:paraId="0000009C" w14:textId="77777777" w:rsidR="006B67F3" w:rsidRDefault="006B67F3" w:rsidP="15163AE6">
      <w:pPr>
        <w:pStyle w:val="Normal4"/>
        <w:spacing w:after="0" w:line="240" w:lineRule="auto"/>
        <w:rPr>
          <w:rFonts w:ascii="Garamond" w:eastAsia="Garamond" w:hAnsi="Garamond" w:cs="Garamond"/>
          <w:b/>
          <w:bCs/>
        </w:rPr>
      </w:pPr>
    </w:p>
    <w:p w14:paraId="0000009E" w14:textId="77777777" w:rsidR="006B67F3" w:rsidRDefault="00C27B54" w:rsidP="15163AE6">
      <w:pPr>
        <w:pStyle w:val="Normal4"/>
        <w:spacing w:after="0" w:line="240" w:lineRule="auto"/>
        <w:rPr>
          <w:rFonts w:ascii="Garamond" w:eastAsia="Garamond" w:hAnsi="Garamond" w:cs="Garamond"/>
        </w:rPr>
      </w:pPr>
      <w:r>
        <w:rPr>
          <w:rFonts w:ascii="Garamond" w:eastAsia="Garamond" w:hAnsi="Garamond" w:cs="Garamond"/>
          <w:noProof/>
        </w:rPr>
        <w:lastRenderedPageBreak/>
        <w:drawing>
          <wp:inline distT="114300" distB="114300" distL="114300" distR="114300" wp14:anchorId="6B17B27F" wp14:editId="07777777">
            <wp:extent cx="5943600" cy="3568700"/>
            <wp:effectExtent l="0" t="0" r="0" b="0"/>
            <wp:docPr id="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943600" cy="3568700"/>
                    </a:xfrm>
                    <a:prstGeom prst="rect">
                      <a:avLst/>
                    </a:prstGeom>
                    <a:ln/>
                  </pic:spPr>
                </pic:pic>
              </a:graphicData>
            </a:graphic>
          </wp:inline>
        </w:drawing>
      </w:r>
    </w:p>
    <w:p w14:paraId="5EA1A516" w14:textId="042D3C29" w:rsidR="006B67F3" w:rsidRDefault="23C5FA92" w:rsidP="15163AE6">
      <w:pPr>
        <w:pStyle w:val="Normal4"/>
        <w:spacing w:after="0" w:line="240" w:lineRule="auto"/>
        <w:rPr>
          <w:rFonts w:ascii="Garamond" w:eastAsia="Garamond" w:hAnsi="Garamond" w:cs="Garamond"/>
        </w:rPr>
      </w:pPr>
      <w:r w:rsidRPr="15163AE6">
        <w:rPr>
          <w:rFonts w:ascii="Garamond" w:eastAsia="Garamond" w:hAnsi="Garamond" w:cs="Garamond"/>
          <w:i/>
          <w:iCs/>
        </w:rPr>
        <w:t>Figure 3.</w:t>
      </w:r>
      <w:r w:rsidRPr="15163AE6">
        <w:rPr>
          <w:rFonts w:ascii="Garamond" w:eastAsia="Garamond" w:hAnsi="Garamond" w:cs="Garamond"/>
        </w:rPr>
        <w:t xml:space="preserve"> Mean </w:t>
      </w:r>
      <w:r w:rsidR="15D60F17" w:rsidRPr="15163AE6">
        <w:rPr>
          <w:rFonts w:ascii="Garamond" w:eastAsia="Garamond" w:hAnsi="Garamond" w:cs="Garamond"/>
        </w:rPr>
        <w:t>s</w:t>
      </w:r>
      <w:r w:rsidRPr="15163AE6">
        <w:rPr>
          <w:rFonts w:ascii="Garamond" w:eastAsia="Garamond" w:hAnsi="Garamond" w:cs="Garamond"/>
        </w:rPr>
        <w:t xml:space="preserve">ummer NDVI </w:t>
      </w:r>
      <w:r w:rsidR="6A5930BA" w:rsidRPr="15163AE6">
        <w:rPr>
          <w:rFonts w:ascii="Garamond" w:eastAsia="Garamond" w:hAnsi="Garamond" w:cs="Garamond"/>
        </w:rPr>
        <w:t>t</w:t>
      </w:r>
      <w:r w:rsidRPr="15163AE6">
        <w:rPr>
          <w:rFonts w:ascii="Garamond" w:eastAsia="Garamond" w:hAnsi="Garamond" w:cs="Garamond"/>
        </w:rPr>
        <w:t>i</w:t>
      </w:r>
      <w:r w:rsidR="4832330E" w:rsidRPr="15163AE6">
        <w:rPr>
          <w:rFonts w:ascii="Garamond" w:eastAsia="Garamond" w:hAnsi="Garamond" w:cs="Garamond"/>
        </w:rPr>
        <w:t>me s</w:t>
      </w:r>
      <w:r w:rsidRPr="15163AE6">
        <w:rPr>
          <w:rFonts w:ascii="Garamond" w:eastAsia="Garamond" w:hAnsi="Garamond" w:cs="Garamond"/>
        </w:rPr>
        <w:t>eries. Each data point represents the mean NDVI value during the Summer of the given year. For Los Angeles County, we looked specifically at NDVI values from urban areas (as defined in Figure A1).</w:t>
      </w:r>
    </w:p>
    <w:p w14:paraId="0000009F" w14:textId="77777777" w:rsidR="006B67F3" w:rsidRDefault="006B67F3" w:rsidP="15163AE6">
      <w:pPr>
        <w:pStyle w:val="Normal4"/>
        <w:spacing w:after="0" w:line="240" w:lineRule="auto"/>
        <w:rPr>
          <w:rFonts w:ascii="Garamond" w:eastAsia="Garamond" w:hAnsi="Garamond" w:cs="Garamond"/>
        </w:rPr>
      </w:pPr>
    </w:p>
    <w:p w14:paraId="000000A0" w14:textId="77777777" w:rsidR="006B67F3" w:rsidRDefault="00C27B54" w:rsidP="15163AE6">
      <w:pPr>
        <w:pStyle w:val="Normal4"/>
        <w:spacing w:after="0" w:line="240" w:lineRule="auto"/>
        <w:rPr>
          <w:rFonts w:ascii="Garamond" w:eastAsia="Garamond" w:hAnsi="Garamond" w:cs="Garamond"/>
          <w:i/>
          <w:iCs/>
        </w:rPr>
      </w:pPr>
      <w:r w:rsidRPr="15163AE6">
        <w:rPr>
          <w:rFonts w:ascii="Garamond" w:eastAsia="Garamond" w:hAnsi="Garamond" w:cs="Garamond"/>
          <w:i/>
          <w:iCs/>
        </w:rPr>
        <w:t>4.1.4 Correlation between Daytime LST and NDVI</w:t>
      </w:r>
    </w:p>
    <w:p w14:paraId="000000A1" w14:textId="126D2DB8" w:rsidR="006B67F3" w:rsidRDefault="00C27B54" w:rsidP="15163AE6">
      <w:pPr>
        <w:pStyle w:val="Normal4"/>
        <w:spacing w:after="0" w:line="240" w:lineRule="auto"/>
        <w:rPr>
          <w:rFonts w:ascii="Garamond" w:eastAsia="Garamond" w:hAnsi="Garamond" w:cs="Garamond"/>
        </w:rPr>
      </w:pPr>
      <w:r w:rsidRPr="15163AE6">
        <w:rPr>
          <w:rFonts w:ascii="Garamond" w:eastAsia="Garamond" w:hAnsi="Garamond" w:cs="Garamond"/>
        </w:rPr>
        <w:t>To see if there is a correlation between daytime LST and NDVI we plotted and fit a line (with 95% confidence) to the census tract data of our regions of interest for all seven years. Figure 4 shows that there is a negative relationship between LST and NDVI, as temperature decreases when vegetation increases. 2016 and 2018, for example, have high correlation. These plots show that areas such as the Vermont Corridor and Central Alameda have higher temperatures and less vegetation compared to other regions. 2017 and 2022 show a shift in the heat distribution where northern areas of Los Angeles County and areas of the San Fernando Valley such as Sylmar experienced hotter temperatures during the summer months.</w:t>
      </w:r>
    </w:p>
    <w:p w14:paraId="000000A2" w14:textId="77777777" w:rsidR="006B67F3" w:rsidRDefault="006B67F3" w:rsidP="15163AE6">
      <w:pPr>
        <w:pStyle w:val="Normal4"/>
        <w:spacing w:after="0" w:line="240" w:lineRule="auto"/>
        <w:rPr>
          <w:rFonts w:ascii="Garamond" w:eastAsia="Garamond" w:hAnsi="Garamond" w:cs="Garamond"/>
          <w:b/>
          <w:bCs/>
        </w:rPr>
      </w:pPr>
    </w:p>
    <w:p w14:paraId="000000A3" w14:textId="77777777" w:rsidR="006B67F3" w:rsidRDefault="00C27B54" w:rsidP="15163AE6">
      <w:pPr>
        <w:pStyle w:val="Normal4"/>
        <w:spacing w:after="0" w:line="240" w:lineRule="auto"/>
        <w:rPr>
          <w:rFonts w:ascii="Garamond" w:eastAsia="Garamond" w:hAnsi="Garamond" w:cs="Garamond"/>
        </w:rPr>
      </w:pPr>
      <w:r>
        <w:rPr>
          <w:rFonts w:ascii="Garamond" w:eastAsia="Garamond" w:hAnsi="Garamond" w:cs="Garamond"/>
        </w:rPr>
        <w:t xml:space="preserve"> </w:t>
      </w:r>
      <w:r>
        <w:rPr>
          <w:rFonts w:ascii="Garamond" w:eastAsia="Garamond" w:hAnsi="Garamond" w:cs="Garamond"/>
          <w:noProof/>
        </w:rPr>
        <w:drawing>
          <wp:inline distT="114300" distB="114300" distL="114300" distR="114300" wp14:anchorId="24144BC4" wp14:editId="07777777">
            <wp:extent cx="2743200" cy="2057400"/>
            <wp:effectExtent l="0" t="0" r="0" b="0"/>
            <wp:docPr id="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2743200" cy="2057400"/>
                    </a:xfrm>
                    <a:prstGeom prst="rect">
                      <a:avLst/>
                    </a:prstGeom>
                    <a:ln/>
                  </pic:spPr>
                </pic:pic>
              </a:graphicData>
            </a:graphic>
          </wp:inline>
        </w:drawing>
      </w:r>
      <w:r>
        <w:rPr>
          <w:rFonts w:ascii="Garamond" w:eastAsia="Garamond" w:hAnsi="Garamond" w:cs="Garamond"/>
          <w:noProof/>
        </w:rPr>
        <w:drawing>
          <wp:inline distT="114300" distB="114300" distL="114300" distR="114300" wp14:anchorId="62847BBA" wp14:editId="07777777">
            <wp:extent cx="2743200" cy="2059510"/>
            <wp:effectExtent l="0" t="0" r="0" b="0"/>
            <wp:docPr id="7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2743200" cy="2059510"/>
                    </a:xfrm>
                    <a:prstGeom prst="rect">
                      <a:avLst/>
                    </a:prstGeom>
                    <a:ln/>
                  </pic:spPr>
                </pic:pic>
              </a:graphicData>
            </a:graphic>
          </wp:inline>
        </w:drawing>
      </w:r>
    </w:p>
    <w:p w14:paraId="000000A4" w14:textId="77777777" w:rsidR="006B67F3" w:rsidRDefault="00C27B54" w:rsidP="15163AE6">
      <w:pPr>
        <w:pStyle w:val="Normal4"/>
        <w:spacing w:after="0" w:line="240" w:lineRule="auto"/>
        <w:rPr>
          <w:rFonts w:ascii="Garamond" w:eastAsia="Garamond" w:hAnsi="Garamond" w:cs="Garamond"/>
        </w:rPr>
      </w:pPr>
      <w:r>
        <w:rPr>
          <w:rFonts w:ascii="Garamond" w:eastAsia="Garamond" w:hAnsi="Garamond" w:cs="Garamond"/>
          <w:noProof/>
        </w:rPr>
        <w:lastRenderedPageBreak/>
        <w:drawing>
          <wp:inline distT="114300" distB="114300" distL="114300" distR="114300" wp14:anchorId="1CE9973E" wp14:editId="07777777">
            <wp:extent cx="2743200" cy="2059510"/>
            <wp:effectExtent l="0" t="0" r="0" b="0"/>
            <wp:docPr id="7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2743200" cy="2059510"/>
                    </a:xfrm>
                    <a:prstGeom prst="rect">
                      <a:avLst/>
                    </a:prstGeom>
                    <a:ln/>
                  </pic:spPr>
                </pic:pic>
              </a:graphicData>
            </a:graphic>
          </wp:inline>
        </w:drawing>
      </w:r>
      <w:r>
        <w:rPr>
          <w:rFonts w:ascii="Garamond" w:eastAsia="Garamond" w:hAnsi="Garamond" w:cs="Garamond"/>
          <w:noProof/>
        </w:rPr>
        <w:drawing>
          <wp:inline distT="114300" distB="114300" distL="114300" distR="114300" wp14:anchorId="6C702C8E" wp14:editId="07777777">
            <wp:extent cx="2743200" cy="2059510"/>
            <wp:effectExtent l="0" t="0" r="0" b="0"/>
            <wp:docPr id="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2743200" cy="2059510"/>
                    </a:xfrm>
                    <a:prstGeom prst="rect">
                      <a:avLst/>
                    </a:prstGeom>
                    <a:ln/>
                  </pic:spPr>
                </pic:pic>
              </a:graphicData>
            </a:graphic>
          </wp:inline>
        </w:drawing>
      </w:r>
    </w:p>
    <w:p w14:paraId="000000A5" w14:textId="77777777" w:rsidR="006B67F3" w:rsidRDefault="00C27B54" w:rsidP="15163AE6">
      <w:pPr>
        <w:pStyle w:val="Normal4"/>
        <w:spacing w:after="0" w:line="240" w:lineRule="auto"/>
        <w:rPr>
          <w:rFonts w:ascii="Garamond" w:eastAsia="Garamond" w:hAnsi="Garamond" w:cs="Garamond"/>
        </w:rPr>
      </w:pPr>
      <w:r>
        <w:rPr>
          <w:rFonts w:ascii="Garamond" w:eastAsia="Garamond" w:hAnsi="Garamond" w:cs="Garamond"/>
          <w:noProof/>
        </w:rPr>
        <w:drawing>
          <wp:inline distT="114300" distB="114300" distL="114300" distR="114300" wp14:anchorId="4CE84680" wp14:editId="07777777">
            <wp:extent cx="2743200" cy="2059510"/>
            <wp:effectExtent l="0" t="0" r="0" b="0"/>
            <wp:docPr id="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743200" cy="2059510"/>
                    </a:xfrm>
                    <a:prstGeom prst="rect">
                      <a:avLst/>
                    </a:prstGeom>
                    <a:ln/>
                  </pic:spPr>
                </pic:pic>
              </a:graphicData>
            </a:graphic>
          </wp:inline>
        </w:drawing>
      </w:r>
      <w:r>
        <w:rPr>
          <w:rFonts w:ascii="Garamond" w:eastAsia="Garamond" w:hAnsi="Garamond" w:cs="Garamond"/>
          <w:noProof/>
        </w:rPr>
        <w:drawing>
          <wp:inline distT="114300" distB="114300" distL="114300" distR="114300" wp14:anchorId="008A0503" wp14:editId="07777777">
            <wp:extent cx="2743200" cy="2059510"/>
            <wp:effectExtent l="0" t="0" r="0" b="0"/>
            <wp:docPr id="7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2743200" cy="2059510"/>
                    </a:xfrm>
                    <a:prstGeom prst="rect">
                      <a:avLst/>
                    </a:prstGeom>
                    <a:ln/>
                  </pic:spPr>
                </pic:pic>
              </a:graphicData>
            </a:graphic>
          </wp:inline>
        </w:drawing>
      </w:r>
    </w:p>
    <w:p w14:paraId="000000A6" w14:textId="77777777" w:rsidR="006B67F3" w:rsidRDefault="00C27B54" w:rsidP="15163AE6">
      <w:pPr>
        <w:pStyle w:val="Normal4"/>
        <w:spacing w:after="0" w:line="240" w:lineRule="auto"/>
        <w:jc w:val="center"/>
      </w:pPr>
      <w:r>
        <w:rPr>
          <w:rFonts w:ascii="Garamond" w:eastAsia="Garamond" w:hAnsi="Garamond" w:cs="Garamond"/>
          <w:noProof/>
        </w:rPr>
        <w:drawing>
          <wp:inline distT="114300" distB="114300" distL="114300" distR="114300" wp14:anchorId="3F8C400F" wp14:editId="07777777">
            <wp:extent cx="2743200" cy="2059510"/>
            <wp:effectExtent l="0" t="0" r="0" b="0"/>
            <wp:docPr id="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2743200" cy="2059510"/>
                    </a:xfrm>
                    <a:prstGeom prst="rect">
                      <a:avLst/>
                    </a:prstGeom>
                    <a:ln/>
                  </pic:spPr>
                </pic:pic>
              </a:graphicData>
            </a:graphic>
          </wp:inline>
        </w:drawing>
      </w:r>
    </w:p>
    <w:p w14:paraId="1CDE0BB7" w14:textId="6606DE2F" w:rsidR="311E3A00" w:rsidRDefault="311E3A00" w:rsidP="15163AE6">
      <w:pPr>
        <w:pStyle w:val="Normal4"/>
        <w:spacing w:after="0" w:line="240" w:lineRule="auto"/>
        <w:jc w:val="center"/>
      </w:pPr>
      <w:r w:rsidRPr="15163AE6">
        <w:rPr>
          <w:rFonts w:ascii="Garamond" w:eastAsia="Garamond" w:hAnsi="Garamond" w:cs="Garamond"/>
          <w:i/>
          <w:iCs/>
        </w:rPr>
        <w:t xml:space="preserve">Figure 4. </w:t>
      </w:r>
      <w:r w:rsidRPr="15163AE6">
        <w:rPr>
          <w:rFonts w:ascii="Garamond" w:eastAsia="Garamond" w:hAnsi="Garamond" w:cs="Garamond"/>
        </w:rPr>
        <w:t>Mean LST vs. mean NDVI plots for the 5 regions of interest for all years from 2016 to 2022. Black lines are the first order best fit and gray bounds are the 95% confidence levels.</w:t>
      </w:r>
    </w:p>
    <w:p w14:paraId="0C9F1A3C" w14:textId="1384DF0E" w:rsidR="15163AE6" w:rsidRDefault="15163AE6" w:rsidP="15163AE6">
      <w:pPr>
        <w:pStyle w:val="Normal4"/>
        <w:spacing w:after="0" w:line="240" w:lineRule="auto"/>
        <w:jc w:val="center"/>
        <w:rPr>
          <w:rFonts w:ascii="Garamond" w:eastAsia="Garamond" w:hAnsi="Garamond" w:cs="Garamond"/>
        </w:rPr>
      </w:pPr>
    </w:p>
    <w:p w14:paraId="000000A7" w14:textId="7F923C14" w:rsidR="006B67F3" w:rsidRDefault="00C27B54" w:rsidP="15163AE6">
      <w:pPr>
        <w:pStyle w:val="Normal4"/>
        <w:spacing w:after="0" w:line="240" w:lineRule="auto"/>
        <w:rPr>
          <w:rFonts w:ascii="Garamond" w:eastAsia="Garamond" w:hAnsi="Garamond" w:cs="Garamond"/>
          <w:color w:val="85200C"/>
        </w:rPr>
      </w:pPr>
      <w:r>
        <w:rPr>
          <w:rFonts w:ascii="Garamond" w:eastAsia="Garamond" w:hAnsi="Garamond" w:cs="Garamond"/>
        </w:rPr>
        <w:t>To further quantify this relationship, we calculated the Pearson Correlation Coefficient, R, and R</w:t>
      </w:r>
      <w:r>
        <w:rPr>
          <w:rFonts w:ascii="Garamond" w:eastAsia="Garamond" w:hAnsi="Garamond" w:cs="Garamond"/>
          <w:vertAlign w:val="superscript"/>
        </w:rPr>
        <w:t>2</w:t>
      </w:r>
      <w:r>
        <w:rPr>
          <w:rFonts w:ascii="Garamond" w:eastAsia="Garamond" w:hAnsi="Garamond" w:cs="Garamond"/>
        </w:rPr>
        <w:t xml:space="preserve"> values for each plot in Figure 4. Table 3 shows the results from this analysis, indicating that there is a medium to high negative correlation between LST and NDVI. This means that places such as Central Alameda or the Vermont corridor, which have been identified to be heat vulnerable, tend to have a lack of tree cover. Trees serve as a cooling mechanism and reduced vegetation can lead to hotter temperatures. The R</w:t>
      </w:r>
      <w:r>
        <w:rPr>
          <w:rFonts w:ascii="Garamond" w:eastAsia="Garamond" w:hAnsi="Garamond" w:cs="Garamond"/>
          <w:vertAlign w:val="superscript"/>
        </w:rPr>
        <w:t>2</w:t>
      </w:r>
      <w:r>
        <w:rPr>
          <w:rFonts w:ascii="Garamond" w:eastAsia="Garamond" w:hAnsi="Garamond" w:cs="Garamond"/>
        </w:rPr>
        <w:t xml:space="preserve"> values indicate that the variance along the plots </w:t>
      </w:r>
      <w:r w:rsidR="007F6D61">
        <w:rPr>
          <w:rFonts w:ascii="Garamond" w:eastAsia="Garamond" w:hAnsi="Garamond" w:cs="Garamond"/>
        </w:rPr>
        <w:t>is</w:t>
      </w:r>
      <w:r>
        <w:rPr>
          <w:rFonts w:ascii="Garamond" w:eastAsia="Garamond" w:hAnsi="Garamond" w:cs="Garamond"/>
        </w:rPr>
        <w:t xml:space="preserve"> explained by roughly 50% of the data. </w:t>
      </w:r>
    </w:p>
    <w:p w14:paraId="000000A8" w14:textId="77777777" w:rsidR="006B67F3" w:rsidRDefault="006B67F3" w:rsidP="15163AE6">
      <w:pPr>
        <w:pStyle w:val="Normal4"/>
        <w:spacing w:after="0" w:line="240" w:lineRule="auto"/>
        <w:ind w:left="720"/>
        <w:rPr>
          <w:rFonts w:ascii="Garamond" w:eastAsia="Garamond" w:hAnsi="Garamond" w:cs="Garamond"/>
          <w:color w:val="85200C"/>
        </w:rPr>
      </w:pPr>
    </w:p>
    <w:p w14:paraId="000000A9" w14:textId="6C1D5BCE" w:rsidR="006B67F3" w:rsidRDefault="00C27B54" w:rsidP="15163AE6">
      <w:pPr>
        <w:pStyle w:val="Normal4"/>
        <w:spacing w:after="0" w:line="240" w:lineRule="auto"/>
        <w:rPr>
          <w:rFonts w:ascii="Garamond" w:eastAsia="Garamond" w:hAnsi="Garamond" w:cs="Garamond"/>
        </w:rPr>
      </w:pPr>
      <w:r w:rsidRPr="15163AE6">
        <w:rPr>
          <w:rFonts w:ascii="Garamond" w:eastAsia="Garamond" w:hAnsi="Garamond" w:cs="Garamond"/>
        </w:rPr>
        <w:t>Table 3</w:t>
      </w:r>
      <w:r w:rsidR="6AFD41AA" w:rsidRPr="15163AE6">
        <w:rPr>
          <w:rFonts w:ascii="Garamond" w:eastAsia="Garamond" w:hAnsi="Garamond" w:cs="Garamond"/>
        </w:rPr>
        <w:t xml:space="preserve">. </w:t>
      </w:r>
      <w:r w:rsidRPr="15163AE6">
        <w:rPr>
          <w:rFonts w:ascii="Garamond" w:eastAsia="Garamond" w:hAnsi="Garamond" w:cs="Garamond"/>
          <w:i/>
          <w:iCs/>
        </w:rPr>
        <w:t xml:space="preserve">Correlation </w:t>
      </w:r>
      <w:r w:rsidR="30348039" w:rsidRPr="15163AE6">
        <w:rPr>
          <w:rFonts w:ascii="Garamond" w:eastAsia="Garamond" w:hAnsi="Garamond" w:cs="Garamond"/>
          <w:i/>
          <w:iCs/>
        </w:rPr>
        <w:t>a</w:t>
      </w:r>
      <w:r w:rsidRPr="15163AE6">
        <w:rPr>
          <w:rFonts w:ascii="Garamond" w:eastAsia="Garamond" w:hAnsi="Garamond" w:cs="Garamond"/>
          <w:i/>
          <w:iCs/>
        </w:rPr>
        <w:t xml:space="preserve">nalysis </w:t>
      </w:r>
      <w:r w:rsidR="13610AFA" w:rsidRPr="15163AE6">
        <w:rPr>
          <w:rFonts w:ascii="Garamond" w:eastAsia="Garamond" w:hAnsi="Garamond" w:cs="Garamond"/>
          <w:i/>
          <w:iCs/>
        </w:rPr>
        <w:t>re</w:t>
      </w:r>
      <w:r w:rsidRPr="15163AE6">
        <w:rPr>
          <w:rFonts w:ascii="Garamond" w:eastAsia="Garamond" w:hAnsi="Garamond" w:cs="Garamond"/>
          <w:i/>
          <w:iCs/>
        </w:rPr>
        <w:t>sults</w:t>
      </w:r>
    </w:p>
    <w:tbl>
      <w:tblPr>
        <w:tblStyle w:val="af6"/>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3975"/>
        <w:gridCol w:w="3495"/>
      </w:tblGrid>
      <w:tr w:rsidR="006B67F3" w14:paraId="1E6974C0" w14:textId="77777777" w:rsidTr="005F6867">
        <w:tc>
          <w:tcPr>
            <w:tcW w:w="1845" w:type="dxa"/>
            <w:shd w:val="clear" w:color="auto" w:fill="auto"/>
            <w:tcMar>
              <w:top w:w="100" w:type="dxa"/>
              <w:left w:w="100" w:type="dxa"/>
              <w:bottom w:w="100" w:type="dxa"/>
              <w:right w:w="100" w:type="dxa"/>
            </w:tcMar>
            <w:vAlign w:val="center"/>
          </w:tcPr>
          <w:p w14:paraId="000000AA" w14:textId="77777777" w:rsidR="006B67F3" w:rsidRDefault="00C27B54" w:rsidP="005F6867">
            <w:pPr>
              <w:pStyle w:val="Normal4"/>
              <w:widowControl w:val="0"/>
              <w:jc w:val="center"/>
              <w:rPr>
                <w:rFonts w:ascii="Garamond" w:eastAsia="Garamond" w:hAnsi="Garamond" w:cs="Garamond"/>
                <w:b/>
              </w:rPr>
            </w:pPr>
            <w:r>
              <w:rPr>
                <w:rFonts w:ascii="Garamond" w:eastAsia="Garamond" w:hAnsi="Garamond" w:cs="Garamond"/>
                <w:b/>
              </w:rPr>
              <w:t>Year</w:t>
            </w:r>
          </w:p>
        </w:tc>
        <w:tc>
          <w:tcPr>
            <w:tcW w:w="3975" w:type="dxa"/>
            <w:shd w:val="clear" w:color="auto" w:fill="auto"/>
            <w:tcMar>
              <w:top w:w="100" w:type="dxa"/>
              <w:left w:w="100" w:type="dxa"/>
              <w:bottom w:w="100" w:type="dxa"/>
              <w:right w:w="100" w:type="dxa"/>
            </w:tcMar>
            <w:vAlign w:val="center"/>
          </w:tcPr>
          <w:p w14:paraId="000000AB" w14:textId="77777777" w:rsidR="006B67F3" w:rsidRDefault="00C27B54" w:rsidP="005F6867">
            <w:pPr>
              <w:pStyle w:val="Normal4"/>
              <w:widowControl w:val="0"/>
              <w:jc w:val="center"/>
              <w:rPr>
                <w:rFonts w:ascii="Garamond" w:eastAsia="Garamond" w:hAnsi="Garamond" w:cs="Garamond"/>
                <w:b/>
              </w:rPr>
            </w:pPr>
            <w:r>
              <w:rPr>
                <w:rFonts w:ascii="Garamond" w:eastAsia="Garamond" w:hAnsi="Garamond" w:cs="Garamond"/>
                <w:b/>
              </w:rPr>
              <w:t>R</w:t>
            </w:r>
          </w:p>
        </w:tc>
        <w:tc>
          <w:tcPr>
            <w:tcW w:w="3495" w:type="dxa"/>
            <w:shd w:val="clear" w:color="auto" w:fill="auto"/>
            <w:tcMar>
              <w:top w:w="100" w:type="dxa"/>
              <w:left w:w="100" w:type="dxa"/>
              <w:bottom w:w="100" w:type="dxa"/>
              <w:right w:w="100" w:type="dxa"/>
            </w:tcMar>
            <w:vAlign w:val="center"/>
          </w:tcPr>
          <w:p w14:paraId="000000AC" w14:textId="77777777" w:rsidR="006B67F3" w:rsidRDefault="00C27B54" w:rsidP="005F6867">
            <w:pPr>
              <w:pStyle w:val="Normal4"/>
              <w:widowControl w:val="0"/>
              <w:jc w:val="center"/>
              <w:rPr>
                <w:rFonts w:ascii="Garamond" w:eastAsia="Garamond" w:hAnsi="Garamond" w:cs="Garamond"/>
                <w:b/>
                <w:vertAlign w:val="superscript"/>
              </w:rPr>
            </w:pPr>
            <w:r>
              <w:rPr>
                <w:rFonts w:ascii="Garamond" w:eastAsia="Garamond" w:hAnsi="Garamond" w:cs="Garamond"/>
                <w:b/>
              </w:rPr>
              <w:t>R</w:t>
            </w:r>
            <w:r>
              <w:rPr>
                <w:rFonts w:ascii="Garamond" w:eastAsia="Garamond" w:hAnsi="Garamond" w:cs="Garamond"/>
                <w:b/>
                <w:vertAlign w:val="superscript"/>
              </w:rPr>
              <w:t>2</w:t>
            </w:r>
          </w:p>
        </w:tc>
      </w:tr>
      <w:tr w:rsidR="006B67F3" w14:paraId="079A376E" w14:textId="77777777" w:rsidTr="005F6867">
        <w:tc>
          <w:tcPr>
            <w:tcW w:w="1845" w:type="dxa"/>
            <w:shd w:val="clear" w:color="auto" w:fill="auto"/>
            <w:tcMar>
              <w:top w:w="100" w:type="dxa"/>
              <w:left w:w="100" w:type="dxa"/>
              <w:bottom w:w="100" w:type="dxa"/>
              <w:right w:w="100" w:type="dxa"/>
            </w:tcMar>
            <w:vAlign w:val="center"/>
          </w:tcPr>
          <w:p w14:paraId="000000AD" w14:textId="77777777" w:rsidR="006B67F3" w:rsidRDefault="00C27B54" w:rsidP="005F6867">
            <w:pPr>
              <w:pStyle w:val="Normal4"/>
              <w:widowControl w:val="0"/>
              <w:jc w:val="center"/>
              <w:rPr>
                <w:rFonts w:ascii="Garamond" w:eastAsia="Garamond" w:hAnsi="Garamond" w:cs="Garamond"/>
              </w:rPr>
            </w:pPr>
            <w:r>
              <w:rPr>
                <w:rFonts w:ascii="Garamond" w:eastAsia="Garamond" w:hAnsi="Garamond" w:cs="Garamond"/>
              </w:rPr>
              <w:lastRenderedPageBreak/>
              <w:t>2016</w:t>
            </w:r>
          </w:p>
        </w:tc>
        <w:tc>
          <w:tcPr>
            <w:tcW w:w="3975" w:type="dxa"/>
            <w:shd w:val="clear" w:color="auto" w:fill="auto"/>
            <w:tcMar>
              <w:top w:w="100" w:type="dxa"/>
              <w:left w:w="100" w:type="dxa"/>
              <w:bottom w:w="100" w:type="dxa"/>
              <w:right w:w="100" w:type="dxa"/>
            </w:tcMar>
            <w:vAlign w:val="center"/>
          </w:tcPr>
          <w:p w14:paraId="000000AE" w14:textId="2817D18A" w:rsidR="006B67F3" w:rsidRDefault="00C27B54" w:rsidP="005F6867">
            <w:pPr>
              <w:pStyle w:val="Normal4"/>
              <w:widowControl w:val="0"/>
              <w:jc w:val="center"/>
              <w:rPr>
                <w:rFonts w:ascii="Garamond" w:eastAsia="Garamond" w:hAnsi="Garamond" w:cs="Garamond"/>
              </w:rPr>
            </w:pPr>
            <w:r>
              <w:rPr>
                <w:rFonts w:ascii="Garamond" w:eastAsia="Garamond" w:hAnsi="Garamond" w:cs="Garamond"/>
              </w:rPr>
              <w:t>-0.904</w:t>
            </w:r>
          </w:p>
        </w:tc>
        <w:tc>
          <w:tcPr>
            <w:tcW w:w="3495" w:type="dxa"/>
            <w:shd w:val="clear" w:color="auto" w:fill="auto"/>
            <w:tcMar>
              <w:top w:w="100" w:type="dxa"/>
              <w:left w:w="100" w:type="dxa"/>
              <w:bottom w:w="100" w:type="dxa"/>
              <w:right w:w="100" w:type="dxa"/>
            </w:tcMar>
            <w:vAlign w:val="center"/>
          </w:tcPr>
          <w:p w14:paraId="000000AF" w14:textId="34CE61CB" w:rsidR="006B67F3" w:rsidRDefault="00C27B54" w:rsidP="005F6867">
            <w:pPr>
              <w:pStyle w:val="Normal4"/>
              <w:widowControl w:val="0"/>
              <w:jc w:val="center"/>
              <w:rPr>
                <w:rFonts w:ascii="Garamond" w:eastAsia="Garamond" w:hAnsi="Garamond" w:cs="Garamond"/>
              </w:rPr>
            </w:pPr>
            <w:r w:rsidRPr="15163AE6">
              <w:rPr>
                <w:rFonts w:ascii="Garamond" w:eastAsia="Garamond" w:hAnsi="Garamond" w:cs="Garamond"/>
              </w:rPr>
              <w:t>0.818</w:t>
            </w:r>
          </w:p>
        </w:tc>
      </w:tr>
      <w:tr w:rsidR="006B67F3" w14:paraId="7819AF35" w14:textId="77777777" w:rsidTr="005F6867">
        <w:tc>
          <w:tcPr>
            <w:tcW w:w="1845" w:type="dxa"/>
            <w:shd w:val="clear" w:color="auto" w:fill="auto"/>
            <w:tcMar>
              <w:top w:w="100" w:type="dxa"/>
              <w:left w:w="100" w:type="dxa"/>
              <w:bottom w:w="100" w:type="dxa"/>
              <w:right w:w="100" w:type="dxa"/>
            </w:tcMar>
            <w:vAlign w:val="center"/>
          </w:tcPr>
          <w:p w14:paraId="000000B0" w14:textId="77777777" w:rsidR="006B67F3" w:rsidRDefault="00C27B54" w:rsidP="005F6867">
            <w:pPr>
              <w:pStyle w:val="Normal4"/>
              <w:widowControl w:val="0"/>
              <w:jc w:val="center"/>
              <w:rPr>
                <w:rFonts w:ascii="Garamond" w:eastAsia="Garamond" w:hAnsi="Garamond" w:cs="Garamond"/>
              </w:rPr>
            </w:pPr>
            <w:r>
              <w:rPr>
                <w:rFonts w:ascii="Garamond" w:eastAsia="Garamond" w:hAnsi="Garamond" w:cs="Garamond"/>
              </w:rPr>
              <w:t>2017</w:t>
            </w:r>
          </w:p>
        </w:tc>
        <w:tc>
          <w:tcPr>
            <w:tcW w:w="3975" w:type="dxa"/>
            <w:shd w:val="clear" w:color="auto" w:fill="auto"/>
            <w:tcMar>
              <w:top w:w="100" w:type="dxa"/>
              <w:left w:w="100" w:type="dxa"/>
              <w:bottom w:w="100" w:type="dxa"/>
              <w:right w:w="100" w:type="dxa"/>
            </w:tcMar>
            <w:vAlign w:val="center"/>
          </w:tcPr>
          <w:p w14:paraId="000000B1" w14:textId="6C8A673C" w:rsidR="006B67F3" w:rsidRDefault="00C27B54" w:rsidP="005F6867">
            <w:pPr>
              <w:pStyle w:val="Normal4"/>
              <w:widowControl w:val="0"/>
              <w:jc w:val="center"/>
              <w:rPr>
                <w:rFonts w:ascii="Garamond" w:eastAsia="Garamond" w:hAnsi="Garamond" w:cs="Garamond"/>
              </w:rPr>
            </w:pPr>
            <w:r>
              <w:rPr>
                <w:rFonts w:ascii="Garamond" w:eastAsia="Garamond" w:hAnsi="Garamond" w:cs="Garamond"/>
              </w:rPr>
              <w:t>-0.</w:t>
            </w:r>
            <w:r w:rsidR="005B786B">
              <w:rPr>
                <w:rFonts w:ascii="Garamond" w:eastAsia="Garamond" w:hAnsi="Garamond" w:cs="Garamond"/>
              </w:rPr>
              <w:t>481</w:t>
            </w:r>
          </w:p>
        </w:tc>
        <w:tc>
          <w:tcPr>
            <w:tcW w:w="3495" w:type="dxa"/>
            <w:shd w:val="clear" w:color="auto" w:fill="auto"/>
            <w:tcMar>
              <w:top w:w="100" w:type="dxa"/>
              <w:left w:w="100" w:type="dxa"/>
              <w:bottom w:w="100" w:type="dxa"/>
              <w:right w:w="100" w:type="dxa"/>
            </w:tcMar>
            <w:vAlign w:val="center"/>
          </w:tcPr>
          <w:p w14:paraId="000000B2" w14:textId="14A7555F" w:rsidR="006B67F3" w:rsidRDefault="00C27B54" w:rsidP="005F6867">
            <w:pPr>
              <w:pStyle w:val="Normal4"/>
              <w:widowControl w:val="0"/>
              <w:jc w:val="center"/>
              <w:rPr>
                <w:rFonts w:ascii="Garamond" w:eastAsia="Garamond" w:hAnsi="Garamond" w:cs="Garamond"/>
              </w:rPr>
            </w:pPr>
            <w:r w:rsidRPr="15163AE6">
              <w:rPr>
                <w:rFonts w:ascii="Garamond" w:eastAsia="Garamond" w:hAnsi="Garamond" w:cs="Garamond"/>
              </w:rPr>
              <w:t>0.231</w:t>
            </w:r>
          </w:p>
        </w:tc>
      </w:tr>
      <w:tr w:rsidR="006B67F3" w14:paraId="68D03446" w14:textId="77777777" w:rsidTr="005F6867">
        <w:tc>
          <w:tcPr>
            <w:tcW w:w="1845" w:type="dxa"/>
            <w:shd w:val="clear" w:color="auto" w:fill="auto"/>
            <w:tcMar>
              <w:top w:w="100" w:type="dxa"/>
              <w:left w:w="100" w:type="dxa"/>
              <w:bottom w:w="100" w:type="dxa"/>
              <w:right w:w="100" w:type="dxa"/>
            </w:tcMar>
            <w:vAlign w:val="center"/>
          </w:tcPr>
          <w:p w14:paraId="000000B3" w14:textId="77777777" w:rsidR="006B67F3" w:rsidRDefault="00C27B54" w:rsidP="005F6867">
            <w:pPr>
              <w:pStyle w:val="Normal4"/>
              <w:widowControl w:val="0"/>
              <w:jc w:val="center"/>
              <w:rPr>
                <w:rFonts w:ascii="Garamond" w:eastAsia="Garamond" w:hAnsi="Garamond" w:cs="Garamond"/>
              </w:rPr>
            </w:pPr>
            <w:r>
              <w:rPr>
                <w:rFonts w:ascii="Garamond" w:eastAsia="Garamond" w:hAnsi="Garamond" w:cs="Garamond"/>
              </w:rPr>
              <w:t>2018</w:t>
            </w:r>
          </w:p>
        </w:tc>
        <w:tc>
          <w:tcPr>
            <w:tcW w:w="3975" w:type="dxa"/>
            <w:shd w:val="clear" w:color="auto" w:fill="auto"/>
            <w:tcMar>
              <w:top w:w="100" w:type="dxa"/>
              <w:left w:w="100" w:type="dxa"/>
              <w:bottom w:w="100" w:type="dxa"/>
              <w:right w:w="100" w:type="dxa"/>
            </w:tcMar>
            <w:vAlign w:val="center"/>
          </w:tcPr>
          <w:p w14:paraId="000000B4" w14:textId="7282D8A1" w:rsidR="006B67F3" w:rsidRDefault="00C27B54" w:rsidP="005F6867">
            <w:pPr>
              <w:pStyle w:val="Normal4"/>
              <w:widowControl w:val="0"/>
              <w:jc w:val="center"/>
              <w:rPr>
                <w:rFonts w:ascii="Garamond" w:eastAsia="Garamond" w:hAnsi="Garamond" w:cs="Garamond"/>
              </w:rPr>
            </w:pPr>
            <w:r>
              <w:rPr>
                <w:rFonts w:ascii="Garamond" w:eastAsia="Garamond" w:hAnsi="Garamond" w:cs="Garamond"/>
              </w:rPr>
              <w:t>-0.820</w:t>
            </w:r>
          </w:p>
        </w:tc>
        <w:tc>
          <w:tcPr>
            <w:tcW w:w="3495" w:type="dxa"/>
            <w:shd w:val="clear" w:color="auto" w:fill="auto"/>
            <w:tcMar>
              <w:top w:w="100" w:type="dxa"/>
              <w:left w:w="100" w:type="dxa"/>
              <w:bottom w:w="100" w:type="dxa"/>
              <w:right w:w="100" w:type="dxa"/>
            </w:tcMar>
            <w:vAlign w:val="center"/>
          </w:tcPr>
          <w:p w14:paraId="000000B5" w14:textId="20BD7E65" w:rsidR="006B67F3" w:rsidRDefault="00C27B54" w:rsidP="005F6867">
            <w:pPr>
              <w:pStyle w:val="Normal4"/>
              <w:widowControl w:val="0"/>
              <w:jc w:val="center"/>
              <w:rPr>
                <w:rFonts w:ascii="Garamond" w:eastAsia="Garamond" w:hAnsi="Garamond" w:cs="Garamond"/>
              </w:rPr>
            </w:pPr>
            <w:r w:rsidRPr="15163AE6">
              <w:rPr>
                <w:rFonts w:ascii="Garamond" w:eastAsia="Garamond" w:hAnsi="Garamond" w:cs="Garamond"/>
              </w:rPr>
              <w:t>0.67</w:t>
            </w:r>
            <w:r w:rsidR="005B786B">
              <w:rPr>
                <w:rFonts w:ascii="Garamond" w:eastAsia="Garamond" w:hAnsi="Garamond" w:cs="Garamond"/>
              </w:rPr>
              <w:t>3</w:t>
            </w:r>
          </w:p>
        </w:tc>
      </w:tr>
      <w:tr w:rsidR="006B67F3" w14:paraId="437A5D35" w14:textId="77777777" w:rsidTr="005F6867">
        <w:tc>
          <w:tcPr>
            <w:tcW w:w="1845" w:type="dxa"/>
            <w:shd w:val="clear" w:color="auto" w:fill="auto"/>
            <w:tcMar>
              <w:top w:w="100" w:type="dxa"/>
              <w:left w:w="100" w:type="dxa"/>
              <w:bottom w:w="100" w:type="dxa"/>
              <w:right w:w="100" w:type="dxa"/>
            </w:tcMar>
            <w:vAlign w:val="center"/>
          </w:tcPr>
          <w:p w14:paraId="000000B6" w14:textId="77777777" w:rsidR="006B67F3" w:rsidRDefault="00C27B54" w:rsidP="005F6867">
            <w:pPr>
              <w:pStyle w:val="Normal4"/>
              <w:widowControl w:val="0"/>
              <w:jc w:val="center"/>
              <w:rPr>
                <w:rFonts w:ascii="Garamond" w:eastAsia="Garamond" w:hAnsi="Garamond" w:cs="Garamond"/>
              </w:rPr>
            </w:pPr>
            <w:r>
              <w:rPr>
                <w:rFonts w:ascii="Garamond" w:eastAsia="Garamond" w:hAnsi="Garamond" w:cs="Garamond"/>
              </w:rPr>
              <w:t>2019</w:t>
            </w:r>
          </w:p>
        </w:tc>
        <w:tc>
          <w:tcPr>
            <w:tcW w:w="3975" w:type="dxa"/>
            <w:shd w:val="clear" w:color="auto" w:fill="auto"/>
            <w:tcMar>
              <w:top w:w="100" w:type="dxa"/>
              <w:left w:w="100" w:type="dxa"/>
              <w:bottom w:w="100" w:type="dxa"/>
              <w:right w:w="100" w:type="dxa"/>
            </w:tcMar>
            <w:vAlign w:val="center"/>
          </w:tcPr>
          <w:p w14:paraId="000000B7" w14:textId="20A69D5E" w:rsidR="006B67F3" w:rsidRDefault="00C27B54" w:rsidP="005F6867">
            <w:pPr>
              <w:pStyle w:val="Normal4"/>
              <w:widowControl w:val="0"/>
              <w:jc w:val="center"/>
              <w:rPr>
                <w:rFonts w:ascii="Garamond" w:eastAsia="Garamond" w:hAnsi="Garamond" w:cs="Garamond"/>
              </w:rPr>
            </w:pPr>
            <w:r>
              <w:rPr>
                <w:rFonts w:ascii="Garamond" w:eastAsia="Garamond" w:hAnsi="Garamond" w:cs="Garamond"/>
              </w:rPr>
              <w:t>-0.705</w:t>
            </w:r>
          </w:p>
        </w:tc>
        <w:tc>
          <w:tcPr>
            <w:tcW w:w="3495" w:type="dxa"/>
            <w:shd w:val="clear" w:color="auto" w:fill="auto"/>
            <w:tcMar>
              <w:top w:w="100" w:type="dxa"/>
              <w:left w:w="100" w:type="dxa"/>
              <w:bottom w:w="100" w:type="dxa"/>
              <w:right w:w="100" w:type="dxa"/>
            </w:tcMar>
            <w:vAlign w:val="center"/>
          </w:tcPr>
          <w:p w14:paraId="000000B8" w14:textId="32EFED3A" w:rsidR="006B67F3" w:rsidRDefault="00C27B54" w:rsidP="005F6867">
            <w:pPr>
              <w:pStyle w:val="Normal4"/>
              <w:widowControl w:val="0"/>
              <w:jc w:val="center"/>
              <w:rPr>
                <w:rFonts w:ascii="Garamond" w:eastAsia="Garamond" w:hAnsi="Garamond" w:cs="Garamond"/>
              </w:rPr>
            </w:pPr>
            <w:r w:rsidRPr="15163AE6">
              <w:rPr>
                <w:rFonts w:ascii="Garamond" w:eastAsia="Garamond" w:hAnsi="Garamond" w:cs="Garamond"/>
              </w:rPr>
              <w:t>0.49</w:t>
            </w:r>
            <w:r w:rsidR="005B786B">
              <w:rPr>
                <w:rFonts w:ascii="Garamond" w:eastAsia="Garamond" w:hAnsi="Garamond" w:cs="Garamond"/>
              </w:rPr>
              <w:t>8</w:t>
            </w:r>
          </w:p>
        </w:tc>
      </w:tr>
      <w:tr w:rsidR="006B67F3" w14:paraId="0C032376" w14:textId="77777777" w:rsidTr="005F6867">
        <w:tc>
          <w:tcPr>
            <w:tcW w:w="1845" w:type="dxa"/>
            <w:shd w:val="clear" w:color="auto" w:fill="auto"/>
            <w:tcMar>
              <w:top w:w="100" w:type="dxa"/>
              <w:left w:w="100" w:type="dxa"/>
              <w:bottom w:w="100" w:type="dxa"/>
              <w:right w:w="100" w:type="dxa"/>
            </w:tcMar>
            <w:vAlign w:val="center"/>
          </w:tcPr>
          <w:p w14:paraId="000000B9" w14:textId="77777777" w:rsidR="006B67F3" w:rsidRDefault="00C27B54" w:rsidP="005F6867">
            <w:pPr>
              <w:pStyle w:val="Normal4"/>
              <w:widowControl w:val="0"/>
              <w:jc w:val="center"/>
              <w:rPr>
                <w:rFonts w:ascii="Garamond" w:eastAsia="Garamond" w:hAnsi="Garamond" w:cs="Garamond"/>
              </w:rPr>
            </w:pPr>
            <w:r>
              <w:rPr>
                <w:rFonts w:ascii="Garamond" w:eastAsia="Garamond" w:hAnsi="Garamond" w:cs="Garamond"/>
              </w:rPr>
              <w:t>2020</w:t>
            </w:r>
          </w:p>
        </w:tc>
        <w:tc>
          <w:tcPr>
            <w:tcW w:w="3975" w:type="dxa"/>
            <w:shd w:val="clear" w:color="auto" w:fill="auto"/>
            <w:tcMar>
              <w:top w:w="100" w:type="dxa"/>
              <w:left w:w="100" w:type="dxa"/>
              <w:bottom w:w="100" w:type="dxa"/>
              <w:right w:w="100" w:type="dxa"/>
            </w:tcMar>
            <w:vAlign w:val="center"/>
          </w:tcPr>
          <w:p w14:paraId="000000BA" w14:textId="396C87E3" w:rsidR="006B67F3" w:rsidRDefault="00C27B54" w:rsidP="005F6867">
            <w:pPr>
              <w:pStyle w:val="Normal4"/>
              <w:widowControl w:val="0"/>
              <w:jc w:val="center"/>
              <w:rPr>
                <w:rFonts w:ascii="Garamond" w:eastAsia="Garamond" w:hAnsi="Garamond" w:cs="Garamond"/>
              </w:rPr>
            </w:pPr>
            <w:r>
              <w:rPr>
                <w:rFonts w:ascii="Garamond" w:eastAsia="Garamond" w:hAnsi="Garamond" w:cs="Garamond"/>
              </w:rPr>
              <w:t>-0.76</w:t>
            </w:r>
            <w:r w:rsidR="005B786B">
              <w:rPr>
                <w:rFonts w:ascii="Garamond" w:eastAsia="Garamond" w:hAnsi="Garamond" w:cs="Garamond"/>
              </w:rPr>
              <w:t>7</w:t>
            </w:r>
          </w:p>
        </w:tc>
        <w:tc>
          <w:tcPr>
            <w:tcW w:w="3495" w:type="dxa"/>
            <w:shd w:val="clear" w:color="auto" w:fill="auto"/>
            <w:tcMar>
              <w:top w:w="100" w:type="dxa"/>
              <w:left w:w="100" w:type="dxa"/>
              <w:bottom w:w="100" w:type="dxa"/>
              <w:right w:w="100" w:type="dxa"/>
            </w:tcMar>
            <w:vAlign w:val="center"/>
          </w:tcPr>
          <w:p w14:paraId="000000BB" w14:textId="13A5E3B0" w:rsidR="006B67F3" w:rsidRDefault="00C27B54" w:rsidP="005F6867">
            <w:pPr>
              <w:pStyle w:val="Normal4"/>
              <w:widowControl w:val="0"/>
              <w:jc w:val="center"/>
              <w:rPr>
                <w:rFonts w:ascii="Garamond" w:eastAsia="Garamond" w:hAnsi="Garamond" w:cs="Garamond"/>
              </w:rPr>
            </w:pPr>
            <w:r w:rsidRPr="15163AE6">
              <w:rPr>
                <w:rFonts w:ascii="Garamond" w:eastAsia="Garamond" w:hAnsi="Garamond" w:cs="Garamond"/>
              </w:rPr>
              <w:t>0.58</w:t>
            </w:r>
            <w:r w:rsidR="005B786B">
              <w:rPr>
                <w:rFonts w:ascii="Garamond" w:eastAsia="Garamond" w:hAnsi="Garamond" w:cs="Garamond"/>
              </w:rPr>
              <w:t>8</w:t>
            </w:r>
          </w:p>
        </w:tc>
      </w:tr>
      <w:tr w:rsidR="006B67F3" w14:paraId="50FA47C2" w14:textId="77777777" w:rsidTr="005F6867">
        <w:tc>
          <w:tcPr>
            <w:tcW w:w="1845" w:type="dxa"/>
            <w:shd w:val="clear" w:color="auto" w:fill="auto"/>
            <w:tcMar>
              <w:top w:w="100" w:type="dxa"/>
              <w:left w:w="100" w:type="dxa"/>
              <w:bottom w:w="100" w:type="dxa"/>
              <w:right w:w="100" w:type="dxa"/>
            </w:tcMar>
            <w:vAlign w:val="center"/>
          </w:tcPr>
          <w:p w14:paraId="000000BC" w14:textId="77777777" w:rsidR="006B67F3" w:rsidRDefault="00C27B54" w:rsidP="005F6867">
            <w:pPr>
              <w:pStyle w:val="Normal4"/>
              <w:widowControl w:val="0"/>
              <w:jc w:val="center"/>
              <w:rPr>
                <w:rFonts w:ascii="Garamond" w:eastAsia="Garamond" w:hAnsi="Garamond" w:cs="Garamond"/>
              </w:rPr>
            </w:pPr>
            <w:r>
              <w:rPr>
                <w:rFonts w:ascii="Garamond" w:eastAsia="Garamond" w:hAnsi="Garamond" w:cs="Garamond"/>
              </w:rPr>
              <w:t>2021</w:t>
            </w:r>
          </w:p>
        </w:tc>
        <w:tc>
          <w:tcPr>
            <w:tcW w:w="3975" w:type="dxa"/>
            <w:shd w:val="clear" w:color="auto" w:fill="auto"/>
            <w:tcMar>
              <w:top w:w="100" w:type="dxa"/>
              <w:left w:w="100" w:type="dxa"/>
              <w:bottom w:w="100" w:type="dxa"/>
              <w:right w:w="100" w:type="dxa"/>
            </w:tcMar>
            <w:vAlign w:val="center"/>
          </w:tcPr>
          <w:p w14:paraId="000000BD" w14:textId="5E1C90B5" w:rsidR="006B67F3" w:rsidRDefault="00C27B54" w:rsidP="005F6867">
            <w:pPr>
              <w:pStyle w:val="Normal4"/>
              <w:widowControl w:val="0"/>
              <w:jc w:val="center"/>
              <w:rPr>
                <w:rFonts w:ascii="Garamond" w:eastAsia="Garamond" w:hAnsi="Garamond" w:cs="Garamond"/>
              </w:rPr>
            </w:pPr>
            <w:r>
              <w:rPr>
                <w:rFonts w:ascii="Garamond" w:eastAsia="Garamond" w:hAnsi="Garamond" w:cs="Garamond"/>
              </w:rPr>
              <w:t>-0.</w:t>
            </w:r>
            <w:r w:rsidR="005B786B">
              <w:rPr>
                <w:rFonts w:ascii="Garamond" w:eastAsia="Garamond" w:hAnsi="Garamond" w:cs="Garamond"/>
              </w:rPr>
              <w:t>670</w:t>
            </w:r>
          </w:p>
        </w:tc>
        <w:tc>
          <w:tcPr>
            <w:tcW w:w="3495" w:type="dxa"/>
            <w:shd w:val="clear" w:color="auto" w:fill="auto"/>
            <w:tcMar>
              <w:top w:w="100" w:type="dxa"/>
              <w:left w:w="100" w:type="dxa"/>
              <w:bottom w:w="100" w:type="dxa"/>
              <w:right w:w="100" w:type="dxa"/>
            </w:tcMar>
            <w:vAlign w:val="center"/>
          </w:tcPr>
          <w:p w14:paraId="000000BE" w14:textId="08E84B52" w:rsidR="006B67F3" w:rsidRDefault="00C27B54" w:rsidP="005F6867">
            <w:pPr>
              <w:pStyle w:val="Normal4"/>
              <w:widowControl w:val="0"/>
              <w:jc w:val="center"/>
              <w:rPr>
                <w:rFonts w:ascii="Garamond" w:eastAsia="Garamond" w:hAnsi="Garamond" w:cs="Garamond"/>
              </w:rPr>
            </w:pPr>
            <w:r w:rsidRPr="15163AE6">
              <w:rPr>
                <w:rFonts w:ascii="Garamond" w:eastAsia="Garamond" w:hAnsi="Garamond" w:cs="Garamond"/>
              </w:rPr>
              <w:t>0.44</w:t>
            </w:r>
            <w:r w:rsidR="005B786B">
              <w:rPr>
                <w:rFonts w:ascii="Garamond" w:eastAsia="Garamond" w:hAnsi="Garamond" w:cs="Garamond"/>
              </w:rPr>
              <w:t>9</w:t>
            </w:r>
          </w:p>
        </w:tc>
      </w:tr>
      <w:tr w:rsidR="006B67F3" w14:paraId="598B46D4" w14:textId="77777777" w:rsidTr="005F6867">
        <w:tc>
          <w:tcPr>
            <w:tcW w:w="1845" w:type="dxa"/>
            <w:shd w:val="clear" w:color="auto" w:fill="auto"/>
            <w:tcMar>
              <w:top w:w="100" w:type="dxa"/>
              <w:left w:w="100" w:type="dxa"/>
              <w:bottom w:w="100" w:type="dxa"/>
              <w:right w:w="100" w:type="dxa"/>
            </w:tcMar>
            <w:vAlign w:val="center"/>
          </w:tcPr>
          <w:p w14:paraId="000000BF" w14:textId="77777777" w:rsidR="006B67F3" w:rsidRDefault="00C27B54" w:rsidP="005F6867">
            <w:pPr>
              <w:pStyle w:val="Normal4"/>
              <w:widowControl w:val="0"/>
              <w:jc w:val="center"/>
              <w:rPr>
                <w:rFonts w:ascii="Garamond" w:eastAsia="Garamond" w:hAnsi="Garamond" w:cs="Garamond"/>
              </w:rPr>
            </w:pPr>
            <w:r>
              <w:rPr>
                <w:rFonts w:ascii="Garamond" w:eastAsia="Garamond" w:hAnsi="Garamond" w:cs="Garamond"/>
              </w:rPr>
              <w:t>2022</w:t>
            </w:r>
          </w:p>
        </w:tc>
        <w:tc>
          <w:tcPr>
            <w:tcW w:w="3975" w:type="dxa"/>
            <w:shd w:val="clear" w:color="auto" w:fill="auto"/>
            <w:tcMar>
              <w:top w:w="100" w:type="dxa"/>
              <w:left w:w="100" w:type="dxa"/>
              <w:bottom w:w="100" w:type="dxa"/>
              <w:right w:w="100" w:type="dxa"/>
            </w:tcMar>
            <w:vAlign w:val="center"/>
          </w:tcPr>
          <w:p w14:paraId="000000C0" w14:textId="529E3AEA" w:rsidR="006B67F3" w:rsidRDefault="00C27B54" w:rsidP="005F6867">
            <w:pPr>
              <w:pStyle w:val="Normal4"/>
              <w:widowControl w:val="0"/>
              <w:jc w:val="center"/>
              <w:rPr>
                <w:rFonts w:ascii="Garamond" w:eastAsia="Garamond" w:hAnsi="Garamond" w:cs="Garamond"/>
              </w:rPr>
            </w:pPr>
            <w:r>
              <w:rPr>
                <w:rFonts w:ascii="Garamond" w:eastAsia="Garamond" w:hAnsi="Garamond" w:cs="Garamond"/>
              </w:rPr>
              <w:t>-0.4</w:t>
            </w:r>
            <w:r w:rsidR="005B786B">
              <w:rPr>
                <w:rFonts w:ascii="Garamond" w:eastAsia="Garamond" w:hAnsi="Garamond" w:cs="Garamond"/>
              </w:rPr>
              <w:t>80</w:t>
            </w:r>
          </w:p>
        </w:tc>
        <w:tc>
          <w:tcPr>
            <w:tcW w:w="3495" w:type="dxa"/>
            <w:shd w:val="clear" w:color="auto" w:fill="auto"/>
            <w:tcMar>
              <w:top w:w="100" w:type="dxa"/>
              <w:left w:w="100" w:type="dxa"/>
              <w:bottom w:w="100" w:type="dxa"/>
              <w:right w:w="100" w:type="dxa"/>
            </w:tcMar>
            <w:vAlign w:val="center"/>
          </w:tcPr>
          <w:p w14:paraId="000000C1" w14:textId="1B4710B5" w:rsidR="006B67F3" w:rsidRDefault="00C27B54" w:rsidP="005F6867">
            <w:pPr>
              <w:pStyle w:val="Normal4"/>
              <w:widowControl w:val="0"/>
              <w:jc w:val="center"/>
              <w:rPr>
                <w:rFonts w:ascii="Garamond" w:eastAsia="Garamond" w:hAnsi="Garamond" w:cs="Garamond"/>
              </w:rPr>
            </w:pPr>
            <w:r w:rsidRPr="15163AE6">
              <w:rPr>
                <w:rFonts w:ascii="Garamond" w:eastAsia="Garamond" w:hAnsi="Garamond" w:cs="Garamond"/>
              </w:rPr>
              <w:t>0.230</w:t>
            </w:r>
          </w:p>
        </w:tc>
      </w:tr>
    </w:tbl>
    <w:p w14:paraId="000000C2" w14:textId="77777777" w:rsidR="006B67F3" w:rsidRDefault="006B67F3" w:rsidP="15163AE6">
      <w:pPr>
        <w:pStyle w:val="Normal4"/>
        <w:spacing w:after="0" w:line="240" w:lineRule="auto"/>
        <w:rPr>
          <w:rFonts w:ascii="Garamond" w:eastAsia="Garamond" w:hAnsi="Garamond" w:cs="Garamond"/>
          <w:i/>
          <w:iCs/>
        </w:rPr>
      </w:pPr>
    </w:p>
    <w:p w14:paraId="000000C3" w14:textId="77777777" w:rsidR="006B67F3" w:rsidRDefault="00C27B54" w:rsidP="15163AE6">
      <w:pPr>
        <w:pStyle w:val="Normal4"/>
        <w:spacing w:after="0" w:line="240" w:lineRule="auto"/>
        <w:rPr>
          <w:rFonts w:ascii="Garamond" w:eastAsia="Garamond" w:hAnsi="Garamond" w:cs="Garamond"/>
          <w:color w:val="85200C"/>
        </w:rPr>
      </w:pPr>
      <w:r w:rsidRPr="15163AE6">
        <w:rPr>
          <w:rFonts w:ascii="Garamond" w:eastAsia="Garamond" w:hAnsi="Garamond" w:cs="Garamond"/>
          <w:i/>
          <w:iCs/>
        </w:rPr>
        <w:t>4.1.5 Tree Canopy (NAIP)</w:t>
      </w:r>
    </w:p>
    <w:p w14:paraId="000000C4" w14:textId="77777777" w:rsidR="006B67F3" w:rsidRDefault="00C27B54" w:rsidP="15163AE6">
      <w:pPr>
        <w:pStyle w:val="Normal4"/>
        <w:spacing w:after="0" w:line="240" w:lineRule="auto"/>
        <w:rPr>
          <w:rFonts w:ascii="Garamond" w:eastAsia="Garamond" w:hAnsi="Garamond" w:cs="Garamond"/>
          <w:color w:val="85200C"/>
        </w:rPr>
      </w:pPr>
      <w:r>
        <w:rPr>
          <w:rFonts w:ascii="Garamond" w:eastAsia="Garamond" w:hAnsi="Garamond" w:cs="Garamond"/>
        </w:rPr>
        <w:t>Tree canopy cover varies greatly within the urban areas of Los Angeles County. The histograms in Figure 5 show the distribution of tree canopy cover over time as a percentage by census tract. Overall, the median value of percent tree canopy cover for urban census tracts in Los Angeles has increased from 10.9% to 13.8% between 2016 and 2022. Figure A4 shows this change spatially, as certain areas show a gain in tree canopy cover from 2016 to 2022 while others depict a loss.</w:t>
      </w:r>
    </w:p>
    <w:p w14:paraId="000000C5" w14:textId="77777777" w:rsidR="006B67F3" w:rsidRDefault="006B67F3" w:rsidP="15163AE6">
      <w:pPr>
        <w:pStyle w:val="Normal4"/>
        <w:spacing w:after="0" w:line="240" w:lineRule="auto"/>
        <w:rPr>
          <w:rFonts w:ascii="Garamond" w:eastAsia="Garamond" w:hAnsi="Garamond" w:cs="Garamond"/>
          <w:color w:val="85200C"/>
        </w:rPr>
      </w:pPr>
    </w:p>
    <w:p w14:paraId="000000C6" w14:textId="77777777" w:rsidR="006B67F3" w:rsidRDefault="006B67F3" w:rsidP="15163AE6">
      <w:pPr>
        <w:pStyle w:val="Normal4"/>
        <w:spacing w:after="0" w:line="240" w:lineRule="auto"/>
        <w:rPr>
          <w:rFonts w:ascii="Garamond" w:eastAsia="Garamond" w:hAnsi="Garamond" w:cs="Garamond"/>
          <w:b/>
          <w:bCs/>
        </w:rPr>
      </w:pPr>
    </w:p>
    <w:p w14:paraId="000000C7" w14:textId="77777777" w:rsidR="006B67F3" w:rsidRDefault="006B67F3" w:rsidP="15163AE6">
      <w:pPr>
        <w:pStyle w:val="Normal4"/>
        <w:spacing w:after="0" w:line="240" w:lineRule="auto"/>
        <w:rPr>
          <w:rFonts w:ascii="Garamond" w:eastAsia="Garamond" w:hAnsi="Garamond" w:cs="Garamond"/>
          <w:b/>
          <w:bCs/>
        </w:rPr>
      </w:pPr>
    </w:p>
    <w:p w14:paraId="000000C8" w14:textId="77777777" w:rsidR="006B67F3" w:rsidRDefault="006B67F3" w:rsidP="15163AE6">
      <w:pPr>
        <w:pStyle w:val="Normal4"/>
        <w:spacing w:after="0" w:line="240" w:lineRule="auto"/>
        <w:rPr>
          <w:rFonts w:ascii="Garamond" w:eastAsia="Garamond" w:hAnsi="Garamond" w:cs="Garamond"/>
          <w:b/>
          <w:bCs/>
        </w:rPr>
      </w:pPr>
    </w:p>
    <w:p w14:paraId="000000CA" w14:textId="77777777" w:rsidR="006B67F3" w:rsidRDefault="00C27B54" w:rsidP="15163AE6">
      <w:pPr>
        <w:pStyle w:val="Normal4"/>
        <w:spacing w:after="0" w:line="240" w:lineRule="auto"/>
        <w:jc w:val="center"/>
        <w:rPr>
          <w:rFonts w:ascii="Garamond" w:eastAsia="Garamond" w:hAnsi="Garamond" w:cs="Garamond"/>
          <w:color w:val="85200C"/>
        </w:rPr>
      </w:pPr>
      <w:r>
        <w:rPr>
          <w:rFonts w:ascii="Garamond" w:eastAsia="Garamond" w:hAnsi="Garamond" w:cs="Garamond"/>
          <w:noProof/>
          <w:color w:val="85200C"/>
        </w:rPr>
        <w:drawing>
          <wp:inline distT="114300" distB="114300" distL="114300" distR="114300" wp14:anchorId="0A53712E" wp14:editId="07777777">
            <wp:extent cx="5943600" cy="1955800"/>
            <wp:effectExtent l="0" t="0" r="0" b="0"/>
            <wp:docPr id="7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943600" cy="1955800"/>
                    </a:xfrm>
                    <a:prstGeom prst="rect">
                      <a:avLst/>
                    </a:prstGeom>
                    <a:ln/>
                  </pic:spPr>
                </pic:pic>
              </a:graphicData>
            </a:graphic>
          </wp:inline>
        </w:drawing>
      </w:r>
    </w:p>
    <w:p w14:paraId="0890258E" w14:textId="75560A3E" w:rsidR="006B67F3" w:rsidRDefault="6C19EEC8" w:rsidP="15163AE6">
      <w:pPr>
        <w:pStyle w:val="Normal4"/>
        <w:spacing w:after="0" w:line="240" w:lineRule="auto"/>
        <w:rPr>
          <w:rFonts w:ascii="Garamond" w:eastAsia="Garamond" w:hAnsi="Garamond" w:cs="Garamond"/>
        </w:rPr>
      </w:pPr>
      <w:r w:rsidRPr="15163AE6">
        <w:rPr>
          <w:rFonts w:ascii="Garamond" w:eastAsia="Garamond" w:hAnsi="Garamond" w:cs="Garamond"/>
          <w:i/>
          <w:iCs/>
        </w:rPr>
        <w:t xml:space="preserve">Figure 5. </w:t>
      </w:r>
      <w:r w:rsidRPr="15163AE6">
        <w:rPr>
          <w:rFonts w:ascii="Garamond" w:eastAsia="Garamond" w:hAnsi="Garamond" w:cs="Garamond"/>
        </w:rPr>
        <w:t>Tree canopy cover change over time by Census Tract</w:t>
      </w:r>
    </w:p>
    <w:p w14:paraId="000000CB" w14:textId="00BFF493" w:rsidR="006B67F3" w:rsidRDefault="6C19EEC8" w:rsidP="15163AE6">
      <w:pPr>
        <w:pStyle w:val="Normal4"/>
        <w:spacing w:after="0" w:line="240" w:lineRule="auto"/>
        <w:rPr>
          <w:rFonts w:ascii="Garamond" w:eastAsia="Garamond" w:hAnsi="Garamond" w:cs="Garamond"/>
        </w:rPr>
      </w:pPr>
      <w:r w:rsidRPr="15163AE6">
        <w:rPr>
          <w:rFonts w:ascii="Garamond" w:eastAsia="Garamond" w:hAnsi="Garamond" w:cs="Garamond"/>
          <w:b/>
          <w:bCs/>
        </w:rPr>
        <w:t xml:space="preserve"> </w:t>
      </w:r>
    </w:p>
    <w:p w14:paraId="000000CC" w14:textId="77777777" w:rsidR="006B67F3" w:rsidRDefault="00C27B54" w:rsidP="15163AE6">
      <w:pPr>
        <w:pStyle w:val="Normal4"/>
        <w:spacing w:after="0" w:line="240" w:lineRule="auto"/>
        <w:rPr>
          <w:rFonts w:ascii="Garamond" w:eastAsia="Garamond" w:hAnsi="Garamond" w:cs="Garamond"/>
        </w:rPr>
      </w:pPr>
      <w:r w:rsidRPr="15163AE6">
        <w:rPr>
          <w:rFonts w:ascii="Garamond" w:eastAsia="Garamond" w:hAnsi="Garamond" w:cs="Garamond"/>
        </w:rPr>
        <w:t xml:space="preserve">In addition to the temporal trends of tree canopy cover, tree cover varies across different regions of the study area. Appendix B highlights the spatial distribution of tree canopy cover for the years 2016, 2018, 2020, and 2022 within urban areas of Los Angeles County. In 2022, we find that tree canopy cover in Central Alameda and the Vermont Corridor census tracts ranges from 6% to 13%, while in the subregions of South Pasadena and Beverly Hills, tree canopy cover ranges from 12% to 37% among census tracts. Figure 6 shows the spatial variation over time of tree canopy cover in five subregions of our study area compared with all urban areas of Los Angeles County. Overall, the subregions are generally increasing in tree canopy cover from 2016 to 2022, however, there is significant variability between years. South Pasadena and Beverly Hills show the highest degree of variation and Central Alameda and Vermont Corridor show the lowest. These variations, as seen in Figure 6, are a result of several factors including water availability, temperature and climate fluctuations, and tree plantings or removals.    </w:t>
      </w:r>
    </w:p>
    <w:p w14:paraId="000000CD" w14:textId="77777777" w:rsidR="006B67F3" w:rsidRDefault="006B67F3" w:rsidP="15163AE6">
      <w:pPr>
        <w:pStyle w:val="Normal4"/>
        <w:spacing w:after="0" w:line="240" w:lineRule="auto"/>
        <w:rPr>
          <w:rFonts w:ascii="Garamond" w:eastAsia="Garamond" w:hAnsi="Garamond" w:cs="Garamond"/>
        </w:rPr>
      </w:pPr>
    </w:p>
    <w:p w14:paraId="000000CF" w14:textId="77777777" w:rsidR="006B67F3" w:rsidRDefault="00C27B54" w:rsidP="15163AE6">
      <w:pPr>
        <w:pStyle w:val="Normal4"/>
        <w:spacing w:after="0" w:line="240" w:lineRule="auto"/>
        <w:jc w:val="center"/>
        <w:rPr>
          <w:rFonts w:ascii="Garamond" w:eastAsia="Garamond" w:hAnsi="Garamond" w:cs="Garamond"/>
        </w:rPr>
      </w:pPr>
      <w:r>
        <w:rPr>
          <w:rFonts w:ascii="Garamond" w:eastAsia="Garamond" w:hAnsi="Garamond" w:cs="Garamond"/>
          <w:noProof/>
        </w:rPr>
        <w:lastRenderedPageBreak/>
        <w:drawing>
          <wp:inline distT="114300" distB="114300" distL="114300" distR="114300" wp14:anchorId="7E1A8E41" wp14:editId="07777777">
            <wp:extent cx="3290389" cy="2070227"/>
            <wp:effectExtent l="0" t="0" r="0" b="0"/>
            <wp:docPr id="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3290389" cy="2070227"/>
                    </a:xfrm>
                    <a:prstGeom prst="rect">
                      <a:avLst/>
                    </a:prstGeom>
                    <a:ln/>
                  </pic:spPr>
                </pic:pic>
              </a:graphicData>
            </a:graphic>
          </wp:inline>
        </w:drawing>
      </w:r>
    </w:p>
    <w:p w14:paraId="2D0E50D8" w14:textId="3AF4B47B" w:rsidR="006B67F3" w:rsidRDefault="48BBAB86" w:rsidP="15163AE6">
      <w:pPr>
        <w:pStyle w:val="Normal4"/>
        <w:spacing w:after="0" w:line="240" w:lineRule="auto"/>
        <w:rPr>
          <w:rFonts w:ascii="Garamond" w:eastAsia="Garamond" w:hAnsi="Garamond" w:cs="Garamond"/>
        </w:rPr>
      </w:pPr>
      <w:r w:rsidRPr="15163AE6">
        <w:rPr>
          <w:rFonts w:ascii="Garamond" w:eastAsia="Garamond" w:hAnsi="Garamond" w:cs="Garamond"/>
          <w:i/>
          <w:iCs/>
        </w:rPr>
        <w:t>Figure 6.</w:t>
      </w:r>
      <w:r w:rsidRPr="15163AE6">
        <w:rPr>
          <w:rFonts w:ascii="Garamond" w:eastAsia="Garamond" w:hAnsi="Garamond" w:cs="Garamond"/>
          <w:b/>
          <w:bCs/>
        </w:rPr>
        <w:t xml:space="preserve"> </w:t>
      </w:r>
      <w:r w:rsidRPr="15163AE6">
        <w:rPr>
          <w:rFonts w:ascii="Garamond" w:eastAsia="Garamond" w:hAnsi="Garamond" w:cs="Garamond"/>
        </w:rPr>
        <w:t>Tree canopy cover by region from 2016</w:t>
      </w:r>
      <w:r w:rsidR="6A41ED36" w:rsidRPr="15163AE6">
        <w:rPr>
          <w:rFonts w:ascii="Garamond" w:eastAsia="Garamond" w:hAnsi="Garamond" w:cs="Garamond"/>
        </w:rPr>
        <w:t xml:space="preserve"> – </w:t>
      </w:r>
      <w:r w:rsidRPr="15163AE6">
        <w:rPr>
          <w:rFonts w:ascii="Garamond" w:eastAsia="Garamond" w:hAnsi="Garamond" w:cs="Garamond"/>
        </w:rPr>
        <w:t>2022</w:t>
      </w:r>
      <w:r w:rsidR="6A41ED36" w:rsidRPr="15163AE6">
        <w:rPr>
          <w:rFonts w:ascii="Garamond" w:eastAsia="Garamond" w:hAnsi="Garamond" w:cs="Garamond"/>
        </w:rPr>
        <w:t>.</w:t>
      </w:r>
    </w:p>
    <w:p w14:paraId="000000D0" w14:textId="77777777" w:rsidR="006B67F3" w:rsidRDefault="006B67F3" w:rsidP="15163AE6">
      <w:pPr>
        <w:pStyle w:val="Normal4"/>
        <w:spacing w:after="0" w:line="240" w:lineRule="auto"/>
        <w:rPr>
          <w:rFonts w:ascii="Garamond" w:eastAsia="Garamond" w:hAnsi="Garamond" w:cs="Garamond"/>
        </w:rPr>
      </w:pPr>
    </w:p>
    <w:p w14:paraId="000000D1" w14:textId="77777777" w:rsidR="006B67F3" w:rsidRDefault="00C27B54" w:rsidP="15163AE6">
      <w:pPr>
        <w:pStyle w:val="Normal4"/>
        <w:spacing w:after="0" w:line="240" w:lineRule="auto"/>
        <w:rPr>
          <w:rFonts w:ascii="Garamond" w:eastAsia="Garamond" w:hAnsi="Garamond" w:cs="Garamond"/>
          <w:i/>
          <w:iCs/>
        </w:rPr>
      </w:pPr>
      <w:r w:rsidRPr="15163AE6">
        <w:rPr>
          <w:rFonts w:ascii="Garamond" w:eastAsia="Garamond" w:hAnsi="Garamond" w:cs="Garamond"/>
          <w:i/>
          <w:iCs/>
        </w:rPr>
        <w:t>4.2 Limitation and Uncertainties</w:t>
      </w:r>
    </w:p>
    <w:p w14:paraId="000000D2" w14:textId="3307E548" w:rsidR="006B67F3" w:rsidRDefault="00C27B54" w:rsidP="15163AE6">
      <w:pPr>
        <w:pStyle w:val="Normal4"/>
        <w:spacing w:after="0" w:line="240" w:lineRule="auto"/>
        <w:rPr>
          <w:rFonts w:ascii="Garamond" w:eastAsia="Garamond" w:hAnsi="Garamond" w:cs="Garamond"/>
        </w:rPr>
      </w:pPr>
      <w:r w:rsidRPr="15163AE6">
        <w:rPr>
          <w:rFonts w:ascii="Garamond" w:eastAsia="Garamond" w:hAnsi="Garamond" w:cs="Garamond"/>
        </w:rPr>
        <w:t>The results were limited to the quality and availability of the data. Since ECOSTRESS began collecting data in July 2018, our analysis of summer month data was restricted to the years 2019</w:t>
      </w:r>
      <w:r w:rsidR="00817244">
        <w:rPr>
          <w:rFonts w:ascii="Garamond" w:eastAsia="Garamond" w:hAnsi="Garamond" w:cs="Garamond"/>
        </w:rPr>
        <w:t>–</w:t>
      </w:r>
      <w:r w:rsidRPr="15163AE6">
        <w:rPr>
          <w:rFonts w:ascii="Garamond" w:eastAsia="Garamond" w:hAnsi="Garamond" w:cs="Garamond"/>
        </w:rPr>
        <w:t xml:space="preserve">2022. ECOSTRESS data has additional temporal limitations that are related to the irregular orbit of the </w:t>
      </w:r>
      <w:r w:rsidR="00817244">
        <w:rPr>
          <w:rFonts w:ascii="Garamond" w:eastAsia="Garamond" w:hAnsi="Garamond" w:cs="Garamond"/>
        </w:rPr>
        <w:t>ISS</w:t>
      </w:r>
      <w:r w:rsidRPr="15163AE6">
        <w:rPr>
          <w:rFonts w:ascii="Garamond" w:eastAsia="Garamond" w:hAnsi="Garamond" w:cs="Garamond"/>
        </w:rPr>
        <w:t>. For example, some months had a larger proportion of nighttime scenes available, while others had more daytime scenes available. This has the potential to skew the averaged composites for each year. Furthermore, some scenes were spatially restricted to small sections of Los Angeles County and, thus, could not be incorporated into our regional averages. This further reduced the total amount of data in consideration and a total of 31</w:t>
      </w:r>
      <w:r w:rsidR="6F461D6D" w:rsidRPr="15163AE6">
        <w:rPr>
          <w:rFonts w:ascii="Garamond" w:eastAsia="Garamond" w:hAnsi="Garamond" w:cs="Garamond"/>
        </w:rPr>
        <w:t xml:space="preserve"> usable ECOSTRESS</w:t>
      </w:r>
      <w:r w:rsidRPr="15163AE6">
        <w:rPr>
          <w:rFonts w:ascii="Garamond" w:eastAsia="Garamond" w:hAnsi="Garamond" w:cs="Garamond"/>
        </w:rPr>
        <w:t xml:space="preserve"> images were available for analysis. </w:t>
      </w:r>
    </w:p>
    <w:p w14:paraId="000000D3" w14:textId="77777777" w:rsidR="006B67F3" w:rsidRDefault="006B67F3" w:rsidP="15163AE6">
      <w:pPr>
        <w:pStyle w:val="Normal4"/>
        <w:spacing w:after="0" w:line="240" w:lineRule="auto"/>
        <w:rPr>
          <w:rFonts w:ascii="Garamond" w:eastAsia="Garamond" w:hAnsi="Garamond" w:cs="Garamond"/>
        </w:rPr>
      </w:pPr>
    </w:p>
    <w:p w14:paraId="000000D4" w14:textId="33778F32" w:rsidR="006B67F3" w:rsidRDefault="00C27B54" w:rsidP="15163AE6">
      <w:pPr>
        <w:pStyle w:val="Normal4"/>
        <w:spacing w:after="0" w:line="240" w:lineRule="auto"/>
        <w:rPr>
          <w:rFonts w:ascii="Garamond" w:eastAsia="Garamond" w:hAnsi="Garamond" w:cs="Garamond"/>
        </w:rPr>
      </w:pPr>
      <w:r w:rsidRPr="15163AE6">
        <w:rPr>
          <w:rFonts w:ascii="Garamond" w:eastAsia="Garamond" w:hAnsi="Garamond" w:cs="Garamond"/>
        </w:rPr>
        <w:t>ECOSTRESS and Landsat 8 have spatial resolutions of 70 m and 100 m</w:t>
      </w:r>
      <w:r w:rsidR="54E9BCF2" w:rsidRPr="15163AE6">
        <w:rPr>
          <w:rFonts w:ascii="Garamond" w:eastAsia="Garamond" w:hAnsi="Garamond" w:cs="Garamond"/>
        </w:rPr>
        <w:t>,</w:t>
      </w:r>
      <w:r w:rsidRPr="15163AE6">
        <w:rPr>
          <w:rFonts w:ascii="Garamond" w:eastAsia="Garamond" w:hAnsi="Garamond" w:cs="Garamond"/>
        </w:rPr>
        <w:t xml:space="preserve"> respectively</w:t>
      </w:r>
      <w:r w:rsidR="3BE9DA1F" w:rsidRPr="15163AE6">
        <w:rPr>
          <w:rFonts w:ascii="Garamond" w:eastAsia="Garamond" w:hAnsi="Garamond" w:cs="Garamond"/>
        </w:rPr>
        <w:t>.</w:t>
      </w:r>
      <w:r w:rsidRPr="15163AE6">
        <w:rPr>
          <w:rFonts w:ascii="Garamond" w:eastAsia="Garamond" w:hAnsi="Garamond" w:cs="Garamond"/>
        </w:rPr>
        <w:t xml:space="preserve"> </w:t>
      </w:r>
      <w:r w:rsidR="3AD794CB" w:rsidRPr="15163AE6">
        <w:rPr>
          <w:rFonts w:ascii="Garamond" w:eastAsia="Garamond" w:hAnsi="Garamond" w:cs="Garamond"/>
        </w:rPr>
        <w:t>T</w:t>
      </w:r>
      <w:r w:rsidRPr="15163AE6">
        <w:rPr>
          <w:rFonts w:ascii="Garamond" w:eastAsia="Garamond" w:hAnsi="Garamond" w:cs="Garamond"/>
        </w:rPr>
        <w:t xml:space="preserve">hese resolutions are unable to show the direct cooling effects of trees at the street scale. Additionally, the land surface temperature that we obtain for a pixel is influenced by all the material within the region, including vegetation and urban material. It is also important to note that LST is surface temperature and </w:t>
      </w:r>
      <w:r w:rsidR="5DBE7FFC" w:rsidRPr="15163AE6">
        <w:rPr>
          <w:rFonts w:ascii="Garamond" w:eastAsia="Garamond" w:hAnsi="Garamond" w:cs="Garamond"/>
        </w:rPr>
        <w:t xml:space="preserve">does not reflect </w:t>
      </w:r>
      <w:r w:rsidRPr="15163AE6">
        <w:rPr>
          <w:rFonts w:ascii="Garamond" w:eastAsia="Garamond" w:hAnsi="Garamond" w:cs="Garamond"/>
        </w:rPr>
        <w:t>experienced temperature.</w:t>
      </w:r>
    </w:p>
    <w:p w14:paraId="000000D5" w14:textId="77777777" w:rsidR="006B67F3" w:rsidRDefault="006B67F3" w:rsidP="15163AE6">
      <w:pPr>
        <w:pStyle w:val="Normal4"/>
        <w:spacing w:after="0" w:line="240" w:lineRule="auto"/>
        <w:rPr>
          <w:rFonts w:ascii="Garamond" w:eastAsia="Garamond" w:hAnsi="Garamond" w:cs="Garamond"/>
        </w:rPr>
      </w:pPr>
    </w:p>
    <w:p w14:paraId="000000D6" w14:textId="77777777" w:rsidR="006B67F3" w:rsidRDefault="00C27B54" w:rsidP="15163AE6">
      <w:pPr>
        <w:pStyle w:val="Normal4"/>
        <w:spacing w:after="0" w:line="240" w:lineRule="auto"/>
        <w:rPr>
          <w:rFonts w:ascii="Garamond" w:eastAsia="Garamond" w:hAnsi="Garamond" w:cs="Garamond"/>
        </w:rPr>
      </w:pPr>
      <w:r w:rsidRPr="15163AE6">
        <w:rPr>
          <w:rFonts w:ascii="Garamond" w:eastAsia="Garamond" w:hAnsi="Garamond" w:cs="Garamond"/>
        </w:rPr>
        <w:t>We used a supervised classification approach in order to calculate tree canopy cover over time for our study area. For this classification, we used a set number of decision trees and training data based on similar research studies. However, using a limited number of training data points is a limiting factor for the analysis of our study. Additionally, our training data does not represent all tree cover types over different regions. Incorporating more comprehensive training data for each year would refine the classification and more accurately depict tree canopy cover change over time. Furthermore, NAIP images are single date images, rather than entire summer composites, and therefore allow for more seasonal variability between years.</w:t>
      </w:r>
    </w:p>
    <w:p w14:paraId="000000D7" w14:textId="77777777" w:rsidR="006B67F3" w:rsidRDefault="006B67F3" w:rsidP="15163AE6">
      <w:pPr>
        <w:pStyle w:val="Normal4"/>
        <w:spacing w:after="0" w:line="240" w:lineRule="auto"/>
        <w:rPr>
          <w:rFonts w:ascii="Garamond" w:eastAsia="Garamond" w:hAnsi="Garamond" w:cs="Garamond"/>
        </w:rPr>
      </w:pPr>
    </w:p>
    <w:p w14:paraId="000000D8" w14:textId="77777777" w:rsidR="006B67F3" w:rsidRDefault="00C27B54">
      <w:pPr>
        <w:pStyle w:val="Normal4"/>
        <w:spacing w:after="0" w:line="240" w:lineRule="auto"/>
        <w:rPr>
          <w:rFonts w:ascii="Garamond" w:eastAsia="Garamond" w:hAnsi="Garamond" w:cs="Garamond"/>
          <w:b/>
          <w:i/>
        </w:rPr>
      </w:pPr>
      <w:r>
        <w:rPr>
          <w:rFonts w:ascii="Garamond" w:eastAsia="Garamond" w:hAnsi="Garamond" w:cs="Garamond"/>
          <w:b/>
          <w:i/>
        </w:rPr>
        <w:t>4.2 Future Work</w:t>
      </w:r>
    </w:p>
    <w:p w14:paraId="000000D9" w14:textId="50F3B992" w:rsidR="006B67F3" w:rsidRDefault="00C27B54" w:rsidP="15163AE6">
      <w:pPr>
        <w:pStyle w:val="Normal4"/>
        <w:pBdr>
          <w:top w:val="nil"/>
          <w:left w:val="nil"/>
          <w:bottom w:val="nil"/>
          <w:right w:val="nil"/>
          <w:between w:val="nil"/>
        </w:pBdr>
        <w:spacing w:after="0" w:line="240" w:lineRule="auto"/>
      </w:pPr>
      <w:r>
        <w:rPr>
          <w:rFonts w:ascii="Garamond" w:eastAsia="Garamond" w:hAnsi="Garamond" w:cs="Garamond"/>
        </w:rPr>
        <w:t xml:space="preserve">Some possibilities for future work include looking at land surface temperature of communities at higher resolution through the NASA </w:t>
      </w:r>
      <w:r w:rsidR="2380CD33">
        <w:rPr>
          <w:rFonts w:ascii="Garamond" w:eastAsia="Garamond" w:hAnsi="Garamond" w:cs="Garamond"/>
        </w:rPr>
        <w:t>H</w:t>
      </w:r>
      <w:r>
        <w:rPr>
          <w:rFonts w:ascii="Garamond" w:eastAsia="Garamond" w:hAnsi="Garamond" w:cs="Garamond"/>
        </w:rPr>
        <w:t>yperspectral Thermal Emissions Spectrometer (HyTES), which has a spatial resolution of 5 m. Use of a thermal infrared camera can also show the temperature difference between trees and their directly surrounding areas, which can serve as a useful tool in communicating their impact to the public. Future teams can also provide a more in</w:t>
      </w:r>
      <w:r w:rsidR="007F6D61">
        <w:rPr>
          <w:rFonts w:ascii="Garamond" w:eastAsia="Garamond" w:hAnsi="Garamond" w:cs="Garamond"/>
        </w:rPr>
        <w:t>-</w:t>
      </w:r>
      <w:r>
        <w:rPr>
          <w:rFonts w:ascii="Garamond" w:eastAsia="Garamond" w:hAnsi="Garamond" w:cs="Garamond"/>
        </w:rPr>
        <w:t xml:space="preserve">depth analysis that isolates the effect of tree cooling from other urban materials that affect land surface temperature. Our project partners had also mentioned interest in seeing the trends in canopy based on land use type. To improve the tree canopy cover classification model, more training data can refine the classification and future dates can be incorporated into the time series. </w:t>
      </w:r>
    </w:p>
    <w:p w14:paraId="000000DA" w14:textId="77777777" w:rsidR="006B67F3" w:rsidRDefault="006B67F3" w:rsidP="15163AE6">
      <w:pPr>
        <w:pStyle w:val="Normal4"/>
        <w:pBdr>
          <w:top w:val="nil"/>
          <w:left w:val="nil"/>
          <w:bottom w:val="nil"/>
          <w:right w:val="nil"/>
          <w:between w:val="nil"/>
        </w:pBdr>
        <w:spacing w:after="0" w:line="240" w:lineRule="auto"/>
      </w:pPr>
    </w:p>
    <w:p w14:paraId="000000DB" w14:textId="77777777" w:rsidR="006B67F3" w:rsidRDefault="00C27B54">
      <w:pPr>
        <w:pStyle w:val="Normal4"/>
        <w:pBdr>
          <w:top w:val="nil"/>
          <w:left w:val="nil"/>
          <w:bottom w:val="nil"/>
          <w:right w:val="nil"/>
          <w:between w:val="nil"/>
        </w:pBdr>
        <w:spacing w:after="0" w:line="240" w:lineRule="auto"/>
        <w:rPr>
          <w:rFonts w:ascii="Garamond" w:eastAsia="Garamond" w:hAnsi="Garamond" w:cs="Garamond"/>
          <w:b/>
          <w:color w:val="366091"/>
          <w:sz w:val="28"/>
          <w:szCs w:val="28"/>
        </w:rPr>
      </w:pPr>
      <w:r w:rsidRPr="15163AE6">
        <w:rPr>
          <w:rFonts w:ascii="Garamond" w:eastAsia="Garamond" w:hAnsi="Garamond" w:cs="Garamond"/>
          <w:b/>
          <w:bCs/>
          <w:color w:val="366091"/>
          <w:sz w:val="28"/>
          <w:szCs w:val="28"/>
        </w:rPr>
        <w:t>5. Conclusions</w:t>
      </w:r>
    </w:p>
    <w:p w14:paraId="000000DD" w14:textId="6C44E869" w:rsidR="006B67F3" w:rsidRDefault="5966B99E" w:rsidP="15163AE6">
      <w:pPr>
        <w:pStyle w:val="Normal4"/>
        <w:spacing w:after="0" w:line="240" w:lineRule="auto"/>
        <w:rPr>
          <w:rFonts w:ascii="Garamond" w:eastAsia="Garamond" w:hAnsi="Garamond" w:cs="Garamond"/>
        </w:rPr>
      </w:pPr>
      <w:r w:rsidRPr="15163AE6">
        <w:rPr>
          <w:rFonts w:ascii="Garamond" w:eastAsia="Garamond" w:hAnsi="Garamond" w:cs="Garamond"/>
        </w:rPr>
        <w:lastRenderedPageBreak/>
        <w:t xml:space="preserve">Through Earth </w:t>
      </w:r>
      <w:r w:rsidR="250AA651" w:rsidRPr="15163AE6">
        <w:rPr>
          <w:rFonts w:ascii="Garamond" w:eastAsia="Garamond" w:hAnsi="Garamond" w:cs="Garamond"/>
        </w:rPr>
        <w:t>o</w:t>
      </w:r>
      <w:r w:rsidRPr="15163AE6">
        <w:rPr>
          <w:rFonts w:ascii="Garamond" w:eastAsia="Garamond" w:hAnsi="Garamond" w:cs="Garamond"/>
        </w:rPr>
        <w:t xml:space="preserve">bservation tools, </w:t>
      </w:r>
      <w:r w:rsidR="13A40B9C" w:rsidRPr="15163AE6">
        <w:rPr>
          <w:rFonts w:ascii="Garamond" w:eastAsia="Garamond" w:hAnsi="Garamond" w:cs="Garamond"/>
        </w:rPr>
        <w:t xml:space="preserve">we produced city-scale maps showing temporal changes in land surface temperature, NDVI, and tree canopy cover. By providing accessible end products using remote sensing data, we presented our partners with distributable resources that highlight tree planting efforts and help understand the impact of trees on heat mitigation in an urban setting. Our team observed that low vegetation areas of Los Angeles continuously experience hotter temperatures compared to greener locations. </w:t>
      </w:r>
      <w:r w:rsidRPr="15163AE6">
        <w:rPr>
          <w:rFonts w:ascii="Garamond" w:eastAsia="Garamond" w:hAnsi="Garamond" w:cs="Garamond"/>
        </w:rPr>
        <w:t xml:space="preserve">Our daytime and nighttime land surface temperature time series illustrate that regions in South Los Angeles, such as Central Alameda and the Vermont Corridor, have had hotter temperatures within the last seven years compared to areas such as Beverly Hills or South Pasadena. The NDVI time series shows that there is a clear difference in the amount of vegetation present within these regions. By conducting statistical analyses, we showed that there is a negative relationship between the amount of vegetation within an area to the land surface temperature it experiences. Tree planting initiatives have been implemented as a mitigation strategy to cool these areas and the increase in tree cover due to these efforts is visible through Earth </w:t>
      </w:r>
      <w:r w:rsidR="19866FDE" w:rsidRPr="15163AE6">
        <w:rPr>
          <w:rFonts w:ascii="Garamond" w:eastAsia="Garamond" w:hAnsi="Garamond" w:cs="Garamond"/>
        </w:rPr>
        <w:t>o</w:t>
      </w:r>
      <w:r w:rsidRPr="15163AE6">
        <w:rPr>
          <w:rFonts w:ascii="Garamond" w:eastAsia="Garamond" w:hAnsi="Garamond" w:cs="Garamond"/>
        </w:rPr>
        <w:t xml:space="preserve">bservations. For urban areas of Los Angeles, tree canopy coverage has increased by 2.9% during our study period. Ultimately, these results will help our project partners to inform the community about the invaluable relationship between trees and land surface temperature. Furthermore, they will be able to show the positive results of their efforts, encouraging policymakers and officials to implement more tree planting initiatives within vulnerable communities. </w:t>
      </w:r>
    </w:p>
    <w:p w14:paraId="000000DE" w14:textId="50C1679D" w:rsidR="006B67F3" w:rsidRDefault="006B67F3" w:rsidP="15163AE6">
      <w:pPr>
        <w:pStyle w:val="Normal4"/>
        <w:keepNext/>
        <w:keepLines/>
        <w:spacing w:after="0" w:line="240" w:lineRule="auto"/>
        <w:rPr>
          <w:rFonts w:ascii="Garamond" w:eastAsia="Garamond" w:hAnsi="Garamond" w:cs="Garamond"/>
        </w:rPr>
      </w:pPr>
      <w:bookmarkStart w:id="4" w:name="_heading=h.t4jkhz8b69sh"/>
      <w:bookmarkEnd w:id="4"/>
    </w:p>
    <w:p w14:paraId="000000DF" w14:textId="77777777" w:rsidR="006B67F3" w:rsidRDefault="00C27B54">
      <w:pPr>
        <w:pStyle w:val="Normal4"/>
        <w:keepNext/>
        <w:keepLines/>
        <w:spacing w:after="0" w:line="240" w:lineRule="auto"/>
        <w:rPr>
          <w:rFonts w:ascii="Garamond" w:eastAsia="Garamond" w:hAnsi="Garamond" w:cs="Garamond"/>
          <w:b/>
          <w:color w:val="366091"/>
          <w:sz w:val="28"/>
          <w:szCs w:val="28"/>
        </w:rPr>
      </w:pPr>
      <w:r>
        <w:rPr>
          <w:rFonts w:ascii="Garamond" w:eastAsia="Garamond" w:hAnsi="Garamond" w:cs="Garamond"/>
          <w:b/>
          <w:color w:val="366091"/>
          <w:sz w:val="28"/>
          <w:szCs w:val="28"/>
        </w:rPr>
        <w:t>6. Acknowledgments</w:t>
      </w:r>
    </w:p>
    <w:p w14:paraId="000000E0" w14:textId="77777777" w:rsidR="006B67F3" w:rsidRDefault="006B67F3" w:rsidP="15163AE6">
      <w:pPr>
        <w:pStyle w:val="Normal4"/>
        <w:widowControl w:val="0"/>
        <w:spacing w:after="0" w:line="240" w:lineRule="auto"/>
        <w:rPr>
          <w:rFonts w:ascii="Garamond" w:eastAsia="Garamond" w:hAnsi="Garamond" w:cs="Garamond"/>
        </w:rPr>
      </w:pPr>
    </w:p>
    <w:p w14:paraId="000000E1" w14:textId="77777777" w:rsidR="006B67F3" w:rsidRDefault="00C27B54" w:rsidP="15163AE6">
      <w:pPr>
        <w:pStyle w:val="Normal4"/>
        <w:widowControl w:val="0"/>
        <w:spacing w:after="0" w:line="240" w:lineRule="auto"/>
        <w:rPr>
          <w:rFonts w:ascii="Garamond" w:eastAsia="Garamond" w:hAnsi="Garamond" w:cs="Garamond"/>
        </w:rPr>
      </w:pPr>
      <w:r w:rsidRPr="15163AE6">
        <w:rPr>
          <w:rFonts w:ascii="Garamond" w:eastAsia="Garamond" w:hAnsi="Garamond" w:cs="Garamond"/>
        </w:rPr>
        <w:t>We would like to thank our science advisors, Dr. Kent Ross, Benjamin Holt, Dr. Anamika Shreevastava and Dr. Glynn Hulley, our partners, Rachel Malarich from Los Angeles, Office of City Forest Management and Rachel O’leary from City Plants, and our fellow, Michael Pazmino, for providing support and guidance throughout the project.</w:t>
      </w:r>
    </w:p>
    <w:p w14:paraId="000000E2" w14:textId="77777777" w:rsidR="006B67F3" w:rsidRDefault="006B67F3" w:rsidP="15163AE6">
      <w:pPr>
        <w:pStyle w:val="Normal4"/>
        <w:spacing w:after="0" w:line="240" w:lineRule="auto"/>
        <w:rPr>
          <w:rFonts w:ascii="Garamond" w:eastAsia="Garamond" w:hAnsi="Garamond" w:cs="Garamond"/>
        </w:rPr>
      </w:pPr>
    </w:p>
    <w:p w14:paraId="000000E3" w14:textId="77777777" w:rsidR="006B67F3" w:rsidRDefault="00C27B54" w:rsidP="15163AE6">
      <w:pPr>
        <w:pStyle w:val="Normal4"/>
        <w:spacing w:after="0" w:line="240" w:lineRule="auto"/>
        <w:rPr>
          <w:rFonts w:ascii="Garamond" w:eastAsia="Garamond" w:hAnsi="Garamond" w:cs="Garamond"/>
        </w:rPr>
      </w:pPr>
      <w:r w:rsidRPr="15163AE6">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000000E4" w14:textId="77777777" w:rsidR="006B67F3" w:rsidRDefault="006B67F3" w:rsidP="15163AE6">
      <w:pPr>
        <w:pStyle w:val="Normal4"/>
        <w:spacing w:after="0" w:line="240" w:lineRule="auto"/>
        <w:rPr>
          <w:rFonts w:ascii="Garamond" w:eastAsia="Garamond" w:hAnsi="Garamond" w:cs="Garamond"/>
        </w:rPr>
      </w:pPr>
    </w:p>
    <w:p w14:paraId="000000E5" w14:textId="77777777" w:rsidR="006B67F3" w:rsidRDefault="00C27B54" w:rsidP="15163AE6">
      <w:pPr>
        <w:pStyle w:val="Normal4"/>
        <w:spacing w:after="0" w:line="240" w:lineRule="auto"/>
        <w:rPr>
          <w:rFonts w:ascii="Garamond" w:eastAsia="Garamond" w:hAnsi="Garamond" w:cs="Garamond"/>
        </w:rPr>
      </w:pPr>
      <w:r w:rsidRPr="15163AE6">
        <w:rPr>
          <w:rFonts w:ascii="Garamond" w:eastAsia="Garamond" w:hAnsi="Garamond" w:cs="Garamond"/>
        </w:rPr>
        <w:t>This material is based upon work supported by NASA through contract NNL16AA05C.</w:t>
      </w:r>
    </w:p>
    <w:p w14:paraId="000000E6" w14:textId="77777777" w:rsidR="006B67F3" w:rsidRDefault="006B67F3" w:rsidP="15163AE6">
      <w:pPr>
        <w:pStyle w:val="Normal4"/>
        <w:pBdr>
          <w:top w:val="nil"/>
          <w:left w:val="nil"/>
          <w:bottom w:val="nil"/>
          <w:right w:val="nil"/>
          <w:between w:val="nil"/>
        </w:pBdr>
        <w:spacing w:after="0" w:line="240" w:lineRule="auto"/>
        <w:rPr>
          <w:rFonts w:ascii="Garamond" w:eastAsia="Garamond" w:hAnsi="Garamond" w:cs="Garamond"/>
        </w:rPr>
      </w:pPr>
    </w:p>
    <w:p w14:paraId="000000E7" w14:textId="77777777" w:rsidR="006B67F3" w:rsidRDefault="00C27B54">
      <w:pPr>
        <w:pStyle w:val="Normal4"/>
        <w:keepNext/>
        <w:keepLines/>
        <w:spacing w:after="0" w:line="240" w:lineRule="auto"/>
        <w:rPr>
          <w:rFonts w:ascii="Garamond" w:eastAsia="Garamond" w:hAnsi="Garamond" w:cs="Garamond"/>
          <w:b/>
          <w:color w:val="366091"/>
          <w:sz w:val="28"/>
          <w:szCs w:val="28"/>
        </w:rPr>
      </w:pPr>
      <w:r>
        <w:rPr>
          <w:rFonts w:ascii="Garamond" w:eastAsia="Garamond" w:hAnsi="Garamond" w:cs="Garamond"/>
          <w:b/>
          <w:color w:val="366091"/>
          <w:sz w:val="28"/>
          <w:szCs w:val="28"/>
        </w:rPr>
        <w:t>7. Glossary</w:t>
      </w:r>
    </w:p>
    <w:p w14:paraId="000000E8" w14:textId="77777777" w:rsidR="006B67F3" w:rsidRDefault="006B67F3">
      <w:pPr>
        <w:pStyle w:val="Normal4"/>
        <w:keepNext/>
        <w:keepLines/>
        <w:spacing w:after="0" w:line="240" w:lineRule="auto"/>
        <w:rPr>
          <w:rFonts w:ascii="Garamond" w:eastAsia="Garamond" w:hAnsi="Garamond" w:cs="Garamond"/>
          <w:b/>
          <w:color w:val="366091"/>
          <w:sz w:val="28"/>
          <w:szCs w:val="28"/>
        </w:rPr>
      </w:pPr>
      <w:bookmarkStart w:id="5" w:name="_heading=h.trnqs4y5tv88" w:colFirst="0" w:colLast="0"/>
      <w:bookmarkEnd w:id="5"/>
    </w:p>
    <w:p w14:paraId="000000EA" w14:textId="77777777" w:rsidR="006B67F3" w:rsidRDefault="00C27B54"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Algorithm </w:t>
      </w:r>
      <w:r>
        <w:rPr>
          <w:rFonts w:ascii="Garamond" w:eastAsia="Garamond" w:hAnsi="Garamond" w:cs="Garamond"/>
        </w:rPr>
        <w:t>– a process or set of rules to be followed in calculations or other problem-solving operations.</w:t>
      </w:r>
    </w:p>
    <w:p w14:paraId="000000EB" w14:textId="77777777" w:rsidR="006B67F3" w:rsidRDefault="00C27B54"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Angelinos </w:t>
      </w:r>
      <w:r>
        <w:rPr>
          <w:rFonts w:ascii="Garamond" w:eastAsia="Garamond" w:hAnsi="Garamond" w:cs="Garamond"/>
        </w:rPr>
        <w:t>– a native or inhabitant of Los Angeles.</w:t>
      </w:r>
    </w:p>
    <w:p w14:paraId="000000EC" w14:textId="77777777" w:rsidR="006B67F3" w:rsidRDefault="00C27B54" w:rsidP="15163AE6">
      <w:pPr>
        <w:pStyle w:val="Normal4"/>
        <w:spacing w:after="0" w:line="240" w:lineRule="auto"/>
        <w:rPr>
          <w:rFonts w:ascii="Garamond" w:eastAsia="Garamond" w:hAnsi="Garamond" w:cs="Garamond"/>
        </w:rPr>
      </w:pPr>
      <w:r w:rsidRPr="15163AE6">
        <w:rPr>
          <w:rFonts w:ascii="Garamond" w:eastAsia="Garamond" w:hAnsi="Garamond" w:cs="Garamond"/>
          <w:b/>
          <w:bCs/>
        </w:rPr>
        <w:t xml:space="preserve">Anthropogenic </w:t>
      </w:r>
      <w:r w:rsidRPr="15163AE6">
        <w:rPr>
          <w:rFonts w:ascii="Garamond" w:eastAsia="Garamond" w:hAnsi="Garamond" w:cs="Garamond"/>
        </w:rPr>
        <w:t>– pollution or environmental change originating in human activity.</w:t>
      </w:r>
    </w:p>
    <w:p w14:paraId="000000EE" w14:textId="77777777" w:rsidR="006B67F3" w:rsidRDefault="00C27B54"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AppEEARS </w:t>
      </w:r>
      <w:r>
        <w:rPr>
          <w:rFonts w:ascii="Garamond" w:eastAsia="Garamond" w:hAnsi="Garamond" w:cs="Garamond"/>
        </w:rPr>
        <w:t>– Application for Extracting and Exploring Analysis Ready Samples used to visualize geospatial data from federal archives.</w:t>
      </w:r>
    </w:p>
    <w:p w14:paraId="000000F0" w14:textId="77777777" w:rsidR="006B67F3" w:rsidRDefault="00C27B54"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ArcGIS </w:t>
      </w:r>
      <w:r>
        <w:rPr>
          <w:rFonts w:ascii="Garamond" w:eastAsia="Garamond" w:hAnsi="Garamond" w:cs="Garamond"/>
        </w:rPr>
        <w:t>– Arc Geographic Information System is an online software program used to create maps and analyze data.</w:t>
      </w:r>
    </w:p>
    <w:p w14:paraId="000000F2" w14:textId="77777777" w:rsidR="006B67F3" w:rsidRDefault="00C27B54"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Composite </w:t>
      </w:r>
      <w:r>
        <w:rPr>
          <w:rFonts w:ascii="Garamond" w:eastAsia="Garamond" w:hAnsi="Garamond" w:cs="Garamond"/>
        </w:rPr>
        <w:t>– made up of various parts or elements.</w:t>
      </w:r>
    </w:p>
    <w:p w14:paraId="000000F4" w14:textId="77777777" w:rsidR="006B67F3" w:rsidRDefault="00C27B54"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Confusion matrices </w:t>
      </w:r>
      <w:r>
        <w:rPr>
          <w:rFonts w:ascii="Garamond" w:eastAsia="Garamond" w:hAnsi="Garamond" w:cs="Garamond"/>
        </w:rPr>
        <w:t>– a summary of prediction results on a classification problem.</w:t>
      </w:r>
    </w:p>
    <w:p w14:paraId="000000F5" w14:textId="77777777" w:rsidR="006B67F3" w:rsidRDefault="00C27B54"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Correlation</w:t>
      </w:r>
      <w:r>
        <w:rPr>
          <w:rFonts w:ascii="Garamond" w:eastAsia="Garamond" w:hAnsi="Garamond" w:cs="Garamond"/>
        </w:rPr>
        <w:t xml:space="preserve"> – a connection between two or more things.</w:t>
      </w:r>
    </w:p>
    <w:p w14:paraId="000000F8" w14:textId="77777777" w:rsidR="006B67F3" w:rsidRDefault="00C27B54" w:rsidP="15163AE6">
      <w:pPr>
        <w:pStyle w:val="Normal4"/>
        <w:spacing w:after="0" w:line="240" w:lineRule="auto"/>
        <w:rPr>
          <w:rFonts w:ascii="Garamond" w:eastAsia="Garamond" w:hAnsi="Garamond" w:cs="Garamond"/>
          <w:color w:val="FF0000"/>
        </w:rPr>
      </w:pPr>
      <w:r w:rsidRPr="15163AE6">
        <w:rPr>
          <w:rFonts w:ascii="Garamond" w:eastAsia="Garamond" w:hAnsi="Garamond" w:cs="Garamond"/>
          <w:b/>
          <w:bCs/>
        </w:rPr>
        <w:t xml:space="preserve">DEVELOP (Digital Earth Virtual Environment and Learning Outreach Program) </w:t>
      </w:r>
      <w:r>
        <w:rPr>
          <w:rFonts w:ascii="Garamond" w:eastAsia="Garamond" w:hAnsi="Garamond" w:cs="Garamond"/>
        </w:rPr>
        <w:t>– one of NASA’s Applied Sciences Program which addresses environmental and public policy issues utilizing NASA Earth observations.</w:t>
      </w:r>
    </w:p>
    <w:p w14:paraId="000000FA" w14:textId="647E0707" w:rsidR="006B67F3" w:rsidRDefault="00C27B54" w:rsidP="15163AE6">
      <w:pPr>
        <w:pStyle w:val="Normal4"/>
        <w:spacing w:after="0" w:line="240" w:lineRule="auto"/>
        <w:rPr>
          <w:rFonts w:ascii="Garamond" w:eastAsia="Garamond" w:hAnsi="Garamond" w:cs="Garamond"/>
        </w:rPr>
      </w:pPr>
      <w:r w:rsidRPr="15163AE6">
        <w:rPr>
          <w:rFonts w:ascii="Garamond" w:eastAsia="Garamond" w:hAnsi="Garamond" w:cs="Garamond"/>
          <w:b/>
          <w:bCs/>
        </w:rPr>
        <w:t>Earth observations (EO)</w:t>
      </w:r>
      <w:r w:rsidRPr="15163AE6">
        <w:rPr>
          <w:rFonts w:ascii="Garamond" w:eastAsia="Garamond" w:hAnsi="Garamond" w:cs="Garamond"/>
        </w:rPr>
        <w:t xml:space="preserve"> – Satellites and sensors that collect information about the Earth’s physical, chemical, and biological systems over space and time.</w:t>
      </w:r>
    </w:p>
    <w:p w14:paraId="000000FB" w14:textId="3122FBA5" w:rsidR="006B67F3" w:rsidRDefault="00C27B54" w:rsidP="15163AE6">
      <w:pPr>
        <w:pStyle w:val="Normal4"/>
        <w:spacing w:after="0" w:line="240" w:lineRule="auto"/>
        <w:rPr>
          <w:rFonts w:ascii="Garamond" w:eastAsia="Garamond" w:hAnsi="Garamond" w:cs="Garamond"/>
        </w:rPr>
      </w:pPr>
      <w:r w:rsidRPr="15163AE6">
        <w:rPr>
          <w:rFonts w:ascii="Garamond" w:eastAsia="Garamond" w:hAnsi="Garamond" w:cs="Garamond"/>
          <w:b/>
          <w:bCs/>
        </w:rPr>
        <w:t xml:space="preserve">ECOSTRESS </w:t>
      </w:r>
      <w:r w:rsidRPr="15163AE6">
        <w:rPr>
          <w:rFonts w:ascii="Garamond" w:eastAsia="Garamond" w:hAnsi="Garamond" w:cs="Garamond"/>
        </w:rPr>
        <w:t>– ECOsystem Spaceborne Thermal Radiometer Experiment on Space Station</w:t>
      </w:r>
    </w:p>
    <w:p w14:paraId="000000FD" w14:textId="77777777" w:rsidR="006B67F3" w:rsidRDefault="00C27B54"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Entropy </w:t>
      </w:r>
      <w:r>
        <w:rPr>
          <w:rFonts w:ascii="Garamond" w:eastAsia="Garamond" w:hAnsi="Garamond" w:cs="Garamond"/>
        </w:rPr>
        <w:t>– the measure of a system's thermal energy per unit temperature that is unavailable for doing useful work.</w:t>
      </w:r>
    </w:p>
    <w:p w14:paraId="000000FE" w14:textId="77777777" w:rsidR="006B67F3" w:rsidRDefault="00C27B54" w:rsidP="15163AE6">
      <w:pPr>
        <w:pStyle w:val="Normal4"/>
        <w:spacing w:after="0" w:line="240" w:lineRule="auto"/>
        <w:rPr>
          <w:rFonts w:ascii="Garamond" w:eastAsia="Garamond" w:hAnsi="Garamond" w:cs="Garamond"/>
          <w:b/>
          <w:bCs/>
        </w:rPr>
      </w:pPr>
      <w:r w:rsidRPr="15163AE6">
        <w:rPr>
          <w:rFonts w:ascii="Garamond" w:eastAsia="Garamond" w:hAnsi="Garamond" w:cs="Garamond"/>
          <w:b/>
          <w:bCs/>
        </w:rPr>
        <w:lastRenderedPageBreak/>
        <w:t xml:space="preserve">Evapotranspiration </w:t>
      </w:r>
      <w:r>
        <w:rPr>
          <w:rFonts w:ascii="Garamond" w:eastAsia="Garamond" w:hAnsi="Garamond" w:cs="Garamond"/>
        </w:rPr>
        <w:t xml:space="preserve">– the process by which water is transferred from the land to the atmosphere by </w:t>
      </w:r>
      <w:hyperlink r:id="rId23">
        <w:r>
          <w:rPr>
            <w:rFonts w:ascii="Garamond" w:eastAsia="Garamond" w:hAnsi="Garamond" w:cs="Garamond"/>
          </w:rPr>
          <w:t>evaporation</w:t>
        </w:r>
      </w:hyperlink>
      <w:r>
        <w:rPr>
          <w:rFonts w:ascii="Garamond" w:eastAsia="Garamond" w:hAnsi="Garamond" w:cs="Garamond"/>
        </w:rPr>
        <w:t xml:space="preserve"> from the soil and other surfaces and by </w:t>
      </w:r>
      <w:hyperlink r:id="rId24">
        <w:r>
          <w:rPr>
            <w:rFonts w:ascii="Garamond" w:eastAsia="Garamond" w:hAnsi="Garamond" w:cs="Garamond"/>
          </w:rPr>
          <w:t>transpiration</w:t>
        </w:r>
      </w:hyperlink>
      <w:r>
        <w:rPr>
          <w:rFonts w:ascii="Garamond" w:eastAsia="Garamond" w:hAnsi="Garamond" w:cs="Garamond"/>
        </w:rPr>
        <w:t xml:space="preserve"> from plants.</w:t>
      </w:r>
    </w:p>
    <w:p w14:paraId="00000100" w14:textId="77777777" w:rsidR="006B67F3" w:rsidRDefault="00C27B54"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GEE </w:t>
      </w:r>
      <w:r>
        <w:rPr>
          <w:rFonts w:ascii="Garamond" w:eastAsia="Garamond" w:hAnsi="Garamond" w:cs="Garamond"/>
        </w:rPr>
        <w:t>– Google Earth Engine is a catalog of satellite imagery and geospatial datasets with planetary-scale analysis capabilities used to detect changes, map trends, and quantify differences on the Earth's surface.</w:t>
      </w:r>
    </w:p>
    <w:p w14:paraId="4AAD9BA7" w14:textId="2C14F6FA" w:rsidR="00C63639" w:rsidRDefault="00C63639"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Geospatial </w:t>
      </w:r>
      <w:r w:rsidRPr="15163AE6">
        <w:rPr>
          <w:rFonts w:ascii="Garamond" w:eastAsia="Garamond" w:hAnsi="Garamond" w:cs="Garamond"/>
        </w:rPr>
        <w:t>– relating to data that is associated with a particular location.</w:t>
      </w:r>
    </w:p>
    <w:p w14:paraId="00000101" w14:textId="2C3364C5" w:rsidR="006B67F3" w:rsidRDefault="00C27B54"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Green New Deal </w:t>
      </w:r>
      <w:r>
        <w:rPr>
          <w:rFonts w:ascii="Garamond" w:eastAsia="Garamond" w:hAnsi="Garamond" w:cs="Garamond"/>
        </w:rPr>
        <w:t>– a congressional resolution that lays out a grand plan to dramatically reduce greenhouse emissions and create new high-paying jobs in clean energy industries.</w:t>
      </w:r>
    </w:p>
    <w:p w14:paraId="00000103" w14:textId="42C21D78" w:rsidR="006B67F3" w:rsidRDefault="00C27B54"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HyTES </w:t>
      </w:r>
      <w:r>
        <w:rPr>
          <w:rFonts w:ascii="Garamond" w:eastAsia="Garamond" w:hAnsi="Garamond" w:cs="Garamond"/>
        </w:rPr>
        <w:t>– Hyperspectral Thermal Emissions Spectrometer built by NASA which can be used to observe land surface temperatures.</w:t>
      </w:r>
    </w:p>
    <w:p w14:paraId="00000104" w14:textId="77777777" w:rsidR="006B67F3" w:rsidRDefault="00C27B54"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Impervious </w:t>
      </w:r>
      <w:r>
        <w:rPr>
          <w:rFonts w:ascii="Garamond" w:eastAsia="Garamond" w:hAnsi="Garamond" w:cs="Garamond"/>
        </w:rPr>
        <w:t>– not allowing fluid to pass through.</w:t>
      </w:r>
    </w:p>
    <w:p w14:paraId="00000105" w14:textId="70BDD28D" w:rsidR="006B67F3" w:rsidRDefault="00C27B54" w:rsidP="15163AE6">
      <w:pPr>
        <w:pStyle w:val="Normal4"/>
        <w:spacing w:after="0" w:line="240" w:lineRule="auto"/>
        <w:rPr>
          <w:rFonts w:ascii="Garamond" w:eastAsia="Garamond" w:hAnsi="Garamond" w:cs="Garamond"/>
        </w:rPr>
      </w:pPr>
      <w:bookmarkStart w:id="6" w:name="_heading=h.gjdgxs"/>
      <w:bookmarkEnd w:id="6"/>
      <w:r w:rsidRPr="15163AE6">
        <w:rPr>
          <w:rFonts w:ascii="Garamond" w:eastAsia="Garamond" w:hAnsi="Garamond" w:cs="Garamond"/>
          <w:b/>
          <w:bCs/>
        </w:rPr>
        <w:t>ISS</w:t>
      </w:r>
      <w:r w:rsidR="26B6CF9C" w:rsidRPr="15163AE6">
        <w:rPr>
          <w:rFonts w:ascii="Garamond" w:eastAsia="Garamond" w:hAnsi="Garamond" w:cs="Garamond"/>
          <w:b/>
          <w:bCs/>
        </w:rPr>
        <w:t xml:space="preserve"> </w:t>
      </w:r>
      <w:r w:rsidRPr="15163AE6">
        <w:rPr>
          <w:rFonts w:ascii="Garamond" w:eastAsia="Garamond" w:hAnsi="Garamond" w:cs="Garamond"/>
        </w:rPr>
        <w:t>– (the) international space station.</w:t>
      </w:r>
    </w:p>
    <w:p w14:paraId="00000107" w14:textId="52623329" w:rsidR="006B67F3" w:rsidRDefault="00C27B54" w:rsidP="15163AE6">
      <w:pPr>
        <w:pStyle w:val="Normal4"/>
        <w:spacing w:after="0" w:line="240" w:lineRule="auto"/>
        <w:rPr>
          <w:rFonts w:ascii="Garamond" w:eastAsia="Garamond" w:hAnsi="Garamond" w:cs="Garamond"/>
        </w:rPr>
      </w:pPr>
      <w:r w:rsidRPr="15163AE6">
        <w:rPr>
          <w:rFonts w:ascii="Garamond" w:eastAsia="Garamond" w:hAnsi="Garamond" w:cs="Garamond"/>
          <w:b/>
          <w:bCs/>
        </w:rPr>
        <w:t xml:space="preserve">LP DAAC </w:t>
      </w:r>
      <w:r w:rsidRPr="15163AE6">
        <w:rPr>
          <w:rFonts w:ascii="Garamond" w:eastAsia="Garamond" w:hAnsi="Garamond" w:cs="Garamond"/>
        </w:rPr>
        <w:t xml:space="preserve">– Land Processes Distributed Active Archive Center which processes NASA land processes data products and provides vital contributions to interdisciplinary studies of the integrated Earth system. </w:t>
      </w:r>
    </w:p>
    <w:p w14:paraId="0000010D" w14:textId="4A83A29D" w:rsidR="006B67F3" w:rsidRDefault="00C27B54">
      <w:pPr>
        <w:pStyle w:val="Normal4"/>
        <w:spacing w:after="0" w:line="240" w:lineRule="auto"/>
        <w:rPr>
          <w:rFonts w:ascii="Garamond" w:eastAsia="Garamond" w:hAnsi="Garamond" w:cs="Garamond"/>
        </w:rPr>
      </w:pPr>
      <w:r w:rsidRPr="15163AE6">
        <w:rPr>
          <w:rFonts w:ascii="Garamond" w:eastAsia="Garamond" w:hAnsi="Garamond" w:cs="Garamond"/>
          <w:b/>
          <w:bCs/>
        </w:rPr>
        <w:t xml:space="preserve">Median </w:t>
      </w:r>
      <w:r w:rsidRPr="15163AE6">
        <w:rPr>
          <w:rFonts w:ascii="Garamond" w:eastAsia="Garamond" w:hAnsi="Garamond" w:cs="Garamond"/>
        </w:rPr>
        <w:t xml:space="preserve">– a value or quantity located at the </w:t>
      </w:r>
      <w:hyperlink r:id="rId25">
        <w:r w:rsidRPr="15163AE6">
          <w:rPr>
            <w:rFonts w:ascii="Garamond" w:eastAsia="Garamond" w:hAnsi="Garamond" w:cs="Garamond"/>
          </w:rPr>
          <w:t>midpoint</w:t>
        </w:r>
      </w:hyperlink>
      <w:r w:rsidRPr="15163AE6">
        <w:rPr>
          <w:rFonts w:ascii="Garamond" w:eastAsia="Garamond" w:hAnsi="Garamond" w:cs="Garamond"/>
        </w:rPr>
        <w:t xml:space="preserve"> of observed values or quantities.</w:t>
      </w:r>
    </w:p>
    <w:p w14:paraId="0000010F" w14:textId="3B621E86" w:rsidR="006B67F3" w:rsidRDefault="00C27B54">
      <w:pPr>
        <w:pStyle w:val="Normal4"/>
        <w:spacing w:after="0" w:line="240" w:lineRule="auto"/>
        <w:rPr>
          <w:rFonts w:ascii="Garamond" w:eastAsia="Garamond" w:hAnsi="Garamond" w:cs="Garamond"/>
        </w:rPr>
      </w:pPr>
      <w:r w:rsidRPr="15163AE6">
        <w:rPr>
          <w:rFonts w:ascii="Garamond" w:eastAsia="Garamond" w:hAnsi="Garamond" w:cs="Garamond"/>
          <w:b/>
          <w:bCs/>
        </w:rPr>
        <w:t>Mitigation</w:t>
      </w:r>
      <w:r w:rsidRPr="15163AE6">
        <w:rPr>
          <w:rFonts w:ascii="Garamond" w:eastAsia="Garamond" w:hAnsi="Garamond" w:cs="Garamond"/>
        </w:rPr>
        <w:t xml:space="preserve"> – reducing the severity or seriousness of something.</w:t>
      </w:r>
    </w:p>
    <w:p w14:paraId="00000111" w14:textId="0A0AE31B" w:rsidR="006B67F3" w:rsidRDefault="00C27B54" w:rsidP="15163AE6">
      <w:pPr>
        <w:pStyle w:val="Normal4"/>
        <w:spacing w:after="0" w:line="240" w:lineRule="auto"/>
        <w:rPr>
          <w:rFonts w:ascii="Garamond" w:eastAsia="Garamond" w:hAnsi="Garamond" w:cs="Garamond"/>
        </w:rPr>
      </w:pPr>
      <w:r w:rsidRPr="15163AE6">
        <w:rPr>
          <w:rFonts w:ascii="Garamond" w:eastAsia="Garamond" w:hAnsi="Garamond" w:cs="Garamond"/>
          <w:b/>
          <w:bCs/>
        </w:rPr>
        <w:t>MODIS</w:t>
      </w:r>
      <w:r w:rsidRPr="15163AE6">
        <w:rPr>
          <w:rFonts w:ascii="Garamond" w:eastAsia="Garamond" w:hAnsi="Garamond" w:cs="Garamond"/>
        </w:rPr>
        <w:t xml:space="preserve"> – Moderate Resolution Imaging Spectroradiometer which is a key instrument on the Aqua and Terra satellites, used to measure the frequency and distribution of cloud cover in both liquid water and ice clouds.</w:t>
      </w:r>
    </w:p>
    <w:p w14:paraId="00000113" w14:textId="2A60FC96" w:rsidR="006B67F3" w:rsidRDefault="00C27B54">
      <w:pPr>
        <w:pStyle w:val="Normal4"/>
        <w:spacing w:after="0" w:line="240" w:lineRule="auto"/>
        <w:rPr>
          <w:rFonts w:ascii="Garamond" w:eastAsia="Garamond" w:hAnsi="Garamond" w:cs="Garamond"/>
        </w:rPr>
      </w:pPr>
      <w:r w:rsidRPr="15163AE6">
        <w:rPr>
          <w:rFonts w:ascii="Garamond" w:eastAsia="Garamond" w:hAnsi="Garamond" w:cs="Garamond"/>
          <w:b/>
          <w:bCs/>
        </w:rPr>
        <w:t xml:space="preserve">NASA </w:t>
      </w:r>
      <w:r w:rsidRPr="15163AE6">
        <w:rPr>
          <w:rFonts w:ascii="Garamond" w:eastAsia="Garamond" w:hAnsi="Garamond" w:cs="Garamond"/>
        </w:rPr>
        <w:t>– National Aeronautics and Space Administration which is a United States government agency that is responsible for science and technology related to air and space.</w:t>
      </w:r>
    </w:p>
    <w:p w14:paraId="00000115" w14:textId="7138B2A7" w:rsidR="006B67F3" w:rsidRDefault="00C27B54" w:rsidP="15163AE6">
      <w:pPr>
        <w:pStyle w:val="Normal4"/>
        <w:spacing w:after="0" w:line="240" w:lineRule="auto"/>
        <w:rPr>
          <w:rFonts w:ascii="Garamond" w:eastAsia="Garamond" w:hAnsi="Garamond" w:cs="Garamond"/>
        </w:rPr>
      </w:pPr>
      <w:r w:rsidRPr="15163AE6">
        <w:rPr>
          <w:rFonts w:ascii="Garamond" w:eastAsia="Garamond" w:hAnsi="Garamond" w:cs="Garamond"/>
          <w:b/>
          <w:bCs/>
        </w:rPr>
        <w:t xml:space="preserve">NAIP </w:t>
      </w:r>
      <w:r w:rsidRPr="15163AE6">
        <w:rPr>
          <w:rFonts w:ascii="Garamond" w:eastAsia="Garamond" w:hAnsi="Garamond" w:cs="Garamond"/>
        </w:rPr>
        <w:t>– National Agriculture Imagery Program which provides aerial imagery of 1-meter ground sample distance (GSD) for the United States during the agricultural growing season.</w:t>
      </w:r>
    </w:p>
    <w:p w14:paraId="00000117" w14:textId="77777777" w:rsidR="006B67F3" w:rsidRDefault="00C27B54"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NIR </w:t>
      </w:r>
      <w:r>
        <w:rPr>
          <w:rFonts w:ascii="Garamond" w:eastAsia="Garamond" w:hAnsi="Garamond" w:cs="Garamond"/>
        </w:rPr>
        <w:t>– Near-infrared bands are a broad-spectrum of light which can be absorbed, transmitted, reflected or scattered within the wavelength range of 0.8 to 2.5 microns.</w:t>
      </w:r>
    </w:p>
    <w:p w14:paraId="00000119" w14:textId="77777777" w:rsidR="006B67F3" w:rsidRDefault="00C27B54"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NDVI </w:t>
      </w:r>
      <w:r>
        <w:rPr>
          <w:rFonts w:ascii="Garamond" w:eastAsia="Garamond" w:hAnsi="Garamond" w:cs="Garamond"/>
        </w:rPr>
        <w:t>– Normalized Difference Vegetation Index which quantifies vegetation by measuring the difference between near-infrared, which vegetation strongly reflects, and red light, which vegetation absorbs.</w:t>
      </w:r>
    </w:p>
    <w:p w14:paraId="0000011B" w14:textId="1424EF63" w:rsidR="006B67F3" w:rsidRDefault="00C27B54"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NDWI </w:t>
      </w:r>
      <w:r>
        <w:rPr>
          <w:rFonts w:ascii="Garamond" w:eastAsia="Garamond" w:hAnsi="Garamond" w:cs="Garamond"/>
        </w:rPr>
        <w:t>– Normalized difference water index is used to highlight open water features in a satellite image, allowing a water body to “stand out” against the soil and vegetation.</w:t>
      </w:r>
    </w:p>
    <w:p w14:paraId="1A174208" w14:textId="2B391725" w:rsidR="00C63639" w:rsidRDefault="00C63639">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OLI </w:t>
      </w:r>
      <w:r>
        <w:rPr>
          <w:rFonts w:ascii="Garamond" w:eastAsia="Garamond" w:hAnsi="Garamond" w:cs="Garamond"/>
        </w:rPr>
        <w:t>– Landsat 8 Operational Land Imager measures in the visible, near-infrared, and short wave infrared portions of the spectrum.</w:t>
      </w:r>
    </w:p>
    <w:p w14:paraId="0000011D" w14:textId="47E0E753" w:rsidR="006B67F3" w:rsidRDefault="00C27B54">
      <w:pPr>
        <w:pStyle w:val="Normal4"/>
        <w:spacing w:after="0" w:line="240" w:lineRule="auto"/>
        <w:rPr>
          <w:rFonts w:ascii="Garamond" w:eastAsia="Garamond" w:hAnsi="Garamond" w:cs="Garamond"/>
        </w:rPr>
      </w:pPr>
      <w:r w:rsidRPr="15163AE6">
        <w:rPr>
          <w:rFonts w:ascii="Garamond" w:eastAsia="Garamond" w:hAnsi="Garamond" w:cs="Garamond"/>
          <w:b/>
          <w:bCs/>
        </w:rPr>
        <w:t xml:space="preserve">Orthorectified </w:t>
      </w:r>
      <w:r w:rsidRPr="15163AE6">
        <w:rPr>
          <w:rFonts w:ascii="Garamond" w:eastAsia="Garamond" w:hAnsi="Garamond" w:cs="Garamond"/>
        </w:rPr>
        <w:t>– the process of converting images into a form suitable for maps by removing sensor, satellite/aircraft motion and terrain-related geometric distortions from raw imagery.</w:t>
      </w:r>
    </w:p>
    <w:p w14:paraId="0000011F" w14:textId="57A957FD" w:rsidR="006B67F3" w:rsidRDefault="00C27B54" w:rsidP="15163AE6">
      <w:pPr>
        <w:pStyle w:val="Normal4"/>
        <w:spacing w:after="0" w:line="240" w:lineRule="auto"/>
        <w:rPr>
          <w:rFonts w:ascii="Garamond" w:eastAsia="Garamond" w:hAnsi="Garamond" w:cs="Garamond"/>
        </w:rPr>
      </w:pPr>
      <w:r w:rsidRPr="15163AE6">
        <w:rPr>
          <w:rFonts w:ascii="Garamond" w:eastAsia="Garamond" w:hAnsi="Garamond" w:cs="Garamond"/>
          <w:b/>
          <w:bCs/>
        </w:rPr>
        <w:t>Pearson Correlation Coefficient (R)</w:t>
      </w:r>
      <w:r w:rsidRPr="15163AE6">
        <w:rPr>
          <w:rFonts w:ascii="Garamond" w:eastAsia="Garamond" w:hAnsi="Garamond" w:cs="Garamond"/>
        </w:rPr>
        <w:t xml:space="preserve"> - measure between linear correlation between two dataset</w:t>
      </w:r>
      <w:r w:rsidR="007F6D61">
        <w:rPr>
          <w:rFonts w:ascii="Garamond" w:eastAsia="Garamond" w:hAnsi="Garamond" w:cs="Garamond"/>
        </w:rPr>
        <w:t>s</w:t>
      </w:r>
      <w:r w:rsidRPr="15163AE6">
        <w:rPr>
          <w:rFonts w:ascii="Garamond" w:eastAsia="Garamond" w:hAnsi="Garamond" w:cs="Garamond"/>
        </w:rPr>
        <w:t>. The value ranges from -1 to 1. The smallest negative values indicate a stronger negative correlation while larger positive values indicate a stronger positive correlation.</w:t>
      </w:r>
    </w:p>
    <w:p w14:paraId="00000121" w14:textId="77777777" w:rsidR="006B67F3" w:rsidRDefault="00C27B54"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Proxy </w:t>
      </w:r>
      <w:r>
        <w:rPr>
          <w:rFonts w:ascii="Garamond" w:eastAsia="Garamond" w:hAnsi="Garamond" w:cs="Garamond"/>
        </w:rPr>
        <w:t>– a figure that can be used to represent the value of something in a calculation.</w:t>
      </w:r>
    </w:p>
    <w:p w14:paraId="00000123" w14:textId="2E49871B" w:rsidR="006B67F3" w:rsidRDefault="00C27B54">
      <w:pPr>
        <w:pStyle w:val="Normal4"/>
        <w:spacing w:after="0" w:line="240" w:lineRule="auto"/>
        <w:rPr>
          <w:rFonts w:ascii="Garamond" w:eastAsia="Garamond" w:hAnsi="Garamond" w:cs="Garamond"/>
        </w:rPr>
      </w:pPr>
      <w:r w:rsidRPr="15163AE6">
        <w:rPr>
          <w:rFonts w:ascii="Garamond" w:eastAsia="Garamond" w:hAnsi="Garamond" w:cs="Garamond"/>
          <w:b/>
          <w:bCs/>
        </w:rPr>
        <w:t>R</w:t>
      </w:r>
      <w:r w:rsidRPr="15163AE6">
        <w:rPr>
          <w:rFonts w:ascii="Garamond" w:eastAsia="Garamond" w:hAnsi="Garamond" w:cs="Garamond"/>
          <w:b/>
          <w:bCs/>
          <w:vertAlign w:val="superscript"/>
        </w:rPr>
        <w:t>2</w:t>
      </w:r>
      <w:r w:rsidRPr="15163AE6">
        <w:rPr>
          <w:rFonts w:ascii="Garamond" w:eastAsia="Garamond" w:hAnsi="Garamond" w:cs="Garamond"/>
          <w:b/>
          <w:bCs/>
        </w:rPr>
        <w:t xml:space="preserve"> </w:t>
      </w:r>
      <w:r w:rsidRPr="15163AE6">
        <w:rPr>
          <w:rFonts w:ascii="Garamond" w:eastAsia="Garamond" w:hAnsi="Garamond" w:cs="Garamond"/>
        </w:rPr>
        <w:t>– the proportion of variation in the dependent variable that is predictable from the independent variable.</w:t>
      </w:r>
    </w:p>
    <w:p w14:paraId="00000125" w14:textId="77777777" w:rsidR="006B67F3" w:rsidRDefault="00C27B54"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Remote sensing </w:t>
      </w:r>
      <w:r>
        <w:rPr>
          <w:rFonts w:ascii="Garamond" w:eastAsia="Garamond" w:hAnsi="Garamond" w:cs="Garamond"/>
        </w:rPr>
        <w:t>– the scanning of the earth by satellite or high-flying aircraft in order to obtain information about it.</w:t>
      </w:r>
    </w:p>
    <w:p w14:paraId="00000127" w14:textId="77777777" w:rsidR="006B67F3" w:rsidRDefault="00C27B54"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Shapefile </w:t>
      </w:r>
      <w:r>
        <w:rPr>
          <w:rFonts w:ascii="Garamond" w:eastAsia="Garamond" w:hAnsi="Garamond" w:cs="Garamond"/>
        </w:rPr>
        <w:t>– simple, nontopological format for storing the geometric location and attribute information of geographic features.</w:t>
      </w:r>
    </w:p>
    <w:p w14:paraId="00000129" w14:textId="77777777" w:rsidR="006B67F3" w:rsidRDefault="00C27B54"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Temporal </w:t>
      </w:r>
      <w:r>
        <w:rPr>
          <w:rFonts w:ascii="Garamond" w:eastAsia="Garamond" w:hAnsi="Garamond" w:cs="Garamond"/>
        </w:rPr>
        <w:t>– relating to time.</w:t>
      </w:r>
    </w:p>
    <w:p w14:paraId="0000012B" w14:textId="77777777" w:rsidR="006B67F3" w:rsidRDefault="00C27B54"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Thermal </w:t>
      </w:r>
      <w:r>
        <w:rPr>
          <w:rFonts w:ascii="Garamond" w:eastAsia="Garamond" w:hAnsi="Garamond" w:cs="Garamond"/>
        </w:rPr>
        <w:t>– relating to heat energy.</w:t>
      </w:r>
    </w:p>
    <w:p w14:paraId="0000012D" w14:textId="77777777" w:rsidR="006B67F3" w:rsidRDefault="00C27B54"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TIGER/Line Shapefile </w:t>
      </w:r>
      <w:r>
        <w:rPr>
          <w:rFonts w:ascii="Garamond" w:eastAsia="Garamond" w:hAnsi="Garamond" w:cs="Garamond"/>
        </w:rPr>
        <w:t>– a digital database of geographic features, such as roads, railroads, rivers, lakes, political boundaries, census statistical boundaries, etc. covering the entire United States.</w:t>
      </w:r>
    </w:p>
    <w:p w14:paraId="0000012F" w14:textId="77777777" w:rsidR="006B67F3" w:rsidRDefault="00C27B54"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Tif </w:t>
      </w:r>
      <w:r>
        <w:rPr>
          <w:rFonts w:ascii="Garamond" w:eastAsia="Garamond" w:hAnsi="Garamond" w:cs="Garamond"/>
        </w:rPr>
        <w:t>– Tag Image File format is a computer file used to store raster graphics and image information.</w:t>
      </w:r>
    </w:p>
    <w:p w14:paraId="14A3AF73" w14:textId="1671E28D" w:rsidR="00C63639" w:rsidRDefault="00C63639"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TIRS </w:t>
      </w:r>
      <w:r>
        <w:rPr>
          <w:rFonts w:ascii="Garamond" w:eastAsia="Garamond" w:hAnsi="Garamond" w:cs="Garamond"/>
        </w:rPr>
        <w:t>– Landsat 8 Thermal Infrared Sensor measures land surface temperature in two thermal bands with a new technology that applies quantum physics to detect heat.</w:t>
      </w:r>
    </w:p>
    <w:p w14:paraId="00000131" w14:textId="680073F7" w:rsidR="006B67F3" w:rsidRDefault="00C27B54"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United States Census </w:t>
      </w:r>
      <w:r>
        <w:rPr>
          <w:rFonts w:ascii="Garamond" w:eastAsia="Garamond" w:hAnsi="Garamond" w:cs="Garamond"/>
        </w:rPr>
        <w:t>– the Census Bureau counts all United States residents every ten years, providing facts and figures from the data they collect.</w:t>
      </w:r>
    </w:p>
    <w:p w14:paraId="00000133" w14:textId="77777777" w:rsidR="006B67F3" w:rsidRDefault="00C27B54"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Urbanization </w:t>
      </w:r>
      <w:r>
        <w:rPr>
          <w:rFonts w:ascii="Garamond" w:eastAsia="Garamond" w:hAnsi="Garamond" w:cs="Garamond"/>
        </w:rPr>
        <w:t>– the increase in the proportion of people living in towns and cities.</w:t>
      </w:r>
    </w:p>
    <w:p w14:paraId="00000135" w14:textId="77777777" w:rsidR="006B67F3" w:rsidRDefault="00C27B54" w:rsidP="15163AE6">
      <w:pPr>
        <w:pStyle w:val="Normal4"/>
        <w:spacing w:after="0" w:line="240" w:lineRule="auto"/>
        <w:rPr>
          <w:rFonts w:ascii="Garamond" w:eastAsia="Garamond" w:hAnsi="Garamond" w:cs="Garamond"/>
          <w:b/>
          <w:bCs/>
        </w:rPr>
      </w:pPr>
      <w:r w:rsidRPr="15163AE6">
        <w:rPr>
          <w:rFonts w:ascii="Garamond" w:eastAsia="Garamond" w:hAnsi="Garamond" w:cs="Garamond"/>
          <w:b/>
          <w:bCs/>
        </w:rPr>
        <w:t xml:space="preserve">Vegetation </w:t>
      </w:r>
      <w:r>
        <w:rPr>
          <w:rFonts w:ascii="Garamond" w:eastAsia="Garamond" w:hAnsi="Garamond" w:cs="Garamond"/>
        </w:rPr>
        <w:t>– plant life or total plant cover.</w:t>
      </w:r>
    </w:p>
    <w:p w14:paraId="00000136" w14:textId="746DC41D" w:rsidR="006B67F3" w:rsidRDefault="00C27B54">
      <w:pPr>
        <w:pStyle w:val="Normal4"/>
        <w:spacing w:after="0" w:line="240" w:lineRule="auto"/>
        <w:rPr>
          <w:rFonts w:ascii="Garamond" w:eastAsia="Garamond" w:hAnsi="Garamond" w:cs="Garamond"/>
        </w:rPr>
      </w:pPr>
      <w:r>
        <w:rPr>
          <w:rFonts w:ascii="Garamond" w:eastAsia="Garamond" w:hAnsi="Garamond" w:cs="Garamond"/>
          <w:b/>
        </w:rPr>
        <w:lastRenderedPageBreak/>
        <w:t xml:space="preserve">Vermont Corridor </w:t>
      </w:r>
      <w:r>
        <w:rPr>
          <w:rFonts w:ascii="Garamond" w:eastAsia="Garamond" w:hAnsi="Garamond" w:cs="Garamond"/>
        </w:rPr>
        <w:t xml:space="preserve">– location of major 2016 </w:t>
      </w:r>
      <w:r w:rsidR="003A6570">
        <w:rPr>
          <w:rFonts w:ascii="Garamond" w:eastAsia="Garamond" w:hAnsi="Garamond" w:cs="Garamond"/>
        </w:rPr>
        <w:t xml:space="preserve">Los Angeles </w:t>
      </w:r>
      <w:r>
        <w:rPr>
          <w:rFonts w:ascii="Garamond" w:eastAsia="Garamond" w:hAnsi="Garamond" w:cs="Garamond"/>
        </w:rPr>
        <w:t xml:space="preserve">Sanitation tree planting project along Vermont Avenue, between MLK and the 105 Freeway </w:t>
      </w:r>
    </w:p>
    <w:p w14:paraId="00000137" w14:textId="77777777" w:rsidR="006B67F3" w:rsidRDefault="006B67F3">
      <w:pPr>
        <w:pStyle w:val="Normal4"/>
        <w:spacing w:after="0" w:line="240" w:lineRule="auto"/>
        <w:rPr>
          <w:rFonts w:ascii="Garamond" w:eastAsia="Garamond" w:hAnsi="Garamond" w:cs="Garamond"/>
        </w:rPr>
      </w:pPr>
    </w:p>
    <w:p w14:paraId="00000139" w14:textId="77777777" w:rsidR="006B67F3" w:rsidRDefault="006B67F3" w:rsidP="15163AE6">
      <w:pPr>
        <w:pStyle w:val="Normal4"/>
        <w:pBdr>
          <w:top w:val="nil"/>
          <w:left w:val="nil"/>
          <w:bottom w:val="nil"/>
          <w:right w:val="nil"/>
          <w:between w:val="nil"/>
        </w:pBdr>
        <w:spacing w:after="0" w:line="240" w:lineRule="auto"/>
        <w:rPr>
          <w:rFonts w:ascii="Garamond" w:eastAsia="Garamond" w:hAnsi="Garamond" w:cs="Garamond"/>
          <w:b/>
          <w:bCs/>
        </w:rPr>
      </w:pPr>
    </w:p>
    <w:p w14:paraId="00000147" w14:textId="77777777" w:rsidR="006B67F3" w:rsidRDefault="00C27B54" w:rsidP="15163AE6">
      <w:pPr>
        <w:pStyle w:val="Normal4"/>
        <w:pBdr>
          <w:top w:val="nil"/>
          <w:left w:val="nil"/>
          <w:bottom w:val="nil"/>
          <w:right w:val="nil"/>
          <w:between w:val="nil"/>
        </w:pBdr>
        <w:spacing w:after="0" w:line="240" w:lineRule="auto"/>
        <w:rPr>
          <w:b/>
          <w:bCs/>
          <w:color w:val="366091"/>
          <w:sz w:val="28"/>
          <w:szCs w:val="28"/>
        </w:rPr>
      </w:pPr>
      <w:r w:rsidRPr="15163AE6">
        <w:rPr>
          <w:rFonts w:ascii="Garamond" w:eastAsia="Garamond" w:hAnsi="Garamond" w:cs="Garamond"/>
          <w:b/>
          <w:bCs/>
          <w:color w:val="366091"/>
          <w:sz w:val="28"/>
          <w:szCs w:val="28"/>
        </w:rPr>
        <w:t>8. References</w:t>
      </w:r>
    </w:p>
    <w:p w14:paraId="00000148" w14:textId="77777777" w:rsidR="006B67F3" w:rsidRDefault="006B67F3">
      <w:pPr>
        <w:pStyle w:val="Normal4"/>
        <w:pBdr>
          <w:top w:val="nil"/>
          <w:left w:val="nil"/>
          <w:bottom w:val="nil"/>
          <w:right w:val="nil"/>
          <w:between w:val="nil"/>
        </w:pBdr>
        <w:spacing w:line="240" w:lineRule="auto"/>
        <w:ind w:left="720" w:hanging="720"/>
        <w:rPr>
          <w:rFonts w:ascii="Garamond" w:eastAsia="Garamond" w:hAnsi="Garamond" w:cs="Garamond"/>
        </w:rPr>
      </w:pPr>
    </w:p>
    <w:p w14:paraId="00000149" w14:textId="77777777" w:rsidR="006B67F3" w:rsidRDefault="00C27B54">
      <w:pPr>
        <w:pStyle w:val="Normal4"/>
        <w:pBdr>
          <w:top w:val="nil"/>
          <w:left w:val="nil"/>
          <w:bottom w:val="nil"/>
          <w:right w:val="nil"/>
          <w:between w:val="nil"/>
        </w:pBdr>
        <w:spacing w:line="240" w:lineRule="auto"/>
        <w:ind w:left="720" w:hanging="720"/>
        <w:rPr>
          <w:rFonts w:ascii="Garamond" w:eastAsia="Garamond" w:hAnsi="Garamond" w:cs="Garamond"/>
        </w:rPr>
      </w:pPr>
      <w:r>
        <w:rPr>
          <w:rFonts w:ascii="Garamond" w:eastAsia="Garamond" w:hAnsi="Garamond" w:cs="Garamond"/>
          <w:color w:val="000000"/>
        </w:rPr>
        <w:t xml:space="preserve">Balany, F., Ng, A. W., Muttil, N., Muthukumaran, S., &amp; Wong, M. S. (2020). Green Infrastructure as an Urban Heat Island Mitigation Strategy—A Review. </w:t>
      </w:r>
      <w:r>
        <w:rPr>
          <w:rFonts w:ascii="Garamond" w:eastAsia="Garamond" w:hAnsi="Garamond" w:cs="Garamond"/>
          <w:i/>
          <w:color w:val="000000"/>
        </w:rPr>
        <w:t>Water</w:t>
      </w:r>
      <w:r>
        <w:rPr>
          <w:rFonts w:ascii="Garamond" w:eastAsia="Garamond" w:hAnsi="Garamond" w:cs="Garamond"/>
          <w:color w:val="000000"/>
        </w:rPr>
        <w:t xml:space="preserve">, </w:t>
      </w:r>
      <w:r>
        <w:rPr>
          <w:rFonts w:ascii="Garamond" w:eastAsia="Garamond" w:hAnsi="Garamond" w:cs="Garamond"/>
          <w:i/>
          <w:color w:val="000000"/>
        </w:rPr>
        <w:t>12</w:t>
      </w:r>
      <w:r>
        <w:rPr>
          <w:rFonts w:ascii="Garamond" w:eastAsia="Garamond" w:hAnsi="Garamond" w:cs="Garamond"/>
          <w:color w:val="000000"/>
        </w:rPr>
        <w:t xml:space="preserve">(12), 3577. </w:t>
      </w:r>
      <w:hyperlink r:id="rId26">
        <w:r>
          <w:rPr>
            <w:rFonts w:ascii="Garamond" w:eastAsia="Garamond" w:hAnsi="Garamond" w:cs="Garamond"/>
            <w:color w:val="1155CC"/>
            <w:u w:val="single"/>
          </w:rPr>
          <w:t>https://doi.org/10.3390/w12123577</w:t>
        </w:r>
      </w:hyperlink>
    </w:p>
    <w:p w14:paraId="0000014B" w14:textId="77777777" w:rsidR="006B67F3" w:rsidRDefault="00C27B54">
      <w:pPr>
        <w:pStyle w:val="Normal4"/>
        <w:pBdr>
          <w:top w:val="nil"/>
          <w:left w:val="nil"/>
          <w:bottom w:val="nil"/>
          <w:right w:val="nil"/>
          <w:between w:val="nil"/>
        </w:pBdr>
        <w:spacing w:line="240" w:lineRule="auto"/>
        <w:ind w:left="720" w:hanging="720"/>
        <w:rPr>
          <w:rFonts w:ascii="Garamond" w:eastAsia="Garamond" w:hAnsi="Garamond" w:cs="Garamond"/>
          <w:color w:val="000000"/>
        </w:rPr>
      </w:pPr>
      <w:r>
        <w:rPr>
          <w:rFonts w:ascii="Garamond" w:eastAsia="Garamond" w:hAnsi="Garamond" w:cs="Garamond"/>
          <w:color w:val="000000"/>
        </w:rPr>
        <w:t xml:space="preserve">City of Los Angeles. (2019, April 30). Mayor Garcetti Launches LA’s Green New Deal. </w:t>
      </w:r>
      <w:hyperlink r:id="rId27">
        <w:r>
          <w:rPr>
            <w:rFonts w:ascii="Garamond" w:eastAsia="Garamond" w:hAnsi="Garamond" w:cs="Garamond"/>
            <w:color w:val="1155CC"/>
            <w:u w:val="single"/>
          </w:rPr>
          <w:t>https://lacity.gov/highlights/mayor-garcetti-launches-las-green-new-deal</w:t>
        </w:r>
      </w:hyperlink>
    </w:p>
    <w:p w14:paraId="0000014C" w14:textId="77777777" w:rsidR="006B67F3" w:rsidRDefault="00C27B54">
      <w:pPr>
        <w:pStyle w:val="Normal4"/>
        <w:pBdr>
          <w:top w:val="nil"/>
          <w:left w:val="nil"/>
          <w:bottom w:val="nil"/>
          <w:right w:val="nil"/>
          <w:between w:val="nil"/>
        </w:pBdr>
        <w:spacing w:line="240" w:lineRule="auto"/>
        <w:ind w:left="720" w:hanging="720"/>
        <w:rPr>
          <w:rFonts w:ascii="Garamond" w:eastAsia="Garamond" w:hAnsi="Garamond" w:cs="Garamond"/>
        </w:rPr>
      </w:pPr>
      <w:r>
        <w:rPr>
          <w:rFonts w:ascii="Garamond" w:eastAsia="Garamond" w:hAnsi="Garamond" w:cs="Garamond"/>
          <w:color w:val="000000"/>
        </w:rPr>
        <w:t>City Plants. (2023). City Plants | Our Story.</w:t>
      </w:r>
      <w:hyperlink r:id="rId28">
        <w:r>
          <w:rPr>
            <w:rFonts w:ascii="Garamond" w:eastAsia="Garamond" w:hAnsi="Garamond" w:cs="Garamond"/>
            <w:color w:val="1155CC"/>
            <w:u w:val="single"/>
          </w:rPr>
          <w:t xml:space="preserve"> https://www.cityplants.org/our-story/</w:t>
        </w:r>
      </w:hyperlink>
    </w:p>
    <w:p w14:paraId="0000014D" w14:textId="77777777" w:rsidR="006B67F3" w:rsidRDefault="00C27B54">
      <w:pPr>
        <w:pStyle w:val="Normal4"/>
        <w:spacing w:before="240" w:after="240" w:line="240" w:lineRule="auto"/>
        <w:ind w:left="720" w:hanging="720"/>
        <w:rPr>
          <w:rFonts w:ascii="Garamond" w:eastAsia="Garamond" w:hAnsi="Garamond" w:cs="Garamond"/>
        </w:rPr>
      </w:pPr>
      <w:r>
        <w:rPr>
          <w:rFonts w:ascii="Garamond" w:eastAsia="Garamond" w:hAnsi="Garamond" w:cs="Garamond"/>
        </w:rPr>
        <w:t xml:space="preserve">Dominguez, A., Kleissl, J., Luvall, J. C., &amp; Rickman, D. L. (2011). High-resolution urban thermal sharpener (huts). </w:t>
      </w:r>
      <w:r>
        <w:rPr>
          <w:rFonts w:ascii="Garamond" w:eastAsia="Garamond" w:hAnsi="Garamond" w:cs="Garamond"/>
          <w:i/>
        </w:rPr>
        <w:t>Remote Sensing of Environment</w:t>
      </w:r>
      <w:r>
        <w:rPr>
          <w:rFonts w:ascii="Garamond" w:eastAsia="Garamond" w:hAnsi="Garamond" w:cs="Garamond"/>
        </w:rPr>
        <w:t xml:space="preserve">, </w:t>
      </w:r>
      <w:r>
        <w:rPr>
          <w:rFonts w:ascii="Garamond" w:eastAsia="Garamond" w:hAnsi="Garamond" w:cs="Garamond"/>
          <w:i/>
        </w:rPr>
        <w:t>115</w:t>
      </w:r>
      <w:r>
        <w:rPr>
          <w:rFonts w:ascii="Garamond" w:eastAsia="Garamond" w:hAnsi="Garamond" w:cs="Garamond"/>
        </w:rPr>
        <w:t>(7), 1772–1780</w:t>
      </w:r>
      <w:hyperlink r:id="rId29">
        <w:r>
          <w:rPr>
            <w:rFonts w:ascii="Garamond" w:eastAsia="Garamond" w:hAnsi="Garamond" w:cs="Garamond"/>
            <w:color w:val="1155CC"/>
            <w:u w:val="single"/>
          </w:rPr>
          <w:t xml:space="preserve">. https://doi.org/10.1016/j.rse.2011.03.008 </w:t>
        </w:r>
      </w:hyperlink>
    </w:p>
    <w:p w14:paraId="0000014E" w14:textId="77777777" w:rsidR="006B67F3" w:rsidRDefault="00C27B54">
      <w:pPr>
        <w:pStyle w:val="Normal4"/>
        <w:pBdr>
          <w:top w:val="nil"/>
          <w:left w:val="nil"/>
          <w:bottom w:val="nil"/>
          <w:right w:val="nil"/>
          <w:between w:val="nil"/>
        </w:pBdr>
        <w:spacing w:line="240" w:lineRule="auto"/>
        <w:ind w:left="720" w:hanging="720"/>
        <w:rPr>
          <w:rFonts w:ascii="Garamond" w:eastAsia="Garamond" w:hAnsi="Garamond" w:cs="Garamond"/>
          <w:color w:val="000000"/>
        </w:rPr>
      </w:pPr>
      <w:r>
        <w:rPr>
          <w:rFonts w:ascii="Garamond" w:eastAsia="Garamond" w:hAnsi="Garamond" w:cs="Garamond"/>
          <w:color w:val="000000"/>
        </w:rPr>
        <w:t xml:space="preserve">Guzman, E. D. (2020). Climate Resilience Through Urban Greening and Cooling in Los Angeles. </w:t>
      </w:r>
      <w:hyperlink r:id="rId30">
        <w:r>
          <w:rPr>
            <w:rFonts w:ascii="Garamond" w:eastAsia="Garamond" w:hAnsi="Garamond" w:cs="Garamond"/>
            <w:color w:val="1155CC"/>
            <w:u w:val="single"/>
          </w:rPr>
          <w:t>https://www.treepeople.org/wp-content/uploads/2020/09/RX-for-hot-cities-report.pdf</w:t>
        </w:r>
      </w:hyperlink>
    </w:p>
    <w:p w14:paraId="00000150" w14:textId="77777777" w:rsidR="006B67F3" w:rsidRDefault="00C27B54">
      <w:pPr>
        <w:pStyle w:val="Normal4"/>
        <w:pBdr>
          <w:top w:val="nil"/>
          <w:left w:val="nil"/>
          <w:bottom w:val="nil"/>
          <w:right w:val="nil"/>
          <w:between w:val="nil"/>
        </w:pBdr>
        <w:ind w:left="720" w:hanging="720"/>
        <w:rPr>
          <w:rFonts w:ascii="Garamond" w:eastAsia="Garamond" w:hAnsi="Garamond" w:cs="Garamond"/>
          <w:color w:val="3C78D8"/>
        </w:rPr>
      </w:pPr>
      <w:r>
        <w:rPr>
          <w:rFonts w:ascii="Garamond" w:eastAsia="Garamond" w:hAnsi="Garamond" w:cs="Garamond"/>
          <w:color w:val="000000"/>
        </w:rPr>
        <w:t xml:space="preserve">Hook, S., Hulley, G. (2019). </w:t>
      </w:r>
      <w:r>
        <w:rPr>
          <w:rFonts w:ascii="Garamond" w:eastAsia="Garamond" w:hAnsi="Garamond" w:cs="Garamond"/>
          <w:i/>
          <w:color w:val="000000"/>
        </w:rPr>
        <w:t>ECOSTRESS Land Surface Temperature and Emissivity Daily L2 Global 70 m</w:t>
      </w:r>
      <w:r>
        <w:rPr>
          <w:rFonts w:ascii="Garamond" w:eastAsia="Garamond" w:hAnsi="Garamond" w:cs="Garamond"/>
          <w:color w:val="000000"/>
        </w:rPr>
        <w:t xml:space="preserve"> (v001) [Data set]. NASA EOSDIS Land Processes DAAC </w:t>
      </w:r>
      <w:hyperlink r:id="rId31">
        <w:r>
          <w:rPr>
            <w:rFonts w:ascii="Garamond" w:eastAsia="Garamond" w:hAnsi="Garamond" w:cs="Garamond"/>
            <w:color w:val="3C78D8"/>
            <w:u w:val="single"/>
          </w:rPr>
          <w:t>https://doi.org/10.5067/ECOSTRESS/ECO2LSTE.001</w:t>
        </w:r>
      </w:hyperlink>
      <w:r>
        <w:rPr>
          <w:rFonts w:ascii="Garamond" w:eastAsia="Garamond" w:hAnsi="Garamond" w:cs="Garamond"/>
          <w:color w:val="3C78D8"/>
        </w:rPr>
        <w:t xml:space="preserve"> </w:t>
      </w:r>
    </w:p>
    <w:p w14:paraId="61C260FF" w14:textId="77777777" w:rsidR="003A6570" w:rsidRDefault="003A6570" w:rsidP="003A6570">
      <w:pPr>
        <w:pStyle w:val="Normal4"/>
        <w:pBdr>
          <w:top w:val="nil"/>
          <w:left w:val="nil"/>
          <w:bottom w:val="nil"/>
          <w:right w:val="nil"/>
          <w:between w:val="nil"/>
        </w:pBdr>
        <w:spacing w:line="240" w:lineRule="auto"/>
        <w:ind w:left="720" w:hanging="720"/>
        <w:rPr>
          <w:rFonts w:ascii="Garamond" w:eastAsia="Garamond" w:hAnsi="Garamond" w:cs="Garamond"/>
          <w:color w:val="000000"/>
        </w:rPr>
      </w:pPr>
      <w:r>
        <w:rPr>
          <w:rFonts w:ascii="Garamond" w:eastAsia="Garamond" w:hAnsi="Garamond" w:cs="Garamond"/>
          <w:color w:val="000000"/>
        </w:rPr>
        <w:t xml:space="preserve">Hulley, G. C., Dousset, B., &amp; Kahn, B. H. (2020). Rising Trends in Heatwave Metrics Across Southern California. </w:t>
      </w:r>
      <w:r>
        <w:rPr>
          <w:rFonts w:ascii="Garamond" w:eastAsia="Garamond" w:hAnsi="Garamond" w:cs="Garamond"/>
          <w:i/>
          <w:color w:val="000000"/>
        </w:rPr>
        <w:t>Earth’s Future</w:t>
      </w:r>
      <w:r>
        <w:rPr>
          <w:rFonts w:ascii="Garamond" w:eastAsia="Garamond" w:hAnsi="Garamond" w:cs="Garamond"/>
          <w:color w:val="000000"/>
        </w:rPr>
        <w:t xml:space="preserve">, </w:t>
      </w:r>
      <w:r>
        <w:rPr>
          <w:rFonts w:ascii="Garamond" w:eastAsia="Garamond" w:hAnsi="Garamond" w:cs="Garamond"/>
          <w:i/>
          <w:color w:val="000000"/>
        </w:rPr>
        <w:t>8</w:t>
      </w:r>
      <w:r>
        <w:rPr>
          <w:rFonts w:ascii="Garamond" w:eastAsia="Garamond" w:hAnsi="Garamond" w:cs="Garamond"/>
          <w:color w:val="000000"/>
        </w:rPr>
        <w:t xml:space="preserve">(7), e2020EF001480. </w:t>
      </w:r>
      <w:hyperlink r:id="rId32">
        <w:r>
          <w:rPr>
            <w:rFonts w:ascii="Garamond" w:eastAsia="Garamond" w:hAnsi="Garamond" w:cs="Garamond"/>
            <w:color w:val="1155CC"/>
            <w:u w:val="single"/>
          </w:rPr>
          <w:t>https://doi.org/10.1029/2020EF001480</w:t>
        </w:r>
      </w:hyperlink>
    </w:p>
    <w:p w14:paraId="00000151" w14:textId="77777777" w:rsidR="006B67F3" w:rsidRDefault="00C27B54">
      <w:pPr>
        <w:pStyle w:val="Normal4"/>
        <w:pBdr>
          <w:top w:val="nil"/>
          <w:left w:val="nil"/>
          <w:bottom w:val="nil"/>
          <w:right w:val="nil"/>
          <w:between w:val="nil"/>
        </w:pBdr>
        <w:spacing w:line="240" w:lineRule="auto"/>
        <w:ind w:left="720" w:hanging="720"/>
        <w:rPr>
          <w:rFonts w:ascii="EB Garamond" w:eastAsia="EB Garamond" w:hAnsi="EB Garamond" w:cs="EB Garamond"/>
          <w:color w:val="000000"/>
        </w:rPr>
      </w:pPr>
      <w:r>
        <w:rPr>
          <w:rFonts w:ascii="Garamond" w:eastAsia="Garamond" w:hAnsi="Garamond" w:cs="Garamond"/>
          <w:color w:val="000000"/>
        </w:rPr>
        <w:t xml:space="preserve">Kurn, D., S. Bretz, B. Huang, and H. Akbari. (1994). The Potential for Reducing Urban Air Temperatures and Energy Consumption through Vegetative Cooling. ACEEE Summer Study on Energy Efficiency in Buildings, American Council for an Energy Efficient Economy. </w:t>
      </w:r>
      <w:hyperlink r:id="rId33">
        <w:r>
          <w:rPr>
            <w:rFonts w:ascii="Garamond" w:eastAsia="Garamond" w:hAnsi="Garamond" w:cs="Garamond"/>
            <w:color w:val="1155CC"/>
            <w:u w:val="single"/>
          </w:rPr>
          <w:t>https://doi.org/10.2172/10180633</w:t>
        </w:r>
      </w:hyperlink>
    </w:p>
    <w:p w14:paraId="00000152" w14:textId="67D992E6" w:rsidR="006B67F3" w:rsidRDefault="00C27B54">
      <w:pPr>
        <w:pStyle w:val="Normal4"/>
        <w:pBdr>
          <w:top w:val="nil"/>
          <w:left w:val="nil"/>
          <w:bottom w:val="nil"/>
          <w:right w:val="nil"/>
          <w:between w:val="nil"/>
        </w:pBdr>
        <w:spacing w:line="240" w:lineRule="auto"/>
        <w:ind w:left="720" w:hanging="720"/>
        <w:rPr>
          <w:rFonts w:ascii="Garamond" w:eastAsia="Garamond" w:hAnsi="Garamond" w:cs="Garamond"/>
          <w:color w:val="000000"/>
        </w:rPr>
      </w:pPr>
      <w:r>
        <w:rPr>
          <w:rFonts w:ascii="Garamond" w:eastAsia="Garamond" w:hAnsi="Garamond" w:cs="Garamond"/>
          <w:color w:val="000000"/>
        </w:rPr>
        <w:t xml:space="preserve">Ladochy, S., Torres, T., &amp; Hsu, Y. (2021). Los Angeles’ urban heat island continues to grow: Urbanization, land use change influences. </w:t>
      </w:r>
      <w:r>
        <w:rPr>
          <w:rFonts w:ascii="Garamond" w:eastAsia="Garamond" w:hAnsi="Garamond" w:cs="Garamond"/>
          <w:i/>
          <w:color w:val="000000"/>
        </w:rPr>
        <w:t>Journal of Urban and Environmental Engineering</w:t>
      </w:r>
      <w:r>
        <w:rPr>
          <w:rFonts w:ascii="Garamond" w:eastAsia="Garamond" w:hAnsi="Garamond" w:cs="Garamond"/>
          <w:color w:val="000000"/>
        </w:rPr>
        <w:t xml:space="preserve">, </w:t>
      </w:r>
      <w:r>
        <w:rPr>
          <w:rFonts w:ascii="Garamond" w:eastAsia="Garamond" w:hAnsi="Garamond" w:cs="Garamond"/>
          <w:i/>
          <w:color w:val="000000"/>
        </w:rPr>
        <w:t>15</w:t>
      </w:r>
      <w:r>
        <w:rPr>
          <w:rFonts w:ascii="Garamond" w:eastAsia="Garamond" w:hAnsi="Garamond" w:cs="Garamond"/>
          <w:color w:val="000000"/>
        </w:rPr>
        <w:t xml:space="preserve">, 103–116. </w:t>
      </w:r>
      <w:hyperlink r:id="rId34">
        <w:r>
          <w:rPr>
            <w:rFonts w:ascii="Garamond" w:eastAsia="Garamond" w:hAnsi="Garamond" w:cs="Garamond"/>
            <w:color w:val="1155CC"/>
            <w:u w:val="single"/>
          </w:rPr>
          <w:t>https://doi.org/10.4090/juee.2021.v15n2.103116</w:t>
        </w:r>
      </w:hyperlink>
    </w:p>
    <w:p w14:paraId="00000153" w14:textId="77777777" w:rsidR="006B67F3" w:rsidRDefault="00C27B54">
      <w:pPr>
        <w:pStyle w:val="Normal4"/>
        <w:pBdr>
          <w:top w:val="nil"/>
          <w:left w:val="nil"/>
          <w:bottom w:val="nil"/>
          <w:right w:val="nil"/>
          <w:between w:val="nil"/>
        </w:pBdr>
        <w:spacing w:line="240" w:lineRule="auto"/>
        <w:ind w:left="720" w:hanging="720"/>
        <w:rPr>
          <w:rFonts w:ascii="Garamond" w:eastAsia="Garamond" w:hAnsi="Garamond" w:cs="Garamond"/>
          <w:color w:val="000000"/>
        </w:rPr>
      </w:pPr>
      <w:bookmarkStart w:id="7" w:name="_heading=h.4d34og8" w:colFirst="0" w:colLast="0"/>
      <w:bookmarkEnd w:id="7"/>
      <w:r>
        <w:rPr>
          <w:rFonts w:ascii="Garamond" w:eastAsia="Garamond" w:hAnsi="Garamond" w:cs="Garamond"/>
          <w:color w:val="000000"/>
        </w:rPr>
        <w:t xml:space="preserve">McDonald, R. I., Biswas, T., Sachar, C., Housman, I., Boucher, T. M., Balk, D., Nowak, D., Spotswood, E., Stanley, C. K., &amp; Leyk, S. (2021). The tree cover and temperature disparity in US urbanized areas: Quantifying the association with income across 5,723 communities. </w:t>
      </w:r>
      <w:r>
        <w:rPr>
          <w:rFonts w:ascii="Garamond" w:eastAsia="Garamond" w:hAnsi="Garamond" w:cs="Garamond"/>
          <w:i/>
          <w:color w:val="000000"/>
        </w:rPr>
        <w:t>PLOS ONE</w:t>
      </w:r>
      <w:r>
        <w:rPr>
          <w:rFonts w:ascii="Garamond" w:eastAsia="Garamond" w:hAnsi="Garamond" w:cs="Garamond"/>
          <w:color w:val="000000"/>
        </w:rPr>
        <w:t xml:space="preserve">, </w:t>
      </w:r>
      <w:r>
        <w:rPr>
          <w:rFonts w:ascii="Garamond" w:eastAsia="Garamond" w:hAnsi="Garamond" w:cs="Garamond"/>
          <w:i/>
          <w:color w:val="000000"/>
        </w:rPr>
        <w:t>16</w:t>
      </w:r>
      <w:r>
        <w:rPr>
          <w:rFonts w:ascii="Garamond" w:eastAsia="Garamond" w:hAnsi="Garamond" w:cs="Garamond"/>
          <w:color w:val="000000"/>
        </w:rPr>
        <w:t xml:space="preserve">(4), e0249715. </w:t>
      </w:r>
      <w:hyperlink r:id="rId35">
        <w:r>
          <w:rPr>
            <w:rFonts w:ascii="Garamond" w:eastAsia="Garamond" w:hAnsi="Garamond" w:cs="Garamond"/>
            <w:color w:val="1155CC"/>
            <w:u w:val="single"/>
          </w:rPr>
          <w:t>https://doi.org/10.1371/journal.pone.0249715</w:t>
        </w:r>
      </w:hyperlink>
    </w:p>
    <w:p w14:paraId="00000154" w14:textId="77777777" w:rsidR="006B67F3" w:rsidRDefault="00C27B54">
      <w:pPr>
        <w:pStyle w:val="Normal4"/>
        <w:spacing w:line="240" w:lineRule="auto"/>
        <w:ind w:left="720" w:hanging="720"/>
        <w:rPr>
          <w:rFonts w:ascii="Garamond" w:eastAsia="Garamond" w:hAnsi="Garamond" w:cs="Garamond"/>
        </w:rPr>
      </w:pPr>
      <w:bookmarkStart w:id="8" w:name="_heading=h.w55hkwh0q4ug" w:colFirst="0" w:colLast="0"/>
      <w:bookmarkEnd w:id="8"/>
      <w:r>
        <w:rPr>
          <w:rFonts w:ascii="Garamond" w:eastAsia="Garamond" w:hAnsi="Garamond" w:cs="Garamond"/>
        </w:rPr>
        <w:t xml:space="preserve">McFeeters, S. K. (1996). The use of the Normalized Difference Water Index (NDWI) in the delineation of open water features. </w:t>
      </w:r>
      <w:r>
        <w:rPr>
          <w:rFonts w:ascii="Garamond" w:eastAsia="Garamond" w:hAnsi="Garamond" w:cs="Garamond"/>
          <w:i/>
        </w:rPr>
        <w:t>International Journal of Remote Sensing</w:t>
      </w:r>
      <w:r>
        <w:rPr>
          <w:rFonts w:ascii="Garamond" w:eastAsia="Garamond" w:hAnsi="Garamond" w:cs="Garamond"/>
        </w:rPr>
        <w:t xml:space="preserve">, </w:t>
      </w:r>
      <w:r>
        <w:rPr>
          <w:rFonts w:ascii="Garamond" w:eastAsia="Garamond" w:hAnsi="Garamond" w:cs="Garamond"/>
          <w:i/>
        </w:rPr>
        <w:t>17</w:t>
      </w:r>
      <w:r>
        <w:rPr>
          <w:rFonts w:ascii="Garamond" w:eastAsia="Garamond" w:hAnsi="Garamond" w:cs="Garamond"/>
        </w:rPr>
        <w:t xml:space="preserve">(7), 1425-1432. </w:t>
      </w:r>
      <w:hyperlink r:id="rId36">
        <w:r>
          <w:rPr>
            <w:rFonts w:ascii="Garamond" w:eastAsia="Garamond" w:hAnsi="Garamond" w:cs="Garamond"/>
            <w:color w:val="1155CC"/>
            <w:u w:val="single"/>
          </w:rPr>
          <w:t>https://doi.org/10.1080/01431169608948714</w:t>
        </w:r>
      </w:hyperlink>
    </w:p>
    <w:p w14:paraId="00000155" w14:textId="77777777" w:rsidR="006B67F3" w:rsidRDefault="00C27B54">
      <w:pPr>
        <w:pStyle w:val="Normal4"/>
        <w:spacing w:line="240" w:lineRule="auto"/>
        <w:ind w:left="720" w:hanging="720"/>
        <w:rPr>
          <w:rFonts w:ascii="Garamond" w:eastAsia="Garamond" w:hAnsi="Garamond" w:cs="Garamond"/>
        </w:rPr>
      </w:pPr>
      <w:bookmarkStart w:id="9" w:name="_heading=h.36d2gu7opj6" w:colFirst="0" w:colLast="0"/>
      <w:bookmarkEnd w:id="9"/>
      <w:r>
        <w:rPr>
          <w:rFonts w:ascii="Garamond" w:eastAsia="Garamond" w:hAnsi="Garamond" w:cs="Garamond"/>
        </w:rPr>
        <w:t xml:space="preserve">Onačillová, K., Gallay, M., Paluba, D., Péliová, A., Tokarčík, O., &amp; Laubertová, D. (2022). Combining Landsat 8 and Sentinel-2 Data in Google Earth Engine to Derive Higher Resolution Land Surface Temperature Maps in Urban Environment. Remote Sensing, 14, 4076. </w:t>
      </w:r>
      <w:hyperlink r:id="rId37">
        <w:r>
          <w:rPr>
            <w:rFonts w:ascii="Garamond" w:eastAsia="Garamond" w:hAnsi="Garamond" w:cs="Garamond"/>
            <w:color w:val="1155CC"/>
            <w:u w:val="single"/>
          </w:rPr>
          <w:t>https://doi.org/10.3390/rs14164076</w:t>
        </w:r>
      </w:hyperlink>
    </w:p>
    <w:p w14:paraId="00000156" w14:textId="77777777" w:rsidR="006B67F3" w:rsidRDefault="00C27B54">
      <w:pPr>
        <w:pStyle w:val="Normal4"/>
        <w:pBdr>
          <w:top w:val="nil"/>
          <w:left w:val="nil"/>
          <w:bottom w:val="nil"/>
          <w:right w:val="nil"/>
          <w:between w:val="nil"/>
        </w:pBdr>
        <w:spacing w:line="240" w:lineRule="auto"/>
        <w:ind w:left="720" w:hanging="720"/>
        <w:rPr>
          <w:rFonts w:ascii="Garamond" w:eastAsia="Garamond" w:hAnsi="Garamond" w:cs="Garamond"/>
          <w:color w:val="000000"/>
        </w:rPr>
      </w:pPr>
      <w:r>
        <w:rPr>
          <w:rFonts w:ascii="Garamond" w:eastAsia="Garamond" w:hAnsi="Garamond" w:cs="Garamond"/>
          <w:color w:val="000000"/>
        </w:rPr>
        <w:lastRenderedPageBreak/>
        <w:t xml:space="preserve">Phelan, P. E., Kaloush, K., Miner, M., Golden, J., Phelan, B., Silva, H., &amp; Taylor, R. A. (2015). Urban heat island: Mechanisms, implications, and possible remedies. </w:t>
      </w:r>
      <w:r>
        <w:rPr>
          <w:rFonts w:ascii="Garamond" w:eastAsia="Garamond" w:hAnsi="Garamond" w:cs="Garamond"/>
          <w:i/>
          <w:color w:val="000000"/>
        </w:rPr>
        <w:t>Annual Review of Environment and Resources</w:t>
      </w:r>
      <w:r>
        <w:rPr>
          <w:rFonts w:ascii="Garamond" w:eastAsia="Garamond" w:hAnsi="Garamond" w:cs="Garamond"/>
          <w:color w:val="000000"/>
        </w:rPr>
        <w:t xml:space="preserve">, </w:t>
      </w:r>
      <w:r>
        <w:rPr>
          <w:rFonts w:ascii="Garamond" w:eastAsia="Garamond" w:hAnsi="Garamond" w:cs="Garamond"/>
          <w:i/>
          <w:color w:val="000000"/>
        </w:rPr>
        <w:t>40</w:t>
      </w:r>
      <w:r>
        <w:rPr>
          <w:rFonts w:ascii="Garamond" w:eastAsia="Garamond" w:hAnsi="Garamond" w:cs="Garamond"/>
          <w:color w:val="000000"/>
        </w:rPr>
        <w:t xml:space="preserve">(1), 285–307. </w:t>
      </w:r>
      <w:hyperlink r:id="rId38">
        <w:r>
          <w:rPr>
            <w:rFonts w:ascii="Garamond" w:eastAsia="Garamond" w:hAnsi="Garamond" w:cs="Garamond"/>
            <w:color w:val="1155CC"/>
            <w:u w:val="single"/>
          </w:rPr>
          <w:t>https://doi.org/10.1146/annurev-environ-102014-021155</w:t>
        </w:r>
      </w:hyperlink>
    </w:p>
    <w:p w14:paraId="00000157" w14:textId="77777777" w:rsidR="006B67F3" w:rsidRDefault="00C27B54">
      <w:pPr>
        <w:pStyle w:val="Normal4"/>
        <w:pBdr>
          <w:top w:val="nil"/>
          <w:left w:val="nil"/>
          <w:bottom w:val="nil"/>
          <w:right w:val="nil"/>
          <w:between w:val="nil"/>
        </w:pBdr>
        <w:spacing w:line="240" w:lineRule="auto"/>
        <w:ind w:left="720" w:hanging="720"/>
        <w:rPr>
          <w:rFonts w:ascii="Garamond" w:eastAsia="Garamond" w:hAnsi="Garamond" w:cs="Garamond"/>
          <w:color w:val="000000"/>
        </w:rPr>
      </w:pPr>
      <w:r>
        <w:rPr>
          <w:rFonts w:ascii="Garamond" w:eastAsia="Garamond" w:hAnsi="Garamond" w:cs="Garamond"/>
          <w:color w:val="000000"/>
        </w:rPr>
        <w:t xml:space="preserve">Shatnawi, N., &amp; Abu Qdais, H. (2019). Mapping urban land surface temperature using remote sensing techniques and artificial neural network modelling. </w:t>
      </w:r>
      <w:r>
        <w:rPr>
          <w:rFonts w:ascii="Garamond" w:eastAsia="Garamond" w:hAnsi="Garamond" w:cs="Garamond"/>
          <w:i/>
          <w:color w:val="000000"/>
        </w:rPr>
        <w:t>International Journal of Remote Sensing</w:t>
      </w:r>
      <w:r>
        <w:rPr>
          <w:rFonts w:ascii="Garamond" w:eastAsia="Garamond" w:hAnsi="Garamond" w:cs="Garamond"/>
          <w:color w:val="000000"/>
        </w:rPr>
        <w:t xml:space="preserve">, </w:t>
      </w:r>
      <w:r>
        <w:rPr>
          <w:rFonts w:ascii="Garamond" w:eastAsia="Garamond" w:hAnsi="Garamond" w:cs="Garamond"/>
          <w:i/>
          <w:color w:val="000000"/>
        </w:rPr>
        <w:t>40</w:t>
      </w:r>
      <w:r>
        <w:rPr>
          <w:rFonts w:ascii="Garamond" w:eastAsia="Garamond" w:hAnsi="Garamond" w:cs="Garamond"/>
          <w:color w:val="000000"/>
        </w:rPr>
        <w:t>(10), 3968–3983.</w:t>
      </w:r>
      <w:hyperlink r:id="rId39">
        <w:r>
          <w:rPr>
            <w:rFonts w:ascii="Garamond" w:eastAsia="Garamond" w:hAnsi="Garamond" w:cs="Garamond"/>
            <w:color w:val="1155CC"/>
            <w:u w:val="single"/>
          </w:rPr>
          <w:t xml:space="preserve"> https://doi.org/10.1080/01431161.2018.1557792</w:t>
        </w:r>
      </w:hyperlink>
    </w:p>
    <w:p w14:paraId="00000158" w14:textId="77777777" w:rsidR="006B67F3" w:rsidRDefault="00C27B54">
      <w:pPr>
        <w:pStyle w:val="Normal4"/>
        <w:pBdr>
          <w:top w:val="nil"/>
          <w:left w:val="nil"/>
          <w:bottom w:val="nil"/>
          <w:right w:val="nil"/>
          <w:between w:val="nil"/>
        </w:pBdr>
        <w:spacing w:line="240" w:lineRule="auto"/>
        <w:ind w:left="720" w:hanging="720"/>
        <w:rPr>
          <w:rFonts w:ascii="Garamond" w:eastAsia="Garamond" w:hAnsi="Garamond" w:cs="Garamond"/>
          <w:color w:val="000000"/>
        </w:rPr>
      </w:pPr>
      <w:r>
        <w:rPr>
          <w:rFonts w:ascii="Garamond" w:eastAsia="Garamond" w:hAnsi="Garamond" w:cs="Garamond"/>
          <w:color w:val="000000"/>
        </w:rPr>
        <w:t xml:space="preserve">Tufa, D. (2018). Remote Sensing-based urban land use/land cover change detection and monitoring. </w:t>
      </w:r>
      <w:r>
        <w:rPr>
          <w:rFonts w:ascii="Garamond" w:eastAsia="Garamond" w:hAnsi="Garamond" w:cs="Garamond"/>
          <w:i/>
          <w:color w:val="000000"/>
        </w:rPr>
        <w:t>Remote Sensing</w:t>
      </w:r>
      <w:r>
        <w:rPr>
          <w:rFonts w:ascii="Garamond" w:eastAsia="Garamond" w:hAnsi="Garamond" w:cs="Garamond"/>
          <w:color w:val="000000"/>
        </w:rPr>
        <w:t xml:space="preserve">, </w:t>
      </w:r>
      <w:r>
        <w:rPr>
          <w:rFonts w:ascii="Garamond" w:eastAsia="Garamond" w:hAnsi="Garamond" w:cs="Garamond"/>
          <w:i/>
          <w:color w:val="000000"/>
        </w:rPr>
        <w:t>6</w:t>
      </w:r>
      <w:r>
        <w:rPr>
          <w:rFonts w:ascii="Garamond" w:eastAsia="Garamond" w:hAnsi="Garamond" w:cs="Garamond"/>
          <w:color w:val="000000"/>
        </w:rPr>
        <w:t xml:space="preserve">(6), 5. </w:t>
      </w:r>
      <w:hyperlink r:id="rId40">
        <w:r>
          <w:rPr>
            <w:rFonts w:ascii="Garamond" w:eastAsia="Garamond" w:hAnsi="Garamond" w:cs="Garamond"/>
            <w:color w:val="1155CC"/>
            <w:u w:val="single"/>
          </w:rPr>
          <w:t>https://www.researchgate.net/publication/329184570_Remote_Sensing-Based_Urban_Land_UseLand_Cover_Change_Detection_and_Monitoring</w:t>
        </w:r>
      </w:hyperlink>
    </w:p>
    <w:p w14:paraId="0D2CA132" w14:textId="20E55EEB" w:rsidR="003A6570" w:rsidRDefault="003A6570" w:rsidP="005F6867">
      <w:pPr>
        <w:pStyle w:val="Normal4"/>
        <w:pBdr>
          <w:top w:val="nil"/>
          <w:left w:val="nil"/>
          <w:bottom w:val="nil"/>
          <w:right w:val="nil"/>
          <w:between w:val="nil"/>
        </w:pBdr>
        <w:spacing w:line="240" w:lineRule="auto"/>
        <w:ind w:left="720" w:hanging="720"/>
        <w:rPr>
          <w:rFonts w:ascii="Garamond" w:eastAsia="Garamond" w:hAnsi="Garamond" w:cs="Garamond"/>
          <w:color w:val="000000"/>
        </w:rPr>
      </w:pPr>
      <w:r>
        <w:rPr>
          <w:rFonts w:ascii="Garamond" w:eastAsia="Garamond" w:hAnsi="Garamond" w:cs="Garamond"/>
        </w:rPr>
        <w:t xml:space="preserve">United States Census Bureau. (2020). 2020 Census Qualifying Urban Areas and Final Criteria Clarifications. 87 Fed. Reg. 80114. </w:t>
      </w:r>
      <w:hyperlink r:id="rId41">
        <w:r>
          <w:rPr>
            <w:rFonts w:ascii="Garamond" w:eastAsia="Garamond" w:hAnsi="Garamond" w:cs="Garamond"/>
            <w:color w:val="1155CC"/>
            <w:u w:val="single"/>
          </w:rPr>
          <w:t>Federal Register :: 2020 Census Qualifying Urban Areas and Final Criteria Clarifications</w:t>
        </w:r>
      </w:hyperlink>
    </w:p>
    <w:p w14:paraId="00000159" w14:textId="6E0D3EBC" w:rsidR="006B67F3" w:rsidRDefault="00C27B54">
      <w:pPr>
        <w:pStyle w:val="Normal4"/>
        <w:pBdr>
          <w:top w:val="nil"/>
          <w:left w:val="nil"/>
          <w:bottom w:val="nil"/>
          <w:right w:val="nil"/>
          <w:between w:val="nil"/>
        </w:pBdr>
        <w:spacing w:after="160"/>
        <w:ind w:left="720" w:hanging="720"/>
        <w:rPr>
          <w:rFonts w:ascii="Garamond" w:eastAsia="Garamond" w:hAnsi="Garamond" w:cs="Garamond"/>
          <w:color w:val="000000"/>
        </w:rPr>
      </w:pPr>
      <w:r>
        <w:rPr>
          <w:rFonts w:ascii="Garamond" w:eastAsia="Garamond" w:hAnsi="Garamond" w:cs="Garamond"/>
          <w:color w:val="000000"/>
        </w:rPr>
        <w:t>U</w:t>
      </w:r>
      <w:r>
        <w:rPr>
          <w:rFonts w:ascii="Garamond" w:eastAsia="Garamond" w:hAnsi="Garamond" w:cs="Garamond"/>
        </w:rPr>
        <w:t>nited States Department of Agriculture</w:t>
      </w:r>
      <w:r>
        <w:rPr>
          <w:rFonts w:ascii="Garamond" w:eastAsia="Garamond" w:hAnsi="Garamond" w:cs="Garamond"/>
          <w:color w:val="000000"/>
        </w:rPr>
        <w:t xml:space="preserve">. Farm Production and Conservation Business Center. (2022). National Agriculture Imagery Program. </w:t>
      </w:r>
      <w:hyperlink r:id="rId42">
        <w:r>
          <w:rPr>
            <w:rFonts w:ascii="Garamond" w:eastAsia="Garamond" w:hAnsi="Garamond" w:cs="Garamond"/>
            <w:color w:val="1155CC"/>
            <w:u w:val="single"/>
          </w:rPr>
          <w:t>https://naip-usdaonline.hub.arcgis.com/</w:t>
        </w:r>
      </w:hyperlink>
    </w:p>
    <w:p w14:paraId="0000015A" w14:textId="77777777" w:rsidR="006B67F3" w:rsidRDefault="00C27B54">
      <w:pPr>
        <w:pStyle w:val="Normal4"/>
        <w:pBdr>
          <w:top w:val="nil"/>
          <w:left w:val="nil"/>
          <w:bottom w:val="nil"/>
          <w:right w:val="nil"/>
          <w:between w:val="nil"/>
        </w:pBdr>
        <w:spacing w:line="240" w:lineRule="auto"/>
        <w:ind w:left="720" w:hanging="720"/>
        <w:rPr>
          <w:rFonts w:ascii="Garamond" w:eastAsia="Garamond" w:hAnsi="Garamond" w:cs="Garamond"/>
          <w:color w:val="000000"/>
        </w:rPr>
      </w:pPr>
      <w:bookmarkStart w:id="10" w:name="_heading=h.2s8eyo1" w:colFirst="0" w:colLast="0"/>
      <w:bookmarkEnd w:id="10"/>
      <w:r>
        <w:rPr>
          <w:rFonts w:ascii="Garamond" w:eastAsia="Garamond" w:hAnsi="Garamond" w:cs="Garamond"/>
          <w:color w:val="000000"/>
        </w:rPr>
        <w:t>U</w:t>
      </w:r>
      <w:r>
        <w:rPr>
          <w:rFonts w:ascii="Garamond" w:eastAsia="Garamond" w:hAnsi="Garamond" w:cs="Garamond"/>
        </w:rPr>
        <w:t xml:space="preserve">nited States </w:t>
      </w:r>
      <w:r>
        <w:rPr>
          <w:rFonts w:ascii="Garamond" w:eastAsia="Garamond" w:hAnsi="Garamond" w:cs="Garamond"/>
          <w:color w:val="000000"/>
        </w:rPr>
        <w:t xml:space="preserve">Environmental Protection Agency. (2008). Reducing Urban Heat Islands: Compendium of Strategies: Trees and Vegetation. </w:t>
      </w:r>
      <w:hyperlink r:id="rId43">
        <w:r>
          <w:rPr>
            <w:rFonts w:ascii="Garamond" w:eastAsia="Garamond" w:hAnsi="Garamond" w:cs="Garamond"/>
            <w:color w:val="1155CC"/>
            <w:u w:val="single"/>
          </w:rPr>
          <w:t>https://www.epa.gov/sites/default/files/2017-05/documents/reducing_urban_heat_islands_ch_2.pdf</w:t>
        </w:r>
      </w:hyperlink>
    </w:p>
    <w:p w14:paraId="0000015B" w14:textId="77777777" w:rsidR="006B67F3" w:rsidRDefault="00C27B54">
      <w:pPr>
        <w:pStyle w:val="Normal4"/>
        <w:pBdr>
          <w:top w:val="nil"/>
          <w:left w:val="nil"/>
          <w:bottom w:val="nil"/>
          <w:right w:val="nil"/>
          <w:between w:val="nil"/>
        </w:pBdr>
        <w:spacing w:line="240" w:lineRule="auto"/>
        <w:ind w:left="720" w:hanging="720"/>
        <w:rPr>
          <w:rFonts w:ascii="Garamond" w:eastAsia="Garamond" w:hAnsi="Garamond" w:cs="Garamond"/>
          <w:color w:val="000000"/>
        </w:rPr>
      </w:pPr>
      <w:r>
        <w:rPr>
          <w:rFonts w:ascii="Garamond" w:eastAsia="Garamond" w:hAnsi="Garamond" w:cs="Garamond"/>
          <w:color w:val="000000"/>
        </w:rPr>
        <w:t>U</w:t>
      </w:r>
      <w:r>
        <w:rPr>
          <w:rFonts w:ascii="Garamond" w:eastAsia="Garamond" w:hAnsi="Garamond" w:cs="Garamond"/>
        </w:rPr>
        <w:t xml:space="preserve">nited States </w:t>
      </w:r>
      <w:r>
        <w:rPr>
          <w:rFonts w:ascii="Garamond" w:eastAsia="Garamond" w:hAnsi="Garamond" w:cs="Garamond"/>
          <w:color w:val="000000"/>
        </w:rPr>
        <w:t xml:space="preserve">Environmental Protection Agency, O. (2014). Learn About Heat Islands [Overviews and Factsheets]. </w:t>
      </w:r>
      <w:hyperlink r:id="rId44">
        <w:r>
          <w:rPr>
            <w:rFonts w:ascii="Garamond" w:eastAsia="Garamond" w:hAnsi="Garamond" w:cs="Garamond"/>
            <w:color w:val="1155CC"/>
            <w:u w:val="single"/>
          </w:rPr>
          <w:t>https://www.epa.gov/heatislands/learn-about-heat-islands</w:t>
        </w:r>
      </w:hyperlink>
    </w:p>
    <w:p w14:paraId="0000015C" w14:textId="77777777" w:rsidR="006B67F3" w:rsidRDefault="00C27B54">
      <w:pPr>
        <w:pStyle w:val="Normal4"/>
        <w:pBdr>
          <w:top w:val="nil"/>
          <w:left w:val="nil"/>
          <w:bottom w:val="nil"/>
          <w:right w:val="nil"/>
          <w:between w:val="nil"/>
        </w:pBdr>
        <w:spacing w:line="240" w:lineRule="auto"/>
        <w:ind w:left="720" w:hanging="720"/>
        <w:rPr>
          <w:rFonts w:ascii="Garamond" w:eastAsia="Garamond" w:hAnsi="Garamond" w:cs="Garamond"/>
          <w:color w:val="000000"/>
        </w:rPr>
      </w:pPr>
      <w:r>
        <w:rPr>
          <w:rFonts w:ascii="Garamond" w:eastAsia="Garamond" w:hAnsi="Garamond" w:cs="Garamond"/>
          <w:color w:val="000000"/>
        </w:rPr>
        <w:t>U</w:t>
      </w:r>
      <w:r>
        <w:rPr>
          <w:rFonts w:ascii="Garamond" w:eastAsia="Garamond" w:hAnsi="Garamond" w:cs="Garamond"/>
        </w:rPr>
        <w:t>nited States</w:t>
      </w:r>
      <w:r>
        <w:rPr>
          <w:rFonts w:ascii="Garamond" w:eastAsia="Garamond" w:hAnsi="Garamond" w:cs="Garamond"/>
          <w:color w:val="000000"/>
        </w:rPr>
        <w:t xml:space="preserve"> Geological Survey Earth Resources Observation and Science Center. (2016-2021). Provisional Landsat Landsat 8 and TIRS Level-2 Data Products [Data set]. Courtesy of the U.S. Geological Survey. </w:t>
      </w:r>
      <w:hyperlink r:id="rId45">
        <w:r>
          <w:rPr>
            <w:rFonts w:ascii="Garamond" w:eastAsia="Garamond" w:hAnsi="Garamond" w:cs="Garamond"/>
            <w:color w:val="1155CC"/>
            <w:u w:val="single"/>
          </w:rPr>
          <w:t>https://doi.org/10.5066/F71835S6</w:t>
        </w:r>
      </w:hyperlink>
    </w:p>
    <w:p w14:paraId="0000015D" w14:textId="77777777" w:rsidR="006B67F3" w:rsidRDefault="00C27B54">
      <w:pPr>
        <w:pStyle w:val="Normal4"/>
        <w:pBdr>
          <w:top w:val="nil"/>
          <w:left w:val="nil"/>
          <w:bottom w:val="nil"/>
          <w:right w:val="nil"/>
          <w:between w:val="nil"/>
        </w:pBdr>
        <w:spacing w:line="240" w:lineRule="auto"/>
        <w:ind w:left="720" w:hanging="720"/>
        <w:rPr>
          <w:rFonts w:ascii="Garamond" w:eastAsia="Garamond" w:hAnsi="Garamond" w:cs="Garamond"/>
        </w:rPr>
      </w:pPr>
      <w:r>
        <w:rPr>
          <w:rFonts w:ascii="Garamond" w:eastAsia="Garamond" w:hAnsi="Garamond" w:cs="Garamond"/>
          <w:color w:val="000000"/>
        </w:rPr>
        <w:t>U</w:t>
      </w:r>
      <w:r>
        <w:rPr>
          <w:rFonts w:ascii="Garamond" w:eastAsia="Garamond" w:hAnsi="Garamond" w:cs="Garamond"/>
        </w:rPr>
        <w:t>nited States</w:t>
      </w:r>
      <w:r>
        <w:rPr>
          <w:rFonts w:ascii="Garamond" w:eastAsia="Garamond" w:hAnsi="Garamond" w:cs="Garamond"/>
          <w:color w:val="000000"/>
        </w:rPr>
        <w:t xml:space="preserve"> Geological Survey. (n.d.). </w:t>
      </w:r>
      <w:r>
        <w:rPr>
          <w:rFonts w:ascii="Garamond" w:eastAsia="Garamond" w:hAnsi="Garamond" w:cs="Garamond"/>
        </w:rPr>
        <w:t>Landsat Normalized Difference Vegetation Index</w:t>
      </w:r>
      <w:r>
        <w:rPr>
          <w:rFonts w:ascii="Garamond" w:eastAsia="Garamond" w:hAnsi="Garamond" w:cs="Garamond"/>
          <w:color w:val="000000"/>
        </w:rPr>
        <w:t xml:space="preserve">. Retrieved from </w:t>
      </w:r>
      <w:hyperlink r:id="rId46">
        <w:r>
          <w:rPr>
            <w:rFonts w:ascii="Garamond" w:eastAsia="Garamond" w:hAnsi="Garamond" w:cs="Garamond"/>
            <w:color w:val="1155CC"/>
            <w:u w:val="single"/>
          </w:rPr>
          <w:t>https://www.usgs.gov/landsat-missions/landsat-normalized-difference-vegetation-index</w:t>
        </w:r>
      </w:hyperlink>
    </w:p>
    <w:p w14:paraId="0000015E" w14:textId="77777777" w:rsidR="006B67F3" w:rsidRDefault="00C27B54">
      <w:pPr>
        <w:pStyle w:val="Normal4"/>
        <w:pBdr>
          <w:top w:val="nil"/>
          <w:left w:val="nil"/>
          <w:bottom w:val="nil"/>
          <w:right w:val="nil"/>
          <w:between w:val="nil"/>
        </w:pBdr>
        <w:spacing w:line="240" w:lineRule="auto"/>
        <w:ind w:left="720" w:hanging="720"/>
        <w:rPr>
          <w:rFonts w:ascii="Garamond" w:eastAsia="Garamond" w:hAnsi="Garamond" w:cs="Garamond"/>
        </w:rPr>
      </w:pPr>
      <w:r>
        <w:rPr>
          <w:rFonts w:ascii="Garamond" w:eastAsia="Garamond" w:hAnsi="Garamond" w:cs="Garamond"/>
        </w:rPr>
        <w:t xml:space="preserve">United States Geological Survey. (n.d.). Landsat 8 Mission Information. Retrieved from </w:t>
      </w:r>
      <w:hyperlink r:id="rId47">
        <w:r>
          <w:rPr>
            <w:rFonts w:ascii="Garamond" w:eastAsia="Garamond" w:hAnsi="Garamond" w:cs="Garamond"/>
            <w:color w:val="1155CC"/>
            <w:u w:val="single"/>
          </w:rPr>
          <w:t>https://www.usgs.gov/landsat-missions/landsat-8-data-users-handbook</w:t>
        </w:r>
      </w:hyperlink>
    </w:p>
    <w:p w14:paraId="0000015F" w14:textId="77777777" w:rsidR="006B67F3" w:rsidRDefault="006B67F3">
      <w:pPr>
        <w:pStyle w:val="Normal4"/>
        <w:pBdr>
          <w:top w:val="nil"/>
          <w:left w:val="nil"/>
          <w:bottom w:val="nil"/>
          <w:right w:val="nil"/>
          <w:between w:val="nil"/>
        </w:pBdr>
        <w:spacing w:line="240" w:lineRule="auto"/>
        <w:rPr>
          <w:rFonts w:ascii="Garamond" w:eastAsia="Garamond" w:hAnsi="Garamond" w:cs="Garamond"/>
        </w:rPr>
      </w:pPr>
    </w:p>
    <w:p w14:paraId="00000160" w14:textId="77777777" w:rsidR="006B67F3" w:rsidRDefault="00C27B54">
      <w:pPr>
        <w:pStyle w:val="Normal4"/>
        <w:pBdr>
          <w:top w:val="nil"/>
          <w:left w:val="nil"/>
          <w:bottom w:val="nil"/>
          <w:right w:val="nil"/>
          <w:between w:val="nil"/>
        </w:pBdr>
        <w:spacing w:line="240" w:lineRule="auto"/>
        <w:rPr>
          <w:rFonts w:ascii="Garamond" w:eastAsia="Garamond" w:hAnsi="Garamond" w:cs="Garamond"/>
        </w:rPr>
      </w:pPr>
      <w:r>
        <w:br w:type="page"/>
      </w:r>
    </w:p>
    <w:p w14:paraId="00000161" w14:textId="77777777" w:rsidR="006B67F3" w:rsidRDefault="00C27B54">
      <w:pPr>
        <w:pStyle w:val="Normal4"/>
        <w:keepNext/>
        <w:keepLines/>
        <w:spacing w:after="0" w:line="240" w:lineRule="auto"/>
        <w:rPr>
          <w:rFonts w:ascii="Garamond" w:eastAsia="Garamond" w:hAnsi="Garamond" w:cs="Garamond"/>
          <w:b/>
          <w:color w:val="366091"/>
          <w:sz w:val="28"/>
          <w:szCs w:val="28"/>
        </w:rPr>
      </w:pPr>
      <w:r>
        <w:rPr>
          <w:rFonts w:ascii="Garamond" w:eastAsia="Garamond" w:hAnsi="Garamond" w:cs="Garamond"/>
          <w:b/>
          <w:color w:val="366091"/>
          <w:sz w:val="28"/>
          <w:szCs w:val="28"/>
        </w:rPr>
        <w:lastRenderedPageBreak/>
        <w:t>9. Appendices</w:t>
      </w:r>
    </w:p>
    <w:p w14:paraId="00000162" w14:textId="77777777" w:rsidR="006B67F3" w:rsidRDefault="006B67F3">
      <w:pPr>
        <w:pStyle w:val="Normal4"/>
        <w:keepNext/>
        <w:keepLines/>
        <w:spacing w:after="0" w:line="240" w:lineRule="auto"/>
        <w:rPr>
          <w:rFonts w:ascii="Garamond" w:eastAsia="Garamond" w:hAnsi="Garamond" w:cs="Garamond"/>
          <w:b/>
          <w:color w:val="366091"/>
          <w:sz w:val="28"/>
          <w:szCs w:val="28"/>
        </w:rPr>
      </w:pPr>
    </w:p>
    <w:p w14:paraId="00000163" w14:textId="77777777" w:rsidR="006B67F3" w:rsidRDefault="00C27B54">
      <w:pPr>
        <w:pStyle w:val="Normal4"/>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Appendix A</w:t>
      </w:r>
    </w:p>
    <w:p w14:paraId="00000164" w14:textId="77777777" w:rsidR="006B67F3" w:rsidRDefault="006B67F3">
      <w:pPr>
        <w:pStyle w:val="Normal4"/>
        <w:pBdr>
          <w:top w:val="nil"/>
          <w:left w:val="nil"/>
          <w:bottom w:val="nil"/>
          <w:right w:val="nil"/>
          <w:between w:val="nil"/>
        </w:pBdr>
        <w:spacing w:after="0" w:line="240" w:lineRule="auto"/>
        <w:jc w:val="center"/>
        <w:rPr>
          <w:rFonts w:ascii="Garamond" w:eastAsia="Garamond" w:hAnsi="Garamond" w:cs="Garamond"/>
        </w:rPr>
      </w:pPr>
    </w:p>
    <w:p w14:paraId="00000165" w14:textId="77777777" w:rsidR="006B67F3" w:rsidRDefault="00C27B54">
      <w:pPr>
        <w:pStyle w:val="Normal4"/>
        <w:spacing w:after="0" w:line="240" w:lineRule="auto"/>
        <w:rPr>
          <w:rFonts w:ascii="Garamond" w:eastAsia="Garamond" w:hAnsi="Garamond" w:cs="Garamond"/>
        </w:rPr>
      </w:pPr>
      <w:r>
        <w:rPr>
          <w:rFonts w:ascii="Garamond" w:eastAsia="Garamond" w:hAnsi="Garamond" w:cs="Garamond"/>
          <w:b/>
        </w:rPr>
        <w:t xml:space="preserve">Figure A1: </w:t>
      </w:r>
      <w:r>
        <w:rPr>
          <w:rFonts w:ascii="Garamond" w:eastAsia="Garamond" w:hAnsi="Garamond" w:cs="Garamond"/>
        </w:rPr>
        <w:t>Map of Los Angeles County study area including subregions of interest. Urban areas are currently defined by the U.S. Census as densely developed divisions, encompassing at least 2,000 housing units or having a population of at least 5,000 (United States Census Bureau, 2020).</w:t>
      </w:r>
    </w:p>
    <w:p w14:paraId="00000166" w14:textId="77777777" w:rsidR="006B67F3" w:rsidRDefault="00C27B54">
      <w:pPr>
        <w:pStyle w:val="Normal4"/>
        <w:spacing w:after="0" w:line="240" w:lineRule="auto"/>
        <w:ind w:left="1440" w:right="2790"/>
        <w:rPr>
          <w:rFonts w:ascii="Garamond" w:eastAsia="Garamond" w:hAnsi="Garamond" w:cs="Garamond"/>
        </w:rPr>
      </w:pPr>
      <w:r>
        <w:rPr>
          <w:noProof/>
        </w:rPr>
        <w:drawing>
          <wp:anchor distT="0" distB="0" distL="0" distR="0" simplePos="0" relativeHeight="251659264" behindDoc="0" locked="0" layoutInCell="1" hidden="0" allowOverlap="1" wp14:anchorId="7FDDAC1A" wp14:editId="07777777">
            <wp:simplePos x="0" y="0"/>
            <wp:positionH relativeFrom="column">
              <wp:posOffset>876300</wp:posOffset>
            </wp:positionH>
            <wp:positionV relativeFrom="paragraph">
              <wp:posOffset>76200</wp:posOffset>
            </wp:positionV>
            <wp:extent cx="4754880" cy="3200400"/>
            <wp:effectExtent l="0" t="0" r="0" b="0"/>
            <wp:wrapTopAndBottom distT="0" distB="0"/>
            <wp:docPr id="6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8"/>
                    <a:srcRect/>
                    <a:stretch>
                      <a:fillRect/>
                    </a:stretch>
                  </pic:blipFill>
                  <pic:spPr>
                    <a:xfrm>
                      <a:off x="0" y="0"/>
                      <a:ext cx="4754880" cy="3200400"/>
                    </a:xfrm>
                    <a:prstGeom prst="rect">
                      <a:avLst/>
                    </a:prstGeom>
                    <a:ln/>
                  </pic:spPr>
                </pic:pic>
              </a:graphicData>
            </a:graphic>
          </wp:anchor>
        </w:drawing>
      </w:r>
    </w:p>
    <w:p w14:paraId="00000167" w14:textId="1A771D4A" w:rsidR="006B67F3" w:rsidRDefault="00C27B54">
      <w:pPr>
        <w:pStyle w:val="Normal4"/>
        <w:spacing w:after="0"/>
        <w:rPr>
          <w:rFonts w:ascii="Garamond" w:eastAsia="Garamond" w:hAnsi="Garamond" w:cs="Garamond"/>
        </w:rPr>
      </w:pPr>
      <w:r>
        <w:rPr>
          <w:rFonts w:ascii="Garamond" w:eastAsia="Garamond" w:hAnsi="Garamond" w:cs="Garamond"/>
          <w:b/>
        </w:rPr>
        <w:t>Figure A2</w:t>
      </w:r>
      <w:r>
        <w:rPr>
          <w:rFonts w:ascii="Garamond" w:eastAsia="Garamond" w:hAnsi="Garamond" w:cs="Garamond"/>
        </w:rPr>
        <w:t xml:space="preserve">: Mean summer daytime LST for each census tract in the urban areas of Los Angeles </w:t>
      </w:r>
      <w:r w:rsidR="007F6D61">
        <w:rPr>
          <w:rFonts w:ascii="Garamond" w:eastAsia="Garamond" w:hAnsi="Garamond" w:cs="Garamond"/>
        </w:rPr>
        <w:t>C</w:t>
      </w:r>
      <w:r>
        <w:rPr>
          <w:rFonts w:ascii="Garamond" w:eastAsia="Garamond" w:hAnsi="Garamond" w:cs="Garamond"/>
        </w:rPr>
        <w:t>ounty for 2016 and 2022. Temperatures range from below 103 to 135 degrees Fahrenheit.</w:t>
      </w:r>
    </w:p>
    <w:p w14:paraId="00000168" w14:textId="77777777" w:rsidR="006B67F3" w:rsidRDefault="006B67F3">
      <w:pPr>
        <w:pStyle w:val="Normal4"/>
        <w:spacing w:after="0"/>
        <w:rPr>
          <w:rFonts w:ascii="Garamond" w:eastAsia="Garamond" w:hAnsi="Garamond" w:cs="Garamond"/>
        </w:rPr>
      </w:pPr>
    </w:p>
    <w:p w14:paraId="00000169" w14:textId="77777777" w:rsidR="006B67F3" w:rsidRDefault="00C27B54">
      <w:pPr>
        <w:pStyle w:val="Normal4"/>
        <w:spacing w:after="0"/>
        <w:jc w:val="center"/>
        <w:rPr>
          <w:rFonts w:ascii="Garamond" w:eastAsia="Garamond" w:hAnsi="Garamond" w:cs="Garamond"/>
        </w:rPr>
      </w:pPr>
      <w:r>
        <w:rPr>
          <w:rFonts w:ascii="Garamond" w:eastAsia="Garamond" w:hAnsi="Garamond" w:cs="Garamond"/>
          <w:noProof/>
        </w:rPr>
        <w:drawing>
          <wp:inline distT="114300" distB="114300" distL="114300" distR="114300" wp14:anchorId="27EBD08B" wp14:editId="07777777">
            <wp:extent cx="4502405" cy="2909888"/>
            <wp:effectExtent l="0" t="0" r="0" b="0"/>
            <wp:docPr id="8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9"/>
                    <a:srcRect/>
                    <a:stretch>
                      <a:fillRect/>
                    </a:stretch>
                  </pic:blipFill>
                  <pic:spPr>
                    <a:xfrm>
                      <a:off x="0" y="0"/>
                      <a:ext cx="4502405" cy="2909888"/>
                    </a:xfrm>
                    <a:prstGeom prst="rect">
                      <a:avLst/>
                    </a:prstGeom>
                    <a:ln/>
                  </pic:spPr>
                </pic:pic>
              </a:graphicData>
            </a:graphic>
          </wp:inline>
        </w:drawing>
      </w:r>
    </w:p>
    <w:p w14:paraId="0000016A" w14:textId="77777777" w:rsidR="006B67F3" w:rsidRDefault="00C27B54">
      <w:pPr>
        <w:pStyle w:val="Normal4"/>
        <w:spacing w:after="0"/>
        <w:rPr>
          <w:rFonts w:ascii="Garamond" w:eastAsia="Garamond" w:hAnsi="Garamond" w:cs="Garamond"/>
          <w:b/>
        </w:rPr>
      </w:pPr>
      <w:r>
        <w:rPr>
          <w:rFonts w:ascii="Garamond" w:eastAsia="Garamond" w:hAnsi="Garamond" w:cs="Garamond"/>
          <w:b/>
        </w:rPr>
        <w:lastRenderedPageBreak/>
        <w:t xml:space="preserve">Figure A3: </w:t>
      </w:r>
      <w:r>
        <w:rPr>
          <w:rFonts w:ascii="Garamond" w:eastAsia="Garamond" w:hAnsi="Garamond" w:cs="Garamond"/>
        </w:rPr>
        <w:t>Percent</w:t>
      </w:r>
      <w:r>
        <w:rPr>
          <w:rFonts w:ascii="Garamond" w:eastAsia="Garamond" w:hAnsi="Garamond" w:cs="Garamond"/>
          <w:b/>
        </w:rPr>
        <w:t xml:space="preserve"> </w:t>
      </w:r>
      <w:r>
        <w:rPr>
          <w:rFonts w:ascii="Garamond" w:eastAsia="Garamond" w:hAnsi="Garamond" w:cs="Garamond"/>
        </w:rPr>
        <w:t>NDVI change by census tract between 2016 and 2022. The values range from -10% to 10%.</w:t>
      </w:r>
    </w:p>
    <w:p w14:paraId="0000016B" w14:textId="77777777" w:rsidR="006B67F3" w:rsidRDefault="00C27B54">
      <w:pPr>
        <w:pStyle w:val="Normal4"/>
        <w:spacing w:after="0"/>
        <w:jc w:val="center"/>
        <w:rPr>
          <w:rFonts w:ascii="Garamond" w:eastAsia="Garamond" w:hAnsi="Garamond" w:cs="Garamond"/>
        </w:rPr>
      </w:pPr>
      <w:r>
        <w:rPr>
          <w:rFonts w:ascii="Garamond" w:eastAsia="Garamond" w:hAnsi="Garamond" w:cs="Garamond"/>
          <w:b/>
          <w:noProof/>
        </w:rPr>
        <w:drawing>
          <wp:inline distT="114300" distB="114300" distL="114300" distR="114300" wp14:anchorId="17A32AF6" wp14:editId="07777777">
            <wp:extent cx="4421588" cy="3424238"/>
            <wp:effectExtent l="0" t="0" r="0" b="0"/>
            <wp:docPr id="6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0"/>
                    <a:srcRect/>
                    <a:stretch>
                      <a:fillRect/>
                    </a:stretch>
                  </pic:blipFill>
                  <pic:spPr>
                    <a:xfrm>
                      <a:off x="0" y="0"/>
                      <a:ext cx="4421588" cy="3424238"/>
                    </a:xfrm>
                    <a:prstGeom prst="rect">
                      <a:avLst/>
                    </a:prstGeom>
                    <a:ln/>
                  </pic:spPr>
                </pic:pic>
              </a:graphicData>
            </a:graphic>
          </wp:inline>
        </w:drawing>
      </w:r>
    </w:p>
    <w:p w14:paraId="0000016C" w14:textId="77777777" w:rsidR="006B67F3" w:rsidRDefault="006B67F3">
      <w:pPr>
        <w:pStyle w:val="Normal4"/>
        <w:spacing w:after="0"/>
        <w:rPr>
          <w:rFonts w:ascii="Garamond" w:eastAsia="Garamond" w:hAnsi="Garamond" w:cs="Garamond"/>
        </w:rPr>
      </w:pPr>
    </w:p>
    <w:p w14:paraId="0000016D" w14:textId="77777777" w:rsidR="006B67F3" w:rsidRDefault="00C27B54">
      <w:pPr>
        <w:pStyle w:val="Normal4"/>
        <w:spacing w:after="0"/>
        <w:rPr>
          <w:rFonts w:ascii="Garamond" w:eastAsia="Garamond" w:hAnsi="Garamond" w:cs="Garamond"/>
        </w:rPr>
      </w:pPr>
      <w:r>
        <w:rPr>
          <w:rFonts w:ascii="Garamond" w:eastAsia="Garamond" w:hAnsi="Garamond" w:cs="Garamond"/>
          <w:b/>
        </w:rPr>
        <w:t xml:space="preserve">Figure A4: </w:t>
      </w:r>
      <w:r>
        <w:rPr>
          <w:rFonts w:ascii="Garamond" w:eastAsia="Garamond" w:hAnsi="Garamond" w:cs="Garamond"/>
        </w:rPr>
        <w:t xml:space="preserve">Change in tree canopy cover by census tract from 2016 to 2022; Inset map highlights a view of the Vermont Corridor, where more than 600 trees were planted in the area in 2016 and 2017. </w:t>
      </w:r>
    </w:p>
    <w:p w14:paraId="0000016E" w14:textId="77777777" w:rsidR="006B67F3" w:rsidRDefault="00C27B54">
      <w:pPr>
        <w:pStyle w:val="Normal4"/>
        <w:spacing w:after="0"/>
        <w:jc w:val="center"/>
        <w:rPr>
          <w:rFonts w:ascii="Garamond" w:eastAsia="Garamond" w:hAnsi="Garamond" w:cs="Garamond"/>
        </w:rPr>
      </w:pPr>
      <w:r>
        <w:rPr>
          <w:rFonts w:ascii="Garamond" w:eastAsia="Garamond" w:hAnsi="Garamond" w:cs="Garamond"/>
          <w:noProof/>
        </w:rPr>
        <w:drawing>
          <wp:inline distT="114300" distB="114300" distL="114300" distR="114300" wp14:anchorId="71BE8001" wp14:editId="07777777">
            <wp:extent cx="4401799" cy="3395186"/>
            <wp:effectExtent l="0" t="0" r="0" b="0"/>
            <wp:docPr id="6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1"/>
                    <a:srcRect l="35" r="34"/>
                    <a:stretch>
                      <a:fillRect/>
                    </a:stretch>
                  </pic:blipFill>
                  <pic:spPr>
                    <a:xfrm>
                      <a:off x="0" y="0"/>
                      <a:ext cx="4401799" cy="3395186"/>
                    </a:xfrm>
                    <a:prstGeom prst="rect">
                      <a:avLst/>
                    </a:prstGeom>
                    <a:ln/>
                  </pic:spPr>
                </pic:pic>
              </a:graphicData>
            </a:graphic>
          </wp:inline>
        </w:drawing>
      </w:r>
    </w:p>
    <w:p w14:paraId="0000016F" w14:textId="77777777" w:rsidR="006B67F3" w:rsidRDefault="006B67F3">
      <w:pPr>
        <w:pStyle w:val="Normal4"/>
        <w:spacing w:after="0"/>
        <w:jc w:val="center"/>
        <w:rPr>
          <w:rFonts w:ascii="Garamond" w:eastAsia="Garamond" w:hAnsi="Garamond" w:cs="Garamond"/>
        </w:rPr>
      </w:pPr>
    </w:p>
    <w:p w14:paraId="00000170" w14:textId="77777777" w:rsidR="006B67F3" w:rsidRDefault="006B67F3">
      <w:pPr>
        <w:pStyle w:val="Normal4"/>
        <w:spacing w:after="0"/>
        <w:rPr>
          <w:rFonts w:ascii="Garamond" w:eastAsia="Garamond" w:hAnsi="Garamond" w:cs="Garamond"/>
        </w:rPr>
      </w:pPr>
    </w:p>
    <w:p w14:paraId="00000171" w14:textId="77777777" w:rsidR="006B67F3" w:rsidRDefault="00C27B54">
      <w:pPr>
        <w:pStyle w:val="Normal4"/>
        <w:spacing w:after="0"/>
        <w:jc w:val="center"/>
        <w:rPr>
          <w:rFonts w:ascii="Garamond" w:eastAsia="Garamond" w:hAnsi="Garamond" w:cs="Garamond"/>
        </w:rPr>
      </w:pPr>
      <w:r>
        <w:rPr>
          <w:rFonts w:ascii="Garamond" w:eastAsia="Garamond" w:hAnsi="Garamond" w:cs="Garamond"/>
        </w:rPr>
        <w:lastRenderedPageBreak/>
        <w:t>Appendix B</w:t>
      </w:r>
    </w:p>
    <w:p w14:paraId="00000172" w14:textId="77777777" w:rsidR="006B67F3" w:rsidRDefault="006B67F3">
      <w:pPr>
        <w:pStyle w:val="Normal4"/>
        <w:spacing w:after="0"/>
        <w:jc w:val="center"/>
        <w:rPr>
          <w:rFonts w:ascii="Garamond" w:eastAsia="Garamond" w:hAnsi="Garamond" w:cs="Garamond"/>
        </w:rPr>
      </w:pPr>
    </w:p>
    <w:p w14:paraId="00000173" w14:textId="77777777" w:rsidR="006B67F3" w:rsidRDefault="00C27B54">
      <w:pPr>
        <w:pStyle w:val="Normal4"/>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b/>
        </w:rPr>
        <w:t xml:space="preserve">Figure B1: </w:t>
      </w:r>
      <w:r>
        <w:rPr>
          <w:rFonts w:ascii="Garamond" w:eastAsia="Garamond" w:hAnsi="Garamond" w:cs="Garamond"/>
        </w:rPr>
        <w:t>Tree canopy cover by census tract 2022</w:t>
      </w:r>
    </w:p>
    <w:p w14:paraId="00000174" w14:textId="77777777" w:rsidR="006B67F3" w:rsidRDefault="00C27B54">
      <w:pPr>
        <w:pStyle w:val="Normal4"/>
        <w:pBdr>
          <w:top w:val="nil"/>
          <w:left w:val="nil"/>
          <w:bottom w:val="nil"/>
          <w:right w:val="nil"/>
          <w:between w:val="nil"/>
        </w:pBdr>
        <w:spacing w:line="240" w:lineRule="auto"/>
        <w:jc w:val="center"/>
        <w:rPr>
          <w:rFonts w:ascii="Garamond" w:eastAsia="Garamond" w:hAnsi="Garamond" w:cs="Garamond"/>
          <w:b/>
        </w:rPr>
      </w:pPr>
      <w:r>
        <w:rPr>
          <w:rFonts w:ascii="Garamond" w:eastAsia="Garamond" w:hAnsi="Garamond" w:cs="Garamond"/>
          <w:noProof/>
        </w:rPr>
        <w:drawing>
          <wp:inline distT="114300" distB="114300" distL="114300" distR="114300" wp14:anchorId="0E91A281" wp14:editId="07777777">
            <wp:extent cx="4579285" cy="3550126"/>
            <wp:effectExtent l="0" t="0" r="0" b="0"/>
            <wp:docPr id="8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2"/>
                    <a:srcRect/>
                    <a:stretch>
                      <a:fillRect/>
                    </a:stretch>
                  </pic:blipFill>
                  <pic:spPr>
                    <a:xfrm>
                      <a:off x="0" y="0"/>
                      <a:ext cx="4579285" cy="3550126"/>
                    </a:xfrm>
                    <a:prstGeom prst="rect">
                      <a:avLst/>
                    </a:prstGeom>
                    <a:ln/>
                  </pic:spPr>
                </pic:pic>
              </a:graphicData>
            </a:graphic>
          </wp:inline>
        </w:drawing>
      </w:r>
    </w:p>
    <w:p w14:paraId="00000175" w14:textId="77777777" w:rsidR="006B67F3" w:rsidRDefault="00C27B54">
      <w:pPr>
        <w:pStyle w:val="Normal4"/>
        <w:spacing w:line="240" w:lineRule="auto"/>
        <w:rPr>
          <w:rFonts w:ascii="Garamond" w:eastAsia="Garamond" w:hAnsi="Garamond" w:cs="Garamond"/>
        </w:rPr>
      </w:pPr>
      <w:r>
        <w:rPr>
          <w:rFonts w:ascii="Garamond" w:eastAsia="Garamond" w:hAnsi="Garamond" w:cs="Garamond"/>
          <w:b/>
        </w:rPr>
        <w:t xml:space="preserve">Figure B2: </w:t>
      </w:r>
      <w:r>
        <w:rPr>
          <w:rFonts w:ascii="Garamond" w:eastAsia="Garamond" w:hAnsi="Garamond" w:cs="Garamond"/>
        </w:rPr>
        <w:t>Tree canopy cover by census tract 2020</w:t>
      </w:r>
    </w:p>
    <w:p w14:paraId="00000176" w14:textId="77777777" w:rsidR="006B67F3" w:rsidRDefault="00C27B54">
      <w:pPr>
        <w:pStyle w:val="Normal4"/>
        <w:spacing w:line="240" w:lineRule="auto"/>
        <w:jc w:val="center"/>
        <w:rPr>
          <w:rFonts w:ascii="Garamond" w:eastAsia="Garamond" w:hAnsi="Garamond" w:cs="Garamond"/>
        </w:rPr>
      </w:pPr>
      <w:r>
        <w:rPr>
          <w:rFonts w:ascii="Garamond" w:eastAsia="Garamond" w:hAnsi="Garamond" w:cs="Garamond"/>
          <w:noProof/>
        </w:rPr>
        <w:drawing>
          <wp:inline distT="114300" distB="114300" distL="114300" distR="114300" wp14:anchorId="55FA5E7E" wp14:editId="07777777">
            <wp:extent cx="4550084" cy="3508153"/>
            <wp:effectExtent l="0" t="0" r="0" b="0"/>
            <wp:docPr id="8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3"/>
                    <a:srcRect l="35" r="34"/>
                    <a:stretch>
                      <a:fillRect/>
                    </a:stretch>
                  </pic:blipFill>
                  <pic:spPr>
                    <a:xfrm>
                      <a:off x="0" y="0"/>
                      <a:ext cx="4550084" cy="3508153"/>
                    </a:xfrm>
                    <a:prstGeom prst="rect">
                      <a:avLst/>
                    </a:prstGeom>
                    <a:ln/>
                  </pic:spPr>
                </pic:pic>
              </a:graphicData>
            </a:graphic>
          </wp:inline>
        </w:drawing>
      </w:r>
    </w:p>
    <w:p w14:paraId="00000177" w14:textId="77777777" w:rsidR="006B67F3" w:rsidRDefault="00C27B54">
      <w:pPr>
        <w:pStyle w:val="Normal4"/>
        <w:spacing w:line="240" w:lineRule="auto"/>
        <w:rPr>
          <w:rFonts w:ascii="Garamond" w:eastAsia="Garamond" w:hAnsi="Garamond" w:cs="Garamond"/>
        </w:rPr>
      </w:pPr>
      <w:r>
        <w:rPr>
          <w:rFonts w:ascii="Garamond" w:eastAsia="Garamond" w:hAnsi="Garamond" w:cs="Garamond"/>
          <w:b/>
        </w:rPr>
        <w:lastRenderedPageBreak/>
        <w:t xml:space="preserve">Figure B3: </w:t>
      </w:r>
      <w:r>
        <w:rPr>
          <w:rFonts w:ascii="Garamond" w:eastAsia="Garamond" w:hAnsi="Garamond" w:cs="Garamond"/>
        </w:rPr>
        <w:t>Tree canopy cover by census tract 2018</w:t>
      </w:r>
    </w:p>
    <w:p w14:paraId="00000178" w14:textId="77777777" w:rsidR="006B67F3" w:rsidRDefault="00C27B54">
      <w:pPr>
        <w:pStyle w:val="Normal4"/>
        <w:spacing w:line="240" w:lineRule="auto"/>
        <w:jc w:val="center"/>
        <w:rPr>
          <w:rFonts w:ascii="Garamond" w:eastAsia="Garamond" w:hAnsi="Garamond" w:cs="Garamond"/>
          <w:b/>
        </w:rPr>
      </w:pPr>
      <w:r>
        <w:rPr>
          <w:rFonts w:ascii="Garamond" w:eastAsia="Garamond" w:hAnsi="Garamond" w:cs="Garamond"/>
          <w:noProof/>
        </w:rPr>
        <w:drawing>
          <wp:inline distT="114300" distB="114300" distL="114300" distR="114300" wp14:anchorId="518B088A" wp14:editId="07777777">
            <wp:extent cx="4648200" cy="3582791"/>
            <wp:effectExtent l="0" t="0" r="0" b="0"/>
            <wp:docPr id="8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54"/>
                    <a:srcRect l="35" r="34"/>
                    <a:stretch>
                      <a:fillRect/>
                    </a:stretch>
                  </pic:blipFill>
                  <pic:spPr>
                    <a:xfrm>
                      <a:off x="0" y="0"/>
                      <a:ext cx="4648200" cy="3582791"/>
                    </a:xfrm>
                    <a:prstGeom prst="rect">
                      <a:avLst/>
                    </a:prstGeom>
                    <a:ln/>
                  </pic:spPr>
                </pic:pic>
              </a:graphicData>
            </a:graphic>
          </wp:inline>
        </w:drawing>
      </w:r>
    </w:p>
    <w:p w14:paraId="00000179" w14:textId="77777777" w:rsidR="006B67F3" w:rsidRDefault="00C27B54">
      <w:pPr>
        <w:pStyle w:val="Normal4"/>
        <w:spacing w:line="240" w:lineRule="auto"/>
        <w:rPr>
          <w:rFonts w:ascii="Garamond" w:eastAsia="Garamond" w:hAnsi="Garamond" w:cs="Garamond"/>
        </w:rPr>
      </w:pPr>
      <w:r>
        <w:rPr>
          <w:rFonts w:ascii="Garamond" w:eastAsia="Garamond" w:hAnsi="Garamond" w:cs="Garamond"/>
          <w:b/>
        </w:rPr>
        <w:t xml:space="preserve">Figure B4: </w:t>
      </w:r>
      <w:r>
        <w:rPr>
          <w:rFonts w:ascii="Garamond" w:eastAsia="Garamond" w:hAnsi="Garamond" w:cs="Garamond"/>
        </w:rPr>
        <w:t>Tree canopy cover by census tract 2016</w:t>
      </w:r>
    </w:p>
    <w:p w14:paraId="0000017A" w14:textId="77777777" w:rsidR="006B67F3" w:rsidRDefault="00C27B54">
      <w:pPr>
        <w:pStyle w:val="Normal4"/>
        <w:spacing w:line="240" w:lineRule="auto"/>
        <w:jc w:val="center"/>
        <w:rPr>
          <w:rFonts w:ascii="Garamond" w:eastAsia="Garamond" w:hAnsi="Garamond" w:cs="Garamond"/>
          <w:color w:val="000000"/>
        </w:rPr>
      </w:pPr>
      <w:r>
        <w:rPr>
          <w:rFonts w:ascii="Garamond" w:eastAsia="Garamond" w:hAnsi="Garamond" w:cs="Garamond"/>
          <w:noProof/>
        </w:rPr>
        <w:drawing>
          <wp:inline distT="114300" distB="114300" distL="114300" distR="114300" wp14:anchorId="17C5E2C3" wp14:editId="07777777">
            <wp:extent cx="4629606" cy="3584829"/>
            <wp:effectExtent l="0" t="0" r="0" b="0"/>
            <wp:docPr id="6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5"/>
                    <a:srcRect l="35" r="34"/>
                    <a:stretch>
                      <a:fillRect/>
                    </a:stretch>
                  </pic:blipFill>
                  <pic:spPr>
                    <a:xfrm>
                      <a:off x="0" y="0"/>
                      <a:ext cx="4629606" cy="3584829"/>
                    </a:xfrm>
                    <a:prstGeom prst="rect">
                      <a:avLst/>
                    </a:prstGeom>
                    <a:ln/>
                  </pic:spPr>
                </pic:pic>
              </a:graphicData>
            </a:graphic>
          </wp:inline>
        </w:drawing>
      </w:r>
    </w:p>
    <w:sectPr w:rsidR="006B67F3">
      <w:footerReference w:type="default" r:id="rId56"/>
      <w:headerReference w:type="first" r:id="rId57"/>
      <w:footerReference w:type="first" r:id="rId5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E1248" w14:textId="77777777" w:rsidR="0064139B" w:rsidRDefault="0064139B">
      <w:pPr>
        <w:spacing w:after="0" w:line="240" w:lineRule="auto"/>
      </w:pPr>
      <w:r>
        <w:separator/>
      </w:r>
    </w:p>
  </w:endnote>
  <w:endnote w:type="continuationSeparator" w:id="0">
    <w:p w14:paraId="31FE00CF" w14:textId="77777777" w:rsidR="0064139B" w:rsidRDefault="00641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EB Garamond">
    <w:charset w:val="00"/>
    <w:family w:val="auto"/>
    <w:pitch w:val="variable"/>
    <w:sig w:usb0="E00002FF" w:usb1="020004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F" w14:textId="5BBD4422" w:rsidR="006B67F3" w:rsidRDefault="00C27B54">
    <w:pPr>
      <w:pStyle w:val="Normal4"/>
      <w:pBdr>
        <w:top w:val="nil"/>
        <w:left w:val="nil"/>
        <w:bottom w:val="nil"/>
        <w:right w:val="nil"/>
        <w:between w:val="nil"/>
      </w:pBdr>
      <w:tabs>
        <w:tab w:val="center" w:pos="4680"/>
        <w:tab w:val="right" w:pos="9360"/>
      </w:tabs>
      <w:spacing w:after="0" w:line="240" w:lineRule="auto"/>
      <w:jc w:val="center"/>
      <w:rPr>
        <w:color w:val="000000"/>
      </w:rPr>
    </w:pPr>
    <w:r>
      <w:rPr>
        <w:rFonts w:ascii="Garamond" w:eastAsia="Garamond" w:hAnsi="Garamond" w:cs="Garamond"/>
        <w:color w:val="2B579A"/>
      </w:rPr>
      <w:fldChar w:fldCharType="begin"/>
    </w:r>
    <w:r>
      <w:rPr>
        <w:rFonts w:ascii="Garamond" w:eastAsia="Garamond" w:hAnsi="Garamond" w:cs="Garamond"/>
        <w:color w:val="2B579A"/>
      </w:rPr>
      <w:instrText>PAGE</w:instrText>
    </w:r>
    <w:r>
      <w:rPr>
        <w:rFonts w:ascii="Garamond" w:eastAsia="Garamond" w:hAnsi="Garamond" w:cs="Garamond"/>
        <w:color w:val="2B579A"/>
      </w:rPr>
      <w:fldChar w:fldCharType="separate"/>
    </w:r>
    <w:r w:rsidR="007F6D61">
      <w:rPr>
        <w:rFonts w:ascii="Garamond" w:eastAsia="Garamond" w:hAnsi="Garamond" w:cs="Garamond"/>
        <w:noProof/>
        <w:color w:val="2B579A"/>
      </w:rPr>
      <w:t>1</w:t>
    </w:r>
    <w:r>
      <w:rPr>
        <w:rFonts w:ascii="Garamond" w:eastAsia="Garamond" w:hAnsi="Garamond" w:cs="Garamond"/>
        <w:color w:val="2B579A"/>
      </w:rPr>
      <w:fldChar w:fldCharType="end"/>
    </w:r>
  </w:p>
  <w:p w14:paraId="00000180" w14:textId="77777777" w:rsidR="006B67F3" w:rsidRDefault="006B67F3">
    <w:pPr>
      <w:pStyle w:val="Normal4"/>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81" w14:textId="77777777" w:rsidR="006B67F3" w:rsidRDefault="006B67F3">
    <w:pPr>
      <w:pStyle w:val="Normal4"/>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498FE" w14:textId="77777777" w:rsidR="0064139B" w:rsidRDefault="0064139B">
      <w:pPr>
        <w:spacing w:after="0" w:line="240" w:lineRule="auto"/>
      </w:pPr>
      <w:r>
        <w:separator/>
      </w:r>
    </w:p>
  </w:footnote>
  <w:footnote w:type="continuationSeparator" w:id="0">
    <w:p w14:paraId="1D4242F9" w14:textId="77777777" w:rsidR="0064139B" w:rsidRDefault="00641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B" w14:textId="77777777" w:rsidR="006B67F3" w:rsidRDefault="00C27B54">
    <w:pPr>
      <w:pStyle w:val="Normal4"/>
      <w:pBdr>
        <w:top w:val="nil"/>
        <w:left w:val="nil"/>
        <w:bottom w:val="nil"/>
        <w:right w:val="nil"/>
        <w:between w:val="nil"/>
      </w:pBdr>
      <w:spacing w:after="0" w:line="240" w:lineRule="auto"/>
      <w:jc w:val="right"/>
      <w:rPr>
        <w:rFonts w:ascii="Garamond" w:eastAsia="Garamond" w:hAnsi="Garamond" w:cs="Garamond"/>
        <w:b/>
        <w:color w:val="000000"/>
        <w:sz w:val="32"/>
        <w:szCs w:val="32"/>
      </w:rPr>
    </w:pPr>
    <w:r>
      <w:rPr>
        <w:rFonts w:ascii="Garamond" w:eastAsia="Garamond" w:hAnsi="Garamond" w:cs="Garamond"/>
        <w:b/>
        <w:color w:val="000000"/>
        <w:sz w:val="32"/>
        <w:szCs w:val="32"/>
      </w:rPr>
      <w:t>NASA DEVELOP National Program</w:t>
    </w:r>
  </w:p>
  <w:p w14:paraId="0000017C" w14:textId="77777777" w:rsidR="006B67F3" w:rsidRDefault="00C27B54">
    <w:pPr>
      <w:pStyle w:val="Normal4"/>
      <w:pBdr>
        <w:top w:val="nil"/>
        <w:left w:val="nil"/>
        <w:bottom w:val="nil"/>
        <w:right w:val="nil"/>
        <w:between w:val="nil"/>
      </w:pBdr>
      <w:spacing w:after="0" w:line="240" w:lineRule="auto"/>
      <w:jc w:val="right"/>
      <w:rPr>
        <w:rFonts w:ascii="Garamond" w:eastAsia="Garamond" w:hAnsi="Garamond" w:cs="Garamond"/>
        <w:b/>
        <w:color w:val="000000"/>
        <w:sz w:val="32"/>
        <w:szCs w:val="32"/>
      </w:rPr>
    </w:pPr>
    <w:r>
      <w:rPr>
        <w:rFonts w:ascii="Garamond" w:eastAsia="Garamond" w:hAnsi="Garamond" w:cs="Garamond"/>
        <w:b/>
        <w:color w:val="000000"/>
        <w:sz w:val="32"/>
        <w:szCs w:val="32"/>
      </w:rPr>
      <w:t>California - JPL</w:t>
    </w:r>
    <w:r>
      <w:rPr>
        <w:noProof/>
      </w:rPr>
      <w:drawing>
        <wp:anchor distT="0" distB="0" distL="114300" distR="114300" simplePos="0" relativeHeight="251658240" behindDoc="0" locked="0" layoutInCell="1" hidden="0" allowOverlap="1" wp14:anchorId="498F2292" wp14:editId="07777777">
          <wp:simplePos x="0" y="0"/>
          <wp:positionH relativeFrom="column">
            <wp:posOffset>12</wp:posOffset>
          </wp:positionH>
          <wp:positionV relativeFrom="paragraph">
            <wp:posOffset>228600</wp:posOffset>
          </wp:positionV>
          <wp:extent cx="5943600" cy="297180"/>
          <wp:effectExtent l="0" t="0" r="0" b="0"/>
          <wp:wrapSquare wrapText="bothSides" distT="0" distB="0" distL="114300" distR="114300"/>
          <wp:docPr id="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0000017D" w14:textId="77777777" w:rsidR="006B67F3" w:rsidRDefault="00C27B54">
    <w:pPr>
      <w:pStyle w:val="Normal4"/>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 xml:space="preserve"> Spring 2023</w:t>
    </w:r>
  </w:p>
  <w:p w14:paraId="0000017E" w14:textId="77777777" w:rsidR="006B67F3" w:rsidRDefault="006B67F3">
    <w:pPr>
      <w:pStyle w:val="Normal4"/>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DC50F17"/>
    <w:rsid w:val="001D303F"/>
    <w:rsid w:val="00244CC5"/>
    <w:rsid w:val="003A6570"/>
    <w:rsid w:val="004354B0"/>
    <w:rsid w:val="005B786B"/>
    <w:rsid w:val="005F6867"/>
    <w:rsid w:val="006233EC"/>
    <w:rsid w:val="0064139B"/>
    <w:rsid w:val="00681226"/>
    <w:rsid w:val="006B67F3"/>
    <w:rsid w:val="006F3804"/>
    <w:rsid w:val="007F6D61"/>
    <w:rsid w:val="00817244"/>
    <w:rsid w:val="008A5095"/>
    <w:rsid w:val="009A64D0"/>
    <w:rsid w:val="00C27B54"/>
    <w:rsid w:val="00C63639"/>
    <w:rsid w:val="00DF5032"/>
    <w:rsid w:val="00EB285D"/>
    <w:rsid w:val="050F84E6"/>
    <w:rsid w:val="060211D7"/>
    <w:rsid w:val="083DAC2B"/>
    <w:rsid w:val="08602636"/>
    <w:rsid w:val="0AE4C2A7"/>
    <w:rsid w:val="0C6E4908"/>
    <w:rsid w:val="0CA7B7A1"/>
    <w:rsid w:val="0EACEDAF"/>
    <w:rsid w:val="0F0E0BF0"/>
    <w:rsid w:val="10D9C78B"/>
    <w:rsid w:val="13610AFA"/>
    <w:rsid w:val="13A40B9C"/>
    <w:rsid w:val="15163AE6"/>
    <w:rsid w:val="15550DB7"/>
    <w:rsid w:val="15AA4BF1"/>
    <w:rsid w:val="15D60F17"/>
    <w:rsid w:val="17D97AEC"/>
    <w:rsid w:val="19866FDE"/>
    <w:rsid w:val="1C3CA57B"/>
    <w:rsid w:val="1E2CEE27"/>
    <w:rsid w:val="2380CD33"/>
    <w:rsid w:val="23C5FA92"/>
    <w:rsid w:val="240E05E9"/>
    <w:rsid w:val="250AA651"/>
    <w:rsid w:val="25211826"/>
    <w:rsid w:val="26B6CF9C"/>
    <w:rsid w:val="26D610E4"/>
    <w:rsid w:val="2B05A27E"/>
    <w:rsid w:val="2DC50F17"/>
    <w:rsid w:val="30348039"/>
    <w:rsid w:val="311E3A00"/>
    <w:rsid w:val="32F19128"/>
    <w:rsid w:val="3303301F"/>
    <w:rsid w:val="348F2E82"/>
    <w:rsid w:val="34B1F3D2"/>
    <w:rsid w:val="37EF33B8"/>
    <w:rsid w:val="3876CA38"/>
    <w:rsid w:val="39BE043D"/>
    <w:rsid w:val="3A16C87E"/>
    <w:rsid w:val="3AD794CB"/>
    <w:rsid w:val="3AE547A9"/>
    <w:rsid w:val="3BE9DA1F"/>
    <w:rsid w:val="3C611DB1"/>
    <w:rsid w:val="3E254BE2"/>
    <w:rsid w:val="410F14FD"/>
    <w:rsid w:val="427ECABF"/>
    <w:rsid w:val="46724F0F"/>
    <w:rsid w:val="4832330E"/>
    <w:rsid w:val="4864830C"/>
    <w:rsid w:val="48BBAB86"/>
    <w:rsid w:val="48CC791F"/>
    <w:rsid w:val="495F9B12"/>
    <w:rsid w:val="4AD14CAE"/>
    <w:rsid w:val="4B64773A"/>
    <w:rsid w:val="5276C759"/>
    <w:rsid w:val="54E9BCF2"/>
    <w:rsid w:val="550B5980"/>
    <w:rsid w:val="5966B99E"/>
    <w:rsid w:val="596A5DBE"/>
    <w:rsid w:val="5B66BE3F"/>
    <w:rsid w:val="5DBE7FFC"/>
    <w:rsid w:val="60178D88"/>
    <w:rsid w:val="603EC89D"/>
    <w:rsid w:val="61D0B42B"/>
    <w:rsid w:val="6313F09A"/>
    <w:rsid w:val="632280F4"/>
    <w:rsid w:val="65B84FE1"/>
    <w:rsid w:val="6A41ED36"/>
    <w:rsid w:val="6A5930BA"/>
    <w:rsid w:val="6AFD41AA"/>
    <w:rsid w:val="6BB2F3A9"/>
    <w:rsid w:val="6C19EEC8"/>
    <w:rsid w:val="6C3113DB"/>
    <w:rsid w:val="6E02FBE0"/>
    <w:rsid w:val="6EDE9BF4"/>
    <w:rsid w:val="6F461D6D"/>
    <w:rsid w:val="70DDAC46"/>
    <w:rsid w:val="713ECA87"/>
    <w:rsid w:val="72DA9AE8"/>
    <w:rsid w:val="7391A09F"/>
    <w:rsid w:val="750CD939"/>
    <w:rsid w:val="7B7C7F64"/>
    <w:rsid w:val="7B941906"/>
    <w:rsid w:val="7E1F67FB"/>
    <w:rsid w:val="7F641B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421A0"/>
  <w15:docId w15:val="{FBA005F2-D56B-4EC9-8CD4-F09AEA5FF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b/>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40" w:after="0"/>
      <w:outlineLvl w:val="5"/>
    </w:pPr>
    <w:rPr>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keepLines/>
      <w:spacing w:before="480" w:after="0"/>
    </w:pPr>
    <w:rPr>
      <w:b/>
      <w:color w:val="366091"/>
      <w:sz w:val="28"/>
      <w:szCs w:val="28"/>
    </w:rPr>
  </w:style>
  <w:style w:type="paragraph" w:customStyle="1" w:styleId="heading20">
    <w:name w:val="heading 20"/>
    <w:basedOn w:val="Normal0"/>
    <w:next w:val="Normal0"/>
    <w:pPr>
      <w:keepNext/>
      <w:keepLines/>
      <w:spacing w:before="200" w:after="0"/>
    </w:pPr>
    <w:rPr>
      <w:b/>
      <w:color w:val="4F81BD"/>
      <w:sz w:val="26"/>
      <w:szCs w:val="26"/>
    </w:rPr>
  </w:style>
  <w:style w:type="paragraph" w:customStyle="1" w:styleId="heading30">
    <w:name w:val="heading 30"/>
    <w:basedOn w:val="Normal0"/>
    <w:next w:val="Normal0"/>
    <w:pPr>
      <w:keepNext/>
      <w:keepLines/>
      <w:spacing w:before="280" w:after="80"/>
    </w:pPr>
    <w:rPr>
      <w:b/>
      <w:sz w:val="28"/>
      <w:szCs w:val="28"/>
    </w:rPr>
  </w:style>
  <w:style w:type="paragraph" w:customStyle="1" w:styleId="heading40">
    <w:name w:val="heading 40"/>
    <w:basedOn w:val="Normal0"/>
    <w:next w:val="Normal0"/>
    <w:pPr>
      <w:keepNext/>
      <w:keepLines/>
      <w:spacing w:before="240" w:after="40"/>
    </w:pPr>
    <w:rPr>
      <w:b/>
      <w:sz w:val="24"/>
      <w:szCs w:val="24"/>
    </w:rPr>
  </w:style>
  <w:style w:type="paragraph" w:customStyle="1" w:styleId="heading50">
    <w:name w:val="heading 50"/>
    <w:basedOn w:val="Normal0"/>
    <w:next w:val="Normal0"/>
    <w:pPr>
      <w:keepNext/>
      <w:keepLines/>
      <w:spacing w:before="220" w:after="40"/>
    </w:pPr>
    <w:rPr>
      <w:b/>
    </w:rPr>
  </w:style>
  <w:style w:type="paragraph" w:customStyle="1" w:styleId="heading60">
    <w:name w:val="heading 60"/>
    <w:basedOn w:val="Normal0"/>
    <w:next w:val="Normal0"/>
    <w:pPr>
      <w:keepNext/>
      <w:keepLines/>
      <w:spacing w:before="40" w:after="0"/>
    </w:pPr>
    <w:rPr>
      <w:color w:val="243F61"/>
    </w:rPr>
  </w:style>
  <w:style w:type="paragraph" w:customStyle="1" w:styleId="Title0">
    <w:name w:val="Title0"/>
    <w:basedOn w:val="Normal0"/>
    <w:next w:val="Normal0"/>
    <w:pPr>
      <w:keepNext/>
      <w:keepLines/>
      <w:spacing w:before="480" w:after="120"/>
    </w:pPr>
    <w:rPr>
      <w:b/>
      <w:sz w:val="72"/>
      <w:szCs w:val="72"/>
    </w:rPr>
  </w:style>
  <w:style w:type="paragraph" w:customStyle="1" w:styleId="Normal1">
    <w:name w:val="Normal1"/>
  </w:style>
  <w:style w:type="table" w:customStyle="1" w:styleId="NormalTable1">
    <w:name w:val="Normal Table1"/>
    <w:tblPr>
      <w:tblCellMar>
        <w:top w:w="0" w:type="dxa"/>
        <w:left w:w="0" w:type="dxa"/>
        <w:bottom w:w="0" w:type="dxa"/>
        <w:right w:w="0" w:type="dxa"/>
      </w:tblCellMar>
    </w:tblPr>
  </w:style>
  <w:style w:type="paragraph" w:customStyle="1" w:styleId="heading11">
    <w:name w:val="heading 11"/>
    <w:basedOn w:val="Normal1"/>
    <w:next w:val="Normal1"/>
    <w:pPr>
      <w:keepNext/>
      <w:keepLines/>
      <w:spacing w:before="480" w:after="0"/>
    </w:pPr>
    <w:rPr>
      <w:b/>
      <w:color w:val="366091"/>
      <w:sz w:val="28"/>
      <w:szCs w:val="28"/>
    </w:rPr>
  </w:style>
  <w:style w:type="paragraph" w:customStyle="1" w:styleId="heading21">
    <w:name w:val="heading 21"/>
    <w:basedOn w:val="Normal1"/>
    <w:next w:val="Normal1"/>
    <w:pPr>
      <w:keepNext/>
      <w:keepLines/>
      <w:spacing w:before="200" w:after="0"/>
    </w:pPr>
    <w:rPr>
      <w:b/>
      <w:color w:val="4F81BD"/>
      <w:sz w:val="26"/>
      <w:szCs w:val="26"/>
    </w:rPr>
  </w:style>
  <w:style w:type="paragraph" w:customStyle="1" w:styleId="heading31">
    <w:name w:val="heading 31"/>
    <w:basedOn w:val="Normal1"/>
    <w:next w:val="Normal1"/>
    <w:pPr>
      <w:keepNext/>
      <w:keepLines/>
      <w:spacing w:before="280" w:after="80"/>
    </w:pPr>
    <w:rPr>
      <w:b/>
      <w:sz w:val="28"/>
      <w:szCs w:val="28"/>
    </w:rPr>
  </w:style>
  <w:style w:type="paragraph" w:customStyle="1" w:styleId="heading41">
    <w:name w:val="heading 41"/>
    <w:basedOn w:val="Normal1"/>
    <w:next w:val="Normal1"/>
    <w:pPr>
      <w:keepNext/>
      <w:keepLines/>
      <w:spacing w:before="240" w:after="40"/>
    </w:pPr>
    <w:rPr>
      <w:b/>
      <w:sz w:val="24"/>
      <w:szCs w:val="24"/>
    </w:rPr>
  </w:style>
  <w:style w:type="paragraph" w:customStyle="1" w:styleId="heading51">
    <w:name w:val="heading 51"/>
    <w:basedOn w:val="Normal1"/>
    <w:next w:val="Normal1"/>
    <w:pPr>
      <w:keepNext/>
      <w:keepLines/>
      <w:spacing w:before="220" w:after="40"/>
    </w:pPr>
    <w:rPr>
      <w:b/>
    </w:rPr>
  </w:style>
  <w:style w:type="paragraph" w:customStyle="1" w:styleId="heading61">
    <w:name w:val="heading 61"/>
    <w:basedOn w:val="Normal1"/>
    <w:next w:val="Normal1"/>
    <w:pPr>
      <w:keepNext/>
      <w:keepLines/>
      <w:spacing w:before="40" w:after="0"/>
    </w:pPr>
    <w:rPr>
      <w:color w:val="243F61"/>
    </w:rPr>
  </w:style>
  <w:style w:type="paragraph" w:customStyle="1" w:styleId="Title1">
    <w:name w:val="Title1"/>
    <w:basedOn w:val="Normal1"/>
    <w:next w:val="Normal1"/>
    <w:pPr>
      <w:keepNext/>
      <w:keepLines/>
      <w:spacing w:before="480" w:after="120"/>
    </w:pPr>
    <w:rPr>
      <w:b/>
      <w:sz w:val="72"/>
      <w:szCs w:val="72"/>
    </w:rPr>
  </w:style>
  <w:style w:type="paragraph" w:customStyle="1" w:styleId="Normal2">
    <w:name w:val="Normal2"/>
  </w:style>
  <w:style w:type="table" w:customStyle="1" w:styleId="NormalTable2">
    <w:name w:val="Normal Table2"/>
    <w:tblPr>
      <w:tblCellMar>
        <w:top w:w="0" w:type="dxa"/>
        <w:left w:w="0" w:type="dxa"/>
        <w:bottom w:w="0" w:type="dxa"/>
        <w:right w:w="0" w:type="dxa"/>
      </w:tblCellMar>
    </w:tblPr>
  </w:style>
  <w:style w:type="paragraph" w:customStyle="1" w:styleId="heading12">
    <w:name w:val="heading 12"/>
    <w:basedOn w:val="Normal2"/>
    <w:next w:val="Normal2"/>
    <w:pPr>
      <w:keepNext/>
      <w:keepLines/>
      <w:spacing w:before="480" w:after="0"/>
    </w:pPr>
    <w:rPr>
      <w:b/>
      <w:color w:val="366091"/>
      <w:sz w:val="28"/>
      <w:szCs w:val="28"/>
    </w:rPr>
  </w:style>
  <w:style w:type="paragraph" w:customStyle="1" w:styleId="heading22">
    <w:name w:val="heading 22"/>
    <w:basedOn w:val="Normal2"/>
    <w:next w:val="Normal2"/>
    <w:pPr>
      <w:keepNext/>
      <w:keepLines/>
      <w:spacing w:before="200" w:after="0"/>
    </w:pPr>
    <w:rPr>
      <w:b/>
      <w:color w:val="4F81BD"/>
      <w:sz w:val="26"/>
      <w:szCs w:val="26"/>
    </w:rPr>
  </w:style>
  <w:style w:type="paragraph" w:customStyle="1" w:styleId="heading32">
    <w:name w:val="heading 32"/>
    <w:basedOn w:val="Normal2"/>
    <w:next w:val="Normal2"/>
    <w:pPr>
      <w:keepNext/>
      <w:keepLines/>
      <w:spacing w:before="280" w:after="80"/>
    </w:pPr>
    <w:rPr>
      <w:b/>
      <w:sz w:val="28"/>
      <w:szCs w:val="28"/>
    </w:rPr>
  </w:style>
  <w:style w:type="paragraph" w:customStyle="1" w:styleId="heading42">
    <w:name w:val="heading 42"/>
    <w:basedOn w:val="Normal2"/>
    <w:next w:val="Normal2"/>
    <w:pPr>
      <w:keepNext/>
      <w:keepLines/>
      <w:spacing w:before="240" w:after="40"/>
    </w:pPr>
    <w:rPr>
      <w:b/>
      <w:sz w:val="24"/>
      <w:szCs w:val="24"/>
    </w:rPr>
  </w:style>
  <w:style w:type="paragraph" w:customStyle="1" w:styleId="heading52">
    <w:name w:val="heading 52"/>
    <w:basedOn w:val="Normal2"/>
    <w:next w:val="Normal2"/>
    <w:pPr>
      <w:keepNext/>
      <w:keepLines/>
      <w:spacing w:before="220" w:after="40"/>
    </w:pPr>
    <w:rPr>
      <w:b/>
    </w:rPr>
  </w:style>
  <w:style w:type="paragraph" w:customStyle="1" w:styleId="heading62">
    <w:name w:val="heading 62"/>
    <w:basedOn w:val="Normal2"/>
    <w:next w:val="Normal2"/>
    <w:pPr>
      <w:keepNext/>
      <w:keepLines/>
      <w:spacing w:before="40" w:after="0"/>
    </w:pPr>
    <w:rPr>
      <w:color w:val="243F61"/>
    </w:rPr>
  </w:style>
  <w:style w:type="paragraph" w:customStyle="1" w:styleId="Title2">
    <w:name w:val="Title2"/>
    <w:basedOn w:val="Normal2"/>
    <w:next w:val="Normal2"/>
    <w:pPr>
      <w:keepNext/>
      <w:keepLines/>
      <w:spacing w:before="480" w:after="120"/>
    </w:pPr>
    <w:rPr>
      <w:b/>
      <w:sz w:val="72"/>
      <w:szCs w:val="72"/>
    </w:rPr>
  </w:style>
  <w:style w:type="paragraph" w:customStyle="1" w:styleId="Normal3">
    <w:name w:val="Normal3"/>
  </w:style>
  <w:style w:type="table" w:customStyle="1" w:styleId="NormalTable3">
    <w:name w:val="Normal Table3"/>
    <w:tblPr>
      <w:tblCellMar>
        <w:top w:w="0" w:type="dxa"/>
        <w:left w:w="0" w:type="dxa"/>
        <w:bottom w:w="0" w:type="dxa"/>
        <w:right w:w="0" w:type="dxa"/>
      </w:tblCellMar>
    </w:tblPr>
  </w:style>
  <w:style w:type="paragraph" w:customStyle="1" w:styleId="heading13">
    <w:name w:val="heading 13"/>
    <w:basedOn w:val="Normal3"/>
    <w:next w:val="Normal3"/>
    <w:pPr>
      <w:keepNext/>
      <w:keepLines/>
      <w:spacing w:before="480" w:after="0"/>
    </w:pPr>
    <w:rPr>
      <w:b/>
      <w:color w:val="366091"/>
      <w:sz w:val="28"/>
      <w:szCs w:val="28"/>
    </w:rPr>
  </w:style>
  <w:style w:type="paragraph" w:customStyle="1" w:styleId="heading23">
    <w:name w:val="heading 23"/>
    <w:basedOn w:val="Normal3"/>
    <w:next w:val="Normal3"/>
    <w:pPr>
      <w:keepNext/>
      <w:keepLines/>
      <w:spacing w:before="200" w:after="0"/>
    </w:pPr>
    <w:rPr>
      <w:b/>
      <w:color w:val="4F81BD"/>
      <w:sz w:val="26"/>
      <w:szCs w:val="26"/>
    </w:rPr>
  </w:style>
  <w:style w:type="paragraph" w:customStyle="1" w:styleId="heading33">
    <w:name w:val="heading 33"/>
    <w:basedOn w:val="Normal3"/>
    <w:next w:val="Normal3"/>
    <w:pPr>
      <w:keepNext/>
      <w:keepLines/>
      <w:spacing w:before="280" w:after="80"/>
    </w:pPr>
    <w:rPr>
      <w:b/>
      <w:sz w:val="28"/>
      <w:szCs w:val="28"/>
    </w:rPr>
  </w:style>
  <w:style w:type="paragraph" w:customStyle="1" w:styleId="heading43">
    <w:name w:val="heading 43"/>
    <w:basedOn w:val="Normal3"/>
    <w:next w:val="Normal3"/>
    <w:pPr>
      <w:keepNext/>
      <w:keepLines/>
      <w:spacing w:before="240" w:after="40"/>
    </w:pPr>
    <w:rPr>
      <w:b/>
      <w:sz w:val="24"/>
      <w:szCs w:val="24"/>
    </w:rPr>
  </w:style>
  <w:style w:type="paragraph" w:customStyle="1" w:styleId="heading53">
    <w:name w:val="heading 53"/>
    <w:basedOn w:val="Normal3"/>
    <w:next w:val="Normal3"/>
    <w:pPr>
      <w:keepNext/>
      <w:keepLines/>
      <w:spacing w:before="220" w:after="40"/>
    </w:pPr>
    <w:rPr>
      <w:b/>
    </w:rPr>
  </w:style>
  <w:style w:type="paragraph" w:customStyle="1" w:styleId="heading63">
    <w:name w:val="heading 63"/>
    <w:basedOn w:val="Normal3"/>
    <w:next w:val="Normal3"/>
    <w:pPr>
      <w:keepNext/>
      <w:keepLines/>
      <w:spacing w:before="40" w:after="0"/>
    </w:pPr>
    <w:rPr>
      <w:color w:val="243F61"/>
    </w:rPr>
  </w:style>
  <w:style w:type="paragraph" w:customStyle="1" w:styleId="Title3">
    <w:name w:val="Title3"/>
    <w:basedOn w:val="Normal3"/>
    <w:next w:val="Normal3"/>
    <w:pPr>
      <w:keepNext/>
      <w:keepLines/>
      <w:spacing w:before="480" w:after="120"/>
    </w:pPr>
    <w:rPr>
      <w:b/>
      <w:sz w:val="72"/>
      <w:szCs w:val="72"/>
    </w:rPr>
  </w:style>
  <w:style w:type="paragraph" w:customStyle="1" w:styleId="Normal4">
    <w:name w:val="Normal4"/>
    <w:qFormat/>
  </w:style>
  <w:style w:type="paragraph" w:customStyle="1" w:styleId="heading14">
    <w:name w:val="heading 14"/>
    <w:basedOn w:val="Normal4"/>
    <w:next w:val="Normal4"/>
    <w:uiPriority w:val="9"/>
    <w:qFormat/>
    <w:pPr>
      <w:keepNext/>
      <w:keepLines/>
      <w:spacing w:before="480" w:after="0"/>
      <w:outlineLvl w:val="0"/>
    </w:pPr>
    <w:rPr>
      <w:b/>
      <w:color w:val="366091"/>
      <w:sz w:val="28"/>
      <w:szCs w:val="28"/>
    </w:rPr>
  </w:style>
  <w:style w:type="paragraph" w:customStyle="1" w:styleId="heading24">
    <w:name w:val="heading 24"/>
    <w:basedOn w:val="Normal4"/>
    <w:next w:val="Normal4"/>
    <w:uiPriority w:val="9"/>
    <w:semiHidden/>
    <w:unhideWhenUsed/>
    <w:qFormat/>
    <w:pPr>
      <w:keepNext/>
      <w:keepLines/>
      <w:spacing w:before="200" w:after="0"/>
      <w:outlineLvl w:val="1"/>
    </w:pPr>
    <w:rPr>
      <w:b/>
      <w:color w:val="4F81BD"/>
      <w:sz w:val="26"/>
      <w:szCs w:val="26"/>
    </w:rPr>
  </w:style>
  <w:style w:type="paragraph" w:customStyle="1" w:styleId="heading34">
    <w:name w:val="heading 34"/>
    <w:basedOn w:val="Normal4"/>
    <w:next w:val="Normal4"/>
    <w:uiPriority w:val="9"/>
    <w:semiHidden/>
    <w:unhideWhenUsed/>
    <w:qFormat/>
    <w:pPr>
      <w:keepNext/>
      <w:keepLines/>
      <w:spacing w:before="280" w:after="80"/>
      <w:outlineLvl w:val="2"/>
    </w:pPr>
    <w:rPr>
      <w:b/>
      <w:sz w:val="28"/>
      <w:szCs w:val="28"/>
    </w:rPr>
  </w:style>
  <w:style w:type="paragraph" w:customStyle="1" w:styleId="heading44">
    <w:name w:val="heading 44"/>
    <w:basedOn w:val="Normal4"/>
    <w:next w:val="Normal4"/>
    <w:uiPriority w:val="9"/>
    <w:semiHidden/>
    <w:unhideWhenUsed/>
    <w:qFormat/>
    <w:pPr>
      <w:keepNext/>
      <w:keepLines/>
      <w:spacing w:before="240" w:after="40"/>
      <w:outlineLvl w:val="3"/>
    </w:pPr>
    <w:rPr>
      <w:b/>
      <w:sz w:val="24"/>
      <w:szCs w:val="24"/>
    </w:rPr>
  </w:style>
  <w:style w:type="paragraph" w:customStyle="1" w:styleId="heading54">
    <w:name w:val="heading 54"/>
    <w:basedOn w:val="Normal4"/>
    <w:next w:val="Normal4"/>
    <w:uiPriority w:val="9"/>
    <w:semiHidden/>
    <w:unhideWhenUsed/>
    <w:qFormat/>
    <w:pPr>
      <w:keepNext/>
      <w:keepLines/>
      <w:spacing w:before="220" w:after="40"/>
      <w:outlineLvl w:val="4"/>
    </w:pPr>
    <w:rPr>
      <w:b/>
    </w:rPr>
  </w:style>
  <w:style w:type="paragraph" w:customStyle="1" w:styleId="heading64">
    <w:name w:val="heading 64"/>
    <w:basedOn w:val="Normal4"/>
    <w:next w:val="Normal4"/>
    <w:uiPriority w:val="9"/>
    <w:semiHidden/>
    <w:unhideWhenUsed/>
    <w:qFormat/>
    <w:pPr>
      <w:keepNext/>
      <w:keepLines/>
      <w:spacing w:before="40" w:after="0"/>
      <w:outlineLvl w:val="5"/>
    </w:pPr>
    <w:rPr>
      <w:color w:val="243F61"/>
    </w:rPr>
  </w:style>
  <w:style w:type="table" w:customStyle="1" w:styleId="NormalTable4">
    <w:name w:val="Normal Table4"/>
    <w:uiPriority w:val="99"/>
    <w:semiHidden/>
    <w:unhideWhenUsed/>
    <w:tblPr>
      <w:tblInd w:w="0" w:type="dxa"/>
      <w:tblCellMar>
        <w:top w:w="0" w:type="dxa"/>
        <w:left w:w="108" w:type="dxa"/>
        <w:bottom w:w="0" w:type="dxa"/>
        <w:right w:w="108" w:type="dxa"/>
      </w:tblCellMar>
    </w:tblPr>
  </w:style>
  <w:style w:type="paragraph" w:customStyle="1" w:styleId="Title4">
    <w:name w:val="Title4"/>
    <w:basedOn w:val="Normal4"/>
    <w:next w:val="Normal4"/>
    <w:uiPriority w:val="10"/>
    <w:qFormat/>
    <w:pPr>
      <w:keepNext/>
      <w:keepLines/>
      <w:spacing w:before="480" w:after="120"/>
    </w:pPr>
    <w:rPr>
      <w:b/>
      <w:sz w:val="72"/>
      <w:szCs w:val="72"/>
    </w:rPr>
  </w:style>
  <w:style w:type="paragraph" w:customStyle="1" w:styleId="Normal00">
    <w:name w:val="Normal00"/>
    <w:qFormat/>
  </w:style>
  <w:style w:type="paragraph" w:customStyle="1" w:styleId="heading100">
    <w:name w:val="heading 100"/>
    <w:basedOn w:val="Normal00"/>
    <w:next w:val="Normal00"/>
    <w:uiPriority w:val="9"/>
    <w:qFormat/>
    <w:pPr>
      <w:keepNext/>
      <w:keepLines/>
      <w:spacing w:before="480" w:after="0"/>
      <w:outlineLvl w:val="0"/>
    </w:pPr>
    <w:rPr>
      <w:b/>
      <w:color w:val="366091"/>
      <w:sz w:val="28"/>
      <w:szCs w:val="28"/>
    </w:rPr>
  </w:style>
  <w:style w:type="paragraph" w:customStyle="1" w:styleId="heading200">
    <w:name w:val="heading 200"/>
    <w:basedOn w:val="Normal00"/>
    <w:next w:val="Normal00"/>
    <w:uiPriority w:val="9"/>
    <w:semiHidden/>
    <w:unhideWhenUsed/>
    <w:qFormat/>
    <w:pPr>
      <w:keepNext/>
      <w:keepLines/>
      <w:spacing w:before="200" w:after="0"/>
      <w:outlineLvl w:val="1"/>
    </w:pPr>
    <w:rPr>
      <w:b/>
      <w:color w:val="4F81BD"/>
      <w:sz w:val="26"/>
      <w:szCs w:val="26"/>
    </w:rPr>
  </w:style>
  <w:style w:type="paragraph" w:customStyle="1" w:styleId="heading300">
    <w:name w:val="heading 300"/>
    <w:basedOn w:val="Normal00"/>
    <w:next w:val="Normal00"/>
    <w:uiPriority w:val="9"/>
    <w:semiHidden/>
    <w:unhideWhenUsed/>
    <w:qFormat/>
    <w:pPr>
      <w:keepNext/>
      <w:keepLines/>
      <w:spacing w:before="280" w:after="80"/>
      <w:outlineLvl w:val="2"/>
    </w:pPr>
    <w:rPr>
      <w:b/>
      <w:sz w:val="28"/>
      <w:szCs w:val="28"/>
    </w:rPr>
  </w:style>
  <w:style w:type="paragraph" w:customStyle="1" w:styleId="heading400">
    <w:name w:val="heading 400"/>
    <w:basedOn w:val="Normal00"/>
    <w:next w:val="Normal00"/>
    <w:uiPriority w:val="9"/>
    <w:semiHidden/>
    <w:unhideWhenUsed/>
    <w:qFormat/>
    <w:pPr>
      <w:keepNext/>
      <w:keepLines/>
      <w:spacing w:before="240" w:after="40"/>
      <w:outlineLvl w:val="3"/>
    </w:pPr>
    <w:rPr>
      <w:b/>
      <w:sz w:val="24"/>
      <w:szCs w:val="24"/>
    </w:rPr>
  </w:style>
  <w:style w:type="paragraph" w:customStyle="1" w:styleId="heading500">
    <w:name w:val="heading 500"/>
    <w:basedOn w:val="Normal00"/>
    <w:next w:val="Normal00"/>
    <w:uiPriority w:val="9"/>
    <w:semiHidden/>
    <w:unhideWhenUsed/>
    <w:qFormat/>
    <w:pPr>
      <w:keepNext/>
      <w:keepLines/>
      <w:spacing w:before="220" w:after="40"/>
      <w:outlineLvl w:val="4"/>
    </w:pPr>
    <w:rPr>
      <w:b/>
    </w:rPr>
  </w:style>
  <w:style w:type="paragraph" w:customStyle="1" w:styleId="heading600">
    <w:name w:val="heading 600"/>
    <w:basedOn w:val="Normal00"/>
    <w:next w:val="Normal00"/>
    <w:uiPriority w:val="9"/>
    <w:semiHidden/>
    <w:unhideWhenUsed/>
    <w:qFormat/>
    <w:pPr>
      <w:keepNext/>
      <w:keepLines/>
      <w:spacing w:before="40" w:after="0"/>
      <w:outlineLvl w:val="5"/>
    </w:pPr>
    <w:rPr>
      <w:color w:val="243F61"/>
    </w:rPr>
  </w:style>
  <w:style w:type="table" w:customStyle="1" w:styleId="NormalTable00">
    <w:name w:val="Normal Table00"/>
    <w:uiPriority w:val="99"/>
    <w:semiHidden/>
    <w:unhideWhenUsed/>
    <w:tblPr>
      <w:tblInd w:w="0" w:type="dxa"/>
      <w:tblCellMar>
        <w:top w:w="0" w:type="dxa"/>
        <w:left w:w="108" w:type="dxa"/>
        <w:bottom w:w="0" w:type="dxa"/>
        <w:right w:w="108" w:type="dxa"/>
      </w:tblCellMar>
    </w:tblPr>
  </w:style>
  <w:style w:type="paragraph" w:customStyle="1" w:styleId="Title00">
    <w:name w:val="Title00"/>
    <w:basedOn w:val="Normal00"/>
    <w:next w:val="Normal00"/>
    <w:uiPriority w:val="10"/>
    <w:qFormat/>
    <w:pPr>
      <w:keepNext/>
      <w:keepLines/>
      <w:spacing w:before="480" w:after="120"/>
    </w:pPr>
    <w:rPr>
      <w:b/>
      <w:sz w:val="72"/>
      <w:szCs w:val="72"/>
    </w:rPr>
  </w:style>
  <w:style w:type="paragraph" w:customStyle="1" w:styleId="Normal000">
    <w:name w:val="Normal000"/>
    <w:qFormat/>
    <w:rsid w:val="00B2307C"/>
  </w:style>
  <w:style w:type="paragraph" w:customStyle="1" w:styleId="heading1000">
    <w:name w:val="heading 1000"/>
    <w:basedOn w:val="Normal000"/>
    <w:next w:val="Normal000"/>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000">
    <w:name w:val="heading 2000"/>
    <w:basedOn w:val="Normal000"/>
    <w:next w:val="Normal000"/>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6000">
    <w:name w:val="heading 6000"/>
    <w:basedOn w:val="Normal000"/>
    <w:next w:val="Normal000"/>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table" w:customStyle="1" w:styleId="NormalTable000">
    <w:name w:val="Normal Table000"/>
    <w:uiPriority w:val="99"/>
    <w:semiHidden/>
    <w:unhideWhenUsed/>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000"/>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000"/>
    <w:next w:val="Normal000"/>
    <w:uiPriority w:val="39"/>
    <w:unhideWhenUsed/>
    <w:qFormat/>
    <w:rsid w:val="00FB5846"/>
    <w:pPr>
      <w:outlineLvl w:val="9"/>
    </w:pPr>
  </w:style>
  <w:style w:type="paragraph" w:styleId="BalloonText">
    <w:name w:val="Balloon Text"/>
    <w:basedOn w:val="Normal000"/>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000"/>
    <w:next w:val="Normal000"/>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000"/>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000"/>
    <w:next w:val="Normal000"/>
    <w:autoRedefine/>
    <w:uiPriority w:val="39"/>
    <w:unhideWhenUsed/>
    <w:rsid w:val="00E41324"/>
    <w:pPr>
      <w:spacing w:after="100"/>
      <w:ind w:left="220"/>
    </w:pPr>
  </w:style>
  <w:style w:type="paragraph" w:styleId="Header">
    <w:name w:val="header"/>
    <w:basedOn w:val="Normal000"/>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000"/>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000"/>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000"/>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NormalTable000"/>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000"/>
    <w:next w:val="Normal000"/>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000"/>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styleId="Bibliography">
    <w:name w:val="Bibliography"/>
    <w:basedOn w:val="Normal000"/>
    <w:next w:val="Normal000"/>
    <w:uiPriority w:val="37"/>
    <w:unhideWhenUsed/>
    <w:rsid w:val="00417920"/>
    <w:pPr>
      <w:spacing w:after="0" w:line="480" w:lineRule="auto"/>
      <w:ind w:left="720" w:hanging="720"/>
    </w:pPr>
  </w:style>
  <w:style w:type="paragraph" w:styleId="Revision">
    <w:name w:val="Revision"/>
    <w:hidden/>
    <w:uiPriority w:val="99"/>
    <w:semiHidden/>
    <w:rsid w:val="00D842B8"/>
    <w:pPr>
      <w:spacing w:after="0" w:line="240" w:lineRule="auto"/>
    </w:pPr>
  </w:style>
  <w:style w:type="paragraph" w:styleId="Subtitle">
    <w:name w:val="Subtitle"/>
    <w:basedOn w:val="Normal00"/>
    <w:next w:val="Normal00"/>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NormalTable000"/>
    <w:pPr>
      <w:spacing w:after="0" w:line="240" w:lineRule="auto"/>
    </w:pPr>
    <w:tblPr>
      <w:tblStyleRowBandSize w:val="1"/>
      <w:tblStyleColBandSize w:val="1"/>
    </w:tblPr>
  </w:style>
  <w:style w:type="table" w:customStyle="1" w:styleId="a0">
    <w:basedOn w:val="NormalTable000"/>
    <w:tblPr>
      <w:tblStyleRowBandSize w:val="1"/>
      <w:tblStyleColBandSize w:val="1"/>
      <w:tblCellMar>
        <w:left w:w="115" w:type="dxa"/>
        <w:right w:w="115" w:type="dxa"/>
      </w:tblCellMar>
    </w:tblPr>
  </w:style>
  <w:style w:type="table" w:customStyle="1" w:styleId="a1">
    <w:basedOn w:val="NormalTable000"/>
    <w:pPr>
      <w:spacing w:after="0" w:line="240" w:lineRule="auto"/>
    </w:pPr>
    <w:tblPr>
      <w:tblStyleRowBandSize w:val="1"/>
      <w:tblStyleColBandSize w:val="1"/>
      <w:tblCellMar>
        <w:left w:w="115" w:type="dxa"/>
        <w:right w:w="115" w:type="dxa"/>
      </w:tblCellMar>
    </w:tblPr>
  </w:style>
  <w:style w:type="table" w:customStyle="1" w:styleId="a2">
    <w:basedOn w:val="NormalTable000"/>
    <w:pPr>
      <w:spacing w:after="0" w:line="240" w:lineRule="auto"/>
    </w:pPr>
    <w:tblPr>
      <w:tblStyleRowBandSize w:val="1"/>
      <w:tblStyleColBandSize w:val="1"/>
      <w:tblCellMar>
        <w:left w:w="115" w:type="dxa"/>
        <w:right w:w="115" w:type="dxa"/>
      </w:tblCellMar>
    </w:tblPr>
  </w:style>
  <w:style w:type="paragraph" w:customStyle="1" w:styleId="Subtitle0">
    <w:name w:val="Subtitle0"/>
    <w:basedOn w:val="Normal00"/>
    <w:next w:val="Normal00"/>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3">
    <w:basedOn w:val="NormalTable00"/>
    <w:pPr>
      <w:spacing w:after="0" w:line="240" w:lineRule="auto"/>
    </w:pPr>
    <w:tblPr>
      <w:tblStyleRowBandSize w:val="1"/>
      <w:tblStyleColBandSize w:val="1"/>
      <w:tblCellMar>
        <w:left w:w="115" w:type="dxa"/>
        <w:right w:w="115" w:type="dxa"/>
      </w:tblCellMar>
    </w:tblPr>
  </w:style>
  <w:style w:type="table" w:customStyle="1" w:styleId="a4">
    <w:basedOn w:val="NormalTable00"/>
    <w:pPr>
      <w:spacing w:after="0" w:line="240" w:lineRule="auto"/>
    </w:pPr>
    <w:tblPr>
      <w:tblStyleRowBandSize w:val="1"/>
      <w:tblStyleColBandSize w:val="1"/>
      <w:tblCellMar>
        <w:left w:w="115" w:type="dxa"/>
        <w:right w:w="115" w:type="dxa"/>
      </w:tblCellMar>
    </w:tblPr>
  </w:style>
  <w:style w:type="table" w:customStyle="1" w:styleId="a5">
    <w:basedOn w:val="NormalTable00"/>
    <w:pPr>
      <w:spacing w:after="0" w:line="240" w:lineRule="auto"/>
    </w:pPr>
    <w:tblPr>
      <w:tblStyleRowBandSize w:val="1"/>
      <w:tblStyleColBandSize w:val="1"/>
      <w:tblCellMar>
        <w:left w:w="115" w:type="dxa"/>
        <w:right w:w="115" w:type="dxa"/>
      </w:tblCellMar>
    </w:tblPr>
  </w:style>
  <w:style w:type="paragraph" w:customStyle="1" w:styleId="Subtitle1">
    <w:name w:val="Subtitle1"/>
    <w:basedOn w:val="Normal4"/>
    <w:next w:val="Normal4"/>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6">
    <w:basedOn w:val="NormalTable4"/>
    <w:tblPr>
      <w:tblStyleRowBandSize w:val="1"/>
      <w:tblStyleColBandSize w:val="1"/>
      <w:tblCellMar>
        <w:top w:w="100" w:type="dxa"/>
        <w:left w:w="100" w:type="dxa"/>
        <w:bottom w:w="100" w:type="dxa"/>
        <w:right w:w="100" w:type="dxa"/>
      </w:tblCellMar>
    </w:tblPr>
  </w:style>
  <w:style w:type="table" w:customStyle="1" w:styleId="a7">
    <w:basedOn w:val="NormalTable4"/>
    <w:tblPr>
      <w:tblStyleRowBandSize w:val="1"/>
      <w:tblStyleColBandSize w:val="1"/>
      <w:tblCellMar>
        <w:top w:w="100" w:type="dxa"/>
        <w:left w:w="100" w:type="dxa"/>
        <w:bottom w:w="100" w:type="dxa"/>
        <w:right w:w="100" w:type="dxa"/>
      </w:tblCellMar>
    </w:tblPr>
  </w:style>
  <w:style w:type="table" w:customStyle="1" w:styleId="a8">
    <w:basedOn w:val="NormalTable4"/>
    <w:pPr>
      <w:spacing w:after="0" w:line="240" w:lineRule="auto"/>
    </w:pPr>
    <w:tblPr>
      <w:tblStyleRowBandSize w:val="1"/>
      <w:tblStyleColBandSize w:val="1"/>
      <w:tblCellMar>
        <w:left w:w="115" w:type="dxa"/>
        <w:right w:w="115" w:type="dxa"/>
      </w:tblCellMar>
    </w:tblPr>
  </w:style>
  <w:style w:type="paragraph" w:customStyle="1" w:styleId="Subtitle2">
    <w:name w:val="Subtitle2"/>
    <w:basedOn w:val="Normal4"/>
    <w:next w:val="Normal4"/>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9">
    <w:basedOn w:val="NormalTable4"/>
    <w:pPr>
      <w:spacing w:after="0" w:line="240" w:lineRule="auto"/>
    </w:pPr>
    <w:tblPr>
      <w:tblStyleRowBandSize w:val="1"/>
      <w:tblStyleColBandSize w:val="1"/>
      <w:tblCellMar>
        <w:left w:w="115" w:type="dxa"/>
        <w:right w:w="115" w:type="dxa"/>
      </w:tblCellMar>
    </w:tblPr>
  </w:style>
  <w:style w:type="table" w:customStyle="1" w:styleId="aa">
    <w:basedOn w:val="NormalTable4"/>
    <w:pPr>
      <w:spacing w:after="0" w:line="240" w:lineRule="auto"/>
    </w:pPr>
    <w:tblPr>
      <w:tblStyleRowBandSize w:val="1"/>
      <w:tblStyleColBandSize w:val="1"/>
      <w:tblCellMar>
        <w:left w:w="115" w:type="dxa"/>
        <w:right w:w="115" w:type="dxa"/>
      </w:tblCellMar>
    </w:tblPr>
  </w:style>
  <w:style w:type="table" w:customStyle="1" w:styleId="ab">
    <w:basedOn w:val="NormalTable4"/>
    <w:pPr>
      <w:spacing w:after="0" w:line="240" w:lineRule="auto"/>
    </w:pPr>
    <w:tblPr>
      <w:tblStyleRowBandSize w:val="1"/>
      <w:tblStyleColBandSize w:val="1"/>
      <w:tblCellMar>
        <w:left w:w="115" w:type="dxa"/>
        <w:right w:w="115" w:type="dxa"/>
      </w:tblCellMar>
    </w:tblPr>
  </w:style>
  <w:style w:type="paragraph" w:customStyle="1" w:styleId="Subtitle3">
    <w:name w:val="Subtitle3"/>
    <w:basedOn w:val="Normal4"/>
    <w:next w:val="Normal4"/>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c">
    <w:basedOn w:val="NormalTable4"/>
    <w:pPr>
      <w:spacing w:after="0" w:line="240" w:lineRule="auto"/>
    </w:pPr>
    <w:tblPr>
      <w:tblStyleRowBandSize w:val="1"/>
      <w:tblStyleColBandSize w:val="1"/>
      <w:tblCellMar>
        <w:left w:w="115" w:type="dxa"/>
        <w:right w:w="115" w:type="dxa"/>
      </w:tblCellMar>
    </w:tblPr>
  </w:style>
  <w:style w:type="table" w:customStyle="1" w:styleId="ad">
    <w:basedOn w:val="NormalTable4"/>
    <w:pPr>
      <w:spacing w:after="0" w:line="240" w:lineRule="auto"/>
    </w:pPr>
    <w:tblPr>
      <w:tblStyleRowBandSize w:val="1"/>
      <w:tblStyleColBandSize w:val="1"/>
      <w:tblCellMar>
        <w:left w:w="115" w:type="dxa"/>
        <w:right w:w="115" w:type="dxa"/>
      </w:tblCellMar>
    </w:tblPr>
  </w:style>
  <w:style w:type="table" w:customStyle="1" w:styleId="ae">
    <w:basedOn w:val="NormalTable4"/>
    <w:pPr>
      <w:spacing w:after="0" w:line="240" w:lineRule="auto"/>
    </w:pPr>
    <w:tblPr>
      <w:tblStyleRowBandSize w:val="1"/>
      <w:tblStyleColBandSize w:val="1"/>
      <w:tblCellMar>
        <w:left w:w="115" w:type="dxa"/>
        <w:right w:w="115" w:type="dxa"/>
      </w:tblCellMar>
    </w:tblPr>
  </w:style>
  <w:style w:type="table" w:customStyle="1" w:styleId="af">
    <w:basedOn w:val="NormalTable4"/>
    <w:pPr>
      <w:spacing w:after="0" w:line="240" w:lineRule="auto"/>
    </w:pPr>
    <w:tblPr>
      <w:tblStyleRowBandSize w:val="1"/>
      <w:tblStyleColBandSize w:val="1"/>
      <w:tblCellMar>
        <w:left w:w="115" w:type="dxa"/>
        <w:right w:w="115" w:type="dxa"/>
      </w:tblCellMar>
    </w:tblPr>
  </w:style>
  <w:style w:type="paragraph" w:customStyle="1" w:styleId="Subtitle4">
    <w:name w:val="Subtitle4"/>
    <w:basedOn w:val="Normal4"/>
    <w:next w:val="Normal4"/>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0">
    <w:basedOn w:val="NormalTable4"/>
    <w:pPr>
      <w:spacing w:after="0" w:line="240" w:lineRule="auto"/>
    </w:pPr>
    <w:tblPr>
      <w:tblStyleRowBandSize w:val="1"/>
      <w:tblStyleColBandSize w:val="1"/>
      <w:tblCellMar>
        <w:left w:w="115" w:type="dxa"/>
        <w:right w:w="115" w:type="dxa"/>
      </w:tblCellMar>
    </w:tblPr>
  </w:style>
  <w:style w:type="table" w:customStyle="1" w:styleId="af1">
    <w:basedOn w:val="NormalTable4"/>
    <w:pPr>
      <w:spacing w:after="0" w:line="240" w:lineRule="auto"/>
    </w:pPr>
    <w:tblPr>
      <w:tblStyleRowBandSize w:val="1"/>
      <w:tblStyleColBandSize w:val="1"/>
      <w:tblCellMar>
        <w:left w:w="115" w:type="dxa"/>
        <w:right w:w="115" w:type="dxa"/>
      </w:tblCellMar>
    </w:tblPr>
  </w:style>
  <w:style w:type="table" w:customStyle="1" w:styleId="af2">
    <w:basedOn w:val="NormalTable4"/>
    <w:pPr>
      <w:spacing w:after="0" w:line="240" w:lineRule="auto"/>
    </w:pPr>
    <w:tblPr>
      <w:tblStyleRowBandSize w:val="1"/>
      <w:tblStyleColBandSize w:val="1"/>
      <w:tblCellMar>
        <w:left w:w="115" w:type="dxa"/>
        <w:right w:w="115" w:type="dxa"/>
      </w:tblCellMar>
    </w:tblPr>
  </w:style>
  <w:style w:type="table" w:customStyle="1" w:styleId="af3">
    <w:basedOn w:val="NormalTable4"/>
    <w:pPr>
      <w:spacing w:after="0" w:line="240" w:lineRule="auto"/>
    </w:pPr>
    <w:tblPr>
      <w:tblStyleRowBandSize w:val="1"/>
      <w:tblStyleColBandSize w:val="1"/>
      <w:tblCellMar>
        <w:left w:w="115" w:type="dxa"/>
        <w:right w:w="115" w:type="dxa"/>
      </w:tblCellMar>
    </w:tblPr>
  </w:style>
  <w:style w:type="paragraph" w:customStyle="1" w:styleId="Subtitle5">
    <w:name w:val="Subtitle5"/>
    <w:basedOn w:val="Normal4"/>
    <w:next w:val="Normal4"/>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4">
    <w:basedOn w:val="NormalTable4"/>
    <w:pPr>
      <w:spacing w:after="0" w:line="240" w:lineRule="auto"/>
    </w:pPr>
    <w:tblPr>
      <w:tblStyleRowBandSize w:val="1"/>
      <w:tblStyleColBandSize w:val="1"/>
      <w:tblCellMar>
        <w:left w:w="115" w:type="dxa"/>
        <w:right w:w="115" w:type="dxa"/>
      </w:tblCellMar>
    </w:tblPr>
  </w:style>
  <w:style w:type="table" w:customStyle="1" w:styleId="af5">
    <w:basedOn w:val="NormalTable4"/>
    <w:pPr>
      <w:spacing w:after="0" w:line="240" w:lineRule="auto"/>
    </w:pPr>
    <w:tblPr>
      <w:tblStyleRowBandSize w:val="1"/>
      <w:tblStyleColBandSize w:val="1"/>
      <w:tblCellMar>
        <w:left w:w="115" w:type="dxa"/>
        <w:right w:w="115" w:type="dxa"/>
      </w:tblCellMar>
    </w:tblPr>
  </w:style>
  <w:style w:type="table" w:customStyle="1" w:styleId="af6">
    <w:basedOn w:val="NormalTable4"/>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i.org/10.3390/w12123577" TargetMode="External"/><Relationship Id="rId39" Type="http://schemas.openxmlformats.org/officeDocument/2006/relationships/hyperlink" Target="https://doi.org/10.1080/01431161.2018.1557792" TargetMode="External"/><Relationship Id="rId21" Type="http://schemas.openxmlformats.org/officeDocument/2006/relationships/image" Target="media/image12.png"/><Relationship Id="rId34" Type="http://schemas.openxmlformats.org/officeDocument/2006/relationships/hyperlink" Target="https://doi.org/10.4090/juee.2021.v15n2.103116" TargetMode="External"/><Relationship Id="rId42" Type="http://schemas.openxmlformats.org/officeDocument/2006/relationships/hyperlink" Target="https://naip-usdaonline.hub.arcgis.com/" TargetMode="External"/><Relationship Id="rId47" Type="http://schemas.openxmlformats.org/officeDocument/2006/relationships/hyperlink" Target="https://www.usgs.gov/landsat-missions/landsat-8-data-users-handbook" TargetMode="External"/><Relationship Id="rId50" Type="http://schemas.openxmlformats.org/officeDocument/2006/relationships/image" Target="media/image16.png"/><Relationship Id="rId55" Type="http://schemas.openxmlformats.org/officeDocument/2006/relationships/image" Target="media/image21.jp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doi.org/10.1016/j.rse.2011.03.008" TargetMode="External"/><Relationship Id="rId11" Type="http://schemas.openxmlformats.org/officeDocument/2006/relationships/image" Target="media/image2.png"/><Relationship Id="rId24" Type="http://schemas.openxmlformats.org/officeDocument/2006/relationships/hyperlink" Target="https://www.google.com/search?rlz=1C1GCEA_enUS1042US1042&amp;sxsrf=AJOqlzVSBjbIQb0Da3jfo1EH4khBDOtMPQ:1678894810617&amp;q=transpiration&amp;si=AEcPFx5rtTeAvxlMXifRTzKScK4IghxhqzvFmZwIdq-_G4gWNnhh7oS3Mtq9GDAD8Ts7gmhdczXyAvFgsUS3ESTXfI8jWHE9FKruoBlarLWq9qVGf0sS0d4%3D&amp;expnd=1" TargetMode="External"/><Relationship Id="rId32" Type="http://schemas.openxmlformats.org/officeDocument/2006/relationships/hyperlink" Target="https://doi.org/10.1029/2020EF001480" TargetMode="External"/><Relationship Id="rId37" Type="http://schemas.openxmlformats.org/officeDocument/2006/relationships/hyperlink" Target="https://doi.org/10.3390/rs14164076" TargetMode="External"/><Relationship Id="rId40" Type="http://schemas.openxmlformats.org/officeDocument/2006/relationships/hyperlink" Target="https://www.researchgate.net/publication/329184570_Remote_Sensing-Based_Urban_Land_UseLand_Cover_Change_Detection_and_Monitoring" TargetMode="External"/><Relationship Id="rId45" Type="http://schemas.openxmlformats.org/officeDocument/2006/relationships/hyperlink" Target="https://doi.org/10.5066/F71835S6" TargetMode="External"/><Relationship Id="rId53" Type="http://schemas.openxmlformats.org/officeDocument/2006/relationships/image" Target="media/image19.jpg"/><Relationship Id="rId58" Type="http://schemas.openxmlformats.org/officeDocument/2006/relationships/footer" Target="footer2.xml"/><Relationship Id="rId5" Type="http://schemas.openxmlformats.org/officeDocument/2006/relationships/styles" Target="styl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lacity.gov/highlights/mayor-garcetti-launches-las-green-new-deal" TargetMode="External"/><Relationship Id="rId30" Type="http://schemas.openxmlformats.org/officeDocument/2006/relationships/hyperlink" Target="https://www.treepeople.org/wp-content/uploads/2020/09/RX-for-hot-cities-report.pdf" TargetMode="External"/><Relationship Id="rId35" Type="http://schemas.openxmlformats.org/officeDocument/2006/relationships/hyperlink" Target="https://doi.org/10.1371/journal.pone.0249715" TargetMode="External"/><Relationship Id="rId43" Type="http://schemas.openxmlformats.org/officeDocument/2006/relationships/hyperlink" Target="https://www.epa.gov/sites/default/files/2017-05/documents/reducing_urban_heat_islands_ch_2.pdf" TargetMode="External"/><Relationship Id="rId48" Type="http://schemas.openxmlformats.org/officeDocument/2006/relationships/image" Target="media/image14.pn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17.jp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google.com/search?rlz=1C1GCEA_enUS1042US1042&amp;sxsrf=AJOqlzX6n_3kOP3P89Aio_6Fu5PfAspWXA:1678897576812&amp;q=midpoint&amp;si=AEcPFx6giEFwMtc5-VlsuZjQBEMyCoYGlywEB7AtleyD8r2_wvNfMlZAJAhCsrPg_4UWImp73zPN0QAqFkoT8YEoTV7wf_JNDA%3D%3D&amp;expnd=1" TargetMode="External"/><Relationship Id="rId33" Type="http://schemas.openxmlformats.org/officeDocument/2006/relationships/hyperlink" Target="https://doi.org/10.2172/10180633" TargetMode="External"/><Relationship Id="rId38" Type="http://schemas.openxmlformats.org/officeDocument/2006/relationships/hyperlink" Target="https://doi.org/10.1146/annurev-environ-102014-021155" TargetMode="External"/><Relationship Id="rId46" Type="http://schemas.openxmlformats.org/officeDocument/2006/relationships/hyperlink" Target="https://www.usgs.gov/landsat-missions/landsat-normalized-difference-vegetation-index" TargetMode="External"/><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hyperlink" Target="https://www.federalregister.gov/documents/2022/12/29/2022-28286/2020-census-qualifying-urban-areas-and-final-criteria-clarifications" TargetMode="External"/><Relationship Id="rId54"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google.com/search?rlz=1C1GCEA_enUS1042US1042&amp;sxsrf=AJOqlzVSBjbIQb0Da3jfo1EH4khBDOtMPQ:1678894810617&amp;q=evaporation&amp;si=AEcPFx7pEwTCY394Z7UpbSmXuJYRVyXxPSOcMSsScXlwGFJsQUws88Byi0Cm9ZAHODROMaEQJJCAWm1YJCotO5KeWb8HrhtY6yKINyMFcaY-1oGaUK_VE2w%3D&amp;expnd=1" TargetMode="External"/><Relationship Id="rId28" Type="http://schemas.openxmlformats.org/officeDocument/2006/relationships/hyperlink" Target="https://www.cityplants.org/our-story/" TargetMode="External"/><Relationship Id="rId36" Type="http://schemas.openxmlformats.org/officeDocument/2006/relationships/hyperlink" Target="https://doi.org/10.1080/01431169608948714" TargetMode="External"/><Relationship Id="rId49" Type="http://schemas.openxmlformats.org/officeDocument/2006/relationships/image" Target="media/image15.png"/><Relationship Id="rId57"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hyperlink" Target="https://doi.org/10.5067/ECOSTRESS/ECO2LSTE.001" TargetMode="External"/><Relationship Id="rId44" Type="http://schemas.openxmlformats.org/officeDocument/2006/relationships/hyperlink" Target="https://www.epa.gov/heatislands/learn-about-heat-islands" TargetMode="External"/><Relationship Id="rId52" Type="http://schemas.openxmlformats.org/officeDocument/2006/relationships/image" Target="media/image18.jp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1e6a8e8-1dff-48a6-ab9b-8d556c6946c0">
      <Terms xmlns="http://schemas.microsoft.com/office/infopath/2007/PartnerControls"/>
    </lcf76f155ced4ddcb4097134ff3c332f>
    <TaxCatchAll xmlns="7df78d0b-135a-4de7-9166-7c181cd87fb4" xsi:nil="true"/>
    <SharedWithUsers xmlns="7df78d0b-135a-4de7-9166-7c181cd87fb4">
      <UserInfo>
        <DisplayName/>
        <AccountId xsi:nil="true"/>
        <AccountType/>
      </UserInfo>
    </SharedWithUsers>
    <MediaLengthInSeconds xmlns="21e6a8e8-1dff-48a6-ab9b-8d556c6946c0" xsi:nil="true"/>
  </documentManagement>
</p:properties>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25yVcV2VYPv+PhRzFaDI2DsG5uQ==">AMUW2mXBXrH/YsqToMJkd3Lfnjm3WGOgSyp2EZtKet3CebcpErS+98Ibsao8wNy72ht7q+YcmGQ25LF5com6NzWuZQNijOVKo+O2KMEycBBfOtP24OLhmgXXU+4H1K8WD/UIYbX2wI5ce4vffC5GNMxQPeM3b3xc+KxXaUviyGmp+kFHvjkFLRTUg4HjcAU7jBcDuyc5H/wlun1cT8T2ofdmW56Knrn20owbcu9gL8HoU5auqdo+jQYsHyztnJHagD5GFgyPcksdDx/NK6DOHb9aCrcaURkJ/reTbeU8HYcB8IZlV+SbIXuUnaxf/sK1g13IdbpUo1xPdhfT3ekArUY/GRfEt1iFNRLbSVh9UBTI8wL8mg/g5HUTXCxtc1863mkIGj/A3fo0xyKgsolkA+jNlm/XFSoWcgo/BH/uUq9+ifXNqnzYvQxSqm0miuqv7QcLzp8z5KXV</go:docsCustomData>
</go:gDocsCustomXmlDataStorage>
</file>

<file path=customXml/itemProps1.xml><?xml version="1.0" encoding="utf-8"?>
<ds:datastoreItem xmlns:ds="http://schemas.openxmlformats.org/officeDocument/2006/customXml" ds:itemID="{41CAD658-FEB6-49CD-BFC8-3765B3A74ED9}">
  <ds:schemaRefs>
    <ds:schemaRef ds:uri="http://schemas.microsoft.com/sharepoint/v3/contenttype/forms"/>
  </ds:schemaRefs>
</ds:datastoreItem>
</file>

<file path=customXml/itemProps2.xml><?xml version="1.0" encoding="utf-8"?>
<ds:datastoreItem xmlns:ds="http://schemas.openxmlformats.org/officeDocument/2006/customXml" ds:itemID="{FD9CC52E-64BF-40E0-8902-E1CF3F1522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CCC034-E9F9-48C5-88BF-3C31CE8F8F3C}">
  <ds:schemaRefs>
    <ds:schemaRef ds:uri="http://schemas.microsoft.com/office/2006/metadata/properties"/>
    <ds:schemaRef ds:uri="http://schemas.microsoft.com/office/infopath/2007/PartnerControls"/>
    <ds:schemaRef ds:uri="21e6a8e8-1dff-48a6-ab9b-8d556c6946c0"/>
    <ds:schemaRef ds:uri="7df78d0b-135a-4de7-9166-7c181cd87fb4"/>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20</Pages>
  <Words>6476</Words>
  <Characters>36917</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Cecil Byles</dc:creator>
  <cp:lastModifiedBy>Allsbrook, Karen N. (LARC-E3)</cp:lastModifiedBy>
  <cp:revision>2</cp:revision>
  <dcterms:created xsi:type="dcterms:W3CDTF">2023-06-14T16:36:00Z</dcterms:created>
  <dcterms:modified xsi:type="dcterms:W3CDTF">2023-06-14T16:36:00Z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ZOTERO_PREF_1">
    <vt:lpwstr>&lt;data data-version="3" zotero-version="6.0.20"&gt;&lt;session id="FvPWYs2K"/&gt;&lt;style id="http://www.zotero.org/styles/apa" locale="en-US" hasBibliography="1" bibliographyStyleHasBeenSet="1"/&gt;&lt;prefs&gt;&lt;pref name="fieldType" value="Field"/&gt;&lt;pref name="automaticJourn</vt:lpwstr>
  </property>
  <property fmtid="{D5CDD505-2E9C-101B-9397-08002B2CF9AE}" pid="5" name="ZOTERO_PREF_2">
    <vt:lpwstr>alAbbreviations" value="true"/&gt;&lt;/prefs&gt;&lt;/data&gt;</vt:lpwstr>
  </property>
  <property fmtid="{D5CDD505-2E9C-101B-9397-08002B2CF9AE}" pid="6" name="GrammarlyDocumentId">
    <vt:lpwstr>241c25a55d19f09f7959b2f5f981d75960b44e76e397f3eb3b0b8ca67d6e153c</vt:lpwstr>
  </property>
  <property fmtid="{D5CDD505-2E9C-101B-9397-08002B2CF9AE}" pid="7" name="Order">
    <vt:r8>69500</vt:r8>
  </property>
  <property fmtid="{D5CDD505-2E9C-101B-9397-08002B2CF9AE}" pid="8" name="xd_Signature">
    <vt:bool>false</vt:bool>
  </property>
  <property fmtid="{D5CDD505-2E9C-101B-9397-08002B2CF9AE}" pid="9" name="xd_ProgID">
    <vt:lpwstr/>
  </property>
  <property fmtid="{D5CDD505-2E9C-101B-9397-08002B2CF9AE}" pid="10" name="TriggerFlowInfo">
    <vt:lpwstr/>
  </property>
  <property fmtid="{D5CDD505-2E9C-101B-9397-08002B2CF9AE}" pid="11" name="_SourceUrl">
    <vt:lpwstr/>
  </property>
  <property fmtid="{D5CDD505-2E9C-101B-9397-08002B2CF9AE}" pid="12" name="_SharedFileIndex">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ies>
</file>