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C72ACA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D4C50" w:rsidRPr="004D4C50">
        <w:rPr>
          <w:rFonts w:ascii="Century Gothic" w:eastAsia="Century Gothic" w:hAnsi="Century Gothic" w:cs="Century Gothic"/>
          <w:sz w:val="24"/>
          <w:szCs w:val="24"/>
        </w:rPr>
        <w:t xml:space="preserve"> </w:t>
      </w:r>
      <w:r w:rsidR="004D4C50" w:rsidRPr="004D4C50">
        <w:rPr>
          <w:rFonts w:ascii="Century Gothic" w:hAnsi="Century Gothic" w:cs="Arial"/>
          <w:sz w:val="24"/>
        </w:rPr>
        <w:t>NOAA National Centers for Environmental Information</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164D4595" w:rsidR="00677CB8" w:rsidRPr="004D4C50" w:rsidRDefault="003D3424" w:rsidP="004D4C50">
      <w:pPr>
        <w:spacing w:after="120"/>
        <w:outlineLvl w:val="0"/>
        <w:rPr>
          <w:rFonts w:ascii="Century Gothic" w:eastAsia="Century Gothic" w:hAnsi="Century Gothic" w:cs="Century Gothic"/>
          <w:b/>
        </w:rPr>
      </w:pPr>
      <w:r>
        <w:rPr>
          <w:rFonts w:ascii="Century Gothic" w:eastAsia="Century Gothic" w:hAnsi="Century Gothic" w:cs="Century Gothic"/>
          <w:b/>
        </w:rPr>
        <w:t xml:space="preserve">Short Title: </w:t>
      </w:r>
      <w:r w:rsidR="004D4C50">
        <w:rPr>
          <w:rFonts w:ascii="Century Gothic" w:eastAsia="Century Gothic" w:hAnsi="Century Gothic" w:cs="Century Gothic"/>
          <w:b/>
        </w:rPr>
        <w:t>Philippines Disasters II</w:t>
      </w:r>
    </w:p>
    <w:p w14:paraId="49DA2E4E" w14:textId="080507B6" w:rsidR="004D4C50" w:rsidRDefault="003D3424" w:rsidP="004D4C50">
      <w:pPr>
        <w:spacing w:after="120"/>
        <w:rPr>
          <w:rFonts w:ascii="Century Gothic" w:eastAsia="Century Gothic" w:hAnsi="Century Gothic" w:cs="Century Gothic"/>
        </w:rPr>
      </w:pPr>
      <w:r w:rsidRPr="00C44166">
        <w:rPr>
          <w:rFonts w:ascii="Century Gothic" w:eastAsia="Century Gothic" w:hAnsi="Century Gothic" w:cs="Century Gothic"/>
          <w:b/>
          <w:szCs w:val="20"/>
        </w:rPr>
        <w:t>Subtitle:</w:t>
      </w:r>
      <w:r>
        <w:rPr>
          <w:rFonts w:ascii="Century Gothic" w:eastAsia="Century Gothic" w:hAnsi="Century Gothic" w:cs="Century Gothic"/>
          <w:b/>
          <w:sz w:val="20"/>
          <w:szCs w:val="20"/>
        </w:rPr>
        <w:t xml:space="preserve"> </w:t>
      </w:r>
      <w:r w:rsidR="004D4C50">
        <w:rPr>
          <w:rFonts w:ascii="Garamond" w:eastAsia="Garamond" w:hAnsi="Garamond" w:cs="Garamond"/>
        </w:rPr>
        <w:t>Utilizing NASA and NOAA Earth Observations to Enhance the United Nation’s Office for the Coordination of Humanitarian Affairs Storm Preparation and Disaster Relief Planning Methods</w:t>
      </w:r>
    </w:p>
    <w:p w14:paraId="522F5591" w14:textId="77777777" w:rsidR="004D4C50" w:rsidRDefault="004D4C50" w:rsidP="004D4C50">
      <w:pPr>
        <w:spacing w:after="120"/>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A Step Ahead: Analyzing Cyclone Vulnerability to Coordinate Disaster Relief Efforts in the Philippines</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4D1038E3" w:rsidR="00E507D0" w:rsidRPr="009562D8" w:rsidRDefault="004D4C50" w:rsidP="00BA5773">
      <w:pPr>
        <w:spacing w:after="0" w:line="240" w:lineRule="auto"/>
        <w:rPr>
          <w:rFonts w:ascii="Garamond" w:hAnsi="Garamond" w:cs="Arial"/>
        </w:rPr>
      </w:pPr>
      <w:r>
        <w:rPr>
          <w:rFonts w:ascii="Garamond" w:hAnsi="Garamond" w:cs="Arial"/>
        </w:rPr>
        <w:t>Michael Marston</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Pr>
          <w:rFonts w:ascii="Garamond" w:hAnsi="Garamond" w:cs="Arial"/>
        </w:rPr>
        <w:t>, mlm92@vt.edu</w:t>
      </w:r>
    </w:p>
    <w:p w14:paraId="02B81879" w14:textId="691F108F" w:rsidR="002E4378" w:rsidRPr="009562D8" w:rsidRDefault="004D4C50" w:rsidP="00BA5773">
      <w:pPr>
        <w:spacing w:after="0" w:line="240" w:lineRule="auto"/>
        <w:rPr>
          <w:rFonts w:ascii="Garamond" w:hAnsi="Garamond" w:cs="Arial"/>
        </w:rPr>
      </w:pPr>
      <w:r>
        <w:rPr>
          <w:rFonts w:ascii="Garamond" w:hAnsi="Garamond" w:cs="Arial"/>
        </w:rPr>
        <w:t>Aaron Mackey</w:t>
      </w:r>
    </w:p>
    <w:p w14:paraId="7D964878" w14:textId="054A9087" w:rsidR="002E4378" w:rsidRPr="009562D8" w:rsidRDefault="004D4C50" w:rsidP="00BA5773">
      <w:pPr>
        <w:spacing w:after="0" w:line="240" w:lineRule="auto"/>
        <w:rPr>
          <w:rFonts w:ascii="Garamond" w:hAnsi="Garamond" w:cs="Arial"/>
        </w:rPr>
      </w:pPr>
      <w:r>
        <w:rPr>
          <w:rFonts w:ascii="Garamond" w:hAnsi="Garamond" w:cs="Arial"/>
        </w:rPr>
        <w:t>Brittany Thomas</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5726A1" w14:textId="2A5861AB" w:rsidR="002E4378" w:rsidRPr="009562D8" w:rsidRDefault="004D4C50" w:rsidP="00BA5773">
      <w:pPr>
        <w:spacing w:after="0" w:line="240" w:lineRule="auto"/>
        <w:rPr>
          <w:rFonts w:ascii="Garamond" w:hAnsi="Garamond" w:cs="Arial"/>
        </w:rPr>
      </w:pPr>
      <w:r>
        <w:rPr>
          <w:rFonts w:ascii="Garamond" w:hAnsi="Garamond" w:cs="Arial"/>
        </w:rPr>
        <w:t xml:space="preserve">Dr. Carl </w:t>
      </w:r>
      <w:proofErr w:type="spellStart"/>
      <w:r>
        <w:rPr>
          <w:rFonts w:ascii="Garamond" w:hAnsi="Garamond" w:cs="Arial"/>
        </w:rPr>
        <w:t>Schrek</w:t>
      </w:r>
      <w:proofErr w:type="spellEnd"/>
      <w:r w:rsidR="00B713EB">
        <w:rPr>
          <w:rFonts w:ascii="Garamond" w:hAnsi="Garamond" w:cs="Arial"/>
        </w:rPr>
        <w:t xml:space="preserve"> (</w:t>
      </w:r>
      <w:r>
        <w:rPr>
          <w:rFonts w:ascii="Garamond" w:eastAsia="Garamond" w:hAnsi="Garamond" w:cs="Garamond"/>
        </w:rPr>
        <w:t>Cooperative Institute for Climate and Satellites, NOAA National Centers for Environmental Information</w:t>
      </w:r>
      <w:r w:rsidR="00F261BD" w:rsidRPr="009562D8">
        <w:rPr>
          <w:rFonts w:ascii="Garamond" w:hAnsi="Garamond" w:cs="Arial"/>
        </w:rPr>
        <w:t>)</w:t>
      </w:r>
    </w:p>
    <w:p w14:paraId="33236010" w14:textId="6591631A" w:rsidR="00E80174" w:rsidRPr="009562D8" w:rsidRDefault="004D4C50" w:rsidP="00677CB8">
      <w:pPr>
        <w:spacing w:after="0" w:line="240" w:lineRule="auto"/>
        <w:rPr>
          <w:rFonts w:ascii="Garamond" w:hAnsi="Garamond" w:cs="Arial"/>
        </w:rPr>
      </w:pPr>
      <w:r>
        <w:rPr>
          <w:rFonts w:ascii="Garamond" w:hAnsi="Garamond" w:cs="Arial"/>
        </w:rPr>
        <w:t>Dr. Ken Knapp</w:t>
      </w:r>
      <w:r w:rsidR="002E4378" w:rsidRPr="009562D8">
        <w:rPr>
          <w:rFonts w:ascii="Garamond" w:hAnsi="Garamond" w:cs="Arial"/>
        </w:rPr>
        <w:t xml:space="preserve"> </w:t>
      </w:r>
      <w:r w:rsidR="00F261BD" w:rsidRPr="009562D8">
        <w:rPr>
          <w:rFonts w:ascii="Garamond" w:hAnsi="Garamond" w:cs="Arial"/>
        </w:rPr>
        <w:t>(</w:t>
      </w:r>
      <w:r>
        <w:rPr>
          <w:rFonts w:ascii="Garamond" w:eastAsia="Garamond" w:hAnsi="Garamond" w:cs="Garamond"/>
        </w:rPr>
        <w:t>NOAA National Centers for Environmental Information</w:t>
      </w:r>
      <w:r w:rsidR="00F261BD" w:rsidRPr="009562D8">
        <w:rPr>
          <w:rFonts w:ascii="Garamond" w:hAnsi="Garamond" w:cs="Arial"/>
        </w:rPr>
        <w:t>)</w:t>
      </w:r>
    </w:p>
    <w:p w14:paraId="1EA04E12" w14:textId="77777777" w:rsidR="00A22A42" w:rsidRPr="009562D8" w:rsidRDefault="00A22A42" w:rsidP="00677CB8">
      <w:pPr>
        <w:spacing w:after="0" w:line="240" w:lineRule="auto"/>
        <w:rPr>
          <w:rFonts w:ascii="Century Gothic" w:hAnsi="Century Gothic" w:cs="Arial"/>
        </w:rPr>
      </w:pPr>
    </w:p>
    <w:p w14:paraId="6F29166F" w14:textId="7AB3A69B" w:rsidR="00677CB8" w:rsidRPr="009562D8" w:rsidRDefault="00677CB8" w:rsidP="00677CB8">
      <w:pPr>
        <w:spacing w:after="0" w:line="240" w:lineRule="auto"/>
        <w:rPr>
          <w:rFonts w:ascii="Century Gothic" w:hAnsi="Century Gothic" w:cs="Arial"/>
          <w:b/>
          <w:sz w:val="20"/>
          <w:szCs w:val="20"/>
        </w:rPr>
      </w:pPr>
      <w:r w:rsidRPr="009562D8">
        <w:rPr>
          <w:rFonts w:ascii="Century Gothic" w:hAnsi="Century Gothic" w:cs="Arial"/>
          <w:b/>
          <w:sz w:val="20"/>
          <w:szCs w:val="20"/>
        </w:rPr>
        <w:t>Past or Other Contributors:</w:t>
      </w:r>
    </w:p>
    <w:p w14:paraId="5E40D184" w14:textId="635C8B4C" w:rsidR="00677CB8" w:rsidRPr="009562D8" w:rsidRDefault="004D4C50" w:rsidP="00677CB8">
      <w:pPr>
        <w:spacing w:after="0" w:line="240" w:lineRule="auto"/>
        <w:rPr>
          <w:rFonts w:ascii="Garamond" w:hAnsi="Garamond" w:cs="Arial"/>
        </w:rPr>
      </w:pPr>
      <w:r>
        <w:rPr>
          <w:rFonts w:ascii="Garamond" w:hAnsi="Garamond" w:cs="Arial"/>
        </w:rPr>
        <w:t>Daniel T. Martin</w:t>
      </w:r>
    </w:p>
    <w:p w14:paraId="77B2A8CA" w14:textId="08DB954B" w:rsidR="00677CB8" w:rsidRDefault="004D4C50" w:rsidP="00677CB8">
      <w:pPr>
        <w:spacing w:after="0" w:line="240" w:lineRule="auto"/>
        <w:rPr>
          <w:rFonts w:ascii="Garamond" w:hAnsi="Garamond" w:cs="Arial"/>
        </w:rPr>
      </w:pPr>
      <w:r>
        <w:rPr>
          <w:rFonts w:ascii="Garamond" w:hAnsi="Garamond" w:cs="Arial"/>
        </w:rPr>
        <w:t>Allison Daniel</w:t>
      </w:r>
    </w:p>
    <w:p w14:paraId="178FF5F6" w14:textId="3DB58E70" w:rsidR="004D4C50" w:rsidRDefault="004D4C50" w:rsidP="00677CB8">
      <w:pPr>
        <w:spacing w:after="0" w:line="240" w:lineRule="auto"/>
        <w:rPr>
          <w:rFonts w:ascii="Garamond" w:hAnsi="Garamond" w:cs="Arial"/>
        </w:rPr>
      </w:pPr>
      <w:r>
        <w:rPr>
          <w:rFonts w:ascii="Garamond" w:hAnsi="Garamond" w:cs="Arial"/>
        </w:rPr>
        <w:t>Jessica Vermillion</w:t>
      </w:r>
    </w:p>
    <w:p w14:paraId="6AFB1730" w14:textId="79263E38" w:rsidR="004D4C50" w:rsidRPr="009562D8" w:rsidRDefault="004D4C50" w:rsidP="00677CB8">
      <w:pPr>
        <w:spacing w:after="0" w:line="240" w:lineRule="auto"/>
        <w:rPr>
          <w:rFonts w:ascii="Garamond" w:hAnsi="Garamond" w:cs="Arial"/>
        </w:rPr>
      </w:pPr>
      <w:r>
        <w:rPr>
          <w:rFonts w:ascii="Garamond" w:hAnsi="Garamond" w:cs="Arial"/>
        </w:rPr>
        <w:t>Kelly Meehan</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76085D63" w14:textId="77777777" w:rsidR="004D4C50" w:rsidRPr="004D4C50" w:rsidRDefault="004D4C50" w:rsidP="004D4C50">
      <w:pPr>
        <w:spacing w:after="0" w:line="240" w:lineRule="auto"/>
        <w:rPr>
          <w:rFonts w:ascii="Garamond" w:hAnsi="Garamond" w:cs="Arial"/>
        </w:rPr>
      </w:pPr>
      <w:r w:rsidRPr="004D4C50">
        <w:rPr>
          <w:rFonts w:ascii="Garamond" w:hAnsi="Garamond" w:cs="Arial"/>
        </w:rPr>
        <w:t>The Philippines are impacted by 19 tropical cyclones on average each year, which frequently bring flooding rains, strong winds, and crippling storm surge to areas that home at-risk communities. This project aims to use NOAA and NASA satellite-derived datasets to quantify tropical cyclone intensity and shape parameters of past storms with demographic data to compute a municipality level risk assessment.</w:t>
      </w:r>
      <w:r w:rsidRPr="004D4C50" w:rsidDel="00CB0C42">
        <w:rPr>
          <w:rFonts w:ascii="Garamond" w:hAnsi="Garamond" w:cs="Arial"/>
        </w:rPr>
        <w:t xml:space="preserve"> </w:t>
      </w:r>
      <w:r w:rsidRPr="004D4C50">
        <w:rPr>
          <w:rFonts w:ascii="Garamond" w:hAnsi="Garamond" w:cs="Arial"/>
        </w:rPr>
        <w:t>The final risk assessment will allow our partners at UN-OCHA to determine the locations of the most vulnerable populations and proactively distribute resources.</w:t>
      </w:r>
    </w:p>
    <w:p w14:paraId="05AD6B2E" w14:textId="77777777" w:rsidR="00E33287" w:rsidRPr="004D4C50" w:rsidRDefault="00E33287" w:rsidP="00E33287">
      <w:pPr>
        <w:spacing w:after="0" w:line="240" w:lineRule="auto"/>
        <w:rPr>
          <w:rFonts w:ascii="Garamond" w:hAnsi="Garamond"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1C48EEAC" w14:textId="4249E395" w:rsidR="004610EE" w:rsidRPr="00631687" w:rsidRDefault="00631687" w:rsidP="005E3CE7">
      <w:pPr>
        <w:spacing w:line="240" w:lineRule="auto"/>
        <w:rPr>
          <w:rFonts w:ascii="Garamond" w:eastAsia="Garamond" w:hAnsi="Garamond" w:cs="Garamond"/>
        </w:rPr>
      </w:pPr>
      <w:r w:rsidRPr="00631687">
        <w:rPr>
          <w:rFonts w:ascii="Garamond" w:eastAsia="Garamond" w:hAnsi="Garamond" w:cs="Garamond"/>
        </w:rPr>
        <w:t xml:space="preserve">The Philippine islands, located within the northwest Pacific Ocean basin, are frequently affected by tropical cyclones. During and after tropical cyclones, the number of gender-based violence (GBV) crimes increase. To assist the United Nations Office for the Coordination of Humanitarian Affairs (OCHA), a cyclone vulnerability assessment for each municipality within the Philippines was created and streamlined with demographic data to identify at risk communities. For this effort, hurricane satellite (HURSAT-B1) data were downloaded for each tropical cyclone that affected the Philippines from 1985 to 2009. To include the recent record, data were gathered for tropical cyclones affecting the study area from 2010 to 2015 from the Cooperative Institute for Research in the Atmosphere’s (CIRA) Multiplatform Tropical Cyclone Surface Wind Analysis (MTCSWA). The HURSAT and CIRA products were used to derive estimates of the 18 m/s, 26m/s, and 33 m/s wind radii for each of the four quadrants (i.e. northwest, northeast, southeast, southwest) </w:t>
      </w:r>
      <w:r w:rsidRPr="00631687">
        <w:rPr>
          <w:rFonts w:ascii="Garamond" w:eastAsia="Garamond" w:hAnsi="Garamond" w:cs="Garamond"/>
        </w:rPr>
        <w:lastRenderedPageBreak/>
        <w:t>of each tropical cyclone at a 6-hour temporal resolution. The wind radii estimates were provided by the National Oceanic and Atmospheric Administration’s National Environmental Satellite, Data, and Information Service (NESDIS). The wind speed data were used to estimate the Integrated Kinetic Energy (IKE) of each tropical cyclone in the study period. IKE values were then accumulated over the entire study period for the Philippines and used to generate a climatology of cyclone intensity for each municipality. Additionally, areas susceptible to rainfall-triggered landslides were mapped using slope data from Sh</w:t>
      </w:r>
      <w:r>
        <w:rPr>
          <w:rFonts w:ascii="Garamond" w:eastAsia="Garamond" w:hAnsi="Garamond" w:cs="Garamond"/>
        </w:rPr>
        <w:t>uttle Radar Top</w:t>
      </w:r>
      <w:bookmarkStart w:id="0" w:name="_GoBack"/>
      <w:bookmarkEnd w:id="0"/>
      <w:r>
        <w:rPr>
          <w:rFonts w:ascii="Garamond" w:eastAsia="Garamond" w:hAnsi="Garamond" w:cs="Garamond"/>
        </w:rPr>
        <w:t>ography Mission.</w:t>
      </w:r>
    </w:p>
    <w:p w14:paraId="18851C75" w14:textId="77777777" w:rsidR="00E33287"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5C585744" w14:textId="33FFD2CC" w:rsidR="00E33287" w:rsidRPr="008F1BC8" w:rsidRDefault="008F1BC8" w:rsidP="008F1BC8">
      <w:pPr>
        <w:outlineLvl w:val="0"/>
        <w:rPr>
          <w:rFonts w:ascii="Garamond" w:eastAsia="Garamond" w:hAnsi="Garamond" w:cs="Garamond"/>
        </w:rPr>
      </w:pPr>
      <w:proofErr w:type="spellStart"/>
      <w:r>
        <w:rPr>
          <w:rFonts w:ascii="Garamond" w:eastAsia="Garamond" w:hAnsi="Garamond" w:cs="Garamond"/>
        </w:rPr>
        <w:t>IBTrACS</w:t>
      </w:r>
      <w:proofErr w:type="spellEnd"/>
      <w:r>
        <w:rPr>
          <w:rFonts w:ascii="Garamond" w:eastAsia="Garamond" w:hAnsi="Garamond" w:cs="Garamond"/>
        </w:rPr>
        <w:t>, HURSAT, cyclones, Philippines, disaster relief planning, remote sensing</w:t>
      </w: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6D573E">
        <w:trPr>
          <w:trHeight w:val="228"/>
        </w:trPr>
        <w:tc>
          <w:tcPr>
            <w:tcW w:w="3094" w:type="dxa"/>
          </w:tcPr>
          <w:p w14:paraId="215CE335" w14:textId="3A2C7C10" w:rsidR="00EA38B9" w:rsidRPr="008806D2" w:rsidRDefault="008F1BC8" w:rsidP="000A0775">
            <w:pPr>
              <w:spacing w:after="0" w:line="240" w:lineRule="auto"/>
              <w:rPr>
                <w:rFonts w:ascii="Garamond" w:hAnsi="Garamond"/>
              </w:rPr>
            </w:pPr>
            <w:r>
              <w:rPr>
                <w:rFonts w:ascii="Garamond" w:eastAsia="Garamond" w:hAnsi="Garamond" w:cs="Garamond"/>
              </w:rPr>
              <w:t>United Nations Office for the Coordination of Humanitarian Affairs (OCHA)</w:t>
            </w:r>
          </w:p>
        </w:tc>
        <w:tc>
          <w:tcPr>
            <w:tcW w:w="3549" w:type="dxa"/>
          </w:tcPr>
          <w:p w14:paraId="7F22D349" w14:textId="77777777" w:rsidR="008F1BC8" w:rsidRPr="008F1BC8" w:rsidRDefault="008F1BC8" w:rsidP="008F1BC8">
            <w:pPr>
              <w:spacing w:after="0" w:line="240" w:lineRule="auto"/>
              <w:rPr>
                <w:rFonts w:ascii="Garamond" w:eastAsia="Garamond" w:hAnsi="Garamond" w:cs="Garamond"/>
              </w:rPr>
            </w:pPr>
            <w:r w:rsidRPr="008F1BC8">
              <w:rPr>
                <w:rFonts w:ascii="Garamond" w:eastAsia="Garamond" w:hAnsi="Garamond" w:cs="Garamond"/>
              </w:rPr>
              <w:t xml:space="preserve">Rowena </w:t>
            </w:r>
            <w:proofErr w:type="spellStart"/>
            <w:r w:rsidRPr="008F1BC8">
              <w:rPr>
                <w:rFonts w:ascii="Garamond" w:eastAsia="Garamond" w:hAnsi="Garamond" w:cs="Garamond"/>
              </w:rPr>
              <w:t>Dacsig</w:t>
            </w:r>
            <w:proofErr w:type="spellEnd"/>
            <w:r w:rsidRPr="008F1BC8">
              <w:rPr>
                <w:rFonts w:ascii="Garamond" w:eastAsia="Garamond" w:hAnsi="Garamond" w:cs="Garamond"/>
              </w:rPr>
              <w:t>, Gender Advisor</w:t>
            </w:r>
          </w:p>
          <w:p w14:paraId="03852061" w14:textId="7610A522" w:rsidR="00EA38B9" w:rsidRPr="008F1BC8" w:rsidRDefault="008F1BC8" w:rsidP="008F1BC8">
            <w:pPr>
              <w:spacing w:after="0" w:line="240" w:lineRule="auto"/>
              <w:rPr>
                <w:rFonts w:ascii="Garamond" w:hAnsi="Garamond"/>
              </w:rPr>
            </w:pPr>
            <w:r w:rsidRPr="008F1BC8">
              <w:rPr>
                <w:rFonts w:ascii="Garamond" w:eastAsia="Garamond" w:hAnsi="Garamond" w:cs="Garamond"/>
              </w:rPr>
              <w:t xml:space="preserve">Joseph </w:t>
            </w:r>
            <w:proofErr w:type="spellStart"/>
            <w:r w:rsidRPr="008F1BC8">
              <w:rPr>
                <w:rFonts w:ascii="Garamond" w:eastAsia="Garamond" w:hAnsi="Garamond" w:cs="Garamond"/>
              </w:rPr>
              <w:t>Addawe</w:t>
            </w:r>
            <w:proofErr w:type="spellEnd"/>
            <w:r w:rsidRPr="008F1BC8">
              <w:rPr>
                <w:rFonts w:ascii="Garamond" w:eastAsia="Garamond" w:hAnsi="Garamond" w:cs="Garamond"/>
              </w:rPr>
              <w:t>, General Advisor</w:t>
            </w:r>
          </w:p>
        </w:tc>
        <w:tc>
          <w:tcPr>
            <w:tcW w:w="1457" w:type="dxa"/>
          </w:tcPr>
          <w:p w14:paraId="2537EA17" w14:textId="62DBBA51" w:rsidR="00EA38B9" w:rsidRPr="008806D2" w:rsidRDefault="005E3CE7" w:rsidP="000A0775">
            <w:pPr>
              <w:spacing w:after="0" w:line="240" w:lineRule="auto"/>
              <w:rPr>
                <w:rFonts w:ascii="Garamond" w:hAnsi="Garamond"/>
              </w:rPr>
            </w:pPr>
            <w:r>
              <w:rPr>
                <w:rFonts w:ascii="Garamond" w:hAnsi="Garamond"/>
              </w:rPr>
              <w:t xml:space="preserve">End </w:t>
            </w:r>
            <w:r w:rsidR="00EA38B9" w:rsidRPr="008806D2">
              <w:rPr>
                <w:rFonts w:ascii="Garamond" w:hAnsi="Garamond"/>
              </w:rPr>
              <w:t>User</w:t>
            </w:r>
          </w:p>
        </w:tc>
        <w:tc>
          <w:tcPr>
            <w:tcW w:w="1273" w:type="dxa"/>
          </w:tcPr>
          <w:p w14:paraId="6D1C4311" w14:textId="1D3A76CC" w:rsidR="00EA38B9" w:rsidRPr="008806D2" w:rsidRDefault="00EA38B9" w:rsidP="000A0775">
            <w:pPr>
              <w:spacing w:after="0" w:line="240" w:lineRule="auto"/>
              <w:jc w:val="center"/>
              <w:rPr>
                <w:rFonts w:ascii="Garamond" w:hAnsi="Garamond"/>
              </w:rPr>
            </w:pPr>
            <w:r w:rsidRPr="008806D2">
              <w:rPr>
                <w:rFonts w:ascii="Garamond" w:hAnsi="Garamond"/>
              </w:rPr>
              <w:t>Yes</w:t>
            </w:r>
          </w:p>
        </w:tc>
      </w:tr>
      <w:tr w:rsidR="00EA38B9" w:rsidRPr="00720DF2" w14:paraId="6C2C9014" w14:textId="77777777" w:rsidTr="006D573E">
        <w:trPr>
          <w:trHeight w:val="228"/>
        </w:trPr>
        <w:tc>
          <w:tcPr>
            <w:tcW w:w="3094" w:type="dxa"/>
          </w:tcPr>
          <w:p w14:paraId="403E6F68" w14:textId="74A4A831" w:rsidR="00EA38B9" w:rsidRPr="008806D2" w:rsidRDefault="008F1BC8" w:rsidP="000A0775">
            <w:pPr>
              <w:spacing w:after="0" w:line="240" w:lineRule="auto"/>
              <w:rPr>
                <w:rFonts w:ascii="Garamond" w:hAnsi="Garamond"/>
              </w:rPr>
            </w:pPr>
            <w:r>
              <w:rPr>
                <w:rFonts w:ascii="Garamond" w:eastAsia="Garamond" w:hAnsi="Garamond" w:cs="Garamond"/>
              </w:rPr>
              <w:t xml:space="preserve">United Nations Institute for Training and Research, Operational Satellite Applications </w:t>
            </w:r>
            <w:proofErr w:type="spellStart"/>
            <w:r>
              <w:rPr>
                <w:rFonts w:ascii="Garamond" w:eastAsia="Garamond" w:hAnsi="Garamond" w:cs="Garamond"/>
              </w:rPr>
              <w:t>Program</w:t>
            </w:r>
            <w:r w:rsidR="00A5352D">
              <w:rPr>
                <w:rFonts w:ascii="Garamond" w:eastAsia="Garamond" w:hAnsi="Garamond" w:cs="Garamond"/>
              </w:rPr>
              <w:t>me</w:t>
            </w:r>
            <w:proofErr w:type="spellEnd"/>
            <w:r>
              <w:rPr>
                <w:rFonts w:ascii="Garamond" w:eastAsia="Garamond" w:hAnsi="Garamond" w:cs="Garamond"/>
              </w:rPr>
              <w:t xml:space="preserve"> (UNOSAT)</w:t>
            </w:r>
          </w:p>
        </w:tc>
        <w:tc>
          <w:tcPr>
            <w:tcW w:w="3549" w:type="dxa"/>
          </w:tcPr>
          <w:p w14:paraId="3644BC7A" w14:textId="0FAA9F72" w:rsidR="00EA38B9" w:rsidRPr="008F1BC8" w:rsidRDefault="00C31815" w:rsidP="00C31815">
            <w:pPr>
              <w:spacing w:after="0" w:line="240" w:lineRule="auto"/>
              <w:rPr>
                <w:rFonts w:ascii="Garamond" w:hAnsi="Garamond"/>
              </w:rPr>
            </w:pPr>
            <w:r>
              <w:rPr>
                <w:rFonts w:ascii="Garamond" w:eastAsia="Garamond" w:hAnsi="Garamond" w:cs="Garamond"/>
              </w:rPr>
              <w:t xml:space="preserve">Luca </w:t>
            </w:r>
            <w:proofErr w:type="spellStart"/>
            <w:r>
              <w:rPr>
                <w:rFonts w:ascii="Garamond" w:eastAsia="Garamond" w:hAnsi="Garamond" w:cs="Garamond"/>
              </w:rPr>
              <w:t>Delloro</w:t>
            </w:r>
            <w:proofErr w:type="spellEnd"/>
            <w:r w:rsidR="008F1BC8" w:rsidRPr="008F1BC8">
              <w:rPr>
                <w:rFonts w:ascii="Garamond" w:eastAsia="Garamond" w:hAnsi="Garamond" w:cs="Garamond"/>
              </w:rPr>
              <w:t xml:space="preserve">, </w:t>
            </w:r>
            <w:proofErr w:type="spellStart"/>
            <w:r>
              <w:rPr>
                <w:rFonts w:ascii="Garamond" w:eastAsia="Garamond" w:hAnsi="Garamond" w:cs="Garamond"/>
              </w:rPr>
              <w:t>Programme</w:t>
            </w:r>
            <w:proofErr w:type="spellEnd"/>
            <w:r>
              <w:rPr>
                <w:rFonts w:ascii="Garamond" w:eastAsia="Garamond" w:hAnsi="Garamond" w:cs="Garamond"/>
              </w:rPr>
              <w:t xml:space="preserve"> Specialist</w:t>
            </w:r>
          </w:p>
        </w:tc>
        <w:tc>
          <w:tcPr>
            <w:tcW w:w="1457" w:type="dxa"/>
          </w:tcPr>
          <w:p w14:paraId="05FF6A0B" w14:textId="77777777" w:rsidR="00EA38B9" w:rsidRPr="008806D2" w:rsidRDefault="00EA38B9" w:rsidP="000A0775">
            <w:pPr>
              <w:spacing w:after="0" w:line="240" w:lineRule="auto"/>
              <w:rPr>
                <w:rFonts w:ascii="Garamond" w:hAnsi="Garamond"/>
              </w:rPr>
            </w:pPr>
            <w:r w:rsidRPr="008806D2">
              <w:rPr>
                <w:rFonts w:ascii="Garamond" w:hAnsi="Garamond"/>
              </w:rPr>
              <w:t>Collaborator</w:t>
            </w:r>
          </w:p>
        </w:tc>
        <w:tc>
          <w:tcPr>
            <w:tcW w:w="1273" w:type="dxa"/>
          </w:tcPr>
          <w:p w14:paraId="3293D3AE" w14:textId="77777777" w:rsidR="00EA38B9" w:rsidRPr="008806D2" w:rsidRDefault="00EA38B9" w:rsidP="000A0775">
            <w:pPr>
              <w:spacing w:after="0" w:line="240" w:lineRule="auto"/>
              <w:jc w:val="center"/>
              <w:rPr>
                <w:rFonts w:ascii="Garamond" w:hAnsi="Garamond"/>
              </w:rPr>
            </w:pPr>
            <w:r w:rsidRPr="008806D2">
              <w:rPr>
                <w:rFonts w:ascii="Garamond" w:hAnsi="Garamond"/>
              </w:rPr>
              <w:t>No</w:t>
            </w:r>
          </w:p>
        </w:tc>
      </w:tr>
      <w:tr w:rsidR="00F06421" w:rsidRPr="00720DF2" w14:paraId="0D977928" w14:textId="77777777" w:rsidTr="006D573E">
        <w:trPr>
          <w:trHeight w:val="228"/>
        </w:trPr>
        <w:tc>
          <w:tcPr>
            <w:tcW w:w="3094" w:type="dxa"/>
          </w:tcPr>
          <w:p w14:paraId="01D2E2D5" w14:textId="465EEC10" w:rsidR="00F06421" w:rsidRDefault="00F06421" w:rsidP="00A5352D">
            <w:pPr>
              <w:spacing w:after="0" w:line="240" w:lineRule="auto"/>
              <w:rPr>
                <w:rFonts w:ascii="Garamond" w:eastAsia="Garamond" w:hAnsi="Garamond" w:cs="Garamond"/>
              </w:rPr>
            </w:pPr>
            <w:r>
              <w:rPr>
                <w:rFonts w:ascii="Garamond" w:eastAsia="Garamond" w:hAnsi="Garamond" w:cs="Garamond"/>
              </w:rPr>
              <w:t>Netherlands Red Cross</w:t>
            </w:r>
          </w:p>
        </w:tc>
        <w:tc>
          <w:tcPr>
            <w:tcW w:w="3549" w:type="dxa"/>
          </w:tcPr>
          <w:p w14:paraId="1254AD65" w14:textId="55B7645B" w:rsidR="00F06421" w:rsidRPr="008F1BC8" w:rsidRDefault="00815A45" w:rsidP="000A0775">
            <w:pPr>
              <w:spacing w:after="0" w:line="240" w:lineRule="auto"/>
              <w:rPr>
                <w:rFonts w:ascii="Garamond" w:eastAsia="Garamond" w:hAnsi="Garamond" w:cs="Garamond"/>
              </w:rPr>
            </w:pPr>
            <w:r>
              <w:rPr>
                <w:rFonts w:ascii="Garamond" w:eastAsia="Garamond" w:hAnsi="Garamond" w:cs="Garamond"/>
              </w:rPr>
              <w:t>Maarten van der Veen</w:t>
            </w:r>
            <w:r w:rsidR="00C31815">
              <w:rPr>
                <w:rFonts w:ascii="Garamond" w:eastAsia="Garamond" w:hAnsi="Garamond" w:cs="Garamond"/>
              </w:rPr>
              <w:t xml:space="preserve">, </w:t>
            </w:r>
            <w:r w:rsidR="00924F92">
              <w:rPr>
                <w:rFonts w:ascii="Garamond" w:eastAsia="Garamond" w:hAnsi="Garamond" w:cs="Garamond"/>
              </w:rPr>
              <w:t>Initiator</w:t>
            </w:r>
          </w:p>
        </w:tc>
        <w:tc>
          <w:tcPr>
            <w:tcW w:w="1457" w:type="dxa"/>
          </w:tcPr>
          <w:p w14:paraId="558CAF05" w14:textId="715BE9D2" w:rsidR="00F06421" w:rsidRPr="008806D2" w:rsidRDefault="00815A45" w:rsidP="000A0775">
            <w:pPr>
              <w:spacing w:after="0" w:line="240" w:lineRule="auto"/>
              <w:rPr>
                <w:rFonts w:ascii="Garamond" w:hAnsi="Garamond"/>
              </w:rPr>
            </w:pPr>
            <w:r>
              <w:rPr>
                <w:rFonts w:ascii="Garamond" w:hAnsi="Garamond"/>
              </w:rPr>
              <w:t>Collaborator</w:t>
            </w:r>
          </w:p>
        </w:tc>
        <w:tc>
          <w:tcPr>
            <w:tcW w:w="1273" w:type="dxa"/>
          </w:tcPr>
          <w:p w14:paraId="11232D8F" w14:textId="6E260057" w:rsidR="00F06421" w:rsidRPr="008806D2" w:rsidRDefault="00815A45" w:rsidP="000A0775">
            <w:pPr>
              <w:spacing w:after="0" w:line="240" w:lineRule="auto"/>
              <w:jc w:val="center"/>
              <w:rPr>
                <w:rFonts w:ascii="Garamond" w:hAnsi="Garamond"/>
              </w:rPr>
            </w:pPr>
            <w:r>
              <w:rPr>
                <w:rFonts w:ascii="Garamond" w:hAnsi="Garamond"/>
              </w:rPr>
              <w:t>No</w:t>
            </w:r>
          </w:p>
        </w:tc>
      </w:tr>
      <w:tr w:rsidR="00294DFE" w:rsidRPr="00720DF2" w14:paraId="54630D0A" w14:textId="77777777" w:rsidTr="006D573E">
        <w:trPr>
          <w:trHeight w:val="228"/>
        </w:trPr>
        <w:tc>
          <w:tcPr>
            <w:tcW w:w="3094" w:type="dxa"/>
          </w:tcPr>
          <w:p w14:paraId="75556E49" w14:textId="42930564" w:rsidR="00294DFE" w:rsidRDefault="00A5352D" w:rsidP="00653864">
            <w:pPr>
              <w:spacing w:after="0" w:line="240" w:lineRule="auto"/>
              <w:rPr>
                <w:rFonts w:ascii="Garamond" w:eastAsia="Garamond" w:hAnsi="Garamond" w:cs="Garamond"/>
              </w:rPr>
            </w:pPr>
            <w:r>
              <w:rPr>
                <w:rFonts w:ascii="Garamond" w:eastAsia="Garamond" w:hAnsi="Garamond" w:cs="Garamond"/>
              </w:rPr>
              <w:t>NOAA,</w:t>
            </w:r>
            <w:r w:rsidR="00294DFE">
              <w:rPr>
                <w:rFonts w:ascii="Garamond" w:eastAsia="Garamond" w:hAnsi="Garamond" w:cs="Garamond"/>
              </w:rPr>
              <w:t xml:space="preserve"> National Environmental Satellite, Data, and Information Service (NESDIS)</w:t>
            </w:r>
          </w:p>
        </w:tc>
        <w:tc>
          <w:tcPr>
            <w:tcW w:w="3549" w:type="dxa"/>
          </w:tcPr>
          <w:p w14:paraId="6974DA22" w14:textId="4239C287" w:rsidR="00294DFE" w:rsidRPr="008F1BC8" w:rsidRDefault="00294DFE" w:rsidP="000A0775">
            <w:pPr>
              <w:spacing w:after="0" w:line="240" w:lineRule="auto"/>
              <w:rPr>
                <w:rFonts w:ascii="Garamond" w:eastAsia="Garamond" w:hAnsi="Garamond" w:cs="Garamond"/>
              </w:rPr>
            </w:pPr>
            <w:r>
              <w:rPr>
                <w:rFonts w:ascii="Garamond" w:eastAsia="Garamond" w:hAnsi="Garamond" w:cs="Garamond"/>
              </w:rPr>
              <w:t xml:space="preserve">Dr. John </w:t>
            </w:r>
            <w:proofErr w:type="spellStart"/>
            <w:r>
              <w:rPr>
                <w:rFonts w:ascii="Garamond" w:eastAsia="Garamond" w:hAnsi="Garamond" w:cs="Garamond"/>
              </w:rPr>
              <w:t>Knaff</w:t>
            </w:r>
            <w:proofErr w:type="spellEnd"/>
            <w:r>
              <w:rPr>
                <w:rFonts w:ascii="Garamond" w:eastAsia="Garamond" w:hAnsi="Garamond" w:cs="Garamond"/>
              </w:rPr>
              <w:t>, Regional and Mesoscale Meteorology Branch (RMMB) Tropical/Satellite Meteorologist</w:t>
            </w:r>
          </w:p>
        </w:tc>
        <w:tc>
          <w:tcPr>
            <w:tcW w:w="1457" w:type="dxa"/>
          </w:tcPr>
          <w:p w14:paraId="42E12EAE" w14:textId="118F3A5F" w:rsidR="00294DFE" w:rsidRPr="008806D2" w:rsidRDefault="00294DFE" w:rsidP="000A0775">
            <w:pPr>
              <w:spacing w:after="0" w:line="240" w:lineRule="auto"/>
              <w:rPr>
                <w:rFonts w:ascii="Garamond" w:hAnsi="Garamond"/>
              </w:rPr>
            </w:pPr>
            <w:r w:rsidRPr="008806D2">
              <w:rPr>
                <w:rFonts w:ascii="Garamond" w:hAnsi="Garamond"/>
              </w:rPr>
              <w:t>Collaborator</w:t>
            </w:r>
          </w:p>
        </w:tc>
        <w:tc>
          <w:tcPr>
            <w:tcW w:w="1273" w:type="dxa"/>
          </w:tcPr>
          <w:p w14:paraId="53C8AB5E" w14:textId="3EBF1877" w:rsidR="00294DFE" w:rsidRPr="008806D2" w:rsidRDefault="00294DFE" w:rsidP="000A0775">
            <w:pPr>
              <w:spacing w:after="0" w:line="240" w:lineRule="auto"/>
              <w:jc w:val="center"/>
              <w:rPr>
                <w:rFonts w:ascii="Garamond" w:hAnsi="Garamond"/>
              </w:rPr>
            </w:pPr>
            <w:r>
              <w:rPr>
                <w:rFonts w:ascii="Garamond" w:hAnsi="Garamond"/>
              </w:rPr>
              <w:t>No</w:t>
            </w:r>
          </w:p>
        </w:tc>
      </w:tr>
    </w:tbl>
    <w:p w14:paraId="79954BB9" w14:textId="77777777"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266AEA60" w14:textId="77777777" w:rsidR="00294DFE" w:rsidRPr="0079382E" w:rsidRDefault="00294DFE" w:rsidP="00294DFE">
      <w:pPr>
        <w:pStyle w:val="ListParagraph"/>
        <w:numPr>
          <w:ilvl w:val="0"/>
          <w:numId w:val="1"/>
        </w:numPr>
        <w:spacing w:after="0" w:line="240" w:lineRule="auto"/>
        <w:rPr>
          <w:rFonts w:ascii="Garamond" w:hAnsi="Garamond" w:cs="Arial"/>
        </w:rPr>
      </w:pPr>
      <w:r w:rsidRPr="006C43AF">
        <w:rPr>
          <w:rFonts w:ascii="Garamond" w:hAnsi="Garamond" w:cs="Arial"/>
        </w:rPr>
        <w:t>About 19 tropical cyclones enter the Philippine Sea each year, and an average of six to nine make landfall in the Philippines.</w:t>
      </w:r>
    </w:p>
    <w:p w14:paraId="28730029" w14:textId="77777777" w:rsidR="00294DFE" w:rsidRPr="006C43AF" w:rsidRDefault="00294DFE" w:rsidP="00294DFE">
      <w:pPr>
        <w:pStyle w:val="ListParagraph"/>
        <w:numPr>
          <w:ilvl w:val="0"/>
          <w:numId w:val="1"/>
        </w:numPr>
        <w:spacing w:after="0" w:line="240" w:lineRule="auto"/>
        <w:rPr>
          <w:rFonts w:ascii="Garamond" w:hAnsi="Garamond" w:cs="Arial"/>
        </w:rPr>
      </w:pPr>
      <w:r w:rsidRPr="006C43AF">
        <w:rPr>
          <w:rFonts w:ascii="Garamond" w:hAnsi="Garamond" w:cs="Arial"/>
        </w:rPr>
        <w:t>Cyclones are common natural hazards in the Philippines, causing extensive societal consequences, such as population displacement, which can lead to serious health, social, and economic consequences.</w:t>
      </w:r>
    </w:p>
    <w:p w14:paraId="6B1CCED4" w14:textId="77777777" w:rsidR="00294DFE" w:rsidRDefault="00294DFE" w:rsidP="00294DFE">
      <w:pPr>
        <w:pStyle w:val="ListParagraph"/>
        <w:numPr>
          <w:ilvl w:val="0"/>
          <w:numId w:val="1"/>
        </w:numPr>
        <w:spacing w:after="0" w:line="240" w:lineRule="auto"/>
        <w:rPr>
          <w:rFonts w:ascii="Garamond" w:hAnsi="Garamond" w:cs="Arial"/>
        </w:rPr>
      </w:pPr>
      <w:r w:rsidRPr="006C43AF">
        <w:rPr>
          <w:rFonts w:ascii="Garamond" w:hAnsi="Garamond" w:cs="Arial"/>
        </w:rPr>
        <w:t>Due to the high risk of traumatic impacts, people of the Philippines seek to improve their ability to prepare for and recover from land-falling tropical cyclones.</w:t>
      </w:r>
    </w:p>
    <w:p w14:paraId="50BF4ECD" w14:textId="77777777" w:rsidR="00294DFE" w:rsidRPr="006C43AF" w:rsidRDefault="00294DFE" w:rsidP="00294DFE">
      <w:pPr>
        <w:pStyle w:val="ListParagraph"/>
        <w:numPr>
          <w:ilvl w:val="0"/>
          <w:numId w:val="1"/>
        </w:numPr>
        <w:spacing w:after="0" w:line="240" w:lineRule="auto"/>
        <w:rPr>
          <w:rFonts w:ascii="Garamond" w:hAnsi="Garamond" w:cs="Arial"/>
        </w:rPr>
      </w:pPr>
      <w:r w:rsidRPr="006C43AF">
        <w:rPr>
          <w:rFonts w:ascii="Garamond" w:hAnsi="Garamond" w:cs="Arial"/>
        </w:rPr>
        <w:t>The category five tropical cyclone Typhoon Haiyan/Yolanda (November 2013) proved to be the deadliest storm to ever hit the Philippines, killing over 6,000 people.</w:t>
      </w:r>
    </w:p>
    <w:p w14:paraId="4B379BAB" w14:textId="71BFB2B7" w:rsidR="00294DFE" w:rsidRPr="00294DFE" w:rsidRDefault="00294DFE" w:rsidP="00294DFE">
      <w:pPr>
        <w:pStyle w:val="ListParagraph"/>
        <w:numPr>
          <w:ilvl w:val="0"/>
          <w:numId w:val="1"/>
        </w:numPr>
        <w:spacing w:after="0" w:line="240" w:lineRule="auto"/>
        <w:rPr>
          <w:rFonts w:ascii="Garamond" w:hAnsi="Garamond" w:cs="Arial"/>
        </w:rPr>
      </w:pPr>
      <w:r w:rsidRPr="006C43AF">
        <w:rPr>
          <w:rFonts w:ascii="Garamond" w:hAnsi="Garamond" w:cs="Arial"/>
        </w:rPr>
        <w:t>Women and children are uniquely vulnerable to tropical cyclones, experiencing increased rates of gender-based violence and long-term damages on childhood development.</w:t>
      </w:r>
    </w:p>
    <w:p w14:paraId="441822FF" w14:textId="77777777" w:rsidR="00E33287" w:rsidRDefault="00E33287" w:rsidP="00E33287">
      <w:pPr>
        <w:spacing w:after="0" w:line="240" w:lineRule="auto"/>
        <w:rPr>
          <w:rFonts w:ascii="Century Gothic" w:hAnsi="Century Gothic" w:cs="Arial"/>
          <w:b/>
          <w:sz w:val="20"/>
          <w:szCs w:val="20"/>
        </w:rPr>
      </w:pPr>
    </w:p>
    <w:p w14:paraId="6D036C46"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Pr>
          <w:rFonts w:ascii="Century Gothic" w:hAnsi="Century Gothic" w:cs="Arial"/>
          <w:b/>
          <w:sz w:val="20"/>
          <w:szCs w:val="20"/>
        </w:rPr>
        <w:t>Decision 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1D12E604" w14:textId="77777777" w:rsidR="00294DFE" w:rsidRPr="00294DFE" w:rsidRDefault="00294DFE" w:rsidP="00294DFE">
      <w:pPr>
        <w:spacing w:after="0" w:line="240" w:lineRule="auto"/>
        <w:rPr>
          <w:rFonts w:ascii="Garamond" w:hAnsi="Garamond" w:cs="Arial"/>
        </w:rPr>
      </w:pPr>
      <w:r w:rsidRPr="00294DFE">
        <w:rPr>
          <w:rFonts w:ascii="Garamond" w:hAnsi="Garamond" w:cs="Arial"/>
        </w:rPr>
        <w:t>Currently, our partners use hazard information (e.g., threat maps) generated by the Nationwide Operational Assessment of Hazards (NOAH), an organization launched in 2012 by the Filipino Department of Science and Technology in response to President Aquino’s goal to implement a disaster prevention and mitigation program. Since its launch, the NOAH project has installed over 500 pieces of weather equipment, such as automated weather stations (AWS) and automated rain gauges (ARG). Despite these efforts, hazard management is not reaching all vulnerable populations. To address this issue, we are working with OCHA to use additional datasets including tropical cyclone tracks, satellite derived precipitation estimates and various population statistics to focus on gender vulnerability.</w:t>
      </w:r>
    </w:p>
    <w:p w14:paraId="1CBF2631" w14:textId="77777777" w:rsidR="00E33287" w:rsidRPr="00D579FC" w:rsidRDefault="00E33287" w:rsidP="00E33287">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lastRenderedPageBreak/>
              <w:t>End-Product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0A36FF45" w14:textId="77777777" w:rsidTr="006D573E">
        <w:trPr>
          <w:trHeight w:val="1730"/>
        </w:trPr>
        <w:tc>
          <w:tcPr>
            <w:tcW w:w="2574" w:type="dxa"/>
          </w:tcPr>
          <w:p w14:paraId="6F695318" w14:textId="67E2E18C" w:rsidR="00E33287" w:rsidRPr="008806D2" w:rsidRDefault="00294DFE" w:rsidP="000A0775">
            <w:pPr>
              <w:spacing w:after="0" w:line="240" w:lineRule="auto"/>
              <w:rPr>
                <w:rFonts w:ascii="Garamond" w:hAnsi="Garamond" w:cs="Arial"/>
              </w:rPr>
            </w:pPr>
            <w:r w:rsidRPr="00292A95">
              <w:rPr>
                <w:rFonts w:ascii="Garamond" w:eastAsia="Garamond" w:hAnsi="Garamond" w:cs="Garamond"/>
              </w:rPr>
              <w:t>Landslide Hazards and Vulnerabilities Map</w:t>
            </w:r>
          </w:p>
        </w:tc>
        <w:tc>
          <w:tcPr>
            <w:tcW w:w="2574" w:type="dxa"/>
          </w:tcPr>
          <w:p w14:paraId="36A5B821" w14:textId="5BC1DE34" w:rsidR="00E33287" w:rsidRPr="00294DFE" w:rsidRDefault="00294DFE" w:rsidP="00294DFE">
            <w:pPr>
              <w:rPr>
                <w:rFonts w:ascii="Garamond" w:eastAsia="Garamond" w:hAnsi="Garamond" w:cs="Garamond"/>
              </w:rPr>
            </w:pPr>
            <w:r w:rsidRPr="00292A95">
              <w:rPr>
                <w:rFonts w:ascii="Garamond" w:eastAsia="Garamond" w:hAnsi="Garamond" w:cs="Garamond"/>
              </w:rPr>
              <w:t>SRTM</w:t>
            </w:r>
          </w:p>
        </w:tc>
        <w:tc>
          <w:tcPr>
            <w:tcW w:w="2762" w:type="dxa"/>
          </w:tcPr>
          <w:p w14:paraId="0E959FEF" w14:textId="2CA798AA" w:rsidR="00E33287" w:rsidRPr="008806D2" w:rsidRDefault="00294DFE" w:rsidP="000A0775">
            <w:pPr>
              <w:spacing w:after="0" w:line="240" w:lineRule="auto"/>
              <w:rPr>
                <w:rFonts w:ascii="Garamond" w:hAnsi="Garamond" w:cs="Arial"/>
              </w:rPr>
            </w:pPr>
            <w:r w:rsidRPr="00292A95">
              <w:rPr>
                <w:rFonts w:ascii="Garamond" w:eastAsia="Garamond" w:hAnsi="Garamond" w:cs="Garamond"/>
              </w:rPr>
              <w:t xml:space="preserve">A </w:t>
            </w:r>
            <w:r>
              <w:rPr>
                <w:rFonts w:ascii="Garamond" w:eastAsia="Garamond" w:hAnsi="Garamond" w:cs="Garamond"/>
              </w:rPr>
              <w:t>l</w:t>
            </w:r>
            <w:r w:rsidRPr="00292A95">
              <w:rPr>
                <w:rFonts w:ascii="Garamond" w:eastAsia="Garamond" w:hAnsi="Garamond" w:cs="Garamond"/>
              </w:rPr>
              <w:t>andslide vulnerability map will be used to aid decision makers in determining the allocation of emergency management and resources after potentially devastating rainfall events.</w:t>
            </w:r>
          </w:p>
        </w:tc>
        <w:tc>
          <w:tcPr>
            <w:tcW w:w="1461" w:type="dxa"/>
          </w:tcPr>
          <w:p w14:paraId="3C243003" w14:textId="77777777" w:rsidR="00E33287" w:rsidRPr="008806D2" w:rsidRDefault="00E33287" w:rsidP="000A0775">
            <w:pPr>
              <w:spacing w:after="0" w:line="240" w:lineRule="auto"/>
              <w:rPr>
                <w:rFonts w:ascii="Garamond" w:hAnsi="Garamond"/>
              </w:rPr>
            </w:pPr>
            <w:r w:rsidRPr="008806D2">
              <w:rPr>
                <w:rFonts w:ascii="Garamond" w:hAnsi="Garamond"/>
              </w:rPr>
              <w:t>N/A</w:t>
            </w:r>
          </w:p>
          <w:p w14:paraId="5895E9CB" w14:textId="34987E69" w:rsidR="00E33287" w:rsidRPr="008806D2" w:rsidRDefault="00E33287" w:rsidP="000A0775">
            <w:pPr>
              <w:spacing w:after="0" w:line="240" w:lineRule="auto"/>
              <w:rPr>
                <w:rFonts w:ascii="Garamond" w:hAnsi="Garamond" w:cs="Arial"/>
              </w:rPr>
            </w:pPr>
          </w:p>
        </w:tc>
      </w:tr>
      <w:tr w:rsidR="00E33287" w14:paraId="2AF3D5F1" w14:textId="77777777" w:rsidTr="006D573E">
        <w:trPr>
          <w:trHeight w:val="238"/>
        </w:trPr>
        <w:tc>
          <w:tcPr>
            <w:tcW w:w="2574" w:type="dxa"/>
          </w:tcPr>
          <w:p w14:paraId="7AEBAA78" w14:textId="09C98E1F" w:rsidR="00E33287" w:rsidRPr="008806D2" w:rsidRDefault="00294DFE" w:rsidP="000A0775">
            <w:pPr>
              <w:spacing w:after="0" w:line="240" w:lineRule="auto"/>
              <w:rPr>
                <w:rFonts w:ascii="Garamond" w:hAnsi="Garamond" w:cs="Arial"/>
              </w:rPr>
            </w:pPr>
            <w:r w:rsidRPr="00292A95">
              <w:rPr>
                <w:rFonts w:ascii="Garamond" w:eastAsia="Garamond" w:hAnsi="Garamond" w:cs="Garamond"/>
              </w:rPr>
              <w:t>Philippines Cyclone Climatology Maps &amp; Figures</w:t>
            </w:r>
          </w:p>
        </w:tc>
        <w:tc>
          <w:tcPr>
            <w:tcW w:w="2574" w:type="dxa"/>
          </w:tcPr>
          <w:p w14:paraId="3DF7A479" w14:textId="5D725E64" w:rsidR="00E33287" w:rsidRPr="008806D2" w:rsidRDefault="00294DFE" w:rsidP="000A0775">
            <w:pPr>
              <w:spacing w:after="0" w:line="240" w:lineRule="auto"/>
              <w:rPr>
                <w:rFonts w:ascii="Garamond" w:hAnsi="Garamond" w:cs="Arial"/>
              </w:rPr>
            </w:pPr>
            <w:proofErr w:type="spellStart"/>
            <w:r w:rsidRPr="00292A95">
              <w:rPr>
                <w:rFonts w:ascii="Garamond" w:eastAsia="Garamond" w:hAnsi="Garamond" w:cs="Garamond"/>
              </w:rPr>
              <w:t>IBTrACS</w:t>
            </w:r>
            <w:proofErr w:type="spellEnd"/>
            <w:r w:rsidRPr="00292A95">
              <w:rPr>
                <w:rFonts w:ascii="Garamond" w:eastAsia="Garamond" w:hAnsi="Garamond" w:cs="Garamond"/>
              </w:rPr>
              <w:t xml:space="preserve"> archived tropical cyclone data/tracks</w:t>
            </w:r>
          </w:p>
        </w:tc>
        <w:tc>
          <w:tcPr>
            <w:tcW w:w="2762" w:type="dxa"/>
          </w:tcPr>
          <w:p w14:paraId="606D7891" w14:textId="35EC3042" w:rsidR="00E33287" w:rsidRPr="008806D2" w:rsidRDefault="00294DFE" w:rsidP="000A0775">
            <w:pPr>
              <w:spacing w:after="0" w:line="240" w:lineRule="auto"/>
              <w:rPr>
                <w:rFonts w:ascii="Garamond" w:hAnsi="Garamond" w:cs="Arial"/>
              </w:rPr>
            </w:pPr>
            <w:r w:rsidRPr="00292A95">
              <w:rPr>
                <w:rFonts w:ascii="Garamond" w:eastAsia="Garamond" w:hAnsi="Garamond" w:cs="Garamond"/>
              </w:rPr>
              <w:t>Climatology maps &amp; figures will be used by OCHA to better understand typical cyclone tracks, intensity, and impacts that will aid mitigation planning across the Philippines.</w:t>
            </w:r>
          </w:p>
        </w:tc>
        <w:tc>
          <w:tcPr>
            <w:tcW w:w="1461" w:type="dxa"/>
          </w:tcPr>
          <w:p w14:paraId="6D9B247D" w14:textId="77777777" w:rsidR="00294DFE" w:rsidRPr="008806D2" w:rsidRDefault="00294DFE" w:rsidP="00294DFE">
            <w:pPr>
              <w:spacing w:after="0" w:line="240" w:lineRule="auto"/>
              <w:rPr>
                <w:rFonts w:ascii="Garamond" w:hAnsi="Garamond"/>
              </w:rPr>
            </w:pPr>
            <w:r w:rsidRPr="008806D2">
              <w:rPr>
                <w:rFonts w:ascii="Garamond" w:hAnsi="Garamond"/>
              </w:rPr>
              <w:t>N/A</w:t>
            </w:r>
          </w:p>
          <w:p w14:paraId="62B73EDF" w14:textId="77777777" w:rsidR="00E33287" w:rsidRPr="008806D2" w:rsidRDefault="00E33287" w:rsidP="000A0775">
            <w:pPr>
              <w:spacing w:after="0" w:line="240" w:lineRule="auto"/>
              <w:rPr>
                <w:rFonts w:ascii="Garamond" w:hAnsi="Garamond" w:cs="Arial"/>
              </w:rPr>
            </w:pPr>
          </w:p>
        </w:tc>
      </w:tr>
    </w:tbl>
    <w:p w14:paraId="35B6EE44" w14:textId="77777777" w:rsidR="00E33287" w:rsidRDefault="00E33287" w:rsidP="00E33287">
      <w:pPr>
        <w:spacing w:after="0" w:line="240" w:lineRule="auto"/>
        <w:rPr>
          <w:rFonts w:ascii="Century Gothic" w:hAnsi="Century Gothic" w:cs="Arial"/>
          <w:b/>
          <w:sz w:val="20"/>
          <w:szCs w:val="20"/>
        </w:rPr>
      </w:pPr>
    </w:p>
    <w:p w14:paraId="45DF79CC" w14:textId="77777777" w:rsidR="00E33287" w:rsidRPr="00D579FC" w:rsidRDefault="00E33287" w:rsidP="00E33287">
      <w:pPr>
        <w:spacing w:after="0" w:line="240" w:lineRule="auto"/>
        <w:rPr>
          <w:rFonts w:ascii="Century Gothic" w:hAnsi="Century Gothic" w:cs="Arial"/>
          <w:sz w:val="20"/>
          <w:szCs w:val="20"/>
        </w:rPr>
      </w:pPr>
      <w:r>
        <w:rPr>
          <w:rFonts w:ascii="Century Gothic" w:hAnsi="Century Gothic" w:cs="Arial"/>
          <w:b/>
          <w:sz w:val="20"/>
          <w:szCs w:val="20"/>
        </w:rPr>
        <w:t>Project Benefit to End-User</w:t>
      </w:r>
      <w:r>
        <w:rPr>
          <w:rFonts w:ascii="Century Gothic" w:hAnsi="Century Gothic" w:cs="Arial"/>
          <w:sz w:val="20"/>
          <w:szCs w:val="20"/>
        </w:rPr>
        <w:t>:</w:t>
      </w:r>
    </w:p>
    <w:p w14:paraId="79439B69" w14:textId="77777777" w:rsidR="00294DFE" w:rsidRPr="00294DFE" w:rsidRDefault="00294DFE" w:rsidP="00294DFE">
      <w:pPr>
        <w:spacing w:after="0" w:line="240" w:lineRule="auto"/>
        <w:rPr>
          <w:rFonts w:ascii="Garamond" w:hAnsi="Garamond" w:cs="Arial"/>
        </w:rPr>
      </w:pPr>
      <w:r w:rsidRPr="00294DFE">
        <w:rPr>
          <w:rFonts w:ascii="Garamond" w:hAnsi="Garamond" w:cs="Arial"/>
        </w:rPr>
        <w:t>The deliverables provided by this project will allow OCHA to more appropriately tailor their hazard management techniques to address vulnerable populations in disaster affected municipalities. Using tropical cyclone tracks and satellite derived data in concert with the previous term’s demographic data, government organizations will be able to plan their response to tropical cyclones and take proactive action.</w:t>
      </w:r>
    </w:p>
    <w:p w14:paraId="3645AD75" w14:textId="77777777" w:rsidR="00E33287" w:rsidRDefault="00E33287"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36133C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w:t>
      </w:r>
      <w:r w:rsidR="005E3CE7">
        <w:rPr>
          <w:rFonts w:ascii="Century Gothic" w:hAnsi="Century Gothic" w:cs="Arial"/>
          <w:b/>
          <w:sz w:val="20"/>
          <w:szCs w:val="20"/>
        </w:rPr>
        <w:t>d Sciences National Application</w:t>
      </w:r>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294DFE">
        <w:rPr>
          <w:rFonts w:ascii="Garamond" w:hAnsi="Garamond" w:cs="Arial"/>
        </w:rPr>
        <w:t>Disasters</w:t>
      </w:r>
    </w:p>
    <w:p w14:paraId="56DFA915" w14:textId="2B095616"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94DFE">
        <w:rPr>
          <w:rFonts w:ascii="Garamond" w:hAnsi="Garamond" w:cs="Arial"/>
        </w:rPr>
        <w:t>The Philippines</w:t>
      </w:r>
    </w:p>
    <w:p w14:paraId="136477A7" w14:textId="2AE55BE2" w:rsidR="00294DFE"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B07B2" w:rsidRPr="00DB07B2">
        <w:rPr>
          <w:rFonts w:ascii="Garamond" w:hAnsi="Garamond" w:cs="Arial"/>
        </w:rPr>
        <w:t xml:space="preserve">January </w:t>
      </w:r>
      <w:r w:rsidR="00294DFE" w:rsidRPr="00DB07B2">
        <w:rPr>
          <w:rFonts w:ascii="Garamond" w:hAnsi="Garamond" w:cs="Arial"/>
        </w:rPr>
        <w:t xml:space="preserve">1985 – </w:t>
      </w:r>
      <w:r w:rsidR="00DB07B2" w:rsidRPr="00DB07B2">
        <w:rPr>
          <w:rFonts w:ascii="Garamond" w:hAnsi="Garamond" w:cs="Arial"/>
        </w:rPr>
        <w:t xml:space="preserve">December </w:t>
      </w:r>
      <w:r w:rsidR="00294DFE" w:rsidRPr="00DB07B2">
        <w:rPr>
          <w:rFonts w:ascii="Garamond" w:hAnsi="Garamond" w:cs="Arial"/>
        </w:rPr>
        <w:t>2015</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38965005" w14:textId="77777777" w:rsidTr="00AC7AEB">
        <w:trPr>
          <w:trHeight w:val="618"/>
        </w:trPr>
        <w:tc>
          <w:tcPr>
            <w:tcW w:w="2194" w:type="dxa"/>
          </w:tcPr>
          <w:p w14:paraId="6D458235" w14:textId="2A57C9A2" w:rsidR="00605CF2" w:rsidRPr="00AC7AEB" w:rsidRDefault="00294DFE" w:rsidP="00AC7AEB">
            <w:pPr>
              <w:spacing w:after="0" w:line="240" w:lineRule="auto"/>
              <w:contextualSpacing/>
              <w:rPr>
                <w:rFonts w:ascii="Garamond" w:hAnsi="Garamond"/>
                <w:bCs/>
              </w:rPr>
            </w:pPr>
            <w:r w:rsidRPr="00292A95">
              <w:rPr>
                <w:rFonts w:ascii="Garamond" w:eastAsia="Garamond" w:hAnsi="Garamond" w:cs="Garamond"/>
              </w:rPr>
              <w:t>Shuttle Radar Topography Mission (SRTM)</w:t>
            </w:r>
          </w:p>
        </w:tc>
        <w:tc>
          <w:tcPr>
            <w:tcW w:w="2467" w:type="dxa"/>
          </w:tcPr>
          <w:p w14:paraId="1EA11CB3" w14:textId="6750835D" w:rsidR="00605CF2" w:rsidRPr="005C6FC1" w:rsidRDefault="005239CA" w:rsidP="00AC7AEB">
            <w:pPr>
              <w:spacing w:after="0" w:line="240" w:lineRule="auto"/>
              <w:contextualSpacing/>
              <w:rPr>
                <w:rFonts w:ascii="Garamond" w:hAnsi="Garamond"/>
              </w:rPr>
            </w:pPr>
            <w:r>
              <w:rPr>
                <w:rFonts w:ascii="Garamond" w:hAnsi="Garamond"/>
              </w:rPr>
              <w:t>Digital Elevation Model (DEM)</w:t>
            </w:r>
          </w:p>
        </w:tc>
        <w:tc>
          <w:tcPr>
            <w:tcW w:w="4715" w:type="dxa"/>
          </w:tcPr>
          <w:p w14:paraId="25D6B2CE" w14:textId="4B940D58" w:rsidR="00605CF2" w:rsidRPr="005C6FC1" w:rsidRDefault="005239CA" w:rsidP="00AC7AEB">
            <w:pPr>
              <w:spacing w:after="0" w:line="240" w:lineRule="auto"/>
              <w:contextualSpacing/>
              <w:rPr>
                <w:rFonts w:ascii="Garamond" w:hAnsi="Garamond"/>
              </w:rPr>
            </w:pPr>
            <w:r w:rsidRPr="00292A95">
              <w:rPr>
                <w:rFonts w:ascii="Garamond" w:eastAsia="Garamond" w:hAnsi="Garamond" w:cs="Garamond"/>
              </w:rPr>
              <w:t>The DEM w</w:t>
            </w:r>
            <w:r>
              <w:rPr>
                <w:rFonts w:ascii="Garamond" w:eastAsia="Garamond" w:hAnsi="Garamond" w:cs="Garamond"/>
              </w:rPr>
              <w:t>as</w:t>
            </w:r>
            <w:r w:rsidRPr="00292A95">
              <w:rPr>
                <w:rFonts w:ascii="Garamond" w:eastAsia="Garamond" w:hAnsi="Garamond" w:cs="Garamond"/>
              </w:rPr>
              <w:t xml:space="preserve"> used to assess areas that are vulnerable to flooding and landslides based on elevation and slope.</w:t>
            </w:r>
          </w:p>
        </w:tc>
      </w:tr>
      <w:tr w:rsidR="00A168F5" w:rsidRPr="005C6FC1" w14:paraId="62A4F45C" w14:textId="77777777" w:rsidTr="00AC7AEB">
        <w:trPr>
          <w:trHeight w:val="618"/>
        </w:trPr>
        <w:tc>
          <w:tcPr>
            <w:tcW w:w="2194" w:type="dxa"/>
          </w:tcPr>
          <w:p w14:paraId="5A07D1E6" w14:textId="6D3F5844" w:rsidR="00A168F5" w:rsidRPr="00292A95" w:rsidRDefault="00A168F5" w:rsidP="00AC7AEB">
            <w:pPr>
              <w:spacing w:after="0" w:line="240" w:lineRule="auto"/>
              <w:contextualSpacing/>
              <w:rPr>
                <w:rFonts w:ascii="Garamond" w:eastAsia="Garamond" w:hAnsi="Garamond" w:cs="Garamond"/>
              </w:rPr>
            </w:pPr>
            <w:r>
              <w:rPr>
                <w:rFonts w:ascii="Garamond" w:eastAsia="Garamond" w:hAnsi="Garamond" w:cs="Garamond"/>
              </w:rPr>
              <w:t>International Best Track Archive for Climate Stewardship (</w:t>
            </w:r>
            <w:proofErr w:type="spellStart"/>
            <w:r>
              <w:rPr>
                <w:rFonts w:ascii="Garamond" w:eastAsia="Garamond" w:hAnsi="Garamond" w:cs="Garamond"/>
              </w:rPr>
              <w:t>ITBrACS</w:t>
            </w:r>
            <w:proofErr w:type="spellEnd"/>
            <w:r>
              <w:rPr>
                <w:rFonts w:ascii="Garamond" w:eastAsia="Garamond" w:hAnsi="Garamond" w:cs="Garamond"/>
              </w:rPr>
              <w:t>)</w:t>
            </w:r>
          </w:p>
        </w:tc>
        <w:tc>
          <w:tcPr>
            <w:tcW w:w="2467" w:type="dxa"/>
          </w:tcPr>
          <w:p w14:paraId="790C5009" w14:textId="322A29A8" w:rsidR="00A168F5" w:rsidRDefault="00A168F5" w:rsidP="00AC7AEB">
            <w:pPr>
              <w:spacing w:after="0" w:line="240" w:lineRule="auto"/>
              <w:contextualSpacing/>
              <w:rPr>
                <w:rFonts w:ascii="Garamond" w:hAnsi="Garamond"/>
              </w:rPr>
            </w:pPr>
            <w:r>
              <w:rPr>
                <w:rFonts w:ascii="Garamond" w:hAnsi="Garamond"/>
              </w:rPr>
              <w:t>Tropical cyclone tracks, wind speed</w:t>
            </w:r>
          </w:p>
        </w:tc>
        <w:tc>
          <w:tcPr>
            <w:tcW w:w="4715" w:type="dxa"/>
          </w:tcPr>
          <w:p w14:paraId="68676BF1" w14:textId="146E7BA2" w:rsidR="00A168F5" w:rsidRPr="00292A95" w:rsidRDefault="00667357" w:rsidP="00AC7AEB">
            <w:pPr>
              <w:spacing w:after="0" w:line="240" w:lineRule="auto"/>
              <w:contextualSpacing/>
              <w:rPr>
                <w:rFonts w:ascii="Garamond" w:eastAsia="Garamond" w:hAnsi="Garamond" w:cs="Garamond"/>
              </w:rPr>
            </w:pPr>
            <w:proofErr w:type="spellStart"/>
            <w:r>
              <w:rPr>
                <w:rFonts w:ascii="Garamond" w:eastAsia="Garamond" w:hAnsi="Garamond" w:cs="Garamond"/>
              </w:rPr>
              <w:t>ITBracks</w:t>
            </w:r>
            <w:proofErr w:type="spellEnd"/>
            <w:r>
              <w:rPr>
                <w:rFonts w:ascii="Garamond" w:eastAsia="Garamond" w:hAnsi="Garamond" w:cs="Garamond"/>
              </w:rPr>
              <w:t xml:space="preserve"> data were used to create a cyclone climatology for the Philippines.</w:t>
            </w:r>
          </w:p>
        </w:tc>
      </w:tr>
      <w:tr w:rsidR="00667357" w:rsidRPr="005C6FC1" w14:paraId="540D0AF1" w14:textId="77777777" w:rsidTr="00AC7AEB">
        <w:trPr>
          <w:trHeight w:val="618"/>
        </w:trPr>
        <w:tc>
          <w:tcPr>
            <w:tcW w:w="2194" w:type="dxa"/>
          </w:tcPr>
          <w:p w14:paraId="54760F96" w14:textId="1369A4A2" w:rsidR="00667357" w:rsidRDefault="00667357" w:rsidP="00AC7AEB">
            <w:pPr>
              <w:spacing w:after="0" w:line="240" w:lineRule="auto"/>
              <w:contextualSpacing/>
              <w:rPr>
                <w:rFonts w:ascii="Garamond" w:eastAsia="Garamond" w:hAnsi="Garamond" w:cs="Garamond"/>
              </w:rPr>
            </w:pPr>
            <w:r>
              <w:rPr>
                <w:rFonts w:ascii="Garamond" w:eastAsia="Garamond" w:hAnsi="Garamond" w:cs="Garamond"/>
              </w:rPr>
              <w:t>HURSAT-B1</w:t>
            </w:r>
          </w:p>
        </w:tc>
        <w:tc>
          <w:tcPr>
            <w:tcW w:w="2467" w:type="dxa"/>
          </w:tcPr>
          <w:p w14:paraId="5040CBE7" w14:textId="56DD8F9A" w:rsidR="00667357" w:rsidRDefault="00667357" w:rsidP="00AC7AEB">
            <w:pPr>
              <w:spacing w:after="0" w:line="240" w:lineRule="auto"/>
              <w:contextualSpacing/>
              <w:rPr>
                <w:rFonts w:ascii="Garamond" w:hAnsi="Garamond"/>
              </w:rPr>
            </w:pPr>
            <w:r>
              <w:rPr>
                <w:rFonts w:ascii="Garamond" w:hAnsi="Garamond"/>
              </w:rPr>
              <w:t>Infrared imagery of tropical cyclones</w:t>
            </w:r>
          </w:p>
        </w:tc>
        <w:tc>
          <w:tcPr>
            <w:tcW w:w="4715" w:type="dxa"/>
          </w:tcPr>
          <w:p w14:paraId="60DB31A9" w14:textId="4B11E54C" w:rsidR="00667357" w:rsidRDefault="00667357" w:rsidP="00AC7AEB">
            <w:pPr>
              <w:spacing w:after="0" w:line="240" w:lineRule="auto"/>
              <w:contextualSpacing/>
              <w:rPr>
                <w:rFonts w:ascii="Garamond" w:eastAsia="Garamond" w:hAnsi="Garamond" w:cs="Garamond"/>
              </w:rPr>
            </w:pPr>
            <w:r>
              <w:rPr>
                <w:rFonts w:ascii="Garamond" w:eastAsia="Garamond" w:hAnsi="Garamond" w:cs="Garamond"/>
              </w:rPr>
              <w:t>HURSAT-B1 provided raw satellite o</w:t>
            </w:r>
            <w:r w:rsidR="005469CF">
              <w:rPr>
                <w:rFonts w:ascii="Garamond" w:eastAsia="Garamond" w:hAnsi="Garamond" w:cs="Garamond"/>
              </w:rPr>
              <w:t>bservations to estimate the wind field of tropical cyclones.</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4459147" w14:textId="77777777" w:rsidR="005239CA" w:rsidRPr="00292A95" w:rsidRDefault="005239CA" w:rsidP="005239CA">
      <w:pPr>
        <w:numPr>
          <w:ilvl w:val="0"/>
          <w:numId w:val="6"/>
        </w:numPr>
        <w:spacing w:after="0" w:line="240" w:lineRule="auto"/>
        <w:contextualSpacing/>
        <w:rPr>
          <w:rFonts w:cs="Calibri"/>
        </w:rPr>
      </w:pPr>
      <w:r w:rsidRPr="00292A95">
        <w:rPr>
          <w:rFonts w:ascii="Garamond" w:eastAsia="Garamond" w:hAnsi="Garamond" w:cs="Garamond"/>
        </w:rPr>
        <w:t>Humanitarian Data Exchange</w:t>
      </w:r>
      <w:r>
        <w:rPr>
          <w:rFonts w:ascii="Garamond" w:eastAsia="Garamond" w:hAnsi="Garamond" w:cs="Garamond"/>
        </w:rPr>
        <w:t xml:space="preserve"> –</w:t>
      </w:r>
      <w:r w:rsidRPr="00292A95">
        <w:rPr>
          <w:rFonts w:ascii="Garamond" w:eastAsia="Garamond" w:hAnsi="Garamond" w:cs="Garamond"/>
        </w:rPr>
        <w:t xml:space="preserve"> Literacy rates and additional demographic variables</w:t>
      </w:r>
    </w:p>
    <w:p w14:paraId="7CC2DB36" w14:textId="1400B07D" w:rsidR="005239CA" w:rsidRPr="005239CA" w:rsidRDefault="005239CA" w:rsidP="005239CA">
      <w:pPr>
        <w:numPr>
          <w:ilvl w:val="0"/>
          <w:numId w:val="6"/>
        </w:numPr>
        <w:spacing w:after="0" w:line="240" w:lineRule="auto"/>
        <w:contextualSpacing/>
      </w:pPr>
      <w:r w:rsidRPr="00292A95">
        <w:rPr>
          <w:rFonts w:ascii="Garamond" w:eastAsia="Garamond" w:hAnsi="Garamond" w:cs="Garamond"/>
        </w:rPr>
        <w:t xml:space="preserve">OCHA Philippines Population Demographic </w:t>
      </w:r>
      <w:proofErr w:type="spellStart"/>
      <w:r w:rsidRPr="00292A95">
        <w:rPr>
          <w:rFonts w:ascii="Garamond" w:eastAsia="Garamond" w:hAnsi="Garamond" w:cs="Garamond"/>
        </w:rPr>
        <w:t>DataPhilGIS</w:t>
      </w:r>
      <w:proofErr w:type="spellEnd"/>
      <w:r w:rsidRPr="00292A95">
        <w:rPr>
          <w:rFonts w:ascii="Garamond" w:eastAsia="Garamond" w:hAnsi="Garamond" w:cs="Garamond"/>
        </w:rPr>
        <w:t xml:space="preserve"> – Philippine-based </w:t>
      </w:r>
      <w:proofErr w:type="spellStart"/>
      <w:r w:rsidRPr="00292A95">
        <w:rPr>
          <w:rFonts w:ascii="Garamond" w:eastAsia="Garamond" w:hAnsi="Garamond" w:cs="Garamond"/>
        </w:rPr>
        <w:t>shapefiles</w:t>
      </w:r>
      <w:proofErr w:type="spellEnd"/>
      <w:r w:rsidRPr="00292A95">
        <w:rPr>
          <w:rFonts w:ascii="Garamond" w:eastAsia="Garamond" w:hAnsi="Garamond" w:cs="Garamond"/>
        </w:rPr>
        <w:t xml:space="preserve"> including municipalities and county boundaries</w:t>
      </w:r>
    </w:p>
    <w:p w14:paraId="797F62DB" w14:textId="3FB3E8A7" w:rsidR="005239CA" w:rsidRPr="00292A95" w:rsidRDefault="005239CA" w:rsidP="005239CA">
      <w:pPr>
        <w:numPr>
          <w:ilvl w:val="0"/>
          <w:numId w:val="6"/>
        </w:numPr>
        <w:spacing w:after="0" w:line="240" w:lineRule="auto"/>
        <w:contextualSpacing/>
      </w:pPr>
      <w:r w:rsidRPr="00292A95">
        <w:rPr>
          <w:rFonts w:ascii="Garamond" w:eastAsia="Garamond" w:hAnsi="Garamond" w:cs="Garamond"/>
        </w:rPr>
        <w:t>Socioeconomic Data and Applications Center (SEDAC) – socioeconomic data</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8375BF8" w14:textId="77777777" w:rsidR="005239CA" w:rsidRPr="00292A95" w:rsidRDefault="005239CA" w:rsidP="005239CA">
      <w:pPr>
        <w:numPr>
          <w:ilvl w:val="0"/>
          <w:numId w:val="11"/>
        </w:numPr>
        <w:spacing w:after="0" w:line="240" w:lineRule="auto"/>
        <w:contextualSpacing/>
      </w:pPr>
      <w:proofErr w:type="spellStart"/>
      <w:r w:rsidRPr="00292A95">
        <w:rPr>
          <w:rFonts w:ascii="Garamond" w:eastAsia="Garamond" w:hAnsi="Garamond" w:cs="Garamond"/>
        </w:rPr>
        <w:t>Esri</w:t>
      </w:r>
      <w:proofErr w:type="spellEnd"/>
      <w:r w:rsidRPr="00292A95">
        <w:rPr>
          <w:rFonts w:ascii="Garamond" w:eastAsia="Garamond" w:hAnsi="Garamond" w:cs="Garamond"/>
        </w:rPr>
        <w:t xml:space="preserve"> ArcGIS – used for mapping and data processing</w:t>
      </w:r>
    </w:p>
    <w:p w14:paraId="445FCDFE" w14:textId="16AC71B1" w:rsidR="00603BB8" w:rsidRPr="005239CA" w:rsidRDefault="005239CA" w:rsidP="005239CA">
      <w:pPr>
        <w:numPr>
          <w:ilvl w:val="0"/>
          <w:numId w:val="11"/>
        </w:numPr>
        <w:spacing w:after="0" w:line="240" w:lineRule="auto"/>
        <w:contextualSpacing/>
        <w:rPr>
          <w:rFonts w:ascii="Garamond" w:eastAsia="Garamond" w:hAnsi="Garamond" w:cs="Garamond"/>
        </w:rPr>
      </w:pPr>
      <w:r w:rsidRPr="00292A95">
        <w:rPr>
          <w:rFonts w:ascii="Garamond" w:eastAsia="Garamond" w:hAnsi="Garamond" w:cs="Garamond"/>
        </w:rPr>
        <w:t>Fortran – used for data processing</w:t>
      </w:r>
    </w:p>
    <w:p w14:paraId="3175C40E" w14:textId="77777777" w:rsidR="005239CA" w:rsidRDefault="005239CA" w:rsidP="00CC6870">
      <w:pPr>
        <w:pStyle w:val="ListParagraph"/>
        <w:numPr>
          <w:ilvl w:val="0"/>
          <w:numId w:val="11"/>
        </w:numPr>
        <w:spacing w:after="0" w:line="240" w:lineRule="auto"/>
        <w:rPr>
          <w:rFonts w:ascii="Garamond" w:hAnsi="Garamond" w:cs="Arial"/>
        </w:rPr>
      </w:pPr>
      <w:r>
        <w:rPr>
          <w:rFonts w:ascii="Garamond" w:hAnsi="Garamond" w:cs="Arial"/>
        </w:rPr>
        <w:t>Python – used fort data processing</w:t>
      </w:r>
    </w:p>
    <w:p w14:paraId="26EC6F27" w14:textId="141FB373" w:rsidR="00CC6870" w:rsidRPr="0013488C" w:rsidRDefault="005239CA" w:rsidP="00CC6870">
      <w:pPr>
        <w:pStyle w:val="ListParagraph"/>
        <w:numPr>
          <w:ilvl w:val="0"/>
          <w:numId w:val="11"/>
        </w:numPr>
        <w:spacing w:after="0" w:line="240" w:lineRule="auto"/>
        <w:rPr>
          <w:rFonts w:ascii="Garamond" w:hAnsi="Garamond" w:cs="Arial"/>
        </w:rPr>
      </w:pPr>
      <w:r>
        <w:rPr>
          <w:rFonts w:ascii="Garamond" w:hAnsi="Garamond" w:cs="Arial"/>
        </w:rPr>
        <w:lastRenderedPageBreak/>
        <w:t>R – used for data processing</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2907A976" w14:textId="77777777" w:rsidR="003E6E1A" w:rsidRPr="003E6E1A" w:rsidRDefault="003E6E1A" w:rsidP="003E6E1A">
      <w:pPr>
        <w:spacing w:after="0" w:line="240" w:lineRule="auto"/>
        <w:rPr>
          <w:rFonts w:ascii="Garamond" w:hAnsi="Garamond" w:cs="Arial"/>
        </w:rPr>
      </w:pPr>
      <w:r w:rsidRPr="003E6E1A">
        <w:rPr>
          <w:rFonts w:ascii="Garamond" w:hAnsi="Garamond" w:cs="Arial"/>
        </w:rPr>
        <w:t xml:space="preserve">We plan to handoff our deliverables via teleconference to Joseph </w:t>
      </w:r>
      <w:proofErr w:type="spellStart"/>
      <w:r w:rsidRPr="003E6E1A">
        <w:rPr>
          <w:rFonts w:ascii="Garamond" w:hAnsi="Garamond" w:cs="Arial"/>
        </w:rPr>
        <w:t>Addawe</w:t>
      </w:r>
      <w:proofErr w:type="spellEnd"/>
      <w:r w:rsidRPr="003E6E1A">
        <w:rPr>
          <w:rFonts w:ascii="Garamond" w:hAnsi="Garamond" w:cs="Arial"/>
        </w:rPr>
        <w:t xml:space="preserve"> (OCHA) during week 9. During the teleconference we will ensure that our partner understands the methodologies and conclusions of our work. We will also explain how our methods can be replicated for future tropical cyclone occurrences.</w:t>
      </w:r>
    </w:p>
    <w:p w14:paraId="310415B5" w14:textId="77777777" w:rsidR="00D76446" w:rsidRPr="00552BE4" w:rsidRDefault="00D76446" w:rsidP="003E6E1A">
      <w:pPr>
        <w:spacing w:after="0" w:line="240" w:lineRule="auto"/>
        <w:rPr>
          <w:rFonts w:ascii="Century Gothic" w:hAnsi="Century Gothic" w:cs="Arial"/>
          <w:b/>
        </w:rPr>
      </w:pPr>
    </w:p>
    <w:p w14:paraId="042C4867" w14:textId="23D47FFE" w:rsidR="00F30125" w:rsidRPr="003E6E1A" w:rsidRDefault="00052B8D" w:rsidP="003E6E1A">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3E6E1A">
        <w:rPr>
          <w:rFonts w:ascii="Garamond" w:hAnsi="Garamond" w:cs="Arial"/>
        </w:rPr>
        <w:t>Michael Marston, mlm92@vt.edu</w:t>
      </w:r>
      <w:r w:rsidR="00D76446" w:rsidRPr="00EE7148">
        <w:rPr>
          <w:rFonts w:ascii="Garamond" w:hAnsi="Garamond" w:cs="Arial"/>
        </w:rPr>
        <w:t xml:space="preserve"> </w:t>
      </w:r>
    </w:p>
    <w:p w14:paraId="3321B85B" w14:textId="2A60A97C"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3E6E1A" w:rsidRPr="00292A95">
        <w:rPr>
          <w:rFonts w:ascii="Garamond" w:eastAsia="Garamond" w:hAnsi="Garamond" w:cs="Garamond"/>
        </w:rPr>
        <w:t xml:space="preserve">Joseph </w:t>
      </w:r>
      <w:proofErr w:type="spellStart"/>
      <w:r w:rsidR="003E6E1A" w:rsidRPr="00292A95">
        <w:rPr>
          <w:rFonts w:ascii="Garamond" w:eastAsia="Garamond" w:hAnsi="Garamond" w:cs="Garamond"/>
        </w:rPr>
        <w:t>Addawe</w:t>
      </w:r>
      <w:proofErr w:type="spellEnd"/>
      <w:r w:rsidR="003E6E1A" w:rsidRPr="00292A95">
        <w:rPr>
          <w:rFonts w:ascii="Garamond" w:eastAsia="Garamond" w:hAnsi="Garamond" w:cs="Garamond"/>
        </w:rPr>
        <w:t>, addawe@un.org</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4D091DE3" w14:textId="75563AC4" w:rsidR="004A0712" w:rsidRDefault="003E6E1A" w:rsidP="00D13939">
      <w:pPr>
        <w:pStyle w:val="ListParagraph"/>
        <w:numPr>
          <w:ilvl w:val="0"/>
          <w:numId w:val="14"/>
        </w:numPr>
        <w:spacing w:after="0" w:line="240" w:lineRule="auto"/>
        <w:rPr>
          <w:rFonts w:ascii="Garamond" w:hAnsi="Garamond" w:cs="Arial"/>
        </w:rPr>
      </w:pPr>
      <w:r>
        <w:rPr>
          <w:rFonts w:ascii="Garamond" w:hAnsi="Garamond" w:cs="Arial"/>
        </w:rPr>
        <w:t>ArcMap .</w:t>
      </w:r>
      <w:proofErr w:type="spellStart"/>
      <w:r>
        <w:rPr>
          <w:rFonts w:ascii="Garamond" w:hAnsi="Garamond" w:cs="Arial"/>
        </w:rPr>
        <w:t>mxd</w:t>
      </w:r>
      <w:proofErr w:type="spellEnd"/>
      <w:r>
        <w:rPr>
          <w:rFonts w:ascii="Garamond" w:hAnsi="Garamond" w:cs="Arial"/>
        </w:rPr>
        <w:t xml:space="preserve"> file containing the final risk assessment </w:t>
      </w:r>
    </w:p>
    <w:p w14:paraId="19826D7A" w14:textId="1D5F5072" w:rsidR="001F7584" w:rsidRPr="003E6E1A" w:rsidRDefault="003E6E1A" w:rsidP="00D01BD2">
      <w:pPr>
        <w:pStyle w:val="ListParagraph"/>
        <w:numPr>
          <w:ilvl w:val="0"/>
          <w:numId w:val="14"/>
        </w:numPr>
        <w:spacing w:after="0" w:line="240" w:lineRule="auto"/>
        <w:rPr>
          <w:rFonts w:ascii="Garamond" w:hAnsi="Garamond" w:cs="Arial"/>
        </w:rPr>
      </w:pPr>
      <w:r w:rsidRPr="003E6E1A">
        <w:rPr>
          <w:rFonts w:ascii="Garamond" w:hAnsi="Garamond" w:cs="Arial"/>
        </w:rPr>
        <w:t>Copies of our final deliverables</w:t>
      </w:r>
    </w:p>
    <w:sectPr w:rsidR="001F7584" w:rsidRPr="003E6E1A"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A905D" w14:textId="77777777" w:rsidR="00793D8C" w:rsidRDefault="00793D8C" w:rsidP="00816220">
      <w:pPr>
        <w:spacing w:after="0" w:line="240" w:lineRule="auto"/>
      </w:pPr>
      <w:r>
        <w:separator/>
      </w:r>
    </w:p>
  </w:endnote>
  <w:endnote w:type="continuationSeparator" w:id="0">
    <w:p w14:paraId="10075D3C" w14:textId="77777777" w:rsidR="00793D8C" w:rsidRDefault="00793D8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0567B" w14:textId="77777777" w:rsidR="00793D8C" w:rsidRDefault="00793D8C" w:rsidP="00816220">
      <w:pPr>
        <w:spacing w:after="0" w:line="240" w:lineRule="auto"/>
      </w:pPr>
      <w:r>
        <w:separator/>
      </w:r>
    </w:p>
  </w:footnote>
  <w:footnote w:type="continuationSeparator" w:id="0">
    <w:p w14:paraId="34487EAF" w14:textId="77777777" w:rsidR="00793D8C" w:rsidRDefault="00793D8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21859"/>
    <w:multiLevelType w:val="multilevel"/>
    <w:tmpl w:val="623AD1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3583811"/>
    <w:multiLevelType w:val="multilevel"/>
    <w:tmpl w:val="597204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7"/>
  </w:num>
  <w:num w:numId="5">
    <w:abstractNumId w:val="5"/>
  </w:num>
  <w:num w:numId="6">
    <w:abstractNumId w:val="3"/>
  </w:num>
  <w:num w:numId="7">
    <w:abstractNumId w:val="0"/>
  </w:num>
  <w:num w:numId="8">
    <w:abstractNumId w:val="4"/>
  </w:num>
  <w:num w:numId="9">
    <w:abstractNumId w:val="8"/>
  </w:num>
  <w:num w:numId="10">
    <w:abstractNumId w:val="16"/>
  </w:num>
  <w:num w:numId="11">
    <w:abstractNumId w:val="15"/>
  </w:num>
  <w:num w:numId="12">
    <w:abstractNumId w:val="10"/>
  </w:num>
  <w:num w:numId="13">
    <w:abstractNumId w:val="9"/>
  </w:num>
  <w:num w:numId="14">
    <w:abstractNumId w:val="14"/>
  </w:num>
  <w:num w:numId="15">
    <w:abstractNumId w:val="2"/>
  </w:num>
  <w:num w:numId="16">
    <w:abstractNumId w:val="13"/>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7ED9"/>
    <w:rsid w:val="00052B8D"/>
    <w:rsid w:val="000573CD"/>
    <w:rsid w:val="00062696"/>
    <w:rsid w:val="000679A3"/>
    <w:rsid w:val="00071662"/>
    <w:rsid w:val="00072BB5"/>
    <w:rsid w:val="000A2B97"/>
    <w:rsid w:val="000A60A0"/>
    <w:rsid w:val="000A7821"/>
    <w:rsid w:val="000B7E2B"/>
    <w:rsid w:val="000C0E41"/>
    <w:rsid w:val="000D1653"/>
    <w:rsid w:val="000E33DD"/>
    <w:rsid w:val="000E7559"/>
    <w:rsid w:val="00112740"/>
    <w:rsid w:val="0013488C"/>
    <w:rsid w:val="00141368"/>
    <w:rsid w:val="00147463"/>
    <w:rsid w:val="00164A0E"/>
    <w:rsid w:val="001726C7"/>
    <w:rsid w:val="001A2E4E"/>
    <w:rsid w:val="001C030D"/>
    <w:rsid w:val="001C0A6B"/>
    <w:rsid w:val="001C4582"/>
    <w:rsid w:val="001D5441"/>
    <w:rsid w:val="001E44B6"/>
    <w:rsid w:val="001F7584"/>
    <w:rsid w:val="00200128"/>
    <w:rsid w:val="00200201"/>
    <w:rsid w:val="00210FA0"/>
    <w:rsid w:val="00215326"/>
    <w:rsid w:val="00225D13"/>
    <w:rsid w:val="00226B51"/>
    <w:rsid w:val="00231E02"/>
    <w:rsid w:val="002423E9"/>
    <w:rsid w:val="00243CAE"/>
    <w:rsid w:val="002469C9"/>
    <w:rsid w:val="002516A3"/>
    <w:rsid w:val="00275A67"/>
    <w:rsid w:val="00275DF1"/>
    <w:rsid w:val="0028618E"/>
    <w:rsid w:val="00294DFE"/>
    <w:rsid w:val="00297863"/>
    <w:rsid w:val="002A4971"/>
    <w:rsid w:val="002A6AE4"/>
    <w:rsid w:val="002B3988"/>
    <w:rsid w:val="002D0C33"/>
    <w:rsid w:val="002D2EE4"/>
    <w:rsid w:val="002D42A9"/>
    <w:rsid w:val="002E03CA"/>
    <w:rsid w:val="002E4378"/>
    <w:rsid w:val="002F6F11"/>
    <w:rsid w:val="00302744"/>
    <w:rsid w:val="003053B0"/>
    <w:rsid w:val="00313897"/>
    <w:rsid w:val="00326EA1"/>
    <w:rsid w:val="0034120B"/>
    <w:rsid w:val="003545A4"/>
    <w:rsid w:val="00354FC7"/>
    <w:rsid w:val="003A7382"/>
    <w:rsid w:val="003A7792"/>
    <w:rsid w:val="003B2A86"/>
    <w:rsid w:val="003D3424"/>
    <w:rsid w:val="003E6E1A"/>
    <w:rsid w:val="003F2639"/>
    <w:rsid w:val="003F5381"/>
    <w:rsid w:val="003F68F5"/>
    <w:rsid w:val="003F78D8"/>
    <w:rsid w:val="00402FAF"/>
    <w:rsid w:val="00403097"/>
    <w:rsid w:val="00420300"/>
    <w:rsid w:val="00424C04"/>
    <w:rsid w:val="0042763C"/>
    <w:rsid w:val="00434799"/>
    <w:rsid w:val="004357F4"/>
    <w:rsid w:val="0045277F"/>
    <w:rsid w:val="00452BB0"/>
    <w:rsid w:val="00454EA3"/>
    <w:rsid w:val="004610EE"/>
    <w:rsid w:val="00470436"/>
    <w:rsid w:val="00472AAD"/>
    <w:rsid w:val="0047457F"/>
    <w:rsid w:val="00486C4B"/>
    <w:rsid w:val="004901C5"/>
    <w:rsid w:val="00494141"/>
    <w:rsid w:val="00494AE0"/>
    <w:rsid w:val="004A0712"/>
    <w:rsid w:val="004B4C28"/>
    <w:rsid w:val="004B6D85"/>
    <w:rsid w:val="004C3536"/>
    <w:rsid w:val="004D2F4F"/>
    <w:rsid w:val="004D4C50"/>
    <w:rsid w:val="004F23ED"/>
    <w:rsid w:val="004F5678"/>
    <w:rsid w:val="004F7A88"/>
    <w:rsid w:val="00500D7C"/>
    <w:rsid w:val="00501143"/>
    <w:rsid w:val="00520FF6"/>
    <w:rsid w:val="005239CA"/>
    <w:rsid w:val="005326E7"/>
    <w:rsid w:val="00542F80"/>
    <w:rsid w:val="005469CF"/>
    <w:rsid w:val="00550F38"/>
    <w:rsid w:val="00552BE4"/>
    <w:rsid w:val="00592371"/>
    <w:rsid w:val="0059630D"/>
    <w:rsid w:val="005A0ACF"/>
    <w:rsid w:val="005E2130"/>
    <w:rsid w:val="005E3CE7"/>
    <w:rsid w:val="0060022A"/>
    <w:rsid w:val="00603BB8"/>
    <w:rsid w:val="00604C1F"/>
    <w:rsid w:val="00605CF2"/>
    <w:rsid w:val="00624731"/>
    <w:rsid w:val="00627D6A"/>
    <w:rsid w:val="00631687"/>
    <w:rsid w:val="00637325"/>
    <w:rsid w:val="00653864"/>
    <w:rsid w:val="00655EA6"/>
    <w:rsid w:val="00660525"/>
    <w:rsid w:val="0066463C"/>
    <w:rsid w:val="00665765"/>
    <w:rsid w:val="00667357"/>
    <w:rsid w:val="00670A29"/>
    <w:rsid w:val="00677CB8"/>
    <w:rsid w:val="006923D3"/>
    <w:rsid w:val="006A3A0B"/>
    <w:rsid w:val="006A6894"/>
    <w:rsid w:val="006B3C1B"/>
    <w:rsid w:val="006B7AAB"/>
    <w:rsid w:val="006D4D57"/>
    <w:rsid w:val="006D573E"/>
    <w:rsid w:val="006F18ED"/>
    <w:rsid w:val="00707C56"/>
    <w:rsid w:val="00710798"/>
    <w:rsid w:val="00717232"/>
    <w:rsid w:val="00720DF2"/>
    <w:rsid w:val="0072641C"/>
    <w:rsid w:val="007338D2"/>
    <w:rsid w:val="007512A3"/>
    <w:rsid w:val="00751708"/>
    <w:rsid w:val="0075569C"/>
    <w:rsid w:val="00770D88"/>
    <w:rsid w:val="00777B02"/>
    <w:rsid w:val="00793D8C"/>
    <w:rsid w:val="00796B9C"/>
    <w:rsid w:val="007B780C"/>
    <w:rsid w:val="007E48F8"/>
    <w:rsid w:val="007E4F6F"/>
    <w:rsid w:val="007F04BC"/>
    <w:rsid w:val="007F4355"/>
    <w:rsid w:val="007F6DAD"/>
    <w:rsid w:val="00815A45"/>
    <w:rsid w:val="00816220"/>
    <w:rsid w:val="00826084"/>
    <w:rsid w:val="00847352"/>
    <w:rsid w:val="00853473"/>
    <w:rsid w:val="00860A65"/>
    <w:rsid w:val="00867B8D"/>
    <w:rsid w:val="00870E0A"/>
    <w:rsid w:val="008746A4"/>
    <w:rsid w:val="00874847"/>
    <w:rsid w:val="008806D2"/>
    <w:rsid w:val="008B166F"/>
    <w:rsid w:val="008F1BC8"/>
    <w:rsid w:val="008F268B"/>
    <w:rsid w:val="00902BE7"/>
    <w:rsid w:val="00924F92"/>
    <w:rsid w:val="0093138E"/>
    <w:rsid w:val="009366D7"/>
    <w:rsid w:val="00947CA7"/>
    <w:rsid w:val="009548B1"/>
    <w:rsid w:val="009562D8"/>
    <w:rsid w:val="0097582D"/>
    <w:rsid w:val="009A326F"/>
    <w:rsid w:val="009B05DD"/>
    <w:rsid w:val="009B5AF3"/>
    <w:rsid w:val="009D56EB"/>
    <w:rsid w:val="009D69DE"/>
    <w:rsid w:val="009E6FFC"/>
    <w:rsid w:val="009E7D75"/>
    <w:rsid w:val="00A16322"/>
    <w:rsid w:val="00A168F5"/>
    <w:rsid w:val="00A174D1"/>
    <w:rsid w:val="00A22A42"/>
    <w:rsid w:val="00A37BBD"/>
    <w:rsid w:val="00A5352D"/>
    <w:rsid w:val="00A60645"/>
    <w:rsid w:val="00A62116"/>
    <w:rsid w:val="00A87B61"/>
    <w:rsid w:val="00AB1221"/>
    <w:rsid w:val="00AB77AB"/>
    <w:rsid w:val="00AC0354"/>
    <w:rsid w:val="00AC5084"/>
    <w:rsid w:val="00AC5AEC"/>
    <w:rsid w:val="00AC7AEB"/>
    <w:rsid w:val="00AD0A13"/>
    <w:rsid w:val="00AD2B98"/>
    <w:rsid w:val="00AD6679"/>
    <w:rsid w:val="00AD7C4E"/>
    <w:rsid w:val="00AF6A15"/>
    <w:rsid w:val="00B04370"/>
    <w:rsid w:val="00B04BDE"/>
    <w:rsid w:val="00B20166"/>
    <w:rsid w:val="00B23EAA"/>
    <w:rsid w:val="00B40BAB"/>
    <w:rsid w:val="00B463C8"/>
    <w:rsid w:val="00B46F89"/>
    <w:rsid w:val="00B50367"/>
    <w:rsid w:val="00B5078C"/>
    <w:rsid w:val="00B5282B"/>
    <w:rsid w:val="00B713EB"/>
    <w:rsid w:val="00B738A3"/>
    <w:rsid w:val="00B82BB6"/>
    <w:rsid w:val="00B85662"/>
    <w:rsid w:val="00BA5773"/>
    <w:rsid w:val="00BA65D6"/>
    <w:rsid w:val="00BC6B3C"/>
    <w:rsid w:val="00BD7559"/>
    <w:rsid w:val="00BE6FB9"/>
    <w:rsid w:val="00BF1193"/>
    <w:rsid w:val="00BF2DED"/>
    <w:rsid w:val="00BF764B"/>
    <w:rsid w:val="00C1027B"/>
    <w:rsid w:val="00C10321"/>
    <w:rsid w:val="00C10AC5"/>
    <w:rsid w:val="00C31815"/>
    <w:rsid w:val="00C356A1"/>
    <w:rsid w:val="00C370C2"/>
    <w:rsid w:val="00C40077"/>
    <w:rsid w:val="00C6294C"/>
    <w:rsid w:val="00C62DCD"/>
    <w:rsid w:val="00C81041"/>
    <w:rsid w:val="00C82473"/>
    <w:rsid w:val="00CA4C99"/>
    <w:rsid w:val="00CB1B77"/>
    <w:rsid w:val="00CC1EF4"/>
    <w:rsid w:val="00CC559E"/>
    <w:rsid w:val="00CC6870"/>
    <w:rsid w:val="00D00A02"/>
    <w:rsid w:val="00D07F36"/>
    <w:rsid w:val="00D13939"/>
    <w:rsid w:val="00D202EE"/>
    <w:rsid w:val="00D304D8"/>
    <w:rsid w:val="00D339EB"/>
    <w:rsid w:val="00D579FC"/>
    <w:rsid w:val="00D61A37"/>
    <w:rsid w:val="00D76446"/>
    <w:rsid w:val="00D9027A"/>
    <w:rsid w:val="00DB07B2"/>
    <w:rsid w:val="00DB512D"/>
    <w:rsid w:val="00DD31FC"/>
    <w:rsid w:val="00DE26F3"/>
    <w:rsid w:val="00DF236F"/>
    <w:rsid w:val="00E13791"/>
    <w:rsid w:val="00E157E8"/>
    <w:rsid w:val="00E23569"/>
    <w:rsid w:val="00E25967"/>
    <w:rsid w:val="00E33287"/>
    <w:rsid w:val="00E35269"/>
    <w:rsid w:val="00E47923"/>
    <w:rsid w:val="00E507D0"/>
    <w:rsid w:val="00E73EFF"/>
    <w:rsid w:val="00E800CD"/>
    <w:rsid w:val="00E80174"/>
    <w:rsid w:val="00E81E11"/>
    <w:rsid w:val="00E86CE8"/>
    <w:rsid w:val="00E96701"/>
    <w:rsid w:val="00EA38B9"/>
    <w:rsid w:val="00EB54F0"/>
    <w:rsid w:val="00EB6254"/>
    <w:rsid w:val="00EB7CF9"/>
    <w:rsid w:val="00EC1081"/>
    <w:rsid w:val="00EC3E69"/>
    <w:rsid w:val="00ED0EAD"/>
    <w:rsid w:val="00ED4DA0"/>
    <w:rsid w:val="00EE7148"/>
    <w:rsid w:val="00F06421"/>
    <w:rsid w:val="00F13449"/>
    <w:rsid w:val="00F16CEF"/>
    <w:rsid w:val="00F1798C"/>
    <w:rsid w:val="00F251DB"/>
    <w:rsid w:val="00F261BD"/>
    <w:rsid w:val="00F30125"/>
    <w:rsid w:val="00F33A7B"/>
    <w:rsid w:val="00F36A8C"/>
    <w:rsid w:val="00F53A38"/>
    <w:rsid w:val="00F53CA9"/>
    <w:rsid w:val="00F6325C"/>
    <w:rsid w:val="00F64FA3"/>
    <w:rsid w:val="00F7451B"/>
    <w:rsid w:val="00F76AD7"/>
    <w:rsid w:val="00F82819"/>
    <w:rsid w:val="00F83291"/>
    <w:rsid w:val="00F84227"/>
    <w:rsid w:val="00F924DE"/>
    <w:rsid w:val="00F92AF3"/>
    <w:rsid w:val="00F974F5"/>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80091946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7372-A5A5-406C-9081-30D1D097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NASA/ODIN</Company>
  <LinksUpToDate>false</LinksUpToDate>
  <CharactersWithSpaces>8380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Miller, Tiffani N. (LARC-E3)[SSAI DEVELOP]</cp:lastModifiedBy>
  <cp:revision>5</cp:revision>
  <dcterms:created xsi:type="dcterms:W3CDTF">2017-07-19T17:54:00Z</dcterms:created>
  <dcterms:modified xsi:type="dcterms:W3CDTF">2017-07-28T20:10:00Z</dcterms:modified>
  <cp:category/>
</cp:coreProperties>
</file>