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43927E08" w:rsidR="006E2A1C" w:rsidRPr="007E68B5" w:rsidRDefault="008434F3" w:rsidP="00195D23">
      <w:pPr>
        <w:spacing w:after="0" w:line="240" w:lineRule="auto"/>
        <w:jc w:val="right"/>
        <w:rPr>
          <w:rFonts w:ascii="Century Gothic" w:hAnsi="Century Gothic" w:cs="Arial"/>
          <w:sz w:val="32"/>
        </w:rPr>
      </w:pPr>
      <w:r>
        <w:rPr>
          <w:rFonts w:ascii="Century Gothic" w:hAnsi="Century Gothic" w:cs="Arial"/>
          <w:sz w:val="32"/>
        </w:rPr>
        <w:t>NASA Goddard Space Flight Center</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671CDBAC" w:rsidR="009830D6" w:rsidRPr="00E578D6" w:rsidRDefault="008434F3" w:rsidP="00E578D6">
      <w:pPr>
        <w:spacing w:after="0" w:line="240" w:lineRule="auto"/>
        <w:jc w:val="right"/>
        <w:rPr>
          <w:rFonts w:ascii="Century Gothic" w:hAnsi="Century Gothic" w:cs="Arial"/>
          <w:sz w:val="40"/>
        </w:rPr>
      </w:pPr>
      <w:r>
        <w:rPr>
          <w:rFonts w:ascii="Century Gothic" w:hAnsi="Century Gothic" w:cs="Arial"/>
          <w:sz w:val="40"/>
        </w:rPr>
        <w:t>Gulf of Mexico Health &amp; Air Quality</w:t>
      </w:r>
    </w:p>
    <w:p w14:paraId="5C53A2B7" w14:textId="71CF8145" w:rsidR="009830D6" w:rsidRPr="00B265D9" w:rsidRDefault="008434F3" w:rsidP="00E578D6">
      <w:pPr>
        <w:spacing w:after="0" w:line="240" w:lineRule="auto"/>
        <w:jc w:val="right"/>
        <w:rPr>
          <w:rFonts w:ascii="Century Gothic" w:hAnsi="Century Gothic" w:cs="Arial"/>
          <w:sz w:val="28"/>
        </w:rPr>
      </w:pPr>
      <w:r>
        <w:rPr>
          <w:rFonts w:ascii="Century Gothic" w:hAnsi="Century Gothic" w:cs="Arial"/>
          <w:sz w:val="28"/>
        </w:rPr>
        <w:t>Utilizing NASA Earth Observations to Manage Air Quality and Pollutants over the Gulf of</w:t>
      </w:r>
      <w:r w:rsidR="009830D6" w:rsidRPr="00B265D9">
        <w:rPr>
          <w:rFonts w:ascii="Century Gothic" w:hAnsi="Century Gothic" w:cs="Arial"/>
          <w:sz w:val="28"/>
        </w:rPr>
        <w:t xml:space="preserve"> Mexico</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13F56C89" w:rsidR="00916AAB" w:rsidRPr="00B265D9" w:rsidRDefault="00053012" w:rsidP="00E578D6">
      <w:pPr>
        <w:spacing w:after="0" w:line="240" w:lineRule="auto"/>
        <w:jc w:val="center"/>
        <w:rPr>
          <w:rFonts w:ascii="Century Gothic" w:hAnsi="Century Gothic" w:cs="Arial"/>
          <w:sz w:val="28"/>
        </w:rPr>
      </w:pPr>
      <w:r>
        <w:rPr>
          <w:rFonts w:ascii="Century Gothic" w:hAnsi="Century Gothic" w:cs="Arial"/>
          <w:sz w:val="28"/>
        </w:rPr>
        <w:t>Final</w:t>
      </w:r>
      <w:bookmarkStart w:id="0" w:name="_GoBack"/>
      <w:bookmarkEnd w:id="0"/>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5E3C91">
        <w:rPr>
          <w:rFonts w:ascii="Century Gothic" w:hAnsi="Century Gothic" w:cs="Arial"/>
          <w:sz w:val="28"/>
        </w:rPr>
        <w:t>March 31</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7E032B39" w:rsidR="0041150E" w:rsidRPr="00FC670A" w:rsidRDefault="008434F3" w:rsidP="00E578D6">
      <w:pPr>
        <w:spacing w:after="0" w:line="240" w:lineRule="auto"/>
        <w:jc w:val="center"/>
        <w:rPr>
          <w:rFonts w:ascii="Century Gothic" w:hAnsi="Century Gothic" w:cs="Arial"/>
          <w:sz w:val="20"/>
          <w:szCs w:val="20"/>
        </w:rPr>
      </w:pPr>
      <w:r>
        <w:rPr>
          <w:rFonts w:ascii="Century Gothic" w:hAnsi="Century Gothic" w:cs="Arial"/>
          <w:sz w:val="20"/>
          <w:szCs w:val="20"/>
        </w:rPr>
        <w:t>Amanda Clayton</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0044C6C6" w:rsidR="00B265D9" w:rsidRPr="00FC670A" w:rsidRDefault="008434F3" w:rsidP="00FC670A">
      <w:pPr>
        <w:spacing w:after="0" w:line="240" w:lineRule="auto"/>
        <w:jc w:val="center"/>
        <w:rPr>
          <w:rFonts w:ascii="Century Gothic" w:hAnsi="Century Gothic" w:cs="Arial"/>
          <w:sz w:val="20"/>
          <w:szCs w:val="20"/>
        </w:rPr>
      </w:pPr>
      <w:r>
        <w:rPr>
          <w:rFonts w:ascii="Century Gothic" w:hAnsi="Century Gothic" w:cs="Arial"/>
          <w:sz w:val="20"/>
          <w:szCs w:val="20"/>
        </w:rPr>
        <w:t>Lori Mandable</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49410BA9" w:rsidR="00916AAB" w:rsidRPr="00FC670A" w:rsidRDefault="008434F3" w:rsidP="00E578D6">
      <w:pPr>
        <w:spacing w:after="0" w:line="240" w:lineRule="auto"/>
        <w:jc w:val="center"/>
        <w:rPr>
          <w:rFonts w:ascii="Century Gothic" w:hAnsi="Century Gothic" w:cs="Arial"/>
          <w:sz w:val="20"/>
          <w:szCs w:val="20"/>
        </w:rPr>
      </w:pPr>
      <w:r>
        <w:rPr>
          <w:rFonts w:ascii="Century Gothic" w:hAnsi="Century Gothic" w:cs="Arial"/>
          <w:sz w:val="20"/>
          <w:szCs w:val="20"/>
        </w:rPr>
        <w:t>Dr. Robert Levy</w:t>
      </w:r>
      <w:r w:rsidR="00916AAB" w:rsidRPr="00FC670A">
        <w:rPr>
          <w:rFonts w:ascii="Century Gothic" w:hAnsi="Century Gothic" w:cs="Arial"/>
          <w:sz w:val="20"/>
          <w:szCs w:val="20"/>
        </w:rPr>
        <w:t xml:space="preserve">, </w:t>
      </w:r>
      <w:r>
        <w:rPr>
          <w:rFonts w:ascii="Century Gothic" w:hAnsi="Century Gothic" w:cs="Arial"/>
          <w:sz w:val="20"/>
          <w:szCs w:val="20"/>
        </w:rPr>
        <w:t>NASA GSFC</w:t>
      </w:r>
      <w:r w:rsidR="00916AAB" w:rsidRPr="00FC670A">
        <w:rPr>
          <w:rFonts w:ascii="Century Gothic" w:hAnsi="Century Gothic" w:cs="Arial"/>
          <w:sz w:val="20"/>
          <w:szCs w:val="20"/>
        </w:rPr>
        <w:t xml:space="preserve"> (Science Advisor)</w:t>
      </w:r>
    </w:p>
    <w:p w14:paraId="74093909" w14:textId="10183F36" w:rsidR="006E2A1C" w:rsidRPr="00FC670A" w:rsidRDefault="008434F3" w:rsidP="00E578D6">
      <w:pPr>
        <w:spacing w:after="0" w:line="240" w:lineRule="auto"/>
        <w:jc w:val="center"/>
        <w:rPr>
          <w:rFonts w:ascii="Century Gothic" w:hAnsi="Century Gothic" w:cs="Arial"/>
          <w:sz w:val="20"/>
          <w:szCs w:val="20"/>
        </w:rPr>
      </w:pPr>
      <w:r>
        <w:rPr>
          <w:rFonts w:ascii="Century Gothic" w:hAnsi="Century Gothic" w:cs="Arial"/>
          <w:sz w:val="20"/>
          <w:szCs w:val="20"/>
        </w:rPr>
        <w:t>Dr. Pawan Gupta, GESTAR/USRA</w:t>
      </w:r>
      <w:r w:rsidR="00916AAB" w:rsidRPr="00FC670A">
        <w:rPr>
          <w:rFonts w:ascii="Century Gothic" w:hAnsi="Century Gothic" w:cs="Arial"/>
          <w:sz w:val="20"/>
          <w:szCs w:val="20"/>
        </w:rPr>
        <w:t>,</w:t>
      </w:r>
      <w:r>
        <w:rPr>
          <w:rFonts w:ascii="Century Gothic" w:hAnsi="Century Gothic" w:cs="Arial"/>
          <w:sz w:val="20"/>
          <w:szCs w:val="20"/>
        </w:rPr>
        <w:t xml:space="preserve"> NASA GSFC </w:t>
      </w:r>
      <w:r w:rsidR="00916AAB" w:rsidRPr="00FC670A">
        <w:rPr>
          <w:rFonts w:ascii="Century Gothic" w:hAnsi="Century Gothic" w:cs="Arial"/>
          <w:sz w:val="20"/>
          <w:szCs w:val="20"/>
        </w:rPr>
        <w:t>(Science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0721E94" w14:textId="5EF123B3" w:rsidR="00D3013B" w:rsidRPr="005E3C91" w:rsidRDefault="005E3C91" w:rsidP="009F7DA4">
      <w:pPr>
        <w:spacing w:line="240" w:lineRule="auto"/>
        <w:rPr>
          <w:rFonts w:ascii="Century Gothic" w:eastAsia="Times New Roman" w:hAnsi="Century Gothic" w:cs="Times New Roman"/>
        </w:rPr>
      </w:pPr>
      <w:r w:rsidRPr="005E3C91">
        <w:rPr>
          <w:rFonts w:ascii="Century Gothic" w:eastAsia="Times New Roman" w:hAnsi="Century Gothic" w:cs="Times New Roman"/>
          <w:color w:val="000000"/>
        </w:rPr>
        <w:t xml:space="preserve">The Outer Continental Shelf (OCS) of the Gulf of Mexico houses over 3,000 offshore oil and gas production facilities. These facilities emit criteria pollutants that are known to have both human health and environmental impacts. The Bureau of Ocean Energy Management (BOEM) is tasked with monitoring the onshore impacts of these emissions under federal regulations. Current practice requires that facility operators collect monthly emissions inventory </w:t>
      </w:r>
      <w:r w:rsidR="009F7DA4" w:rsidRPr="005E3C91">
        <w:rPr>
          <w:rFonts w:ascii="Century Gothic" w:eastAsia="Times New Roman" w:hAnsi="Century Gothic" w:cs="Times New Roman"/>
          <w:color w:val="000000"/>
        </w:rPr>
        <w:t>data that</w:t>
      </w:r>
      <w:r w:rsidRPr="005E3C91">
        <w:rPr>
          <w:rFonts w:ascii="Century Gothic" w:eastAsia="Times New Roman" w:hAnsi="Century Gothic" w:cs="Times New Roman"/>
          <w:color w:val="000000"/>
        </w:rPr>
        <w:t xml:space="preserve"> is used to model air quality. NASA Earth observations were utilized to a produce long-term, regional study in the Gulf of Mexico to monitor changes in air quality. Terra Moderate Resolution Imaging Spectroradiometer (MODIS) and Aura Ozone Monitoring Instrument (OMI) data were used to create emissions profiles for PM</w:t>
      </w:r>
      <w:r w:rsidRPr="005E3C91">
        <w:rPr>
          <w:rFonts w:ascii="Century Gothic" w:eastAsia="Times New Roman" w:hAnsi="Century Gothic" w:cs="Times New Roman"/>
          <w:color w:val="000000"/>
          <w:vertAlign w:val="subscript"/>
        </w:rPr>
        <w:t>2.5</w:t>
      </w:r>
      <w:r w:rsidRPr="005E3C91">
        <w:rPr>
          <w:rFonts w:ascii="Century Gothic" w:eastAsia="Times New Roman" w:hAnsi="Century Gothic" w:cs="Times New Roman"/>
          <w:color w:val="000000"/>
        </w:rPr>
        <w:t xml:space="preserve"> and nitrogen dioxide for the Gulf of Mexico. Time series and </w:t>
      </w:r>
      <w:r w:rsidR="009F7DA4" w:rsidRPr="005E3C91">
        <w:rPr>
          <w:rFonts w:ascii="Century Gothic" w:eastAsia="Times New Roman" w:hAnsi="Century Gothic" w:cs="Times New Roman"/>
          <w:color w:val="000000"/>
        </w:rPr>
        <w:t>time-averaged</w:t>
      </w:r>
      <w:r w:rsidRPr="005E3C91">
        <w:rPr>
          <w:rFonts w:ascii="Century Gothic" w:eastAsia="Times New Roman" w:hAnsi="Century Gothic" w:cs="Times New Roman"/>
          <w:color w:val="000000"/>
        </w:rPr>
        <w:t xml:space="preserve"> maps were created to illustrate emissions over the 2000-2015 timeframe. Lastly, satellite data were extracted and correlated with data provided by BOEM’s platform sites to identify areas where emissions levels exceeded average </w:t>
      </w:r>
      <w:r w:rsidR="009F7DA4" w:rsidRPr="005E3C91">
        <w:rPr>
          <w:rFonts w:ascii="Century Gothic" w:eastAsia="Times New Roman" w:hAnsi="Century Gothic" w:cs="Times New Roman"/>
          <w:color w:val="000000"/>
        </w:rPr>
        <w:t xml:space="preserve">annual thresholds. </w:t>
      </w:r>
      <w:r w:rsidRPr="005E3C91">
        <w:rPr>
          <w:rFonts w:ascii="Century Gothic" w:eastAsia="Times New Roman" w:hAnsi="Century Gothic" w:cs="Times New Roman"/>
          <w:color w:val="000000"/>
        </w:rPr>
        <w:t>The project methodology allows BOEM to incorporate satellite data for monitoring atmospheric plumes associated with offshore drilling by oil and natural gas platforms to address future environmental concerns in the Gulf of Mexico.</w:t>
      </w: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2BF2EDDE" w:rsidR="002C4C2E" w:rsidRPr="00494746" w:rsidRDefault="008434F3" w:rsidP="008434F3">
      <w:pPr>
        <w:spacing w:after="0" w:line="240" w:lineRule="auto"/>
        <w:rPr>
          <w:rFonts w:ascii="Century Gothic" w:hAnsi="Century Gothic" w:cs="Arial"/>
        </w:rPr>
      </w:pPr>
      <w:r>
        <w:rPr>
          <w:rFonts w:ascii="Century Gothic" w:hAnsi="Century Gothic" w:cs="Arial"/>
        </w:rPr>
        <w:t xml:space="preserve">Remote Sensing, Gulf of Mexico, Air Quality, Particulate Matter, </w:t>
      </w:r>
      <w:r w:rsidR="00E4344B">
        <w:rPr>
          <w:rFonts w:ascii="Century Gothic" w:hAnsi="Century Gothic" w:cs="Arial"/>
        </w:rPr>
        <w:t>Nitroge</w:t>
      </w:r>
      <w:r w:rsidR="005E3C91">
        <w:rPr>
          <w:rFonts w:ascii="Century Gothic" w:hAnsi="Century Gothic" w:cs="Arial"/>
        </w:rPr>
        <w:t>n Dioxide,</w:t>
      </w:r>
      <w:r>
        <w:rPr>
          <w:rFonts w:ascii="Century Gothic" w:hAnsi="Century Gothic" w:cs="Arial"/>
        </w:rPr>
        <w:t xml:space="preserve"> MODIS, OMI</w:t>
      </w:r>
    </w:p>
    <w:p w14:paraId="2FB6D409" w14:textId="77777777" w:rsidR="00FB5846" w:rsidRPr="00B265D9" w:rsidRDefault="008B7071" w:rsidP="00D3013B">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7BF749E2" w14:textId="65FDDE1A" w:rsidR="00CB589A" w:rsidRPr="00CB589A" w:rsidRDefault="00CB589A" w:rsidP="00CB589A">
      <w:pPr>
        <w:spacing w:after="0" w:line="240" w:lineRule="auto"/>
        <w:rPr>
          <w:rFonts w:ascii="Century Gothic" w:eastAsia="Times New Roman" w:hAnsi="Century Gothic" w:cs="Times New Roman"/>
          <w:b/>
        </w:rPr>
      </w:pPr>
      <w:r w:rsidRPr="00CB589A">
        <w:rPr>
          <w:rFonts w:ascii="Century Gothic" w:eastAsia="Times New Roman" w:hAnsi="Century Gothic" w:cs="Times New Roman"/>
          <w:b/>
          <w:color w:val="000000"/>
        </w:rPr>
        <w:t>Background</w:t>
      </w:r>
    </w:p>
    <w:p w14:paraId="21A16A21" w14:textId="77777777"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Aerosols and trace gas emissions are primarily responsible for polluting air quality within the lower troposphere of Earth. Aerosols, also known as particulate matter (PM), are collections of particles within air or a gas as defined by the United States National Aeronautics and Space Administration (NASA, 1996). These aerosols are produced by a variety of activities such as dust blowing off of desert areas, salt evaporites, volcanic eruptions, and through anthropogenic burning of fossil fuels and forested areas (Kaufman et al., 2002; NASA, 1996). The net effect of aerosols is to cool the Earth’s surface by reflecting solar radiation and changing cloud properties (Allen, 1996; Kaufman et al., 2002). Such cooling occurs on a regional basis due to the short lifetime of particulate matter settling and trace gases recombining within the lower troposphere to form secondary particulate matter (Kaufman et al., 2002). Particulate matter is further classified by the size of the particle, with PM</w:t>
      </w:r>
      <w:r w:rsidRPr="005E3C91">
        <w:rPr>
          <w:rFonts w:ascii="Century Gothic" w:hAnsi="Century Gothic" w:cs="Times New Roman"/>
          <w:color w:val="000000"/>
          <w:vertAlign w:val="subscript"/>
        </w:rPr>
        <w:t>10</w:t>
      </w:r>
      <w:r w:rsidRPr="005E3C91">
        <w:rPr>
          <w:rFonts w:ascii="Century Gothic" w:hAnsi="Century Gothic" w:cs="Times New Roman"/>
          <w:color w:val="000000"/>
        </w:rPr>
        <w:t xml:space="preserve"> indicating the mass concentration of particles of size less than 10 micrometers and PM</w:t>
      </w:r>
      <w:r w:rsidRPr="005E3C91">
        <w:rPr>
          <w:rFonts w:ascii="Century Gothic" w:hAnsi="Century Gothic" w:cs="Times New Roman"/>
          <w:color w:val="000000"/>
          <w:vertAlign w:val="subscript"/>
        </w:rPr>
        <w:t>2.5</w:t>
      </w:r>
      <w:r w:rsidRPr="005E3C91">
        <w:rPr>
          <w:rFonts w:ascii="Century Gothic" w:hAnsi="Century Gothic" w:cs="Times New Roman"/>
          <w:color w:val="000000"/>
        </w:rPr>
        <w:t xml:space="preserve"> indicating the mass concentration of particles of size less than 2.5 micrometers. Anthropogenic aerosols emitted from urban and industrial regional pollution are a source of large concentrations of PM</w:t>
      </w:r>
      <w:r w:rsidRPr="005E3C91">
        <w:rPr>
          <w:rFonts w:ascii="Century Gothic" w:hAnsi="Century Gothic" w:cs="Times New Roman"/>
          <w:color w:val="000000"/>
          <w:vertAlign w:val="subscript"/>
        </w:rPr>
        <w:t>2.5</w:t>
      </w:r>
      <w:r w:rsidRPr="005E3C91">
        <w:rPr>
          <w:rFonts w:ascii="Century Gothic" w:hAnsi="Century Gothic" w:cs="Times New Roman"/>
          <w:color w:val="000000"/>
        </w:rPr>
        <w:t>, or “fine”, aerosols (Kaufman et al., 2002; Shepherd, 2004). Particulate matter air pollution can have negative cardiovascular and respiratory health effects along with environmental impacts (Anderson et al., 2012; Shepherd, 2004).</w:t>
      </w:r>
    </w:p>
    <w:p w14:paraId="5AC7932D" w14:textId="77777777" w:rsidR="005E3C91" w:rsidRPr="005E3C91" w:rsidRDefault="005E3C91" w:rsidP="005E3C91">
      <w:pPr>
        <w:pStyle w:val="NormalWeb"/>
        <w:spacing w:before="0" w:beforeAutospacing="0" w:after="0" w:afterAutospacing="0"/>
        <w:rPr>
          <w:rFonts w:ascii="Century Gothic" w:eastAsiaTheme="minorEastAsia" w:hAnsi="Century Gothic"/>
          <w:sz w:val="22"/>
          <w:szCs w:val="22"/>
        </w:rPr>
      </w:pPr>
      <w:r w:rsidRPr="005E3C91">
        <w:rPr>
          <w:rFonts w:ascii="Century Gothic" w:hAnsi="Century Gothic"/>
          <w:sz w:val="22"/>
          <w:szCs w:val="22"/>
        </w:rPr>
        <w:br/>
      </w:r>
      <w:r w:rsidRPr="005E3C91">
        <w:rPr>
          <w:rFonts w:ascii="Century Gothic" w:hAnsi="Century Gothic"/>
          <w:color w:val="000000"/>
          <w:sz w:val="22"/>
          <w:szCs w:val="22"/>
        </w:rPr>
        <w:t>Trace gases such as nitrogen dioxide (NO</w:t>
      </w:r>
      <w:r w:rsidRPr="005E3C91">
        <w:rPr>
          <w:rFonts w:ascii="Century Gothic" w:hAnsi="Century Gothic"/>
          <w:color w:val="000000"/>
          <w:sz w:val="22"/>
          <w:szCs w:val="22"/>
          <w:vertAlign w:val="subscript"/>
        </w:rPr>
        <w:t>2</w:t>
      </w:r>
      <w:r w:rsidRPr="005E3C91">
        <w:rPr>
          <w:rFonts w:ascii="Century Gothic" w:hAnsi="Century Gothic"/>
          <w:color w:val="000000"/>
          <w:sz w:val="22"/>
          <w:szCs w:val="22"/>
        </w:rPr>
        <w:t xml:space="preserve">) are produced primarily by anthropogenic sources such as combustion engines, coal burning electrical utilities, and industrial </w:t>
      </w:r>
      <w:r w:rsidRPr="005E3C91">
        <w:rPr>
          <w:rFonts w:ascii="Century Gothic" w:hAnsi="Century Gothic"/>
          <w:color w:val="000000"/>
          <w:sz w:val="22"/>
          <w:szCs w:val="22"/>
        </w:rPr>
        <w:lastRenderedPageBreak/>
        <w:t xml:space="preserve">boilers (United </w:t>
      </w:r>
      <w:r w:rsidRPr="005E3C91">
        <w:rPr>
          <w:rFonts w:ascii="Century Gothic" w:eastAsiaTheme="minorEastAsia" w:hAnsi="Century Gothic"/>
          <w:color w:val="000000"/>
          <w:sz w:val="22"/>
          <w:szCs w:val="22"/>
        </w:rPr>
        <w:t>States Environmental Protection Agency, 1995; Wisconsin Department of Health Services, 2015).  The emissions of trace gases contribute to air pollution as a primary source and as a secondary source when they react with other particulate matter in the troposphere, producing nitrate products (Shepherd, 2004). Table 1 (see Appendix) outlines air quality thresholds not to be exceeded for PM</w:t>
      </w:r>
      <w:r w:rsidRPr="005E3C91">
        <w:rPr>
          <w:rFonts w:ascii="Century Gothic" w:eastAsiaTheme="minorEastAsia" w:hAnsi="Century Gothic"/>
          <w:color w:val="000000"/>
          <w:sz w:val="22"/>
          <w:szCs w:val="22"/>
          <w:vertAlign w:val="subscript"/>
        </w:rPr>
        <w:t>2.5</w:t>
      </w:r>
      <w:r w:rsidRPr="005E3C91">
        <w:rPr>
          <w:rFonts w:ascii="Century Gothic" w:eastAsiaTheme="minorEastAsia" w:hAnsi="Century Gothic"/>
          <w:color w:val="000000"/>
          <w:sz w:val="22"/>
          <w:szCs w:val="22"/>
        </w:rPr>
        <w:t xml:space="preserve"> and NO</w:t>
      </w:r>
      <w:r w:rsidRPr="005E3C91">
        <w:rPr>
          <w:rFonts w:ascii="Century Gothic" w:eastAsiaTheme="minorEastAsia" w:hAnsi="Century Gothic"/>
          <w:color w:val="000000"/>
          <w:sz w:val="22"/>
          <w:szCs w:val="22"/>
          <w:vertAlign w:val="subscript"/>
        </w:rPr>
        <w:t>2</w:t>
      </w:r>
      <w:r w:rsidRPr="005E3C91">
        <w:rPr>
          <w:rFonts w:ascii="Century Gothic" w:eastAsiaTheme="minorEastAsia" w:hAnsi="Century Gothic"/>
          <w:color w:val="000000"/>
          <w:sz w:val="22"/>
          <w:szCs w:val="22"/>
        </w:rPr>
        <w:t xml:space="preserve"> as determined by the United States Environmental Protection Agency (Protection of Environment, 2011).</w:t>
      </w:r>
      <w:r w:rsidRPr="005E3C91">
        <w:rPr>
          <w:rFonts w:ascii="Century Gothic" w:eastAsiaTheme="minorEastAsia" w:hAnsi="Century Gothic" w:cs="Arial"/>
          <w:color w:val="000000"/>
          <w:sz w:val="22"/>
          <w:szCs w:val="22"/>
        </w:rPr>
        <w:t xml:space="preserve"> </w:t>
      </w:r>
    </w:p>
    <w:p w14:paraId="487144B0" w14:textId="290429FB" w:rsidR="005E3C91" w:rsidRPr="00FB0F63" w:rsidRDefault="005E3C91" w:rsidP="005E3C91">
      <w:pPr>
        <w:spacing w:after="0" w:line="240" w:lineRule="auto"/>
        <w:rPr>
          <w:rFonts w:ascii="Century Gothic" w:eastAsia="Times New Roman" w:hAnsi="Century Gothic" w:cs="Times New Roman"/>
        </w:rPr>
      </w:pPr>
      <w:r w:rsidRPr="005E3C91">
        <w:rPr>
          <w:rFonts w:ascii="Century Gothic" w:eastAsia="Times New Roman" w:hAnsi="Century Gothic" w:cs="Times New Roman"/>
        </w:rPr>
        <w:br/>
      </w:r>
      <w:r w:rsidRPr="005E3C91">
        <w:rPr>
          <w:rFonts w:ascii="Century Gothic" w:eastAsia="Times New Roman" w:hAnsi="Century Gothic" w:cs="Times New Roman"/>
          <w:color w:val="000000"/>
        </w:rPr>
        <w:t>As of 2009, Hoff and Christopher found that no satellite measurements had been used to quantitatively address the EPA’s National Ambient Air Quality Standards (NAAQS). Many of NASA’s Earth observing satellites have instruments capable of measuring atmospheric aerosol and greenhouse gas concentrations. These satellite instruments include the Ozone Monitoring Instrument (OMI), Moderate Resolution Imaging Spectroradiometer (MODIS), Cloud-Aerosol Lidar with Orthogonal Polarization (CALIOP), Ozone Mapping Profiler Suite (OMPS), and Measurements of Pollution In The Troposphere (MOPITT). Because utilizing satellite data requires technical skills involved with accessing, processing, and interpreting satellite data, it was not often used by end-users for air quality applications, who relied on point data sources in determining pollution products (Duncan et al., 2014). However, satellite data has the benefit of regional to global coverage, enabling end-users to analyze larger scale patterns present in air quality assessment (Lamsal et al., 2015).</w:t>
      </w:r>
    </w:p>
    <w:p w14:paraId="65F76D98" w14:textId="77777777" w:rsidR="00CB589A" w:rsidRDefault="00CB589A" w:rsidP="00CB589A">
      <w:pPr>
        <w:spacing w:after="0" w:line="240" w:lineRule="auto"/>
        <w:rPr>
          <w:rFonts w:ascii="Century Gothic" w:eastAsia="Times New Roman" w:hAnsi="Century Gothic" w:cs="Times New Roman"/>
          <w:color w:val="000000"/>
        </w:rPr>
      </w:pPr>
    </w:p>
    <w:p w14:paraId="584DBF65" w14:textId="12279785" w:rsidR="00CB589A" w:rsidRPr="00CB589A" w:rsidRDefault="00CB589A" w:rsidP="00CB589A">
      <w:pPr>
        <w:spacing w:after="0" w:line="240" w:lineRule="auto"/>
        <w:rPr>
          <w:rFonts w:ascii="Century Gothic" w:eastAsia="Times New Roman" w:hAnsi="Century Gothic" w:cs="Times New Roman"/>
        </w:rPr>
      </w:pPr>
      <w:r w:rsidRPr="00CB589A">
        <w:rPr>
          <w:rFonts w:ascii="Century Gothic" w:eastAsia="Times New Roman" w:hAnsi="Century Gothic" w:cs="Times New Roman"/>
          <w:b/>
          <w:bCs/>
          <w:color w:val="000000"/>
        </w:rPr>
        <w:t>Project Partners and Objectives</w:t>
      </w:r>
      <w:r w:rsidRPr="00CB589A">
        <w:rPr>
          <w:rFonts w:ascii="Century Gothic" w:eastAsia="Times New Roman" w:hAnsi="Century Gothic" w:cs="Times New Roman"/>
          <w:color w:val="000000"/>
        </w:rPr>
        <w:t xml:space="preserve"> </w:t>
      </w:r>
    </w:p>
    <w:p w14:paraId="27964D95" w14:textId="77777777"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 xml:space="preserve">The Bureau of Ocean Energy Management (BOEM) assesses the potential onshore air quality impacts from petroleum resources in the Outer Continental Shelf of the Gulf of Mexico (GOM). To make a decision regarding air quality, offshore facility operators must include air emission information when they submit exploratory, development, and production plans. BOEM applies laws presented in the 30 Code for Federal Regulations 550.302 through 304, and generally follows the NAAQS defined by U.S. EPA. While BOEM is able to monitor air quality through their monthly inventories of platform and non-platform emissions, this type of data is cost prohibitive in producing long-term, regionally scaled studies. Satellite data will allow BOEM to track pollutant plumes, determine exceptional events, and evaluate air quality models based on emissions inventory data. </w:t>
      </w:r>
    </w:p>
    <w:p w14:paraId="4C2B1F06" w14:textId="77777777" w:rsidR="005E3C91" w:rsidRPr="005E3C91" w:rsidRDefault="005E3C91" w:rsidP="005E3C91">
      <w:pPr>
        <w:spacing w:after="0" w:line="240" w:lineRule="auto"/>
        <w:rPr>
          <w:rFonts w:ascii="Century Gothic" w:eastAsia="Times New Roman" w:hAnsi="Century Gothic" w:cs="Times New Roman"/>
        </w:rPr>
      </w:pPr>
      <w:r w:rsidRPr="005E3C91">
        <w:rPr>
          <w:rFonts w:ascii="Century Gothic" w:eastAsia="Times New Roman" w:hAnsi="Century Gothic" w:cs="Times New Roman"/>
        </w:rPr>
        <w:br/>
      </w:r>
      <w:r w:rsidRPr="005E3C91">
        <w:rPr>
          <w:rFonts w:ascii="Century Gothic" w:eastAsia="Times New Roman" w:hAnsi="Century Gothic" w:cs="Times New Roman"/>
          <w:color w:val="000000"/>
        </w:rPr>
        <w:t>The objectives of this project were to map and analyze airborne pollutant concentrations of PM</w:t>
      </w:r>
      <w:r w:rsidRPr="005E3C91">
        <w:rPr>
          <w:rFonts w:ascii="Century Gothic" w:eastAsia="Times New Roman" w:hAnsi="Century Gothic" w:cs="Times New Roman"/>
          <w:color w:val="000000"/>
          <w:vertAlign w:val="subscript"/>
        </w:rPr>
        <w:t>2.5</w:t>
      </w:r>
      <w:r w:rsidRPr="005E3C91">
        <w:rPr>
          <w:rFonts w:ascii="Century Gothic" w:eastAsia="Times New Roman" w:hAnsi="Century Gothic" w:cs="Times New Roman"/>
          <w:color w:val="000000"/>
        </w:rPr>
        <w:t xml:space="preserve"> aerosol and nitrogen dioxide (NO</w:t>
      </w:r>
      <w:r w:rsidRPr="005E3C91">
        <w:rPr>
          <w:rFonts w:ascii="Century Gothic" w:eastAsia="Times New Roman" w:hAnsi="Century Gothic" w:cs="Times New Roman"/>
          <w:color w:val="000000"/>
          <w:vertAlign w:val="subscript"/>
        </w:rPr>
        <w:t>2</w:t>
      </w:r>
      <w:r w:rsidRPr="005E3C91">
        <w:rPr>
          <w:rFonts w:ascii="Century Gothic" w:eastAsia="Times New Roman" w:hAnsi="Century Gothic" w:cs="Times New Roman"/>
          <w:color w:val="000000"/>
        </w:rPr>
        <w:t xml:space="preserve">) using remotely sensed data from NASA’s Terra MODIS and Aura OMI satellite instruments. Pollutant data was compared to </w:t>
      </w:r>
      <w:r w:rsidRPr="005E3C91">
        <w:rPr>
          <w:rFonts w:ascii="Century Gothic" w:eastAsia="Times New Roman" w:hAnsi="Century Gothic" w:cs="Times New Roman"/>
          <w:i/>
          <w:iCs/>
          <w:color w:val="000000"/>
        </w:rPr>
        <w:t>in situ</w:t>
      </w:r>
      <w:r w:rsidRPr="005E3C91">
        <w:rPr>
          <w:rFonts w:ascii="Century Gothic" w:eastAsia="Times New Roman" w:hAnsi="Century Gothic" w:cs="Times New Roman"/>
          <w:color w:val="000000"/>
        </w:rPr>
        <w:t xml:space="preserve"> data collected by the Bureau of Ocean Energy Management and the EPA to determine if correlations existed between these pollutants and primary emission sources.</w:t>
      </w:r>
    </w:p>
    <w:p w14:paraId="42E47CF2" w14:textId="77777777" w:rsidR="00CB589A" w:rsidRPr="00CB589A" w:rsidRDefault="00CB589A" w:rsidP="00CB589A">
      <w:pPr>
        <w:spacing w:after="0" w:line="240" w:lineRule="auto"/>
        <w:rPr>
          <w:rFonts w:ascii="Century Gothic" w:eastAsia="Times New Roman" w:hAnsi="Century Gothic" w:cs="Times New Roman"/>
        </w:rPr>
      </w:pPr>
    </w:p>
    <w:p w14:paraId="529A15AC" w14:textId="13EC7CCC" w:rsidR="00CB589A" w:rsidRPr="00CB589A" w:rsidRDefault="00CB589A" w:rsidP="00CB589A">
      <w:pPr>
        <w:spacing w:after="0" w:line="240" w:lineRule="auto"/>
        <w:rPr>
          <w:rFonts w:ascii="Century Gothic" w:eastAsia="Times New Roman" w:hAnsi="Century Gothic" w:cs="Times New Roman"/>
        </w:rPr>
      </w:pPr>
      <w:r w:rsidRPr="00CB589A">
        <w:rPr>
          <w:rFonts w:ascii="Century Gothic" w:eastAsia="Times New Roman" w:hAnsi="Century Gothic" w:cs="Times New Roman"/>
          <w:b/>
          <w:bCs/>
          <w:color w:val="000000"/>
        </w:rPr>
        <w:t>Study Area and Study Period</w:t>
      </w:r>
      <w:r w:rsidRPr="00CB589A">
        <w:rPr>
          <w:rFonts w:ascii="Century Gothic" w:eastAsia="Times New Roman" w:hAnsi="Century Gothic" w:cs="Times New Roman"/>
          <w:color w:val="000000"/>
        </w:rPr>
        <w:t xml:space="preserve"> </w:t>
      </w:r>
    </w:p>
    <w:p w14:paraId="258C3489" w14:textId="0DEBAF10" w:rsidR="005E3C91" w:rsidRPr="005E3C91" w:rsidRDefault="005E3C91" w:rsidP="005E3C91">
      <w:pPr>
        <w:spacing w:after="0" w:line="240" w:lineRule="auto"/>
        <w:rPr>
          <w:rFonts w:ascii="Century Gothic" w:hAnsi="Century Gothic" w:cs="Times New Roman"/>
          <w:sz w:val="20"/>
          <w:szCs w:val="20"/>
        </w:rPr>
      </w:pPr>
      <w:r w:rsidRPr="005E3C91">
        <w:rPr>
          <w:rFonts w:ascii="Century Gothic" w:hAnsi="Century Gothic" w:cs="Times New Roman"/>
          <w:color w:val="000000"/>
        </w:rPr>
        <w:t xml:space="preserve">The study area for this project encompasses the Outer Continental Shelf (OCS) of the Gulf of Mexico (GOM) including onshore areas of Texas, Louisiana, Mississippi, and Alabama. The bounding coordinates for the study area (-100.0, 24.0, -84.0, 32.0) include all active oil and gas facilities in the GOM under BOEM monitoring along with onshore areas with EPA monitoring stations. Figure 1 displays BOEM monitored facilities within the GOM.  BOEM </w:t>
      </w:r>
      <w:r w:rsidRPr="005E3C91">
        <w:rPr>
          <w:rFonts w:ascii="Century Gothic" w:eastAsia="Times New Roman" w:hAnsi="Century Gothic" w:cs="Times New Roman"/>
          <w:color w:val="000000"/>
        </w:rPr>
        <w:t xml:space="preserve">created a baseline emissions inventory in 2000 and produced subsequent </w:t>
      </w:r>
      <w:r w:rsidRPr="005E3C91">
        <w:rPr>
          <w:rFonts w:ascii="Century Gothic" w:eastAsia="Times New Roman" w:hAnsi="Century Gothic" w:cs="Times New Roman"/>
          <w:color w:val="000000"/>
        </w:rPr>
        <w:lastRenderedPageBreak/>
        <w:t xml:space="preserve">inventories in the years 2005, 2008, and 2011. Satellite data provides coverage and long-term record of metrics related to air quality throughout the GOM. This study produced a monthly and annual regional analysis for a </w:t>
      </w:r>
      <w:r w:rsidR="009F7DA4" w:rsidRPr="005E3C91">
        <w:rPr>
          <w:rFonts w:ascii="Century Gothic" w:eastAsia="Times New Roman" w:hAnsi="Century Gothic" w:cs="Times New Roman"/>
          <w:color w:val="000000"/>
        </w:rPr>
        <w:t>fifteen-year</w:t>
      </w:r>
      <w:r w:rsidRPr="005E3C91">
        <w:rPr>
          <w:rFonts w:ascii="Century Gothic" w:eastAsia="Times New Roman" w:hAnsi="Century Gothic" w:cs="Times New Roman"/>
          <w:color w:val="000000"/>
        </w:rPr>
        <w:t xml:space="preserve"> period from 2000 to 2015, focusing on the years corresponding with BOEM’s previous emissions inventories.</w:t>
      </w:r>
    </w:p>
    <w:p w14:paraId="6301C725" w14:textId="2FD934BF" w:rsidR="0027003E" w:rsidRDefault="0027003E" w:rsidP="00E03B8E">
      <w:pPr>
        <w:spacing w:after="0" w:line="240" w:lineRule="auto"/>
        <w:rPr>
          <w:noProof/>
        </w:rPr>
      </w:pPr>
    </w:p>
    <w:p w14:paraId="1F4D17FC" w14:textId="58CBB762" w:rsidR="005E3C91" w:rsidRPr="005E3C91" w:rsidRDefault="005E3C91" w:rsidP="005E3C91">
      <w:pPr>
        <w:spacing w:after="0" w:line="240" w:lineRule="auto"/>
        <w:jc w:val="center"/>
        <w:rPr>
          <w:rFonts w:ascii="Times" w:eastAsia="Times New Roman" w:hAnsi="Times" w:cs="Times New Roman"/>
          <w:sz w:val="20"/>
          <w:szCs w:val="20"/>
        </w:rPr>
      </w:pPr>
      <w:r>
        <w:rPr>
          <w:rFonts w:ascii="Questrial" w:eastAsia="Times New Roman" w:hAnsi="Questrial" w:cs="Times New Roman"/>
          <w:noProof/>
          <w:color w:val="000000"/>
        </w:rPr>
        <w:drawing>
          <wp:inline distT="0" distB="0" distL="0" distR="0" wp14:anchorId="3F684C8A" wp14:editId="49754524">
            <wp:extent cx="5022977" cy="3884675"/>
            <wp:effectExtent l="0" t="0" r="6350" b="1905"/>
            <wp:docPr id="5" name="Picture 1" descr="https://lh6.googleusercontent.com/Lif1pejNMHPgfReJLFhxip81NBfKCAo7GOHoIqNmPdgJu_8POo16etyNZF8z4L8_Nvmt4TTQav3s0Sxfq5NfhvQGyUv6oF2C-LhLvwD-5CZ7kiS78MxYwikiHY9kOfzaw4BcCs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if1pejNMHPgfReJLFhxip81NBfKCAo7GOHoIqNmPdgJu_8POo16etyNZF8z4L8_Nvmt4TTQav3s0Sxfq5NfhvQGyUv6oF2C-LhLvwD-5CZ7kiS78MxYwikiHY9kOfzaw4BcCsK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977" cy="3884675"/>
                    </a:xfrm>
                    <a:prstGeom prst="rect">
                      <a:avLst/>
                    </a:prstGeom>
                    <a:noFill/>
                    <a:ln>
                      <a:noFill/>
                    </a:ln>
                  </pic:spPr>
                </pic:pic>
              </a:graphicData>
            </a:graphic>
          </wp:inline>
        </w:drawing>
      </w:r>
    </w:p>
    <w:p w14:paraId="657F98CF" w14:textId="4CEED280" w:rsidR="00D71CBB" w:rsidRPr="00D71CBB" w:rsidRDefault="005E3C91" w:rsidP="00E03B8E">
      <w:pPr>
        <w:spacing w:after="0" w:line="240" w:lineRule="auto"/>
        <w:rPr>
          <w:rFonts w:ascii="Century Gothic" w:hAnsi="Century Gothic"/>
        </w:rPr>
      </w:pPr>
      <w:r>
        <w:rPr>
          <w:rFonts w:ascii="Century Gothic" w:hAnsi="Century Gothic"/>
          <w:color w:val="000000"/>
        </w:rPr>
        <w:t>F</w:t>
      </w:r>
      <w:r w:rsidR="00D71CBB" w:rsidRPr="00D71CBB">
        <w:rPr>
          <w:rFonts w:ascii="Century Gothic" w:hAnsi="Century Gothic"/>
          <w:color w:val="000000"/>
        </w:rPr>
        <w:t>igure 1. Study area of the Outer Continental Shelf of the Gulf of Mexico</w:t>
      </w:r>
    </w:p>
    <w:p w14:paraId="6B1626FF" w14:textId="77777777" w:rsidR="00D71CBB" w:rsidRDefault="00D71CBB" w:rsidP="00E03B8E">
      <w:pPr>
        <w:spacing w:after="0" w:line="240" w:lineRule="auto"/>
        <w:rPr>
          <w:rFonts w:ascii="Century Gothic" w:hAnsi="Century Gothic"/>
        </w:rPr>
      </w:pPr>
    </w:p>
    <w:p w14:paraId="016C6729" w14:textId="77777777" w:rsidR="00CB589A" w:rsidRDefault="00CB589A" w:rsidP="00CB589A">
      <w:pPr>
        <w:spacing w:after="0" w:line="240" w:lineRule="auto"/>
        <w:rPr>
          <w:rFonts w:ascii="Century Gothic" w:eastAsia="Times New Roman" w:hAnsi="Century Gothic" w:cs="Times New Roman"/>
          <w:color w:val="000000"/>
        </w:rPr>
      </w:pPr>
      <w:r w:rsidRPr="00CB589A">
        <w:rPr>
          <w:rFonts w:ascii="Century Gothic" w:eastAsia="Times New Roman" w:hAnsi="Century Gothic" w:cs="Times New Roman"/>
          <w:b/>
          <w:bCs/>
          <w:color w:val="000000"/>
        </w:rPr>
        <w:t>National Application Addressed</w:t>
      </w:r>
      <w:r w:rsidRPr="00CB589A">
        <w:rPr>
          <w:rFonts w:ascii="Century Gothic" w:eastAsia="Times New Roman" w:hAnsi="Century Gothic" w:cs="Times New Roman"/>
          <w:color w:val="000000"/>
        </w:rPr>
        <w:t xml:space="preserve">: </w:t>
      </w:r>
    </w:p>
    <w:p w14:paraId="32EA614D" w14:textId="3F5E06AA" w:rsidR="005E3C91" w:rsidRPr="00CB589A" w:rsidRDefault="005E3C91" w:rsidP="00CB589A">
      <w:pPr>
        <w:spacing w:after="0" w:line="240" w:lineRule="auto"/>
        <w:rPr>
          <w:rFonts w:ascii="Century Gothic" w:eastAsia="Times New Roman" w:hAnsi="Century Gothic" w:cs="Times New Roman"/>
        </w:rPr>
      </w:pPr>
      <w:r w:rsidRPr="005E3C91">
        <w:rPr>
          <w:rFonts w:ascii="Century Gothic" w:eastAsia="Times New Roman" w:hAnsi="Century Gothic" w:cs="Times New Roman"/>
          <w:color w:val="000000"/>
        </w:rPr>
        <w:t>This project addressed the Health &amp; Air Quality NASA National Application Area. NASA Earth observations provided satellite retrievals of PM</w:t>
      </w:r>
      <w:r w:rsidRPr="005E3C91">
        <w:rPr>
          <w:rFonts w:ascii="Century Gothic" w:eastAsia="Times New Roman" w:hAnsi="Century Gothic" w:cs="Times New Roman"/>
          <w:color w:val="000000"/>
          <w:vertAlign w:val="subscript"/>
        </w:rPr>
        <w:t>2.5</w:t>
      </w:r>
      <w:r w:rsidRPr="005E3C91">
        <w:rPr>
          <w:rFonts w:ascii="Century Gothic" w:eastAsia="Times New Roman" w:hAnsi="Century Gothic" w:cs="Times New Roman"/>
          <w:color w:val="000000"/>
        </w:rPr>
        <w:t xml:space="preserve"> and NO</w:t>
      </w:r>
      <w:r w:rsidRPr="005E3C91">
        <w:rPr>
          <w:rFonts w:ascii="Century Gothic" w:eastAsia="Times New Roman" w:hAnsi="Century Gothic" w:cs="Times New Roman"/>
          <w:color w:val="000000"/>
          <w:vertAlign w:val="subscript"/>
        </w:rPr>
        <w:t>2</w:t>
      </w:r>
      <w:r w:rsidRPr="005E3C91">
        <w:rPr>
          <w:rFonts w:ascii="Century Gothic" w:eastAsia="Times New Roman" w:hAnsi="Century Gothic" w:cs="Times New Roman"/>
          <w:color w:val="000000"/>
        </w:rPr>
        <w:t xml:space="preserve"> emission concentrations for regional and long-term analysis over the Gulf of Mexico. Our end-users at BOEM can apply the methodology developed in this project to other criteria pollutants (e.g., CO, CH</w:t>
      </w:r>
      <w:r w:rsidRPr="005E3C91">
        <w:rPr>
          <w:rFonts w:ascii="Century Gothic" w:eastAsia="Times New Roman" w:hAnsi="Century Gothic" w:cs="Times New Roman"/>
          <w:color w:val="000000"/>
          <w:vertAlign w:val="subscript"/>
        </w:rPr>
        <w:t>4</w:t>
      </w:r>
      <w:r w:rsidRPr="005E3C91">
        <w:rPr>
          <w:rFonts w:ascii="Century Gothic" w:eastAsia="Times New Roman" w:hAnsi="Century Gothic" w:cs="Times New Roman"/>
          <w:color w:val="000000"/>
        </w:rPr>
        <w:t>, VOCs) measured by facility operators included in the Gulfwide Emissions Inventory reports.</w:t>
      </w:r>
    </w:p>
    <w:p w14:paraId="4EAB8422" w14:textId="754E4C78" w:rsidR="00E41324" w:rsidRPr="00B265D9" w:rsidRDefault="008B7071" w:rsidP="00D3013B">
      <w:pPr>
        <w:pStyle w:val="Heading1"/>
        <w:rPr>
          <w:rFonts w:ascii="Century Gothic" w:hAnsi="Century Gothic"/>
        </w:rPr>
      </w:pPr>
      <w:bookmarkStart w:id="2" w:name="_Toc334198726"/>
      <w:r>
        <w:rPr>
          <w:rFonts w:ascii="Century Gothic" w:hAnsi="Century Gothic"/>
        </w:rPr>
        <w:t xml:space="preserve">III. </w:t>
      </w:r>
      <w:r w:rsidR="00E41324" w:rsidRPr="00B265D9">
        <w:rPr>
          <w:rFonts w:ascii="Century Gothic" w:hAnsi="Century Gothic"/>
        </w:rPr>
        <w:t>Methodology</w:t>
      </w:r>
      <w:bookmarkEnd w:id="2"/>
    </w:p>
    <w:p w14:paraId="2D897054" w14:textId="77777777" w:rsidR="00CB589A" w:rsidRPr="00A36CA4" w:rsidRDefault="00CB589A" w:rsidP="00CB589A">
      <w:pPr>
        <w:spacing w:after="0" w:line="240" w:lineRule="auto"/>
        <w:rPr>
          <w:rFonts w:ascii="Century Gothic" w:eastAsia="Times New Roman" w:hAnsi="Century Gothic" w:cs="Times New Roman"/>
          <w:b/>
        </w:rPr>
      </w:pPr>
      <w:bookmarkStart w:id="3" w:name="_Toc334198727"/>
      <w:r w:rsidRPr="00A36CA4">
        <w:rPr>
          <w:rFonts w:ascii="Century Gothic" w:eastAsia="Times New Roman" w:hAnsi="Century Gothic" w:cs="Times New Roman"/>
          <w:b/>
          <w:iCs/>
          <w:color w:val="000000"/>
        </w:rPr>
        <w:t>Level 3 data</w:t>
      </w:r>
    </w:p>
    <w:p w14:paraId="3030FF70" w14:textId="77777777"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Level 3 (L3) satellite data is easy to analyze and can be used for regional air quality applications (Duncan et al., 2014). Geospatial Interactive Online Visualization and Analysis Infrastructure (GIOVANNI) was used to examine L3 data for aerosol optical depth and NO</w:t>
      </w:r>
      <w:r w:rsidRPr="005E3C91">
        <w:rPr>
          <w:rFonts w:ascii="Century Gothic" w:hAnsi="Century Gothic" w:cs="Times New Roman"/>
          <w:color w:val="000000"/>
          <w:vertAlign w:val="subscript"/>
        </w:rPr>
        <w:t>2</w:t>
      </w:r>
      <w:r w:rsidRPr="005E3C91">
        <w:rPr>
          <w:rFonts w:ascii="Century Gothic" w:hAnsi="Century Gothic" w:cs="Times New Roman"/>
          <w:color w:val="000000"/>
        </w:rPr>
        <w:t xml:space="preserve"> satellite retrievals for preliminary analysis. </w:t>
      </w:r>
    </w:p>
    <w:p w14:paraId="62C434F7" w14:textId="77777777" w:rsidR="005E3C91" w:rsidRPr="005E3C91" w:rsidRDefault="005E3C91" w:rsidP="005E3C91">
      <w:pPr>
        <w:spacing w:after="0" w:line="240" w:lineRule="auto"/>
        <w:rPr>
          <w:rFonts w:ascii="Century Gothic" w:eastAsia="Times New Roman" w:hAnsi="Century Gothic" w:cs="Times New Roman"/>
        </w:rPr>
      </w:pPr>
    </w:p>
    <w:p w14:paraId="63B7D26C" w14:textId="0255C831"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For determining ground-based PM</w:t>
      </w:r>
      <w:r w:rsidRPr="005E3C91">
        <w:rPr>
          <w:rFonts w:ascii="Century Gothic" w:hAnsi="Century Gothic" w:cs="Times New Roman"/>
          <w:color w:val="000000"/>
          <w:vertAlign w:val="subscript"/>
        </w:rPr>
        <w:t>2.5</w:t>
      </w:r>
      <w:r w:rsidRPr="005E3C91">
        <w:rPr>
          <w:rFonts w:ascii="Century Gothic" w:hAnsi="Century Gothic" w:cs="Times New Roman"/>
          <w:color w:val="000000"/>
        </w:rPr>
        <w:t xml:space="preserve">, Aerosol Optical Depth (AOD), or Aerosol Optical Thickness (AOT) is used as a proxy, which is available as a product in GIOVANNI for the </w:t>
      </w:r>
      <w:r w:rsidRPr="005E3C91">
        <w:rPr>
          <w:rFonts w:ascii="Century Gothic" w:hAnsi="Century Gothic" w:cs="Times New Roman"/>
          <w:color w:val="000000"/>
        </w:rPr>
        <w:lastRenderedPageBreak/>
        <w:t xml:space="preserve">Terra MODIS satellite instrument. Specifically, Terra MODIS data for AOD at 550 nm (Dark Target) with 1° spatial resolution were plotted. Data were available at a monthly temporal resolution from March 2000 - December 2015. AOD is a unitless </w:t>
      </w:r>
      <w:proofErr w:type="spellStart"/>
      <w:proofErr w:type="gramStart"/>
      <w:r w:rsidRPr="005E3C91">
        <w:rPr>
          <w:rFonts w:ascii="Century Gothic" w:hAnsi="Century Gothic" w:cs="Times New Roman"/>
          <w:color w:val="000000"/>
        </w:rPr>
        <w:t>quantity.GIOVANNI</w:t>
      </w:r>
      <w:proofErr w:type="spellEnd"/>
      <w:proofErr w:type="gramEnd"/>
      <w:r w:rsidRPr="005E3C91">
        <w:rPr>
          <w:rFonts w:ascii="Century Gothic" w:hAnsi="Century Gothic" w:cs="Times New Roman"/>
          <w:color w:val="000000"/>
        </w:rPr>
        <w:t xml:space="preserve"> was also used to visualize the AURA OMI Level 3 Global Gridded (0.25° latitude x 0.25° longitude) nitrogen dioxide data product. These data were available as NO</w:t>
      </w:r>
      <w:r w:rsidRPr="005E3C91">
        <w:rPr>
          <w:rFonts w:ascii="Century Gothic" w:hAnsi="Century Gothic" w:cs="Times New Roman"/>
          <w:color w:val="000000"/>
          <w:vertAlign w:val="subscript"/>
        </w:rPr>
        <w:t>2</w:t>
      </w:r>
      <w:r w:rsidRPr="005E3C91">
        <w:rPr>
          <w:rFonts w:ascii="Century Gothic" w:hAnsi="Century Gothic" w:cs="Times New Roman"/>
          <w:color w:val="000000"/>
        </w:rPr>
        <w:t xml:space="preserve"> Tropospheric Column (30% cloud screened) in molecules/cm</w:t>
      </w:r>
      <w:r w:rsidRPr="005E3C91">
        <w:rPr>
          <w:rFonts w:ascii="Century Gothic" w:hAnsi="Century Gothic" w:cs="Times New Roman"/>
          <w:color w:val="000000"/>
          <w:vertAlign w:val="superscript"/>
        </w:rPr>
        <w:t>2</w:t>
      </w:r>
      <w:r w:rsidRPr="005E3C91">
        <w:rPr>
          <w:rFonts w:ascii="Century Gothic" w:hAnsi="Century Gothic" w:cs="Times New Roman"/>
          <w:color w:val="000000"/>
        </w:rPr>
        <w:t xml:space="preserve">. Data were available at a daily temporal resolution from October 2004 - December 2015. </w:t>
      </w:r>
    </w:p>
    <w:p w14:paraId="1E10765E" w14:textId="77777777" w:rsidR="005E3C91" w:rsidRPr="005E3C91" w:rsidRDefault="005E3C91" w:rsidP="005E3C91">
      <w:pPr>
        <w:spacing w:after="0" w:line="240" w:lineRule="auto"/>
        <w:rPr>
          <w:rFonts w:ascii="Century Gothic" w:eastAsia="Times New Roman" w:hAnsi="Century Gothic" w:cs="Times New Roman"/>
        </w:rPr>
      </w:pPr>
    </w:p>
    <w:p w14:paraId="7899B4A9" w14:textId="77777777"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Time averaged maps and area-averaged time series were created annually and for the entire study period, as data were available. These allowed us to easily identify time frames in which levels exceeded average pollutant concentration. With the timeframe parameter known, GIOVANNI could then be queried to display the area in which the gas level exceeded average thresholds to provide the coordinates needed for a Level 2 data query.</w:t>
      </w:r>
    </w:p>
    <w:p w14:paraId="3BB4A04B" w14:textId="77777777" w:rsidR="005E3C91" w:rsidRPr="005E3C91" w:rsidRDefault="005E3C91" w:rsidP="005E3C91">
      <w:pPr>
        <w:spacing w:after="0" w:line="240" w:lineRule="auto"/>
        <w:rPr>
          <w:rFonts w:ascii="Century Gothic" w:eastAsia="Times New Roman" w:hAnsi="Century Gothic" w:cs="Times New Roman"/>
        </w:rPr>
      </w:pPr>
    </w:p>
    <w:p w14:paraId="37F12886" w14:textId="77777777" w:rsidR="005E3C91" w:rsidRPr="00A36CA4" w:rsidRDefault="005E3C91" w:rsidP="005E3C91">
      <w:pPr>
        <w:spacing w:after="0" w:line="240" w:lineRule="auto"/>
        <w:rPr>
          <w:rFonts w:ascii="Century Gothic" w:hAnsi="Century Gothic" w:cs="Times New Roman"/>
          <w:b/>
        </w:rPr>
      </w:pPr>
      <w:r w:rsidRPr="00A36CA4">
        <w:rPr>
          <w:rFonts w:ascii="Century Gothic" w:hAnsi="Century Gothic" w:cs="Times New Roman"/>
          <w:b/>
          <w:iCs/>
          <w:color w:val="000000"/>
        </w:rPr>
        <w:t xml:space="preserve">Level 2 data </w:t>
      </w:r>
    </w:p>
    <w:p w14:paraId="39AC6A88" w14:textId="3644D896"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 xml:space="preserve">Level 2 satellite data are original geolocated </w:t>
      </w:r>
      <w:r w:rsidR="009F7DA4" w:rsidRPr="005E3C91">
        <w:rPr>
          <w:rFonts w:ascii="Century Gothic" w:hAnsi="Century Gothic" w:cs="Times New Roman"/>
          <w:color w:val="000000"/>
        </w:rPr>
        <w:t>observations that</w:t>
      </w:r>
      <w:r w:rsidRPr="005E3C91">
        <w:rPr>
          <w:rFonts w:ascii="Century Gothic" w:hAnsi="Century Gothic" w:cs="Times New Roman"/>
          <w:color w:val="000000"/>
        </w:rPr>
        <w:t xml:space="preserve"> can be used to analyze point sources (Duncan, 2014)</w:t>
      </w:r>
      <w:r w:rsidR="009F7DA4" w:rsidRPr="005E3C91">
        <w:rPr>
          <w:rFonts w:ascii="Century Gothic" w:hAnsi="Century Gothic" w:cs="Times New Roman"/>
          <w:color w:val="000000"/>
        </w:rPr>
        <w:t xml:space="preserve">. </w:t>
      </w:r>
      <w:r w:rsidRPr="005E3C91">
        <w:rPr>
          <w:rFonts w:ascii="Century Gothic" w:hAnsi="Century Gothic" w:cs="Times New Roman"/>
          <w:color w:val="000000"/>
        </w:rPr>
        <w:t>A Terra MODIS monthly averaged and gridded AOD Level 2 data product was obtained at a 0.1 degree spatial resolution for the study area for the years 2002 to 2014</w:t>
      </w:r>
      <w:r w:rsidR="009F7DA4" w:rsidRPr="005E3C91">
        <w:rPr>
          <w:rFonts w:ascii="Century Gothic" w:hAnsi="Century Gothic" w:cs="Times New Roman"/>
          <w:color w:val="000000"/>
        </w:rPr>
        <w:t xml:space="preserve">. </w:t>
      </w:r>
      <w:r w:rsidRPr="005E3C91">
        <w:rPr>
          <w:rFonts w:ascii="Century Gothic" w:hAnsi="Century Gothic" w:cs="Times New Roman"/>
          <w:color w:val="000000"/>
        </w:rPr>
        <w:t>Monthly data were then aggregated to annual AOD averages in ArcGIS and rasterized to produce map composites and time series graphs of average annual emissions for the time period 2002-2014.  The resulting raster files were classified according to manual AOD values of 0-0.15 (very low, blue), 0.15-0.30 (low, green), 0.30-0.45 (medium, yellow), 0.45-0.6 (high, orange) and 0.60-1.728 (very high, red) to reveal areas of significantly higher AOD concentration</w:t>
      </w:r>
      <w:r w:rsidR="00F03FEE">
        <w:rPr>
          <w:rFonts w:ascii="Century Gothic" w:hAnsi="Century Gothic" w:cs="Times New Roman"/>
          <w:color w:val="000000"/>
        </w:rPr>
        <w:t xml:space="preserve"> (See Appendix B)</w:t>
      </w:r>
      <w:r w:rsidRPr="005E3C91">
        <w:rPr>
          <w:rFonts w:ascii="Century Gothic" w:hAnsi="Century Gothic" w:cs="Times New Roman"/>
          <w:color w:val="000000"/>
        </w:rPr>
        <w:t xml:space="preserve">. </w:t>
      </w:r>
    </w:p>
    <w:p w14:paraId="64977A14" w14:textId="0A35B87B" w:rsidR="005E3C91" w:rsidRPr="009F7DA4" w:rsidRDefault="005E3C91" w:rsidP="005E3C91">
      <w:pPr>
        <w:spacing w:after="0" w:line="240" w:lineRule="auto"/>
        <w:rPr>
          <w:rFonts w:ascii="Century Gothic" w:eastAsia="Times New Roman" w:hAnsi="Century Gothic" w:cs="Times New Roman"/>
        </w:rPr>
      </w:pPr>
      <w:r w:rsidRPr="005E3C91">
        <w:rPr>
          <w:rFonts w:ascii="Century Gothic" w:eastAsia="Times New Roman" w:hAnsi="Century Gothic" w:cs="Times New Roman"/>
        </w:rPr>
        <w:br/>
      </w:r>
      <w:r w:rsidR="009F7DA4" w:rsidRPr="005E3C91">
        <w:rPr>
          <w:rFonts w:ascii="Century Gothic" w:eastAsia="Times New Roman" w:hAnsi="Century Gothic" w:cs="Times New Roman"/>
          <w:color w:val="000000"/>
        </w:rPr>
        <w:t>Mont</w:t>
      </w:r>
      <w:r w:rsidR="009F7DA4">
        <w:rPr>
          <w:rFonts w:ascii="Century Gothic" w:eastAsia="Times New Roman" w:hAnsi="Century Gothic" w:cs="Times New Roman"/>
          <w:color w:val="000000"/>
        </w:rPr>
        <w:t>hly gridded Level 2 data for</w:t>
      </w:r>
      <w:r w:rsidR="009F7DA4" w:rsidRPr="005E3C91">
        <w:rPr>
          <w:rFonts w:ascii="Century Gothic" w:eastAsia="Times New Roman" w:hAnsi="Century Gothic" w:cs="Times New Roman"/>
          <w:color w:val="000000"/>
        </w:rPr>
        <w:t xml:space="preserve"> Aura OMI NO</w:t>
      </w:r>
      <w:r w:rsidR="009F7DA4" w:rsidRPr="005E3C91">
        <w:rPr>
          <w:rFonts w:ascii="Century Gothic" w:eastAsia="Times New Roman" w:hAnsi="Century Gothic" w:cs="Times New Roman"/>
          <w:color w:val="000000"/>
          <w:vertAlign w:val="subscript"/>
        </w:rPr>
        <w:t>2</w:t>
      </w:r>
      <w:r w:rsidR="009F7DA4" w:rsidRPr="005E3C91">
        <w:rPr>
          <w:rFonts w:ascii="Century Gothic" w:eastAsia="Times New Roman" w:hAnsi="Century Gothic" w:cs="Times New Roman"/>
          <w:color w:val="000000"/>
        </w:rPr>
        <w:t xml:space="preserve"> at a 0.1 degree by 0.1 degree spatial resolution were acquired from NASA Goddard’s Aura Validation Data Center for the years 2005, 2008 and 2011 to correspond with BOEM’s Emission Inventory data. </w:t>
      </w:r>
      <w:r w:rsidRPr="005E3C91">
        <w:rPr>
          <w:rFonts w:ascii="Century Gothic" w:eastAsia="Times New Roman" w:hAnsi="Century Gothic" w:cs="Times New Roman"/>
          <w:color w:val="000000"/>
        </w:rPr>
        <w:t>Annual gridded Level 2 data from Aura OMI NO</w:t>
      </w:r>
      <w:r w:rsidRPr="005E3C91">
        <w:rPr>
          <w:rFonts w:ascii="Century Gothic" w:eastAsia="Times New Roman" w:hAnsi="Century Gothic" w:cs="Times New Roman"/>
          <w:color w:val="000000"/>
          <w:vertAlign w:val="subscript"/>
        </w:rPr>
        <w:t>2</w:t>
      </w:r>
      <w:r w:rsidRPr="005E3C91">
        <w:rPr>
          <w:rFonts w:ascii="Century Gothic" w:eastAsia="Times New Roman" w:hAnsi="Century Gothic" w:cs="Times New Roman"/>
          <w:color w:val="000000"/>
        </w:rPr>
        <w:t xml:space="preserve"> at the same 0.1 degree by 0.1 degree spatial resolution were also acquired from NASA Goddard’s Aura Validation Data Center for the years 2005-</w:t>
      </w:r>
      <w:r w:rsidR="009F7DA4" w:rsidRPr="005E3C91">
        <w:rPr>
          <w:rFonts w:ascii="Century Gothic" w:eastAsia="Times New Roman" w:hAnsi="Century Gothic" w:cs="Times New Roman"/>
          <w:color w:val="000000"/>
        </w:rPr>
        <w:t xml:space="preserve">2015. </w:t>
      </w:r>
      <w:r w:rsidRPr="005E3C91">
        <w:rPr>
          <w:rFonts w:ascii="Century Gothic" w:eastAsia="Times New Roman" w:hAnsi="Century Gothic" w:cs="Times New Roman"/>
          <w:color w:val="000000"/>
        </w:rPr>
        <w:t>These data were imported into ArcGIS, where they were projected into the GCS_North_American_1983 geographic coordinate system to match Terra MODIS and</w:t>
      </w:r>
      <w:r w:rsidR="009F7DA4">
        <w:rPr>
          <w:rFonts w:ascii="Century Gothic" w:eastAsia="Times New Roman" w:hAnsi="Century Gothic" w:cs="Times New Roman"/>
        </w:rPr>
        <w:t xml:space="preserve"> </w:t>
      </w:r>
      <w:r w:rsidRPr="005E3C91">
        <w:rPr>
          <w:rFonts w:ascii="Century Gothic" w:hAnsi="Century Gothic" w:cs="Times New Roman"/>
          <w:color w:val="000000"/>
        </w:rPr>
        <w:t xml:space="preserve">BOEM </w:t>
      </w:r>
      <w:r w:rsidRPr="009F7DA4">
        <w:rPr>
          <w:rFonts w:ascii="Century Gothic" w:hAnsi="Century Gothic" w:cs="Times New Roman"/>
          <w:i/>
          <w:color w:val="000000"/>
        </w:rPr>
        <w:t>in situ</w:t>
      </w:r>
      <w:r w:rsidRPr="005E3C91">
        <w:rPr>
          <w:rFonts w:ascii="Century Gothic" w:hAnsi="Century Gothic" w:cs="Times New Roman"/>
          <w:color w:val="000000"/>
        </w:rPr>
        <w:t xml:space="preserve"> datasets</w:t>
      </w:r>
      <w:r w:rsidR="009F7DA4" w:rsidRPr="005E3C91">
        <w:rPr>
          <w:rFonts w:ascii="Century Gothic" w:hAnsi="Century Gothic" w:cs="Times New Roman"/>
          <w:color w:val="000000"/>
        </w:rPr>
        <w:t xml:space="preserve">. </w:t>
      </w:r>
      <w:r w:rsidRPr="005E3C91">
        <w:rPr>
          <w:rFonts w:ascii="Century Gothic" w:hAnsi="Century Gothic" w:cs="Times New Roman"/>
          <w:color w:val="000000"/>
        </w:rPr>
        <w:t>After reprojection, the datasets were clipped to analyze the area between 24.0</w:t>
      </w:r>
      <w:r w:rsidRPr="005E3C91">
        <w:rPr>
          <w:rFonts w:ascii="Century Gothic" w:hAnsi="Century Gothic" w:cs="Times New Roman"/>
          <w:color w:val="000000"/>
          <w:vertAlign w:val="superscript"/>
        </w:rPr>
        <w:t>o</w:t>
      </w:r>
      <w:r w:rsidRPr="005E3C91">
        <w:rPr>
          <w:rFonts w:ascii="Century Gothic" w:hAnsi="Century Gothic" w:cs="Times New Roman"/>
          <w:color w:val="000000"/>
        </w:rPr>
        <w:t>N and 32.0</w:t>
      </w:r>
      <w:r w:rsidRPr="005E3C91">
        <w:rPr>
          <w:rFonts w:ascii="Century Gothic" w:hAnsi="Century Gothic" w:cs="Times New Roman"/>
          <w:color w:val="000000"/>
          <w:vertAlign w:val="superscript"/>
        </w:rPr>
        <w:t>o</w:t>
      </w:r>
      <w:r w:rsidRPr="005E3C91">
        <w:rPr>
          <w:rFonts w:ascii="Century Gothic" w:hAnsi="Century Gothic" w:cs="Times New Roman"/>
          <w:color w:val="000000"/>
        </w:rPr>
        <w:t>N latitude and 84.0</w:t>
      </w:r>
      <w:r w:rsidRPr="005E3C91">
        <w:rPr>
          <w:rFonts w:ascii="Century Gothic" w:hAnsi="Century Gothic" w:cs="Times New Roman"/>
          <w:color w:val="000000"/>
          <w:vertAlign w:val="superscript"/>
        </w:rPr>
        <w:t>o</w:t>
      </w:r>
      <w:r w:rsidRPr="005E3C91">
        <w:rPr>
          <w:rFonts w:ascii="Century Gothic" w:hAnsi="Century Gothic" w:cs="Times New Roman"/>
          <w:color w:val="000000"/>
        </w:rPr>
        <w:t>W and 100.0</w:t>
      </w:r>
      <w:r w:rsidRPr="005E3C91">
        <w:rPr>
          <w:rFonts w:ascii="Century Gothic" w:hAnsi="Century Gothic" w:cs="Times New Roman"/>
          <w:color w:val="000000"/>
          <w:vertAlign w:val="superscript"/>
        </w:rPr>
        <w:t>o</w:t>
      </w:r>
      <w:r w:rsidRPr="005E3C91">
        <w:rPr>
          <w:rFonts w:ascii="Century Gothic" w:hAnsi="Century Gothic" w:cs="Times New Roman"/>
          <w:color w:val="000000"/>
        </w:rPr>
        <w:t>W longitude.</w:t>
      </w:r>
      <w:r w:rsidR="00886888">
        <w:rPr>
          <w:rFonts w:ascii="Century Gothic" w:hAnsi="Century Gothic" w:cs="Times New Roman"/>
          <w:color w:val="000000"/>
        </w:rPr>
        <w:t xml:space="preserve"> Annual NO</w:t>
      </w:r>
      <w:r w:rsidR="00886888">
        <w:rPr>
          <w:rFonts w:ascii="Century Gothic" w:hAnsi="Century Gothic" w:cs="Times New Roman"/>
          <w:color w:val="000000"/>
          <w:vertAlign w:val="subscript"/>
        </w:rPr>
        <w:t>2</w:t>
      </w:r>
      <w:r w:rsidR="00886888">
        <w:rPr>
          <w:rFonts w:ascii="Century Gothic" w:hAnsi="Century Gothic" w:cs="Times New Roman"/>
          <w:color w:val="000000"/>
        </w:rPr>
        <w:t xml:space="preserve"> average </w:t>
      </w:r>
      <w:proofErr w:type="spellStart"/>
      <w:r w:rsidR="00886888">
        <w:rPr>
          <w:rFonts w:ascii="Century Gothic" w:hAnsi="Century Gothic" w:cs="Times New Roman"/>
          <w:color w:val="000000"/>
        </w:rPr>
        <w:t>rasters</w:t>
      </w:r>
      <w:proofErr w:type="spellEnd"/>
      <w:r w:rsidR="00886888">
        <w:rPr>
          <w:rFonts w:ascii="Century Gothic" w:hAnsi="Century Gothic" w:cs="Times New Roman"/>
          <w:color w:val="000000"/>
        </w:rPr>
        <w:t xml:space="preserve"> were used</w:t>
      </w:r>
      <w:r w:rsidR="00886888" w:rsidRPr="005E3C91">
        <w:rPr>
          <w:rFonts w:ascii="Century Gothic" w:hAnsi="Century Gothic" w:cs="Times New Roman"/>
          <w:color w:val="000000"/>
        </w:rPr>
        <w:t xml:space="preserve"> to produce map composites and time series graphs of average annual em</w:t>
      </w:r>
      <w:r w:rsidR="00886888">
        <w:rPr>
          <w:rFonts w:ascii="Century Gothic" w:hAnsi="Century Gothic" w:cs="Times New Roman"/>
          <w:color w:val="000000"/>
        </w:rPr>
        <w:t xml:space="preserve">issions for the time period 2005-2015. </w:t>
      </w:r>
      <w:r w:rsidR="00886888" w:rsidRPr="005E3C91">
        <w:rPr>
          <w:rFonts w:ascii="Century Gothic" w:hAnsi="Century Gothic" w:cs="Times New Roman"/>
          <w:color w:val="000000"/>
        </w:rPr>
        <w:t>The res</w:t>
      </w:r>
      <w:r w:rsidR="00886888">
        <w:rPr>
          <w:rFonts w:ascii="Century Gothic" w:hAnsi="Century Gothic" w:cs="Times New Roman"/>
          <w:color w:val="000000"/>
        </w:rPr>
        <w:t>ul</w:t>
      </w:r>
      <w:r w:rsidR="00F03FEE">
        <w:rPr>
          <w:rFonts w:ascii="Century Gothic" w:hAnsi="Century Gothic" w:cs="Times New Roman"/>
          <w:color w:val="000000"/>
        </w:rPr>
        <w:t>ting raster files were classified in</w:t>
      </w:r>
      <w:r w:rsidR="00886888">
        <w:rPr>
          <w:rFonts w:ascii="Century Gothic" w:hAnsi="Century Gothic" w:cs="Times New Roman"/>
          <w:color w:val="000000"/>
        </w:rPr>
        <w:t xml:space="preserve"> Dobson </w:t>
      </w:r>
      <w:r w:rsidR="00F03FEE">
        <w:rPr>
          <w:rFonts w:ascii="Century Gothic" w:hAnsi="Century Gothic" w:cs="Times New Roman"/>
          <w:color w:val="000000"/>
        </w:rPr>
        <w:t>Units as</w:t>
      </w:r>
      <w:r w:rsidR="00886888">
        <w:rPr>
          <w:rFonts w:ascii="Century Gothic" w:hAnsi="Century Gothic" w:cs="Times New Roman"/>
          <w:color w:val="000000"/>
        </w:rPr>
        <w:t xml:space="preserve"> 0-0.4 (very low, blue), 0.4-0.7 (low, green), 0.7-0.10 (medium, yellow), 0.10-0.14 (high, orange) and 0.14-0.26</w:t>
      </w:r>
      <w:r w:rsidR="00886888" w:rsidRPr="005E3C91">
        <w:rPr>
          <w:rFonts w:ascii="Century Gothic" w:hAnsi="Century Gothic" w:cs="Times New Roman"/>
          <w:color w:val="000000"/>
        </w:rPr>
        <w:t xml:space="preserve"> (very high, red)</w:t>
      </w:r>
      <w:r w:rsidR="00F03FEE">
        <w:rPr>
          <w:rFonts w:ascii="Century Gothic" w:hAnsi="Century Gothic" w:cs="Times New Roman"/>
          <w:color w:val="000000"/>
        </w:rPr>
        <w:t xml:space="preserve"> (See Appendix B)</w:t>
      </w:r>
      <w:r w:rsidR="00886888" w:rsidRPr="005E3C91">
        <w:rPr>
          <w:rFonts w:ascii="Century Gothic" w:hAnsi="Century Gothic" w:cs="Times New Roman"/>
          <w:color w:val="000000"/>
        </w:rPr>
        <w:t>.</w:t>
      </w:r>
    </w:p>
    <w:p w14:paraId="223345A2" w14:textId="77777777" w:rsidR="005E3C91" w:rsidRPr="005E3C91" w:rsidRDefault="005E3C91" w:rsidP="005E3C91">
      <w:pPr>
        <w:spacing w:after="0" w:line="240" w:lineRule="auto"/>
        <w:rPr>
          <w:rFonts w:ascii="Century Gothic" w:eastAsia="Times New Roman" w:hAnsi="Century Gothic" w:cs="Times New Roman"/>
        </w:rPr>
      </w:pPr>
    </w:p>
    <w:p w14:paraId="24030EB3" w14:textId="77777777" w:rsidR="005E3C91" w:rsidRPr="00A36CA4" w:rsidRDefault="005E3C91" w:rsidP="005E3C91">
      <w:pPr>
        <w:spacing w:after="0" w:line="240" w:lineRule="auto"/>
        <w:rPr>
          <w:rFonts w:ascii="Century Gothic" w:hAnsi="Century Gothic" w:cs="Times New Roman"/>
          <w:b/>
        </w:rPr>
      </w:pPr>
      <w:r w:rsidRPr="00A36CA4">
        <w:rPr>
          <w:rFonts w:ascii="Century Gothic" w:hAnsi="Century Gothic" w:cs="Times New Roman"/>
          <w:b/>
          <w:i/>
          <w:iCs/>
          <w:color w:val="000000"/>
        </w:rPr>
        <w:t>In situ</w:t>
      </w:r>
      <w:r w:rsidRPr="00A36CA4">
        <w:rPr>
          <w:rFonts w:ascii="Century Gothic" w:hAnsi="Century Gothic" w:cs="Times New Roman"/>
          <w:b/>
          <w:iCs/>
          <w:color w:val="000000"/>
        </w:rPr>
        <w:t xml:space="preserve"> data</w:t>
      </w:r>
    </w:p>
    <w:p w14:paraId="2457C15F" w14:textId="77777777"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i/>
          <w:iCs/>
          <w:color w:val="000000"/>
        </w:rPr>
        <w:t>In situ</w:t>
      </w:r>
      <w:r w:rsidRPr="005E3C91">
        <w:rPr>
          <w:rFonts w:ascii="Century Gothic" w:hAnsi="Century Gothic" w:cs="Times New Roman"/>
          <w:color w:val="000000"/>
        </w:rPr>
        <w:t xml:space="preserve"> emissions data were obtained from BOEM’s Gulfwide Emissions Inventories. BOEM emissions inventories include monthly emissions data collected from OCS oil and gas production platform (e.g. diesel and natural gas engines, flares, drilling equipment, etc.) and non-platform (e.g. drilling rigs, pipe laying vessels, helicopters, etc.) sources for multiple criteria pollutants and greenhouse gasses for the years 2000, 2005, 2008, and 2011. Data were obtained in Microsoft Access format, where data were then filtered </w:t>
      </w:r>
      <w:r w:rsidRPr="005E3C91">
        <w:rPr>
          <w:rFonts w:ascii="Century Gothic" w:hAnsi="Century Gothic" w:cs="Times New Roman"/>
          <w:color w:val="000000"/>
        </w:rPr>
        <w:lastRenderedPageBreak/>
        <w:t xml:space="preserve">and joined together to identify emissions for the pollutants of concern for this study. Data provided by these inventories reported in the units of pounds or tons per year and was then exported into Microsoft Excel for upload into ArcGIS. </w:t>
      </w:r>
    </w:p>
    <w:p w14:paraId="55A212E8" w14:textId="14E94680" w:rsidR="005E3C91" w:rsidRPr="005E3C91" w:rsidRDefault="005E3C91" w:rsidP="005E3C91">
      <w:pPr>
        <w:spacing w:after="0" w:line="240" w:lineRule="auto"/>
        <w:rPr>
          <w:rFonts w:ascii="Century Gothic" w:eastAsia="Times New Roman" w:hAnsi="Century Gothic" w:cs="Times New Roman"/>
        </w:rPr>
      </w:pPr>
      <w:r w:rsidRPr="005E3C91">
        <w:rPr>
          <w:rFonts w:ascii="Century Gothic" w:eastAsia="Times New Roman" w:hAnsi="Century Gothic" w:cs="Times New Roman"/>
        </w:rPr>
        <w:br/>
      </w:r>
      <w:r w:rsidRPr="005E3C91">
        <w:rPr>
          <w:rFonts w:ascii="Century Gothic" w:eastAsia="Times New Roman" w:hAnsi="Century Gothic" w:cs="Times New Roman"/>
          <w:color w:val="000000"/>
        </w:rPr>
        <w:t>BOEM gulfwide inventory data from the years 2005, 2008, and 2011 were analyzed to correspond with the availability of MODIS and OMI satellite retrievals. Data from the year 2000 study was excluded due to lack of corresponding satellite data. Platform and non-platform data were comb</w:t>
      </w:r>
      <w:r w:rsidR="009F7DA4">
        <w:rPr>
          <w:rFonts w:ascii="Century Gothic" w:eastAsia="Times New Roman" w:hAnsi="Century Gothic" w:cs="Times New Roman"/>
          <w:color w:val="000000"/>
        </w:rPr>
        <w:t>ined in Microsoft Excel, then</w:t>
      </w:r>
      <w:r w:rsidRPr="005E3C91">
        <w:rPr>
          <w:rFonts w:ascii="Century Gothic" w:eastAsia="Times New Roman" w:hAnsi="Century Gothic" w:cs="Times New Roman"/>
          <w:color w:val="000000"/>
        </w:rPr>
        <w:t xml:space="preserve"> run through IDL code to create gridded datasets to match the 0.1 degree by 0.1 degree spatial resolution of the satellite products</w:t>
      </w:r>
      <w:r w:rsidR="009F7DA4" w:rsidRPr="005E3C91">
        <w:rPr>
          <w:rFonts w:ascii="Century Gothic" w:eastAsia="Times New Roman" w:hAnsi="Century Gothic" w:cs="Times New Roman"/>
          <w:color w:val="000000"/>
        </w:rPr>
        <w:t xml:space="preserve">. </w:t>
      </w:r>
      <w:r w:rsidRPr="005E3C91">
        <w:rPr>
          <w:rFonts w:ascii="Century Gothic" w:eastAsia="Times New Roman" w:hAnsi="Century Gothic" w:cs="Times New Roman"/>
          <w:color w:val="000000"/>
        </w:rPr>
        <w:t xml:space="preserve">These files were then imported into ArcGIS to create point shapefiles, and rasterized matching the 0.1 degree spatial extent of the Level 2 data products for comparison and correlation. Hot spots of pixels with high emissions measurements were determined by statistical natural breaks that corresponded to the five lowest points of the histogram troughs, which were automatically calculated in ArcGIS. </w:t>
      </w:r>
    </w:p>
    <w:p w14:paraId="0BF69DCC" w14:textId="77777777" w:rsidR="005E3C91" w:rsidRPr="005E3C91" w:rsidRDefault="005E3C91" w:rsidP="00CB589A">
      <w:pPr>
        <w:spacing w:after="0" w:line="240" w:lineRule="auto"/>
        <w:rPr>
          <w:rFonts w:ascii="Century Gothic" w:eastAsia="Times New Roman" w:hAnsi="Century Gothic" w:cs="Times New Roman"/>
        </w:rPr>
      </w:pPr>
    </w:p>
    <w:p w14:paraId="45BC2D5D" w14:textId="1FCB51E9" w:rsidR="005E3C91" w:rsidRPr="00CB589A" w:rsidRDefault="005E3C91" w:rsidP="00CB589A">
      <w:pPr>
        <w:spacing w:after="0" w:line="240" w:lineRule="auto"/>
        <w:rPr>
          <w:rFonts w:ascii="Century Gothic" w:eastAsia="Times New Roman" w:hAnsi="Century Gothic" w:cs="Times New Roman"/>
        </w:rPr>
      </w:pPr>
      <w:r w:rsidRPr="005E3C91">
        <w:rPr>
          <w:rFonts w:ascii="Century Gothic" w:eastAsia="Times New Roman" w:hAnsi="Century Gothic" w:cs="Times New Roman"/>
          <w:color w:val="000000"/>
        </w:rPr>
        <w:t>Once BOEM emissions inventory data and satellite retrievals for AOD and NO</w:t>
      </w:r>
      <w:r w:rsidRPr="005E3C91">
        <w:rPr>
          <w:rFonts w:ascii="Century Gothic" w:eastAsia="Times New Roman" w:hAnsi="Century Gothic" w:cs="Times New Roman"/>
          <w:color w:val="000000"/>
          <w:vertAlign w:val="subscript"/>
        </w:rPr>
        <w:t>2</w:t>
      </w:r>
      <w:r w:rsidRPr="005E3C91">
        <w:rPr>
          <w:rFonts w:ascii="Century Gothic" w:eastAsia="Times New Roman" w:hAnsi="Century Gothic" w:cs="Times New Roman"/>
          <w:color w:val="000000"/>
        </w:rPr>
        <w:t xml:space="preserve"> were processed, pollutant values at common pixels for 2005, 2008, and 2011 were extracted and correlated examine the relationship between the different data sources.  This was done for both the entire study area extent and at specific areas previously identified as hotspots of high measured emissions from BOEM data. Colocated BOEM and satellite data were displayed on scatter plots and through covariance/correlation matrices using the Band Collection Statistics tool in ArcGIS to show possible correlations.</w:t>
      </w:r>
    </w:p>
    <w:p w14:paraId="1F53876F" w14:textId="77777777" w:rsidR="00E41324" w:rsidRPr="00B265D9" w:rsidRDefault="008B7071" w:rsidP="00D3013B">
      <w:pPr>
        <w:pStyle w:val="Heading1"/>
        <w:rPr>
          <w:rFonts w:ascii="Century Gothic" w:hAnsi="Century Gothic"/>
        </w:rPr>
      </w:pPr>
      <w:bookmarkStart w:id="4" w:name="_Toc334198730"/>
      <w:bookmarkEnd w:id="3"/>
      <w:r>
        <w:rPr>
          <w:rFonts w:ascii="Century Gothic" w:hAnsi="Century Gothic"/>
        </w:rPr>
        <w:t xml:space="preserve">IV. </w:t>
      </w:r>
      <w:r w:rsidR="00E41324" w:rsidRPr="00B265D9">
        <w:rPr>
          <w:rFonts w:ascii="Century Gothic" w:hAnsi="Century Gothic"/>
        </w:rPr>
        <w:t>Results</w:t>
      </w:r>
      <w:bookmarkEnd w:id="4"/>
      <w:r w:rsidR="001F1328">
        <w:rPr>
          <w:rFonts w:ascii="Century Gothic" w:hAnsi="Century Gothic"/>
        </w:rPr>
        <w:t xml:space="preserve"> &amp; Discussion</w:t>
      </w:r>
    </w:p>
    <w:p w14:paraId="7FFAD9AD" w14:textId="77777777" w:rsidR="00F13CC7" w:rsidRPr="00A36CA4" w:rsidRDefault="00F13CC7" w:rsidP="00F13CC7">
      <w:pPr>
        <w:spacing w:after="0" w:line="240" w:lineRule="auto"/>
        <w:rPr>
          <w:rFonts w:ascii="Century Gothic" w:hAnsi="Century Gothic" w:cs="Times New Roman"/>
          <w:b/>
        </w:rPr>
      </w:pPr>
      <w:r w:rsidRPr="00A36CA4">
        <w:rPr>
          <w:rFonts w:ascii="Century Gothic" w:hAnsi="Century Gothic" w:cs="Times New Roman"/>
          <w:b/>
          <w:iCs/>
          <w:color w:val="000000"/>
        </w:rPr>
        <w:t>Level 3 Data</w:t>
      </w:r>
    </w:p>
    <w:p w14:paraId="1D1742F1" w14:textId="642B76F3" w:rsidR="00F13CC7" w:rsidRDefault="00F13CC7" w:rsidP="00F13CC7">
      <w:pPr>
        <w:spacing w:after="0" w:line="240" w:lineRule="auto"/>
        <w:rPr>
          <w:rFonts w:ascii="Century Gothic" w:hAnsi="Century Gothic" w:cs="Times New Roman"/>
          <w:color w:val="000000"/>
        </w:rPr>
      </w:pPr>
      <w:r w:rsidRPr="00F13CC7">
        <w:rPr>
          <w:rFonts w:ascii="Century Gothic" w:hAnsi="Century Gothic" w:cs="Times New Roman"/>
          <w:color w:val="000000"/>
        </w:rPr>
        <w:t xml:space="preserve">GIOVANNI produced area-averaged time series and time-averaged maps for AOD </w:t>
      </w:r>
      <w:r w:rsidR="008F39DA">
        <w:rPr>
          <w:rFonts w:ascii="Century Gothic" w:hAnsi="Century Gothic" w:cs="Times New Roman"/>
          <w:color w:val="000000"/>
        </w:rPr>
        <w:t xml:space="preserve">(Figure 2) </w:t>
      </w:r>
      <w:r w:rsidRPr="00F13CC7">
        <w:rPr>
          <w:rFonts w:ascii="Century Gothic" w:hAnsi="Century Gothic" w:cs="Times New Roman"/>
          <w:color w:val="000000"/>
        </w:rPr>
        <w:t>and NO</w:t>
      </w:r>
      <w:r w:rsidRPr="00F13CC7">
        <w:rPr>
          <w:rFonts w:ascii="Century Gothic" w:hAnsi="Century Gothic" w:cs="Times New Roman"/>
          <w:color w:val="000000"/>
          <w:vertAlign w:val="subscript"/>
        </w:rPr>
        <w:t>2</w:t>
      </w:r>
      <w:r w:rsidRPr="00F13CC7">
        <w:rPr>
          <w:rFonts w:ascii="Century Gothic" w:hAnsi="Century Gothic" w:cs="Times New Roman"/>
          <w:color w:val="000000"/>
        </w:rPr>
        <w:t xml:space="preserve"> </w:t>
      </w:r>
      <w:r w:rsidR="008F39DA">
        <w:rPr>
          <w:rFonts w:ascii="Century Gothic" w:hAnsi="Century Gothic" w:cs="Times New Roman"/>
          <w:color w:val="000000"/>
        </w:rPr>
        <w:t xml:space="preserve">(Figure 3) </w:t>
      </w:r>
      <w:r w:rsidRPr="00F13CC7">
        <w:rPr>
          <w:rFonts w:ascii="Century Gothic" w:hAnsi="Century Gothic" w:cs="Times New Roman"/>
          <w:color w:val="000000"/>
        </w:rPr>
        <w:t xml:space="preserve">to capture regional and long-term trends in emissions measured by Earth observing satellites. </w:t>
      </w:r>
    </w:p>
    <w:p w14:paraId="206FD85E" w14:textId="4FADE67C" w:rsidR="00F13CC7" w:rsidRPr="00F13CC7" w:rsidRDefault="00F13CC7" w:rsidP="00F13CC7">
      <w:pPr>
        <w:spacing w:after="0" w:line="240" w:lineRule="auto"/>
        <w:rPr>
          <w:rFonts w:ascii="Times" w:hAnsi="Times" w:cs="Times New Roman"/>
          <w:sz w:val="20"/>
          <w:szCs w:val="20"/>
        </w:rPr>
      </w:pPr>
      <w:r>
        <w:rPr>
          <w:rFonts w:ascii="Questrial" w:hAnsi="Questrial" w:cs="Times New Roman"/>
          <w:noProof/>
          <w:color w:val="000000"/>
          <w:sz w:val="24"/>
          <w:szCs w:val="24"/>
        </w:rPr>
        <w:drawing>
          <wp:inline distT="0" distB="0" distL="0" distR="0" wp14:anchorId="7D37763C" wp14:editId="220A5B1C">
            <wp:extent cx="6228393" cy="2861310"/>
            <wp:effectExtent l="0" t="0" r="0" b="8890"/>
            <wp:docPr id="7" name="Picture 3" descr="IOVANNI-AOD TS_3 2000_12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VANNI-AOD TS_3 2000_12 201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132" b="8676"/>
                    <a:stretch/>
                  </pic:blipFill>
                  <pic:spPr bwMode="auto">
                    <a:xfrm>
                      <a:off x="0" y="0"/>
                      <a:ext cx="6230014" cy="2862055"/>
                    </a:xfrm>
                    <a:prstGeom prst="rect">
                      <a:avLst/>
                    </a:prstGeom>
                    <a:noFill/>
                    <a:ln>
                      <a:noFill/>
                    </a:ln>
                    <a:extLst>
                      <a:ext uri="{53640926-AAD7-44d8-BBD7-CCE9431645EC}">
                        <a14:shadowObscured xmlns:a14="http://schemas.microsoft.com/office/drawing/2010/main"/>
                      </a:ext>
                    </a:extLst>
                  </pic:spPr>
                </pic:pic>
              </a:graphicData>
            </a:graphic>
          </wp:inline>
        </w:drawing>
      </w:r>
    </w:p>
    <w:p w14:paraId="7DCC4631" w14:textId="77777777" w:rsidR="00F13CC7" w:rsidRPr="00F13CC7" w:rsidRDefault="00F13CC7" w:rsidP="00F13CC7">
      <w:pPr>
        <w:spacing w:after="0" w:line="240" w:lineRule="auto"/>
        <w:rPr>
          <w:rFonts w:ascii="Century Gothic" w:hAnsi="Century Gothic" w:cs="Times New Roman"/>
        </w:rPr>
      </w:pPr>
      <w:r w:rsidRPr="00F13CC7">
        <w:rPr>
          <w:rFonts w:ascii="Century Gothic" w:hAnsi="Century Gothic" w:cs="Times New Roman"/>
          <w:color w:val="000000"/>
        </w:rPr>
        <w:t>Figure 2.GIOVANNI area-averaged time series of the Level-3 AOD data product from March 2000 - December 2015.</w:t>
      </w:r>
    </w:p>
    <w:p w14:paraId="20ADC0E9" w14:textId="77777777" w:rsidR="00F13CC7" w:rsidRPr="00F13CC7" w:rsidRDefault="00F13CC7" w:rsidP="00F13CC7">
      <w:pPr>
        <w:spacing w:after="0" w:line="240" w:lineRule="auto"/>
        <w:rPr>
          <w:rFonts w:ascii="Times" w:eastAsia="Times New Roman" w:hAnsi="Times" w:cs="Times New Roman"/>
          <w:sz w:val="20"/>
          <w:szCs w:val="20"/>
        </w:rPr>
      </w:pPr>
    </w:p>
    <w:p w14:paraId="44CE6EE7" w14:textId="6220C5B9" w:rsidR="00F13CC7" w:rsidRPr="00F13CC7" w:rsidRDefault="00F13CC7" w:rsidP="00F13CC7">
      <w:pPr>
        <w:spacing w:after="0" w:line="240" w:lineRule="auto"/>
        <w:rPr>
          <w:rFonts w:ascii="Times" w:hAnsi="Times" w:cs="Times New Roman"/>
          <w:sz w:val="20"/>
          <w:szCs w:val="20"/>
        </w:rPr>
      </w:pPr>
      <w:r>
        <w:rPr>
          <w:rFonts w:ascii="Questrial" w:hAnsi="Questrial" w:cs="Times New Roman"/>
          <w:noProof/>
          <w:color w:val="000000"/>
        </w:rPr>
        <w:drawing>
          <wp:inline distT="0" distB="0" distL="0" distR="0" wp14:anchorId="53BFCBD0" wp14:editId="2CD0FDC9">
            <wp:extent cx="6313170" cy="2759968"/>
            <wp:effectExtent l="0" t="0" r="11430" b="8890"/>
            <wp:docPr id="6" name="Picture 4" descr="IOVANNI-outputgJc1KheH_10_04_12_15_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VANNI-outputgJc1KheH_10_04_12_15_TS.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742" b="7876"/>
                    <a:stretch/>
                  </pic:blipFill>
                  <pic:spPr bwMode="auto">
                    <a:xfrm>
                      <a:off x="0" y="0"/>
                      <a:ext cx="6314821" cy="2760690"/>
                    </a:xfrm>
                    <a:prstGeom prst="rect">
                      <a:avLst/>
                    </a:prstGeom>
                    <a:noFill/>
                    <a:ln>
                      <a:noFill/>
                    </a:ln>
                    <a:extLst>
                      <a:ext uri="{53640926-AAD7-44d8-BBD7-CCE9431645EC}">
                        <a14:shadowObscured xmlns:a14="http://schemas.microsoft.com/office/drawing/2010/main"/>
                      </a:ext>
                    </a:extLst>
                  </pic:spPr>
                </pic:pic>
              </a:graphicData>
            </a:graphic>
          </wp:inline>
        </w:drawing>
      </w:r>
    </w:p>
    <w:p w14:paraId="3E817FF7" w14:textId="77777777" w:rsidR="00F13CC7" w:rsidRPr="00F13CC7" w:rsidRDefault="00F13CC7" w:rsidP="00F13CC7">
      <w:pPr>
        <w:spacing w:after="0" w:line="240" w:lineRule="auto"/>
        <w:rPr>
          <w:rFonts w:ascii="Century Gothic" w:hAnsi="Century Gothic" w:cs="Times New Roman"/>
        </w:rPr>
      </w:pPr>
      <w:r w:rsidRPr="00F13CC7">
        <w:rPr>
          <w:rFonts w:ascii="Century Gothic" w:hAnsi="Century Gothic" w:cs="Times New Roman"/>
          <w:color w:val="000000"/>
        </w:rPr>
        <w:t>Figure 3. GIOVANNI area-averaged time series of the Level-3 NO</w:t>
      </w:r>
      <w:r w:rsidRPr="00F13CC7">
        <w:rPr>
          <w:rFonts w:ascii="Century Gothic" w:hAnsi="Century Gothic" w:cs="Times New Roman"/>
          <w:color w:val="000000"/>
          <w:vertAlign w:val="subscript"/>
        </w:rPr>
        <w:t>2</w:t>
      </w:r>
      <w:r w:rsidRPr="00F13CC7">
        <w:rPr>
          <w:rFonts w:ascii="Century Gothic" w:hAnsi="Century Gothic" w:cs="Times New Roman"/>
          <w:color w:val="000000"/>
        </w:rPr>
        <w:t xml:space="preserve"> data product from October 2004 - December 2015.</w:t>
      </w:r>
    </w:p>
    <w:p w14:paraId="0916FDBA" w14:textId="77777777" w:rsidR="00F13CC7" w:rsidRDefault="00F13CC7" w:rsidP="00F13CC7">
      <w:pPr>
        <w:spacing w:after="0" w:line="240" w:lineRule="auto"/>
        <w:rPr>
          <w:rFonts w:ascii="Times" w:eastAsia="Times New Roman" w:hAnsi="Times" w:cs="Times New Roman"/>
          <w:sz w:val="20"/>
          <w:szCs w:val="20"/>
        </w:rPr>
      </w:pPr>
    </w:p>
    <w:p w14:paraId="349A26DF" w14:textId="77777777" w:rsidR="00F13CC7" w:rsidRPr="00A36CA4" w:rsidRDefault="00F13CC7" w:rsidP="00F13CC7">
      <w:pPr>
        <w:spacing w:after="0" w:line="240" w:lineRule="auto"/>
        <w:rPr>
          <w:rFonts w:ascii="Century Gothic" w:hAnsi="Century Gothic" w:cs="Times New Roman"/>
          <w:b/>
          <w:sz w:val="20"/>
          <w:szCs w:val="20"/>
        </w:rPr>
      </w:pPr>
      <w:r w:rsidRPr="00A36CA4">
        <w:rPr>
          <w:rFonts w:ascii="Century Gothic" w:hAnsi="Century Gothic" w:cs="Times New Roman"/>
          <w:b/>
          <w:iCs/>
          <w:color w:val="000000"/>
        </w:rPr>
        <w:t>Level 2 Data</w:t>
      </w:r>
    </w:p>
    <w:p w14:paraId="0A5D02E2" w14:textId="43435C1D" w:rsidR="00A36CA4" w:rsidRPr="00A36CA4" w:rsidRDefault="00B349F6" w:rsidP="00F13CC7">
      <w:pPr>
        <w:spacing w:after="0" w:line="240" w:lineRule="auto"/>
        <w:rPr>
          <w:rFonts w:ascii="Century Gothic" w:hAnsi="Century Gothic" w:cs="Times New Roman"/>
          <w:i/>
          <w:iCs/>
          <w:color w:val="000000"/>
        </w:rPr>
      </w:pPr>
      <w:r>
        <w:rPr>
          <w:rFonts w:ascii="Century Gothic" w:hAnsi="Century Gothic" w:cs="Times New Roman"/>
          <w:i/>
          <w:iCs/>
          <w:color w:val="000000"/>
        </w:rPr>
        <w:t>Particulate</w:t>
      </w:r>
      <w:r w:rsidR="00A36CA4" w:rsidRPr="00FB0F63">
        <w:rPr>
          <w:rFonts w:ascii="Century Gothic" w:hAnsi="Century Gothic" w:cs="Times New Roman"/>
          <w:i/>
          <w:iCs/>
          <w:color w:val="000000"/>
        </w:rPr>
        <w:t> Matter</w:t>
      </w:r>
      <w:r w:rsidR="00A36CA4" w:rsidRPr="00FB0F63">
        <w:rPr>
          <w:rFonts w:ascii="Century Gothic" w:hAnsi="Century Gothic" w:cs="Times New Roman"/>
          <w:i/>
          <w:iCs/>
          <w:color w:val="000000"/>
          <w:vertAlign w:val="subscript"/>
        </w:rPr>
        <w:t>2.5</w:t>
      </w:r>
      <w:r w:rsidR="00A36CA4" w:rsidRPr="00FB0F63">
        <w:rPr>
          <w:rFonts w:ascii="Century Gothic" w:hAnsi="Century Gothic" w:cs="Times New Roman"/>
          <w:i/>
          <w:iCs/>
          <w:color w:val="000000"/>
        </w:rPr>
        <w:t xml:space="preserve"> - Aerosol Optical Depth</w:t>
      </w:r>
    </w:p>
    <w:p w14:paraId="18D20B49" w14:textId="7AB34332" w:rsidR="00F13CC7" w:rsidRPr="009F7DA4" w:rsidRDefault="00F13CC7" w:rsidP="00F13CC7">
      <w:pPr>
        <w:spacing w:after="0" w:line="240" w:lineRule="auto"/>
        <w:rPr>
          <w:rFonts w:ascii="Century Gothic" w:hAnsi="Century Gothic" w:cs="Times New Roman"/>
          <w:sz w:val="20"/>
          <w:szCs w:val="20"/>
        </w:rPr>
      </w:pPr>
      <w:r w:rsidRPr="009F7DA4">
        <w:rPr>
          <w:rFonts w:ascii="Century Gothic" w:hAnsi="Century Gothic" w:cs="Times New Roman"/>
          <w:color w:val="000000"/>
        </w:rPr>
        <w:t xml:space="preserve">For Aerosol Optical Depth obtained from Terra’s MODIS instrument, there was an overall decline in AOD from 2002 to 2014, with the years 2002, 2007 and 2011 showing particularly higher than average amounts and the years 2010 and 2014 showing lower than average amounts for the study area, which is reflected in </w:t>
      </w:r>
      <w:r w:rsidR="007E6095">
        <w:rPr>
          <w:rFonts w:ascii="Century Gothic" w:hAnsi="Century Gothic" w:cs="Times New Roman"/>
          <w:color w:val="000000"/>
        </w:rPr>
        <w:t>Figure 4</w:t>
      </w:r>
      <w:r w:rsidRPr="009F7DA4">
        <w:rPr>
          <w:rFonts w:ascii="Century Gothic" w:hAnsi="Century Gothic" w:cs="Times New Roman"/>
          <w:color w:val="000000"/>
        </w:rPr>
        <w:t xml:space="preserve"> below.</w:t>
      </w:r>
    </w:p>
    <w:p w14:paraId="4D07B3EE" w14:textId="77777777" w:rsidR="00F13CC7" w:rsidRPr="00F13CC7" w:rsidRDefault="00F13CC7" w:rsidP="00F13CC7">
      <w:pPr>
        <w:spacing w:after="0" w:line="240" w:lineRule="auto"/>
        <w:rPr>
          <w:rFonts w:ascii="Times" w:eastAsia="Times New Roman" w:hAnsi="Times" w:cs="Times New Roman"/>
          <w:sz w:val="20"/>
          <w:szCs w:val="20"/>
        </w:rPr>
      </w:pPr>
    </w:p>
    <w:p w14:paraId="04367069" w14:textId="41AC84E3" w:rsidR="00F13CC7" w:rsidRPr="00F13CC7" w:rsidRDefault="00F13CC7" w:rsidP="00F13CC7">
      <w:pPr>
        <w:spacing w:after="0" w:line="240" w:lineRule="auto"/>
        <w:jc w:val="center"/>
        <w:rPr>
          <w:rFonts w:ascii="Times" w:hAnsi="Times" w:cs="Times New Roman"/>
          <w:sz w:val="20"/>
          <w:szCs w:val="20"/>
        </w:rPr>
      </w:pPr>
      <w:r w:rsidRPr="00F13CC7">
        <w:rPr>
          <w:rFonts w:ascii="Arial" w:hAnsi="Arial" w:cs="Arial"/>
          <w:color w:val="000000"/>
          <w:sz w:val="20"/>
          <w:szCs w:val="20"/>
        </w:rPr>
        <w:t> </w:t>
      </w:r>
      <w:r w:rsidRPr="00F13CC7">
        <w:rPr>
          <w:rFonts w:ascii="Arial" w:hAnsi="Arial" w:cs="Arial"/>
          <w:color w:val="000000"/>
        </w:rPr>
        <w:t xml:space="preserve"> </w:t>
      </w:r>
      <w:r>
        <w:rPr>
          <w:rFonts w:ascii="Arial" w:hAnsi="Arial" w:cs="Arial"/>
          <w:noProof/>
          <w:color w:val="000000"/>
        </w:rPr>
        <w:drawing>
          <wp:inline distT="0" distB="0" distL="0" distR="0" wp14:anchorId="55122820" wp14:editId="3C632225">
            <wp:extent cx="5396857" cy="3200400"/>
            <wp:effectExtent l="0" t="0" r="0" b="0"/>
            <wp:docPr id="10" name="Picture 7" descr="https://lh3.googleusercontent.com/pC28iza3honSeAt1JFbMZxQSUCLZvBpuGFlvvz5gVomlc1ay9pQbodWJCD2s6DkFxskYW4MY3FXnOsamQ-qmi80hWQqFVK1_8xNEUkAcoT2RnvyVS-RblFDBRvc2wyGeUYV9m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C28iza3honSeAt1JFbMZxQSUCLZvBpuGFlvvz5gVomlc1ay9pQbodWJCD2s6DkFxskYW4MY3FXnOsamQ-qmi80hWQqFVK1_8xNEUkAcoT2RnvyVS-RblFDBRvc2wyGeUYV9mv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6857" cy="3200400"/>
                    </a:xfrm>
                    <a:prstGeom prst="rect">
                      <a:avLst/>
                    </a:prstGeom>
                    <a:noFill/>
                    <a:ln>
                      <a:noFill/>
                    </a:ln>
                  </pic:spPr>
                </pic:pic>
              </a:graphicData>
            </a:graphic>
          </wp:inline>
        </w:drawing>
      </w:r>
    </w:p>
    <w:p w14:paraId="3BBA2FEF" w14:textId="4221B038" w:rsidR="00F13CC7" w:rsidRPr="006F641E" w:rsidRDefault="00F13CC7" w:rsidP="00F13CC7">
      <w:pPr>
        <w:spacing w:after="0" w:line="240" w:lineRule="auto"/>
        <w:rPr>
          <w:rFonts w:ascii="Century Gothic" w:hAnsi="Century Gothic" w:cs="Times New Roman"/>
          <w:sz w:val="20"/>
          <w:szCs w:val="20"/>
        </w:rPr>
      </w:pPr>
      <w:r w:rsidRPr="009F7DA4">
        <w:rPr>
          <w:rFonts w:ascii="Century Gothic" w:hAnsi="Century Gothic" w:cs="Times New Roman"/>
          <w:color w:val="000000"/>
          <w:sz w:val="20"/>
          <w:szCs w:val="20"/>
        </w:rPr>
        <w:t>Figure</w:t>
      </w:r>
      <w:r w:rsidR="008F39DA">
        <w:rPr>
          <w:rFonts w:ascii="Century Gothic" w:hAnsi="Century Gothic" w:cs="Times New Roman"/>
          <w:color w:val="FF0000"/>
          <w:sz w:val="20"/>
          <w:szCs w:val="20"/>
        </w:rPr>
        <w:t xml:space="preserve"> </w:t>
      </w:r>
      <w:r w:rsidR="008F39DA">
        <w:rPr>
          <w:rFonts w:ascii="Century Gothic" w:hAnsi="Century Gothic" w:cs="Times New Roman"/>
          <w:sz w:val="20"/>
          <w:szCs w:val="20"/>
        </w:rPr>
        <w:t>4</w:t>
      </w:r>
      <w:r w:rsidRPr="009F7DA4">
        <w:rPr>
          <w:rFonts w:ascii="Century Gothic" w:hAnsi="Century Gothic" w:cs="Times New Roman"/>
          <w:color w:val="000000"/>
          <w:sz w:val="20"/>
          <w:szCs w:val="20"/>
        </w:rPr>
        <w:t xml:space="preserve">. Time series of the annual averages of aerosol optical depth for the study area retrieved from Terra MODIS, 2002 - 2014. </w:t>
      </w:r>
      <w:r w:rsidRPr="009F7DA4">
        <w:rPr>
          <w:rFonts w:ascii="Century Gothic" w:hAnsi="Century Gothic" w:cs="Arial"/>
          <w:color w:val="000000"/>
          <w:sz w:val="20"/>
          <w:szCs w:val="20"/>
        </w:rPr>
        <w:t>   </w:t>
      </w:r>
      <w:r w:rsidRPr="009F7DA4">
        <w:rPr>
          <w:rFonts w:ascii="Century Gothic" w:hAnsi="Century Gothic" w:cs="Arial"/>
          <w:color w:val="000000"/>
        </w:rPr>
        <w:t>     </w:t>
      </w:r>
    </w:p>
    <w:p w14:paraId="2133E5F3" w14:textId="576E9500" w:rsidR="00F13CC7" w:rsidRPr="00A36CA4" w:rsidRDefault="00F13CC7" w:rsidP="00F13CC7">
      <w:pPr>
        <w:spacing w:after="0" w:line="240" w:lineRule="auto"/>
        <w:rPr>
          <w:rFonts w:ascii="Century Gothic" w:hAnsi="Century Gothic" w:cs="Times New Roman"/>
          <w:sz w:val="20"/>
          <w:szCs w:val="20"/>
        </w:rPr>
      </w:pPr>
      <w:r w:rsidRPr="009F7DA4">
        <w:rPr>
          <w:rFonts w:ascii="Century Gothic" w:hAnsi="Century Gothic" w:cs="Times New Roman"/>
          <w:color w:val="000000"/>
        </w:rPr>
        <w:lastRenderedPageBreak/>
        <w:t>When Terra MODIS Level 2 data was correlated with BOEM Emission Inventories from 2005, 2008 and 2011</w:t>
      </w:r>
      <w:r w:rsidR="007E6095">
        <w:rPr>
          <w:rFonts w:ascii="Century Gothic" w:hAnsi="Century Gothic" w:cs="Times New Roman"/>
          <w:color w:val="000000"/>
        </w:rPr>
        <w:t xml:space="preserve"> (See Appendix B, Figures 12-17)</w:t>
      </w:r>
      <w:r w:rsidRPr="009F7DA4">
        <w:rPr>
          <w:rFonts w:ascii="Century Gothic" w:hAnsi="Century Gothic" w:cs="Times New Roman"/>
          <w:color w:val="000000"/>
        </w:rPr>
        <w:t>, no significant correlation was observed as illustrated by Figure</w:t>
      </w:r>
      <w:r w:rsidR="007E6095">
        <w:rPr>
          <w:rFonts w:ascii="Century Gothic" w:hAnsi="Century Gothic" w:cs="Times New Roman"/>
          <w:color w:val="000000"/>
        </w:rPr>
        <w:t>s 5, 6 and 7</w:t>
      </w:r>
      <w:r w:rsidRPr="009F7DA4">
        <w:rPr>
          <w:rFonts w:ascii="Century Gothic" w:hAnsi="Century Gothic" w:cs="Times New Roman"/>
          <w:color w:val="000000"/>
        </w:rPr>
        <w:t xml:space="preserve"> below</w:t>
      </w:r>
      <w:r w:rsidR="00B349F6" w:rsidRPr="009F7DA4">
        <w:rPr>
          <w:rFonts w:ascii="Century Gothic" w:hAnsi="Century Gothic" w:cs="Times New Roman"/>
          <w:color w:val="000000"/>
        </w:rPr>
        <w:t xml:space="preserve">. </w:t>
      </w:r>
      <w:r w:rsidRPr="009F7DA4">
        <w:rPr>
          <w:rFonts w:ascii="Century Gothic" w:hAnsi="Century Gothic" w:cs="Times New Roman"/>
          <w:color w:val="000000"/>
        </w:rPr>
        <w:t>The resulting trendline for 2005 showed an extremely slight positive correlation between the data, whereas the trendlines for 2008 showed extremely slight negative correlations.</w:t>
      </w:r>
      <w:r w:rsidR="00375C0F">
        <w:rPr>
          <w:rFonts w:ascii="Century Gothic" w:hAnsi="Century Gothic" w:cs="Times New Roman"/>
          <w:color w:val="000000"/>
        </w:rPr>
        <w:t xml:space="preserve"> </w:t>
      </w:r>
      <w:r w:rsidR="008A1137">
        <w:rPr>
          <w:rFonts w:ascii="Century Gothic" w:hAnsi="Century Gothic" w:cs="Times New Roman"/>
          <w:color w:val="000000"/>
        </w:rPr>
        <w:t>Additionally, m</w:t>
      </w:r>
      <w:r w:rsidR="00375C0F">
        <w:rPr>
          <w:rFonts w:ascii="Century Gothic" w:hAnsi="Century Gothic" w:cs="Times New Roman"/>
          <w:color w:val="000000"/>
        </w:rPr>
        <w:t>onthly data from BOEM and MODIS were analyzed for a single coordinate (28.2°N, 88.5°</w:t>
      </w:r>
      <w:r w:rsidR="008A1137">
        <w:rPr>
          <w:rFonts w:ascii="Century Gothic" w:hAnsi="Century Gothic" w:cs="Times New Roman"/>
          <w:color w:val="000000"/>
        </w:rPr>
        <w:t>W) in 2008 to examine</w:t>
      </w:r>
      <w:r w:rsidR="00F47094">
        <w:rPr>
          <w:rFonts w:ascii="Century Gothic" w:hAnsi="Century Gothic" w:cs="Times New Roman"/>
          <w:color w:val="000000"/>
        </w:rPr>
        <w:t xml:space="preserve"> the relationship between emissions measurements at a smaller scale (Appendix C, Figure 24). The 2008 annual time series showed correlated measu</w:t>
      </w:r>
      <w:r w:rsidR="008A1137">
        <w:rPr>
          <w:rFonts w:ascii="Century Gothic" w:hAnsi="Century Gothic" w:cs="Times New Roman"/>
          <w:color w:val="000000"/>
        </w:rPr>
        <w:t>rements for one month, June, with varying degrees of correlations for the rest of the year</w:t>
      </w:r>
      <w:r w:rsidR="00F47094">
        <w:rPr>
          <w:rFonts w:ascii="Century Gothic" w:hAnsi="Century Gothic" w:cs="Times New Roman"/>
          <w:color w:val="000000"/>
        </w:rPr>
        <w:t>.</w:t>
      </w:r>
    </w:p>
    <w:p w14:paraId="22952750" w14:textId="77777777" w:rsidR="00F13CC7" w:rsidRDefault="00F13CC7" w:rsidP="00F13CC7">
      <w:pPr>
        <w:rPr>
          <w:rFonts w:eastAsia="Times New Roman" w:cs="Times New Roman"/>
        </w:rPr>
      </w:pPr>
    </w:p>
    <w:p w14:paraId="4F11E979" w14:textId="7D402761" w:rsidR="00F13CC7" w:rsidRDefault="00F13CC7" w:rsidP="00F13CC7">
      <w:pPr>
        <w:pStyle w:val="NormalWeb"/>
        <w:spacing w:before="0" w:beforeAutospacing="0" w:after="0" w:afterAutospacing="0"/>
        <w:jc w:val="center"/>
        <w:rPr>
          <w:rFonts w:eastAsiaTheme="minorEastAsia"/>
        </w:rPr>
      </w:pPr>
      <w:r>
        <w:rPr>
          <w:rFonts w:ascii="Arial" w:hAnsi="Arial" w:cs="Arial"/>
          <w:noProof/>
          <w:color w:val="000000"/>
          <w:sz w:val="22"/>
          <w:szCs w:val="22"/>
        </w:rPr>
        <w:drawing>
          <wp:inline distT="0" distB="0" distL="0" distR="0" wp14:anchorId="4A48C0F5" wp14:editId="35FAC062">
            <wp:extent cx="5031299" cy="3200400"/>
            <wp:effectExtent l="0" t="0" r="0" b="0"/>
            <wp:docPr id="12" name="Picture 9" descr="https://lh4.googleusercontent.com/O2Ct6TylpMoL1s1QgB9kRC7swF0iDLgD3pZv7E52fu1Zro3qS4p89p-Op-AS2Nm8fA9LLQ-ytAKx2Xig84U_5Yo0bJDCuIIdy8BC3ZwPbLY-Mc5exwvMIeif8_A9KuADpUMUeW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O2Ct6TylpMoL1s1QgB9kRC7swF0iDLgD3pZv7E52fu1Zro3qS4p89p-Op-AS2Nm8fA9LLQ-ytAKx2Xig84U_5Yo0bJDCuIIdy8BC3ZwPbLY-Mc5exwvMIeif8_A9KuADpUMUeW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1299" cy="3200400"/>
                    </a:xfrm>
                    <a:prstGeom prst="rect">
                      <a:avLst/>
                    </a:prstGeom>
                    <a:noFill/>
                    <a:ln>
                      <a:noFill/>
                    </a:ln>
                  </pic:spPr>
                </pic:pic>
              </a:graphicData>
            </a:graphic>
          </wp:inline>
        </w:drawing>
      </w:r>
    </w:p>
    <w:p w14:paraId="7B09CD11" w14:textId="2EE57D95" w:rsidR="00FB0F63" w:rsidRPr="00FB0F63" w:rsidRDefault="008F39DA" w:rsidP="00F13CC7">
      <w:pPr>
        <w:pStyle w:val="NormalWeb"/>
        <w:spacing w:before="0" w:beforeAutospacing="0" w:after="0" w:afterAutospacing="0"/>
        <w:rPr>
          <w:rFonts w:ascii="Century Gothic" w:hAnsi="Century Gothic"/>
          <w:color w:val="000000"/>
          <w:sz w:val="20"/>
          <w:szCs w:val="20"/>
        </w:rPr>
      </w:pPr>
      <w:r>
        <w:rPr>
          <w:rFonts w:ascii="Century Gothic" w:hAnsi="Century Gothic"/>
          <w:color w:val="000000"/>
          <w:sz w:val="20"/>
          <w:szCs w:val="20"/>
        </w:rPr>
        <w:t>Figure 5</w:t>
      </w:r>
      <w:r w:rsidR="00FB0F63">
        <w:rPr>
          <w:rFonts w:ascii="Century Gothic" w:hAnsi="Century Gothic"/>
          <w:color w:val="000000"/>
          <w:sz w:val="20"/>
          <w:szCs w:val="20"/>
        </w:rPr>
        <w:t>. Scatter plot and correlation of BOEM PM</w:t>
      </w:r>
      <w:r w:rsidR="00FB0F63">
        <w:rPr>
          <w:rFonts w:ascii="Century Gothic" w:hAnsi="Century Gothic"/>
          <w:color w:val="000000"/>
          <w:sz w:val="20"/>
          <w:szCs w:val="20"/>
          <w:vertAlign w:val="subscript"/>
        </w:rPr>
        <w:t>2.5</w:t>
      </w:r>
      <w:r w:rsidR="00FB0F63">
        <w:rPr>
          <w:rFonts w:ascii="Century Gothic" w:hAnsi="Century Gothic"/>
          <w:color w:val="000000"/>
          <w:sz w:val="20"/>
          <w:szCs w:val="20"/>
        </w:rPr>
        <w:t xml:space="preserve"> and MODIS AOD data for 2005.</w:t>
      </w:r>
    </w:p>
    <w:p w14:paraId="370DBDE4" w14:textId="3D65C7A4" w:rsidR="00F13CC7" w:rsidRDefault="00F13CC7" w:rsidP="00F13CC7">
      <w:pPr>
        <w:pStyle w:val="Heading1"/>
        <w:jc w:val="center"/>
        <w:rPr>
          <w:rFonts w:eastAsia="Times New Roman" w:cs="Times New Roman"/>
        </w:rPr>
      </w:pPr>
      <w:r>
        <w:rPr>
          <w:rFonts w:ascii="Questrial" w:eastAsia="Times New Roman" w:hAnsi="Questrial" w:cs="Times New Roman"/>
          <w:noProof/>
          <w:color w:val="366091"/>
        </w:rPr>
        <w:lastRenderedPageBreak/>
        <w:drawing>
          <wp:inline distT="0" distB="0" distL="0" distR="0" wp14:anchorId="641F5F3A" wp14:editId="4A8E5750">
            <wp:extent cx="5031298" cy="3200400"/>
            <wp:effectExtent l="0" t="0" r="0" b="0"/>
            <wp:docPr id="11" name="Picture 10" descr="https://lh6.googleusercontent.com/tGAjPMiou3O-Lx6DQMPTXA3Wsn2Et4jyHe7KLxQz6De7cyW2ihNHVH-9UQ5MIsCKTkATCtlXwAy7jhtbIqoD5m5Oz458J6KpeytlCnRrg_287p_s7jqbaw0NB-aQD-CIaJoHmE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tGAjPMiou3O-Lx6DQMPTXA3Wsn2Et4jyHe7KLxQz6De7cyW2ihNHVH-9UQ5MIsCKTkATCtlXwAy7jhtbIqoD5m5Oz458J6KpeytlCnRrg_287p_s7jqbaw0NB-aQD-CIaJoHmEq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1298" cy="3200400"/>
                    </a:xfrm>
                    <a:prstGeom prst="rect">
                      <a:avLst/>
                    </a:prstGeom>
                    <a:noFill/>
                    <a:ln>
                      <a:noFill/>
                    </a:ln>
                  </pic:spPr>
                </pic:pic>
              </a:graphicData>
            </a:graphic>
          </wp:inline>
        </w:drawing>
      </w:r>
    </w:p>
    <w:p w14:paraId="253A9B16" w14:textId="466B3A80" w:rsidR="00F13CC7" w:rsidRPr="00FB0F63" w:rsidRDefault="00F13CC7" w:rsidP="00F13CC7">
      <w:pPr>
        <w:pStyle w:val="NormalWeb"/>
        <w:spacing w:before="0" w:beforeAutospacing="0" w:after="0" w:afterAutospacing="0"/>
        <w:rPr>
          <w:rFonts w:ascii="Century Gothic" w:eastAsiaTheme="minorEastAsia" w:hAnsi="Century Gothic"/>
          <w:sz w:val="20"/>
          <w:szCs w:val="20"/>
        </w:rPr>
      </w:pPr>
      <w:r w:rsidRPr="00FB0F63">
        <w:rPr>
          <w:rFonts w:ascii="Century Gothic" w:hAnsi="Century Gothic"/>
          <w:color w:val="000000"/>
          <w:sz w:val="20"/>
          <w:szCs w:val="20"/>
        </w:rPr>
        <w:t>Figure</w:t>
      </w:r>
      <w:r w:rsidR="008F39DA">
        <w:rPr>
          <w:rFonts w:ascii="Century Gothic" w:hAnsi="Century Gothic"/>
          <w:color w:val="FF0000"/>
          <w:sz w:val="20"/>
          <w:szCs w:val="20"/>
        </w:rPr>
        <w:t xml:space="preserve"> </w:t>
      </w:r>
      <w:r w:rsidR="008F39DA">
        <w:rPr>
          <w:rFonts w:ascii="Century Gothic" w:hAnsi="Century Gothic"/>
          <w:sz w:val="20"/>
          <w:szCs w:val="20"/>
        </w:rPr>
        <w:t>6</w:t>
      </w:r>
      <w:r w:rsidRPr="00FB0F63">
        <w:rPr>
          <w:rFonts w:ascii="Century Gothic" w:hAnsi="Century Gothic"/>
          <w:color w:val="000000"/>
          <w:sz w:val="20"/>
          <w:szCs w:val="20"/>
        </w:rPr>
        <w:t>. Scatter plot and correlation of BOEM PM</w:t>
      </w:r>
      <w:r w:rsidRPr="00FB0F63">
        <w:rPr>
          <w:rFonts w:ascii="Century Gothic" w:hAnsi="Century Gothic"/>
          <w:color w:val="000000"/>
          <w:sz w:val="20"/>
          <w:szCs w:val="20"/>
          <w:vertAlign w:val="subscript"/>
        </w:rPr>
        <w:t>2.5</w:t>
      </w:r>
      <w:r w:rsidRPr="00FB0F63">
        <w:rPr>
          <w:rFonts w:ascii="Century Gothic" w:hAnsi="Century Gothic"/>
          <w:color w:val="000000"/>
          <w:sz w:val="20"/>
          <w:szCs w:val="20"/>
        </w:rPr>
        <w:t xml:space="preserve"> and MODIS AOD data for 2008.</w:t>
      </w:r>
    </w:p>
    <w:p w14:paraId="545C6ADD" w14:textId="77777777" w:rsidR="00F13CC7" w:rsidRDefault="00F13CC7" w:rsidP="00F13CC7">
      <w:pPr>
        <w:rPr>
          <w:rFonts w:eastAsia="Times New Roman" w:cs="Times New Roman"/>
        </w:rPr>
      </w:pPr>
    </w:p>
    <w:p w14:paraId="765F2680" w14:textId="77777777" w:rsidR="00F13CC7" w:rsidRPr="00F13CC7" w:rsidRDefault="00F13CC7" w:rsidP="00F13CC7">
      <w:pPr>
        <w:spacing w:after="0" w:line="240" w:lineRule="auto"/>
        <w:rPr>
          <w:rFonts w:ascii="Times" w:eastAsia="Times New Roman" w:hAnsi="Times" w:cs="Times New Roman"/>
          <w:sz w:val="20"/>
          <w:szCs w:val="20"/>
        </w:rPr>
      </w:pPr>
    </w:p>
    <w:p w14:paraId="3B54E699" w14:textId="20D70FBB" w:rsidR="00F13CC7" w:rsidRPr="00F13CC7" w:rsidRDefault="00F13CC7" w:rsidP="00F13CC7">
      <w:pPr>
        <w:spacing w:after="0" w:line="240" w:lineRule="auto"/>
        <w:jc w:val="center"/>
        <w:rPr>
          <w:rFonts w:ascii="Times" w:hAnsi="Times" w:cs="Times New Roman"/>
          <w:sz w:val="20"/>
          <w:szCs w:val="20"/>
        </w:rPr>
      </w:pPr>
      <w:r>
        <w:rPr>
          <w:rFonts w:ascii="Questrial" w:hAnsi="Questrial" w:cs="Times New Roman"/>
          <w:noProof/>
          <w:color w:val="000000"/>
          <w:sz w:val="20"/>
          <w:szCs w:val="20"/>
        </w:rPr>
        <w:drawing>
          <wp:inline distT="0" distB="0" distL="0" distR="0" wp14:anchorId="64E31310" wp14:editId="49FA248D">
            <wp:extent cx="5019414" cy="3200400"/>
            <wp:effectExtent l="0" t="0" r="10160" b="0"/>
            <wp:docPr id="13" name="Picture 13" descr="https://lh4.googleusercontent.com/ESq7qnL7B68IFgZkNr5sMo-fwFylr4zU5R6k_Dr42CXZAUeurTOS0lkwpzruKZbtMH5V4sQ2t736qPxed1RsUi93CAmUtbB1Bfl-F_zLh-riyS8eC1DF-87y5G98-HVh5-edo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ESq7qnL7B68IFgZkNr5sMo-fwFylr4zU5R6k_Dr42CXZAUeurTOS0lkwpzruKZbtMH5V4sQ2t736qPxed1RsUi93CAmUtbB1Bfl-F_zLh-riyS8eC1DF-87y5G98-HVh5-edoT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414" cy="3200400"/>
                    </a:xfrm>
                    <a:prstGeom prst="rect">
                      <a:avLst/>
                    </a:prstGeom>
                    <a:noFill/>
                    <a:ln>
                      <a:noFill/>
                    </a:ln>
                  </pic:spPr>
                </pic:pic>
              </a:graphicData>
            </a:graphic>
          </wp:inline>
        </w:drawing>
      </w:r>
    </w:p>
    <w:p w14:paraId="57E3A2B8" w14:textId="2C150FE1" w:rsidR="00A36CA4" w:rsidRPr="00886888" w:rsidRDefault="00F13CC7" w:rsidP="00F13CC7">
      <w:pPr>
        <w:spacing w:after="0" w:line="240" w:lineRule="auto"/>
        <w:rPr>
          <w:rFonts w:ascii="Century Gothic" w:hAnsi="Century Gothic" w:cs="Times New Roman"/>
          <w:sz w:val="20"/>
          <w:szCs w:val="20"/>
        </w:rPr>
      </w:pPr>
      <w:r w:rsidRPr="00FB0F63">
        <w:rPr>
          <w:rFonts w:ascii="Century Gothic" w:hAnsi="Century Gothic" w:cs="Times New Roman"/>
          <w:color w:val="000000"/>
          <w:sz w:val="20"/>
          <w:szCs w:val="20"/>
        </w:rPr>
        <w:t>Figure</w:t>
      </w:r>
      <w:r w:rsidR="008F39DA">
        <w:rPr>
          <w:rFonts w:ascii="Century Gothic" w:hAnsi="Century Gothic" w:cs="Times New Roman"/>
          <w:color w:val="FF0000"/>
          <w:sz w:val="20"/>
          <w:szCs w:val="20"/>
        </w:rPr>
        <w:t xml:space="preserve"> </w:t>
      </w:r>
      <w:r w:rsidR="008F39DA">
        <w:rPr>
          <w:rFonts w:ascii="Century Gothic" w:hAnsi="Century Gothic" w:cs="Times New Roman"/>
          <w:sz w:val="20"/>
          <w:szCs w:val="20"/>
        </w:rPr>
        <w:t>7</w:t>
      </w:r>
      <w:r w:rsidRPr="00FB0F63">
        <w:rPr>
          <w:rFonts w:ascii="Century Gothic" w:hAnsi="Century Gothic" w:cs="Times New Roman"/>
          <w:color w:val="000000"/>
          <w:sz w:val="20"/>
          <w:szCs w:val="20"/>
        </w:rPr>
        <w:t>. Scatter plot and correlation of BOEM PM</w:t>
      </w:r>
      <w:r w:rsidRPr="00FB0F63">
        <w:rPr>
          <w:rFonts w:ascii="Century Gothic" w:hAnsi="Century Gothic" w:cs="Times New Roman"/>
          <w:color w:val="000000"/>
          <w:sz w:val="12"/>
          <w:szCs w:val="12"/>
          <w:vertAlign w:val="subscript"/>
        </w:rPr>
        <w:t>2.5</w:t>
      </w:r>
      <w:r w:rsidRPr="00FB0F63">
        <w:rPr>
          <w:rFonts w:ascii="Century Gothic" w:hAnsi="Century Gothic" w:cs="Times New Roman"/>
          <w:color w:val="000000"/>
          <w:sz w:val="20"/>
          <w:szCs w:val="20"/>
        </w:rPr>
        <w:t xml:space="preserve"> and MODIS AOD data for 2008.</w:t>
      </w:r>
    </w:p>
    <w:p w14:paraId="52E64003" w14:textId="77777777" w:rsidR="00A36CA4" w:rsidRDefault="00A36CA4" w:rsidP="00F13CC7">
      <w:pPr>
        <w:spacing w:after="0" w:line="240" w:lineRule="auto"/>
        <w:rPr>
          <w:rFonts w:ascii="Century Gothic" w:hAnsi="Century Gothic" w:cs="Times New Roman"/>
          <w:i/>
          <w:iCs/>
          <w:color w:val="000000"/>
        </w:rPr>
      </w:pPr>
    </w:p>
    <w:p w14:paraId="1C5903C0" w14:textId="77777777" w:rsidR="006F641E" w:rsidRDefault="006F641E" w:rsidP="00F13CC7">
      <w:pPr>
        <w:spacing w:after="0" w:line="240" w:lineRule="auto"/>
        <w:rPr>
          <w:rFonts w:ascii="Century Gothic" w:hAnsi="Century Gothic" w:cs="Times New Roman"/>
          <w:i/>
          <w:iCs/>
          <w:color w:val="000000"/>
        </w:rPr>
      </w:pPr>
    </w:p>
    <w:p w14:paraId="1DF19E04" w14:textId="77777777" w:rsidR="006F641E" w:rsidRDefault="006F641E" w:rsidP="00F13CC7">
      <w:pPr>
        <w:spacing w:after="0" w:line="240" w:lineRule="auto"/>
        <w:rPr>
          <w:rFonts w:ascii="Century Gothic" w:hAnsi="Century Gothic" w:cs="Times New Roman"/>
          <w:i/>
          <w:iCs/>
          <w:color w:val="000000"/>
        </w:rPr>
      </w:pPr>
    </w:p>
    <w:p w14:paraId="5947BAF2" w14:textId="77777777" w:rsidR="006F641E" w:rsidRDefault="006F641E" w:rsidP="00F13CC7">
      <w:pPr>
        <w:spacing w:after="0" w:line="240" w:lineRule="auto"/>
        <w:rPr>
          <w:rFonts w:ascii="Century Gothic" w:hAnsi="Century Gothic" w:cs="Times New Roman"/>
          <w:i/>
          <w:iCs/>
          <w:color w:val="000000"/>
        </w:rPr>
      </w:pPr>
    </w:p>
    <w:p w14:paraId="2FDBB84C" w14:textId="77777777" w:rsidR="006F641E" w:rsidRDefault="006F641E" w:rsidP="00F13CC7">
      <w:pPr>
        <w:spacing w:after="0" w:line="240" w:lineRule="auto"/>
        <w:rPr>
          <w:rFonts w:ascii="Century Gothic" w:hAnsi="Century Gothic" w:cs="Times New Roman"/>
          <w:i/>
          <w:iCs/>
          <w:color w:val="000000"/>
        </w:rPr>
      </w:pPr>
    </w:p>
    <w:p w14:paraId="1B3A020B" w14:textId="77777777" w:rsidR="006F641E" w:rsidRDefault="006F641E" w:rsidP="00F13CC7">
      <w:pPr>
        <w:spacing w:after="0" w:line="240" w:lineRule="auto"/>
        <w:rPr>
          <w:rFonts w:ascii="Century Gothic" w:hAnsi="Century Gothic" w:cs="Times New Roman"/>
          <w:i/>
          <w:iCs/>
          <w:color w:val="000000"/>
        </w:rPr>
      </w:pPr>
    </w:p>
    <w:p w14:paraId="45B7DA3E" w14:textId="6632A4C1" w:rsidR="00F13CC7" w:rsidRPr="00FB0F63" w:rsidRDefault="00A36CA4" w:rsidP="00F13CC7">
      <w:pPr>
        <w:spacing w:after="0" w:line="240" w:lineRule="auto"/>
        <w:rPr>
          <w:rFonts w:ascii="Century Gothic" w:hAnsi="Century Gothic" w:cs="Times New Roman"/>
          <w:sz w:val="20"/>
          <w:szCs w:val="20"/>
        </w:rPr>
      </w:pPr>
      <w:r>
        <w:rPr>
          <w:rFonts w:ascii="Century Gothic" w:hAnsi="Century Gothic" w:cs="Times New Roman"/>
          <w:i/>
          <w:iCs/>
          <w:color w:val="000000"/>
        </w:rPr>
        <w:lastRenderedPageBreak/>
        <w:t xml:space="preserve">Nitrogen Oxides - </w:t>
      </w:r>
      <w:r w:rsidR="00F13CC7" w:rsidRPr="00FB0F63">
        <w:rPr>
          <w:rFonts w:ascii="Century Gothic" w:hAnsi="Century Gothic" w:cs="Times New Roman"/>
          <w:i/>
          <w:iCs/>
          <w:color w:val="000000"/>
        </w:rPr>
        <w:t>Nitrogen Dioxide</w:t>
      </w:r>
    </w:p>
    <w:p w14:paraId="012EDE97" w14:textId="0BA4F8A2" w:rsidR="00F13CC7" w:rsidRDefault="00F13CC7" w:rsidP="00F13CC7">
      <w:pPr>
        <w:spacing w:after="0" w:line="240" w:lineRule="auto"/>
        <w:rPr>
          <w:rFonts w:ascii="Century Gothic" w:hAnsi="Century Gothic" w:cs="Times New Roman"/>
          <w:color w:val="000000"/>
        </w:rPr>
      </w:pPr>
      <w:r w:rsidRPr="00FB0F63">
        <w:rPr>
          <w:rFonts w:ascii="Century Gothic" w:hAnsi="Century Gothic" w:cs="Times New Roman"/>
          <w:color w:val="000000"/>
        </w:rPr>
        <w:t xml:space="preserve">For nitrogen dioxide obtained from Aura’s OMI instrument, there was an overall decline in concentration from 2005 to 2015, with the years 2005 and 2012 showing increased concentration and the years 2007, 2010 and 2014 showing decreased concentration for the study area, which is reflected in </w:t>
      </w:r>
      <w:r w:rsidR="007E6095">
        <w:rPr>
          <w:rFonts w:ascii="Century Gothic" w:hAnsi="Century Gothic" w:cs="Times New Roman"/>
          <w:color w:val="000000"/>
        </w:rPr>
        <w:t>Figure 8</w:t>
      </w:r>
      <w:r w:rsidRPr="00FB0F63">
        <w:rPr>
          <w:rFonts w:ascii="Century Gothic" w:hAnsi="Century Gothic" w:cs="Times New Roman"/>
          <w:color w:val="000000"/>
        </w:rPr>
        <w:t xml:space="preserve"> below.</w:t>
      </w:r>
    </w:p>
    <w:p w14:paraId="3F0EEEEC" w14:textId="77777777" w:rsidR="00886888" w:rsidRPr="00FB0F63" w:rsidRDefault="00886888" w:rsidP="00F13CC7">
      <w:pPr>
        <w:spacing w:after="0" w:line="240" w:lineRule="auto"/>
        <w:rPr>
          <w:rFonts w:ascii="Century Gothic" w:hAnsi="Century Gothic" w:cs="Times New Roman"/>
          <w:sz w:val="20"/>
          <w:szCs w:val="20"/>
        </w:rPr>
      </w:pPr>
    </w:p>
    <w:p w14:paraId="7E1E0724" w14:textId="77777777" w:rsidR="00F13CC7" w:rsidRDefault="00F13CC7" w:rsidP="00F13CC7">
      <w:pPr>
        <w:spacing w:after="0" w:line="240" w:lineRule="auto"/>
        <w:rPr>
          <w:rFonts w:ascii="Times" w:eastAsia="Times New Roman" w:hAnsi="Times" w:cs="Times New Roman"/>
          <w:sz w:val="20"/>
          <w:szCs w:val="20"/>
        </w:rPr>
      </w:pPr>
    </w:p>
    <w:p w14:paraId="6A2AFAF6" w14:textId="40D24128" w:rsidR="00F13CC7" w:rsidRPr="00F13CC7" w:rsidRDefault="00F13CC7" w:rsidP="00F13CC7">
      <w:pPr>
        <w:spacing w:after="0" w:line="240" w:lineRule="auto"/>
        <w:jc w:val="center"/>
        <w:rPr>
          <w:rFonts w:ascii="Times" w:hAnsi="Times" w:cs="Times New Roman"/>
          <w:sz w:val="20"/>
          <w:szCs w:val="20"/>
        </w:rPr>
      </w:pPr>
      <w:r>
        <w:rPr>
          <w:rFonts w:ascii="Questrial" w:hAnsi="Questrial" w:cs="Times New Roman"/>
          <w:noProof/>
          <w:color w:val="000000"/>
          <w:sz w:val="20"/>
          <w:szCs w:val="20"/>
        </w:rPr>
        <w:drawing>
          <wp:inline distT="0" distB="0" distL="0" distR="0" wp14:anchorId="470371A1" wp14:editId="7AA55A54">
            <wp:extent cx="5019414" cy="3200400"/>
            <wp:effectExtent l="0" t="0" r="10160" b="0"/>
            <wp:docPr id="15" name="Picture 15" descr="https://lh6.googleusercontent.com/GRny9zGkccI-KQ4sPCM3WSsM2xso7TnQJKkCwuMOJgzYdGj5CTnjcBD1QAGPoVNltYwrd169Qj6Kdbw-c7lBYhii3-MY4vKR6WmaHMkvyKdd7zRWcJkt8uVmk2JbHS_ufhb4VG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GRny9zGkccI-KQ4sPCM3WSsM2xso7TnQJKkCwuMOJgzYdGj5CTnjcBD1QAGPoVNltYwrd169Qj6Kdbw-c7lBYhii3-MY4vKR6WmaHMkvyKdd7zRWcJkt8uVmk2JbHS_ufhb4VGw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9414" cy="3200400"/>
                    </a:xfrm>
                    <a:prstGeom prst="rect">
                      <a:avLst/>
                    </a:prstGeom>
                    <a:noFill/>
                    <a:ln>
                      <a:noFill/>
                    </a:ln>
                  </pic:spPr>
                </pic:pic>
              </a:graphicData>
            </a:graphic>
          </wp:inline>
        </w:drawing>
      </w:r>
    </w:p>
    <w:p w14:paraId="0DEAA888" w14:textId="7A406336" w:rsidR="00F13CC7" w:rsidRPr="00FB0F63" w:rsidRDefault="00F13CC7" w:rsidP="00F13CC7">
      <w:pPr>
        <w:spacing w:after="0" w:line="240" w:lineRule="auto"/>
        <w:rPr>
          <w:rFonts w:ascii="Century Gothic" w:hAnsi="Century Gothic" w:cs="Times New Roman"/>
          <w:sz w:val="20"/>
          <w:szCs w:val="20"/>
        </w:rPr>
      </w:pPr>
      <w:r w:rsidRPr="00FB0F63">
        <w:rPr>
          <w:rFonts w:ascii="Century Gothic" w:hAnsi="Century Gothic" w:cs="Times New Roman"/>
          <w:color w:val="000000"/>
          <w:sz w:val="20"/>
          <w:szCs w:val="20"/>
        </w:rPr>
        <w:t>Figure</w:t>
      </w:r>
      <w:r w:rsidR="008F39DA">
        <w:rPr>
          <w:rFonts w:ascii="Century Gothic" w:hAnsi="Century Gothic" w:cs="Times New Roman"/>
          <w:color w:val="FF0000"/>
          <w:sz w:val="20"/>
          <w:szCs w:val="20"/>
        </w:rPr>
        <w:t xml:space="preserve"> </w:t>
      </w:r>
      <w:r w:rsidR="008F39DA">
        <w:rPr>
          <w:rFonts w:ascii="Century Gothic" w:hAnsi="Century Gothic" w:cs="Times New Roman"/>
          <w:sz w:val="20"/>
          <w:szCs w:val="20"/>
        </w:rPr>
        <w:t>8</w:t>
      </w:r>
      <w:r w:rsidRPr="00FB0F63">
        <w:rPr>
          <w:rFonts w:ascii="Century Gothic" w:hAnsi="Century Gothic" w:cs="Times New Roman"/>
          <w:color w:val="000000"/>
          <w:sz w:val="20"/>
          <w:szCs w:val="20"/>
        </w:rPr>
        <w:t>. Time series of the annual averages of nitrogen dioxide for the study area retrieved from Aura OMI, 2005 - 2015.</w:t>
      </w:r>
    </w:p>
    <w:p w14:paraId="7E5011DD" w14:textId="77777777" w:rsidR="00F13CC7" w:rsidRPr="00FB0F63" w:rsidRDefault="00F13CC7" w:rsidP="00F13CC7">
      <w:pPr>
        <w:spacing w:after="0" w:line="240" w:lineRule="auto"/>
        <w:rPr>
          <w:rFonts w:ascii="Century Gothic" w:eastAsia="Times New Roman" w:hAnsi="Century Gothic" w:cs="Times New Roman"/>
          <w:sz w:val="20"/>
          <w:szCs w:val="20"/>
        </w:rPr>
      </w:pPr>
    </w:p>
    <w:p w14:paraId="60CA4EC8" w14:textId="7B70680C" w:rsidR="00F13CC7" w:rsidRPr="00F47094" w:rsidRDefault="00F13CC7" w:rsidP="00F13CC7">
      <w:pPr>
        <w:spacing w:after="0" w:line="240" w:lineRule="auto"/>
        <w:rPr>
          <w:rFonts w:ascii="Century Gothic" w:hAnsi="Century Gothic" w:cs="Times New Roman"/>
          <w:color w:val="000000"/>
        </w:rPr>
      </w:pPr>
      <w:r w:rsidRPr="00FB0F63">
        <w:rPr>
          <w:rFonts w:ascii="Century Gothic" w:hAnsi="Century Gothic" w:cs="Times New Roman"/>
          <w:color w:val="000000"/>
        </w:rPr>
        <w:t>When Aura OMI Level 2 data was correlated with BOEM Emission Inventories from 2005, 2008 and 2011</w:t>
      </w:r>
      <w:r w:rsidR="007E6095">
        <w:rPr>
          <w:rFonts w:ascii="Century Gothic" w:hAnsi="Century Gothic" w:cs="Times New Roman"/>
          <w:color w:val="000000"/>
        </w:rPr>
        <w:t>(See Appendix B, Figures 18-23)</w:t>
      </w:r>
      <w:r w:rsidRPr="00FB0F63">
        <w:rPr>
          <w:rFonts w:ascii="Century Gothic" w:hAnsi="Century Gothic" w:cs="Times New Roman"/>
          <w:color w:val="000000"/>
        </w:rPr>
        <w:t>, no significant correlation was obse</w:t>
      </w:r>
      <w:r w:rsidR="007E6095">
        <w:rPr>
          <w:rFonts w:ascii="Century Gothic" w:hAnsi="Century Gothic" w:cs="Times New Roman"/>
          <w:color w:val="000000"/>
        </w:rPr>
        <w:t xml:space="preserve">rved as illustrated by Figures 9, 10 and 11 below. </w:t>
      </w:r>
      <w:r w:rsidRPr="00FB0F63">
        <w:rPr>
          <w:rFonts w:ascii="Century Gothic" w:hAnsi="Century Gothic" w:cs="Times New Roman"/>
          <w:color w:val="000000"/>
        </w:rPr>
        <w:t xml:space="preserve">The resulting trendlines for 2005 and 2008 showed </w:t>
      </w:r>
      <w:r w:rsidR="009F7DA4" w:rsidRPr="00FB0F63">
        <w:rPr>
          <w:rFonts w:ascii="Century Gothic" w:hAnsi="Century Gothic" w:cs="Times New Roman"/>
          <w:color w:val="000000"/>
        </w:rPr>
        <w:t>an extremely slight positive correlation</w:t>
      </w:r>
      <w:r w:rsidRPr="00FB0F63">
        <w:rPr>
          <w:rFonts w:ascii="Century Gothic" w:hAnsi="Century Gothic" w:cs="Times New Roman"/>
          <w:color w:val="000000"/>
        </w:rPr>
        <w:t xml:space="preserve"> between the data, whereas the trendline for 2011 showed extremely slight negative correlation</w:t>
      </w:r>
      <w:r w:rsidR="009F7DA4" w:rsidRPr="00FB0F63">
        <w:rPr>
          <w:rFonts w:ascii="Century Gothic" w:hAnsi="Century Gothic" w:cs="Times New Roman"/>
          <w:color w:val="000000"/>
        </w:rPr>
        <w:t xml:space="preserve">. </w:t>
      </w:r>
      <w:r w:rsidRPr="00FB0F63">
        <w:rPr>
          <w:rFonts w:ascii="Century Gothic" w:hAnsi="Century Gothic" w:cs="Times New Roman"/>
          <w:color w:val="000000"/>
        </w:rPr>
        <w:t>These data were better correlated than the BOEM/MODIS AOD correlations but again showed no significant correlation.</w:t>
      </w:r>
      <w:r w:rsidR="00375C0F">
        <w:rPr>
          <w:rFonts w:ascii="Century Gothic" w:hAnsi="Century Gothic" w:cs="Times New Roman"/>
          <w:color w:val="000000"/>
        </w:rPr>
        <w:t xml:space="preserve"> </w:t>
      </w:r>
      <w:r w:rsidR="00F47094">
        <w:rPr>
          <w:rFonts w:ascii="Century Gothic" w:hAnsi="Century Gothic" w:cs="Times New Roman"/>
          <w:color w:val="000000"/>
        </w:rPr>
        <w:t xml:space="preserve">Coordinate 28.2°N, 88.5°W was also identified as a hot spot for </w:t>
      </w:r>
      <w:proofErr w:type="spellStart"/>
      <w:r w:rsidR="00F47094">
        <w:rPr>
          <w:rFonts w:ascii="Century Gothic" w:hAnsi="Century Gothic" w:cs="Times New Roman"/>
          <w:color w:val="000000"/>
        </w:rPr>
        <w:t>NO</w:t>
      </w:r>
      <w:r w:rsidR="00F47094">
        <w:rPr>
          <w:rFonts w:ascii="Century Gothic" w:hAnsi="Century Gothic" w:cs="Times New Roman"/>
          <w:color w:val="000000"/>
          <w:vertAlign w:val="subscript"/>
        </w:rPr>
        <w:t>x</w:t>
      </w:r>
      <w:proofErr w:type="spellEnd"/>
      <w:r w:rsidR="00F47094">
        <w:rPr>
          <w:rFonts w:ascii="Century Gothic" w:hAnsi="Century Gothic" w:cs="Times New Roman"/>
          <w:color w:val="000000"/>
        </w:rPr>
        <w:t xml:space="preserve"> in 2008</w:t>
      </w:r>
      <w:r w:rsidR="006F641E">
        <w:rPr>
          <w:rFonts w:ascii="Century Gothic" w:hAnsi="Century Gothic" w:cs="Times New Roman"/>
          <w:color w:val="000000"/>
        </w:rPr>
        <w:t xml:space="preserve"> </w:t>
      </w:r>
      <w:r w:rsidR="008A1137">
        <w:rPr>
          <w:rFonts w:ascii="Century Gothic" w:hAnsi="Century Gothic" w:cs="Times New Roman"/>
          <w:color w:val="000000"/>
        </w:rPr>
        <w:t xml:space="preserve">and was further analyzed with monthly </w:t>
      </w:r>
      <w:proofErr w:type="gramStart"/>
      <w:r w:rsidR="008A1137">
        <w:rPr>
          <w:rFonts w:ascii="Century Gothic" w:hAnsi="Century Gothic" w:cs="Times New Roman"/>
          <w:color w:val="000000"/>
        </w:rPr>
        <w:t>data</w:t>
      </w:r>
      <w:r w:rsidR="006F641E">
        <w:rPr>
          <w:rFonts w:ascii="Century Gothic" w:hAnsi="Century Gothic" w:cs="Times New Roman"/>
          <w:color w:val="000000"/>
        </w:rPr>
        <w:t>(</w:t>
      </w:r>
      <w:proofErr w:type="gramEnd"/>
      <w:r w:rsidR="006F641E">
        <w:rPr>
          <w:rFonts w:ascii="Century Gothic" w:hAnsi="Century Gothic" w:cs="Times New Roman"/>
          <w:color w:val="000000"/>
        </w:rPr>
        <w:t>Appendix C, Figure 25)</w:t>
      </w:r>
      <w:r w:rsidR="00F47094">
        <w:rPr>
          <w:rFonts w:ascii="Century Gothic" w:hAnsi="Century Gothic" w:cs="Times New Roman"/>
          <w:color w:val="000000"/>
        </w:rPr>
        <w:t xml:space="preserve">. As shown for </w:t>
      </w:r>
      <w:r w:rsidR="008A1137">
        <w:rPr>
          <w:rFonts w:ascii="Century Gothic" w:hAnsi="Century Gothic" w:cs="Times New Roman"/>
          <w:color w:val="000000"/>
        </w:rPr>
        <w:t xml:space="preserve">the analysis of </w:t>
      </w:r>
      <w:r w:rsidR="00F47094">
        <w:rPr>
          <w:rFonts w:ascii="Century Gothic" w:hAnsi="Century Gothic" w:cs="Times New Roman"/>
          <w:color w:val="000000"/>
        </w:rPr>
        <w:t>BOEM PM</w:t>
      </w:r>
      <w:r w:rsidR="00F47094">
        <w:rPr>
          <w:rFonts w:ascii="Century Gothic" w:hAnsi="Century Gothic" w:cs="Times New Roman"/>
          <w:color w:val="000000"/>
          <w:vertAlign w:val="subscript"/>
        </w:rPr>
        <w:t>2.5</w:t>
      </w:r>
      <w:r w:rsidR="00F47094">
        <w:rPr>
          <w:rFonts w:ascii="Century Gothic" w:hAnsi="Century Gothic" w:cs="Times New Roman"/>
          <w:color w:val="000000"/>
        </w:rPr>
        <w:t>/MODIS AOD</w:t>
      </w:r>
      <w:r w:rsidR="008A1137">
        <w:rPr>
          <w:rFonts w:ascii="Century Gothic" w:hAnsi="Century Gothic" w:cs="Times New Roman"/>
          <w:color w:val="000000"/>
        </w:rPr>
        <w:t xml:space="preserve"> at the same coordinate</w:t>
      </w:r>
      <w:r w:rsidR="00F47094">
        <w:rPr>
          <w:rFonts w:ascii="Century Gothic" w:hAnsi="Century Gothic" w:cs="Times New Roman"/>
          <w:color w:val="000000"/>
        </w:rPr>
        <w:t xml:space="preserve">, </w:t>
      </w:r>
      <w:r w:rsidR="006F641E">
        <w:rPr>
          <w:rFonts w:ascii="Century Gothic" w:hAnsi="Century Gothic" w:cs="Times New Roman"/>
          <w:color w:val="000000"/>
        </w:rPr>
        <w:t>emissions measurements for June 2008 were the most strongly correlated while other monthly values showed greater variation</w:t>
      </w:r>
      <w:r w:rsidR="008A1137">
        <w:rPr>
          <w:rFonts w:ascii="Century Gothic" w:hAnsi="Century Gothic" w:cs="Times New Roman"/>
          <w:color w:val="000000"/>
        </w:rPr>
        <w:t xml:space="preserve"> between</w:t>
      </w:r>
      <w:r w:rsidR="006F641E">
        <w:rPr>
          <w:rFonts w:ascii="Century Gothic" w:hAnsi="Century Gothic" w:cs="Times New Roman"/>
          <w:color w:val="000000"/>
        </w:rPr>
        <w:t xml:space="preserve"> ground and satellite measurements.</w:t>
      </w:r>
      <w:r w:rsidR="00F47094">
        <w:rPr>
          <w:rFonts w:ascii="Century Gothic" w:hAnsi="Century Gothic" w:cs="Times New Roman"/>
          <w:color w:val="000000"/>
        </w:rPr>
        <w:t xml:space="preserve">  </w:t>
      </w:r>
    </w:p>
    <w:p w14:paraId="645859A0" w14:textId="77777777" w:rsidR="00F47094" w:rsidRDefault="00F47094" w:rsidP="00F47094">
      <w:pPr>
        <w:spacing w:after="0" w:line="240" w:lineRule="auto"/>
        <w:rPr>
          <w:rFonts w:ascii="Century Gothic" w:hAnsi="Century Gothic" w:cs="Times New Roman"/>
          <w:color w:val="000000"/>
        </w:rPr>
      </w:pPr>
    </w:p>
    <w:p w14:paraId="0D3A1160" w14:textId="77777777" w:rsidR="00F47094" w:rsidRPr="00FB0F63" w:rsidRDefault="00F47094" w:rsidP="00F13CC7">
      <w:pPr>
        <w:spacing w:after="0" w:line="240" w:lineRule="auto"/>
        <w:rPr>
          <w:rFonts w:ascii="Century Gothic" w:hAnsi="Century Gothic" w:cs="Times New Roman"/>
          <w:sz w:val="20"/>
          <w:szCs w:val="20"/>
        </w:rPr>
      </w:pPr>
    </w:p>
    <w:p w14:paraId="4C3D4677" w14:textId="77777777" w:rsidR="00F13CC7" w:rsidRPr="00F13CC7" w:rsidRDefault="00F13CC7" w:rsidP="00F13CC7">
      <w:pPr>
        <w:spacing w:after="0" w:line="240" w:lineRule="auto"/>
        <w:rPr>
          <w:rFonts w:ascii="Times" w:eastAsia="Times New Roman" w:hAnsi="Times" w:cs="Times New Roman"/>
          <w:sz w:val="20"/>
          <w:szCs w:val="20"/>
        </w:rPr>
      </w:pPr>
    </w:p>
    <w:p w14:paraId="2FDE50B7" w14:textId="16927F6F" w:rsidR="00F13CC7" w:rsidRPr="00F13CC7" w:rsidRDefault="00F13CC7" w:rsidP="00F13CC7">
      <w:pPr>
        <w:spacing w:after="0" w:line="240" w:lineRule="auto"/>
        <w:jc w:val="center"/>
        <w:rPr>
          <w:rFonts w:ascii="Times" w:hAnsi="Times" w:cs="Times New Roman"/>
          <w:sz w:val="20"/>
          <w:szCs w:val="20"/>
        </w:rPr>
      </w:pPr>
      <w:r>
        <w:rPr>
          <w:rFonts w:ascii="Questrial" w:hAnsi="Questrial" w:cs="Times New Roman"/>
          <w:noProof/>
          <w:color w:val="000000"/>
          <w:sz w:val="20"/>
          <w:szCs w:val="20"/>
        </w:rPr>
        <w:lastRenderedPageBreak/>
        <w:drawing>
          <wp:inline distT="0" distB="0" distL="0" distR="0" wp14:anchorId="33EEFF11" wp14:editId="419693B4">
            <wp:extent cx="5031308" cy="3200400"/>
            <wp:effectExtent l="0" t="0" r="0" b="0"/>
            <wp:docPr id="17" name="Picture 17" descr="https://lh3.googleusercontent.com/FRscLOEX_3K0iIltKfIlLMRpZlDhpNPF5XcHcLaDRue56vBfBD2LKEtYxJd3z_AHVRxrBfqukwFYLq1eLzOSrgAKlKZcE_90p0R2uq-83fL1tFUa_L0ztSiHFT7NEH1pPNKb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FRscLOEX_3K0iIltKfIlLMRpZlDhpNPF5XcHcLaDRue56vBfBD2LKEtYxJd3z_AHVRxrBfqukwFYLq1eLzOSrgAKlKZcE_90p0R2uq-83fL1tFUa_L0ztSiHFT7NEH1pPNKbUf-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1308" cy="3200400"/>
                    </a:xfrm>
                    <a:prstGeom prst="rect">
                      <a:avLst/>
                    </a:prstGeom>
                    <a:noFill/>
                    <a:ln>
                      <a:noFill/>
                    </a:ln>
                  </pic:spPr>
                </pic:pic>
              </a:graphicData>
            </a:graphic>
          </wp:inline>
        </w:drawing>
      </w:r>
    </w:p>
    <w:p w14:paraId="7ECB58B7" w14:textId="4D4AC0FF" w:rsidR="00F13CC7" w:rsidRDefault="00F13CC7" w:rsidP="00F13CC7">
      <w:pPr>
        <w:spacing w:after="0" w:line="240" w:lineRule="auto"/>
        <w:rPr>
          <w:rFonts w:ascii="Century Gothic" w:hAnsi="Century Gothic" w:cs="Times New Roman"/>
          <w:color w:val="000000"/>
          <w:sz w:val="20"/>
          <w:szCs w:val="20"/>
        </w:rPr>
      </w:pPr>
      <w:r w:rsidRPr="00FB0F63">
        <w:rPr>
          <w:rFonts w:ascii="Century Gothic" w:hAnsi="Century Gothic" w:cs="Times New Roman"/>
          <w:color w:val="000000"/>
          <w:sz w:val="20"/>
          <w:szCs w:val="20"/>
        </w:rPr>
        <w:t>Figure</w:t>
      </w:r>
      <w:r w:rsidR="008F39DA">
        <w:rPr>
          <w:rFonts w:ascii="Century Gothic" w:hAnsi="Century Gothic" w:cs="Times New Roman"/>
          <w:color w:val="FF0000"/>
          <w:sz w:val="20"/>
          <w:szCs w:val="20"/>
        </w:rPr>
        <w:t xml:space="preserve"> </w:t>
      </w:r>
      <w:r w:rsidR="008F39DA">
        <w:rPr>
          <w:rFonts w:ascii="Century Gothic" w:hAnsi="Century Gothic" w:cs="Times New Roman"/>
          <w:sz w:val="20"/>
          <w:szCs w:val="20"/>
        </w:rPr>
        <w:t>9.</w:t>
      </w:r>
      <w:r w:rsidRPr="00FB0F63">
        <w:rPr>
          <w:rFonts w:ascii="Century Gothic" w:hAnsi="Century Gothic" w:cs="Times New Roman"/>
          <w:color w:val="000000"/>
          <w:sz w:val="20"/>
          <w:szCs w:val="20"/>
        </w:rPr>
        <w:t xml:space="preserve"> Scatter plot and correlation of BOEM NO</w:t>
      </w:r>
      <w:r w:rsidRPr="00FB0F63">
        <w:rPr>
          <w:rFonts w:ascii="Century Gothic" w:hAnsi="Century Gothic" w:cs="Times New Roman"/>
          <w:color w:val="000000"/>
          <w:sz w:val="12"/>
          <w:szCs w:val="12"/>
          <w:vertAlign w:val="subscript"/>
        </w:rPr>
        <w:t>2</w:t>
      </w:r>
      <w:r w:rsidRPr="00FB0F63">
        <w:rPr>
          <w:rFonts w:ascii="Century Gothic" w:hAnsi="Century Gothic" w:cs="Times New Roman"/>
          <w:color w:val="000000"/>
          <w:sz w:val="20"/>
          <w:szCs w:val="20"/>
        </w:rPr>
        <w:t xml:space="preserve"> and OMI NO</w:t>
      </w:r>
      <w:r w:rsidRPr="00FB0F63">
        <w:rPr>
          <w:rFonts w:ascii="Century Gothic" w:hAnsi="Century Gothic" w:cs="Times New Roman"/>
          <w:color w:val="000000"/>
          <w:sz w:val="12"/>
          <w:szCs w:val="12"/>
          <w:vertAlign w:val="subscript"/>
        </w:rPr>
        <w:t>2</w:t>
      </w:r>
      <w:r w:rsidRPr="00FB0F63">
        <w:rPr>
          <w:rFonts w:ascii="Century Gothic" w:hAnsi="Century Gothic" w:cs="Times New Roman"/>
          <w:color w:val="000000"/>
          <w:sz w:val="20"/>
          <w:szCs w:val="20"/>
        </w:rPr>
        <w:t xml:space="preserve"> data for 2005.</w:t>
      </w:r>
    </w:p>
    <w:p w14:paraId="3FE76F02" w14:textId="77777777" w:rsidR="00A36CA4" w:rsidRPr="00FB0F63" w:rsidRDefault="00A36CA4" w:rsidP="00F13CC7">
      <w:pPr>
        <w:spacing w:after="0" w:line="240" w:lineRule="auto"/>
        <w:rPr>
          <w:rFonts w:ascii="Century Gothic" w:hAnsi="Century Gothic" w:cs="Times New Roman"/>
          <w:sz w:val="20"/>
          <w:szCs w:val="20"/>
        </w:rPr>
      </w:pPr>
    </w:p>
    <w:p w14:paraId="5A175552" w14:textId="77777777" w:rsidR="00F13CC7" w:rsidRPr="00F13CC7" w:rsidRDefault="00F13CC7" w:rsidP="00F13CC7">
      <w:pPr>
        <w:spacing w:after="0" w:line="240" w:lineRule="auto"/>
        <w:rPr>
          <w:rFonts w:ascii="Times" w:eastAsia="Times New Roman" w:hAnsi="Times" w:cs="Times New Roman"/>
          <w:sz w:val="20"/>
          <w:szCs w:val="20"/>
        </w:rPr>
      </w:pPr>
    </w:p>
    <w:p w14:paraId="4C3119E8" w14:textId="194713C7" w:rsidR="00F13CC7" w:rsidRPr="00F13CC7" w:rsidRDefault="00F13CC7" w:rsidP="00F13CC7">
      <w:pPr>
        <w:spacing w:after="0" w:line="240" w:lineRule="auto"/>
        <w:jc w:val="center"/>
        <w:rPr>
          <w:rFonts w:ascii="Times" w:hAnsi="Times" w:cs="Times New Roman"/>
          <w:sz w:val="20"/>
          <w:szCs w:val="20"/>
        </w:rPr>
      </w:pPr>
      <w:r>
        <w:rPr>
          <w:rFonts w:ascii="Arial" w:hAnsi="Arial" w:cs="Arial"/>
          <w:noProof/>
          <w:color w:val="000000"/>
        </w:rPr>
        <w:drawing>
          <wp:inline distT="0" distB="0" distL="0" distR="0" wp14:anchorId="72BBF621" wp14:editId="4BA9CC1C">
            <wp:extent cx="5019414" cy="3200400"/>
            <wp:effectExtent l="0" t="0" r="10160" b="0"/>
            <wp:docPr id="18" name="Picture 18" descr="https://lh3.googleusercontent.com/Fg2H5GUicO-BpBztpPt6xMu9xtXsxTh0OlU_VIakLqJXqaENM0ZCgLU1bjWHYOZW-qBmS1vnYkTjtlaMkKb5p1_r9ob7eVbt4bBkrBI1HXKBZMmUKjC6ejQzvLs4mA03bW8xyi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Fg2H5GUicO-BpBztpPt6xMu9xtXsxTh0OlU_VIakLqJXqaENM0ZCgLU1bjWHYOZW-qBmS1vnYkTjtlaMkKb5p1_r9ob7eVbt4bBkrBI1HXKBZMmUKjC6ejQzvLs4mA03bW8xyiZ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414" cy="3200400"/>
                    </a:xfrm>
                    <a:prstGeom prst="rect">
                      <a:avLst/>
                    </a:prstGeom>
                    <a:noFill/>
                    <a:ln>
                      <a:noFill/>
                    </a:ln>
                  </pic:spPr>
                </pic:pic>
              </a:graphicData>
            </a:graphic>
          </wp:inline>
        </w:drawing>
      </w:r>
    </w:p>
    <w:p w14:paraId="12BBC16F" w14:textId="35C48689" w:rsidR="00F13CC7" w:rsidRPr="00F13CC7" w:rsidRDefault="00F13CC7" w:rsidP="00F13CC7">
      <w:pPr>
        <w:spacing w:after="0" w:line="240" w:lineRule="auto"/>
        <w:rPr>
          <w:rFonts w:ascii="Century Gothic" w:hAnsi="Century Gothic" w:cs="Times New Roman"/>
          <w:sz w:val="20"/>
          <w:szCs w:val="20"/>
        </w:rPr>
      </w:pPr>
      <w:r w:rsidRPr="00F13CC7">
        <w:rPr>
          <w:rFonts w:ascii="Century Gothic" w:hAnsi="Century Gothic" w:cs="Times New Roman"/>
          <w:color w:val="000000"/>
          <w:sz w:val="20"/>
          <w:szCs w:val="20"/>
        </w:rPr>
        <w:t>Figure</w:t>
      </w:r>
      <w:r w:rsidRPr="00F13CC7">
        <w:rPr>
          <w:rFonts w:ascii="Century Gothic" w:hAnsi="Century Gothic" w:cs="Times New Roman"/>
          <w:color w:val="FF0000"/>
          <w:sz w:val="20"/>
          <w:szCs w:val="20"/>
        </w:rPr>
        <w:t xml:space="preserve"> </w:t>
      </w:r>
      <w:r w:rsidR="008F39DA">
        <w:rPr>
          <w:rFonts w:ascii="Century Gothic" w:hAnsi="Century Gothic" w:cs="Times New Roman"/>
          <w:sz w:val="20"/>
          <w:szCs w:val="20"/>
        </w:rPr>
        <w:t>10.</w:t>
      </w:r>
      <w:r w:rsidRPr="00F13CC7">
        <w:rPr>
          <w:rFonts w:ascii="Century Gothic" w:hAnsi="Century Gothic" w:cs="Times New Roman"/>
          <w:color w:val="000000"/>
          <w:sz w:val="20"/>
          <w:szCs w:val="20"/>
        </w:rPr>
        <w:t xml:space="preserve"> Scatter plot and correlation of BOEM NO</w:t>
      </w:r>
      <w:r w:rsidRPr="00F13CC7">
        <w:rPr>
          <w:rFonts w:ascii="Century Gothic" w:hAnsi="Century Gothic" w:cs="Times New Roman"/>
          <w:color w:val="000000"/>
          <w:sz w:val="12"/>
          <w:szCs w:val="12"/>
          <w:vertAlign w:val="subscript"/>
        </w:rPr>
        <w:t>2</w:t>
      </w:r>
      <w:r w:rsidRPr="00F13CC7">
        <w:rPr>
          <w:rFonts w:ascii="Century Gothic" w:hAnsi="Century Gothic" w:cs="Times New Roman"/>
          <w:color w:val="000000"/>
          <w:sz w:val="20"/>
          <w:szCs w:val="20"/>
        </w:rPr>
        <w:t xml:space="preserve"> and OMI NO</w:t>
      </w:r>
      <w:r w:rsidRPr="00F13CC7">
        <w:rPr>
          <w:rFonts w:ascii="Century Gothic" w:hAnsi="Century Gothic" w:cs="Times New Roman"/>
          <w:color w:val="000000"/>
          <w:sz w:val="12"/>
          <w:szCs w:val="12"/>
          <w:vertAlign w:val="subscript"/>
        </w:rPr>
        <w:t>2</w:t>
      </w:r>
      <w:r w:rsidRPr="00F13CC7">
        <w:rPr>
          <w:rFonts w:ascii="Century Gothic" w:hAnsi="Century Gothic" w:cs="Times New Roman"/>
          <w:color w:val="000000"/>
          <w:sz w:val="20"/>
          <w:szCs w:val="20"/>
        </w:rPr>
        <w:t xml:space="preserve"> data for 2008.</w:t>
      </w:r>
    </w:p>
    <w:p w14:paraId="47F8853B" w14:textId="77777777" w:rsidR="00F13CC7" w:rsidRPr="00F13CC7" w:rsidRDefault="00F13CC7" w:rsidP="00F13CC7">
      <w:pPr>
        <w:spacing w:after="0" w:line="240" w:lineRule="auto"/>
        <w:rPr>
          <w:rFonts w:ascii="Times" w:eastAsia="Times New Roman" w:hAnsi="Times" w:cs="Times New Roman"/>
          <w:sz w:val="20"/>
          <w:szCs w:val="20"/>
        </w:rPr>
      </w:pPr>
    </w:p>
    <w:p w14:paraId="2B83063A" w14:textId="3BCE7E9A" w:rsidR="00F13CC7" w:rsidRPr="00F13CC7" w:rsidRDefault="00F13CC7" w:rsidP="00F13CC7">
      <w:pPr>
        <w:spacing w:after="0" w:line="240" w:lineRule="auto"/>
        <w:jc w:val="center"/>
        <w:rPr>
          <w:rFonts w:ascii="Times" w:hAnsi="Times" w:cs="Times New Roman"/>
          <w:sz w:val="20"/>
          <w:szCs w:val="20"/>
        </w:rPr>
      </w:pPr>
      <w:r>
        <w:rPr>
          <w:rFonts w:ascii="Questrial" w:hAnsi="Questrial" w:cs="Times New Roman"/>
          <w:noProof/>
          <w:color w:val="000000"/>
          <w:sz w:val="20"/>
          <w:szCs w:val="20"/>
        </w:rPr>
        <w:lastRenderedPageBreak/>
        <w:drawing>
          <wp:inline distT="0" distB="0" distL="0" distR="0" wp14:anchorId="615596B2" wp14:editId="64EC40CC">
            <wp:extent cx="5019414" cy="3200400"/>
            <wp:effectExtent l="0" t="0" r="10160" b="0"/>
            <wp:docPr id="21" name="Picture 21" descr="https://lh4.googleusercontent.com/93UuZ0fm7N7PdOTNqgMuconB9SnZUu7L7hYzF1tIldIqfie0Pt7QlHloD3PBLC_t4XIhU2pSsR-OluZOawts1qL4sxuBd01-0R9Yuipx-BAkcwZ1nYIsBaFuacVMKPuVmq_Zmy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93UuZ0fm7N7PdOTNqgMuconB9SnZUu7L7hYzF1tIldIqfie0Pt7QlHloD3PBLC_t4XIhU2pSsR-OluZOawts1qL4sxuBd01-0R9Yuipx-BAkcwZ1nYIsBaFuacVMKPuVmq_Zmyl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414" cy="3200400"/>
                    </a:xfrm>
                    <a:prstGeom prst="rect">
                      <a:avLst/>
                    </a:prstGeom>
                    <a:noFill/>
                    <a:ln>
                      <a:noFill/>
                    </a:ln>
                  </pic:spPr>
                </pic:pic>
              </a:graphicData>
            </a:graphic>
          </wp:inline>
        </w:drawing>
      </w:r>
    </w:p>
    <w:p w14:paraId="5C92B78F" w14:textId="63207909" w:rsidR="00F13CC7" w:rsidRPr="00F13CC7" w:rsidRDefault="00F13CC7" w:rsidP="00F13CC7">
      <w:pPr>
        <w:spacing w:after="0" w:line="240" w:lineRule="auto"/>
        <w:rPr>
          <w:rFonts w:ascii="Century Gothic" w:hAnsi="Century Gothic" w:cs="Times New Roman"/>
          <w:sz w:val="20"/>
          <w:szCs w:val="20"/>
        </w:rPr>
      </w:pPr>
      <w:r w:rsidRPr="00F13CC7">
        <w:rPr>
          <w:rFonts w:ascii="Century Gothic" w:hAnsi="Century Gothic" w:cs="Times New Roman"/>
          <w:color w:val="000000"/>
          <w:sz w:val="20"/>
          <w:szCs w:val="20"/>
        </w:rPr>
        <w:t>Figure</w:t>
      </w:r>
      <w:r w:rsidR="008F39DA">
        <w:rPr>
          <w:rFonts w:ascii="Century Gothic" w:hAnsi="Century Gothic" w:cs="Times New Roman"/>
          <w:color w:val="FF0000"/>
          <w:sz w:val="20"/>
          <w:szCs w:val="20"/>
        </w:rPr>
        <w:t xml:space="preserve"> </w:t>
      </w:r>
      <w:r w:rsidR="008F39DA">
        <w:rPr>
          <w:rFonts w:ascii="Century Gothic" w:hAnsi="Century Gothic" w:cs="Times New Roman"/>
          <w:sz w:val="20"/>
          <w:szCs w:val="20"/>
        </w:rPr>
        <w:t>11</w:t>
      </w:r>
      <w:r w:rsidRPr="00F13CC7">
        <w:rPr>
          <w:rFonts w:ascii="Century Gothic" w:hAnsi="Century Gothic" w:cs="Times New Roman"/>
          <w:color w:val="000000"/>
          <w:sz w:val="20"/>
          <w:szCs w:val="20"/>
        </w:rPr>
        <w:t>. Scatterplot and correlation of BOEM NO</w:t>
      </w:r>
      <w:r w:rsidRPr="00F13CC7">
        <w:rPr>
          <w:rFonts w:ascii="Century Gothic" w:hAnsi="Century Gothic" w:cs="Times New Roman"/>
          <w:color w:val="000000"/>
          <w:sz w:val="12"/>
          <w:szCs w:val="12"/>
          <w:vertAlign w:val="subscript"/>
        </w:rPr>
        <w:t>2</w:t>
      </w:r>
      <w:r w:rsidRPr="00F13CC7">
        <w:rPr>
          <w:rFonts w:ascii="Century Gothic" w:hAnsi="Century Gothic" w:cs="Times New Roman"/>
          <w:color w:val="000000"/>
          <w:sz w:val="20"/>
          <w:szCs w:val="20"/>
        </w:rPr>
        <w:t xml:space="preserve"> and OMI NO</w:t>
      </w:r>
      <w:r w:rsidRPr="00F13CC7">
        <w:rPr>
          <w:rFonts w:ascii="Century Gothic" w:hAnsi="Century Gothic" w:cs="Times New Roman"/>
          <w:color w:val="000000"/>
          <w:sz w:val="12"/>
          <w:szCs w:val="12"/>
          <w:vertAlign w:val="subscript"/>
        </w:rPr>
        <w:t>2</w:t>
      </w:r>
      <w:r w:rsidRPr="00F13CC7">
        <w:rPr>
          <w:rFonts w:ascii="Century Gothic" w:hAnsi="Century Gothic" w:cs="Times New Roman"/>
          <w:color w:val="000000"/>
          <w:sz w:val="20"/>
          <w:szCs w:val="20"/>
        </w:rPr>
        <w:t xml:space="preserve"> data for 2011.</w:t>
      </w:r>
    </w:p>
    <w:p w14:paraId="0398D6A6" w14:textId="77777777" w:rsidR="00F13CC7" w:rsidRPr="00F13CC7" w:rsidRDefault="00F13CC7" w:rsidP="00F13CC7">
      <w:pPr>
        <w:spacing w:after="0" w:line="240" w:lineRule="auto"/>
        <w:rPr>
          <w:rFonts w:ascii="Century Gothic" w:eastAsia="Times New Roman" w:hAnsi="Century Gothic" w:cs="Times New Roman"/>
          <w:sz w:val="20"/>
          <w:szCs w:val="20"/>
        </w:rPr>
      </w:pPr>
    </w:p>
    <w:p w14:paraId="196F4EC9" w14:textId="03DB578A" w:rsidR="00F13CC7" w:rsidRPr="00F13CC7" w:rsidRDefault="00F13CC7" w:rsidP="00F13CC7">
      <w:pPr>
        <w:spacing w:after="0" w:line="240" w:lineRule="auto"/>
        <w:rPr>
          <w:rFonts w:ascii="Century Gothic" w:hAnsi="Century Gothic" w:cs="Times New Roman"/>
          <w:sz w:val="20"/>
          <w:szCs w:val="20"/>
        </w:rPr>
      </w:pPr>
      <w:r w:rsidRPr="00F13CC7">
        <w:rPr>
          <w:rFonts w:ascii="Century Gothic" w:hAnsi="Century Gothic" w:cs="Times New Roman"/>
          <w:color w:val="000000"/>
        </w:rPr>
        <w:t>The availability of long term (10+ years) data, ease of accessibility and global coverage at fine spatial resolution make Terra MODIS and Aura OMI data ideally suited to perform regional</w:t>
      </w:r>
      <w:r w:rsidR="00E94024">
        <w:rPr>
          <w:rFonts w:ascii="Century Gothic" w:hAnsi="Century Gothic" w:cs="Times New Roman"/>
          <w:color w:val="000000"/>
        </w:rPr>
        <w:t xml:space="preserve"> analysis of emission patterns.</w:t>
      </w:r>
      <w:r w:rsidRPr="00F13CC7">
        <w:rPr>
          <w:rFonts w:ascii="Century Gothic" w:hAnsi="Century Gothic" w:cs="Times New Roman"/>
          <w:color w:val="000000"/>
        </w:rPr>
        <w:t> When combined with point-source data from BOEM’s Emission Inventories of 2005, 2008 and 2011, strong</w:t>
      </w:r>
      <w:r w:rsidR="00375C0F">
        <w:rPr>
          <w:rFonts w:ascii="Century Gothic" w:hAnsi="Century Gothic" w:cs="Times New Roman"/>
          <w:color w:val="000000"/>
        </w:rPr>
        <w:t>er correlation was anticipated.</w:t>
      </w:r>
      <w:r w:rsidRPr="00F13CC7">
        <w:rPr>
          <w:rFonts w:ascii="Century Gothic" w:hAnsi="Century Gothic" w:cs="Times New Roman"/>
          <w:color w:val="000000"/>
        </w:rPr>
        <w:t> The lack of correlation can best be</w:t>
      </w:r>
      <w:r w:rsidR="00375C0F">
        <w:rPr>
          <w:rFonts w:ascii="Century Gothic" w:hAnsi="Century Gothic" w:cs="Times New Roman"/>
          <w:color w:val="000000"/>
        </w:rPr>
        <w:t xml:space="preserve"> explained by several factors. </w:t>
      </w:r>
      <w:r w:rsidRPr="00F13CC7">
        <w:rPr>
          <w:rFonts w:ascii="Century Gothic" w:hAnsi="Century Gothic" w:cs="Times New Roman"/>
          <w:color w:val="000000"/>
        </w:rPr>
        <w:t>First, satellite instrumentation provides data for the total tropospheric column whereas point-sourced data only records surface level acti</w:t>
      </w:r>
      <w:r w:rsidR="00E94024">
        <w:rPr>
          <w:rFonts w:ascii="Century Gothic" w:hAnsi="Century Gothic" w:cs="Times New Roman"/>
          <w:color w:val="000000"/>
        </w:rPr>
        <w:t xml:space="preserve">vity. </w:t>
      </w:r>
      <w:r w:rsidRPr="00F13CC7">
        <w:rPr>
          <w:rFonts w:ascii="Century Gothic" w:hAnsi="Century Gothic" w:cs="Times New Roman"/>
          <w:color w:val="000000"/>
        </w:rPr>
        <w:t>It is highly likely that the point-sourced data was not strong enough to be detected by the sa</w:t>
      </w:r>
      <w:r w:rsidR="00375C0F">
        <w:rPr>
          <w:rFonts w:ascii="Century Gothic" w:hAnsi="Century Gothic" w:cs="Times New Roman"/>
          <w:color w:val="000000"/>
        </w:rPr>
        <w:t xml:space="preserve">tellites without interference. </w:t>
      </w:r>
      <w:r w:rsidRPr="00F13CC7">
        <w:rPr>
          <w:rFonts w:ascii="Century Gothic" w:hAnsi="Century Gothic" w:cs="Times New Roman"/>
          <w:color w:val="000000"/>
        </w:rPr>
        <w:t xml:space="preserve">Secondly, BOEM’s emission inventories evolved from 2000-2008 to become a standardized </w:t>
      </w:r>
      <w:r w:rsidR="009F7DA4" w:rsidRPr="00F13CC7">
        <w:rPr>
          <w:rFonts w:ascii="Century Gothic" w:hAnsi="Century Gothic" w:cs="Times New Roman"/>
          <w:color w:val="000000"/>
        </w:rPr>
        <w:t>triennial</w:t>
      </w:r>
      <w:r w:rsidRPr="00F13CC7">
        <w:rPr>
          <w:rFonts w:ascii="Century Gothic" w:hAnsi="Century Gothic" w:cs="Times New Roman"/>
          <w:color w:val="000000"/>
        </w:rPr>
        <w:t xml:space="preserve"> product</w:t>
      </w:r>
      <w:r w:rsidR="009F7DA4" w:rsidRPr="00F13CC7">
        <w:rPr>
          <w:rFonts w:ascii="Century Gothic" w:hAnsi="Century Gothic" w:cs="Times New Roman"/>
          <w:color w:val="000000"/>
        </w:rPr>
        <w:t xml:space="preserve">. </w:t>
      </w:r>
      <w:r w:rsidRPr="00F13CC7">
        <w:rPr>
          <w:rFonts w:ascii="Century Gothic" w:hAnsi="Century Gothic" w:cs="Times New Roman"/>
          <w:color w:val="000000"/>
        </w:rPr>
        <w:t>Emissions recorded in the 2000 and 2005 inventories were not consistently provided as monthly data for non-platform sources making it possible to analyze at an annual scale instead of a monthly scale.  </w:t>
      </w:r>
    </w:p>
    <w:p w14:paraId="17F87574" w14:textId="77777777" w:rsidR="00375C0F" w:rsidRDefault="00375C0F" w:rsidP="00F13CC7">
      <w:pPr>
        <w:spacing w:after="0" w:line="240" w:lineRule="auto"/>
        <w:rPr>
          <w:rFonts w:ascii="Century Gothic" w:eastAsia="Times New Roman" w:hAnsi="Century Gothic" w:cs="Times New Roman"/>
          <w:color w:val="000000"/>
        </w:rPr>
      </w:pPr>
    </w:p>
    <w:p w14:paraId="5E2E3C80" w14:textId="5F1AA67E" w:rsidR="00F13CC7" w:rsidRPr="00F13CC7" w:rsidRDefault="00F13CC7" w:rsidP="00F13CC7">
      <w:pPr>
        <w:spacing w:after="0" w:line="240" w:lineRule="auto"/>
        <w:rPr>
          <w:rFonts w:ascii="Century Gothic" w:eastAsia="Times New Roman" w:hAnsi="Century Gothic" w:cs="Times New Roman"/>
          <w:sz w:val="20"/>
          <w:szCs w:val="20"/>
        </w:rPr>
      </w:pPr>
      <w:r w:rsidRPr="00F13CC7">
        <w:rPr>
          <w:rFonts w:ascii="Century Gothic" w:eastAsia="Times New Roman" w:hAnsi="Century Gothic" w:cs="Times New Roman"/>
          <w:color w:val="000000"/>
        </w:rPr>
        <w:t>To alleviate these issues, it is recommended that additional satellite data from CALIPSO’s CALIOP lidar instrument be integrated, which will provide the vertical pollutant distribution and allow for a stronger comparison between point-sourced surface data an</w:t>
      </w:r>
      <w:r w:rsidR="00375C0F">
        <w:rPr>
          <w:rFonts w:ascii="Century Gothic" w:eastAsia="Times New Roman" w:hAnsi="Century Gothic" w:cs="Times New Roman"/>
          <w:color w:val="000000"/>
        </w:rPr>
        <w:t>d lower tropospheric emissions.</w:t>
      </w:r>
      <w:r w:rsidRPr="00F13CC7">
        <w:rPr>
          <w:rFonts w:ascii="Century Gothic" w:eastAsia="Times New Roman" w:hAnsi="Century Gothic" w:cs="Times New Roman"/>
          <w:color w:val="000000"/>
        </w:rPr>
        <w:t> Additionally, it is recommended that the BOEM 2014 Emissions Inventory is integrated into this study when becomes available in the summer of 2016 to provide an additional year of data comparison and better c</w:t>
      </w:r>
      <w:r w:rsidR="00375C0F">
        <w:rPr>
          <w:rFonts w:ascii="Century Gothic" w:eastAsia="Times New Roman" w:hAnsi="Century Gothic" w:cs="Times New Roman"/>
          <w:color w:val="000000"/>
        </w:rPr>
        <w:t xml:space="preserve">orrelation. </w:t>
      </w:r>
      <w:r w:rsidRPr="00F13CC7">
        <w:rPr>
          <w:rFonts w:ascii="Century Gothic" w:eastAsia="Times New Roman" w:hAnsi="Century Gothic" w:cs="Times New Roman"/>
          <w:color w:val="000000"/>
        </w:rPr>
        <w:t xml:space="preserve">Lastly, additional pollutants were suggested in the original study proposal that </w:t>
      </w:r>
      <w:r w:rsidR="009F7DA4" w:rsidRPr="00F13CC7">
        <w:rPr>
          <w:rFonts w:ascii="Century Gothic" w:eastAsia="Times New Roman" w:hAnsi="Century Gothic" w:cs="Times New Roman"/>
          <w:color w:val="000000"/>
        </w:rPr>
        <w:t>could not</w:t>
      </w:r>
      <w:r w:rsidRPr="00F13CC7">
        <w:rPr>
          <w:rFonts w:ascii="Century Gothic" w:eastAsia="Times New Roman" w:hAnsi="Century Gothic" w:cs="Times New Roman"/>
          <w:color w:val="000000"/>
        </w:rPr>
        <w:t xml:space="preserve"> be integrated into this study due to time constraints</w:t>
      </w:r>
      <w:r w:rsidR="009F7DA4" w:rsidRPr="00F13CC7">
        <w:rPr>
          <w:rFonts w:ascii="Century Gothic" w:eastAsia="Times New Roman" w:hAnsi="Century Gothic" w:cs="Times New Roman"/>
          <w:color w:val="000000"/>
        </w:rPr>
        <w:t xml:space="preserve">. </w:t>
      </w:r>
      <w:r w:rsidRPr="00F13CC7">
        <w:rPr>
          <w:rFonts w:ascii="Century Gothic" w:eastAsia="Times New Roman" w:hAnsi="Century Gothic" w:cs="Times New Roman"/>
          <w:color w:val="000000"/>
        </w:rPr>
        <w:t>Future work in this area on other pollutants such as sulfur dioxide, methane, carbon monoxide and volatile organic compounds could yield stronger correlations as additional satellite data is incorporated in the study.</w:t>
      </w:r>
    </w:p>
    <w:p w14:paraId="3FDAE7FB" w14:textId="77777777" w:rsidR="009C6E95" w:rsidRDefault="009C6E95" w:rsidP="008434F3">
      <w:pPr>
        <w:spacing w:after="0" w:line="240" w:lineRule="auto"/>
        <w:rPr>
          <w:rFonts w:ascii="Century Gothic" w:eastAsia="Times New Roman" w:hAnsi="Century Gothic" w:cs="Arial"/>
          <w:i/>
          <w:color w:val="000000"/>
        </w:rPr>
      </w:pPr>
    </w:p>
    <w:p w14:paraId="2177AADA" w14:textId="28455C24" w:rsidR="00E41324" w:rsidRDefault="008B7071" w:rsidP="00D3013B">
      <w:pPr>
        <w:pStyle w:val="Heading1"/>
        <w:rPr>
          <w:rFonts w:ascii="Century Gothic" w:hAnsi="Century Gothic"/>
        </w:rPr>
      </w:pPr>
      <w:bookmarkStart w:id="5" w:name="_Toc334198735"/>
      <w:r>
        <w:rPr>
          <w:rFonts w:ascii="Century Gothic" w:hAnsi="Century Gothic"/>
        </w:rPr>
        <w:lastRenderedPageBreak/>
        <w:t xml:space="preserve">V. </w:t>
      </w:r>
      <w:r w:rsidR="00E41324" w:rsidRPr="00B265D9">
        <w:rPr>
          <w:rFonts w:ascii="Century Gothic" w:hAnsi="Century Gothic"/>
        </w:rPr>
        <w:t>Conclusions</w:t>
      </w:r>
      <w:bookmarkEnd w:id="5"/>
    </w:p>
    <w:p w14:paraId="7BDBACE3" w14:textId="4B36CCEB" w:rsidR="00F13CC7" w:rsidRPr="006F641E" w:rsidRDefault="00F13CC7" w:rsidP="006F641E">
      <w:pPr>
        <w:spacing w:after="0" w:line="240" w:lineRule="auto"/>
        <w:rPr>
          <w:rFonts w:ascii="Century Gothic" w:eastAsia="Times New Roman" w:hAnsi="Century Gothic" w:cs="Times New Roman"/>
        </w:rPr>
      </w:pPr>
      <w:r w:rsidRPr="00F13CC7">
        <w:rPr>
          <w:rFonts w:ascii="Century Gothic" w:eastAsia="Times New Roman" w:hAnsi="Century Gothic" w:cs="Times New Roman"/>
          <w:color w:val="000000"/>
        </w:rPr>
        <w:t>The overall objectives of the 2016 Gulf of Mexico Health and Air Quality Team were to map and analyze airborne pollutant concentrations of PM</w:t>
      </w:r>
      <w:r w:rsidRPr="00F13CC7">
        <w:rPr>
          <w:rFonts w:ascii="Century Gothic" w:eastAsia="Times New Roman" w:hAnsi="Century Gothic" w:cs="Times New Roman"/>
          <w:color w:val="000000"/>
          <w:vertAlign w:val="subscript"/>
        </w:rPr>
        <w:t>2.5</w:t>
      </w:r>
      <w:r w:rsidRPr="00F13CC7">
        <w:rPr>
          <w:rFonts w:ascii="Century Gothic" w:eastAsia="Times New Roman" w:hAnsi="Century Gothic" w:cs="Times New Roman"/>
          <w:color w:val="000000"/>
        </w:rPr>
        <w:t xml:space="preserve"> and NO</w:t>
      </w:r>
      <w:r w:rsidRPr="00F13CC7">
        <w:rPr>
          <w:rFonts w:ascii="Century Gothic" w:eastAsia="Times New Roman" w:hAnsi="Century Gothic" w:cs="Times New Roman"/>
          <w:color w:val="000000"/>
          <w:vertAlign w:val="subscript"/>
        </w:rPr>
        <w:t>2</w:t>
      </w:r>
      <w:r w:rsidRPr="00F13CC7">
        <w:rPr>
          <w:rFonts w:ascii="Century Gothic" w:eastAsia="Times New Roman" w:hAnsi="Century Gothic" w:cs="Times New Roman"/>
          <w:color w:val="000000"/>
        </w:rPr>
        <w:t xml:space="preserve"> using NASA Earth observations, determine if correlations existed between pollutants remotely sensed by satellites and primary emission sources in the Gulf of Mexico and to develop a methodology for emissions monitoring. The data from Terra’s MODIS and Aura’s OMI instruments successfully illustrated the ability of satellites to provide over a decade of data that can be used to analyze emission patterns on a regional scale. The team did not find significant correlation between BOEM’s Emission Inventory data for the years 2005, 2008 and 2011 and corresponding satellite data for AOD and NO</w:t>
      </w:r>
      <w:r w:rsidRPr="00F13CC7">
        <w:rPr>
          <w:rFonts w:ascii="Century Gothic" w:eastAsia="Times New Roman" w:hAnsi="Century Gothic" w:cs="Times New Roman"/>
          <w:color w:val="000000"/>
          <w:vertAlign w:val="subscript"/>
        </w:rPr>
        <w:t>2</w:t>
      </w:r>
      <w:r w:rsidRPr="00F13CC7">
        <w:rPr>
          <w:rFonts w:ascii="Century Gothic" w:eastAsia="Times New Roman" w:hAnsi="Century Gothic" w:cs="Times New Roman"/>
          <w:color w:val="000000"/>
        </w:rPr>
        <w:t xml:space="preserve"> emissions, which was due to a variety of factors. From 2000 to 2008, BOEM’s Emission Inventory structure evolved from recording data in pounds or tons per month for platform sources or tons per year for non-platform sources into a standardized format of to</w:t>
      </w:r>
      <w:r w:rsidR="006F641E">
        <w:rPr>
          <w:rFonts w:ascii="Century Gothic" w:eastAsia="Times New Roman" w:hAnsi="Century Gothic" w:cs="Times New Roman"/>
          <w:color w:val="000000"/>
        </w:rPr>
        <w:t xml:space="preserve">ns per month for both sources. </w:t>
      </w:r>
      <w:r w:rsidRPr="00F13CC7">
        <w:rPr>
          <w:rFonts w:ascii="Century Gothic" w:eastAsia="Times New Roman" w:hAnsi="Century Gothic" w:cs="Times New Roman"/>
          <w:color w:val="000000"/>
        </w:rPr>
        <w:t>Additionally, Terra’s MODIS and Aura’s OMI instruments provide total columnar measurements of tropospheric pollutants, while BOEM Emission Inventories provide a mass amount per point source, which do not easily correlate. To aid in resolving these issues, it would be worthwhile to examine the use of CALIPSO’s CALIOP lidar instrument to augment MODIS AOD data</w:t>
      </w:r>
      <w:r w:rsidR="006F641E">
        <w:rPr>
          <w:rFonts w:ascii="Century Gothic" w:eastAsia="Times New Roman" w:hAnsi="Century Gothic" w:cs="Times New Roman"/>
          <w:color w:val="000000"/>
        </w:rPr>
        <w:t xml:space="preserve"> and utilize the United States’ </w:t>
      </w:r>
      <w:r w:rsidRPr="00F13CC7">
        <w:rPr>
          <w:rFonts w:ascii="Century Gothic" w:eastAsia="Times New Roman" w:hAnsi="Century Gothic" w:cs="Times New Roman"/>
          <w:color w:val="000000"/>
        </w:rPr>
        <w:t>Environmental Protection Agency’s land sensors for additional ground-based data. Despite the lack of correlation, further investigation of other pollutants such as sulfur dioxide, methane, carbon monoxide and volatile organic compounds could potentially yield a stronger correlation between the BOEM Emissions Inventor</w:t>
      </w:r>
      <w:r w:rsidR="006F641E">
        <w:rPr>
          <w:rFonts w:ascii="Century Gothic" w:eastAsia="Times New Roman" w:hAnsi="Century Gothic" w:cs="Times New Roman"/>
          <w:color w:val="000000"/>
        </w:rPr>
        <w:t xml:space="preserve">y data and satellite products. </w:t>
      </w:r>
      <w:r w:rsidRPr="00F13CC7">
        <w:rPr>
          <w:rFonts w:ascii="Century Gothic" w:eastAsia="Times New Roman" w:hAnsi="Century Gothic" w:cs="Times New Roman"/>
          <w:color w:val="000000"/>
        </w:rPr>
        <w:t>BOEM’s 2014 Emissions Inventory is scheduled for release in the summer of 2016, which could also provide the additional data needed to s</w:t>
      </w:r>
      <w:r w:rsidR="006F641E">
        <w:rPr>
          <w:rFonts w:ascii="Century Gothic" w:eastAsia="Times New Roman" w:hAnsi="Century Gothic" w:cs="Times New Roman"/>
          <w:color w:val="000000"/>
        </w:rPr>
        <w:t xml:space="preserve">upport a stronger correlation. </w:t>
      </w:r>
      <w:r w:rsidRPr="00F13CC7">
        <w:rPr>
          <w:rFonts w:ascii="Century Gothic" w:eastAsia="Times New Roman" w:hAnsi="Century Gothic" w:cs="Times New Roman"/>
          <w:color w:val="000000"/>
        </w:rPr>
        <w:t xml:space="preserve">Procedures outlining the team’s methodology are presented in the Methodology section above, which can also be applied to other pollutants for future emissions monitoring. </w:t>
      </w:r>
    </w:p>
    <w:p w14:paraId="2BF53931" w14:textId="77777777" w:rsidR="00E41324" w:rsidRPr="00B265D9" w:rsidRDefault="008B7071" w:rsidP="00D3013B">
      <w:pPr>
        <w:pStyle w:val="Heading1"/>
        <w:rPr>
          <w:rFonts w:ascii="Century Gothic" w:hAnsi="Century Gothic"/>
        </w:rPr>
      </w:pPr>
      <w:bookmarkStart w:id="6" w:name="_Toc334198736"/>
      <w:r>
        <w:rPr>
          <w:rFonts w:ascii="Century Gothic" w:hAnsi="Century Gothic"/>
        </w:rPr>
        <w:t xml:space="preserve">VI. </w:t>
      </w:r>
      <w:r w:rsidR="00E41324" w:rsidRPr="00B265D9">
        <w:rPr>
          <w:rFonts w:ascii="Century Gothic" w:hAnsi="Century Gothic"/>
        </w:rPr>
        <w:t>Acknowledgments</w:t>
      </w:r>
      <w:bookmarkEnd w:id="6"/>
    </w:p>
    <w:p w14:paraId="79688FF0" w14:textId="77777777" w:rsidR="008434F3" w:rsidRPr="008434F3" w:rsidRDefault="008434F3" w:rsidP="008434F3">
      <w:pPr>
        <w:numPr>
          <w:ilvl w:val="0"/>
          <w:numId w:val="6"/>
        </w:numPr>
        <w:spacing w:after="0"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Robert Levy</w:t>
      </w:r>
    </w:p>
    <w:p w14:paraId="3B66D9E8" w14:textId="77777777" w:rsidR="008434F3" w:rsidRPr="008434F3" w:rsidRDefault="008434F3" w:rsidP="008434F3">
      <w:pPr>
        <w:numPr>
          <w:ilvl w:val="0"/>
          <w:numId w:val="6"/>
        </w:numPr>
        <w:spacing w:after="0"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Pawan Gupta</w:t>
      </w:r>
    </w:p>
    <w:p w14:paraId="73C26C86" w14:textId="77777777" w:rsidR="008434F3" w:rsidRPr="008434F3" w:rsidRDefault="008434F3" w:rsidP="008434F3">
      <w:pPr>
        <w:numPr>
          <w:ilvl w:val="0"/>
          <w:numId w:val="6"/>
        </w:numPr>
        <w:spacing w:after="0"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Bryan Duncan</w:t>
      </w:r>
    </w:p>
    <w:p w14:paraId="04CA4951" w14:textId="77777777" w:rsidR="008434F3" w:rsidRPr="008434F3" w:rsidRDefault="008434F3" w:rsidP="008434F3">
      <w:pPr>
        <w:numPr>
          <w:ilvl w:val="0"/>
          <w:numId w:val="6"/>
        </w:numPr>
        <w:spacing w:after="0"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Lok Lamsal</w:t>
      </w:r>
    </w:p>
    <w:p w14:paraId="5F6B6CFC" w14:textId="77777777" w:rsidR="008434F3" w:rsidRPr="008434F3" w:rsidRDefault="008434F3" w:rsidP="008434F3">
      <w:pPr>
        <w:numPr>
          <w:ilvl w:val="0"/>
          <w:numId w:val="6"/>
        </w:numPr>
        <w:spacing w:before="100" w:beforeAutospacing="1" w:after="100" w:afterAutospacing="1"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Nickolay Krotkov</w:t>
      </w:r>
    </w:p>
    <w:p w14:paraId="69B63451" w14:textId="77777777" w:rsidR="00F13A1D" w:rsidRPr="002472AC" w:rsidRDefault="00F13A1D" w:rsidP="00F13A1D">
      <w:pPr>
        <w:spacing w:after="0" w:line="240" w:lineRule="auto"/>
        <w:rPr>
          <w:rFonts w:ascii="Century Gothic" w:hAnsi="Century Gothic"/>
        </w:rPr>
      </w:pPr>
      <w:r w:rsidRPr="002472AC">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778FDF9C" w14:textId="77777777" w:rsidR="00FB0F63" w:rsidRDefault="00FB0F63" w:rsidP="008975BD">
      <w:pPr>
        <w:spacing w:after="0" w:line="240" w:lineRule="auto"/>
        <w:rPr>
          <w:rFonts w:ascii="Century Gothic" w:hAnsi="Century Gothic"/>
          <w:szCs w:val="24"/>
        </w:rPr>
      </w:pPr>
    </w:p>
    <w:p w14:paraId="108F742C" w14:textId="459B72CC"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3B9CED36" w14:textId="77777777" w:rsidR="0057510D" w:rsidRDefault="008B7071" w:rsidP="0057510D">
      <w:pPr>
        <w:pStyle w:val="Heading1"/>
        <w:rPr>
          <w:rFonts w:ascii="Century Gothic" w:hAnsi="Century Gothic"/>
        </w:rPr>
      </w:pPr>
      <w:bookmarkStart w:id="7" w:name="_Toc334198737"/>
      <w:r>
        <w:rPr>
          <w:rFonts w:ascii="Century Gothic" w:hAnsi="Century Gothic"/>
        </w:rPr>
        <w:lastRenderedPageBreak/>
        <w:t xml:space="preserve">VII. </w:t>
      </w:r>
      <w:r w:rsidR="00E41324" w:rsidRPr="00B265D9">
        <w:rPr>
          <w:rFonts w:ascii="Century Gothic" w:hAnsi="Century Gothic"/>
        </w:rPr>
        <w:t>References</w:t>
      </w:r>
      <w:bookmarkEnd w:id="7"/>
    </w:p>
    <w:p w14:paraId="4551C842" w14:textId="77777777" w:rsidR="00FB0F63" w:rsidRPr="00FB0F63" w:rsidRDefault="00FB0F63" w:rsidP="00FB0F63">
      <w:pPr>
        <w:pStyle w:val="Heading1"/>
        <w:spacing w:before="0"/>
        <w:rPr>
          <w:rFonts w:ascii="Century Gothic" w:eastAsia="Times New Roman" w:hAnsi="Century Gothic" w:cs="Times New Roman"/>
        </w:rPr>
      </w:pPr>
      <w:r w:rsidRPr="00FB0F63">
        <w:rPr>
          <w:rFonts w:ascii="Century Gothic" w:eastAsia="Times New Roman" w:hAnsi="Century Gothic" w:cs="Times New Roman"/>
          <w:b w:val="0"/>
          <w:bCs w:val="0"/>
          <w:color w:val="000000"/>
          <w:sz w:val="22"/>
          <w:szCs w:val="22"/>
          <w:shd w:val="clear" w:color="auto" w:fill="FFFFFF"/>
        </w:rPr>
        <w:t xml:space="preserve">Acker, J. G., and Leptoukh, G. (2007). Online analysis enhances use of NASA Earth science data. </w:t>
      </w:r>
      <w:r w:rsidRPr="00FB0F63">
        <w:rPr>
          <w:rFonts w:ascii="Century Gothic" w:eastAsia="Times New Roman" w:hAnsi="Century Gothic" w:cs="Times New Roman"/>
          <w:b w:val="0"/>
          <w:bCs w:val="0"/>
          <w:i/>
          <w:iCs/>
          <w:color w:val="000000"/>
          <w:sz w:val="22"/>
          <w:szCs w:val="22"/>
          <w:shd w:val="clear" w:color="auto" w:fill="FFFFFF"/>
        </w:rPr>
        <w:t>Eos, Transactions American Geophysical Union, 88</w:t>
      </w:r>
      <w:r w:rsidRPr="00FB0F63">
        <w:rPr>
          <w:rFonts w:ascii="Century Gothic" w:eastAsia="Times New Roman" w:hAnsi="Century Gothic" w:cs="Times New Roman"/>
          <w:b w:val="0"/>
          <w:bCs w:val="0"/>
          <w:color w:val="000000"/>
          <w:sz w:val="22"/>
          <w:szCs w:val="22"/>
          <w:shd w:val="clear" w:color="auto" w:fill="FFFFFF"/>
        </w:rPr>
        <w:t xml:space="preserve">(2), 14 and 17. </w:t>
      </w:r>
      <w:r w:rsidRPr="00FB0F63">
        <w:rPr>
          <w:rFonts w:ascii="Century Gothic" w:eastAsia="Times New Roman" w:hAnsi="Century Gothic" w:cs="Times New Roman"/>
          <w:b w:val="0"/>
          <w:bCs w:val="0"/>
          <w:color w:val="366091"/>
          <w:sz w:val="22"/>
          <w:szCs w:val="22"/>
        </w:rPr>
        <w:t>http://dx.doi.org/10.1029/2007EO020003</w:t>
      </w:r>
    </w:p>
    <w:p w14:paraId="6D7C57BA"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000000"/>
          <w:sz w:val="22"/>
          <w:szCs w:val="22"/>
          <w:shd w:val="clear" w:color="auto" w:fill="FFFFFF"/>
        </w:rPr>
        <w:t xml:space="preserve">Anderson, J.O., Thundiyil, J.G., and Stolbach, A. (2012). Clearing the air: A review of the effects of particulate matter air pollution on human health. </w:t>
      </w:r>
      <w:r w:rsidRPr="00FB0F63">
        <w:rPr>
          <w:rFonts w:ascii="Century Gothic" w:eastAsia="Times New Roman" w:hAnsi="Century Gothic" w:cs="Times New Roman"/>
          <w:b w:val="0"/>
          <w:bCs w:val="0"/>
          <w:i/>
          <w:iCs/>
          <w:color w:val="000000"/>
          <w:sz w:val="22"/>
          <w:szCs w:val="22"/>
          <w:shd w:val="clear" w:color="auto" w:fill="FFFFFF"/>
        </w:rPr>
        <w:t>Journal of Medical Toxicology, 8</w:t>
      </w:r>
      <w:r w:rsidRPr="00FB0F63">
        <w:rPr>
          <w:rFonts w:ascii="Century Gothic" w:eastAsia="Times New Roman" w:hAnsi="Century Gothic" w:cs="Times New Roman"/>
          <w:b w:val="0"/>
          <w:bCs w:val="0"/>
          <w:color w:val="000000"/>
          <w:sz w:val="22"/>
          <w:szCs w:val="22"/>
          <w:shd w:val="clear" w:color="auto" w:fill="FFFFFF"/>
        </w:rPr>
        <w:t xml:space="preserve">(2), 166-175. </w:t>
      </w:r>
      <w:r w:rsidRPr="00FB0F63">
        <w:rPr>
          <w:rFonts w:ascii="Century Gothic" w:eastAsia="Times New Roman" w:hAnsi="Century Gothic" w:cs="Times New Roman"/>
          <w:b w:val="0"/>
          <w:bCs w:val="0"/>
          <w:color w:val="366091"/>
          <w:sz w:val="22"/>
          <w:szCs w:val="22"/>
        </w:rPr>
        <w:t>http://dx.doi.org/10.1007/s13181-011-0203-1</w:t>
      </w:r>
    </w:p>
    <w:p w14:paraId="563E6CE9"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333333"/>
          <w:sz w:val="22"/>
          <w:szCs w:val="22"/>
          <w:shd w:val="clear" w:color="auto" w:fill="FFFFFF"/>
        </w:rPr>
        <w:t xml:space="preserve">Duncan, B.N., Prados, A.I., Lamsal, L.N., Liu, Y, Streets, D.G., Gupta, P., … Ziemba, L.D. (2014). Satellite data of atmospheric pollution for U.S. air quality applications: Examples of applications, summary of data end-user resources, answers to FAQs, and common mistakes to avoid. </w:t>
      </w:r>
      <w:r w:rsidRPr="00FB0F63">
        <w:rPr>
          <w:rFonts w:ascii="Century Gothic" w:eastAsia="Times New Roman" w:hAnsi="Century Gothic" w:cs="Times New Roman"/>
          <w:b w:val="0"/>
          <w:bCs w:val="0"/>
          <w:i/>
          <w:iCs/>
          <w:color w:val="333333"/>
          <w:sz w:val="22"/>
          <w:szCs w:val="22"/>
          <w:shd w:val="clear" w:color="auto" w:fill="FFFFFF"/>
        </w:rPr>
        <w:t>Atmospheric Environment (94)</w:t>
      </w:r>
      <w:r w:rsidRPr="00FB0F63">
        <w:rPr>
          <w:rFonts w:ascii="Century Gothic" w:eastAsia="Times New Roman" w:hAnsi="Century Gothic" w:cs="Times New Roman"/>
          <w:b w:val="0"/>
          <w:bCs w:val="0"/>
          <w:color w:val="333333"/>
          <w:sz w:val="22"/>
          <w:szCs w:val="22"/>
          <w:shd w:val="clear" w:color="auto" w:fill="FFFFFF"/>
        </w:rPr>
        <w:t xml:space="preserve">, 647-662. </w:t>
      </w:r>
      <w:r w:rsidRPr="00FB0F63">
        <w:rPr>
          <w:rFonts w:ascii="Century Gothic" w:eastAsia="Times New Roman" w:hAnsi="Century Gothic" w:cs="Times New Roman"/>
          <w:b w:val="0"/>
          <w:bCs w:val="0"/>
          <w:color w:val="366091"/>
          <w:sz w:val="22"/>
          <w:szCs w:val="22"/>
        </w:rPr>
        <w:t>http://dx.doi.org/10.1016/j.atmosenv.2014.05.061</w:t>
      </w:r>
    </w:p>
    <w:p w14:paraId="33E507AD"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333333"/>
          <w:sz w:val="22"/>
          <w:szCs w:val="22"/>
          <w:shd w:val="clear" w:color="auto" w:fill="FFFFFF"/>
        </w:rPr>
        <w:t xml:space="preserve">Hoff, R.M., and Christopher, S.A. (2009). Remote sensing of particulate pollution from space: Have we reached the promised land? </w:t>
      </w:r>
      <w:r w:rsidRPr="00FB0F63">
        <w:rPr>
          <w:rFonts w:ascii="Century Gothic" w:eastAsia="Times New Roman" w:hAnsi="Century Gothic" w:cs="Times New Roman"/>
          <w:b w:val="0"/>
          <w:bCs w:val="0"/>
          <w:i/>
          <w:iCs/>
          <w:color w:val="333333"/>
          <w:sz w:val="22"/>
          <w:szCs w:val="22"/>
          <w:shd w:val="clear" w:color="auto" w:fill="FFFFFF"/>
        </w:rPr>
        <w:t>Journal of the Air and Waste Management</w:t>
      </w:r>
      <w:r w:rsidRPr="00FB0F63">
        <w:rPr>
          <w:rFonts w:ascii="Century Gothic" w:eastAsia="Times New Roman" w:hAnsi="Century Gothic" w:cs="Times New Roman"/>
          <w:b w:val="0"/>
          <w:bCs w:val="0"/>
          <w:color w:val="333333"/>
          <w:sz w:val="22"/>
          <w:szCs w:val="22"/>
          <w:shd w:val="clear" w:color="auto" w:fill="FFFFFF"/>
        </w:rPr>
        <w:t xml:space="preserve"> </w:t>
      </w:r>
      <w:r w:rsidRPr="00FB0F63">
        <w:rPr>
          <w:rFonts w:ascii="Century Gothic" w:eastAsia="Times New Roman" w:hAnsi="Century Gothic" w:cs="Times New Roman"/>
          <w:b w:val="0"/>
          <w:bCs w:val="0"/>
          <w:i/>
          <w:iCs/>
          <w:color w:val="333333"/>
          <w:sz w:val="22"/>
          <w:szCs w:val="22"/>
          <w:shd w:val="clear" w:color="auto" w:fill="FFFFFF"/>
        </w:rPr>
        <w:t>Association 59</w:t>
      </w:r>
      <w:r w:rsidRPr="00FB0F63">
        <w:rPr>
          <w:rFonts w:ascii="Century Gothic" w:eastAsia="Times New Roman" w:hAnsi="Century Gothic" w:cs="Times New Roman"/>
          <w:b w:val="0"/>
          <w:bCs w:val="0"/>
          <w:color w:val="333333"/>
          <w:sz w:val="22"/>
          <w:szCs w:val="22"/>
          <w:shd w:val="clear" w:color="auto" w:fill="FFFFFF"/>
        </w:rPr>
        <w:t>, 645-675. http://dx.doi.org/10.3155/1047-3289.59.10.1130</w:t>
      </w:r>
    </w:p>
    <w:p w14:paraId="74645A4D"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333333"/>
          <w:sz w:val="22"/>
          <w:szCs w:val="22"/>
          <w:shd w:val="clear" w:color="auto" w:fill="FFFFFF"/>
        </w:rPr>
        <w:t xml:space="preserve">Kaufman, Y.J., Tanré, D., and Boucher, O. (2012). A satellite view of aerosols in the climate system. </w:t>
      </w:r>
      <w:r w:rsidRPr="00FB0F63">
        <w:rPr>
          <w:rFonts w:ascii="Century Gothic" w:eastAsia="Times New Roman" w:hAnsi="Century Gothic" w:cs="Times New Roman"/>
          <w:b w:val="0"/>
          <w:bCs w:val="0"/>
          <w:i/>
          <w:iCs/>
          <w:color w:val="333333"/>
          <w:sz w:val="22"/>
          <w:szCs w:val="22"/>
          <w:shd w:val="clear" w:color="auto" w:fill="FFFFFF"/>
        </w:rPr>
        <w:t>Nature 419</w:t>
      </w:r>
      <w:r w:rsidRPr="00FB0F63">
        <w:rPr>
          <w:rFonts w:ascii="Century Gothic" w:eastAsia="Times New Roman" w:hAnsi="Century Gothic" w:cs="Times New Roman"/>
          <w:b w:val="0"/>
          <w:bCs w:val="0"/>
          <w:color w:val="333333"/>
          <w:sz w:val="22"/>
          <w:szCs w:val="22"/>
          <w:shd w:val="clear" w:color="auto" w:fill="FFFFFF"/>
        </w:rPr>
        <w:t xml:space="preserve">(6903), 215-223. </w:t>
      </w:r>
      <w:r w:rsidRPr="00FB0F63">
        <w:rPr>
          <w:rFonts w:ascii="Century Gothic" w:eastAsia="Times New Roman" w:hAnsi="Century Gothic" w:cs="Times New Roman"/>
          <w:b w:val="0"/>
          <w:bCs w:val="0"/>
          <w:color w:val="366091"/>
          <w:sz w:val="22"/>
          <w:szCs w:val="22"/>
        </w:rPr>
        <w:t>http://dx.doi.org/10.1038/nature01091</w:t>
      </w:r>
    </w:p>
    <w:p w14:paraId="48E92FBD" w14:textId="77777777" w:rsidR="00FB0F63" w:rsidRPr="00FB0F63" w:rsidRDefault="00FB0F63" w:rsidP="00FB0F63">
      <w:pPr>
        <w:pStyle w:val="NormalWeb"/>
        <w:spacing w:before="0" w:beforeAutospacing="0" w:after="200" w:afterAutospacing="0"/>
        <w:rPr>
          <w:rFonts w:ascii="Century Gothic" w:eastAsiaTheme="minorEastAsia" w:hAnsi="Century Gothic"/>
        </w:rPr>
      </w:pPr>
      <w:r w:rsidRPr="00FB0F63">
        <w:rPr>
          <w:rFonts w:ascii="Century Gothic" w:hAnsi="Century Gothic"/>
          <w:color w:val="000000"/>
          <w:sz w:val="22"/>
          <w:szCs w:val="22"/>
        </w:rPr>
        <w:t xml:space="preserve">NASA. (1996, August 1). </w:t>
      </w:r>
      <w:r w:rsidRPr="00FB0F63">
        <w:rPr>
          <w:rFonts w:ascii="Century Gothic" w:hAnsi="Century Gothic"/>
          <w:i/>
          <w:iCs/>
          <w:color w:val="000000"/>
          <w:sz w:val="22"/>
          <w:szCs w:val="22"/>
        </w:rPr>
        <w:t>Atmospheric Aerosols: What Are They, and Why Are They So Important?</w:t>
      </w:r>
      <w:r w:rsidRPr="00FB0F63">
        <w:rPr>
          <w:rFonts w:ascii="Century Gothic" w:hAnsi="Century Gothic"/>
          <w:color w:val="000000"/>
          <w:sz w:val="22"/>
          <w:szCs w:val="22"/>
        </w:rPr>
        <w:t xml:space="preserve"> (B. Allen, Editor) Retrieved from NASA: https://www.nasa.gov/centers/langley/news/factsheets/Aerosols.html</w:t>
      </w:r>
    </w:p>
    <w:p w14:paraId="34D93190"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333333"/>
          <w:sz w:val="22"/>
          <w:szCs w:val="22"/>
          <w:shd w:val="clear" w:color="auto" w:fill="FFFFFF"/>
        </w:rPr>
        <w:t xml:space="preserve">Protection of Environment, 40 C.F.R </w:t>
      </w:r>
      <w:r w:rsidRPr="00FB0F63">
        <w:rPr>
          <w:rFonts w:ascii="Century Gothic" w:eastAsia="Times New Roman" w:hAnsi="Century Gothic" w:cs="Times New Roman"/>
          <w:b w:val="0"/>
          <w:bCs w:val="0"/>
          <w:color w:val="000000"/>
          <w:sz w:val="22"/>
          <w:szCs w:val="22"/>
        </w:rPr>
        <w:t>§ 50 (2011).</w:t>
      </w:r>
    </w:p>
    <w:p w14:paraId="0B4F3B3B" w14:textId="77777777" w:rsidR="00FB0F63" w:rsidRPr="00FB0F63" w:rsidRDefault="00FB0F63" w:rsidP="00FB0F63">
      <w:pPr>
        <w:pStyle w:val="NormalWeb"/>
        <w:spacing w:before="0" w:beforeAutospacing="0" w:after="200" w:afterAutospacing="0"/>
        <w:rPr>
          <w:rFonts w:ascii="Century Gothic" w:eastAsiaTheme="minorEastAsia" w:hAnsi="Century Gothic"/>
        </w:rPr>
      </w:pPr>
      <w:r w:rsidRPr="00FB0F63">
        <w:rPr>
          <w:rFonts w:ascii="Century Gothic" w:hAnsi="Century Gothic"/>
          <w:color w:val="000000"/>
          <w:sz w:val="22"/>
          <w:szCs w:val="22"/>
        </w:rPr>
        <w:t xml:space="preserve">Shepherd, M. (2004). Chapter 1: Perspective for managing PM. In P.H. McMurry, M. Shepherd, and J.S. Vickery (Eds.), </w:t>
      </w:r>
      <w:r w:rsidRPr="00FB0F63">
        <w:rPr>
          <w:rFonts w:ascii="Century Gothic" w:hAnsi="Century Gothic"/>
          <w:i/>
          <w:iCs/>
          <w:color w:val="000000"/>
          <w:sz w:val="22"/>
          <w:szCs w:val="22"/>
        </w:rPr>
        <w:t xml:space="preserve">Particulate matter science for policy makers: a NARSTO assessment </w:t>
      </w:r>
      <w:r w:rsidRPr="00FB0F63">
        <w:rPr>
          <w:rFonts w:ascii="Century Gothic" w:hAnsi="Century Gothic"/>
          <w:color w:val="000000"/>
          <w:sz w:val="22"/>
          <w:szCs w:val="22"/>
        </w:rPr>
        <w:t>(1-16). Cambridge, England: Cambridge University Press.</w:t>
      </w:r>
    </w:p>
    <w:p w14:paraId="799FF8B5" w14:textId="77777777" w:rsidR="00FB0F63" w:rsidRPr="00FB0F63" w:rsidRDefault="00FB0F63" w:rsidP="00FB0F63">
      <w:pPr>
        <w:pStyle w:val="NormalWeb"/>
        <w:spacing w:before="0" w:beforeAutospacing="0" w:after="200" w:afterAutospacing="0"/>
        <w:rPr>
          <w:rFonts w:ascii="Century Gothic" w:hAnsi="Century Gothic"/>
        </w:rPr>
      </w:pPr>
      <w:r w:rsidRPr="00FB0F63">
        <w:rPr>
          <w:rFonts w:ascii="Century Gothic" w:hAnsi="Century Gothic"/>
          <w:color w:val="000000"/>
          <w:sz w:val="22"/>
          <w:szCs w:val="22"/>
        </w:rPr>
        <w:t xml:space="preserve">United States Environmental Protection Agency. (1995). 1995 </w:t>
      </w:r>
      <w:r w:rsidRPr="00FB0F63">
        <w:rPr>
          <w:rFonts w:ascii="Century Gothic" w:hAnsi="Century Gothic"/>
          <w:i/>
          <w:iCs/>
          <w:color w:val="000000"/>
          <w:sz w:val="22"/>
          <w:szCs w:val="22"/>
        </w:rPr>
        <w:t>National air quality and emissions trends report</w:t>
      </w:r>
      <w:r w:rsidRPr="00FB0F63">
        <w:rPr>
          <w:rFonts w:ascii="Century Gothic" w:hAnsi="Century Gothic"/>
          <w:color w:val="000000"/>
          <w:sz w:val="22"/>
          <w:szCs w:val="22"/>
        </w:rPr>
        <w:t xml:space="preserve">. Washington, DC: Office of Air Quality Planning and Standards. </w:t>
      </w:r>
    </w:p>
    <w:p w14:paraId="62EB7819" w14:textId="5FD2F4A8" w:rsidR="00A36CA4" w:rsidRPr="00A36CA4" w:rsidRDefault="00FB0F63" w:rsidP="00A36CA4">
      <w:pPr>
        <w:rPr>
          <w:rFonts w:ascii="Century Gothic" w:eastAsia="Times New Roman" w:hAnsi="Century Gothic" w:cs="Times New Roman"/>
        </w:rPr>
      </w:pPr>
      <w:r w:rsidRPr="00FB0F63">
        <w:rPr>
          <w:rFonts w:ascii="Century Gothic" w:eastAsia="Times New Roman" w:hAnsi="Century Gothic" w:cs="Times New Roman"/>
          <w:color w:val="000000"/>
        </w:rPr>
        <w:t xml:space="preserve">Wisconsin Department of Health Services. (2015). </w:t>
      </w:r>
      <w:r w:rsidRPr="00FB0F63">
        <w:rPr>
          <w:rFonts w:ascii="Century Gothic" w:eastAsia="Times New Roman" w:hAnsi="Century Gothic" w:cs="Times New Roman"/>
          <w:i/>
          <w:iCs/>
          <w:color w:val="000000"/>
        </w:rPr>
        <w:t>Wisconsin Department of Health Services</w:t>
      </w:r>
      <w:r w:rsidRPr="00FB0F63">
        <w:rPr>
          <w:rFonts w:ascii="Century Gothic" w:eastAsia="Times New Roman" w:hAnsi="Century Gothic" w:cs="Times New Roman"/>
          <w:color w:val="000000"/>
        </w:rPr>
        <w:t>. Retrieved from: https://www.dhs.wisconsin.gov/chemical/sulfurdioxide.htm</w:t>
      </w:r>
      <w:bookmarkStart w:id="8" w:name="_Toc334198738"/>
    </w:p>
    <w:p w14:paraId="646F2E87" w14:textId="54152A40" w:rsidR="00E41324" w:rsidRDefault="008B7071" w:rsidP="00D3013B">
      <w:pPr>
        <w:pStyle w:val="Heading1"/>
        <w:rPr>
          <w:rFonts w:ascii="Century Gothic" w:hAnsi="Century Gothic"/>
        </w:rPr>
      </w:pPr>
      <w:r>
        <w:rPr>
          <w:rFonts w:ascii="Century Gothic" w:hAnsi="Century Gothic"/>
        </w:rPr>
        <w:t xml:space="preserve">VIII. </w:t>
      </w:r>
      <w:r w:rsidR="006528A0">
        <w:rPr>
          <w:rFonts w:ascii="Century Gothic" w:hAnsi="Century Gothic"/>
        </w:rPr>
        <w:t>Content Innovation</w:t>
      </w:r>
      <w:bookmarkEnd w:id="8"/>
    </w:p>
    <w:p w14:paraId="0BDE5B93" w14:textId="0FE9B85B" w:rsidR="00A36CA4" w:rsidRPr="00A36CA4" w:rsidRDefault="00A36CA4" w:rsidP="00A36CA4">
      <w:pPr>
        <w:pStyle w:val="NormalWeb"/>
        <w:spacing w:before="0" w:beforeAutospacing="0" w:after="0" w:afterAutospacing="0"/>
        <w:rPr>
          <w:rFonts w:ascii="Century Gothic" w:hAnsi="Century Gothic"/>
          <w:sz w:val="22"/>
          <w:szCs w:val="22"/>
        </w:rPr>
      </w:pPr>
      <w:r w:rsidRPr="00A36CA4">
        <w:rPr>
          <w:rFonts w:ascii="Century Gothic" w:hAnsi="Century Gothic" w:cs="Arial"/>
          <w:color w:val="000000"/>
          <w:sz w:val="22"/>
          <w:szCs w:val="22"/>
        </w:rPr>
        <w:t xml:space="preserve">Interactive Map Viewer KML files available at: </w:t>
      </w:r>
      <w:hyperlink r:id="rId22" w:history="1">
        <w:r w:rsidRPr="00A36CA4">
          <w:rPr>
            <w:rStyle w:val="Hyperlink"/>
            <w:rFonts w:ascii="Century Gothic" w:hAnsi="Century Gothic" w:cs="Arial"/>
            <w:color w:val="1155CC"/>
            <w:sz w:val="22"/>
            <w:szCs w:val="22"/>
          </w:rPr>
          <w:t>https://drive.google.com/file/d/0B0LdRdEHs-ExNzNUbTdPdFNtMk0/view?usp=sharing</w:t>
        </w:r>
      </w:hyperlink>
    </w:p>
    <w:p w14:paraId="145233B5" w14:textId="39D8487C" w:rsidR="00A36CA4" w:rsidRPr="00A36CA4" w:rsidRDefault="00053012" w:rsidP="00A36CA4">
      <w:pPr>
        <w:pStyle w:val="NormalWeb"/>
        <w:spacing w:before="0" w:beforeAutospacing="0" w:after="0" w:afterAutospacing="0"/>
        <w:rPr>
          <w:rFonts w:ascii="Century Gothic" w:hAnsi="Century Gothic"/>
          <w:sz w:val="22"/>
          <w:szCs w:val="22"/>
        </w:rPr>
      </w:pPr>
      <w:hyperlink r:id="rId23" w:history="1">
        <w:r w:rsidR="00A36CA4" w:rsidRPr="00A36CA4">
          <w:rPr>
            <w:rStyle w:val="Hyperlink"/>
            <w:rFonts w:ascii="Century Gothic" w:hAnsi="Century Gothic" w:cs="Arial"/>
            <w:color w:val="1155CC"/>
            <w:sz w:val="22"/>
            <w:szCs w:val="22"/>
          </w:rPr>
          <w:t>https://drive.google.com/file/d/0B0LdRdEHs-ExajlldFNCb0hJdTA/view?usp=sharing</w:t>
        </w:r>
      </w:hyperlink>
    </w:p>
    <w:p w14:paraId="04E8CB71" w14:textId="77777777" w:rsidR="00A36CA4" w:rsidRDefault="00A36CA4" w:rsidP="00A36CA4">
      <w:pPr>
        <w:spacing w:after="0" w:line="240" w:lineRule="auto"/>
        <w:rPr>
          <w:rFonts w:ascii="Century Gothic" w:eastAsia="Times New Roman" w:hAnsi="Century Gothic" w:cs="Arial"/>
          <w:color w:val="000000"/>
        </w:rPr>
      </w:pPr>
    </w:p>
    <w:p w14:paraId="6EBCD17B" w14:textId="77777777" w:rsidR="00A36CA4" w:rsidRDefault="00A36CA4" w:rsidP="00A36CA4">
      <w:pPr>
        <w:spacing w:after="0" w:line="240" w:lineRule="auto"/>
        <w:rPr>
          <w:rFonts w:ascii="Century Gothic" w:eastAsia="Times New Roman" w:hAnsi="Century Gothic" w:cs="Arial"/>
          <w:color w:val="000000"/>
        </w:rPr>
      </w:pPr>
      <w:r w:rsidRPr="00A36CA4">
        <w:rPr>
          <w:rFonts w:ascii="Century Gothic" w:eastAsia="Times New Roman" w:hAnsi="Century Gothic" w:cs="Arial"/>
          <w:color w:val="000000"/>
        </w:rPr>
        <w:t>Data Profile available at:</w:t>
      </w:r>
    </w:p>
    <w:p w14:paraId="49BDF9FA" w14:textId="46D84846" w:rsidR="007148F2" w:rsidRPr="00A36CA4" w:rsidRDefault="00053012" w:rsidP="00A36CA4">
      <w:pPr>
        <w:spacing w:after="0" w:line="240" w:lineRule="auto"/>
        <w:rPr>
          <w:rFonts w:ascii="Century Gothic" w:eastAsia="Times New Roman" w:hAnsi="Century Gothic" w:cs="Arial"/>
          <w:color w:val="000000"/>
        </w:rPr>
      </w:pPr>
      <w:hyperlink r:id="rId24" w:history="1">
        <w:r w:rsidR="00A36CA4" w:rsidRPr="00A36CA4">
          <w:rPr>
            <w:rStyle w:val="Hyperlink"/>
            <w:rFonts w:ascii="Century Gothic" w:eastAsia="Times New Roman" w:hAnsi="Century Gothic" w:cs="Arial"/>
            <w:color w:val="1155CC"/>
          </w:rPr>
          <w:t>https://drive.google.com/file/d/0B0LdRdEHs-ExN2R4UlVWemZFUXM/view?usp=sharing</w:t>
        </w:r>
      </w:hyperlink>
    </w:p>
    <w:p w14:paraId="7CA9A253" w14:textId="2784F1EE" w:rsidR="00615E3A" w:rsidRDefault="00615E3A" w:rsidP="007148F2">
      <w:pPr>
        <w:pStyle w:val="Heading1"/>
        <w:spacing w:before="0"/>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2B4066EE" w14:textId="47FDDEDD" w:rsidR="005704DC" w:rsidRPr="005704DC" w:rsidRDefault="005704DC" w:rsidP="005704DC">
      <w:pPr>
        <w:rPr>
          <w:rFonts w:ascii="Century Gothic" w:hAnsi="Century Gothic"/>
          <w:b/>
        </w:rPr>
      </w:pPr>
      <w:r w:rsidRPr="005704DC">
        <w:rPr>
          <w:rFonts w:ascii="Century Gothic" w:hAnsi="Century Gothic"/>
          <w:b/>
        </w:rPr>
        <w:t>Appendix A</w:t>
      </w:r>
      <w:r>
        <w:rPr>
          <w:rFonts w:ascii="Century Gothic" w:hAnsi="Century Gothic"/>
          <w:b/>
        </w:rPr>
        <w:t>: National Ambient Air Quality Standards</w:t>
      </w:r>
    </w:p>
    <w:p w14:paraId="12C538AD" w14:textId="515BE9A2" w:rsidR="00615E3A" w:rsidRPr="00494746" w:rsidRDefault="00615E3A" w:rsidP="00615E3A">
      <w:pPr>
        <w:spacing w:after="0" w:line="240" w:lineRule="auto"/>
        <w:rPr>
          <w:rFonts w:ascii="Century Gothic" w:hAnsi="Century Gothic"/>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56"/>
        <w:gridCol w:w="2335"/>
        <w:gridCol w:w="1435"/>
        <w:gridCol w:w="959"/>
        <w:gridCol w:w="3185"/>
      </w:tblGrid>
      <w:tr w:rsidR="00AA7680" w:rsidRPr="00CB589A" w14:paraId="3615B97F" w14:textId="77777777" w:rsidTr="005E3C91">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4F566ACE"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Pollutant</w:t>
            </w:r>
          </w:p>
        </w:tc>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414C4CA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Primary/Secondary</w:t>
            </w:r>
          </w:p>
        </w:tc>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2725B17C"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Averaging Time</w:t>
            </w:r>
          </w:p>
        </w:tc>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6C169D76"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Level</w:t>
            </w:r>
          </w:p>
        </w:tc>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3AA3B9A5"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Form</w:t>
            </w:r>
          </w:p>
        </w:tc>
      </w:tr>
      <w:tr w:rsidR="00AA7680" w:rsidRPr="00CB589A" w14:paraId="45C15479" w14:textId="77777777" w:rsidTr="005E3C91">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7A0CB5"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Particulate Matter (PM</w:t>
            </w:r>
            <w:r w:rsidRPr="00CB589A">
              <w:rPr>
                <w:rFonts w:ascii="Century Gothic" w:eastAsia="Times New Roman" w:hAnsi="Century Gothic" w:cs="Times New Roman"/>
                <w:color w:val="000000"/>
                <w:vertAlign w:val="subscript"/>
              </w:rPr>
              <w:t>2.5</w:t>
            </w:r>
            <w:r w:rsidRPr="00CB589A">
              <w:rPr>
                <w:rFonts w:ascii="Century Gothic" w:eastAsia="Times New Roman" w:hAnsi="Century Gothic"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467836"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7E7E3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year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BCF294"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12.0 µg/m</w:t>
            </w:r>
            <w:r w:rsidRPr="00CB589A">
              <w:rPr>
                <w:rFonts w:ascii="Century Gothic" w:eastAsia="Times New Roman" w:hAnsi="Century Gothic" w:cs="Times New Roman"/>
                <w:color w:val="000000"/>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B2CF23"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Annual Mean, averaged over 3 years</w:t>
            </w:r>
          </w:p>
        </w:tc>
      </w:tr>
      <w:tr w:rsidR="00AA7680" w:rsidRPr="00CB589A" w14:paraId="36067217" w14:textId="77777777" w:rsidTr="005E3C91">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D27469" w14:textId="77777777" w:rsidR="00AA7680" w:rsidRPr="00CB589A" w:rsidRDefault="00AA7680" w:rsidP="005E3C91">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C89A71"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Secondary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D9A0AB"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year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F57BC3"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15.0 µg/m</w:t>
            </w:r>
            <w:r w:rsidRPr="00CB589A">
              <w:rPr>
                <w:rFonts w:ascii="Century Gothic" w:eastAsia="Times New Roman" w:hAnsi="Century Gothic" w:cs="Times New Roman"/>
                <w:color w:val="000000"/>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9D82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Annual Mean, averaged over 3 years</w:t>
            </w:r>
          </w:p>
        </w:tc>
      </w:tr>
      <w:tr w:rsidR="00AA7680" w:rsidRPr="00CB589A" w14:paraId="2BF919F0" w14:textId="77777777" w:rsidTr="005E3C91">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53A410" w14:textId="77777777" w:rsidR="00AA7680" w:rsidRPr="00CB589A" w:rsidRDefault="00AA7680" w:rsidP="005E3C91">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C9CD23"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 and Secondary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CF6A97"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24 hours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390983"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35.0 µg/m</w:t>
            </w:r>
            <w:r w:rsidRPr="00CB589A">
              <w:rPr>
                <w:rFonts w:ascii="Century Gothic" w:eastAsia="Times New Roman" w:hAnsi="Century Gothic" w:cs="Times New Roman"/>
                <w:color w:val="000000"/>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2E9439"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98</w:t>
            </w:r>
            <w:r w:rsidRPr="00CB589A">
              <w:rPr>
                <w:rFonts w:ascii="Century Gothic" w:eastAsia="Times New Roman" w:hAnsi="Century Gothic" w:cs="Times New Roman"/>
                <w:color w:val="000000"/>
                <w:vertAlign w:val="superscript"/>
              </w:rPr>
              <w:t>th</w:t>
            </w:r>
            <w:r w:rsidRPr="00CB589A">
              <w:rPr>
                <w:rFonts w:ascii="Century Gothic" w:eastAsia="Times New Roman" w:hAnsi="Century Gothic" w:cs="Times New Roman"/>
                <w:color w:val="000000"/>
              </w:rPr>
              <w:t xml:space="preserve"> percentile, averaged over 3 years</w:t>
            </w:r>
          </w:p>
        </w:tc>
      </w:tr>
      <w:tr w:rsidR="00AA7680" w:rsidRPr="00CB589A" w14:paraId="48075FCC" w14:textId="77777777" w:rsidTr="005E3C91">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64CDC1"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Nitrogen Dioxide (NO</w:t>
            </w:r>
            <w:r w:rsidRPr="00CB589A">
              <w:rPr>
                <w:rFonts w:ascii="Century Gothic" w:eastAsia="Times New Roman" w:hAnsi="Century Gothic" w:cs="Times New Roman"/>
                <w:color w:val="000000"/>
                <w:vertAlign w:val="subscript"/>
              </w:rPr>
              <w:t>2</w:t>
            </w:r>
            <w:r w:rsidRPr="00CB589A">
              <w:rPr>
                <w:rFonts w:ascii="Century Gothic" w:eastAsia="Times New Roman" w:hAnsi="Century Gothic"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36161E"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FB4ECB"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hour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0AB00B"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100 ppb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1057DD"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98</w:t>
            </w:r>
            <w:r w:rsidRPr="00CB589A">
              <w:rPr>
                <w:rFonts w:ascii="Century Gothic" w:eastAsia="Times New Roman" w:hAnsi="Century Gothic" w:cs="Times New Roman"/>
                <w:color w:val="000000"/>
                <w:vertAlign w:val="superscript"/>
              </w:rPr>
              <w:t>th</w:t>
            </w:r>
            <w:r w:rsidRPr="00CB589A">
              <w:rPr>
                <w:rFonts w:ascii="Century Gothic" w:eastAsia="Times New Roman" w:hAnsi="Century Gothic" w:cs="Times New Roman"/>
                <w:color w:val="000000"/>
              </w:rPr>
              <w:t xml:space="preserve"> percentile of 1-hour daily maximum concentrations, averaged over 3 years</w:t>
            </w:r>
          </w:p>
        </w:tc>
      </w:tr>
      <w:tr w:rsidR="00AA7680" w:rsidRPr="00CB589A" w14:paraId="681682D9" w14:textId="77777777" w:rsidTr="005E3C91">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F2FCE3" w14:textId="77777777" w:rsidR="00AA7680" w:rsidRPr="00CB589A" w:rsidRDefault="00AA7680" w:rsidP="005E3C91">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DC70E6"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 and Secondary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E3F8A1"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year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C6007E"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53 ppb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0DD0F7"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Annual Mean</w:t>
            </w:r>
          </w:p>
        </w:tc>
      </w:tr>
      <w:tr w:rsidR="00AA7680" w:rsidRPr="00CB589A" w14:paraId="274FCA47" w14:textId="77777777" w:rsidTr="005E3C91">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A6A70F"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Sulfur Dioxide (SO</w:t>
            </w:r>
            <w:r w:rsidRPr="00CB589A">
              <w:rPr>
                <w:rFonts w:ascii="Century Gothic" w:eastAsia="Times New Roman" w:hAnsi="Century Gothic" w:cs="Times New Roman"/>
                <w:color w:val="000000"/>
                <w:vertAlign w:val="subscript"/>
              </w:rPr>
              <w:t>2</w:t>
            </w:r>
            <w:r w:rsidRPr="00CB589A">
              <w:rPr>
                <w:rFonts w:ascii="Century Gothic" w:eastAsia="Times New Roman" w:hAnsi="Century Gothic"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63B754"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7CD2EE"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hour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B4BDE4"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75 ppb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E5ADF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99</w:t>
            </w:r>
            <w:r w:rsidRPr="00CB589A">
              <w:rPr>
                <w:rFonts w:ascii="Century Gothic" w:eastAsia="Times New Roman" w:hAnsi="Century Gothic" w:cs="Times New Roman"/>
                <w:color w:val="000000"/>
                <w:vertAlign w:val="superscript"/>
              </w:rPr>
              <w:t>th</w:t>
            </w:r>
            <w:r w:rsidRPr="00CB589A">
              <w:rPr>
                <w:rFonts w:ascii="Century Gothic" w:eastAsia="Times New Roman" w:hAnsi="Century Gothic" w:cs="Times New Roman"/>
                <w:color w:val="000000"/>
              </w:rPr>
              <w:t xml:space="preserve"> percentile of 1-hour daily maximum concentrations, averaged over 3 years</w:t>
            </w:r>
          </w:p>
        </w:tc>
      </w:tr>
      <w:tr w:rsidR="00AA7680" w:rsidRPr="00CB589A" w14:paraId="6B1DE520" w14:textId="77777777" w:rsidTr="005E3C91">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0FCEB3" w14:textId="77777777" w:rsidR="00AA7680" w:rsidRPr="00CB589A" w:rsidRDefault="00AA7680" w:rsidP="005E3C91">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7978C0"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Secondary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1A41C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3 hours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5A5BF0"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0.5 ppm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85EE90"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Not to be exceeded more than once per year</w:t>
            </w:r>
          </w:p>
        </w:tc>
      </w:tr>
    </w:tbl>
    <w:p w14:paraId="74EBDC28" w14:textId="1036422A" w:rsidR="00AA7680" w:rsidRPr="007148F2" w:rsidRDefault="00AA7680" w:rsidP="007148F2">
      <w:pPr>
        <w:spacing w:before="240" w:after="0" w:line="240" w:lineRule="auto"/>
        <w:rPr>
          <w:rFonts w:ascii="Century Gothic" w:eastAsia="Times New Roman" w:hAnsi="Century Gothic" w:cs="Times New Roman"/>
          <w:sz w:val="20"/>
          <w:szCs w:val="20"/>
        </w:rPr>
      </w:pPr>
      <w:r w:rsidRPr="007148F2">
        <w:rPr>
          <w:rFonts w:ascii="Century Gothic" w:eastAsia="Times New Roman" w:hAnsi="Century Gothic" w:cs="Times New Roman"/>
          <w:color w:val="000000"/>
          <w:sz w:val="20"/>
          <w:szCs w:val="20"/>
        </w:rPr>
        <w:t>Table 1. EPA National Ambient Air Quality Standards (Protection of Environment, 2011).</w:t>
      </w:r>
      <w:r w:rsidR="007148F2">
        <w:rPr>
          <w:rFonts w:ascii="Century Gothic" w:eastAsia="Times New Roman" w:hAnsi="Century Gothic" w:cs="Times New Roman"/>
          <w:color w:val="000000"/>
          <w:sz w:val="20"/>
          <w:szCs w:val="20"/>
        </w:rPr>
        <w:t xml:space="preserve"> </w:t>
      </w:r>
      <w:r w:rsidR="007148F2" w:rsidRPr="007148F2">
        <w:rPr>
          <w:rFonts w:ascii="Century Gothic" w:eastAsia="Times New Roman" w:hAnsi="Century Gothic" w:cs="Times New Roman"/>
          <w:color w:val="000000"/>
          <w:sz w:val="20"/>
          <w:szCs w:val="20"/>
        </w:rPr>
        <w:t>Primary standards provide public health protection and secondary standards provide welfare protection (e.g. damage to animals, crops, buildings). Units of measure for the standards are micrograms per cubic meter of air (µg/m</w:t>
      </w:r>
      <w:r w:rsidR="007148F2" w:rsidRPr="007148F2">
        <w:rPr>
          <w:rFonts w:ascii="Century Gothic" w:eastAsia="Times New Roman" w:hAnsi="Century Gothic" w:cs="Times New Roman"/>
          <w:color w:val="000000"/>
          <w:sz w:val="20"/>
          <w:szCs w:val="20"/>
          <w:vertAlign w:val="superscript"/>
        </w:rPr>
        <w:t>3</w:t>
      </w:r>
      <w:r w:rsidR="007148F2" w:rsidRPr="007148F2">
        <w:rPr>
          <w:rFonts w:ascii="Century Gothic" w:eastAsia="Times New Roman" w:hAnsi="Century Gothic" w:cs="Times New Roman"/>
          <w:color w:val="000000"/>
          <w:sz w:val="20"/>
          <w:szCs w:val="20"/>
        </w:rPr>
        <w:t>), parts per billion (ppb) by volume, and parts per million (ppm) by volume.</w:t>
      </w:r>
    </w:p>
    <w:p w14:paraId="2C151530" w14:textId="77777777" w:rsidR="00E41324" w:rsidRDefault="00E41324" w:rsidP="008975BD">
      <w:pPr>
        <w:spacing w:after="0" w:line="240" w:lineRule="auto"/>
        <w:rPr>
          <w:rFonts w:ascii="Century Gothic" w:hAnsi="Century Gothic"/>
          <w:szCs w:val="24"/>
        </w:rPr>
      </w:pPr>
    </w:p>
    <w:p w14:paraId="715B9BA6" w14:textId="77777777" w:rsidR="005704DC" w:rsidRDefault="005704DC" w:rsidP="008975BD">
      <w:pPr>
        <w:spacing w:after="0" w:line="240" w:lineRule="auto"/>
        <w:rPr>
          <w:rFonts w:ascii="Century Gothic" w:hAnsi="Century Gothic"/>
          <w:szCs w:val="24"/>
        </w:rPr>
      </w:pPr>
    </w:p>
    <w:p w14:paraId="626F2790" w14:textId="77777777" w:rsidR="005704DC" w:rsidRDefault="005704DC" w:rsidP="008975BD">
      <w:pPr>
        <w:spacing w:after="0" w:line="240" w:lineRule="auto"/>
        <w:rPr>
          <w:rFonts w:ascii="Century Gothic" w:hAnsi="Century Gothic"/>
          <w:szCs w:val="24"/>
        </w:rPr>
      </w:pPr>
    </w:p>
    <w:p w14:paraId="5D4DADAE" w14:textId="77777777" w:rsidR="005704DC" w:rsidRDefault="005704DC" w:rsidP="008975BD">
      <w:pPr>
        <w:spacing w:after="0" w:line="240" w:lineRule="auto"/>
        <w:rPr>
          <w:rFonts w:ascii="Century Gothic" w:hAnsi="Century Gothic"/>
          <w:szCs w:val="24"/>
        </w:rPr>
      </w:pPr>
    </w:p>
    <w:p w14:paraId="080CDB69" w14:textId="77777777" w:rsidR="005704DC" w:rsidRDefault="005704DC" w:rsidP="008975BD">
      <w:pPr>
        <w:spacing w:after="0" w:line="240" w:lineRule="auto"/>
        <w:rPr>
          <w:rFonts w:ascii="Century Gothic" w:hAnsi="Century Gothic"/>
          <w:szCs w:val="24"/>
        </w:rPr>
      </w:pPr>
    </w:p>
    <w:p w14:paraId="7049ED89" w14:textId="77777777" w:rsidR="005704DC" w:rsidRDefault="005704DC" w:rsidP="008975BD">
      <w:pPr>
        <w:spacing w:after="0" w:line="240" w:lineRule="auto"/>
        <w:rPr>
          <w:rFonts w:ascii="Century Gothic" w:hAnsi="Century Gothic"/>
          <w:szCs w:val="24"/>
        </w:rPr>
      </w:pPr>
    </w:p>
    <w:p w14:paraId="5F2A88EB" w14:textId="77777777" w:rsidR="005704DC" w:rsidRDefault="005704DC" w:rsidP="008975BD">
      <w:pPr>
        <w:spacing w:after="0" w:line="240" w:lineRule="auto"/>
        <w:rPr>
          <w:rFonts w:ascii="Century Gothic" w:hAnsi="Century Gothic"/>
          <w:szCs w:val="24"/>
        </w:rPr>
      </w:pPr>
    </w:p>
    <w:p w14:paraId="7DD38BCA" w14:textId="77777777" w:rsidR="005704DC" w:rsidRDefault="005704DC" w:rsidP="008975BD">
      <w:pPr>
        <w:spacing w:after="0" w:line="240" w:lineRule="auto"/>
        <w:rPr>
          <w:rFonts w:ascii="Century Gothic" w:hAnsi="Century Gothic"/>
          <w:szCs w:val="24"/>
        </w:rPr>
      </w:pPr>
    </w:p>
    <w:p w14:paraId="37A6BE38" w14:textId="77777777" w:rsidR="005704DC" w:rsidRDefault="005704DC" w:rsidP="008975BD">
      <w:pPr>
        <w:spacing w:after="0" w:line="240" w:lineRule="auto"/>
        <w:rPr>
          <w:rFonts w:ascii="Century Gothic" w:hAnsi="Century Gothic"/>
          <w:szCs w:val="24"/>
        </w:rPr>
      </w:pPr>
    </w:p>
    <w:p w14:paraId="12DC2B4F" w14:textId="77777777" w:rsidR="005704DC" w:rsidRDefault="005704DC" w:rsidP="008975BD">
      <w:pPr>
        <w:spacing w:after="0" w:line="240" w:lineRule="auto"/>
        <w:rPr>
          <w:rFonts w:ascii="Century Gothic" w:hAnsi="Century Gothic"/>
          <w:szCs w:val="24"/>
        </w:rPr>
      </w:pPr>
    </w:p>
    <w:p w14:paraId="23763BAF" w14:textId="77777777" w:rsidR="005704DC" w:rsidRDefault="005704DC" w:rsidP="008975BD">
      <w:pPr>
        <w:spacing w:after="0" w:line="240" w:lineRule="auto"/>
        <w:rPr>
          <w:rFonts w:ascii="Century Gothic" w:hAnsi="Century Gothic"/>
          <w:szCs w:val="24"/>
        </w:rPr>
      </w:pPr>
    </w:p>
    <w:p w14:paraId="09DC7514" w14:textId="700E7C72" w:rsidR="005704DC" w:rsidRDefault="005704DC" w:rsidP="008975BD">
      <w:pPr>
        <w:spacing w:after="0" w:line="240" w:lineRule="auto"/>
        <w:rPr>
          <w:rFonts w:ascii="Century Gothic" w:hAnsi="Century Gothic"/>
          <w:b/>
          <w:szCs w:val="24"/>
        </w:rPr>
      </w:pPr>
      <w:r>
        <w:rPr>
          <w:rFonts w:ascii="Century Gothic" w:hAnsi="Century Gothic"/>
          <w:b/>
          <w:szCs w:val="24"/>
        </w:rPr>
        <w:lastRenderedPageBreak/>
        <w:t>Appendix</w:t>
      </w:r>
      <w:r w:rsidR="005508A9">
        <w:rPr>
          <w:rFonts w:ascii="Century Gothic" w:hAnsi="Century Gothic"/>
          <w:b/>
          <w:szCs w:val="24"/>
        </w:rPr>
        <w:t xml:space="preserve"> B: BOEM and satellite raster i</w:t>
      </w:r>
      <w:r>
        <w:rPr>
          <w:rFonts w:ascii="Century Gothic" w:hAnsi="Century Gothic"/>
          <w:b/>
          <w:szCs w:val="24"/>
        </w:rPr>
        <w:t>mages</w:t>
      </w:r>
      <w:r w:rsidR="005508A9">
        <w:rPr>
          <w:rFonts w:ascii="Century Gothic" w:hAnsi="Century Gothic"/>
          <w:b/>
          <w:szCs w:val="24"/>
        </w:rPr>
        <w:t xml:space="preserve"> for correlations</w:t>
      </w:r>
    </w:p>
    <w:p w14:paraId="3AEBFE29" w14:textId="77777777" w:rsidR="006F641E" w:rsidRDefault="006F641E" w:rsidP="008975BD">
      <w:pPr>
        <w:spacing w:after="0" w:line="240" w:lineRule="auto"/>
        <w:rPr>
          <w:rFonts w:ascii="Century Gothic" w:hAnsi="Century Gothic"/>
          <w:b/>
          <w:szCs w:val="24"/>
        </w:rPr>
      </w:pPr>
    </w:p>
    <w:p w14:paraId="69844533" w14:textId="6F50C15A" w:rsidR="005704DC"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08167D0E" wp14:editId="24E3316E">
            <wp:extent cx="4496527" cy="3474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PM_2005_full.png"/>
                    <pic:cNvPicPr/>
                  </pic:nvPicPr>
                  <pic:blipFill>
                    <a:blip r:embed="rId25">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59DF3830" w14:textId="01189EA5" w:rsidR="003770F8" w:rsidRPr="005508A9" w:rsidRDefault="00F03799" w:rsidP="005508A9">
      <w:pPr>
        <w:spacing w:after="0" w:line="240" w:lineRule="auto"/>
        <w:rPr>
          <w:rFonts w:ascii="Century Gothic" w:hAnsi="Century Gothic"/>
          <w:sz w:val="20"/>
          <w:szCs w:val="20"/>
        </w:rPr>
      </w:pPr>
      <w:r w:rsidRPr="00F03799">
        <w:rPr>
          <w:rFonts w:ascii="Century Gothic" w:hAnsi="Century Gothic"/>
          <w:sz w:val="20"/>
          <w:szCs w:val="20"/>
        </w:rPr>
        <w:t xml:space="preserve">Figure 12. </w:t>
      </w:r>
      <w:r>
        <w:rPr>
          <w:rFonts w:ascii="Century Gothic" w:hAnsi="Century Gothic"/>
          <w:sz w:val="20"/>
          <w:szCs w:val="20"/>
        </w:rPr>
        <w:t xml:space="preserve">Total </w:t>
      </w:r>
      <w:r w:rsidRPr="00F03799">
        <w:rPr>
          <w:rFonts w:ascii="Century Gothic" w:hAnsi="Century Gothic"/>
          <w:sz w:val="20"/>
          <w:szCs w:val="20"/>
        </w:rPr>
        <w:t>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Pr>
          <w:rFonts w:ascii="Century Gothic" w:hAnsi="Century Gothic"/>
          <w:sz w:val="20"/>
          <w:szCs w:val="20"/>
        </w:rPr>
        <w:t>for the year</w:t>
      </w:r>
      <w:r w:rsidRPr="00F03799">
        <w:rPr>
          <w:rFonts w:ascii="Century Gothic" w:hAnsi="Century Gothic"/>
          <w:sz w:val="20"/>
          <w:szCs w:val="20"/>
        </w:rPr>
        <w:t xml:space="preserve"> 2005</w:t>
      </w:r>
      <w:r w:rsidR="005508A9">
        <w:rPr>
          <w:rFonts w:ascii="Century Gothic" w:hAnsi="Century Gothic"/>
          <w:sz w:val="20"/>
          <w:szCs w:val="20"/>
        </w:rPr>
        <w:t xml:space="preserve"> at 0.1 degree spatial resolution</w:t>
      </w:r>
      <w:r>
        <w:rPr>
          <w:rFonts w:ascii="Century Gothic" w:hAnsi="Century Gothic"/>
          <w:sz w:val="20"/>
          <w:szCs w:val="20"/>
        </w:rPr>
        <w:t>.</w:t>
      </w:r>
    </w:p>
    <w:p w14:paraId="637B5FC1" w14:textId="400C79C2"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39A7EA75" wp14:editId="61C38091">
            <wp:extent cx="4496528" cy="3474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OD_2005_full.png"/>
                    <pic:cNvPicPr/>
                  </pic:nvPicPr>
                  <pic:blipFill>
                    <a:blip r:embed="rId26">
                      <a:extLst>
                        <a:ext uri="{28A0092B-C50C-407E-A947-70E740481C1C}">
                          <a14:useLocalDpi xmlns:a14="http://schemas.microsoft.com/office/drawing/2010/main" val="0"/>
                        </a:ext>
                      </a:extLst>
                    </a:blip>
                    <a:stretch>
                      <a:fillRect/>
                    </a:stretch>
                  </pic:blipFill>
                  <pic:spPr>
                    <a:xfrm>
                      <a:off x="0" y="0"/>
                      <a:ext cx="4496528" cy="3474720"/>
                    </a:xfrm>
                    <a:prstGeom prst="rect">
                      <a:avLst/>
                    </a:prstGeom>
                  </pic:spPr>
                </pic:pic>
              </a:graphicData>
            </a:graphic>
          </wp:inline>
        </w:drawing>
      </w:r>
    </w:p>
    <w:p w14:paraId="6FC3CE37" w14:textId="77777777" w:rsidR="005508A9" w:rsidRDefault="00F03799" w:rsidP="005508A9">
      <w:pPr>
        <w:spacing w:after="0" w:line="240" w:lineRule="auto"/>
        <w:rPr>
          <w:rFonts w:ascii="Century Gothic" w:hAnsi="Century Gothic"/>
          <w:sz w:val="20"/>
          <w:szCs w:val="20"/>
        </w:rPr>
      </w:pPr>
      <w:r w:rsidRPr="00F03799">
        <w:rPr>
          <w:rFonts w:ascii="Century Gothic" w:hAnsi="Century Gothic"/>
          <w:sz w:val="20"/>
          <w:szCs w:val="20"/>
        </w:rPr>
        <w:t>Figure 13. Average MODIS aerosol optical depth at 550nm for the year 2005</w:t>
      </w:r>
      <w:r w:rsidR="005508A9">
        <w:rPr>
          <w:rFonts w:ascii="Century Gothic" w:hAnsi="Century Gothic"/>
          <w:sz w:val="20"/>
          <w:szCs w:val="20"/>
        </w:rPr>
        <w:t xml:space="preserve"> at 0.1 degree spatial resolution</w:t>
      </w:r>
      <w:r w:rsidRPr="00F03799">
        <w:rPr>
          <w:rFonts w:ascii="Century Gothic" w:hAnsi="Century Gothic"/>
          <w:sz w:val="20"/>
          <w:szCs w:val="20"/>
        </w:rPr>
        <w:t>.</w:t>
      </w:r>
    </w:p>
    <w:p w14:paraId="2873274E" w14:textId="45CB0D1A" w:rsidR="003770F8" w:rsidRPr="00F03799" w:rsidRDefault="003770F8" w:rsidP="005508A9">
      <w:pPr>
        <w:spacing w:after="0" w:line="240" w:lineRule="auto"/>
        <w:jc w:val="center"/>
        <w:rPr>
          <w:rFonts w:ascii="Century Gothic" w:hAnsi="Century Gothic"/>
          <w:sz w:val="20"/>
          <w:szCs w:val="20"/>
        </w:rPr>
      </w:pPr>
      <w:r>
        <w:rPr>
          <w:rFonts w:ascii="Century Gothic" w:hAnsi="Century Gothic"/>
          <w:b/>
          <w:noProof/>
          <w:szCs w:val="24"/>
        </w:rPr>
        <w:lastRenderedPageBreak/>
        <w:drawing>
          <wp:inline distT="0" distB="0" distL="0" distR="0" wp14:anchorId="092FE5B3" wp14:editId="762BDE73">
            <wp:extent cx="4496527" cy="3474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PM_2008_full.png"/>
                    <pic:cNvPicPr/>
                  </pic:nvPicPr>
                  <pic:blipFill>
                    <a:blip r:embed="rId27">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411E0349" w14:textId="0C9084CA" w:rsidR="00F03799" w:rsidRPr="00F03799" w:rsidRDefault="00F03799" w:rsidP="00F03799">
      <w:pPr>
        <w:spacing w:after="0" w:line="240" w:lineRule="auto"/>
        <w:rPr>
          <w:rFonts w:ascii="Century Gothic" w:hAnsi="Century Gothic"/>
          <w:sz w:val="20"/>
          <w:szCs w:val="20"/>
        </w:rPr>
      </w:pPr>
      <w:r>
        <w:rPr>
          <w:rFonts w:ascii="Century Gothic" w:hAnsi="Century Gothic"/>
          <w:sz w:val="20"/>
          <w:szCs w:val="20"/>
        </w:rPr>
        <w:t>Figure 14</w:t>
      </w:r>
      <w:r w:rsidRPr="00F03799">
        <w:rPr>
          <w:rFonts w:ascii="Century Gothic" w:hAnsi="Century Gothic"/>
          <w:sz w:val="20"/>
          <w:szCs w:val="20"/>
        </w:rPr>
        <w:t xml:space="preserve">. </w:t>
      </w:r>
      <w:r>
        <w:rPr>
          <w:rFonts w:ascii="Century Gothic" w:hAnsi="Century Gothic"/>
          <w:sz w:val="20"/>
          <w:szCs w:val="20"/>
        </w:rPr>
        <w:t xml:space="preserve">Total </w:t>
      </w:r>
      <w:r w:rsidRPr="00F03799">
        <w:rPr>
          <w:rFonts w:ascii="Century Gothic" w:hAnsi="Century Gothic"/>
          <w:sz w:val="20"/>
          <w:szCs w:val="20"/>
        </w:rPr>
        <w:t>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Pr>
          <w:rFonts w:ascii="Century Gothic" w:hAnsi="Century Gothic"/>
          <w:sz w:val="20"/>
          <w:szCs w:val="20"/>
        </w:rPr>
        <w:t>for the year 2008</w:t>
      </w:r>
      <w:r w:rsidR="005508A9">
        <w:rPr>
          <w:rFonts w:ascii="Century Gothic" w:hAnsi="Century Gothic"/>
          <w:sz w:val="20"/>
          <w:szCs w:val="20"/>
        </w:rPr>
        <w:t xml:space="preserve"> at 0.1 degree spatial resolution</w:t>
      </w:r>
      <w:r>
        <w:rPr>
          <w:rFonts w:ascii="Century Gothic" w:hAnsi="Century Gothic"/>
          <w:sz w:val="20"/>
          <w:szCs w:val="20"/>
        </w:rPr>
        <w:t>.</w:t>
      </w:r>
    </w:p>
    <w:p w14:paraId="4D4D6D5C" w14:textId="77777777" w:rsidR="003770F8" w:rsidRDefault="003770F8" w:rsidP="003770F8">
      <w:pPr>
        <w:spacing w:after="0" w:line="240" w:lineRule="auto"/>
        <w:jc w:val="center"/>
        <w:rPr>
          <w:rFonts w:ascii="Century Gothic" w:hAnsi="Century Gothic"/>
          <w:b/>
          <w:szCs w:val="24"/>
        </w:rPr>
      </w:pPr>
    </w:p>
    <w:p w14:paraId="2E693A9D" w14:textId="42E23AE3"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7BF9DC72" wp14:editId="1F0CB27B">
            <wp:extent cx="4496527" cy="3474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OD_2008_full.png"/>
                    <pic:cNvPicPr/>
                  </pic:nvPicPr>
                  <pic:blipFill>
                    <a:blip r:embed="rId28">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554551EA" w14:textId="77777777" w:rsidR="005508A9" w:rsidRDefault="00F03799" w:rsidP="005508A9">
      <w:pPr>
        <w:spacing w:after="0" w:line="240" w:lineRule="auto"/>
        <w:rPr>
          <w:rFonts w:ascii="Century Gothic" w:hAnsi="Century Gothic"/>
          <w:sz w:val="20"/>
          <w:szCs w:val="20"/>
        </w:rPr>
      </w:pPr>
      <w:r>
        <w:rPr>
          <w:rFonts w:ascii="Century Gothic" w:hAnsi="Century Gothic"/>
          <w:sz w:val="20"/>
          <w:szCs w:val="20"/>
        </w:rPr>
        <w:t>Figure 14</w:t>
      </w:r>
      <w:r w:rsidRPr="00F03799">
        <w:rPr>
          <w:rFonts w:ascii="Century Gothic" w:hAnsi="Century Gothic"/>
          <w:sz w:val="20"/>
          <w:szCs w:val="20"/>
        </w:rPr>
        <w:t>. Average MODIS aerosol optical depth at 550nm</w:t>
      </w:r>
      <w:r>
        <w:rPr>
          <w:rFonts w:ascii="Century Gothic" w:hAnsi="Century Gothic"/>
          <w:sz w:val="20"/>
          <w:szCs w:val="20"/>
        </w:rPr>
        <w:t xml:space="preserve"> for the year 2008</w:t>
      </w:r>
      <w:r w:rsidR="005508A9">
        <w:rPr>
          <w:rFonts w:ascii="Century Gothic" w:hAnsi="Century Gothic"/>
          <w:sz w:val="20"/>
          <w:szCs w:val="20"/>
        </w:rPr>
        <w:t xml:space="preserve"> at 0.1 degree spatial resolution</w:t>
      </w:r>
      <w:r w:rsidRPr="00F03799">
        <w:rPr>
          <w:rFonts w:ascii="Century Gothic" w:hAnsi="Century Gothic"/>
          <w:sz w:val="20"/>
          <w:szCs w:val="20"/>
        </w:rPr>
        <w:t>.</w:t>
      </w:r>
    </w:p>
    <w:p w14:paraId="7926CE73" w14:textId="5F645C31" w:rsidR="003770F8" w:rsidRPr="005508A9" w:rsidRDefault="003770F8" w:rsidP="005508A9">
      <w:pPr>
        <w:spacing w:after="0" w:line="240" w:lineRule="auto"/>
        <w:jc w:val="center"/>
        <w:rPr>
          <w:rFonts w:ascii="Century Gothic" w:hAnsi="Century Gothic"/>
          <w:sz w:val="20"/>
          <w:szCs w:val="20"/>
        </w:rPr>
      </w:pPr>
      <w:r>
        <w:rPr>
          <w:rFonts w:ascii="Century Gothic" w:hAnsi="Century Gothic"/>
          <w:b/>
          <w:noProof/>
          <w:szCs w:val="24"/>
        </w:rPr>
        <w:lastRenderedPageBreak/>
        <w:drawing>
          <wp:inline distT="0" distB="0" distL="0" distR="0" wp14:anchorId="3CD85DD9" wp14:editId="740C2508">
            <wp:extent cx="4496527" cy="3474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PM_2011_full.png"/>
                    <pic:cNvPicPr/>
                  </pic:nvPicPr>
                  <pic:blipFill>
                    <a:blip r:embed="rId29">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1230E340" w14:textId="2831AA01" w:rsidR="00F03799" w:rsidRPr="005508A9" w:rsidRDefault="00F03799" w:rsidP="00F03799">
      <w:pPr>
        <w:spacing w:after="0" w:line="240" w:lineRule="auto"/>
        <w:rPr>
          <w:rFonts w:ascii="Century Gothic" w:hAnsi="Century Gothic"/>
          <w:sz w:val="20"/>
          <w:szCs w:val="20"/>
        </w:rPr>
      </w:pPr>
      <w:r>
        <w:rPr>
          <w:rFonts w:ascii="Century Gothic" w:hAnsi="Century Gothic"/>
          <w:sz w:val="20"/>
          <w:szCs w:val="20"/>
        </w:rPr>
        <w:t>Figure 16</w:t>
      </w:r>
      <w:r w:rsidRPr="00F03799">
        <w:rPr>
          <w:rFonts w:ascii="Century Gothic" w:hAnsi="Century Gothic"/>
          <w:sz w:val="20"/>
          <w:szCs w:val="20"/>
        </w:rPr>
        <w:t>. 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Pr>
          <w:rFonts w:ascii="Century Gothic" w:hAnsi="Century Gothic"/>
          <w:sz w:val="20"/>
          <w:szCs w:val="20"/>
        </w:rPr>
        <w:t>from 2011</w:t>
      </w:r>
      <w:r w:rsidR="005508A9">
        <w:rPr>
          <w:rFonts w:ascii="Century Gothic" w:hAnsi="Century Gothic"/>
          <w:sz w:val="20"/>
          <w:szCs w:val="20"/>
        </w:rPr>
        <w:t xml:space="preserve"> at 0.1 degree spatial resolution</w:t>
      </w:r>
      <w:r>
        <w:rPr>
          <w:rFonts w:ascii="Century Gothic" w:hAnsi="Century Gothic"/>
          <w:sz w:val="20"/>
          <w:szCs w:val="20"/>
        </w:rPr>
        <w:t>.</w:t>
      </w:r>
    </w:p>
    <w:p w14:paraId="3F2D49AA" w14:textId="77777777" w:rsidR="003770F8" w:rsidRDefault="003770F8" w:rsidP="003770F8">
      <w:pPr>
        <w:spacing w:after="0" w:line="240" w:lineRule="auto"/>
        <w:jc w:val="center"/>
        <w:rPr>
          <w:rFonts w:ascii="Century Gothic" w:hAnsi="Century Gothic"/>
          <w:b/>
          <w:szCs w:val="24"/>
        </w:rPr>
      </w:pPr>
    </w:p>
    <w:p w14:paraId="476FDE24" w14:textId="77102DE9"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42BE2D98" wp14:editId="4C65D866">
            <wp:extent cx="4496527" cy="34747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OD_2011_full.png"/>
                    <pic:cNvPicPr/>
                  </pic:nvPicPr>
                  <pic:blipFill>
                    <a:blip r:embed="rId30">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3ACC050F" w14:textId="6E2174B3" w:rsidR="00F03799" w:rsidRDefault="00F03799" w:rsidP="00F03799">
      <w:pPr>
        <w:spacing w:after="0" w:line="240" w:lineRule="auto"/>
        <w:rPr>
          <w:rFonts w:ascii="Century Gothic" w:hAnsi="Century Gothic"/>
          <w:sz w:val="20"/>
          <w:szCs w:val="20"/>
        </w:rPr>
      </w:pPr>
      <w:r>
        <w:rPr>
          <w:rFonts w:ascii="Century Gothic" w:hAnsi="Century Gothic"/>
          <w:sz w:val="20"/>
          <w:szCs w:val="20"/>
        </w:rPr>
        <w:t>Figure 17</w:t>
      </w:r>
      <w:r w:rsidRPr="00F03799">
        <w:rPr>
          <w:rFonts w:ascii="Century Gothic" w:hAnsi="Century Gothic"/>
          <w:sz w:val="20"/>
          <w:szCs w:val="20"/>
        </w:rPr>
        <w:t>. Average MODIS aerosol optical depth at 550nm</w:t>
      </w:r>
      <w:r>
        <w:rPr>
          <w:rFonts w:ascii="Century Gothic" w:hAnsi="Century Gothic"/>
          <w:sz w:val="20"/>
          <w:szCs w:val="20"/>
        </w:rPr>
        <w:t xml:space="preserve"> for the year 2011</w:t>
      </w:r>
      <w:r w:rsidR="005508A9">
        <w:rPr>
          <w:rFonts w:ascii="Century Gothic" w:hAnsi="Century Gothic"/>
          <w:sz w:val="20"/>
          <w:szCs w:val="20"/>
        </w:rPr>
        <w:t xml:space="preserve"> at 0.1 degree spatial resolution</w:t>
      </w:r>
      <w:r>
        <w:rPr>
          <w:rFonts w:ascii="Century Gothic" w:hAnsi="Century Gothic"/>
          <w:sz w:val="20"/>
          <w:szCs w:val="20"/>
        </w:rPr>
        <w:t>.</w:t>
      </w:r>
    </w:p>
    <w:p w14:paraId="580A2AF1" w14:textId="39444F37" w:rsidR="003770F8" w:rsidRDefault="003770F8" w:rsidP="005508A9">
      <w:pPr>
        <w:spacing w:after="0" w:line="240" w:lineRule="auto"/>
        <w:jc w:val="center"/>
        <w:rPr>
          <w:rFonts w:ascii="Century Gothic" w:hAnsi="Century Gothic"/>
          <w:b/>
          <w:szCs w:val="24"/>
        </w:rPr>
      </w:pPr>
      <w:r>
        <w:rPr>
          <w:rFonts w:ascii="Century Gothic" w:hAnsi="Century Gothic"/>
          <w:b/>
          <w:noProof/>
          <w:szCs w:val="24"/>
        </w:rPr>
        <w:lastRenderedPageBreak/>
        <w:drawing>
          <wp:inline distT="0" distB="0" distL="0" distR="0" wp14:anchorId="0C9FB9AA" wp14:editId="5F88BBA5">
            <wp:extent cx="4496527" cy="34747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NOx_2005_full.png"/>
                    <pic:cNvPicPr/>
                  </pic:nvPicPr>
                  <pic:blipFill>
                    <a:blip r:embed="rId31">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6A431564" w14:textId="595FA2F2" w:rsidR="00F03799" w:rsidRPr="00F03799" w:rsidRDefault="00F03799" w:rsidP="00F03799">
      <w:pPr>
        <w:spacing w:after="0" w:line="240" w:lineRule="auto"/>
        <w:rPr>
          <w:rFonts w:ascii="Century Gothic" w:hAnsi="Century Gothic"/>
          <w:sz w:val="20"/>
          <w:szCs w:val="20"/>
        </w:rPr>
      </w:pPr>
      <w:r>
        <w:rPr>
          <w:rFonts w:ascii="Century Gothic" w:hAnsi="Century Gothic"/>
          <w:sz w:val="20"/>
          <w:szCs w:val="20"/>
        </w:rPr>
        <w:t>Figure 18</w:t>
      </w:r>
      <w:r w:rsidRPr="00F03799">
        <w:rPr>
          <w:rFonts w:ascii="Century Gothic" w:hAnsi="Century Gothic"/>
          <w:sz w:val="20"/>
          <w:szCs w:val="20"/>
        </w:rPr>
        <w:t xml:space="preserve">. </w:t>
      </w:r>
      <w:r>
        <w:rPr>
          <w:rFonts w:ascii="Century Gothic" w:hAnsi="Century Gothic"/>
          <w:sz w:val="20"/>
          <w:szCs w:val="20"/>
        </w:rPr>
        <w:t xml:space="preserve">Total </w:t>
      </w:r>
      <w:r w:rsidRPr="00F03799">
        <w:rPr>
          <w:rFonts w:ascii="Century Gothic" w:hAnsi="Century Gothic"/>
          <w:sz w:val="20"/>
          <w:szCs w:val="20"/>
        </w:rPr>
        <w:t xml:space="preserve">BOEM Platform and non-platform </w:t>
      </w:r>
      <w:r>
        <w:rPr>
          <w:rFonts w:ascii="Century Gothic" w:hAnsi="Century Gothic"/>
          <w:sz w:val="20"/>
          <w:szCs w:val="20"/>
        </w:rPr>
        <w:t>NO</w:t>
      </w:r>
      <w:r>
        <w:rPr>
          <w:rFonts w:ascii="Century Gothic" w:hAnsi="Century Gothic"/>
          <w:sz w:val="20"/>
          <w:szCs w:val="20"/>
          <w:vertAlign w:val="subscript"/>
        </w:rPr>
        <w:t>x</w:t>
      </w:r>
      <w:r w:rsidRPr="00F03799">
        <w:rPr>
          <w:rFonts w:ascii="Century Gothic" w:hAnsi="Century Gothic"/>
          <w:sz w:val="20"/>
          <w:szCs w:val="20"/>
        </w:rPr>
        <w:t xml:space="preserve"> emission measurement data </w:t>
      </w:r>
      <w:r>
        <w:rPr>
          <w:rFonts w:ascii="Century Gothic" w:hAnsi="Century Gothic"/>
          <w:sz w:val="20"/>
          <w:szCs w:val="20"/>
        </w:rPr>
        <w:t>for the year</w:t>
      </w:r>
      <w:r w:rsidRPr="00F03799">
        <w:rPr>
          <w:rFonts w:ascii="Century Gothic" w:hAnsi="Century Gothic"/>
          <w:sz w:val="20"/>
          <w:szCs w:val="20"/>
        </w:rPr>
        <w:t xml:space="preserve"> 2005</w:t>
      </w:r>
      <w:r w:rsidR="005508A9">
        <w:rPr>
          <w:rFonts w:ascii="Century Gothic" w:hAnsi="Century Gothic"/>
          <w:sz w:val="20"/>
          <w:szCs w:val="20"/>
        </w:rPr>
        <w:t xml:space="preserve"> at 0.1 degree spatial resolution</w:t>
      </w:r>
      <w:r>
        <w:rPr>
          <w:rFonts w:ascii="Century Gothic" w:hAnsi="Century Gothic"/>
          <w:sz w:val="20"/>
          <w:szCs w:val="20"/>
        </w:rPr>
        <w:t>.</w:t>
      </w:r>
    </w:p>
    <w:p w14:paraId="3EC2BAB8" w14:textId="77777777" w:rsidR="003770F8" w:rsidRDefault="003770F8" w:rsidP="00F03799">
      <w:pPr>
        <w:spacing w:after="0" w:line="240" w:lineRule="auto"/>
        <w:rPr>
          <w:rFonts w:ascii="Century Gothic" w:hAnsi="Century Gothic"/>
          <w:b/>
          <w:szCs w:val="24"/>
        </w:rPr>
      </w:pPr>
    </w:p>
    <w:p w14:paraId="37302DFD" w14:textId="77777777" w:rsidR="00F03799" w:rsidRDefault="00F03799" w:rsidP="00F03799">
      <w:pPr>
        <w:spacing w:after="0" w:line="240" w:lineRule="auto"/>
        <w:rPr>
          <w:rFonts w:ascii="Century Gothic" w:hAnsi="Century Gothic"/>
          <w:b/>
          <w:szCs w:val="24"/>
        </w:rPr>
      </w:pPr>
    </w:p>
    <w:p w14:paraId="4F81F7CA" w14:textId="0A2FA957"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61801A5D" wp14:editId="7457B09B">
            <wp:extent cx="4496527" cy="34747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I_NO2_2005_full.png"/>
                    <pic:cNvPicPr/>
                  </pic:nvPicPr>
                  <pic:blipFill>
                    <a:blip r:embed="rId32">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6BE15ECA" w14:textId="79AFD8F4" w:rsidR="00F03799" w:rsidRDefault="00F03799" w:rsidP="00F03799">
      <w:pPr>
        <w:spacing w:after="0" w:line="240" w:lineRule="auto"/>
        <w:rPr>
          <w:rFonts w:ascii="Century Gothic" w:hAnsi="Century Gothic"/>
          <w:sz w:val="20"/>
          <w:szCs w:val="20"/>
        </w:rPr>
      </w:pPr>
      <w:r>
        <w:rPr>
          <w:rFonts w:ascii="Century Gothic" w:hAnsi="Century Gothic"/>
          <w:sz w:val="20"/>
          <w:szCs w:val="20"/>
        </w:rPr>
        <w:t>Figure 19</w:t>
      </w:r>
      <w:r w:rsidRPr="00F03799">
        <w:rPr>
          <w:rFonts w:ascii="Century Gothic" w:hAnsi="Century Gothic"/>
          <w:sz w:val="20"/>
          <w:szCs w:val="20"/>
        </w:rPr>
        <w:t xml:space="preserve">. Average </w:t>
      </w:r>
      <w:r>
        <w:rPr>
          <w:rFonts w:ascii="Century Gothic" w:hAnsi="Century Gothic"/>
          <w:sz w:val="20"/>
          <w:szCs w:val="20"/>
        </w:rPr>
        <w:t>column OMI NO</w:t>
      </w:r>
      <w:r>
        <w:rPr>
          <w:rFonts w:ascii="Century Gothic" w:hAnsi="Century Gothic"/>
          <w:sz w:val="20"/>
          <w:szCs w:val="20"/>
          <w:vertAlign w:val="subscript"/>
        </w:rPr>
        <w:t>2</w:t>
      </w:r>
      <w:r>
        <w:rPr>
          <w:rFonts w:ascii="Century Gothic" w:hAnsi="Century Gothic"/>
          <w:sz w:val="20"/>
          <w:szCs w:val="20"/>
        </w:rPr>
        <w:t xml:space="preserve"> for the year 2005</w:t>
      </w:r>
      <w:r w:rsidR="005508A9">
        <w:rPr>
          <w:rFonts w:ascii="Century Gothic" w:hAnsi="Century Gothic"/>
          <w:sz w:val="20"/>
          <w:szCs w:val="20"/>
        </w:rPr>
        <w:t xml:space="preserve"> at 0.1 degree spatial resolution</w:t>
      </w:r>
      <w:r>
        <w:rPr>
          <w:rFonts w:ascii="Century Gothic" w:hAnsi="Century Gothic"/>
          <w:sz w:val="20"/>
          <w:szCs w:val="20"/>
        </w:rPr>
        <w:t>.</w:t>
      </w:r>
    </w:p>
    <w:p w14:paraId="1826E2F5" w14:textId="3FFE569B" w:rsidR="003770F8" w:rsidRPr="00F03799" w:rsidRDefault="003770F8" w:rsidP="00F03799">
      <w:pPr>
        <w:spacing w:after="0" w:line="240" w:lineRule="auto"/>
        <w:jc w:val="center"/>
        <w:rPr>
          <w:rFonts w:ascii="Century Gothic" w:hAnsi="Century Gothic"/>
          <w:sz w:val="20"/>
          <w:szCs w:val="20"/>
        </w:rPr>
      </w:pPr>
      <w:r>
        <w:rPr>
          <w:rFonts w:ascii="Century Gothic" w:hAnsi="Century Gothic"/>
          <w:b/>
          <w:noProof/>
          <w:szCs w:val="24"/>
        </w:rPr>
        <w:lastRenderedPageBreak/>
        <w:drawing>
          <wp:inline distT="0" distB="0" distL="0" distR="0" wp14:anchorId="79EF4DD2" wp14:editId="6316671C">
            <wp:extent cx="4496527" cy="34747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NOx_2008.png"/>
                    <pic:cNvPicPr/>
                  </pic:nvPicPr>
                  <pic:blipFill>
                    <a:blip r:embed="rId33">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24177957" w14:textId="657B10A3" w:rsidR="00F03799" w:rsidRPr="00F03799" w:rsidRDefault="00F03799" w:rsidP="00F03799">
      <w:pPr>
        <w:spacing w:after="0" w:line="240" w:lineRule="auto"/>
        <w:rPr>
          <w:rFonts w:ascii="Century Gothic" w:hAnsi="Century Gothic"/>
          <w:sz w:val="20"/>
          <w:szCs w:val="20"/>
        </w:rPr>
      </w:pPr>
      <w:r>
        <w:rPr>
          <w:rFonts w:ascii="Century Gothic" w:hAnsi="Century Gothic"/>
          <w:sz w:val="20"/>
          <w:szCs w:val="20"/>
        </w:rPr>
        <w:t>Figure 20</w:t>
      </w:r>
      <w:r w:rsidRPr="00F03799">
        <w:rPr>
          <w:rFonts w:ascii="Century Gothic" w:hAnsi="Century Gothic"/>
          <w:sz w:val="20"/>
          <w:szCs w:val="20"/>
        </w:rPr>
        <w:t xml:space="preserve">. </w:t>
      </w:r>
      <w:r>
        <w:rPr>
          <w:rFonts w:ascii="Century Gothic" w:hAnsi="Century Gothic"/>
          <w:sz w:val="20"/>
          <w:szCs w:val="20"/>
        </w:rPr>
        <w:t xml:space="preserve">Total </w:t>
      </w:r>
      <w:r w:rsidRPr="00F03799">
        <w:rPr>
          <w:rFonts w:ascii="Century Gothic" w:hAnsi="Century Gothic"/>
          <w:sz w:val="20"/>
          <w:szCs w:val="20"/>
        </w:rPr>
        <w:t>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Pr>
          <w:rFonts w:ascii="Century Gothic" w:hAnsi="Century Gothic"/>
          <w:sz w:val="20"/>
          <w:szCs w:val="20"/>
        </w:rPr>
        <w:t>for the year 2008</w:t>
      </w:r>
      <w:r w:rsidR="005508A9">
        <w:rPr>
          <w:rFonts w:ascii="Century Gothic" w:hAnsi="Century Gothic"/>
          <w:sz w:val="20"/>
          <w:szCs w:val="20"/>
        </w:rPr>
        <w:t xml:space="preserve"> at 0.1 degree spatial resolution</w:t>
      </w:r>
      <w:r>
        <w:rPr>
          <w:rFonts w:ascii="Century Gothic" w:hAnsi="Century Gothic"/>
          <w:sz w:val="20"/>
          <w:szCs w:val="20"/>
        </w:rPr>
        <w:t>.</w:t>
      </w:r>
    </w:p>
    <w:p w14:paraId="64CCE91A" w14:textId="77777777" w:rsidR="00F03799" w:rsidRDefault="00F03799" w:rsidP="00F03799">
      <w:pPr>
        <w:spacing w:after="0" w:line="240" w:lineRule="auto"/>
        <w:rPr>
          <w:rFonts w:ascii="Century Gothic" w:hAnsi="Century Gothic"/>
          <w:b/>
          <w:szCs w:val="24"/>
        </w:rPr>
      </w:pPr>
    </w:p>
    <w:p w14:paraId="54F4CBE9" w14:textId="77777777" w:rsidR="003770F8" w:rsidRDefault="003770F8" w:rsidP="003770F8">
      <w:pPr>
        <w:spacing w:after="0" w:line="240" w:lineRule="auto"/>
        <w:jc w:val="center"/>
        <w:rPr>
          <w:rFonts w:ascii="Century Gothic" w:hAnsi="Century Gothic"/>
          <w:b/>
          <w:szCs w:val="24"/>
        </w:rPr>
      </w:pPr>
    </w:p>
    <w:p w14:paraId="4E3F8069" w14:textId="06025FB8"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241ED4B6" wp14:editId="1B643C26">
            <wp:extent cx="4496527" cy="34747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I_NO2_2008_full.png"/>
                    <pic:cNvPicPr/>
                  </pic:nvPicPr>
                  <pic:blipFill>
                    <a:blip r:embed="rId34">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7FEDD221" w14:textId="10C0667C" w:rsidR="00F03799" w:rsidRDefault="00F03799" w:rsidP="00F03799">
      <w:pPr>
        <w:spacing w:after="0" w:line="240" w:lineRule="auto"/>
        <w:rPr>
          <w:rFonts w:ascii="Century Gothic" w:hAnsi="Century Gothic"/>
          <w:sz w:val="20"/>
          <w:szCs w:val="20"/>
        </w:rPr>
      </w:pPr>
      <w:r>
        <w:rPr>
          <w:rFonts w:ascii="Century Gothic" w:hAnsi="Century Gothic"/>
          <w:sz w:val="20"/>
          <w:szCs w:val="20"/>
        </w:rPr>
        <w:t>Figure 21</w:t>
      </w:r>
      <w:r w:rsidRPr="00F03799">
        <w:rPr>
          <w:rFonts w:ascii="Century Gothic" w:hAnsi="Century Gothic"/>
          <w:sz w:val="20"/>
          <w:szCs w:val="20"/>
        </w:rPr>
        <w:t xml:space="preserve">. Average </w:t>
      </w:r>
      <w:r>
        <w:rPr>
          <w:rFonts w:ascii="Century Gothic" w:hAnsi="Century Gothic"/>
          <w:sz w:val="20"/>
          <w:szCs w:val="20"/>
        </w:rPr>
        <w:t>column OMI NO</w:t>
      </w:r>
      <w:r>
        <w:rPr>
          <w:rFonts w:ascii="Century Gothic" w:hAnsi="Century Gothic"/>
          <w:sz w:val="20"/>
          <w:szCs w:val="20"/>
          <w:vertAlign w:val="subscript"/>
        </w:rPr>
        <w:t>2</w:t>
      </w:r>
      <w:r>
        <w:rPr>
          <w:rFonts w:ascii="Century Gothic" w:hAnsi="Century Gothic"/>
          <w:sz w:val="20"/>
          <w:szCs w:val="20"/>
        </w:rPr>
        <w:t xml:space="preserve"> for the year 2008</w:t>
      </w:r>
      <w:r w:rsidR="005508A9">
        <w:rPr>
          <w:rFonts w:ascii="Century Gothic" w:hAnsi="Century Gothic"/>
          <w:sz w:val="20"/>
          <w:szCs w:val="20"/>
        </w:rPr>
        <w:t xml:space="preserve"> at 0.1 degree spatial resolution</w:t>
      </w:r>
      <w:r>
        <w:rPr>
          <w:rFonts w:ascii="Century Gothic" w:hAnsi="Century Gothic"/>
          <w:sz w:val="20"/>
          <w:szCs w:val="20"/>
        </w:rPr>
        <w:t>.</w:t>
      </w:r>
    </w:p>
    <w:p w14:paraId="0E2847B3" w14:textId="61A336A5" w:rsidR="003770F8" w:rsidRPr="00F03799" w:rsidRDefault="003770F8" w:rsidP="00F03799">
      <w:pPr>
        <w:spacing w:after="0" w:line="240" w:lineRule="auto"/>
        <w:jc w:val="center"/>
        <w:rPr>
          <w:rFonts w:ascii="Century Gothic" w:hAnsi="Century Gothic"/>
          <w:sz w:val="20"/>
          <w:szCs w:val="20"/>
        </w:rPr>
      </w:pPr>
      <w:r>
        <w:rPr>
          <w:rFonts w:ascii="Century Gothic" w:hAnsi="Century Gothic"/>
          <w:b/>
          <w:noProof/>
          <w:szCs w:val="24"/>
        </w:rPr>
        <w:lastRenderedPageBreak/>
        <w:drawing>
          <wp:inline distT="0" distB="0" distL="0" distR="0" wp14:anchorId="5E7BD60B" wp14:editId="7C21DBF8">
            <wp:extent cx="4496527" cy="34747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NOx_2011_full.png"/>
                    <pic:cNvPicPr/>
                  </pic:nvPicPr>
                  <pic:blipFill>
                    <a:blip r:embed="rId35">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134B0EC8" w14:textId="65C6BA88" w:rsidR="00F03799" w:rsidRPr="00F03799" w:rsidRDefault="00F03799" w:rsidP="00F03799">
      <w:pPr>
        <w:spacing w:after="0" w:line="240" w:lineRule="auto"/>
        <w:rPr>
          <w:rFonts w:ascii="Century Gothic" w:hAnsi="Century Gothic"/>
          <w:sz w:val="20"/>
          <w:szCs w:val="20"/>
        </w:rPr>
      </w:pPr>
      <w:r>
        <w:rPr>
          <w:rFonts w:ascii="Century Gothic" w:hAnsi="Century Gothic"/>
          <w:sz w:val="20"/>
          <w:szCs w:val="20"/>
        </w:rPr>
        <w:t>Figure 22</w:t>
      </w:r>
      <w:r w:rsidRPr="00F03799">
        <w:rPr>
          <w:rFonts w:ascii="Century Gothic" w:hAnsi="Century Gothic"/>
          <w:sz w:val="20"/>
          <w:szCs w:val="20"/>
        </w:rPr>
        <w:t xml:space="preserve">. </w:t>
      </w:r>
      <w:r>
        <w:rPr>
          <w:rFonts w:ascii="Century Gothic" w:hAnsi="Century Gothic"/>
          <w:sz w:val="20"/>
          <w:szCs w:val="20"/>
        </w:rPr>
        <w:t xml:space="preserve">Total </w:t>
      </w:r>
      <w:r w:rsidRPr="00F03799">
        <w:rPr>
          <w:rFonts w:ascii="Century Gothic" w:hAnsi="Century Gothic"/>
          <w:sz w:val="20"/>
          <w:szCs w:val="20"/>
        </w:rPr>
        <w:t>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sidR="005508A9">
        <w:rPr>
          <w:rFonts w:ascii="Century Gothic" w:hAnsi="Century Gothic"/>
          <w:sz w:val="20"/>
          <w:szCs w:val="20"/>
        </w:rPr>
        <w:t>for the year 2011 at 0.1 degree spatial resolution.</w:t>
      </w:r>
    </w:p>
    <w:p w14:paraId="1F86D94C" w14:textId="77777777" w:rsidR="00F03799" w:rsidRDefault="00F03799" w:rsidP="00F03799">
      <w:pPr>
        <w:spacing w:after="0" w:line="240" w:lineRule="auto"/>
        <w:rPr>
          <w:rFonts w:ascii="Century Gothic" w:hAnsi="Century Gothic"/>
          <w:b/>
          <w:szCs w:val="24"/>
        </w:rPr>
      </w:pPr>
    </w:p>
    <w:p w14:paraId="357DFE09" w14:textId="77777777" w:rsidR="003770F8" w:rsidRDefault="003770F8" w:rsidP="003770F8">
      <w:pPr>
        <w:spacing w:after="0" w:line="240" w:lineRule="auto"/>
        <w:jc w:val="center"/>
        <w:rPr>
          <w:rFonts w:ascii="Century Gothic" w:hAnsi="Century Gothic"/>
          <w:b/>
          <w:szCs w:val="24"/>
        </w:rPr>
      </w:pPr>
    </w:p>
    <w:p w14:paraId="3D876C12" w14:textId="1DA456E3"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44A5F5DE" wp14:editId="4EDBE5FF">
            <wp:extent cx="4496527" cy="34747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I_NO2_2011_full.png"/>
                    <pic:cNvPicPr/>
                  </pic:nvPicPr>
                  <pic:blipFill>
                    <a:blip r:embed="rId36">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4D743F1E" w14:textId="13EEECCB" w:rsidR="00F03799" w:rsidRDefault="00F03799" w:rsidP="00F03799">
      <w:pPr>
        <w:spacing w:after="0" w:line="240" w:lineRule="auto"/>
        <w:rPr>
          <w:rFonts w:ascii="Century Gothic" w:hAnsi="Century Gothic"/>
          <w:sz w:val="20"/>
          <w:szCs w:val="20"/>
        </w:rPr>
      </w:pPr>
      <w:r>
        <w:rPr>
          <w:rFonts w:ascii="Century Gothic" w:hAnsi="Century Gothic"/>
          <w:sz w:val="20"/>
          <w:szCs w:val="20"/>
        </w:rPr>
        <w:t>Figure 23</w:t>
      </w:r>
      <w:r w:rsidRPr="00F03799">
        <w:rPr>
          <w:rFonts w:ascii="Century Gothic" w:hAnsi="Century Gothic"/>
          <w:sz w:val="20"/>
          <w:szCs w:val="20"/>
        </w:rPr>
        <w:t xml:space="preserve">. </w:t>
      </w:r>
      <w:proofErr w:type="gramStart"/>
      <w:r w:rsidRPr="00F03799">
        <w:rPr>
          <w:rFonts w:ascii="Century Gothic" w:hAnsi="Century Gothic"/>
          <w:sz w:val="20"/>
          <w:szCs w:val="20"/>
        </w:rPr>
        <w:t xml:space="preserve">Average </w:t>
      </w:r>
      <w:r>
        <w:rPr>
          <w:rFonts w:ascii="Century Gothic" w:hAnsi="Century Gothic"/>
          <w:sz w:val="20"/>
          <w:szCs w:val="20"/>
        </w:rPr>
        <w:t>column OMI NO</w:t>
      </w:r>
      <w:r>
        <w:rPr>
          <w:rFonts w:ascii="Century Gothic" w:hAnsi="Century Gothic"/>
          <w:sz w:val="20"/>
          <w:szCs w:val="20"/>
          <w:vertAlign w:val="subscript"/>
        </w:rPr>
        <w:t>2</w:t>
      </w:r>
      <w:r>
        <w:rPr>
          <w:rFonts w:ascii="Century Gothic" w:hAnsi="Century Gothic"/>
          <w:sz w:val="20"/>
          <w:szCs w:val="20"/>
        </w:rPr>
        <w:t xml:space="preserve"> for the year 2011</w:t>
      </w:r>
      <w:r w:rsidR="005508A9">
        <w:rPr>
          <w:rFonts w:ascii="Century Gothic" w:hAnsi="Century Gothic"/>
          <w:sz w:val="20"/>
          <w:szCs w:val="20"/>
        </w:rPr>
        <w:t xml:space="preserve"> at 0.1 degree spatial resolution</w:t>
      </w:r>
      <w:r>
        <w:rPr>
          <w:rFonts w:ascii="Century Gothic" w:hAnsi="Century Gothic"/>
          <w:sz w:val="20"/>
          <w:szCs w:val="20"/>
        </w:rPr>
        <w:t>.</w:t>
      </w:r>
      <w:proofErr w:type="gramEnd"/>
    </w:p>
    <w:p w14:paraId="65133885" w14:textId="77777777" w:rsidR="0024007F" w:rsidRDefault="0024007F" w:rsidP="00F03799">
      <w:pPr>
        <w:spacing w:after="0" w:line="240" w:lineRule="auto"/>
        <w:rPr>
          <w:rFonts w:ascii="Century Gothic" w:hAnsi="Century Gothic"/>
          <w:b/>
          <w:sz w:val="20"/>
          <w:szCs w:val="20"/>
        </w:rPr>
      </w:pPr>
    </w:p>
    <w:p w14:paraId="2D6C3669" w14:textId="77777777" w:rsidR="0024007F" w:rsidRDefault="0024007F" w:rsidP="00F03799">
      <w:pPr>
        <w:spacing w:after="0" w:line="240" w:lineRule="auto"/>
        <w:rPr>
          <w:rFonts w:ascii="Century Gothic" w:hAnsi="Century Gothic"/>
          <w:b/>
          <w:sz w:val="20"/>
          <w:szCs w:val="20"/>
        </w:rPr>
      </w:pPr>
    </w:p>
    <w:p w14:paraId="61904A04" w14:textId="6CF51D65" w:rsidR="00361BE7" w:rsidRPr="008F39E3" w:rsidRDefault="00361BE7" w:rsidP="00F03799">
      <w:pPr>
        <w:spacing w:after="0" w:line="240" w:lineRule="auto"/>
        <w:rPr>
          <w:rFonts w:ascii="Century Gothic" w:hAnsi="Century Gothic"/>
          <w:b/>
          <w:sz w:val="20"/>
          <w:szCs w:val="20"/>
        </w:rPr>
      </w:pPr>
      <w:r>
        <w:rPr>
          <w:rFonts w:ascii="Century Gothic" w:hAnsi="Century Gothic"/>
          <w:b/>
          <w:sz w:val="20"/>
          <w:szCs w:val="20"/>
        </w:rPr>
        <w:lastRenderedPageBreak/>
        <w:t>Appendix C. Correl</w:t>
      </w:r>
      <w:r w:rsidR="008F39E3">
        <w:rPr>
          <w:rFonts w:ascii="Century Gothic" w:hAnsi="Century Gothic"/>
          <w:b/>
          <w:sz w:val="20"/>
          <w:szCs w:val="20"/>
        </w:rPr>
        <w:t>ation analysis at hot spot</w:t>
      </w:r>
      <w:r>
        <w:rPr>
          <w:rFonts w:ascii="Century Gothic" w:hAnsi="Century Gothic"/>
          <w:b/>
          <w:sz w:val="20"/>
          <w:szCs w:val="20"/>
        </w:rPr>
        <w:t xml:space="preserve"> 28.2°N, 88.5°W</w:t>
      </w:r>
    </w:p>
    <w:p w14:paraId="44F8EFEB" w14:textId="4AE0B586" w:rsidR="00361BE7" w:rsidRDefault="00361BE7" w:rsidP="00F03799">
      <w:pPr>
        <w:spacing w:after="0" w:line="240" w:lineRule="auto"/>
        <w:rPr>
          <w:rFonts w:ascii="Century Gothic" w:hAnsi="Century Gothic"/>
          <w:sz w:val="20"/>
          <w:szCs w:val="20"/>
        </w:rPr>
      </w:pPr>
    </w:p>
    <w:p w14:paraId="6E9798D6" w14:textId="29A0C16E" w:rsidR="00361BE7" w:rsidRDefault="005007C5" w:rsidP="00F03799">
      <w:pPr>
        <w:spacing w:after="0" w:line="240" w:lineRule="auto"/>
        <w:rPr>
          <w:rFonts w:ascii="Century Gothic" w:hAnsi="Century Gothic"/>
          <w:sz w:val="20"/>
          <w:szCs w:val="20"/>
        </w:rPr>
      </w:pPr>
      <w:r>
        <w:rPr>
          <w:noProof/>
        </w:rPr>
        <w:drawing>
          <wp:inline distT="0" distB="0" distL="0" distR="0" wp14:anchorId="17295415" wp14:editId="0EA85386">
            <wp:extent cx="6323067" cy="3383280"/>
            <wp:effectExtent l="0" t="0" r="27305" b="20320"/>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18E3EA" w14:textId="6C297458" w:rsidR="00361BE7" w:rsidRPr="008F39E3" w:rsidRDefault="00361BE7" w:rsidP="00F03799">
      <w:pPr>
        <w:spacing w:after="0" w:line="240" w:lineRule="auto"/>
        <w:rPr>
          <w:rFonts w:ascii="Century Gothic" w:hAnsi="Century Gothic"/>
          <w:sz w:val="20"/>
          <w:szCs w:val="20"/>
        </w:rPr>
      </w:pPr>
      <w:r>
        <w:rPr>
          <w:rFonts w:ascii="Century Gothic" w:hAnsi="Century Gothic"/>
          <w:sz w:val="20"/>
          <w:szCs w:val="20"/>
        </w:rPr>
        <w:t>Figure 24.</w:t>
      </w:r>
      <w:r w:rsidR="008F39E3">
        <w:rPr>
          <w:rFonts w:ascii="Century Gothic" w:hAnsi="Century Gothic"/>
          <w:sz w:val="20"/>
          <w:szCs w:val="20"/>
        </w:rPr>
        <w:t xml:space="preserve"> Correlation between BOEM Total PM</w:t>
      </w:r>
      <w:r w:rsidR="008F39E3">
        <w:rPr>
          <w:rFonts w:ascii="Century Gothic" w:hAnsi="Century Gothic"/>
          <w:sz w:val="20"/>
          <w:szCs w:val="20"/>
          <w:vertAlign w:val="subscript"/>
        </w:rPr>
        <w:t>2.5</w:t>
      </w:r>
      <w:r w:rsidR="008F39E3">
        <w:rPr>
          <w:rFonts w:ascii="Century Gothic" w:hAnsi="Century Gothic"/>
          <w:sz w:val="20"/>
          <w:szCs w:val="20"/>
        </w:rPr>
        <w:t xml:space="preserve"> and MODIS Average AOD at coordinate</w:t>
      </w:r>
      <w:r w:rsidR="008F39E3">
        <w:rPr>
          <w:rFonts w:ascii="Century Gothic" w:hAnsi="Century Gothic"/>
          <w:b/>
          <w:sz w:val="20"/>
          <w:szCs w:val="20"/>
        </w:rPr>
        <w:t xml:space="preserve"> </w:t>
      </w:r>
      <w:r w:rsidR="008F39E3" w:rsidRPr="008F39E3">
        <w:rPr>
          <w:rFonts w:ascii="Century Gothic" w:hAnsi="Century Gothic"/>
          <w:sz w:val="20"/>
          <w:szCs w:val="20"/>
        </w:rPr>
        <w:t>28.2°N, 88.5°W</w:t>
      </w:r>
    </w:p>
    <w:p w14:paraId="280BF1B6" w14:textId="77777777" w:rsidR="00361BE7" w:rsidRDefault="00361BE7" w:rsidP="00F03799">
      <w:pPr>
        <w:spacing w:after="0" w:line="240" w:lineRule="auto"/>
        <w:rPr>
          <w:rFonts w:ascii="Century Gothic" w:hAnsi="Century Gothic"/>
          <w:sz w:val="20"/>
          <w:szCs w:val="20"/>
        </w:rPr>
      </w:pPr>
    </w:p>
    <w:p w14:paraId="7CB4FB4E" w14:textId="77777777" w:rsidR="00361BE7" w:rsidRDefault="00361BE7" w:rsidP="00F03799">
      <w:pPr>
        <w:spacing w:after="0" w:line="240" w:lineRule="auto"/>
        <w:rPr>
          <w:rFonts w:ascii="Century Gothic" w:hAnsi="Century Gothic"/>
          <w:sz w:val="20"/>
          <w:szCs w:val="20"/>
        </w:rPr>
      </w:pPr>
    </w:p>
    <w:p w14:paraId="4619D772" w14:textId="77777777" w:rsidR="00361BE7" w:rsidRDefault="00361BE7" w:rsidP="00F03799">
      <w:pPr>
        <w:spacing w:after="0" w:line="240" w:lineRule="auto"/>
        <w:rPr>
          <w:rFonts w:ascii="Century Gothic" w:hAnsi="Century Gothic"/>
          <w:sz w:val="20"/>
          <w:szCs w:val="20"/>
        </w:rPr>
      </w:pPr>
    </w:p>
    <w:p w14:paraId="6E7225E7" w14:textId="400B6E71" w:rsidR="00361BE7" w:rsidRDefault="005007C5" w:rsidP="00F03799">
      <w:pPr>
        <w:spacing w:after="0" w:line="240" w:lineRule="auto"/>
        <w:rPr>
          <w:rFonts w:ascii="Century Gothic" w:hAnsi="Century Gothic"/>
          <w:sz w:val="20"/>
          <w:szCs w:val="20"/>
        </w:rPr>
      </w:pPr>
      <w:r>
        <w:rPr>
          <w:noProof/>
        </w:rPr>
        <w:drawing>
          <wp:inline distT="0" distB="0" distL="0" distR="0" wp14:anchorId="08A13D53" wp14:editId="09FCBDD6">
            <wp:extent cx="6485809" cy="3383280"/>
            <wp:effectExtent l="0" t="0" r="17145" b="20320"/>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24FD4A" w14:textId="296AD02E" w:rsidR="00361BE7" w:rsidRPr="00361BE7" w:rsidRDefault="00361BE7" w:rsidP="00F03799">
      <w:pPr>
        <w:spacing w:after="0" w:line="240" w:lineRule="auto"/>
        <w:rPr>
          <w:rFonts w:ascii="Century Gothic" w:hAnsi="Century Gothic"/>
          <w:sz w:val="20"/>
          <w:szCs w:val="20"/>
        </w:rPr>
      </w:pPr>
      <w:r>
        <w:rPr>
          <w:rFonts w:ascii="Century Gothic" w:hAnsi="Century Gothic"/>
          <w:sz w:val="20"/>
          <w:szCs w:val="20"/>
        </w:rPr>
        <w:t xml:space="preserve">Figure 25. </w:t>
      </w:r>
      <w:r w:rsidR="008F39E3">
        <w:rPr>
          <w:rFonts w:ascii="Century Gothic" w:hAnsi="Century Gothic"/>
          <w:sz w:val="20"/>
          <w:szCs w:val="20"/>
        </w:rPr>
        <w:t xml:space="preserve">Correlation between BOEM Total </w:t>
      </w:r>
      <w:proofErr w:type="spellStart"/>
      <w:r w:rsidR="008F39E3">
        <w:rPr>
          <w:rFonts w:ascii="Century Gothic" w:hAnsi="Century Gothic"/>
          <w:sz w:val="20"/>
          <w:szCs w:val="20"/>
        </w:rPr>
        <w:t>NO</w:t>
      </w:r>
      <w:r w:rsidR="008F39E3">
        <w:rPr>
          <w:rFonts w:ascii="Century Gothic" w:hAnsi="Century Gothic"/>
          <w:sz w:val="20"/>
          <w:szCs w:val="20"/>
          <w:vertAlign w:val="subscript"/>
        </w:rPr>
        <w:t>x</w:t>
      </w:r>
      <w:proofErr w:type="spellEnd"/>
      <w:r w:rsidR="008F39E3">
        <w:rPr>
          <w:rFonts w:ascii="Century Gothic" w:hAnsi="Century Gothic"/>
          <w:sz w:val="20"/>
          <w:szCs w:val="20"/>
        </w:rPr>
        <w:t xml:space="preserve"> and OMI Average NO</w:t>
      </w:r>
      <w:r w:rsidR="008F39E3">
        <w:rPr>
          <w:rFonts w:ascii="Century Gothic" w:hAnsi="Century Gothic"/>
          <w:sz w:val="20"/>
          <w:szCs w:val="20"/>
          <w:vertAlign w:val="subscript"/>
        </w:rPr>
        <w:t>2</w:t>
      </w:r>
      <w:r w:rsidR="008F39E3">
        <w:rPr>
          <w:rFonts w:ascii="Century Gothic" w:hAnsi="Century Gothic"/>
          <w:sz w:val="20"/>
          <w:szCs w:val="20"/>
        </w:rPr>
        <w:t xml:space="preserve"> at coordinate</w:t>
      </w:r>
      <w:r w:rsidR="008F39E3">
        <w:rPr>
          <w:rFonts w:ascii="Century Gothic" w:hAnsi="Century Gothic"/>
          <w:b/>
          <w:sz w:val="20"/>
          <w:szCs w:val="20"/>
        </w:rPr>
        <w:t xml:space="preserve"> </w:t>
      </w:r>
      <w:r w:rsidR="008F39E3" w:rsidRPr="008F39E3">
        <w:rPr>
          <w:rFonts w:ascii="Century Gothic" w:hAnsi="Century Gothic"/>
          <w:sz w:val="20"/>
          <w:szCs w:val="20"/>
        </w:rPr>
        <w:t>28.2°N, 88.5°W</w:t>
      </w:r>
    </w:p>
    <w:sectPr w:rsidR="00361BE7" w:rsidRPr="00361BE7" w:rsidSect="0064280B">
      <w:footerReference w:type="default" r:id="rId39"/>
      <w:headerReference w:type="first" r:id="rId40"/>
      <w:footerReference w:type="first" r:id="rId41"/>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8527E4" w15:done="0"/>
  <w15:commentEx w15:paraId="169D6A47" w15:done="0"/>
  <w15:commentEx w15:paraId="64427B38" w15:done="0"/>
  <w15:commentEx w15:paraId="036D17FB" w15:done="0"/>
  <w15:commentEx w15:paraId="79F73385" w15:done="0"/>
  <w15:commentEx w15:paraId="7FC43FA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48B6D" w14:textId="77777777" w:rsidR="00F47094" w:rsidRDefault="00F47094" w:rsidP="00242822">
      <w:pPr>
        <w:spacing w:after="0" w:line="240" w:lineRule="auto"/>
      </w:pPr>
      <w:r>
        <w:separator/>
      </w:r>
    </w:p>
  </w:endnote>
  <w:endnote w:type="continuationSeparator" w:id="0">
    <w:p w14:paraId="0E2B17DD" w14:textId="77777777" w:rsidR="00F47094" w:rsidRDefault="00F47094"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Questrial">
    <w:altName w:val="Times New Roman"/>
    <w:charset w:val="00"/>
    <w:family w:val="auto"/>
    <w:pitch w:val="default"/>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F47094" w:rsidRDefault="00F47094">
        <w:pPr>
          <w:pStyle w:val="Footer"/>
          <w:jc w:val="center"/>
        </w:pPr>
        <w:r>
          <w:fldChar w:fldCharType="begin"/>
        </w:r>
        <w:r>
          <w:instrText xml:space="preserve"> PAGE   \* MERGEFORMAT </w:instrText>
        </w:r>
        <w:r>
          <w:fldChar w:fldCharType="separate"/>
        </w:r>
        <w:r w:rsidR="00053012">
          <w:rPr>
            <w:noProof/>
          </w:rPr>
          <w:t>13</w:t>
        </w:r>
        <w:r>
          <w:rPr>
            <w:noProof/>
          </w:rPr>
          <w:fldChar w:fldCharType="end"/>
        </w:r>
      </w:p>
    </w:sdtContent>
  </w:sdt>
  <w:p w14:paraId="472788A1" w14:textId="77777777" w:rsidR="00F47094" w:rsidRDefault="00F470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F47094" w:rsidRDefault="00F47094"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D3EC6" w14:textId="77777777" w:rsidR="00F47094" w:rsidRDefault="00F47094" w:rsidP="00242822">
      <w:pPr>
        <w:spacing w:after="0" w:line="240" w:lineRule="auto"/>
      </w:pPr>
      <w:r>
        <w:separator/>
      </w:r>
    </w:p>
  </w:footnote>
  <w:footnote w:type="continuationSeparator" w:id="0">
    <w:p w14:paraId="6153E671" w14:textId="77777777" w:rsidR="00F47094" w:rsidRDefault="00F47094"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F47094" w:rsidRDefault="00F47094"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980E5B"/>
    <w:multiLevelType w:val="hybridMultilevel"/>
    <w:tmpl w:val="4EFC6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232634"/>
    <w:multiLevelType w:val="hybridMultilevel"/>
    <w:tmpl w:val="E2C2C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E16108"/>
    <w:multiLevelType w:val="multilevel"/>
    <w:tmpl w:val="97401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3B616F"/>
    <w:multiLevelType w:val="multilevel"/>
    <w:tmpl w:val="37F0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2"/>
  </w:num>
  <w:num w:numId="5">
    <w:abstractNumId w:val="4"/>
  </w:num>
  <w:num w:numId="6">
    <w:abstractNumId w:val="8"/>
  </w:num>
  <w:num w:numId="7">
    <w:abstractNumId w:val="7"/>
  </w:num>
  <w:num w:numId="8">
    <w:abstractNumId w:val="5"/>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rson w15:author="Clayton, Amanda L. (GSFC-6170)[DEVELOP]">
    <w15:presenceInfo w15:providerId="AD" w15:userId="S-1-5-21-330711430-3775241029-4075259233-682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US" w:vendorID="64" w:dllVersion="131078" w:nlCheck="1" w:checkStyle="1"/>
  <w:activeWritingStyle w:appName="MSWord" w:lang="en-US" w:vendorID="2" w:dllVersion="6" w:checkStyle="1"/>
  <w:proofState w:spelling="clean" w:grammar="clean"/>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10E41"/>
    <w:rsid w:val="00030B13"/>
    <w:rsid w:val="00053012"/>
    <w:rsid w:val="000F1545"/>
    <w:rsid w:val="000F6221"/>
    <w:rsid w:val="001338E2"/>
    <w:rsid w:val="0014039E"/>
    <w:rsid w:val="0014286F"/>
    <w:rsid w:val="0015019B"/>
    <w:rsid w:val="001556CC"/>
    <w:rsid w:val="00163111"/>
    <w:rsid w:val="001821EB"/>
    <w:rsid w:val="00195D23"/>
    <w:rsid w:val="001B7D96"/>
    <w:rsid w:val="001F1328"/>
    <w:rsid w:val="002040F7"/>
    <w:rsid w:val="00217D53"/>
    <w:rsid w:val="0023574D"/>
    <w:rsid w:val="0024007F"/>
    <w:rsid w:val="00242822"/>
    <w:rsid w:val="0027003E"/>
    <w:rsid w:val="00270A7B"/>
    <w:rsid w:val="00293F47"/>
    <w:rsid w:val="002A37F8"/>
    <w:rsid w:val="002B2BE4"/>
    <w:rsid w:val="002C0535"/>
    <w:rsid w:val="002C4C2E"/>
    <w:rsid w:val="002F4B2D"/>
    <w:rsid w:val="003155DD"/>
    <w:rsid w:val="00361BE7"/>
    <w:rsid w:val="003638F0"/>
    <w:rsid w:val="00366BA2"/>
    <w:rsid w:val="00375C0F"/>
    <w:rsid w:val="003770F8"/>
    <w:rsid w:val="00382423"/>
    <w:rsid w:val="003870E9"/>
    <w:rsid w:val="003F39BF"/>
    <w:rsid w:val="0041150E"/>
    <w:rsid w:val="0043112E"/>
    <w:rsid w:val="00482519"/>
    <w:rsid w:val="00493B57"/>
    <w:rsid w:val="00494746"/>
    <w:rsid w:val="004951A9"/>
    <w:rsid w:val="004D19D3"/>
    <w:rsid w:val="005007C5"/>
    <w:rsid w:val="00531C73"/>
    <w:rsid w:val="005508A9"/>
    <w:rsid w:val="005704DC"/>
    <w:rsid w:val="0057510D"/>
    <w:rsid w:val="005A0772"/>
    <w:rsid w:val="005C723F"/>
    <w:rsid w:val="005E3C91"/>
    <w:rsid w:val="005F6AD4"/>
    <w:rsid w:val="0060703D"/>
    <w:rsid w:val="00615E3A"/>
    <w:rsid w:val="006362B2"/>
    <w:rsid w:val="0064280B"/>
    <w:rsid w:val="006528A0"/>
    <w:rsid w:val="00670661"/>
    <w:rsid w:val="00684FE5"/>
    <w:rsid w:val="00687040"/>
    <w:rsid w:val="00695331"/>
    <w:rsid w:val="0069556D"/>
    <w:rsid w:val="006B7651"/>
    <w:rsid w:val="006C7B8F"/>
    <w:rsid w:val="006D1A28"/>
    <w:rsid w:val="006D6CBA"/>
    <w:rsid w:val="006E1497"/>
    <w:rsid w:val="006E2A1C"/>
    <w:rsid w:val="006F641E"/>
    <w:rsid w:val="007148F2"/>
    <w:rsid w:val="00716586"/>
    <w:rsid w:val="00732B10"/>
    <w:rsid w:val="0076222D"/>
    <w:rsid w:val="00770650"/>
    <w:rsid w:val="00771691"/>
    <w:rsid w:val="007775D4"/>
    <w:rsid w:val="007E508C"/>
    <w:rsid w:val="007E6095"/>
    <w:rsid w:val="007E68B5"/>
    <w:rsid w:val="007F6093"/>
    <w:rsid w:val="00800E49"/>
    <w:rsid w:val="0081261B"/>
    <w:rsid w:val="00837F4D"/>
    <w:rsid w:val="008434F3"/>
    <w:rsid w:val="00855532"/>
    <w:rsid w:val="00870E95"/>
    <w:rsid w:val="008741CE"/>
    <w:rsid w:val="00885349"/>
    <w:rsid w:val="00886888"/>
    <w:rsid w:val="008975BD"/>
    <w:rsid w:val="008A1137"/>
    <w:rsid w:val="008B7071"/>
    <w:rsid w:val="008C3E18"/>
    <w:rsid w:val="008E613F"/>
    <w:rsid w:val="008F39DA"/>
    <w:rsid w:val="008F39E3"/>
    <w:rsid w:val="00916AAB"/>
    <w:rsid w:val="00933965"/>
    <w:rsid w:val="00944FCD"/>
    <w:rsid w:val="009830D6"/>
    <w:rsid w:val="00994A45"/>
    <w:rsid w:val="009A20ED"/>
    <w:rsid w:val="009C6E95"/>
    <w:rsid w:val="009D1BB3"/>
    <w:rsid w:val="009F5966"/>
    <w:rsid w:val="009F7DA4"/>
    <w:rsid w:val="00A11DB7"/>
    <w:rsid w:val="00A2773A"/>
    <w:rsid w:val="00A36CA4"/>
    <w:rsid w:val="00A44FFF"/>
    <w:rsid w:val="00A60645"/>
    <w:rsid w:val="00AA7680"/>
    <w:rsid w:val="00AB12D0"/>
    <w:rsid w:val="00AC61F5"/>
    <w:rsid w:val="00AD5D0D"/>
    <w:rsid w:val="00AE0E7C"/>
    <w:rsid w:val="00B2307C"/>
    <w:rsid w:val="00B24E61"/>
    <w:rsid w:val="00B265D9"/>
    <w:rsid w:val="00B349F6"/>
    <w:rsid w:val="00B64CCF"/>
    <w:rsid w:val="00B659E6"/>
    <w:rsid w:val="00BA111A"/>
    <w:rsid w:val="00BA41F7"/>
    <w:rsid w:val="00C3045C"/>
    <w:rsid w:val="00C60F7D"/>
    <w:rsid w:val="00C70422"/>
    <w:rsid w:val="00C82473"/>
    <w:rsid w:val="00CA7F78"/>
    <w:rsid w:val="00CB1C0F"/>
    <w:rsid w:val="00CB406E"/>
    <w:rsid w:val="00CB589A"/>
    <w:rsid w:val="00CD092A"/>
    <w:rsid w:val="00CE0A9C"/>
    <w:rsid w:val="00CE7909"/>
    <w:rsid w:val="00CF6083"/>
    <w:rsid w:val="00D3013B"/>
    <w:rsid w:val="00D36C83"/>
    <w:rsid w:val="00D523CD"/>
    <w:rsid w:val="00D71CBB"/>
    <w:rsid w:val="00D92595"/>
    <w:rsid w:val="00DA7F96"/>
    <w:rsid w:val="00E00E6B"/>
    <w:rsid w:val="00E03B8E"/>
    <w:rsid w:val="00E24D11"/>
    <w:rsid w:val="00E3386D"/>
    <w:rsid w:val="00E41324"/>
    <w:rsid w:val="00E4344B"/>
    <w:rsid w:val="00E57321"/>
    <w:rsid w:val="00E578D6"/>
    <w:rsid w:val="00E6105B"/>
    <w:rsid w:val="00E64FEA"/>
    <w:rsid w:val="00E74845"/>
    <w:rsid w:val="00E75D54"/>
    <w:rsid w:val="00E94024"/>
    <w:rsid w:val="00EB6264"/>
    <w:rsid w:val="00F03799"/>
    <w:rsid w:val="00F03FEE"/>
    <w:rsid w:val="00F13A1D"/>
    <w:rsid w:val="00F13CC7"/>
    <w:rsid w:val="00F24FCE"/>
    <w:rsid w:val="00F47094"/>
    <w:rsid w:val="00F70E6D"/>
    <w:rsid w:val="00F85D9B"/>
    <w:rsid w:val="00F915FC"/>
    <w:rsid w:val="00FB0F63"/>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8434F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36CA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8434F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36C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3003">
      <w:bodyDiv w:val="1"/>
      <w:marLeft w:val="0"/>
      <w:marRight w:val="0"/>
      <w:marTop w:val="0"/>
      <w:marBottom w:val="0"/>
      <w:divBdr>
        <w:top w:val="none" w:sz="0" w:space="0" w:color="auto"/>
        <w:left w:val="none" w:sz="0" w:space="0" w:color="auto"/>
        <w:bottom w:val="none" w:sz="0" w:space="0" w:color="auto"/>
        <w:right w:val="none" w:sz="0" w:space="0" w:color="auto"/>
      </w:divBdr>
    </w:div>
    <w:div w:id="55781126">
      <w:bodyDiv w:val="1"/>
      <w:marLeft w:val="0"/>
      <w:marRight w:val="0"/>
      <w:marTop w:val="0"/>
      <w:marBottom w:val="0"/>
      <w:divBdr>
        <w:top w:val="none" w:sz="0" w:space="0" w:color="auto"/>
        <w:left w:val="none" w:sz="0" w:space="0" w:color="auto"/>
        <w:bottom w:val="none" w:sz="0" w:space="0" w:color="auto"/>
        <w:right w:val="none" w:sz="0" w:space="0" w:color="auto"/>
      </w:divBdr>
    </w:div>
    <w:div w:id="95486241">
      <w:bodyDiv w:val="1"/>
      <w:marLeft w:val="0"/>
      <w:marRight w:val="0"/>
      <w:marTop w:val="0"/>
      <w:marBottom w:val="0"/>
      <w:divBdr>
        <w:top w:val="none" w:sz="0" w:space="0" w:color="auto"/>
        <w:left w:val="none" w:sz="0" w:space="0" w:color="auto"/>
        <w:bottom w:val="none" w:sz="0" w:space="0" w:color="auto"/>
        <w:right w:val="none" w:sz="0" w:space="0" w:color="auto"/>
      </w:divBdr>
      <w:divsChild>
        <w:div w:id="1449621779">
          <w:marLeft w:val="0"/>
          <w:marRight w:val="0"/>
          <w:marTop w:val="0"/>
          <w:marBottom w:val="0"/>
          <w:divBdr>
            <w:top w:val="none" w:sz="0" w:space="0" w:color="auto"/>
            <w:left w:val="none" w:sz="0" w:space="0" w:color="auto"/>
            <w:bottom w:val="none" w:sz="0" w:space="0" w:color="auto"/>
            <w:right w:val="none" w:sz="0" w:space="0" w:color="auto"/>
          </w:divBdr>
        </w:div>
      </w:divsChild>
    </w:div>
    <w:div w:id="168562580">
      <w:bodyDiv w:val="1"/>
      <w:marLeft w:val="0"/>
      <w:marRight w:val="0"/>
      <w:marTop w:val="0"/>
      <w:marBottom w:val="0"/>
      <w:divBdr>
        <w:top w:val="none" w:sz="0" w:space="0" w:color="auto"/>
        <w:left w:val="none" w:sz="0" w:space="0" w:color="auto"/>
        <w:bottom w:val="none" w:sz="0" w:space="0" w:color="auto"/>
        <w:right w:val="none" w:sz="0" w:space="0" w:color="auto"/>
      </w:divBdr>
    </w:div>
    <w:div w:id="198595639">
      <w:bodyDiv w:val="1"/>
      <w:marLeft w:val="0"/>
      <w:marRight w:val="0"/>
      <w:marTop w:val="0"/>
      <w:marBottom w:val="0"/>
      <w:divBdr>
        <w:top w:val="none" w:sz="0" w:space="0" w:color="auto"/>
        <w:left w:val="none" w:sz="0" w:space="0" w:color="auto"/>
        <w:bottom w:val="none" w:sz="0" w:space="0" w:color="auto"/>
        <w:right w:val="none" w:sz="0" w:space="0" w:color="auto"/>
      </w:divBdr>
    </w:div>
    <w:div w:id="203756532">
      <w:bodyDiv w:val="1"/>
      <w:marLeft w:val="0"/>
      <w:marRight w:val="0"/>
      <w:marTop w:val="0"/>
      <w:marBottom w:val="0"/>
      <w:divBdr>
        <w:top w:val="none" w:sz="0" w:space="0" w:color="auto"/>
        <w:left w:val="none" w:sz="0" w:space="0" w:color="auto"/>
        <w:bottom w:val="none" w:sz="0" w:space="0" w:color="auto"/>
        <w:right w:val="none" w:sz="0" w:space="0" w:color="auto"/>
      </w:divBdr>
    </w:div>
    <w:div w:id="217712759">
      <w:bodyDiv w:val="1"/>
      <w:marLeft w:val="0"/>
      <w:marRight w:val="0"/>
      <w:marTop w:val="0"/>
      <w:marBottom w:val="0"/>
      <w:divBdr>
        <w:top w:val="none" w:sz="0" w:space="0" w:color="auto"/>
        <w:left w:val="none" w:sz="0" w:space="0" w:color="auto"/>
        <w:bottom w:val="none" w:sz="0" w:space="0" w:color="auto"/>
        <w:right w:val="none" w:sz="0" w:space="0" w:color="auto"/>
      </w:divBdr>
      <w:divsChild>
        <w:div w:id="704015495">
          <w:marLeft w:val="0"/>
          <w:marRight w:val="0"/>
          <w:marTop w:val="0"/>
          <w:marBottom w:val="0"/>
          <w:divBdr>
            <w:top w:val="none" w:sz="0" w:space="0" w:color="auto"/>
            <w:left w:val="none" w:sz="0" w:space="0" w:color="auto"/>
            <w:bottom w:val="none" w:sz="0" w:space="0" w:color="auto"/>
            <w:right w:val="none" w:sz="0" w:space="0" w:color="auto"/>
          </w:divBdr>
        </w:div>
      </w:divsChild>
    </w:div>
    <w:div w:id="364792631">
      <w:bodyDiv w:val="1"/>
      <w:marLeft w:val="0"/>
      <w:marRight w:val="0"/>
      <w:marTop w:val="0"/>
      <w:marBottom w:val="0"/>
      <w:divBdr>
        <w:top w:val="none" w:sz="0" w:space="0" w:color="auto"/>
        <w:left w:val="none" w:sz="0" w:space="0" w:color="auto"/>
        <w:bottom w:val="none" w:sz="0" w:space="0" w:color="auto"/>
        <w:right w:val="none" w:sz="0" w:space="0" w:color="auto"/>
      </w:divBdr>
    </w:div>
    <w:div w:id="406658937">
      <w:bodyDiv w:val="1"/>
      <w:marLeft w:val="0"/>
      <w:marRight w:val="0"/>
      <w:marTop w:val="0"/>
      <w:marBottom w:val="0"/>
      <w:divBdr>
        <w:top w:val="none" w:sz="0" w:space="0" w:color="auto"/>
        <w:left w:val="none" w:sz="0" w:space="0" w:color="auto"/>
        <w:bottom w:val="none" w:sz="0" w:space="0" w:color="auto"/>
        <w:right w:val="none" w:sz="0" w:space="0" w:color="auto"/>
      </w:divBdr>
    </w:div>
    <w:div w:id="480078601">
      <w:bodyDiv w:val="1"/>
      <w:marLeft w:val="0"/>
      <w:marRight w:val="0"/>
      <w:marTop w:val="0"/>
      <w:marBottom w:val="0"/>
      <w:divBdr>
        <w:top w:val="none" w:sz="0" w:space="0" w:color="auto"/>
        <w:left w:val="none" w:sz="0" w:space="0" w:color="auto"/>
        <w:bottom w:val="none" w:sz="0" w:space="0" w:color="auto"/>
        <w:right w:val="none" w:sz="0" w:space="0" w:color="auto"/>
      </w:divBdr>
    </w:div>
    <w:div w:id="529874409">
      <w:bodyDiv w:val="1"/>
      <w:marLeft w:val="0"/>
      <w:marRight w:val="0"/>
      <w:marTop w:val="0"/>
      <w:marBottom w:val="0"/>
      <w:divBdr>
        <w:top w:val="none" w:sz="0" w:space="0" w:color="auto"/>
        <w:left w:val="none" w:sz="0" w:space="0" w:color="auto"/>
        <w:bottom w:val="none" w:sz="0" w:space="0" w:color="auto"/>
        <w:right w:val="none" w:sz="0" w:space="0" w:color="auto"/>
      </w:divBdr>
    </w:div>
    <w:div w:id="711538698">
      <w:bodyDiv w:val="1"/>
      <w:marLeft w:val="0"/>
      <w:marRight w:val="0"/>
      <w:marTop w:val="0"/>
      <w:marBottom w:val="0"/>
      <w:divBdr>
        <w:top w:val="none" w:sz="0" w:space="0" w:color="auto"/>
        <w:left w:val="none" w:sz="0" w:space="0" w:color="auto"/>
        <w:bottom w:val="none" w:sz="0" w:space="0" w:color="auto"/>
        <w:right w:val="none" w:sz="0" w:space="0" w:color="auto"/>
      </w:divBdr>
    </w:div>
    <w:div w:id="753890700">
      <w:bodyDiv w:val="1"/>
      <w:marLeft w:val="0"/>
      <w:marRight w:val="0"/>
      <w:marTop w:val="0"/>
      <w:marBottom w:val="0"/>
      <w:divBdr>
        <w:top w:val="none" w:sz="0" w:space="0" w:color="auto"/>
        <w:left w:val="none" w:sz="0" w:space="0" w:color="auto"/>
        <w:bottom w:val="none" w:sz="0" w:space="0" w:color="auto"/>
        <w:right w:val="none" w:sz="0" w:space="0" w:color="auto"/>
      </w:divBdr>
    </w:div>
    <w:div w:id="763961079">
      <w:bodyDiv w:val="1"/>
      <w:marLeft w:val="0"/>
      <w:marRight w:val="0"/>
      <w:marTop w:val="0"/>
      <w:marBottom w:val="0"/>
      <w:divBdr>
        <w:top w:val="none" w:sz="0" w:space="0" w:color="auto"/>
        <w:left w:val="none" w:sz="0" w:space="0" w:color="auto"/>
        <w:bottom w:val="none" w:sz="0" w:space="0" w:color="auto"/>
        <w:right w:val="none" w:sz="0" w:space="0" w:color="auto"/>
      </w:divBdr>
    </w:div>
    <w:div w:id="860631531">
      <w:bodyDiv w:val="1"/>
      <w:marLeft w:val="0"/>
      <w:marRight w:val="0"/>
      <w:marTop w:val="0"/>
      <w:marBottom w:val="0"/>
      <w:divBdr>
        <w:top w:val="none" w:sz="0" w:space="0" w:color="auto"/>
        <w:left w:val="none" w:sz="0" w:space="0" w:color="auto"/>
        <w:bottom w:val="none" w:sz="0" w:space="0" w:color="auto"/>
        <w:right w:val="none" w:sz="0" w:space="0" w:color="auto"/>
      </w:divBdr>
    </w:div>
    <w:div w:id="872350315">
      <w:bodyDiv w:val="1"/>
      <w:marLeft w:val="0"/>
      <w:marRight w:val="0"/>
      <w:marTop w:val="0"/>
      <w:marBottom w:val="0"/>
      <w:divBdr>
        <w:top w:val="none" w:sz="0" w:space="0" w:color="auto"/>
        <w:left w:val="none" w:sz="0" w:space="0" w:color="auto"/>
        <w:bottom w:val="none" w:sz="0" w:space="0" w:color="auto"/>
        <w:right w:val="none" w:sz="0" w:space="0" w:color="auto"/>
      </w:divBdr>
    </w:div>
    <w:div w:id="885290645">
      <w:bodyDiv w:val="1"/>
      <w:marLeft w:val="0"/>
      <w:marRight w:val="0"/>
      <w:marTop w:val="0"/>
      <w:marBottom w:val="0"/>
      <w:divBdr>
        <w:top w:val="none" w:sz="0" w:space="0" w:color="auto"/>
        <w:left w:val="none" w:sz="0" w:space="0" w:color="auto"/>
        <w:bottom w:val="none" w:sz="0" w:space="0" w:color="auto"/>
        <w:right w:val="none" w:sz="0" w:space="0" w:color="auto"/>
      </w:divBdr>
    </w:div>
    <w:div w:id="994801680">
      <w:bodyDiv w:val="1"/>
      <w:marLeft w:val="0"/>
      <w:marRight w:val="0"/>
      <w:marTop w:val="0"/>
      <w:marBottom w:val="0"/>
      <w:divBdr>
        <w:top w:val="none" w:sz="0" w:space="0" w:color="auto"/>
        <w:left w:val="none" w:sz="0" w:space="0" w:color="auto"/>
        <w:bottom w:val="none" w:sz="0" w:space="0" w:color="auto"/>
        <w:right w:val="none" w:sz="0" w:space="0" w:color="auto"/>
      </w:divBdr>
    </w:div>
    <w:div w:id="1124693098">
      <w:bodyDiv w:val="1"/>
      <w:marLeft w:val="0"/>
      <w:marRight w:val="0"/>
      <w:marTop w:val="0"/>
      <w:marBottom w:val="0"/>
      <w:divBdr>
        <w:top w:val="none" w:sz="0" w:space="0" w:color="auto"/>
        <w:left w:val="none" w:sz="0" w:space="0" w:color="auto"/>
        <w:bottom w:val="none" w:sz="0" w:space="0" w:color="auto"/>
        <w:right w:val="none" w:sz="0" w:space="0" w:color="auto"/>
      </w:divBdr>
    </w:div>
    <w:div w:id="1140077362">
      <w:bodyDiv w:val="1"/>
      <w:marLeft w:val="0"/>
      <w:marRight w:val="0"/>
      <w:marTop w:val="0"/>
      <w:marBottom w:val="0"/>
      <w:divBdr>
        <w:top w:val="none" w:sz="0" w:space="0" w:color="auto"/>
        <w:left w:val="none" w:sz="0" w:space="0" w:color="auto"/>
        <w:bottom w:val="none" w:sz="0" w:space="0" w:color="auto"/>
        <w:right w:val="none" w:sz="0" w:space="0" w:color="auto"/>
      </w:divBdr>
    </w:div>
    <w:div w:id="1169759763">
      <w:bodyDiv w:val="1"/>
      <w:marLeft w:val="0"/>
      <w:marRight w:val="0"/>
      <w:marTop w:val="0"/>
      <w:marBottom w:val="0"/>
      <w:divBdr>
        <w:top w:val="none" w:sz="0" w:space="0" w:color="auto"/>
        <w:left w:val="none" w:sz="0" w:space="0" w:color="auto"/>
        <w:bottom w:val="none" w:sz="0" w:space="0" w:color="auto"/>
        <w:right w:val="none" w:sz="0" w:space="0" w:color="auto"/>
      </w:divBdr>
    </w:div>
    <w:div w:id="1217279743">
      <w:bodyDiv w:val="1"/>
      <w:marLeft w:val="0"/>
      <w:marRight w:val="0"/>
      <w:marTop w:val="0"/>
      <w:marBottom w:val="0"/>
      <w:divBdr>
        <w:top w:val="none" w:sz="0" w:space="0" w:color="auto"/>
        <w:left w:val="none" w:sz="0" w:space="0" w:color="auto"/>
        <w:bottom w:val="none" w:sz="0" w:space="0" w:color="auto"/>
        <w:right w:val="none" w:sz="0" w:space="0" w:color="auto"/>
      </w:divBdr>
    </w:div>
    <w:div w:id="1262837417">
      <w:bodyDiv w:val="1"/>
      <w:marLeft w:val="0"/>
      <w:marRight w:val="0"/>
      <w:marTop w:val="0"/>
      <w:marBottom w:val="0"/>
      <w:divBdr>
        <w:top w:val="none" w:sz="0" w:space="0" w:color="auto"/>
        <w:left w:val="none" w:sz="0" w:space="0" w:color="auto"/>
        <w:bottom w:val="none" w:sz="0" w:space="0" w:color="auto"/>
        <w:right w:val="none" w:sz="0" w:space="0" w:color="auto"/>
      </w:divBdr>
    </w:div>
    <w:div w:id="1362121831">
      <w:bodyDiv w:val="1"/>
      <w:marLeft w:val="0"/>
      <w:marRight w:val="0"/>
      <w:marTop w:val="0"/>
      <w:marBottom w:val="0"/>
      <w:divBdr>
        <w:top w:val="none" w:sz="0" w:space="0" w:color="auto"/>
        <w:left w:val="none" w:sz="0" w:space="0" w:color="auto"/>
        <w:bottom w:val="none" w:sz="0" w:space="0" w:color="auto"/>
        <w:right w:val="none" w:sz="0" w:space="0" w:color="auto"/>
      </w:divBdr>
    </w:div>
    <w:div w:id="1421298018">
      <w:bodyDiv w:val="1"/>
      <w:marLeft w:val="0"/>
      <w:marRight w:val="0"/>
      <w:marTop w:val="0"/>
      <w:marBottom w:val="0"/>
      <w:divBdr>
        <w:top w:val="none" w:sz="0" w:space="0" w:color="auto"/>
        <w:left w:val="none" w:sz="0" w:space="0" w:color="auto"/>
        <w:bottom w:val="none" w:sz="0" w:space="0" w:color="auto"/>
        <w:right w:val="none" w:sz="0" w:space="0" w:color="auto"/>
      </w:divBdr>
    </w:div>
    <w:div w:id="1531257329">
      <w:bodyDiv w:val="1"/>
      <w:marLeft w:val="0"/>
      <w:marRight w:val="0"/>
      <w:marTop w:val="0"/>
      <w:marBottom w:val="0"/>
      <w:divBdr>
        <w:top w:val="none" w:sz="0" w:space="0" w:color="auto"/>
        <w:left w:val="none" w:sz="0" w:space="0" w:color="auto"/>
        <w:bottom w:val="none" w:sz="0" w:space="0" w:color="auto"/>
        <w:right w:val="none" w:sz="0" w:space="0" w:color="auto"/>
      </w:divBdr>
    </w:div>
    <w:div w:id="1549100214">
      <w:bodyDiv w:val="1"/>
      <w:marLeft w:val="0"/>
      <w:marRight w:val="0"/>
      <w:marTop w:val="0"/>
      <w:marBottom w:val="0"/>
      <w:divBdr>
        <w:top w:val="none" w:sz="0" w:space="0" w:color="auto"/>
        <w:left w:val="none" w:sz="0" w:space="0" w:color="auto"/>
        <w:bottom w:val="none" w:sz="0" w:space="0" w:color="auto"/>
        <w:right w:val="none" w:sz="0" w:space="0" w:color="auto"/>
      </w:divBdr>
    </w:div>
    <w:div w:id="1620066030">
      <w:bodyDiv w:val="1"/>
      <w:marLeft w:val="0"/>
      <w:marRight w:val="0"/>
      <w:marTop w:val="0"/>
      <w:marBottom w:val="0"/>
      <w:divBdr>
        <w:top w:val="none" w:sz="0" w:space="0" w:color="auto"/>
        <w:left w:val="none" w:sz="0" w:space="0" w:color="auto"/>
        <w:bottom w:val="none" w:sz="0" w:space="0" w:color="auto"/>
        <w:right w:val="none" w:sz="0" w:space="0" w:color="auto"/>
      </w:divBdr>
    </w:div>
    <w:div w:id="1732071509">
      <w:bodyDiv w:val="1"/>
      <w:marLeft w:val="0"/>
      <w:marRight w:val="0"/>
      <w:marTop w:val="0"/>
      <w:marBottom w:val="0"/>
      <w:divBdr>
        <w:top w:val="none" w:sz="0" w:space="0" w:color="auto"/>
        <w:left w:val="none" w:sz="0" w:space="0" w:color="auto"/>
        <w:bottom w:val="none" w:sz="0" w:space="0" w:color="auto"/>
        <w:right w:val="none" w:sz="0" w:space="0" w:color="auto"/>
      </w:divBdr>
    </w:div>
    <w:div w:id="1752697058">
      <w:bodyDiv w:val="1"/>
      <w:marLeft w:val="0"/>
      <w:marRight w:val="0"/>
      <w:marTop w:val="0"/>
      <w:marBottom w:val="0"/>
      <w:divBdr>
        <w:top w:val="none" w:sz="0" w:space="0" w:color="auto"/>
        <w:left w:val="none" w:sz="0" w:space="0" w:color="auto"/>
        <w:bottom w:val="none" w:sz="0" w:space="0" w:color="auto"/>
        <w:right w:val="none" w:sz="0" w:space="0" w:color="auto"/>
      </w:divBdr>
    </w:div>
    <w:div w:id="1786459606">
      <w:bodyDiv w:val="1"/>
      <w:marLeft w:val="0"/>
      <w:marRight w:val="0"/>
      <w:marTop w:val="0"/>
      <w:marBottom w:val="0"/>
      <w:divBdr>
        <w:top w:val="none" w:sz="0" w:space="0" w:color="auto"/>
        <w:left w:val="none" w:sz="0" w:space="0" w:color="auto"/>
        <w:bottom w:val="none" w:sz="0" w:space="0" w:color="auto"/>
        <w:right w:val="none" w:sz="0" w:space="0" w:color="auto"/>
      </w:divBdr>
    </w:div>
    <w:div w:id="1935429338">
      <w:bodyDiv w:val="1"/>
      <w:marLeft w:val="0"/>
      <w:marRight w:val="0"/>
      <w:marTop w:val="0"/>
      <w:marBottom w:val="0"/>
      <w:divBdr>
        <w:top w:val="none" w:sz="0" w:space="0" w:color="auto"/>
        <w:left w:val="none" w:sz="0" w:space="0" w:color="auto"/>
        <w:bottom w:val="none" w:sz="0" w:space="0" w:color="auto"/>
        <w:right w:val="none" w:sz="0" w:space="0" w:color="auto"/>
      </w:divBdr>
    </w:div>
    <w:div w:id="1955285457">
      <w:bodyDiv w:val="1"/>
      <w:marLeft w:val="0"/>
      <w:marRight w:val="0"/>
      <w:marTop w:val="0"/>
      <w:marBottom w:val="0"/>
      <w:divBdr>
        <w:top w:val="none" w:sz="0" w:space="0" w:color="auto"/>
        <w:left w:val="none" w:sz="0" w:space="0" w:color="auto"/>
        <w:bottom w:val="none" w:sz="0" w:space="0" w:color="auto"/>
        <w:right w:val="none" w:sz="0" w:space="0" w:color="auto"/>
      </w:divBdr>
    </w:div>
    <w:div w:id="204394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s://drive.google.com/file/d/0B0LdRdEHs-ExNzNUbTdPdFNtMk0/view?usp=sharing" TargetMode="External"/><Relationship Id="rId23" Type="http://schemas.openxmlformats.org/officeDocument/2006/relationships/hyperlink" Target="https://drive.google.com/file/d/0B0LdRdEHs-ExajlldFNCb0hJdTA/view?usp=sharing" TargetMode="External"/><Relationship Id="rId24" Type="http://schemas.openxmlformats.org/officeDocument/2006/relationships/hyperlink" Target="https://drive.google.com/file/d/0B0LdRdEHs-ExN2R4UlVWemZFUXM/view?usp=sharing" TargetMode="External"/><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chart" Target="charts/chart1.xml"/><Relationship Id="rId38" Type="http://schemas.openxmlformats.org/officeDocument/2006/relationships/chart" Target="charts/chart2.xml"/><Relationship Id="rId39" Type="http://schemas.openxmlformats.org/officeDocument/2006/relationships/footer" Target="footer1.xml"/><Relationship Id="rId40" Type="http://schemas.openxmlformats.org/officeDocument/2006/relationships/header" Target="head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 Id="rId44" Type="http://schemas.microsoft.com/office/2011/relationships/people" Target="people.xml"/><Relationship Id="rId45"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mandaClayton:Downloads:2008%20Hot%20Spot%20Correl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mandaClayton:Downloads:2008%20Hot%20Spot%20Corre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2008 BOEM Total</a:t>
            </a:r>
            <a:r>
              <a:rPr lang="en-US" baseline="0"/>
              <a:t> </a:t>
            </a:r>
            <a:r>
              <a:rPr lang="en-US"/>
              <a:t>PM25/MODIS Avg</a:t>
            </a:r>
            <a:r>
              <a:rPr lang="en-US" baseline="0"/>
              <a:t> </a:t>
            </a:r>
            <a:r>
              <a:rPr lang="en-US"/>
              <a:t>AOD</a:t>
            </a:r>
          </a:p>
          <a:p>
            <a:pPr>
              <a:defRPr sz="1400" b="0" i="0" u="none" strike="noStrike" kern="1200" spc="0" baseline="0">
                <a:solidFill>
                  <a:schemeClr val="tx1">
                    <a:lumMod val="65000"/>
                    <a:lumOff val="35000"/>
                  </a:schemeClr>
                </a:solidFill>
                <a:latin typeface="+mn-lt"/>
                <a:ea typeface="+mn-ea"/>
                <a:cs typeface="+mn-cs"/>
              </a:defRPr>
            </a:pPr>
            <a:r>
              <a:rPr lang="en-US"/>
              <a:t>for Hot Spot 28.2</a:t>
            </a:r>
            <a:r>
              <a:rPr lang="en-US" baseline="30000"/>
              <a:t>o</a:t>
            </a:r>
            <a:r>
              <a:rPr lang="en-US"/>
              <a:t>N, 88.5</a:t>
            </a:r>
            <a:r>
              <a:rPr lang="en-US" baseline="30000"/>
              <a:t>o</a:t>
            </a:r>
            <a:r>
              <a:rPr lang="en-US"/>
              <a:t>W</a:t>
            </a:r>
          </a:p>
        </c:rich>
      </c:tx>
      <c:overlay val="0"/>
      <c:spPr>
        <a:noFill/>
        <a:ln>
          <a:noFill/>
        </a:ln>
        <a:effectLst/>
      </c:spPr>
    </c:title>
    <c:autoTitleDeleted val="0"/>
    <c:plotArea>
      <c:layout/>
      <c:lineChart>
        <c:grouping val="standard"/>
        <c:varyColors val="0"/>
        <c:ser>
          <c:idx val="0"/>
          <c:order val="0"/>
          <c:tx>
            <c:strRef>
              <c:f>Summary!$B$2</c:f>
              <c:strCache>
                <c:ptCount val="1"/>
                <c:pt idx="0">
                  <c:v>BOEM PM25 Total</c:v>
                </c:pt>
              </c:strCache>
            </c:strRef>
          </c:tx>
          <c:spPr>
            <a:ln w="28575" cap="rnd">
              <a:solidFill>
                <a:schemeClr val="accent1"/>
              </a:solidFill>
              <a:round/>
            </a:ln>
            <a:effectLst/>
          </c:spPr>
          <c:marker>
            <c:symbol val="none"/>
          </c:marker>
          <c:cat>
            <c:numRef>
              <c:f>Summary!$A$3:$A$14</c:f>
              <c:numCache>
                <c:formatCode>mmm\-yy</c:formatCode>
                <c:ptCount val="12"/>
                <c:pt idx="0">
                  <c:v>39448.0</c:v>
                </c:pt>
                <c:pt idx="1">
                  <c:v>39479.0</c:v>
                </c:pt>
                <c:pt idx="2">
                  <c:v>39508.0</c:v>
                </c:pt>
                <c:pt idx="3">
                  <c:v>39539.0</c:v>
                </c:pt>
                <c:pt idx="4">
                  <c:v>39569.0</c:v>
                </c:pt>
                <c:pt idx="5">
                  <c:v>39600.0</c:v>
                </c:pt>
                <c:pt idx="6">
                  <c:v>39630.0</c:v>
                </c:pt>
                <c:pt idx="7">
                  <c:v>39661.0</c:v>
                </c:pt>
                <c:pt idx="8">
                  <c:v>39692.0</c:v>
                </c:pt>
                <c:pt idx="9">
                  <c:v>39722.0</c:v>
                </c:pt>
                <c:pt idx="10">
                  <c:v>39753.0</c:v>
                </c:pt>
                <c:pt idx="11">
                  <c:v>39783.0</c:v>
                </c:pt>
              </c:numCache>
            </c:numRef>
          </c:cat>
          <c:val>
            <c:numRef>
              <c:f>Summary!$B$3:$B$14</c:f>
              <c:numCache>
                <c:formatCode>General</c:formatCode>
                <c:ptCount val="12"/>
                <c:pt idx="0">
                  <c:v>148.6214595208872</c:v>
                </c:pt>
                <c:pt idx="1">
                  <c:v>54.63011463828167</c:v>
                </c:pt>
                <c:pt idx="2">
                  <c:v>33.28833669743175</c:v>
                </c:pt>
                <c:pt idx="3">
                  <c:v>172.8183475780703</c:v>
                </c:pt>
                <c:pt idx="4">
                  <c:v>126.5006633736561</c:v>
                </c:pt>
                <c:pt idx="5">
                  <c:v>66.38920909221246</c:v>
                </c:pt>
                <c:pt idx="6">
                  <c:v>71.03313200308146</c:v>
                </c:pt>
                <c:pt idx="7">
                  <c:v>57.46595474179195</c:v>
                </c:pt>
                <c:pt idx="8">
                  <c:v>75.25074745009287</c:v>
                </c:pt>
                <c:pt idx="9">
                  <c:v>52.25669284871218</c:v>
                </c:pt>
                <c:pt idx="10">
                  <c:v>50.8657798330105</c:v>
                </c:pt>
                <c:pt idx="11">
                  <c:v>72.45243463660778</c:v>
                </c:pt>
              </c:numCache>
            </c:numRef>
          </c:val>
          <c:smooth val="0"/>
        </c:ser>
        <c:dLbls>
          <c:showLegendKey val="0"/>
          <c:showVal val="0"/>
          <c:showCatName val="0"/>
          <c:showSerName val="0"/>
          <c:showPercent val="0"/>
          <c:showBubbleSize val="0"/>
        </c:dLbls>
        <c:marker val="1"/>
        <c:smooth val="0"/>
        <c:axId val="2072121272"/>
        <c:axId val="2124678664"/>
      </c:lineChart>
      <c:lineChart>
        <c:grouping val="standard"/>
        <c:varyColors val="0"/>
        <c:ser>
          <c:idx val="1"/>
          <c:order val="1"/>
          <c:tx>
            <c:strRef>
              <c:f>Summary!$C$2</c:f>
              <c:strCache>
                <c:ptCount val="1"/>
                <c:pt idx="0">
                  <c:v>MODIS AOD Avg</c:v>
                </c:pt>
              </c:strCache>
            </c:strRef>
          </c:tx>
          <c:spPr>
            <a:ln w="28575" cap="rnd">
              <a:solidFill>
                <a:schemeClr val="accent2"/>
              </a:solidFill>
              <a:round/>
            </a:ln>
            <a:effectLst/>
          </c:spPr>
          <c:marker>
            <c:symbol val="none"/>
          </c:marker>
          <c:cat>
            <c:numRef>
              <c:f>Summary!$A$3:$A$14</c:f>
              <c:numCache>
                <c:formatCode>mmm\-yy</c:formatCode>
                <c:ptCount val="12"/>
                <c:pt idx="0">
                  <c:v>39448.0</c:v>
                </c:pt>
                <c:pt idx="1">
                  <c:v>39479.0</c:v>
                </c:pt>
                <c:pt idx="2">
                  <c:v>39508.0</c:v>
                </c:pt>
                <c:pt idx="3">
                  <c:v>39539.0</c:v>
                </c:pt>
                <c:pt idx="4">
                  <c:v>39569.0</c:v>
                </c:pt>
                <c:pt idx="5">
                  <c:v>39600.0</c:v>
                </c:pt>
                <c:pt idx="6">
                  <c:v>39630.0</c:v>
                </c:pt>
                <c:pt idx="7">
                  <c:v>39661.0</c:v>
                </c:pt>
                <c:pt idx="8">
                  <c:v>39692.0</c:v>
                </c:pt>
                <c:pt idx="9">
                  <c:v>39722.0</c:v>
                </c:pt>
                <c:pt idx="10">
                  <c:v>39753.0</c:v>
                </c:pt>
                <c:pt idx="11">
                  <c:v>39783.0</c:v>
                </c:pt>
              </c:numCache>
            </c:numRef>
          </c:cat>
          <c:val>
            <c:numRef>
              <c:f>Summary!$C$3:$C$14</c:f>
              <c:numCache>
                <c:formatCode>General</c:formatCode>
                <c:ptCount val="12"/>
                <c:pt idx="0">
                  <c:v>0.105</c:v>
                </c:pt>
                <c:pt idx="1">
                  <c:v>0.183</c:v>
                </c:pt>
                <c:pt idx="2">
                  <c:v>0.143</c:v>
                </c:pt>
                <c:pt idx="3">
                  <c:v>0.194</c:v>
                </c:pt>
                <c:pt idx="4">
                  <c:v>0.361</c:v>
                </c:pt>
                <c:pt idx="5">
                  <c:v>0.135</c:v>
                </c:pt>
                <c:pt idx="6">
                  <c:v>0.287</c:v>
                </c:pt>
                <c:pt idx="7">
                  <c:v>0.259</c:v>
                </c:pt>
                <c:pt idx="8">
                  <c:v>0.0</c:v>
                </c:pt>
                <c:pt idx="9">
                  <c:v>0.164</c:v>
                </c:pt>
                <c:pt idx="10">
                  <c:v>0.08</c:v>
                </c:pt>
                <c:pt idx="11">
                  <c:v>0.119</c:v>
                </c:pt>
              </c:numCache>
            </c:numRef>
          </c:val>
          <c:smooth val="0"/>
        </c:ser>
        <c:dLbls>
          <c:showLegendKey val="0"/>
          <c:showVal val="0"/>
          <c:showCatName val="0"/>
          <c:showSerName val="0"/>
          <c:showPercent val="0"/>
          <c:showBubbleSize val="0"/>
        </c:dLbls>
        <c:marker val="1"/>
        <c:smooth val="0"/>
        <c:axId val="-2145571160"/>
        <c:axId val="2081694664"/>
      </c:lineChart>
      <c:dateAx>
        <c:axId val="20721212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678664"/>
        <c:crosses val="autoZero"/>
        <c:auto val="1"/>
        <c:lblOffset val="100"/>
        <c:baseTimeUnit val="months"/>
      </c:dateAx>
      <c:valAx>
        <c:axId val="2124678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BOEM PM25 Emissions in Tons/month</a:t>
                </a:r>
              </a:p>
            </c:rich>
          </c:tx>
          <c:layout>
            <c:manualLayout>
              <c:xMode val="edge"/>
              <c:yMode val="edge"/>
              <c:x val="0.0231481481481481"/>
              <c:y val="0.14968601020913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121272"/>
        <c:crosses val="autoZero"/>
        <c:crossBetween val="between"/>
      </c:valAx>
      <c:valAx>
        <c:axId val="208169466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MODIS Avg AOD</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571160"/>
        <c:crosses val="max"/>
        <c:crossBetween val="between"/>
      </c:valAx>
      <c:dateAx>
        <c:axId val="-2145571160"/>
        <c:scaling>
          <c:orientation val="minMax"/>
        </c:scaling>
        <c:delete val="1"/>
        <c:axPos val="b"/>
        <c:numFmt formatCode="mmm\-yy" sourceLinked="1"/>
        <c:majorTickMark val="out"/>
        <c:minorTickMark val="none"/>
        <c:tickLblPos val="nextTo"/>
        <c:crossAx val="208169466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2008 BOEM Total</a:t>
            </a:r>
            <a:r>
              <a:rPr lang="en-US" baseline="0"/>
              <a:t> NOx/OMI Avg NO2</a:t>
            </a:r>
          </a:p>
          <a:p>
            <a:pPr>
              <a:defRPr sz="1400" b="0" i="0" u="none" strike="noStrike" kern="1200" spc="0" baseline="0">
                <a:solidFill>
                  <a:schemeClr val="tx1">
                    <a:lumMod val="65000"/>
                    <a:lumOff val="35000"/>
                  </a:schemeClr>
                </a:solidFill>
                <a:latin typeface="+mn-lt"/>
                <a:ea typeface="+mn-ea"/>
                <a:cs typeface="+mn-cs"/>
              </a:defRPr>
            </a:pPr>
            <a:r>
              <a:rPr lang="en-US" baseline="0"/>
              <a:t>for Hot Spot </a:t>
            </a:r>
            <a:r>
              <a:rPr lang="en-US" sz="1400" b="0" i="0" u="none" strike="noStrike" baseline="0">
                <a:effectLst/>
              </a:rPr>
              <a:t>28.2</a:t>
            </a:r>
            <a:r>
              <a:rPr lang="en-US" sz="1400" b="0" i="0" u="none" strike="noStrike" baseline="30000">
                <a:effectLst/>
              </a:rPr>
              <a:t>o</a:t>
            </a:r>
            <a:r>
              <a:rPr lang="en-US" sz="1400" b="0" i="0" u="none" strike="noStrike" baseline="0">
                <a:effectLst/>
              </a:rPr>
              <a:t>N, 88.5</a:t>
            </a:r>
            <a:r>
              <a:rPr lang="en-US" sz="1400" b="0" i="0" u="none" strike="noStrike" baseline="30000">
                <a:effectLst/>
              </a:rPr>
              <a:t>o</a:t>
            </a:r>
            <a:r>
              <a:rPr lang="en-US" sz="1400" b="0" i="0" u="none" strike="noStrike" baseline="0">
                <a:effectLst/>
              </a:rPr>
              <a:t>W</a:t>
            </a:r>
            <a:r>
              <a:rPr lang="en-US" baseline="0"/>
              <a:t> </a:t>
            </a:r>
            <a:endParaRPr lang="en-US"/>
          </a:p>
        </c:rich>
      </c:tx>
      <c:overlay val="0"/>
      <c:spPr>
        <a:noFill/>
        <a:ln>
          <a:noFill/>
        </a:ln>
        <a:effectLst/>
      </c:spPr>
    </c:title>
    <c:autoTitleDeleted val="0"/>
    <c:plotArea>
      <c:layout/>
      <c:lineChart>
        <c:grouping val="standard"/>
        <c:varyColors val="0"/>
        <c:ser>
          <c:idx val="0"/>
          <c:order val="0"/>
          <c:tx>
            <c:strRef>
              <c:f>Summary!$D$2</c:f>
              <c:strCache>
                <c:ptCount val="1"/>
                <c:pt idx="0">
                  <c:v>BOEM NOx Total</c:v>
                </c:pt>
              </c:strCache>
            </c:strRef>
          </c:tx>
          <c:spPr>
            <a:ln w="28575" cap="rnd">
              <a:solidFill>
                <a:schemeClr val="accent1"/>
              </a:solidFill>
              <a:round/>
            </a:ln>
            <a:effectLst/>
          </c:spPr>
          <c:marker>
            <c:symbol val="none"/>
          </c:marker>
          <c:cat>
            <c:numRef>
              <c:f>Summary!$A$3:$A$14</c:f>
              <c:numCache>
                <c:formatCode>mmm\-yy</c:formatCode>
                <c:ptCount val="12"/>
                <c:pt idx="0">
                  <c:v>39448.0</c:v>
                </c:pt>
                <c:pt idx="1">
                  <c:v>39479.0</c:v>
                </c:pt>
                <c:pt idx="2">
                  <c:v>39508.0</c:v>
                </c:pt>
                <c:pt idx="3">
                  <c:v>39539.0</c:v>
                </c:pt>
                <c:pt idx="4">
                  <c:v>39569.0</c:v>
                </c:pt>
                <c:pt idx="5">
                  <c:v>39600.0</c:v>
                </c:pt>
                <c:pt idx="6">
                  <c:v>39630.0</c:v>
                </c:pt>
                <c:pt idx="7">
                  <c:v>39661.0</c:v>
                </c:pt>
                <c:pt idx="8">
                  <c:v>39692.0</c:v>
                </c:pt>
                <c:pt idx="9">
                  <c:v>39722.0</c:v>
                </c:pt>
                <c:pt idx="10">
                  <c:v>39753.0</c:v>
                </c:pt>
                <c:pt idx="11">
                  <c:v>39783.0</c:v>
                </c:pt>
              </c:numCache>
            </c:numRef>
          </c:cat>
          <c:val>
            <c:numRef>
              <c:f>Summary!$D$3:$D$14</c:f>
              <c:numCache>
                <c:formatCode>General</c:formatCode>
                <c:ptCount val="12"/>
                <c:pt idx="0">
                  <c:v>5015.30238961257</c:v>
                </c:pt>
                <c:pt idx="1">
                  <c:v>2156.786273715508</c:v>
                </c:pt>
                <c:pt idx="2">
                  <c:v>1709.078403584825</c:v>
                </c:pt>
                <c:pt idx="3">
                  <c:v>5493.295108438806</c:v>
                </c:pt>
                <c:pt idx="4">
                  <c:v>4268.05298005493</c:v>
                </c:pt>
                <c:pt idx="5">
                  <c:v>2835.674621480151</c:v>
                </c:pt>
                <c:pt idx="6">
                  <c:v>2916.310966046741</c:v>
                </c:pt>
                <c:pt idx="7">
                  <c:v>2441.682715220071</c:v>
                </c:pt>
                <c:pt idx="8">
                  <c:v>2720.710812550176</c:v>
                </c:pt>
                <c:pt idx="9">
                  <c:v>2237.853592901867</c:v>
                </c:pt>
                <c:pt idx="10">
                  <c:v>2323.39247767057</c:v>
                </c:pt>
                <c:pt idx="11">
                  <c:v>3045.177771781236</c:v>
                </c:pt>
              </c:numCache>
            </c:numRef>
          </c:val>
          <c:smooth val="0"/>
        </c:ser>
        <c:dLbls>
          <c:showLegendKey val="0"/>
          <c:showVal val="0"/>
          <c:showCatName val="0"/>
          <c:showSerName val="0"/>
          <c:showPercent val="0"/>
          <c:showBubbleSize val="0"/>
        </c:dLbls>
        <c:marker val="1"/>
        <c:smooth val="0"/>
        <c:axId val="2124255016"/>
        <c:axId val="2029032376"/>
      </c:lineChart>
      <c:lineChart>
        <c:grouping val="standard"/>
        <c:varyColors val="0"/>
        <c:ser>
          <c:idx val="1"/>
          <c:order val="1"/>
          <c:tx>
            <c:strRef>
              <c:f>Summary!$E$2</c:f>
              <c:strCache>
                <c:ptCount val="1"/>
                <c:pt idx="0">
                  <c:v>OMI NO2 Avg</c:v>
                </c:pt>
              </c:strCache>
            </c:strRef>
          </c:tx>
          <c:spPr>
            <a:ln w="28575" cap="rnd">
              <a:solidFill>
                <a:schemeClr val="accent2"/>
              </a:solidFill>
              <a:round/>
            </a:ln>
            <a:effectLst/>
          </c:spPr>
          <c:marker>
            <c:symbol val="none"/>
          </c:marker>
          <c:cat>
            <c:numRef>
              <c:f>Summary!$A$3:$A$14</c:f>
              <c:numCache>
                <c:formatCode>mmm\-yy</c:formatCode>
                <c:ptCount val="12"/>
                <c:pt idx="0">
                  <c:v>39448.0</c:v>
                </c:pt>
                <c:pt idx="1">
                  <c:v>39479.0</c:v>
                </c:pt>
                <c:pt idx="2">
                  <c:v>39508.0</c:v>
                </c:pt>
                <c:pt idx="3">
                  <c:v>39539.0</c:v>
                </c:pt>
                <c:pt idx="4">
                  <c:v>39569.0</c:v>
                </c:pt>
                <c:pt idx="5">
                  <c:v>39600.0</c:v>
                </c:pt>
                <c:pt idx="6">
                  <c:v>39630.0</c:v>
                </c:pt>
                <c:pt idx="7">
                  <c:v>39661.0</c:v>
                </c:pt>
                <c:pt idx="8">
                  <c:v>39692.0</c:v>
                </c:pt>
                <c:pt idx="9">
                  <c:v>39722.0</c:v>
                </c:pt>
                <c:pt idx="10">
                  <c:v>39753.0</c:v>
                </c:pt>
                <c:pt idx="11">
                  <c:v>39783.0</c:v>
                </c:pt>
              </c:numCache>
            </c:numRef>
          </c:cat>
          <c:val>
            <c:numRef>
              <c:f>Summary!$E$3:$E$14</c:f>
              <c:numCache>
                <c:formatCode>0.00E+00</c:formatCode>
                <c:ptCount val="12"/>
                <c:pt idx="0">
                  <c:v>4.9854E14</c:v>
                </c:pt>
                <c:pt idx="1">
                  <c:v>7.6393E14</c:v>
                </c:pt>
                <c:pt idx="2">
                  <c:v>9.1765E14</c:v>
                </c:pt>
                <c:pt idx="3">
                  <c:v>1.0211E15</c:v>
                </c:pt>
                <c:pt idx="4">
                  <c:v>9.6412E14</c:v>
                </c:pt>
                <c:pt idx="5">
                  <c:v>8.4203E14</c:v>
                </c:pt>
                <c:pt idx="6">
                  <c:v>9.3889E14</c:v>
                </c:pt>
                <c:pt idx="7">
                  <c:v>1.1288E15</c:v>
                </c:pt>
                <c:pt idx="8">
                  <c:v>9.0767E14</c:v>
                </c:pt>
                <c:pt idx="9">
                  <c:v>1.1095E15</c:v>
                </c:pt>
                <c:pt idx="10">
                  <c:v>1.0988E15</c:v>
                </c:pt>
                <c:pt idx="11">
                  <c:v>1.5051E15</c:v>
                </c:pt>
              </c:numCache>
            </c:numRef>
          </c:val>
          <c:smooth val="0"/>
        </c:ser>
        <c:dLbls>
          <c:showLegendKey val="0"/>
          <c:showVal val="0"/>
          <c:showCatName val="0"/>
          <c:showSerName val="0"/>
          <c:showPercent val="0"/>
          <c:showBubbleSize val="0"/>
        </c:dLbls>
        <c:marker val="1"/>
        <c:smooth val="0"/>
        <c:axId val="2123707256"/>
        <c:axId val="2029597768"/>
      </c:lineChart>
      <c:dateAx>
        <c:axId val="21242550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032376"/>
        <c:crosses val="autoZero"/>
        <c:auto val="1"/>
        <c:lblOffset val="100"/>
        <c:baseTimeUnit val="months"/>
      </c:dateAx>
      <c:valAx>
        <c:axId val="2029032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BOEM Nox Emissions in Tons/month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55016"/>
        <c:crosses val="autoZero"/>
        <c:crossBetween val="between"/>
      </c:valAx>
      <c:valAx>
        <c:axId val="20295977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OMI NO2 Avg Column Amt in Molc/cm2</a:t>
                </a:r>
              </a:p>
            </c:rich>
          </c:tx>
          <c:overlay val="0"/>
          <c:spPr>
            <a:noFill/>
            <a:ln>
              <a:noFill/>
            </a:ln>
            <a:effectLst/>
          </c:spPr>
        </c:title>
        <c:numFmt formatCode="0.00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707256"/>
        <c:crosses val="max"/>
        <c:crossBetween val="between"/>
      </c:valAx>
      <c:dateAx>
        <c:axId val="2123707256"/>
        <c:scaling>
          <c:orientation val="minMax"/>
        </c:scaling>
        <c:delete val="1"/>
        <c:axPos val="b"/>
        <c:numFmt formatCode="mmm\-yy" sourceLinked="1"/>
        <c:majorTickMark val="out"/>
        <c:minorTickMark val="none"/>
        <c:tickLblPos val="nextTo"/>
        <c:crossAx val="202959776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47369-4A8E-3744-9E28-79BA8D331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22</Pages>
  <Words>4035</Words>
  <Characters>23083</Characters>
  <Application>Microsoft Macintosh Word</Application>
  <DocSecurity>0</DocSecurity>
  <Lines>549</Lines>
  <Paragraphs>170</Paragraphs>
  <ScaleCrop>false</ScaleCrop>
  <HeadingPairs>
    <vt:vector size="2" baseType="variant">
      <vt:variant>
        <vt:lpstr>Title</vt:lpstr>
      </vt:variant>
      <vt:variant>
        <vt:i4>1</vt:i4>
      </vt:variant>
    </vt:vector>
  </HeadingPairs>
  <TitlesOfParts>
    <vt:vector size="1" baseType="lpstr">
      <vt:lpstr/>
    </vt:vector>
  </TitlesOfParts>
  <Manager/>
  <Company>NASA/ODIN</Company>
  <LinksUpToDate>false</LinksUpToDate>
  <CharactersWithSpaces>26948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Amanda</cp:lastModifiedBy>
  <cp:revision>19</cp:revision>
  <dcterms:created xsi:type="dcterms:W3CDTF">2016-04-02T01:42:00Z</dcterms:created>
  <dcterms:modified xsi:type="dcterms:W3CDTF">2016-04-02T23:34:00Z</dcterms:modified>
  <cp:category/>
</cp:coreProperties>
</file>