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pPr>
        <w:rPr>
          <w:b/>
          <w:sz w:val="28"/>
        </w:rPr>
      </w:pPr>
      <w:r>
        <w:rPr>
          <w:b/>
          <w:sz w:val="28"/>
        </w:rPr>
        <w:t>NASA DEVELOP National Program</w:t>
      </w:r>
    </w:p>
    <w:p w14:paraId="5BBA164A" w14:textId="3DC1D42F" w:rsidR="007B73F9" w:rsidRPr="00A44DD0" w:rsidRDefault="008D7444">
      <w:pPr>
        <w:rPr>
          <w:b/>
          <w:sz w:val="24"/>
        </w:rPr>
      </w:pPr>
      <w:r>
        <w:rPr>
          <w:b/>
          <w:sz w:val="24"/>
        </w:rPr>
        <w:t>2019</w:t>
      </w:r>
      <w:r w:rsidR="00BB1A3F">
        <w:rPr>
          <w:b/>
          <w:sz w:val="24"/>
        </w:rPr>
        <w:t xml:space="preserve"> </w:t>
      </w:r>
      <w:r w:rsidR="00E06362">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377FC3B2" w:rsidR="00A44DD0" w:rsidRPr="008B3821" w:rsidRDefault="00E218D4" w:rsidP="00A44DD0">
      <w:pPr>
        <w:rPr>
          <w:b/>
          <w:szCs w:val="20"/>
        </w:rPr>
      </w:pPr>
      <w:r>
        <w:rPr>
          <w:b/>
          <w:szCs w:val="20"/>
        </w:rPr>
        <w:t>Massachusetts</w:t>
      </w:r>
      <w:r w:rsidR="00544C88">
        <w:rPr>
          <w:b/>
          <w:szCs w:val="20"/>
        </w:rPr>
        <w:t xml:space="preserve"> –</w:t>
      </w:r>
      <w:r w:rsidR="006452A4" w:rsidRPr="008B3821">
        <w:rPr>
          <w:b/>
          <w:szCs w:val="20"/>
        </w:rPr>
        <w:t xml:space="preserve"> </w:t>
      </w:r>
      <w:r>
        <w:rPr>
          <w:b/>
          <w:szCs w:val="20"/>
        </w:rPr>
        <w:t>Boston</w:t>
      </w:r>
    </w:p>
    <w:p w14:paraId="1824EBE9" w14:textId="10C0D0DB" w:rsidR="007B73F9" w:rsidRPr="008B3821" w:rsidRDefault="00E218D4">
      <w:pPr>
        <w:rPr>
          <w:b/>
          <w:sz w:val="20"/>
          <w:szCs w:val="20"/>
        </w:rPr>
      </w:pPr>
      <w:r>
        <w:rPr>
          <w:b/>
          <w:sz w:val="20"/>
          <w:szCs w:val="20"/>
        </w:rPr>
        <w:t>Central Java Disasters</w:t>
      </w:r>
    </w:p>
    <w:p w14:paraId="5B7B00A4" w14:textId="0669C065" w:rsidR="007B73F9" w:rsidRPr="008B3821" w:rsidRDefault="00E218D4">
      <w:pPr>
        <w:rPr>
          <w:i/>
          <w:sz w:val="20"/>
          <w:szCs w:val="20"/>
        </w:rPr>
      </w:pPr>
      <w:r>
        <w:rPr>
          <w:i/>
          <w:sz w:val="20"/>
          <w:szCs w:val="20"/>
        </w:rPr>
        <w:t>Evaluating Coastal Flooding and Related Marine Turbidity</w:t>
      </w:r>
      <w:r w:rsidR="005B3EA7">
        <w:rPr>
          <w:i/>
          <w:sz w:val="20"/>
          <w:szCs w:val="20"/>
        </w:rPr>
        <w:t xml:space="preserve"> Variations</w:t>
      </w:r>
      <w:r>
        <w:rPr>
          <w:i/>
          <w:sz w:val="20"/>
          <w:szCs w:val="20"/>
        </w:rPr>
        <w:t xml:space="preserve"> caused by Extreme Tidal Inundation Events in Central Java, Indonesia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6ED0571A" w:rsidR="008B3821" w:rsidRPr="008B3821" w:rsidRDefault="008B3821" w:rsidP="00276572">
      <w:pPr>
        <w:rPr>
          <w:sz w:val="20"/>
          <w:szCs w:val="20"/>
        </w:rPr>
      </w:pPr>
      <w:r w:rsidRPr="00F268BE">
        <w:rPr>
          <w:b/>
          <w:i/>
          <w:sz w:val="20"/>
          <w:szCs w:val="20"/>
        </w:rPr>
        <w:t>Project Synopsis</w:t>
      </w:r>
      <w:r>
        <w:rPr>
          <w:b/>
          <w:sz w:val="20"/>
          <w:szCs w:val="20"/>
        </w:rPr>
        <w:t xml:space="preserve">: </w:t>
      </w:r>
      <w:r w:rsidR="00542FBD">
        <w:rPr>
          <w:rFonts w:ascii="Garamond" w:hAnsi="Garamond"/>
        </w:rPr>
        <w:t>Extreme tidal inundation events</w:t>
      </w:r>
      <w:r w:rsidR="0084205C">
        <w:rPr>
          <w:rFonts w:ascii="Garamond" w:hAnsi="Garamond"/>
        </w:rPr>
        <w:t xml:space="preserve"> </w:t>
      </w:r>
      <w:r w:rsidR="002222A4">
        <w:rPr>
          <w:rFonts w:ascii="Garamond" w:hAnsi="Garamond"/>
        </w:rPr>
        <w:t>frequently impact the densely populated northern coast of Central Java</w:t>
      </w:r>
      <w:r w:rsidR="00920FF7">
        <w:rPr>
          <w:rFonts w:ascii="Garamond" w:hAnsi="Garamond"/>
        </w:rPr>
        <w:t>, Indonesia</w:t>
      </w:r>
      <w:r w:rsidR="002222A4">
        <w:rPr>
          <w:rFonts w:ascii="Garamond" w:hAnsi="Garamond"/>
        </w:rPr>
        <w:t>.</w:t>
      </w:r>
      <w:r w:rsidR="00542FBD">
        <w:rPr>
          <w:rFonts w:ascii="Garamond" w:hAnsi="Garamond"/>
        </w:rPr>
        <w:t xml:space="preserve"> T</w:t>
      </w:r>
      <w:r w:rsidRPr="005C6FC1">
        <w:rPr>
          <w:rFonts w:ascii="Garamond" w:hAnsi="Garamond"/>
        </w:rPr>
        <w:t>h</w:t>
      </w:r>
      <w:r w:rsidR="00F434EA">
        <w:rPr>
          <w:rFonts w:ascii="Garamond" w:hAnsi="Garamond"/>
        </w:rPr>
        <w:t>e</w:t>
      </w:r>
      <w:r w:rsidRPr="005C6FC1">
        <w:rPr>
          <w:rFonts w:ascii="Garamond" w:hAnsi="Garamond"/>
        </w:rPr>
        <w:t xml:space="preserve"> </w:t>
      </w:r>
      <w:r w:rsidR="002C0907">
        <w:rPr>
          <w:rFonts w:ascii="Garamond" w:hAnsi="Garamond"/>
        </w:rPr>
        <w:t xml:space="preserve">project will </w:t>
      </w:r>
      <w:r w:rsidR="00F434EA">
        <w:rPr>
          <w:rFonts w:ascii="Garamond" w:hAnsi="Garamond"/>
        </w:rPr>
        <w:t>assess</w:t>
      </w:r>
      <w:r w:rsidR="002222A4">
        <w:rPr>
          <w:rFonts w:ascii="Garamond" w:hAnsi="Garamond"/>
        </w:rPr>
        <w:t xml:space="preserve"> this</w:t>
      </w:r>
      <w:r w:rsidR="002C0907">
        <w:rPr>
          <w:rFonts w:ascii="Garamond" w:hAnsi="Garamond"/>
        </w:rPr>
        <w:t xml:space="preserve"> tidal inundation and marine turbidity</w:t>
      </w:r>
      <w:r w:rsidR="002222A4">
        <w:rPr>
          <w:rFonts w:ascii="Garamond" w:hAnsi="Garamond"/>
        </w:rPr>
        <w:t xml:space="preserve"> variations related to erosion and land subsidence</w:t>
      </w:r>
      <w:r w:rsidR="002C0907">
        <w:rPr>
          <w:rFonts w:ascii="Garamond" w:hAnsi="Garamond"/>
        </w:rPr>
        <w:t>.</w:t>
      </w:r>
      <w:r w:rsidR="002222A4">
        <w:rPr>
          <w:rFonts w:ascii="Garamond" w:hAnsi="Garamond"/>
        </w:rPr>
        <w:t xml:space="preserve"> Partners of the project include </w:t>
      </w:r>
      <w:r w:rsidR="00F434EA">
        <w:rPr>
          <w:rFonts w:ascii="Garamond" w:hAnsi="Garamond"/>
        </w:rPr>
        <w:t xml:space="preserve">the </w:t>
      </w:r>
      <w:r w:rsidR="002723FD">
        <w:rPr>
          <w:rFonts w:ascii="Garamond" w:hAnsi="Garamond"/>
        </w:rPr>
        <w:t>Water Resources and Spatial Planning Office of Central Java Province</w:t>
      </w:r>
      <w:r w:rsidR="00F434EA">
        <w:rPr>
          <w:rFonts w:ascii="Garamond" w:hAnsi="Garamond"/>
        </w:rPr>
        <w:t xml:space="preserve"> and </w:t>
      </w:r>
      <w:r w:rsidR="005B3EA7">
        <w:rPr>
          <w:rFonts w:ascii="Garamond" w:hAnsi="Garamond"/>
        </w:rPr>
        <w:t xml:space="preserve">the </w:t>
      </w:r>
      <w:r w:rsidR="002222A4" w:rsidRPr="002222A4">
        <w:rPr>
          <w:rFonts w:ascii="Garamond" w:hAnsi="Garamond"/>
        </w:rPr>
        <w:t>Center for Coastal Rehabilitation and Disaster Mitigation Studies</w:t>
      </w:r>
      <w:r w:rsidR="002222A4">
        <w:rPr>
          <w:rFonts w:ascii="Garamond" w:hAnsi="Garamond"/>
        </w:rPr>
        <w:t xml:space="preserve"> at</w:t>
      </w:r>
      <w:r w:rsidR="002222A4" w:rsidRPr="002222A4">
        <w:rPr>
          <w:rFonts w:ascii="Garamond" w:hAnsi="Garamond"/>
        </w:rPr>
        <w:t xml:space="preserve"> Diponegoro University</w:t>
      </w:r>
      <w:r w:rsidR="002222A4">
        <w:rPr>
          <w:rFonts w:ascii="Garamond" w:hAnsi="Garamond"/>
        </w:rPr>
        <w:t>. The project will utilize imagery from Landsat 8 OLI, Aqua &amp; Terra MODIS, and Sentinel-1 C-SAR</w:t>
      </w:r>
      <w:r w:rsidR="002C0907">
        <w:rPr>
          <w:rFonts w:ascii="Garamond" w:hAnsi="Garamond"/>
        </w:rPr>
        <w:t xml:space="preserve"> </w:t>
      </w:r>
      <w:r w:rsidR="002222A4">
        <w:rPr>
          <w:rFonts w:ascii="Garamond" w:hAnsi="Garamond"/>
        </w:rPr>
        <w:t xml:space="preserve">to complete analyses. </w:t>
      </w:r>
      <w:r w:rsidR="002C0907">
        <w:rPr>
          <w:rFonts w:ascii="Garamond" w:hAnsi="Garamond"/>
        </w:rPr>
        <w:t>A tool will be created to map tidal inundation events, vegetation, and the region’s changing northern coastline. The team will also map turbidity in the neighboring Java Sea to assess variations in sediment availability.</w:t>
      </w:r>
      <w:r w:rsidR="002222A4">
        <w:rPr>
          <w:rFonts w:ascii="Garamond" w:hAnsi="Garamond"/>
        </w:rPr>
        <w:t xml:space="preserve"> These tools will allow end users to monitor environmental conditions that threaten </w:t>
      </w:r>
      <w:r w:rsidR="003A3CDA">
        <w:rPr>
          <w:rFonts w:ascii="Garamond" w:hAnsi="Garamond"/>
        </w:rPr>
        <w:t xml:space="preserve">human safety, </w:t>
      </w:r>
      <w:r w:rsidR="002222A4">
        <w:rPr>
          <w:rFonts w:ascii="Garamond" w:hAnsi="Garamond"/>
        </w:rPr>
        <w:t>cit</w:t>
      </w:r>
      <w:r w:rsidR="003A3CDA">
        <w:rPr>
          <w:rFonts w:ascii="Garamond" w:hAnsi="Garamond"/>
        </w:rPr>
        <w:t xml:space="preserve">y infrastructure, and </w:t>
      </w:r>
      <w:r w:rsidR="002222A4">
        <w:rPr>
          <w:rFonts w:ascii="Garamond" w:hAnsi="Garamond"/>
        </w:rPr>
        <w:t>marine ecosystems</w:t>
      </w:r>
      <w:r w:rsidR="0052371E">
        <w:rPr>
          <w:rFonts w:ascii="Garamond" w:hAnsi="Garamond"/>
        </w:rPr>
        <w:t>.</w:t>
      </w:r>
    </w:p>
    <w:p w14:paraId="1E7BF85A" w14:textId="77777777" w:rsidR="008B3821" w:rsidRPr="00936A45" w:rsidRDefault="008B3821" w:rsidP="008B3821">
      <w:pPr>
        <w:rPr>
          <w:b/>
        </w:rPr>
      </w:pPr>
    </w:p>
    <w:p w14:paraId="5AF045DB" w14:textId="64555131" w:rsidR="00083793" w:rsidRPr="00083793" w:rsidRDefault="00353F4B" w:rsidP="00083793">
      <w:pPr>
        <w:rPr>
          <w:sz w:val="20"/>
          <w:szCs w:val="20"/>
        </w:rPr>
      </w:pPr>
      <w:r w:rsidRPr="00EC3694">
        <w:rPr>
          <w:b/>
          <w:i/>
          <w:sz w:val="20"/>
          <w:szCs w:val="20"/>
        </w:rPr>
        <w:t>Community Concern:</w:t>
      </w:r>
      <w:r w:rsidRPr="00EC3694">
        <w:rPr>
          <w:sz w:val="20"/>
          <w:szCs w:val="20"/>
        </w:rPr>
        <w:t xml:space="preserve"> </w:t>
      </w:r>
      <w:r w:rsidR="00083793" w:rsidRPr="00083793">
        <w:rPr>
          <w:rFonts w:ascii="Garamond" w:hAnsi="Garamond"/>
        </w:rPr>
        <w:t xml:space="preserve">Coastal damage caused by tidal inundation is of great concern to managers in Central Java. </w:t>
      </w:r>
      <w:r w:rsidR="005B3EA7">
        <w:rPr>
          <w:rFonts w:ascii="Garamond" w:hAnsi="Garamond"/>
        </w:rPr>
        <w:t xml:space="preserve">For example, </w:t>
      </w:r>
      <w:r w:rsidR="00083793" w:rsidRPr="00083793">
        <w:rPr>
          <w:rFonts w:ascii="Garamond" w:hAnsi="Garamond"/>
        </w:rPr>
        <w:t>the</w:t>
      </w:r>
      <w:r w:rsidR="005B3EA7">
        <w:rPr>
          <w:rFonts w:ascii="Garamond" w:hAnsi="Garamond"/>
        </w:rPr>
        <w:t xml:space="preserve"> </w:t>
      </w:r>
      <w:r w:rsidR="00083793" w:rsidRPr="00083793">
        <w:rPr>
          <w:rFonts w:ascii="Garamond" w:hAnsi="Garamond"/>
        </w:rPr>
        <w:t xml:space="preserve">Marine and Fisheries Department of Central Java </w:t>
      </w:r>
      <w:r w:rsidR="005B3EA7">
        <w:rPr>
          <w:rFonts w:ascii="Garamond" w:hAnsi="Garamond"/>
        </w:rPr>
        <w:t>reported that</w:t>
      </w:r>
      <w:r w:rsidR="00083793" w:rsidRPr="00083793">
        <w:rPr>
          <w:rFonts w:ascii="Garamond" w:hAnsi="Garamond"/>
        </w:rPr>
        <w:t xml:space="preserve"> more than 1</w:t>
      </w:r>
      <w:r w:rsidR="00AB2522">
        <w:rPr>
          <w:rFonts w:ascii="Garamond" w:hAnsi="Garamond"/>
        </w:rPr>
        <w:t>,</w:t>
      </w:r>
      <w:r w:rsidR="00083793" w:rsidRPr="00083793">
        <w:rPr>
          <w:rFonts w:ascii="Garamond" w:hAnsi="Garamond"/>
        </w:rPr>
        <w:t xml:space="preserve">000 </w:t>
      </w:r>
      <w:r w:rsidR="00094922">
        <w:rPr>
          <w:rFonts w:ascii="Garamond" w:hAnsi="Garamond"/>
        </w:rPr>
        <w:t>h</w:t>
      </w:r>
      <w:r w:rsidR="00083793" w:rsidRPr="00083793">
        <w:rPr>
          <w:rFonts w:ascii="Garamond" w:hAnsi="Garamond"/>
        </w:rPr>
        <w:t>a</w:t>
      </w:r>
      <w:r w:rsidR="00AB2522">
        <w:rPr>
          <w:rFonts w:ascii="Garamond" w:hAnsi="Garamond"/>
        </w:rPr>
        <w:t xml:space="preserve"> in</w:t>
      </w:r>
      <w:r w:rsidR="00083793" w:rsidRPr="00083793">
        <w:rPr>
          <w:rFonts w:ascii="Garamond" w:hAnsi="Garamond"/>
        </w:rPr>
        <w:t xml:space="preserve"> Semarang City </w:t>
      </w:r>
      <w:r w:rsidR="00AB2522">
        <w:rPr>
          <w:rFonts w:ascii="Garamond" w:hAnsi="Garamond"/>
        </w:rPr>
        <w:t xml:space="preserve">and 2,116 </w:t>
      </w:r>
      <w:r w:rsidR="00094922">
        <w:rPr>
          <w:rFonts w:ascii="Garamond" w:hAnsi="Garamond"/>
        </w:rPr>
        <w:t>h</w:t>
      </w:r>
      <w:r w:rsidR="00AB2522">
        <w:rPr>
          <w:rFonts w:ascii="Garamond" w:hAnsi="Garamond"/>
        </w:rPr>
        <w:t xml:space="preserve">a </w:t>
      </w:r>
      <w:r w:rsidR="00A80851">
        <w:rPr>
          <w:rFonts w:ascii="Garamond" w:hAnsi="Garamond"/>
        </w:rPr>
        <w:t xml:space="preserve">in Demak </w:t>
      </w:r>
      <w:r w:rsidR="00AB2522">
        <w:rPr>
          <w:rFonts w:ascii="Garamond" w:hAnsi="Garamond"/>
        </w:rPr>
        <w:t>were</w:t>
      </w:r>
      <w:r w:rsidR="00083793" w:rsidRPr="00083793">
        <w:rPr>
          <w:rFonts w:ascii="Garamond" w:hAnsi="Garamond"/>
        </w:rPr>
        <w:t xml:space="preserve"> inundated</w:t>
      </w:r>
      <w:r w:rsidR="005B3EA7">
        <w:rPr>
          <w:rFonts w:ascii="Garamond" w:hAnsi="Garamond"/>
        </w:rPr>
        <w:t xml:space="preserve"> in 2015</w:t>
      </w:r>
      <w:r w:rsidR="00083793" w:rsidRPr="00083793">
        <w:rPr>
          <w:rFonts w:ascii="Garamond" w:hAnsi="Garamond"/>
        </w:rPr>
        <w:t>.</w:t>
      </w:r>
      <w:r w:rsidR="007B3D70">
        <w:rPr>
          <w:rFonts w:ascii="Garamond" w:hAnsi="Garamond"/>
        </w:rPr>
        <w:t xml:space="preserve"> Since these widely publicized events, tidal inundation and coastal flooding ha</w:t>
      </w:r>
      <w:r w:rsidR="00A30E28">
        <w:rPr>
          <w:rFonts w:ascii="Garamond" w:hAnsi="Garamond"/>
        </w:rPr>
        <w:t>ve</w:t>
      </w:r>
      <w:r w:rsidR="007B3D70">
        <w:rPr>
          <w:rFonts w:ascii="Garamond" w:hAnsi="Garamond"/>
        </w:rPr>
        <w:t xml:space="preserve"> continued </w:t>
      </w:r>
      <w:r w:rsidR="00A30E28">
        <w:rPr>
          <w:rFonts w:ascii="Garamond" w:hAnsi="Garamond"/>
        </w:rPr>
        <w:t>to be</w:t>
      </w:r>
      <w:r w:rsidR="007B3D70">
        <w:rPr>
          <w:rFonts w:ascii="Garamond" w:hAnsi="Garamond"/>
        </w:rPr>
        <w:t xml:space="preserve"> persistent issue</w:t>
      </w:r>
      <w:r w:rsidR="00A30E28">
        <w:rPr>
          <w:rFonts w:ascii="Garamond" w:hAnsi="Garamond"/>
        </w:rPr>
        <w:t>s</w:t>
      </w:r>
      <w:r w:rsidR="007B3D70">
        <w:rPr>
          <w:rFonts w:ascii="Garamond" w:hAnsi="Garamond"/>
        </w:rPr>
        <w:t xml:space="preserve"> that the highly populated region must manage and mitigate.</w:t>
      </w:r>
      <w:r w:rsidR="00083793" w:rsidRPr="00083793">
        <w:rPr>
          <w:rFonts w:ascii="Garamond" w:hAnsi="Garamond"/>
        </w:rPr>
        <w:t xml:space="preserve"> </w:t>
      </w:r>
      <w:r w:rsidR="007B3D70">
        <w:rPr>
          <w:rFonts w:ascii="Garamond" w:hAnsi="Garamond"/>
        </w:rPr>
        <w:t>I</w:t>
      </w:r>
      <w:r w:rsidR="00083793" w:rsidRPr="00083793">
        <w:rPr>
          <w:rFonts w:ascii="Garamond" w:hAnsi="Garamond"/>
        </w:rPr>
        <w:t xml:space="preserve">nundated land has caused </w:t>
      </w:r>
      <w:r w:rsidR="00A80851">
        <w:rPr>
          <w:rFonts w:ascii="Garamond" w:hAnsi="Garamond"/>
        </w:rPr>
        <w:t xml:space="preserve">a </w:t>
      </w:r>
      <w:r w:rsidR="00083793" w:rsidRPr="00083793">
        <w:rPr>
          <w:rFonts w:ascii="Garamond" w:hAnsi="Garamond"/>
        </w:rPr>
        <w:t>loss of housing, infrastructure damage, health problems, and transportation issues. Flux</w:t>
      </w:r>
      <w:r w:rsidR="00A30E28">
        <w:rPr>
          <w:rFonts w:ascii="Garamond" w:hAnsi="Garamond"/>
        </w:rPr>
        <w:t>es</w:t>
      </w:r>
      <w:r w:rsidR="00083793" w:rsidRPr="00083793">
        <w:rPr>
          <w:rFonts w:ascii="Garamond" w:hAnsi="Garamond"/>
        </w:rPr>
        <w:t xml:space="preserve"> in coastal tu</w:t>
      </w:r>
      <w:r w:rsidR="007B3D70">
        <w:rPr>
          <w:rFonts w:ascii="Garamond" w:hAnsi="Garamond"/>
        </w:rPr>
        <w:t>r</w:t>
      </w:r>
      <w:r w:rsidR="00083793" w:rsidRPr="00083793">
        <w:rPr>
          <w:rFonts w:ascii="Garamond" w:hAnsi="Garamond"/>
        </w:rPr>
        <w:t xml:space="preserve">bidity associated with tidal inundation and land loss also threaten marine ecosystems and </w:t>
      </w:r>
      <w:r w:rsidR="00A80851">
        <w:rPr>
          <w:rFonts w:ascii="Garamond" w:hAnsi="Garamond"/>
        </w:rPr>
        <w:t>a</w:t>
      </w:r>
      <w:r w:rsidR="00083793" w:rsidRPr="00083793">
        <w:rPr>
          <w:rFonts w:ascii="Garamond" w:hAnsi="Garamond"/>
        </w:rPr>
        <w:t>ffect projects that rely on sedimentation to restore flooded lands.</w:t>
      </w:r>
    </w:p>
    <w:p w14:paraId="6B794CB9" w14:textId="77777777" w:rsidR="00353F4B" w:rsidRPr="00936A45" w:rsidRDefault="00353F4B" w:rsidP="008B3821">
      <w:pPr>
        <w:rPr>
          <w:b/>
        </w:rPr>
      </w:pPr>
    </w:p>
    <w:p w14:paraId="3AC56F4C" w14:textId="11FED0E7" w:rsidR="003A6B21" w:rsidRPr="003A6B21" w:rsidRDefault="008B3821" w:rsidP="003A6B21">
      <w:pPr>
        <w:rPr>
          <w:rFonts w:ascii="Garamond" w:hAnsi="Garamond"/>
        </w:rPr>
      </w:pPr>
      <w:r w:rsidRPr="00EC3694">
        <w:rPr>
          <w:b/>
          <w:i/>
          <w:sz w:val="20"/>
          <w:szCs w:val="20"/>
        </w:rPr>
        <w:t>Source of Project Idea:</w:t>
      </w:r>
      <w:r w:rsidRPr="00EC3694">
        <w:rPr>
          <w:sz w:val="20"/>
          <w:szCs w:val="20"/>
        </w:rPr>
        <w:t xml:space="preserve"> </w:t>
      </w:r>
      <w:r w:rsidR="003A6B21" w:rsidRPr="003A6B21">
        <w:rPr>
          <w:rFonts w:ascii="Garamond" w:hAnsi="Garamond"/>
        </w:rPr>
        <w:t>Dr. Magaly Koch</w:t>
      </w:r>
      <w:r w:rsidR="0052371E">
        <w:rPr>
          <w:rFonts w:ascii="Garamond" w:hAnsi="Garamond"/>
        </w:rPr>
        <w:t>,</w:t>
      </w:r>
      <w:r w:rsidR="0043213A">
        <w:rPr>
          <w:rFonts w:ascii="Garamond" w:hAnsi="Garamond"/>
        </w:rPr>
        <w:t xml:space="preserve"> Research Associate Professor at the BU Center for Remote Sensing,</w:t>
      </w:r>
      <w:r w:rsidR="0052371E">
        <w:rPr>
          <w:rFonts w:ascii="Garamond" w:hAnsi="Garamond"/>
        </w:rPr>
        <w:t xml:space="preserve"> </w:t>
      </w:r>
      <w:r w:rsidR="003A6B21" w:rsidRPr="003A6B21">
        <w:rPr>
          <w:rFonts w:ascii="Garamond" w:hAnsi="Garamond"/>
        </w:rPr>
        <w:t>reached out to Dr. Cedric Fichot to see if DEVELOP would be interested in working on a tidal flooding project with her colleague from the Center for Coastal Rehabilitation and Disaster Mitigation Studies, Dr. Anindya Wirasatriya. Dr. Koch, Dr. Fichot, Dr. Wirasatriya, and B</w:t>
      </w:r>
      <w:r w:rsidR="00094922">
        <w:rPr>
          <w:rFonts w:ascii="Garamond" w:hAnsi="Garamond"/>
        </w:rPr>
        <w:t xml:space="preserve">oston </w:t>
      </w:r>
      <w:r w:rsidR="003A6B21" w:rsidRPr="003A6B21">
        <w:rPr>
          <w:rFonts w:ascii="Garamond" w:hAnsi="Garamond"/>
        </w:rPr>
        <w:t>U</w:t>
      </w:r>
      <w:r w:rsidR="00094922">
        <w:rPr>
          <w:rFonts w:ascii="Garamond" w:hAnsi="Garamond"/>
        </w:rPr>
        <w:t>niversity</w:t>
      </w:r>
      <w:r w:rsidR="003A6B21" w:rsidRPr="003A6B21">
        <w:rPr>
          <w:rFonts w:ascii="Garamond" w:hAnsi="Garamond"/>
        </w:rPr>
        <w:t xml:space="preserve"> graduate s</w:t>
      </w:r>
      <w:r w:rsidR="003A6B21">
        <w:rPr>
          <w:rFonts w:ascii="Garamond" w:hAnsi="Garamond"/>
        </w:rPr>
        <w:t>t</w:t>
      </w:r>
      <w:r w:rsidR="003A6B21" w:rsidRPr="003A6B21">
        <w:rPr>
          <w:rFonts w:ascii="Garamond" w:hAnsi="Garamond"/>
        </w:rPr>
        <w:t xml:space="preserve">udents will be involved with the project, and they </w:t>
      </w:r>
      <w:r w:rsidR="00094922">
        <w:rPr>
          <w:rFonts w:ascii="Garamond" w:hAnsi="Garamond"/>
        </w:rPr>
        <w:t>have</w:t>
      </w:r>
      <w:r w:rsidR="003A6B21" w:rsidRPr="003A6B21">
        <w:rPr>
          <w:rFonts w:ascii="Garamond" w:hAnsi="Garamond"/>
        </w:rPr>
        <w:t xml:space="preserve"> coordinat</w:t>
      </w:r>
      <w:r w:rsidR="00094922">
        <w:rPr>
          <w:rFonts w:ascii="Garamond" w:hAnsi="Garamond"/>
        </w:rPr>
        <w:t>ed</w:t>
      </w:r>
      <w:r w:rsidR="003A6B21" w:rsidRPr="003A6B21">
        <w:rPr>
          <w:rFonts w:ascii="Garamond" w:hAnsi="Garamond"/>
        </w:rPr>
        <w:t xml:space="preserve"> </w:t>
      </w:r>
      <w:r w:rsidR="003A6B21" w:rsidRPr="0052371E">
        <w:rPr>
          <w:rFonts w:ascii="Garamond" w:hAnsi="Garamond"/>
          <w:i/>
        </w:rPr>
        <w:t>in situ</w:t>
      </w:r>
      <w:r w:rsidR="003A6B21" w:rsidRPr="003A6B21">
        <w:rPr>
          <w:rFonts w:ascii="Garamond" w:hAnsi="Garamond"/>
        </w:rPr>
        <w:t xml:space="preserve"> data collection and site visits to take place over the summer.</w:t>
      </w:r>
    </w:p>
    <w:p w14:paraId="56693788" w14:textId="05341990" w:rsidR="008B3821" w:rsidRPr="00936A45" w:rsidRDefault="008B3821" w:rsidP="00276572">
      <w:pPr>
        <w:rPr>
          <w:b/>
        </w:rPr>
      </w:pPr>
    </w:p>
    <w:p w14:paraId="1D844156" w14:textId="43EBC00E"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3A6B21">
        <w:rPr>
          <w:rFonts w:ascii="Garamond" w:hAnsi="Garamond"/>
        </w:rPr>
        <w:t>Disasters</w:t>
      </w:r>
      <w:r w:rsidRPr="00EC3694">
        <w:rPr>
          <w:rFonts w:ascii="Garamond" w:hAnsi="Garamond"/>
        </w:rPr>
        <w:t xml:space="preserve">, </w:t>
      </w:r>
      <w:r w:rsidR="003A6B21">
        <w:rPr>
          <w:rFonts w:ascii="Garamond" w:hAnsi="Garamond"/>
        </w:rPr>
        <w:t>Water Resources</w:t>
      </w:r>
    </w:p>
    <w:p w14:paraId="75CB4D6A" w14:textId="4633BD87" w:rsidR="00276572" w:rsidRPr="003A6B21"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656267">
        <w:rPr>
          <w:rFonts w:ascii="Garamond" w:hAnsi="Garamond"/>
        </w:rPr>
        <w:t xml:space="preserve">Northern </w:t>
      </w:r>
      <w:r w:rsidR="002E5D29">
        <w:rPr>
          <w:rFonts w:ascii="Garamond" w:hAnsi="Garamond"/>
        </w:rPr>
        <w:t>c</w:t>
      </w:r>
      <w:r w:rsidR="00656267">
        <w:rPr>
          <w:rFonts w:ascii="Garamond" w:hAnsi="Garamond"/>
        </w:rPr>
        <w:t>oast of C</w:t>
      </w:r>
      <w:r w:rsidR="003A6B21">
        <w:rPr>
          <w:rFonts w:ascii="Garamond" w:hAnsi="Garamond"/>
        </w:rPr>
        <w:t>entral Java</w:t>
      </w:r>
      <w:r w:rsidRPr="00EC3694">
        <w:rPr>
          <w:rFonts w:ascii="Garamond" w:hAnsi="Garamond"/>
        </w:rPr>
        <w:t xml:space="preserve">, </w:t>
      </w:r>
      <w:r w:rsidR="003A6B21">
        <w:rPr>
          <w:rFonts w:ascii="Garamond" w:hAnsi="Garamond"/>
        </w:rPr>
        <w:t>Indonesia</w:t>
      </w:r>
    </w:p>
    <w:p w14:paraId="462EE0EA" w14:textId="2987640F" w:rsidR="00276572" w:rsidRDefault="00276572" w:rsidP="00101BBE">
      <w:pPr>
        <w:ind w:left="720" w:hanging="720"/>
        <w:rPr>
          <w:rFonts w:ascii="Garamond" w:hAnsi="Garamond"/>
          <w:b/>
        </w:rPr>
      </w:pPr>
      <w:r w:rsidRPr="00EC3694">
        <w:rPr>
          <w:b/>
          <w:i/>
          <w:sz w:val="20"/>
          <w:szCs w:val="20"/>
        </w:rPr>
        <w:t>Study Period:</w:t>
      </w:r>
      <w:r w:rsidRPr="00EC3694">
        <w:rPr>
          <w:b/>
          <w:sz w:val="20"/>
          <w:szCs w:val="20"/>
        </w:rPr>
        <w:t xml:space="preserve"> </w:t>
      </w:r>
      <w:r w:rsidR="003F2206">
        <w:rPr>
          <w:rFonts w:ascii="Garamond" w:hAnsi="Garamond"/>
        </w:rPr>
        <w:t>January</w:t>
      </w:r>
      <w:r w:rsidRPr="00EC3694">
        <w:rPr>
          <w:rFonts w:ascii="Garamond" w:hAnsi="Garamond"/>
          <w:b/>
        </w:rPr>
        <w:t xml:space="preserve"> </w:t>
      </w:r>
      <w:r w:rsidR="003F2206">
        <w:rPr>
          <w:rFonts w:ascii="Garamond" w:hAnsi="Garamond"/>
        </w:rPr>
        <w:t>201</w:t>
      </w:r>
      <w:r w:rsidR="00B23701">
        <w:rPr>
          <w:rFonts w:ascii="Garamond" w:hAnsi="Garamond"/>
        </w:rPr>
        <w:t>4</w:t>
      </w:r>
      <w:r w:rsidRPr="00EC3694">
        <w:rPr>
          <w:rFonts w:ascii="Garamond" w:hAnsi="Garamond"/>
        </w:rPr>
        <w:t xml:space="preserve"> </w:t>
      </w:r>
      <w:r w:rsidR="00916099" w:rsidRPr="00EC3694">
        <w:rPr>
          <w:rFonts w:ascii="Garamond" w:hAnsi="Garamond"/>
        </w:rPr>
        <w:t xml:space="preserve">– </w:t>
      </w:r>
      <w:r w:rsidR="00101BBE">
        <w:rPr>
          <w:rFonts w:ascii="Garamond" w:hAnsi="Garamond"/>
        </w:rPr>
        <w:t>August</w:t>
      </w:r>
      <w:r w:rsidRPr="00EC3694">
        <w:rPr>
          <w:rFonts w:ascii="Garamond" w:hAnsi="Garamond"/>
        </w:rPr>
        <w:t xml:space="preserve"> </w:t>
      </w:r>
      <w:r w:rsidR="00101BBE">
        <w:rPr>
          <w:rFonts w:ascii="Garamond" w:hAnsi="Garamond"/>
        </w:rPr>
        <w:t>2019</w:t>
      </w:r>
    </w:p>
    <w:p w14:paraId="4C747098" w14:textId="77777777" w:rsidR="00101BBE" w:rsidRPr="00101BBE" w:rsidRDefault="00101BBE" w:rsidP="00101BBE">
      <w:pPr>
        <w:ind w:left="720" w:hanging="720"/>
        <w:rPr>
          <w:rFonts w:ascii="Garamond" w:hAnsi="Garamond"/>
          <w:b/>
        </w:rPr>
      </w:pPr>
    </w:p>
    <w:p w14:paraId="6D4D412C" w14:textId="2F50A5D2" w:rsidR="00562EFB" w:rsidRPr="00562EFB" w:rsidRDefault="00276572" w:rsidP="00276572">
      <w:pPr>
        <w:rPr>
          <w:rFonts w:ascii="Garamond" w:hAnsi="Garamond"/>
        </w:rPr>
      </w:pPr>
      <w:r w:rsidRPr="00EC3694">
        <w:rPr>
          <w:b/>
          <w:i/>
          <w:sz w:val="20"/>
          <w:szCs w:val="20"/>
        </w:rPr>
        <w:t>Advisors</w:t>
      </w:r>
      <w:r w:rsidR="004F44F4">
        <w:rPr>
          <w:b/>
          <w:i/>
          <w:sz w:val="20"/>
          <w:szCs w:val="20"/>
        </w:rPr>
        <w:t xml:space="preserve"> and </w:t>
      </w:r>
      <w:r w:rsidR="00CC39DE">
        <w:rPr>
          <w:b/>
          <w:i/>
          <w:sz w:val="20"/>
          <w:szCs w:val="20"/>
        </w:rPr>
        <w:t>Mentors</w:t>
      </w:r>
      <w:r w:rsidRPr="00EC3694">
        <w:rPr>
          <w:b/>
          <w:i/>
          <w:sz w:val="20"/>
          <w:szCs w:val="20"/>
        </w:rPr>
        <w:t>:</w:t>
      </w:r>
      <w:r w:rsidRPr="00EC3694">
        <w:rPr>
          <w:sz w:val="20"/>
          <w:szCs w:val="20"/>
        </w:rPr>
        <w:t xml:space="preserve"> </w:t>
      </w:r>
      <w:r w:rsidR="003A6B21">
        <w:rPr>
          <w:rFonts w:ascii="Garamond" w:hAnsi="Garamond"/>
        </w:rPr>
        <w:t>Dr. Cedric Fichot (Boston University)</w:t>
      </w:r>
      <w:r w:rsidRPr="00EC3694">
        <w:rPr>
          <w:rFonts w:ascii="Garamond" w:hAnsi="Garamond"/>
        </w:rPr>
        <w:t>,</w:t>
      </w:r>
      <w:r w:rsidR="003A6B21">
        <w:rPr>
          <w:rFonts w:ascii="Garamond" w:hAnsi="Garamond"/>
        </w:rPr>
        <w:t xml:space="preserve"> Dr. Valerie Pasquarella (Boston University)</w:t>
      </w:r>
      <w:r w:rsidR="00562EFB">
        <w:rPr>
          <w:rFonts w:ascii="Garamond" w:hAnsi="Garamond"/>
        </w:rPr>
        <w:t xml:space="preserve">, </w:t>
      </w:r>
      <w:bookmarkStart w:id="0" w:name="_GoBack"/>
      <w:r w:rsidR="00562EFB">
        <w:rPr>
          <w:rFonts w:ascii="Garamond" w:hAnsi="Garamond"/>
        </w:rPr>
        <w:t>Dr. Magaly Koch (Boston Univ</w:t>
      </w:r>
      <w:r w:rsidR="00562EFB" w:rsidRPr="004F44F4">
        <w:rPr>
          <w:rFonts w:ascii="Garamond" w:hAnsi="Garamond"/>
        </w:rPr>
        <w:t>ersity)</w:t>
      </w:r>
      <w:r w:rsidR="004F44F4" w:rsidRPr="004F44F4">
        <w:rPr>
          <w:rFonts w:ascii="Garamond" w:hAnsi="Garamond"/>
        </w:rPr>
        <w:t xml:space="preserve">, </w:t>
      </w:r>
      <w:r w:rsidR="00562EFB" w:rsidRPr="004F44F4">
        <w:rPr>
          <w:rFonts w:ascii="Garamond" w:hAnsi="Garamond"/>
        </w:rPr>
        <w:t>Juliette Bateman (Boston University)</w:t>
      </w:r>
      <w:bookmarkEnd w:id="0"/>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533F000"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77954C08" w:rsidR="006804AC" w:rsidRPr="008A4B10" w:rsidRDefault="002723FD" w:rsidP="00094922">
            <w:pPr>
              <w:rPr>
                <w:rFonts w:ascii="Garamond" w:hAnsi="Garamond"/>
                <w:b/>
              </w:rPr>
            </w:pPr>
            <w:r>
              <w:rPr>
                <w:rFonts w:ascii="Garamond" w:hAnsi="Garamond"/>
                <w:b/>
              </w:rPr>
              <w:t xml:space="preserve">Water Resources and Spatial Planning Office of Central Java Province </w:t>
            </w:r>
          </w:p>
        </w:tc>
        <w:tc>
          <w:tcPr>
            <w:tcW w:w="3456" w:type="dxa"/>
          </w:tcPr>
          <w:p w14:paraId="0111C027" w14:textId="778D3950" w:rsidR="006804AC" w:rsidRPr="004A484D" w:rsidRDefault="002723FD" w:rsidP="00A44DD0">
            <w:pPr>
              <w:rPr>
                <w:rFonts w:ascii="Garamond" w:hAnsi="Garamond"/>
              </w:rPr>
            </w:pPr>
            <w:r w:rsidRPr="004A484D">
              <w:rPr>
                <w:rFonts w:ascii="Garamond" w:hAnsi="Garamond"/>
              </w:rPr>
              <w:t>Sakti Kania Army, Coordinator; Vera Hari Dhamayanti, Senior</w:t>
            </w:r>
            <w:r w:rsidR="00F072D2" w:rsidRPr="004A484D">
              <w:rPr>
                <w:rFonts w:ascii="Garamond" w:hAnsi="Garamond"/>
              </w:rPr>
              <w:t xml:space="preserve"> Staff; Aswar Annas Kunaefi, Senior Staff</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43213A" w:rsidRPr="00EC3694" w14:paraId="3CC8ABAF" w14:textId="77777777" w:rsidTr="00936A45">
        <w:tc>
          <w:tcPr>
            <w:tcW w:w="3240" w:type="dxa"/>
          </w:tcPr>
          <w:p w14:paraId="09C3C822" w14:textId="2CDDA5B8" w:rsidR="0043213A" w:rsidRPr="008A4B10" w:rsidRDefault="0043213A" w:rsidP="0043213A">
            <w:pPr>
              <w:rPr>
                <w:rFonts w:ascii="Garamond" w:hAnsi="Garamond"/>
                <w:b/>
              </w:rPr>
            </w:pPr>
            <w:r w:rsidRPr="003A6B21">
              <w:rPr>
                <w:rFonts w:ascii="Garamond" w:hAnsi="Garamond"/>
                <w:b/>
              </w:rPr>
              <w:lastRenderedPageBreak/>
              <w:t>Diponegoro University</w:t>
            </w:r>
            <w:r>
              <w:rPr>
                <w:rFonts w:ascii="Garamond" w:hAnsi="Garamond"/>
                <w:b/>
              </w:rPr>
              <w:t>,</w:t>
            </w:r>
            <w:r w:rsidRPr="003A6B21">
              <w:rPr>
                <w:rFonts w:ascii="Garamond" w:hAnsi="Garamond"/>
                <w:b/>
              </w:rPr>
              <w:t xml:space="preserve"> Center for Coastal Rehabilitation and Disaster Mitigation Studies</w:t>
            </w:r>
          </w:p>
        </w:tc>
        <w:tc>
          <w:tcPr>
            <w:tcW w:w="3456" w:type="dxa"/>
          </w:tcPr>
          <w:p w14:paraId="36E16CC9" w14:textId="00FA6013" w:rsidR="0043213A" w:rsidRPr="002723FD" w:rsidRDefault="0043213A" w:rsidP="0043213A">
            <w:pPr>
              <w:rPr>
                <w:rFonts w:ascii="Garamond" w:hAnsi="Garamond"/>
                <w:highlight w:val="yellow"/>
              </w:rPr>
            </w:pPr>
            <w:r w:rsidRPr="00F072D2">
              <w:rPr>
                <w:rFonts w:ascii="Garamond" w:hAnsi="Garamond"/>
              </w:rPr>
              <w:t>Dr. Anindya Wirasatriya, Oceanographic Laboratory Coordinator; Dr. Rudhi Pribadi, Senior Lecturer</w:t>
            </w:r>
            <w:r w:rsidR="00F072D2" w:rsidRPr="00F072D2">
              <w:rPr>
                <w:rFonts w:ascii="Garamond" w:hAnsi="Garamond"/>
              </w:rPr>
              <w:t>; Dr. Muhammad Helmi, Senior Lecturer and Head of the Center</w:t>
            </w:r>
          </w:p>
        </w:tc>
        <w:tc>
          <w:tcPr>
            <w:tcW w:w="1584" w:type="dxa"/>
          </w:tcPr>
          <w:p w14:paraId="011729D9" w14:textId="3AFE4D57" w:rsidR="0043213A" w:rsidRPr="00EC3694" w:rsidRDefault="0043213A" w:rsidP="0043213A">
            <w:pPr>
              <w:rPr>
                <w:rFonts w:ascii="Garamond" w:hAnsi="Garamond"/>
              </w:rPr>
            </w:pPr>
            <w:r>
              <w:rPr>
                <w:rFonts w:ascii="Garamond" w:hAnsi="Garamond"/>
              </w:rPr>
              <w:t>End User</w:t>
            </w:r>
          </w:p>
        </w:tc>
        <w:tc>
          <w:tcPr>
            <w:tcW w:w="1080" w:type="dxa"/>
          </w:tcPr>
          <w:p w14:paraId="70AD209A" w14:textId="5E5C0EBD" w:rsidR="0043213A" w:rsidRPr="00EC3694" w:rsidRDefault="0043213A" w:rsidP="0043213A">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19F9E6C0"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B3D70">
        <w:rPr>
          <w:rFonts w:ascii="Garamond" w:hAnsi="Garamond"/>
        </w:rPr>
        <w:t>The Center for Coastal Rehabilitation and Disaster Mitigation Studies (</w:t>
      </w:r>
      <w:r w:rsidR="00C071A1">
        <w:rPr>
          <w:rFonts w:ascii="Garamond" w:hAnsi="Garamond"/>
        </w:rPr>
        <w:t>CoREM</w:t>
      </w:r>
      <w:r w:rsidR="007B3D70">
        <w:rPr>
          <w:rFonts w:ascii="Garamond" w:hAnsi="Garamond"/>
        </w:rPr>
        <w:t xml:space="preserve">) </w:t>
      </w:r>
      <w:r w:rsidR="00376CB8">
        <w:rPr>
          <w:rFonts w:ascii="Garamond" w:hAnsi="Garamond"/>
        </w:rPr>
        <w:t xml:space="preserve">at Diponegoro University researches the effects of coastal degradation and solutions to land loss in human settlements. The organization is responsible for communicating </w:t>
      </w:r>
      <w:r w:rsidR="00FE312E">
        <w:rPr>
          <w:rFonts w:ascii="Garamond" w:hAnsi="Garamond"/>
        </w:rPr>
        <w:t>its</w:t>
      </w:r>
      <w:r w:rsidR="00376CB8">
        <w:rPr>
          <w:rFonts w:ascii="Garamond" w:hAnsi="Garamond"/>
        </w:rPr>
        <w:t xml:space="preserve"> research to </w:t>
      </w:r>
      <w:r w:rsidR="00CC0FEA">
        <w:rPr>
          <w:rFonts w:ascii="Garamond" w:hAnsi="Garamond"/>
        </w:rPr>
        <w:t xml:space="preserve">government and non-profit agencies. </w:t>
      </w:r>
      <w:r w:rsidR="00FE312E">
        <w:rPr>
          <w:rFonts w:ascii="Garamond" w:hAnsi="Garamond"/>
        </w:rPr>
        <w:t>It</w:t>
      </w:r>
      <w:r w:rsidR="00CC0FEA">
        <w:rPr>
          <w:rFonts w:ascii="Garamond" w:hAnsi="Garamond"/>
        </w:rPr>
        <w:t xml:space="preserve"> actively participate</w:t>
      </w:r>
      <w:r w:rsidR="00FE312E">
        <w:rPr>
          <w:rFonts w:ascii="Garamond" w:hAnsi="Garamond"/>
        </w:rPr>
        <w:t>s</w:t>
      </w:r>
      <w:r w:rsidR="00CC0FEA">
        <w:rPr>
          <w:rFonts w:ascii="Garamond" w:hAnsi="Garamond"/>
        </w:rPr>
        <w:t xml:space="preserve"> </w:t>
      </w:r>
      <w:r w:rsidR="00FE312E">
        <w:rPr>
          <w:rFonts w:ascii="Garamond" w:hAnsi="Garamond"/>
        </w:rPr>
        <w:t>in</w:t>
      </w:r>
      <w:r w:rsidR="00CC0FEA">
        <w:rPr>
          <w:rFonts w:ascii="Garamond" w:hAnsi="Garamond"/>
        </w:rPr>
        <w:t xml:space="preserve"> coastal restoration efforts</w:t>
      </w:r>
      <w:r w:rsidR="005D257F">
        <w:rPr>
          <w:rFonts w:ascii="Garamond" w:hAnsi="Garamond"/>
        </w:rPr>
        <w:t>, most notably mangrove forest regeneration, and make</w:t>
      </w:r>
      <w:r w:rsidR="00FE312E">
        <w:rPr>
          <w:rFonts w:ascii="Garamond" w:hAnsi="Garamond"/>
        </w:rPr>
        <w:t>s</w:t>
      </w:r>
      <w:r w:rsidR="005D257F">
        <w:rPr>
          <w:rFonts w:ascii="Garamond" w:hAnsi="Garamond"/>
        </w:rPr>
        <w:t xml:space="preserve"> decisions based </w:t>
      </w:r>
      <w:r w:rsidR="00094922">
        <w:rPr>
          <w:rFonts w:ascii="Garamond" w:hAnsi="Garamond"/>
        </w:rPr>
        <w:t>off</w:t>
      </w:r>
      <w:r w:rsidR="005D257F">
        <w:rPr>
          <w:rFonts w:ascii="Garamond" w:hAnsi="Garamond"/>
        </w:rPr>
        <w:t xml:space="preserve"> research completed by university members and collaborators. </w:t>
      </w:r>
      <w:r w:rsidR="002723FD">
        <w:rPr>
          <w:rFonts w:ascii="Garamond" w:hAnsi="Garamond"/>
        </w:rPr>
        <w:t>The Water Resources and Spatial Planning Office of Central Java Province (WRSPO</w:t>
      </w:r>
      <w:r w:rsidR="005D257F">
        <w:rPr>
          <w:rFonts w:ascii="Garamond" w:hAnsi="Garamond"/>
        </w:rPr>
        <w:t xml:space="preserve">) is responsible </w:t>
      </w:r>
      <w:r w:rsidR="002723FD">
        <w:rPr>
          <w:rFonts w:ascii="Garamond" w:hAnsi="Garamond"/>
        </w:rPr>
        <w:t>for water resource management</w:t>
      </w:r>
      <w:r w:rsidR="005D257F">
        <w:rPr>
          <w:rFonts w:ascii="Garamond" w:hAnsi="Garamond"/>
        </w:rPr>
        <w:t xml:space="preserve">, including the interface between land and water in coastal ecosystems. </w:t>
      </w:r>
      <w:r w:rsidR="00FE312E">
        <w:rPr>
          <w:rFonts w:ascii="Garamond" w:hAnsi="Garamond"/>
        </w:rPr>
        <w:t xml:space="preserve">Its </w:t>
      </w:r>
      <w:r w:rsidR="005D257F">
        <w:rPr>
          <w:rFonts w:ascii="Garamond" w:hAnsi="Garamond"/>
        </w:rPr>
        <w:t>decision</w:t>
      </w:r>
      <w:r w:rsidR="00FE312E">
        <w:rPr>
          <w:rFonts w:ascii="Garamond" w:hAnsi="Garamond"/>
        </w:rPr>
        <w:t>-</w:t>
      </w:r>
      <w:r w:rsidR="005D257F">
        <w:rPr>
          <w:rFonts w:ascii="Garamond" w:hAnsi="Garamond"/>
        </w:rPr>
        <w:t>making process</w:t>
      </w:r>
      <w:r w:rsidR="00AA5832">
        <w:rPr>
          <w:rFonts w:ascii="Garamond" w:hAnsi="Garamond"/>
        </w:rPr>
        <w:t>es</w:t>
      </w:r>
      <w:r w:rsidR="005D257F">
        <w:rPr>
          <w:rFonts w:ascii="Garamond" w:hAnsi="Garamond"/>
        </w:rPr>
        <w:t xml:space="preserve"> </w:t>
      </w:r>
      <w:r w:rsidR="00AA5832">
        <w:rPr>
          <w:rFonts w:ascii="Garamond" w:hAnsi="Garamond"/>
        </w:rPr>
        <w:t>are</w:t>
      </w:r>
      <w:r w:rsidR="005D257F">
        <w:rPr>
          <w:rFonts w:ascii="Garamond" w:hAnsi="Garamond"/>
        </w:rPr>
        <w:t xml:space="preserve"> typically governed by</w:t>
      </w:r>
      <w:r w:rsidR="00AA5832">
        <w:rPr>
          <w:rFonts w:ascii="Garamond" w:hAnsi="Garamond"/>
        </w:rPr>
        <w:t xml:space="preserve"> </w:t>
      </w:r>
      <w:r w:rsidR="00AA5832" w:rsidRPr="0052371E">
        <w:rPr>
          <w:rFonts w:ascii="Garamond" w:hAnsi="Garamond"/>
          <w:i/>
        </w:rPr>
        <w:t>in situ</w:t>
      </w:r>
      <w:r w:rsidR="00AA5832">
        <w:rPr>
          <w:rFonts w:ascii="Garamond" w:hAnsi="Garamond"/>
        </w:rPr>
        <w:t xml:space="preserve"> environmental monitoring and research conducted externally by academic institutions and NGOs.</w:t>
      </w:r>
      <w:r w:rsidR="00650669">
        <w:rPr>
          <w:rFonts w:ascii="Garamond" w:hAnsi="Garamond"/>
        </w:rPr>
        <w:t xml:space="preserve"> In addition to management responsibilities related to inundation and flooding, the </w:t>
      </w:r>
      <w:r w:rsidR="002723FD">
        <w:rPr>
          <w:rFonts w:ascii="Garamond" w:hAnsi="Garamond"/>
        </w:rPr>
        <w:t xml:space="preserve">WRSPO </w:t>
      </w:r>
      <w:r w:rsidR="00650669">
        <w:rPr>
          <w:rFonts w:ascii="Garamond" w:hAnsi="Garamond"/>
        </w:rPr>
        <w:t xml:space="preserve">is also concerned with </w:t>
      </w:r>
      <w:r w:rsidR="002723FD">
        <w:rPr>
          <w:rFonts w:ascii="Garamond" w:hAnsi="Garamond"/>
        </w:rPr>
        <w:t>coastal water quality that is</w:t>
      </w:r>
      <w:r w:rsidR="00650669">
        <w:rPr>
          <w:rFonts w:ascii="Garamond" w:hAnsi="Garamond"/>
        </w:rPr>
        <w:t xml:space="preserve"> affected by changes in turbidity associated with land loss.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237E467" w14:textId="77777777" w:rsidR="00532434" w:rsidRDefault="00094922" w:rsidP="00532434">
      <w:pPr>
        <w:rPr>
          <w:rFonts w:ascii="Garamond" w:hAnsi="Garamond"/>
        </w:rPr>
      </w:pPr>
      <w:r w:rsidRPr="00650669">
        <w:rPr>
          <w:rFonts w:ascii="Garamond" w:hAnsi="Garamond"/>
          <w:i/>
        </w:rPr>
        <w:t>Diponegoro University</w:t>
      </w:r>
      <w:r>
        <w:rPr>
          <w:rFonts w:ascii="Garamond" w:hAnsi="Garamond"/>
          <w:i/>
        </w:rPr>
        <w:t>,</w:t>
      </w:r>
      <w:r w:rsidRPr="00650669">
        <w:rPr>
          <w:rFonts w:ascii="Garamond" w:hAnsi="Garamond"/>
          <w:i/>
        </w:rPr>
        <w:t xml:space="preserve"> </w:t>
      </w:r>
      <w:r w:rsidR="00650669" w:rsidRPr="00650669">
        <w:rPr>
          <w:rFonts w:ascii="Garamond" w:hAnsi="Garamond"/>
          <w:i/>
        </w:rPr>
        <w:t>Center for Coastal Rehabilitation and Disaster Mitigation Studies</w:t>
      </w:r>
      <w:r w:rsidR="00532434">
        <w:rPr>
          <w:rFonts w:ascii="Garamond" w:hAnsi="Garamond"/>
          <w:i/>
        </w:rPr>
        <w:t xml:space="preserve"> </w:t>
      </w:r>
      <w:r w:rsidR="002E2D9E" w:rsidRPr="00EC3694">
        <w:rPr>
          <w:rFonts w:ascii="Garamond" w:hAnsi="Garamond"/>
        </w:rPr>
        <w:t xml:space="preserve">– </w:t>
      </w:r>
      <w:r w:rsidR="00650669">
        <w:rPr>
          <w:rFonts w:ascii="Garamond" w:hAnsi="Garamond"/>
        </w:rPr>
        <w:t>CoREM is familiar with the</w:t>
      </w:r>
    </w:p>
    <w:p w14:paraId="394BDD8C" w14:textId="3EF398C0" w:rsidR="002E2D9E" w:rsidRPr="00EC3694" w:rsidRDefault="00650669" w:rsidP="00532434">
      <w:pPr>
        <w:ind w:left="720"/>
        <w:rPr>
          <w:rFonts w:ascii="Garamond" w:hAnsi="Garamond"/>
        </w:rPr>
      </w:pPr>
      <w:r>
        <w:rPr>
          <w:rFonts w:ascii="Garamond" w:hAnsi="Garamond"/>
        </w:rPr>
        <w:t xml:space="preserve">use of satellite imagery to assess flood risk (predominantly based on topography) and land loss due to subsidence. However, </w:t>
      </w:r>
      <w:r w:rsidR="00FE312E">
        <w:rPr>
          <w:rFonts w:ascii="Garamond" w:hAnsi="Garamond"/>
        </w:rPr>
        <w:t xml:space="preserve">the </w:t>
      </w:r>
      <w:r>
        <w:rPr>
          <w:rFonts w:ascii="Garamond" w:hAnsi="Garamond"/>
        </w:rPr>
        <w:t xml:space="preserve">use of NASA Earth observations related to marine turbidity and land cover is </w:t>
      </w:r>
      <w:r w:rsidR="009B27B1">
        <w:rPr>
          <w:rFonts w:ascii="Garamond" w:hAnsi="Garamond"/>
        </w:rPr>
        <w:t xml:space="preserve">limited within the organization. This project will build </w:t>
      </w:r>
      <w:r w:rsidR="00FE312E">
        <w:rPr>
          <w:rFonts w:ascii="Garamond" w:hAnsi="Garamond"/>
        </w:rPr>
        <w:t xml:space="preserve">CoREM’s </w:t>
      </w:r>
      <w:r w:rsidR="009B27B1">
        <w:rPr>
          <w:rFonts w:ascii="Garamond" w:hAnsi="Garamond"/>
        </w:rPr>
        <w:t>capacity in aquatic optics and more complex land classification.</w:t>
      </w:r>
    </w:p>
    <w:p w14:paraId="2E7F056C" w14:textId="77777777" w:rsidR="008B3821" w:rsidRPr="00936A45" w:rsidRDefault="008B3821" w:rsidP="00C72F1A">
      <w:pPr>
        <w:ind w:left="720" w:hanging="720"/>
      </w:pPr>
    </w:p>
    <w:p w14:paraId="59FFD799" w14:textId="10CB1897" w:rsidR="008B3821" w:rsidRPr="00EC3694" w:rsidRDefault="00F072D2" w:rsidP="00C72F1A">
      <w:pPr>
        <w:ind w:left="720" w:hanging="720"/>
        <w:rPr>
          <w:rFonts w:ascii="Garamond" w:hAnsi="Garamond"/>
        </w:rPr>
      </w:pPr>
      <w:r>
        <w:rPr>
          <w:rFonts w:ascii="Garamond" w:hAnsi="Garamond"/>
          <w:i/>
        </w:rPr>
        <w:t>Water Resources and Spatial Planning Office of Central Java Province</w:t>
      </w:r>
      <w:r w:rsidR="00E06362">
        <w:rPr>
          <w:rFonts w:ascii="Garamond" w:hAnsi="Garamond"/>
        </w:rPr>
        <w:t xml:space="preserve"> </w:t>
      </w:r>
      <w:r w:rsidR="009B27B1">
        <w:rPr>
          <w:rFonts w:ascii="Garamond" w:hAnsi="Garamond"/>
        </w:rPr>
        <w:t>–</w:t>
      </w:r>
      <w:r w:rsidR="00E06362">
        <w:rPr>
          <w:rFonts w:ascii="Garamond" w:hAnsi="Garamond"/>
        </w:rPr>
        <w:t xml:space="preserve"> </w:t>
      </w:r>
      <w:r w:rsidR="009B27B1">
        <w:rPr>
          <w:rFonts w:ascii="Garamond" w:hAnsi="Garamond"/>
        </w:rPr>
        <w:t xml:space="preserve">The </w:t>
      </w:r>
      <w:r>
        <w:rPr>
          <w:rFonts w:ascii="Garamond" w:hAnsi="Garamond"/>
        </w:rPr>
        <w:t>WRSPO</w:t>
      </w:r>
      <w:r w:rsidR="009B27B1">
        <w:rPr>
          <w:rFonts w:ascii="Garamond" w:hAnsi="Garamond"/>
        </w:rPr>
        <w:t xml:space="preserve"> is familiar with limited satellite remote sensing methods through collaboration</w:t>
      </w:r>
      <w:r w:rsidR="00FE312E">
        <w:rPr>
          <w:rFonts w:ascii="Garamond" w:hAnsi="Garamond"/>
        </w:rPr>
        <w:t>s</w:t>
      </w:r>
      <w:r w:rsidR="009B27B1">
        <w:rPr>
          <w:rFonts w:ascii="Garamond" w:hAnsi="Garamond"/>
        </w:rPr>
        <w:t xml:space="preserve"> with external organizations. This end user will</w:t>
      </w:r>
      <w:r w:rsidR="00A80851">
        <w:rPr>
          <w:rFonts w:ascii="Garamond" w:hAnsi="Garamond"/>
        </w:rPr>
        <w:t xml:space="preserve"> also</w:t>
      </w:r>
      <w:r w:rsidR="009B27B1">
        <w:rPr>
          <w:rFonts w:ascii="Garamond" w:hAnsi="Garamond"/>
        </w:rPr>
        <w:t xml:space="preserve"> build capacity in aquatic optics and land classification</w:t>
      </w:r>
      <w:r w:rsidR="00FE312E">
        <w:rPr>
          <w:rFonts w:ascii="Garamond" w:hAnsi="Garamond"/>
        </w:rPr>
        <w:t xml:space="preserve"> </w:t>
      </w:r>
      <w:r w:rsidR="009B27B1">
        <w:rPr>
          <w:rFonts w:ascii="Garamond" w:hAnsi="Garamond"/>
        </w:rPr>
        <w:t>but will begin this project with significantly less in-house knowledge of satellite remote sensing analysis.</w:t>
      </w:r>
    </w:p>
    <w:p w14:paraId="46FF00D8" w14:textId="77777777" w:rsidR="006E1C6C" w:rsidRPr="00936A45" w:rsidRDefault="006E1C6C" w:rsidP="006E1C6C">
      <w:pPr>
        <w:ind w:left="720" w:hanging="720"/>
      </w:pPr>
    </w:p>
    <w:p w14:paraId="17B3A381" w14:textId="226D7724" w:rsidR="00CA0EED" w:rsidRPr="009B27B1" w:rsidRDefault="00C057E9" w:rsidP="009B27B1">
      <w:pPr>
        <w:ind w:left="720" w:hanging="720"/>
        <w:rPr>
          <w:b/>
          <w:i/>
          <w:sz w:val="20"/>
          <w:szCs w:val="20"/>
          <w:u w:val="single"/>
        </w:rPr>
      </w:pPr>
      <w:r w:rsidRPr="00EC3694">
        <w:rPr>
          <w:b/>
          <w:i/>
          <w:sz w:val="20"/>
          <w:szCs w:val="20"/>
          <w:u w:val="single"/>
        </w:rPr>
        <w:t>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58B13C50" w:rsidR="00594D0B" w:rsidRPr="00CD0433" w:rsidRDefault="00094922" w:rsidP="00014585">
      <w:pPr>
        <w:ind w:left="810" w:hanging="810"/>
        <w:rPr>
          <w:sz w:val="20"/>
          <w:szCs w:val="20"/>
        </w:rPr>
      </w:pPr>
      <w:r w:rsidRPr="00650669">
        <w:rPr>
          <w:rFonts w:ascii="Garamond" w:hAnsi="Garamond"/>
          <w:i/>
        </w:rPr>
        <w:t>Diponegoro University</w:t>
      </w:r>
      <w:r>
        <w:rPr>
          <w:rFonts w:ascii="Garamond" w:hAnsi="Garamond"/>
          <w:i/>
        </w:rPr>
        <w:t>,</w:t>
      </w:r>
      <w:r w:rsidRPr="00650669">
        <w:rPr>
          <w:rFonts w:ascii="Garamond" w:hAnsi="Garamond"/>
          <w:i/>
        </w:rPr>
        <w:t xml:space="preserve"> </w:t>
      </w:r>
      <w:r w:rsidR="009B27B1" w:rsidRPr="00650669">
        <w:rPr>
          <w:rFonts w:ascii="Garamond" w:hAnsi="Garamond"/>
          <w:i/>
        </w:rPr>
        <w:t>Center for Coastal Rehabilitation and Disaster Mitigation Studies</w:t>
      </w:r>
      <w:r w:rsidR="00362915" w:rsidRPr="00EC3694">
        <w:rPr>
          <w:rFonts w:ascii="Garamond" w:hAnsi="Garamond"/>
        </w:rPr>
        <w:t xml:space="preserve">– </w:t>
      </w:r>
      <w:r w:rsidR="0087753E">
        <w:rPr>
          <w:rFonts w:ascii="Garamond" w:hAnsi="Garamond"/>
        </w:rPr>
        <w:t>CoREM partners with various restoration and city</w:t>
      </w:r>
      <w:r w:rsidR="00FE312E">
        <w:rPr>
          <w:rFonts w:ascii="Garamond" w:hAnsi="Garamond"/>
        </w:rPr>
        <w:t>-</w:t>
      </w:r>
      <w:r w:rsidR="0087753E">
        <w:rPr>
          <w:rFonts w:ascii="Garamond" w:hAnsi="Garamond"/>
        </w:rPr>
        <w:t xml:space="preserve">level organizations to contribute to coastal rehabilitation efforts. </w:t>
      </w:r>
      <w:r w:rsidR="00FE312E">
        <w:rPr>
          <w:rFonts w:ascii="Garamond" w:hAnsi="Garamond"/>
        </w:rPr>
        <w:t xml:space="preserve">It </w:t>
      </w:r>
      <w:r w:rsidR="0087753E">
        <w:rPr>
          <w:rFonts w:ascii="Garamond" w:hAnsi="Garamond"/>
        </w:rPr>
        <w:t>will disseminate project information to these partners, most notably</w:t>
      </w:r>
      <w:r w:rsidR="00FB53C8">
        <w:rPr>
          <w:rFonts w:ascii="Garamond" w:hAnsi="Garamond"/>
        </w:rPr>
        <w:t xml:space="preserve"> government partners in Semarang City</w:t>
      </w:r>
      <w:r w:rsidR="00FE312E">
        <w:rPr>
          <w:rFonts w:ascii="Garamond" w:hAnsi="Garamond"/>
        </w:rPr>
        <w:t xml:space="preserve">, who are </w:t>
      </w:r>
      <w:r w:rsidR="00FB53C8">
        <w:rPr>
          <w:rFonts w:ascii="Garamond" w:hAnsi="Garamond"/>
        </w:rPr>
        <w:t xml:space="preserve">interested in </w:t>
      </w:r>
      <w:r w:rsidR="00A80851">
        <w:rPr>
          <w:rFonts w:ascii="Garamond" w:hAnsi="Garamond"/>
        </w:rPr>
        <w:t>results</w:t>
      </w:r>
      <w:r w:rsidR="00FB53C8">
        <w:rPr>
          <w:rFonts w:ascii="Garamond" w:hAnsi="Garamond"/>
        </w:rPr>
        <w:t xml:space="preserve"> relevant to urban management and mangrove restoration projects.</w:t>
      </w:r>
    </w:p>
    <w:p w14:paraId="7D0F0604" w14:textId="402AF415" w:rsidR="00362915" w:rsidRPr="00EC3694" w:rsidRDefault="00362915" w:rsidP="00362915">
      <w:pPr>
        <w:ind w:left="720" w:hanging="720"/>
        <w:rPr>
          <w:rFonts w:ascii="Garamond" w:hAnsi="Garamond"/>
        </w:rPr>
      </w:pPr>
    </w:p>
    <w:p w14:paraId="397E172D" w14:textId="452EF6E4" w:rsidR="00806DE6" w:rsidRPr="00CD0433" w:rsidRDefault="00F072D2" w:rsidP="00806DE6">
      <w:pPr>
        <w:ind w:left="810" w:hanging="810"/>
        <w:rPr>
          <w:sz w:val="20"/>
          <w:szCs w:val="20"/>
        </w:rPr>
      </w:pPr>
      <w:r>
        <w:rPr>
          <w:rFonts w:ascii="Garamond" w:hAnsi="Garamond"/>
          <w:i/>
        </w:rPr>
        <w:t>Water Resources and Spatial Planning Office of Central Java Province</w:t>
      </w:r>
      <w:r w:rsidR="00806DE6" w:rsidRPr="00EC3694">
        <w:rPr>
          <w:rFonts w:ascii="Garamond" w:hAnsi="Garamond"/>
        </w:rPr>
        <w:t xml:space="preserve"> – </w:t>
      </w:r>
      <w:r w:rsidR="00FB53C8">
        <w:rPr>
          <w:rFonts w:ascii="Garamond" w:hAnsi="Garamond"/>
        </w:rPr>
        <w:t xml:space="preserve">The </w:t>
      </w:r>
      <w:r>
        <w:rPr>
          <w:rFonts w:ascii="Garamond" w:hAnsi="Garamond"/>
        </w:rPr>
        <w:t>WRSPO</w:t>
      </w:r>
      <w:r w:rsidR="00FB53C8">
        <w:rPr>
          <w:rFonts w:ascii="Garamond" w:hAnsi="Garamond"/>
        </w:rPr>
        <w:t xml:space="preserve"> is tasked with disseminating information to the various regency and city governments within Central Java. </w:t>
      </w:r>
      <w:r w:rsidR="00FE312E">
        <w:rPr>
          <w:rFonts w:ascii="Garamond" w:hAnsi="Garamond"/>
        </w:rPr>
        <w:t xml:space="preserve">It </w:t>
      </w:r>
      <w:r w:rsidR="00FB53C8">
        <w:rPr>
          <w:rFonts w:ascii="Garamond" w:hAnsi="Garamond"/>
        </w:rPr>
        <w:t>will serve as an effective starting point to convey project information to coastal communities in the region. This office also collaborates with marine conservation organizations that are interested in the project</w:t>
      </w:r>
      <w:r w:rsidR="00A80851">
        <w:rPr>
          <w:rFonts w:ascii="Garamond" w:hAnsi="Garamond"/>
        </w:rPr>
        <w:t>’</w:t>
      </w:r>
      <w:r w:rsidR="00FB53C8">
        <w:rPr>
          <w:rFonts w:ascii="Garamond" w:hAnsi="Garamond"/>
        </w:rPr>
        <w:t>s turbidity assessments.</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CE89072"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57E9" w:rsidRPr="005C6FC1">
        <w:rPr>
          <w:rFonts w:ascii="Garamond" w:hAnsi="Garamond"/>
        </w:rPr>
        <w:t>D</w:t>
      </w:r>
      <w:r w:rsidR="00415767">
        <w:rPr>
          <w:rFonts w:ascii="Garamond" w:hAnsi="Garamond"/>
        </w:rPr>
        <w:t xml:space="preserve">ue to the </w:t>
      </w:r>
      <w:r w:rsidR="00B753A4">
        <w:rPr>
          <w:rFonts w:ascii="Garamond" w:hAnsi="Garamond"/>
        </w:rPr>
        <w:t>11 hour time difference, much of the in-term communication with the partners will likely take place via email on a weekly basis. However, the partners are available in the early morning and evening to join video calls. These calls will like</w:t>
      </w:r>
      <w:r w:rsidR="00F06AF4">
        <w:rPr>
          <w:rFonts w:ascii="Garamond" w:hAnsi="Garamond"/>
        </w:rPr>
        <w:t>ly</w:t>
      </w:r>
      <w:r w:rsidR="00B753A4">
        <w:rPr>
          <w:rFonts w:ascii="Garamond" w:hAnsi="Garamond"/>
        </w:rPr>
        <w:t xml:space="preserve"> take place 3</w:t>
      </w:r>
      <w:r w:rsidR="00FE312E">
        <w:rPr>
          <w:rFonts w:ascii="Garamond" w:hAnsi="Garamond"/>
        </w:rPr>
        <w:t xml:space="preserve"> to </w:t>
      </w:r>
      <w:r w:rsidR="00B753A4">
        <w:rPr>
          <w:rFonts w:ascii="Garamond" w:hAnsi="Garamond"/>
        </w:rPr>
        <w:t xml:space="preserve">4 times during the term. The main POC for communication will be the Project Lead, with communications support provided by the </w:t>
      </w:r>
      <w:r w:rsidR="00F072D2">
        <w:rPr>
          <w:rFonts w:ascii="Garamond" w:hAnsi="Garamond"/>
        </w:rPr>
        <w:t>Fellow</w:t>
      </w:r>
      <w:r w:rsidR="00B753A4">
        <w:rPr>
          <w:rFonts w:ascii="Garamond" w:hAnsi="Garamond"/>
        </w:rPr>
        <w:t>.</w:t>
      </w:r>
    </w:p>
    <w:p w14:paraId="7D7547C5" w14:textId="77777777" w:rsidR="00C057E9" w:rsidRPr="00936A45" w:rsidRDefault="00C057E9" w:rsidP="00C72F1A"/>
    <w:p w14:paraId="174F38F2" w14:textId="37169FF2"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F64A4">
        <w:rPr>
          <w:rFonts w:ascii="Garamond" w:hAnsi="Garamond"/>
        </w:rPr>
        <w:t xml:space="preserve">The team will complete </w:t>
      </w:r>
      <w:r w:rsidR="00A05268">
        <w:rPr>
          <w:rFonts w:ascii="Garamond" w:hAnsi="Garamond"/>
        </w:rPr>
        <w:t>a</w:t>
      </w:r>
      <w:r w:rsidR="00BF64A4">
        <w:rPr>
          <w:rFonts w:ascii="Garamond" w:hAnsi="Garamond"/>
        </w:rPr>
        <w:t xml:space="preserve"> project handoff via Google Meet during the last week of the term. After giving their project presentation, the team will answer partner questions and walk </w:t>
      </w:r>
      <w:r w:rsidR="002E5D29">
        <w:rPr>
          <w:rFonts w:ascii="Garamond" w:hAnsi="Garamond"/>
        </w:rPr>
        <w:t xml:space="preserve">partners </w:t>
      </w:r>
      <w:r w:rsidR="00BF64A4">
        <w:rPr>
          <w:rFonts w:ascii="Garamond" w:hAnsi="Garamond"/>
        </w:rPr>
        <w:t>through their land cover tool and turbidity maps.</w:t>
      </w:r>
      <w:r w:rsidR="00DE50F5">
        <w:rPr>
          <w:rFonts w:ascii="Garamond" w:hAnsi="Garamond"/>
        </w:rPr>
        <w:t xml:space="preserve"> Maps will be put through export control and then sent to partners via Google Drive</w:t>
      </w:r>
      <w:r w:rsidR="00A05268">
        <w:rPr>
          <w:rFonts w:ascii="Garamond" w:hAnsi="Garamond"/>
        </w:rPr>
        <w:t xml:space="preserve"> along with deliverables</w:t>
      </w:r>
      <w:r w:rsidR="00DE50F5">
        <w:rPr>
          <w:rFonts w:ascii="Garamond" w:hAnsi="Garamond"/>
        </w:rPr>
        <w:t xml:space="preserve">. Land cover analysis Google Earth Engine code will be shared via GitHub once the </w:t>
      </w:r>
      <w:r w:rsidR="002E5D29">
        <w:rPr>
          <w:rFonts w:ascii="Garamond" w:hAnsi="Garamond"/>
        </w:rPr>
        <w:t>S</w:t>
      </w:r>
      <w:r w:rsidR="00DE50F5">
        <w:rPr>
          <w:rFonts w:ascii="Garamond" w:hAnsi="Garamond"/>
        </w:rPr>
        <w:t xml:space="preserve">oftware </w:t>
      </w:r>
      <w:r w:rsidR="002E5D29">
        <w:rPr>
          <w:rFonts w:ascii="Garamond" w:hAnsi="Garamond"/>
        </w:rPr>
        <w:t>R</w:t>
      </w:r>
      <w:r w:rsidR="00DE50F5">
        <w:rPr>
          <w:rFonts w:ascii="Garamond" w:hAnsi="Garamond"/>
        </w:rPr>
        <w:t xml:space="preserve">elease </w:t>
      </w:r>
      <w:r w:rsidR="002E5D29">
        <w:rPr>
          <w:rFonts w:ascii="Garamond" w:hAnsi="Garamond"/>
        </w:rPr>
        <w:t>P</w:t>
      </w:r>
      <w:r w:rsidR="00DE50F5">
        <w:rPr>
          <w:rFonts w:ascii="Garamond" w:hAnsi="Garamond"/>
        </w:rPr>
        <w:t>rocess is complete.</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D9CF316"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7BE74866" w:rsidR="00B76BDC" w:rsidRPr="005C6FC1" w:rsidRDefault="00700154" w:rsidP="00936A45">
            <w:pPr>
              <w:rPr>
                <w:rFonts w:ascii="Garamond" w:hAnsi="Garamond"/>
                <w:b/>
                <w:bCs/>
              </w:rPr>
            </w:pPr>
            <w:r>
              <w:rPr>
                <w:rFonts w:ascii="Garamond" w:hAnsi="Garamond"/>
                <w:b/>
                <w:bCs/>
              </w:rPr>
              <w:t>Landsat 8 OLI</w:t>
            </w:r>
          </w:p>
        </w:tc>
        <w:tc>
          <w:tcPr>
            <w:tcW w:w="2411" w:type="dxa"/>
            <w:vAlign w:val="center"/>
          </w:tcPr>
          <w:p w14:paraId="3ED984CF" w14:textId="1CAC0AD4" w:rsidR="00B76BDC" w:rsidRPr="005C6FC1" w:rsidRDefault="00B23701" w:rsidP="00936A45">
            <w:pPr>
              <w:rPr>
                <w:rFonts w:ascii="Garamond" w:hAnsi="Garamond"/>
              </w:rPr>
            </w:pPr>
            <w:r>
              <w:rPr>
                <w:rFonts w:ascii="Garamond" w:hAnsi="Garamond"/>
              </w:rPr>
              <w:t>Surface reflectance</w:t>
            </w:r>
          </w:p>
        </w:tc>
        <w:tc>
          <w:tcPr>
            <w:tcW w:w="4597" w:type="dxa"/>
            <w:vAlign w:val="center"/>
          </w:tcPr>
          <w:p w14:paraId="39C8D523" w14:textId="7789C8E2" w:rsidR="00B76BDC" w:rsidRPr="005C6FC1" w:rsidRDefault="00B23701" w:rsidP="00936A45">
            <w:pPr>
              <w:rPr>
                <w:rFonts w:ascii="Garamond" w:hAnsi="Garamond"/>
              </w:rPr>
            </w:pPr>
            <w:r>
              <w:rPr>
                <w:rFonts w:ascii="Garamond" w:hAnsi="Garamond"/>
              </w:rPr>
              <w:t>Surface reflectance will be used to examine land cover and turbidity.</w:t>
            </w:r>
          </w:p>
        </w:tc>
      </w:tr>
      <w:tr w:rsidR="00B76BDC" w:rsidRPr="005C6FC1" w14:paraId="3D3DFEA5" w14:textId="77777777" w:rsidTr="00936A45">
        <w:tc>
          <w:tcPr>
            <w:tcW w:w="2347" w:type="dxa"/>
            <w:tcBorders>
              <w:bottom w:val="single" w:sz="4" w:space="0" w:color="auto"/>
            </w:tcBorders>
            <w:vAlign w:val="center"/>
          </w:tcPr>
          <w:p w14:paraId="2E7A36AA" w14:textId="2C375281" w:rsidR="00B76BDC" w:rsidRPr="005C6FC1" w:rsidRDefault="008129F6" w:rsidP="00936A45">
            <w:pPr>
              <w:rPr>
                <w:rFonts w:ascii="Garamond" w:hAnsi="Garamond"/>
                <w:b/>
                <w:bCs/>
              </w:rPr>
            </w:pPr>
            <w:r>
              <w:rPr>
                <w:rFonts w:ascii="Garamond" w:hAnsi="Garamond"/>
                <w:b/>
                <w:bCs/>
              </w:rPr>
              <w:t>Aqua MODIS</w:t>
            </w:r>
          </w:p>
        </w:tc>
        <w:tc>
          <w:tcPr>
            <w:tcW w:w="2411" w:type="dxa"/>
            <w:tcBorders>
              <w:bottom w:val="single" w:sz="4" w:space="0" w:color="auto"/>
            </w:tcBorders>
            <w:vAlign w:val="center"/>
          </w:tcPr>
          <w:p w14:paraId="218FF07A" w14:textId="1277CED0" w:rsidR="00B76BDC" w:rsidRPr="005C6FC1" w:rsidRDefault="00B23701" w:rsidP="00936A45">
            <w:pPr>
              <w:rPr>
                <w:rFonts w:ascii="Garamond" w:hAnsi="Garamond"/>
              </w:rPr>
            </w:pPr>
            <w:r>
              <w:rPr>
                <w:rFonts w:ascii="Garamond" w:hAnsi="Garamond"/>
              </w:rPr>
              <w:t>Surface reflectance</w:t>
            </w:r>
          </w:p>
        </w:tc>
        <w:tc>
          <w:tcPr>
            <w:tcW w:w="4597" w:type="dxa"/>
            <w:tcBorders>
              <w:bottom w:val="single" w:sz="4" w:space="0" w:color="auto"/>
            </w:tcBorders>
            <w:vAlign w:val="center"/>
          </w:tcPr>
          <w:p w14:paraId="2A092E32" w14:textId="36E8FD7D" w:rsidR="00B76BDC" w:rsidRPr="005C6FC1" w:rsidRDefault="00B23701" w:rsidP="00936A45">
            <w:pPr>
              <w:rPr>
                <w:rFonts w:ascii="Garamond" w:hAnsi="Garamond"/>
              </w:rPr>
            </w:pPr>
            <w:r>
              <w:rPr>
                <w:rFonts w:ascii="Garamond" w:hAnsi="Garamond"/>
              </w:rPr>
              <w:t>Surface reflectance will be used to examine turbidity.</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35D10C15" w:rsidR="00B76BDC" w:rsidRPr="005C6FC1" w:rsidRDefault="00E61794" w:rsidP="00936A45">
            <w:pPr>
              <w:rPr>
                <w:rFonts w:ascii="Garamond" w:hAnsi="Garamond"/>
                <w:b/>
                <w:bCs/>
              </w:rPr>
            </w:pPr>
            <w:r>
              <w:rPr>
                <w:rFonts w:ascii="Garamond" w:hAnsi="Garamond"/>
                <w:b/>
                <w:bCs/>
              </w:rPr>
              <w:t>Terra</w:t>
            </w:r>
            <w:r w:rsidR="00384B24">
              <w:rPr>
                <w:rFonts w:ascii="Garamond" w:hAnsi="Garamond"/>
                <w:b/>
                <w:bCs/>
              </w:rPr>
              <w:t xml:space="preserve"> MODIS</w:t>
            </w:r>
          </w:p>
        </w:tc>
        <w:tc>
          <w:tcPr>
            <w:tcW w:w="2411" w:type="dxa"/>
            <w:tcBorders>
              <w:top w:val="single" w:sz="4" w:space="0" w:color="auto"/>
              <w:bottom w:val="single" w:sz="4" w:space="0" w:color="auto"/>
            </w:tcBorders>
            <w:vAlign w:val="center"/>
          </w:tcPr>
          <w:p w14:paraId="65407D12" w14:textId="1733F58A" w:rsidR="00B76BDC" w:rsidRPr="005C6FC1" w:rsidRDefault="00B23701" w:rsidP="00936A45">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7834BC54" w:rsidR="00B76BDC" w:rsidRPr="005C6FC1" w:rsidRDefault="00B23701" w:rsidP="00936A45">
            <w:pPr>
              <w:rPr>
                <w:rFonts w:ascii="Garamond" w:hAnsi="Garamond"/>
              </w:rPr>
            </w:pPr>
            <w:r>
              <w:rPr>
                <w:rFonts w:ascii="Garamond" w:hAnsi="Garamond"/>
              </w:rPr>
              <w:t>Surface reflectance will be used to examine turbidity.</w:t>
            </w: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365CE359" w:rsidR="00CC7683" w:rsidRDefault="00B23701" w:rsidP="00936A45">
            <w:pPr>
              <w:rPr>
                <w:rFonts w:ascii="Garamond" w:hAnsi="Garamond"/>
                <w:b/>
                <w:bCs/>
              </w:rPr>
            </w:pPr>
            <w:r>
              <w:rPr>
                <w:rFonts w:ascii="Garamond" w:hAnsi="Garamond"/>
                <w:b/>
                <w:bCs/>
              </w:rPr>
              <w:t>Sentinel-1 C-SAR</w:t>
            </w:r>
          </w:p>
        </w:tc>
        <w:tc>
          <w:tcPr>
            <w:tcW w:w="2411" w:type="dxa"/>
            <w:tcBorders>
              <w:top w:val="single" w:sz="4" w:space="0" w:color="auto"/>
              <w:bottom w:val="single" w:sz="4" w:space="0" w:color="auto"/>
            </w:tcBorders>
            <w:vAlign w:val="center"/>
          </w:tcPr>
          <w:p w14:paraId="2FE626E1" w14:textId="52E5367C" w:rsidR="00CC7683" w:rsidRDefault="00B23701" w:rsidP="00936A45">
            <w:pPr>
              <w:rPr>
                <w:rFonts w:ascii="Garamond" w:hAnsi="Garamond"/>
              </w:rPr>
            </w:pPr>
            <w:r>
              <w:rPr>
                <w:rFonts w:ascii="Garamond" w:hAnsi="Garamond"/>
              </w:rPr>
              <w:t>Ground range detection</w:t>
            </w:r>
          </w:p>
        </w:tc>
        <w:tc>
          <w:tcPr>
            <w:tcW w:w="4597" w:type="dxa"/>
            <w:tcBorders>
              <w:top w:val="single" w:sz="4" w:space="0" w:color="auto"/>
              <w:bottom w:val="single" w:sz="4" w:space="0" w:color="auto"/>
              <w:right w:val="single" w:sz="4" w:space="0" w:color="auto"/>
            </w:tcBorders>
            <w:vAlign w:val="center"/>
          </w:tcPr>
          <w:p w14:paraId="2B6E461A" w14:textId="4F832E20" w:rsidR="00CC7683" w:rsidRDefault="00B23701" w:rsidP="00936A45">
            <w:pPr>
              <w:rPr>
                <w:rFonts w:ascii="Garamond" w:hAnsi="Garamond"/>
              </w:rPr>
            </w:pPr>
            <w:r>
              <w:rPr>
                <w:rFonts w:ascii="Garamond" w:hAnsi="Garamond"/>
              </w:rPr>
              <w:t>Ground range detection will be used to identify flooded areas.</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70D8FD2E" w14:textId="2D27F2BB" w:rsidR="00D3192F" w:rsidRPr="00E06362" w:rsidRDefault="002A561E" w:rsidP="00E06362">
      <w:pPr>
        <w:pStyle w:val="ListParagraph"/>
        <w:numPr>
          <w:ilvl w:val="0"/>
          <w:numId w:val="5"/>
        </w:numPr>
        <w:rPr>
          <w:rFonts w:ascii="Garamond" w:hAnsi="Garamond"/>
        </w:rPr>
      </w:pPr>
      <w:r>
        <w:rPr>
          <w:rFonts w:ascii="Garamond" w:hAnsi="Garamond"/>
        </w:rPr>
        <w:t xml:space="preserve">Boston University </w:t>
      </w:r>
      <w:r w:rsidR="00664BF3">
        <w:rPr>
          <w:rFonts w:ascii="Garamond" w:hAnsi="Garamond"/>
        </w:rPr>
        <w:t>Fichot Aquatic Optics Laboratory Central Java Turbidity Dataset</w:t>
      </w:r>
      <w:r w:rsidR="00752AC5" w:rsidRPr="00E06362">
        <w:rPr>
          <w:rFonts w:ascii="Garamond" w:hAnsi="Garamond"/>
        </w:rPr>
        <w:t xml:space="preserve"> –</w:t>
      </w:r>
      <w:r w:rsidR="002E5D29">
        <w:rPr>
          <w:rFonts w:ascii="Garamond" w:hAnsi="Garamond"/>
        </w:rPr>
        <w:t xml:space="preserve"> </w:t>
      </w:r>
      <w:r w:rsidR="00664BF3">
        <w:rPr>
          <w:rFonts w:ascii="Garamond" w:hAnsi="Garamond"/>
        </w:rPr>
        <w:t>create a local algorithm to estimate turbidity in the Java Sea</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7097C5E0" w:rsidR="006A2A26" w:rsidRPr="00E06362" w:rsidRDefault="00416184" w:rsidP="00E06362">
      <w:pPr>
        <w:pStyle w:val="ListParagraph"/>
        <w:numPr>
          <w:ilvl w:val="0"/>
          <w:numId w:val="7"/>
        </w:numPr>
        <w:rPr>
          <w:rFonts w:ascii="Garamond" w:hAnsi="Garamond"/>
        </w:rPr>
      </w:pPr>
      <w:r>
        <w:rPr>
          <w:rFonts w:ascii="Garamond" w:hAnsi="Garamond"/>
        </w:rPr>
        <w:t xml:space="preserve">Google Earth Engine API </w:t>
      </w:r>
      <w:r w:rsidR="0073702A" w:rsidRPr="00E06362">
        <w:rPr>
          <w:rFonts w:ascii="Garamond" w:hAnsi="Garamond"/>
        </w:rPr>
        <w:t xml:space="preserve">– </w:t>
      </w:r>
      <w:r w:rsidR="002E5D29">
        <w:rPr>
          <w:rFonts w:ascii="Garamond" w:hAnsi="Garamond"/>
        </w:rPr>
        <w:t>l</w:t>
      </w:r>
      <w:r>
        <w:rPr>
          <w:rFonts w:ascii="Garamond" w:hAnsi="Garamond"/>
        </w:rPr>
        <w:t>and classification of Landsat and Sentinel-</w:t>
      </w:r>
      <w:r w:rsidR="00FE175F">
        <w:rPr>
          <w:rFonts w:ascii="Garamond" w:hAnsi="Garamond"/>
        </w:rPr>
        <w:t>1 imagery</w:t>
      </w:r>
    </w:p>
    <w:p w14:paraId="352C4A76" w14:textId="4F65A52B" w:rsidR="002A561E" w:rsidRDefault="002A561E" w:rsidP="00E06362">
      <w:pPr>
        <w:pStyle w:val="ListParagraph"/>
        <w:numPr>
          <w:ilvl w:val="0"/>
          <w:numId w:val="7"/>
        </w:numPr>
        <w:rPr>
          <w:rFonts w:ascii="Garamond" w:hAnsi="Garamond"/>
        </w:rPr>
      </w:pPr>
      <w:r>
        <w:rPr>
          <w:rFonts w:ascii="Garamond" w:hAnsi="Garamond"/>
        </w:rPr>
        <w:t>SeaDAS</w:t>
      </w:r>
      <w:r w:rsidR="006A2A26" w:rsidRPr="00E06362">
        <w:rPr>
          <w:rFonts w:ascii="Garamond" w:hAnsi="Garamond"/>
        </w:rPr>
        <w:t xml:space="preserve"> –</w:t>
      </w:r>
      <w:r>
        <w:rPr>
          <w:rFonts w:ascii="Garamond" w:hAnsi="Garamond"/>
        </w:rPr>
        <w:t xml:space="preserve"> </w:t>
      </w:r>
      <w:r w:rsidR="002E5D29">
        <w:rPr>
          <w:rFonts w:ascii="Garamond" w:hAnsi="Garamond"/>
        </w:rPr>
        <w:t>a</w:t>
      </w:r>
      <w:r>
        <w:rPr>
          <w:rFonts w:ascii="Garamond" w:hAnsi="Garamond"/>
        </w:rPr>
        <w:t>tmospheric correction of Landsat imagery</w:t>
      </w:r>
    </w:p>
    <w:p w14:paraId="24F181DC" w14:textId="097E51AB" w:rsidR="006A2A26" w:rsidRPr="00E06362" w:rsidRDefault="003567C6" w:rsidP="00E06362">
      <w:pPr>
        <w:pStyle w:val="ListParagraph"/>
        <w:numPr>
          <w:ilvl w:val="0"/>
          <w:numId w:val="7"/>
        </w:numPr>
        <w:rPr>
          <w:rFonts w:ascii="Garamond" w:hAnsi="Garamond"/>
        </w:rPr>
      </w:pPr>
      <w:r>
        <w:rPr>
          <w:rFonts w:ascii="Garamond" w:hAnsi="Garamond"/>
        </w:rPr>
        <w:t xml:space="preserve">MATLAB – </w:t>
      </w:r>
      <w:r w:rsidR="002E5D29">
        <w:rPr>
          <w:rFonts w:ascii="Garamond" w:hAnsi="Garamond"/>
        </w:rPr>
        <w:t>a</w:t>
      </w:r>
      <w:r>
        <w:rPr>
          <w:rFonts w:ascii="Garamond" w:hAnsi="Garamond"/>
        </w:rPr>
        <w:t>lgorithm development and application of</w:t>
      </w:r>
      <w:r w:rsidR="00526037">
        <w:rPr>
          <w:rFonts w:ascii="Garamond" w:hAnsi="Garamond"/>
        </w:rPr>
        <w:t xml:space="preserve"> </w:t>
      </w:r>
      <w:r w:rsidR="00F06AF4">
        <w:rPr>
          <w:rFonts w:ascii="Garamond" w:hAnsi="Garamond"/>
        </w:rPr>
        <w:t xml:space="preserve">the </w:t>
      </w:r>
      <w:r w:rsidR="00526037">
        <w:rPr>
          <w:rFonts w:ascii="Garamond" w:hAnsi="Garamond"/>
        </w:rPr>
        <w:t>algorithm to Landsat and MODIS imagery</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27A9A8C1" w:rsidR="001538F2" w:rsidRPr="008A4B10" w:rsidRDefault="003567C6" w:rsidP="00936A45">
            <w:pPr>
              <w:rPr>
                <w:rFonts w:ascii="Garamond" w:hAnsi="Garamond"/>
                <w:b/>
                <w:bCs/>
              </w:rPr>
            </w:pPr>
            <w:r>
              <w:rPr>
                <w:rFonts w:ascii="Garamond" w:hAnsi="Garamond"/>
                <w:b/>
                <w:bCs/>
              </w:rPr>
              <w:t>Tidal Inundation Land Cover Analysis Tool and Maps</w:t>
            </w:r>
          </w:p>
        </w:tc>
        <w:tc>
          <w:tcPr>
            <w:tcW w:w="3240" w:type="dxa"/>
            <w:vAlign w:val="center"/>
          </w:tcPr>
          <w:p w14:paraId="05C6772C" w14:textId="4951F942" w:rsidR="001538F2" w:rsidRPr="00EC3694" w:rsidRDefault="00FE175F" w:rsidP="00936A45">
            <w:pPr>
              <w:rPr>
                <w:rFonts w:ascii="Garamond" w:hAnsi="Garamond"/>
              </w:rPr>
            </w:pPr>
            <w:r>
              <w:rPr>
                <w:rFonts w:ascii="Garamond" w:hAnsi="Garamond"/>
              </w:rPr>
              <w:t xml:space="preserve">This tool will allow the end users to obtain more frequent and widescale assessments of tidal inundation along the coast of Central Java. More frequent assessment will enable end users to target areas of </w:t>
            </w:r>
            <w:r w:rsidR="00532434">
              <w:rPr>
                <w:rFonts w:ascii="Garamond" w:hAnsi="Garamond"/>
              </w:rPr>
              <w:t>consistent</w:t>
            </w:r>
            <w:r>
              <w:rPr>
                <w:rFonts w:ascii="Garamond" w:hAnsi="Garamond"/>
              </w:rPr>
              <w:t xml:space="preserve"> inundation for mitigation and evaluate mangrove restoration efforts.</w:t>
            </w:r>
          </w:p>
        </w:tc>
        <w:tc>
          <w:tcPr>
            <w:tcW w:w="2880" w:type="dxa"/>
            <w:vAlign w:val="center"/>
          </w:tcPr>
          <w:p w14:paraId="29D692C0" w14:textId="438D8654" w:rsidR="001538F2" w:rsidRPr="005C6FC1" w:rsidRDefault="00FE175F" w:rsidP="00936A45">
            <w:pPr>
              <w:rPr>
                <w:rFonts w:ascii="Garamond" w:hAnsi="Garamond"/>
              </w:rPr>
            </w:pPr>
            <w:r>
              <w:rPr>
                <w:rFonts w:ascii="Garamond" w:hAnsi="Garamond"/>
              </w:rPr>
              <w:t xml:space="preserve">Data from Sentinel-1 C-SAR and Landsat 8 </w:t>
            </w:r>
            <w:r w:rsidR="00A4062F">
              <w:rPr>
                <w:rFonts w:ascii="Garamond" w:hAnsi="Garamond"/>
              </w:rPr>
              <w:t xml:space="preserve">OLI </w:t>
            </w:r>
            <w:r>
              <w:rPr>
                <w:rFonts w:ascii="Garamond" w:hAnsi="Garamond"/>
              </w:rPr>
              <w:t>will be used in Google Earth Engine to develop land classifications that will display tidal inundation and vegetation along the northern coast of Central Java.</w:t>
            </w:r>
          </w:p>
        </w:tc>
        <w:tc>
          <w:tcPr>
            <w:tcW w:w="1080" w:type="dxa"/>
            <w:vAlign w:val="center"/>
          </w:tcPr>
          <w:p w14:paraId="4B9F2340" w14:textId="0B33B451" w:rsidR="001538F2" w:rsidRPr="005C6FC1" w:rsidRDefault="00384B24" w:rsidP="00936A45">
            <w:pPr>
              <w:rPr>
                <w:rFonts w:ascii="Garamond" w:hAnsi="Garamond"/>
              </w:rPr>
            </w:pPr>
            <w:r>
              <w:rPr>
                <w:rFonts w:ascii="Garamond" w:hAnsi="Garamond"/>
              </w:rPr>
              <w:t>I</w:t>
            </w:r>
            <w:r w:rsidR="0052371E">
              <w:rPr>
                <w:rFonts w:ascii="Garamond" w:hAnsi="Garamond"/>
              </w:rPr>
              <w:t>II</w:t>
            </w:r>
          </w:p>
          <w:p w14:paraId="33182638" w14:textId="4F3A58D3"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2DC32243" w:rsidR="001538F2" w:rsidRPr="008A4B10" w:rsidRDefault="003567C6" w:rsidP="00936A45">
            <w:pPr>
              <w:rPr>
                <w:rFonts w:ascii="Garamond" w:hAnsi="Garamond"/>
                <w:b/>
                <w:bCs/>
              </w:rPr>
            </w:pPr>
            <w:r>
              <w:rPr>
                <w:rFonts w:ascii="Garamond" w:hAnsi="Garamond"/>
                <w:b/>
                <w:bCs/>
              </w:rPr>
              <w:t>Marine Turbidity Estimation Maps</w:t>
            </w:r>
          </w:p>
        </w:tc>
        <w:tc>
          <w:tcPr>
            <w:tcW w:w="3240" w:type="dxa"/>
            <w:vAlign w:val="center"/>
          </w:tcPr>
          <w:p w14:paraId="017926FC" w14:textId="1C44F2D5" w:rsidR="001538F2" w:rsidRPr="005C6FC1" w:rsidRDefault="00A4062F" w:rsidP="00936A45">
            <w:pPr>
              <w:rPr>
                <w:rFonts w:ascii="Garamond" w:hAnsi="Garamond"/>
              </w:rPr>
            </w:pPr>
            <w:r>
              <w:rPr>
                <w:rFonts w:ascii="Garamond" w:hAnsi="Garamond"/>
              </w:rPr>
              <w:t>M</w:t>
            </w:r>
            <w:r w:rsidR="00FE175F">
              <w:rPr>
                <w:rFonts w:ascii="Garamond" w:hAnsi="Garamond"/>
              </w:rPr>
              <w:t xml:space="preserve">aps will allow </w:t>
            </w:r>
            <w:r>
              <w:rPr>
                <w:rFonts w:ascii="Garamond" w:hAnsi="Garamond"/>
              </w:rPr>
              <w:t xml:space="preserve">end users to view variations in marine turbidity due to land subsidence and flooding. Estimation of sediment availability will inform coastal restoration and </w:t>
            </w:r>
            <w:r>
              <w:rPr>
                <w:rFonts w:ascii="Garamond" w:hAnsi="Garamond"/>
              </w:rPr>
              <w:lastRenderedPageBreak/>
              <w:t>conservation of ecosystems sensitive to turbidity.</w:t>
            </w:r>
          </w:p>
        </w:tc>
        <w:tc>
          <w:tcPr>
            <w:tcW w:w="2880" w:type="dxa"/>
            <w:vAlign w:val="center"/>
          </w:tcPr>
          <w:p w14:paraId="1FD94241" w14:textId="12A42962" w:rsidR="001538F2" w:rsidRPr="005C6FC1" w:rsidRDefault="00A4062F" w:rsidP="00936A45">
            <w:pPr>
              <w:rPr>
                <w:rFonts w:ascii="Garamond" w:hAnsi="Garamond"/>
              </w:rPr>
            </w:pPr>
            <w:r>
              <w:rPr>
                <w:rFonts w:ascii="Garamond" w:hAnsi="Garamond"/>
              </w:rPr>
              <w:lastRenderedPageBreak/>
              <w:t>Data from Landsat 8 OLI, Aqua MODIS, and Terra MODIS</w:t>
            </w:r>
            <w:r w:rsidR="00892AE1">
              <w:rPr>
                <w:rFonts w:ascii="Garamond" w:hAnsi="Garamond"/>
              </w:rPr>
              <w:t xml:space="preserve"> will be processed using an algorithm generated from </w:t>
            </w:r>
            <w:r w:rsidR="00892AE1" w:rsidRPr="0052371E">
              <w:rPr>
                <w:rFonts w:ascii="Garamond" w:hAnsi="Garamond"/>
                <w:i/>
              </w:rPr>
              <w:t>in situ</w:t>
            </w:r>
            <w:r w:rsidR="00892AE1">
              <w:rPr>
                <w:rFonts w:ascii="Garamond" w:hAnsi="Garamond"/>
              </w:rPr>
              <w:t xml:space="preserve"> turbidity data to create maps that will display </w:t>
            </w:r>
            <w:r w:rsidR="00892AE1">
              <w:rPr>
                <w:rFonts w:ascii="Garamond" w:hAnsi="Garamond"/>
              </w:rPr>
              <w:lastRenderedPageBreak/>
              <w:t>turbidity for selected dates within the study period.</w:t>
            </w:r>
          </w:p>
        </w:tc>
        <w:tc>
          <w:tcPr>
            <w:tcW w:w="1080" w:type="dxa"/>
            <w:vAlign w:val="center"/>
          </w:tcPr>
          <w:p w14:paraId="6CCF6DA3" w14:textId="0C6E7344" w:rsidR="001538F2" w:rsidRPr="005C6FC1" w:rsidRDefault="00791391" w:rsidP="00936A45">
            <w:pPr>
              <w:rPr>
                <w:rFonts w:ascii="Garamond" w:hAnsi="Garamond"/>
              </w:rPr>
            </w:pPr>
            <w:r>
              <w:rPr>
                <w:rFonts w:ascii="Garamond" w:hAnsi="Garamond"/>
              </w:rPr>
              <w:lastRenderedPageBreak/>
              <w:t>I</w:t>
            </w:r>
          </w:p>
        </w:tc>
      </w:tr>
    </w:tbl>
    <w:p w14:paraId="66FBE966" w14:textId="77777777" w:rsidR="00073224" w:rsidRPr="00936A45" w:rsidRDefault="00073224" w:rsidP="00073224"/>
    <w:p w14:paraId="6935E02B" w14:textId="4E0FC7F0" w:rsidR="000F76DA" w:rsidRDefault="000F76DA" w:rsidP="00C72F1A">
      <w:pPr>
        <w:rPr>
          <w:sz w:val="20"/>
          <w:szCs w:val="20"/>
        </w:rPr>
      </w:pPr>
      <w:r w:rsidRPr="00EC3694">
        <w:rPr>
          <w:b/>
          <w:i/>
          <w:sz w:val="20"/>
          <w:szCs w:val="20"/>
        </w:rPr>
        <w:t>End-User Benefit</w:t>
      </w:r>
      <w:r w:rsidRPr="00EC3694">
        <w:rPr>
          <w:b/>
          <w:sz w:val="20"/>
          <w:szCs w:val="20"/>
        </w:rPr>
        <w:t>:</w:t>
      </w:r>
      <w:r w:rsidR="00DA35F1">
        <w:rPr>
          <w:sz w:val="20"/>
          <w:szCs w:val="20"/>
        </w:rPr>
        <w:t xml:space="preserve"> </w:t>
      </w:r>
      <w:r w:rsidR="00DA35F1">
        <w:rPr>
          <w:rFonts w:ascii="Garamond" w:hAnsi="Garamond"/>
        </w:rPr>
        <w:t xml:space="preserve">The team’s products will assist end users with ongoing efforts to assess tidal inundation and its effects on populated areas </w:t>
      </w:r>
      <w:r w:rsidR="001E20F8">
        <w:rPr>
          <w:rFonts w:ascii="Garamond" w:hAnsi="Garamond"/>
        </w:rPr>
        <w:t xml:space="preserve">and neighboring marine ecosystems. Methods and maps created throughout the term will serve as the basis of a greater effort to use satellite remote sensing to save time and resources typically associated with </w:t>
      </w:r>
      <w:r w:rsidR="00C9099D">
        <w:rPr>
          <w:rFonts w:ascii="Garamond" w:hAnsi="Garamond"/>
        </w:rPr>
        <w:t>field</w:t>
      </w:r>
      <w:r w:rsidR="001E20F8">
        <w:rPr>
          <w:rFonts w:ascii="Garamond" w:hAnsi="Garamond"/>
        </w:rPr>
        <w:t xml:space="preserve"> environmental monitoring.</w:t>
      </w:r>
      <w:r w:rsidR="00C9099D">
        <w:rPr>
          <w:rFonts w:ascii="Garamond" w:hAnsi="Garamond"/>
        </w:rPr>
        <w:t xml:space="preserve"> Turbidity maps will also provide insight </w:t>
      </w:r>
      <w:r w:rsidR="00F06AF4">
        <w:rPr>
          <w:rFonts w:ascii="Garamond" w:hAnsi="Garamond"/>
        </w:rPr>
        <w:t xml:space="preserve">into </w:t>
      </w:r>
      <w:r w:rsidR="00C9099D">
        <w:rPr>
          <w:rFonts w:ascii="Garamond" w:hAnsi="Garamond"/>
        </w:rPr>
        <w:t>sedimentation potential</w:t>
      </w:r>
      <w:r w:rsidR="002E5D29">
        <w:rPr>
          <w:rFonts w:ascii="Garamond" w:hAnsi="Garamond"/>
        </w:rPr>
        <w:t>,</w:t>
      </w:r>
      <w:r w:rsidR="00C9099D">
        <w:rPr>
          <w:rFonts w:ascii="Garamond" w:hAnsi="Garamond"/>
        </w:rPr>
        <w:t xml:space="preserve"> which is vital for land restoration. Overall, using Earth observations to scale up environmental monitoring to the regional level will help end users unify management and research practices across Central Java’s northern coast.</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9BB5CE1"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3A6B21">
        <w:rPr>
          <w:rFonts w:ascii="Garamond" w:hAnsi="Garamond"/>
        </w:rPr>
        <w:t>2019 Fall</w:t>
      </w:r>
    </w:p>
    <w:p w14:paraId="28EC9957" w14:textId="77777777" w:rsidR="00272CD9" w:rsidRDefault="00272CD9" w:rsidP="003A6B21">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E5BF084" w14:textId="72E08CC4" w:rsidR="00B44DAC" w:rsidRDefault="00B44DAC">
      <w:pPr>
        <w:ind w:left="720" w:hanging="720"/>
        <w:rPr>
          <w:rFonts w:ascii="Garamond" w:hAnsi="Garamond"/>
        </w:rPr>
      </w:pPr>
      <w:r>
        <w:rPr>
          <w:rFonts w:ascii="Garamond" w:hAnsi="Garamond"/>
        </w:rPr>
        <w:t>2019 Spring</w:t>
      </w:r>
      <w:r w:rsidRPr="005C6FC1">
        <w:rPr>
          <w:rFonts w:ascii="Garamond" w:hAnsi="Garamond"/>
        </w:rPr>
        <w:t xml:space="preserve"> (</w:t>
      </w:r>
      <w:r>
        <w:rPr>
          <w:rFonts w:ascii="Garamond" w:hAnsi="Garamond"/>
        </w:rPr>
        <w:t>AZ</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 xml:space="preserve">Lake Ontario Disasters: </w:t>
      </w:r>
      <w:r w:rsidRPr="00D36C01">
        <w:rPr>
          <w:rFonts w:ascii="Garamond" w:hAnsi="Garamond"/>
        </w:rPr>
        <w:t>Employing NASA Earth Observations in the Greater Toronto Area to Improve Flood Preparedness for Coastal Communities</w:t>
      </w:r>
    </w:p>
    <w:p w14:paraId="3BF402A4" w14:textId="2C275E16" w:rsidR="0073702A" w:rsidRPr="005C6FC1" w:rsidRDefault="0089060E" w:rsidP="00D36C01">
      <w:pPr>
        <w:ind w:left="720" w:hanging="720"/>
        <w:rPr>
          <w:rFonts w:ascii="Garamond" w:hAnsi="Garamond"/>
        </w:rPr>
      </w:pPr>
      <w:r>
        <w:rPr>
          <w:rFonts w:ascii="Garamond" w:hAnsi="Garamond"/>
        </w:rPr>
        <w:t>2018 Summer</w:t>
      </w:r>
      <w:r w:rsidR="0073702A" w:rsidRPr="005C6FC1">
        <w:rPr>
          <w:rFonts w:ascii="Garamond" w:hAnsi="Garamond"/>
        </w:rPr>
        <w:t xml:space="preserve"> </w:t>
      </w:r>
      <w:r w:rsidR="00D36C01">
        <w:rPr>
          <w:rFonts w:ascii="Garamond" w:hAnsi="Garamond"/>
        </w:rPr>
        <w:t>(</w:t>
      </w:r>
      <w:r>
        <w:rPr>
          <w:rFonts w:ascii="Garamond" w:hAnsi="Garamond"/>
        </w:rPr>
        <w:t>AL</w:t>
      </w:r>
      <w:r w:rsidR="00D36C01">
        <w:rPr>
          <w:rFonts w:ascii="Garamond" w:hAnsi="Garamond"/>
        </w:rPr>
        <w:t>)</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New Orleans Urban Development</w:t>
      </w:r>
      <w:r w:rsidR="0073702A">
        <w:rPr>
          <w:rFonts w:ascii="Garamond" w:hAnsi="Garamond"/>
        </w:rPr>
        <w:t xml:space="preserve">: </w:t>
      </w:r>
      <w:r w:rsidR="00D36C01" w:rsidRPr="00D36C01">
        <w:rPr>
          <w:rFonts w:ascii="Garamond" w:hAnsi="Garamond"/>
        </w:rPr>
        <w:t>Utilizing Earth Observations to Assist Groundwork New Orleans to Reduce Flood Vulnerability in New Orleans, Louisiana, Metropolitan Area</w:t>
      </w:r>
    </w:p>
    <w:p w14:paraId="1B16325C" w14:textId="1F38F763" w:rsidR="0073702A" w:rsidRDefault="00D36C01" w:rsidP="00D36C01">
      <w:pPr>
        <w:ind w:left="720" w:hanging="720"/>
        <w:rPr>
          <w:rFonts w:ascii="Garamond" w:hAnsi="Garamond"/>
        </w:rPr>
      </w:pPr>
      <w:r>
        <w:rPr>
          <w:rFonts w:ascii="Garamond" w:hAnsi="Garamond"/>
        </w:rPr>
        <w:t>2018 Summer (MA)</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Plum Island Estuary Water Resources II</w:t>
      </w:r>
      <w:r w:rsidR="0073702A">
        <w:rPr>
          <w:rFonts w:ascii="Garamond" w:hAnsi="Garamond"/>
        </w:rPr>
        <w:t xml:space="preserve">: </w:t>
      </w:r>
      <w:r w:rsidRPr="00D36C01">
        <w:rPr>
          <w:rFonts w:ascii="Garamond" w:hAnsi="Garamond"/>
        </w:rPr>
        <w:t>Employing Remote Sensing Techniques to Quantify Sediment Supply and Evaluate Marsh Vulnerability in the Plum Island Estuary</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01636FBE"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D36C01">
        <w:rPr>
          <w:rFonts w:ascii="Garamond" w:hAnsi="Garamond"/>
        </w:rPr>
        <w:t xml:space="preserve">The project has additional support from professors and graduate students within the Boston University Center for Remote Sensing. This support will provide </w:t>
      </w:r>
      <w:r w:rsidR="00CE22EA">
        <w:rPr>
          <w:rFonts w:ascii="Garamond" w:hAnsi="Garamond"/>
        </w:rPr>
        <w:t>the team</w:t>
      </w:r>
      <w:r w:rsidR="00D36C01">
        <w:rPr>
          <w:rFonts w:ascii="Garamond" w:hAnsi="Garamond"/>
        </w:rPr>
        <w:t xml:space="preserve"> with additional advising (if necessary) and access to relevant BU datasets.</w:t>
      </w:r>
    </w:p>
    <w:p w14:paraId="53461EA2" w14:textId="77777777" w:rsidR="00272CD9" w:rsidRPr="00936A45" w:rsidRDefault="00272CD9" w:rsidP="003D2EDF"/>
    <w:p w14:paraId="3468447F" w14:textId="5CD75661" w:rsidR="00364F6D" w:rsidRPr="00BD6578" w:rsidRDefault="00272CD9" w:rsidP="003D2EDF">
      <w:pPr>
        <w:rPr>
          <w:sz w:val="20"/>
          <w:szCs w:val="20"/>
        </w:rPr>
      </w:pPr>
      <w:r w:rsidRPr="00EC3694">
        <w:rPr>
          <w:b/>
          <w:i/>
          <w:sz w:val="20"/>
          <w:szCs w:val="20"/>
        </w:rPr>
        <w:t>References:</w:t>
      </w:r>
    </w:p>
    <w:p w14:paraId="25E4F1DE" w14:textId="2034F4D6" w:rsidR="00BD6578" w:rsidRPr="00902F9E" w:rsidRDefault="00BD6578" w:rsidP="0052371E">
      <w:pPr>
        <w:ind w:left="720" w:hanging="720"/>
        <w:contextualSpacing/>
        <w:rPr>
          <w:rFonts w:ascii="Garamond" w:hAnsi="Garamond"/>
        </w:rPr>
      </w:pPr>
      <w:r w:rsidRPr="00BD6578">
        <w:rPr>
          <w:rFonts w:ascii="Garamond" w:hAnsi="Garamond"/>
        </w:rPr>
        <w:t>Damastuti,</w:t>
      </w:r>
      <w:r w:rsidR="00B44DAC">
        <w:rPr>
          <w:rFonts w:ascii="Garamond" w:hAnsi="Garamond"/>
        </w:rPr>
        <w:t xml:space="preserve"> E.,</w:t>
      </w:r>
      <w:r w:rsidRPr="00BD6578">
        <w:rPr>
          <w:rFonts w:ascii="Garamond" w:hAnsi="Garamond"/>
        </w:rPr>
        <w:t xml:space="preserve"> &amp; </w:t>
      </w:r>
      <w:r w:rsidR="00B44DAC">
        <w:rPr>
          <w:rFonts w:ascii="Garamond" w:hAnsi="Garamond"/>
        </w:rPr>
        <w:t xml:space="preserve">de </w:t>
      </w:r>
      <w:r w:rsidRPr="00BD6578">
        <w:rPr>
          <w:rFonts w:ascii="Garamond" w:hAnsi="Garamond"/>
        </w:rPr>
        <w:t>Groot</w:t>
      </w:r>
      <w:r w:rsidR="00B44DAC">
        <w:rPr>
          <w:rFonts w:ascii="Garamond" w:hAnsi="Garamond"/>
        </w:rPr>
        <w:t>, R</w:t>
      </w:r>
      <w:r w:rsidRPr="00BD6578">
        <w:rPr>
          <w:rFonts w:ascii="Garamond" w:hAnsi="Garamond"/>
        </w:rPr>
        <w:t>. (2017). Effectiveness of community-based mangrove management for sustainable</w:t>
      </w:r>
      <w:r w:rsidR="00B44DAC">
        <w:rPr>
          <w:rFonts w:ascii="Garamond" w:hAnsi="Garamond"/>
        </w:rPr>
        <w:t xml:space="preserve"> </w:t>
      </w:r>
      <w:r w:rsidRPr="00BD6578">
        <w:rPr>
          <w:rFonts w:ascii="Garamond" w:hAnsi="Garamond"/>
        </w:rPr>
        <w:t>resource use and livelihood support: A case study of four villages in Central Java, Indonesia. </w:t>
      </w:r>
      <w:r w:rsidRPr="00BD6578">
        <w:rPr>
          <w:rFonts w:ascii="Garamond" w:hAnsi="Garamond"/>
          <w:i/>
          <w:iCs/>
        </w:rPr>
        <w:t>Journal of</w:t>
      </w:r>
      <w:r w:rsidR="00B44DAC">
        <w:rPr>
          <w:rFonts w:ascii="Garamond" w:hAnsi="Garamond"/>
          <w:i/>
          <w:iCs/>
        </w:rPr>
        <w:t xml:space="preserve"> </w:t>
      </w:r>
      <w:r w:rsidRPr="00BD6578">
        <w:rPr>
          <w:rFonts w:ascii="Garamond" w:hAnsi="Garamond"/>
          <w:i/>
          <w:iCs/>
        </w:rPr>
        <w:t>Environmental Management,</w:t>
      </w:r>
      <w:r w:rsidRPr="00BD6578">
        <w:rPr>
          <w:rFonts w:ascii="Garamond" w:hAnsi="Garamond"/>
        </w:rPr>
        <w:t> </w:t>
      </w:r>
      <w:r w:rsidRPr="00BD6578">
        <w:rPr>
          <w:rFonts w:ascii="Garamond" w:hAnsi="Garamond"/>
          <w:i/>
          <w:iCs/>
        </w:rPr>
        <w:t>203</w:t>
      </w:r>
      <w:r w:rsidRPr="00BD6578">
        <w:rPr>
          <w:rFonts w:ascii="Garamond" w:hAnsi="Garamond"/>
        </w:rPr>
        <w:t>(1), 510-521.</w:t>
      </w:r>
      <w:r w:rsidR="00B44DAC">
        <w:rPr>
          <w:rFonts w:ascii="Garamond" w:hAnsi="Garamond"/>
        </w:rPr>
        <w:t xml:space="preserve"> </w:t>
      </w:r>
      <w:hyperlink r:id="rId9" w:history="1">
        <w:r w:rsidR="00902F9E" w:rsidRPr="0052371E">
          <w:rPr>
            <w:rStyle w:val="Hyperlink"/>
            <w:rFonts w:ascii="Garamond" w:hAnsi="Garamond"/>
            <w:color w:val="auto"/>
            <w:u w:val="none"/>
          </w:rPr>
          <w:t>https://doi.org/10.1016/j.jenvman.2017.07.025</w:t>
        </w:r>
      </w:hyperlink>
      <w:r w:rsidR="00902F9E" w:rsidRPr="0052371E">
        <w:rPr>
          <w:rFonts w:ascii="Garamond" w:hAnsi="Garamond"/>
        </w:rPr>
        <w:t xml:space="preserve"> </w:t>
      </w:r>
      <w:r w:rsidR="00B44DAC" w:rsidRPr="00902F9E">
        <w:rPr>
          <w:rFonts w:ascii="Garamond" w:hAnsi="Garamond"/>
        </w:rPr>
        <w:t xml:space="preserve"> </w:t>
      </w:r>
    </w:p>
    <w:p w14:paraId="01CC0047" w14:textId="77777777" w:rsidR="00BD6578" w:rsidRPr="00902F9E" w:rsidRDefault="00BD6578" w:rsidP="00364F6D">
      <w:pPr>
        <w:rPr>
          <w:rFonts w:ascii="Garamond" w:hAnsi="Garamond"/>
        </w:rPr>
      </w:pPr>
    </w:p>
    <w:p w14:paraId="06486FFE" w14:textId="1D0F1AE4" w:rsidR="00364F6D" w:rsidRPr="00364F6D" w:rsidRDefault="00364F6D" w:rsidP="0052371E">
      <w:pPr>
        <w:ind w:left="720" w:hanging="720"/>
        <w:rPr>
          <w:rFonts w:ascii="Garamond" w:hAnsi="Garamond"/>
        </w:rPr>
      </w:pPr>
      <w:r w:rsidRPr="00902F9E">
        <w:rPr>
          <w:rFonts w:ascii="Garamond" w:hAnsi="Garamond"/>
        </w:rPr>
        <w:t>Marfai, M.</w:t>
      </w:r>
      <w:r w:rsidR="00B44DAC" w:rsidRPr="00902F9E">
        <w:rPr>
          <w:rFonts w:ascii="Garamond" w:hAnsi="Garamond"/>
        </w:rPr>
        <w:t xml:space="preserve"> A.</w:t>
      </w:r>
      <w:r w:rsidRPr="00902F9E">
        <w:rPr>
          <w:rFonts w:ascii="Garamond" w:hAnsi="Garamond"/>
        </w:rPr>
        <w:t xml:space="preserve">, King, </w:t>
      </w:r>
      <w:r w:rsidR="00B44DAC" w:rsidRPr="00902F9E">
        <w:rPr>
          <w:rFonts w:ascii="Garamond" w:hAnsi="Garamond"/>
        </w:rPr>
        <w:t>L</w:t>
      </w:r>
      <w:r w:rsidRPr="00902F9E">
        <w:rPr>
          <w:rFonts w:ascii="Garamond" w:hAnsi="Garamond"/>
        </w:rPr>
        <w:t>., Singh, L.</w:t>
      </w:r>
      <w:r w:rsidR="00B44DAC" w:rsidRPr="00902F9E">
        <w:rPr>
          <w:rFonts w:ascii="Garamond" w:hAnsi="Garamond"/>
        </w:rPr>
        <w:t xml:space="preserve"> P.</w:t>
      </w:r>
      <w:r w:rsidRPr="00902F9E">
        <w:rPr>
          <w:rFonts w:ascii="Garamond" w:hAnsi="Garamond"/>
        </w:rPr>
        <w:t>, Mardiatno, L.</w:t>
      </w:r>
      <w:r w:rsidR="00B44DAC" w:rsidRPr="00902F9E">
        <w:rPr>
          <w:rFonts w:ascii="Garamond" w:hAnsi="Garamond"/>
        </w:rPr>
        <w:t xml:space="preserve"> D.</w:t>
      </w:r>
      <w:r w:rsidRPr="00902F9E">
        <w:rPr>
          <w:rFonts w:ascii="Garamond" w:hAnsi="Garamond"/>
        </w:rPr>
        <w:t xml:space="preserve">, Sartohadi, </w:t>
      </w:r>
      <w:r w:rsidR="00B44DAC" w:rsidRPr="00902F9E">
        <w:rPr>
          <w:rFonts w:ascii="Garamond" w:hAnsi="Garamond"/>
        </w:rPr>
        <w:t>J</w:t>
      </w:r>
      <w:r w:rsidRPr="00902F9E">
        <w:rPr>
          <w:rFonts w:ascii="Garamond" w:hAnsi="Garamond"/>
        </w:rPr>
        <w:t>., Hadmoko, D.</w:t>
      </w:r>
      <w:r w:rsidR="00B44DAC" w:rsidRPr="00902F9E">
        <w:rPr>
          <w:rFonts w:ascii="Garamond" w:hAnsi="Garamond"/>
        </w:rPr>
        <w:t xml:space="preserve"> S.</w:t>
      </w:r>
      <w:r w:rsidRPr="00902F9E">
        <w:rPr>
          <w:rFonts w:ascii="Garamond" w:hAnsi="Garamond"/>
        </w:rPr>
        <w:t xml:space="preserve">, &amp; Dewi, </w:t>
      </w:r>
      <w:r w:rsidR="00B44DAC" w:rsidRPr="00902F9E">
        <w:rPr>
          <w:rFonts w:ascii="Garamond" w:hAnsi="Garamond"/>
        </w:rPr>
        <w:t>A</w:t>
      </w:r>
      <w:r w:rsidRPr="00902F9E">
        <w:rPr>
          <w:rFonts w:ascii="Garamond" w:hAnsi="Garamond"/>
        </w:rPr>
        <w:t>. (2008). Natural</w:t>
      </w:r>
      <w:r w:rsidR="00B44DAC" w:rsidRPr="00902F9E">
        <w:rPr>
          <w:rFonts w:ascii="Garamond" w:hAnsi="Garamond"/>
        </w:rPr>
        <w:t xml:space="preserve"> </w:t>
      </w:r>
      <w:r w:rsidRPr="00902F9E">
        <w:rPr>
          <w:rFonts w:ascii="Garamond" w:hAnsi="Garamond"/>
        </w:rPr>
        <w:t>hazards in Central Java Province, Indonesia: An overview. </w:t>
      </w:r>
      <w:r w:rsidRPr="00902F9E">
        <w:rPr>
          <w:rFonts w:ascii="Garamond" w:hAnsi="Garamond"/>
          <w:i/>
          <w:iCs/>
        </w:rPr>
        <w:t>Environmental Geology,</w:t>
      </w:r>
      <w:r w:rsidRPr="00902F9E">
        <w:rPr>
          <w:rFonts w:ascii="Garamond" w:hAnsi="Garamond"/>
        </w:rPr>
        <w:t> </w:t>
      </w:r>
      <w:r w:rsidRPr="00902F9E">
        <w:rPr>
          <w:rFonts w:ascii="Garamond" w:hAnsi="Garamond"/>
          <w:i/>
          <w:iCs/>
        </w:rPr>
        <w:t>56</w:t>
      </w:r>
      <w:r w:rsidRPr="00902F9E">
        <w:rPr>
          <w:rFonts w:ascii="Garamond" w:hAnsi="Garamond"/>
        </w:rPr>
        <w:t>(2), 335-351.</w:t>
      </w:r>
      <w:r w:rsidR="002C2197" w:rsidRPr="00902F9E">
        <w:rPr>
          <w:rFonts w:ascii="Garamond" w:hAnsi="Garamond"/>
        </w:rPr>
        <w:t xml:space="preserve"> </w:t>
      </w:r>
      <w:hyperlink r:id="rId10" w:history="1">
        <w:r w:rsidR="00902F9E" w:rsidRPr="0052371E">
          <w:rPr>
            <w:rStyle w:val="Hyperlink"/>
            <w:rFonts w:ascii="Garamond" w:hAnsi="Garamond"/>
            <w:color w:val="auto"/>
            <w:u w:val="none"/>
          </w:rPr>
          <w:t>https://doi.org/10.1007/s00254-007-1169-9</w:t>
        </w:r>
      </w:hyperlink>
      <w:r w:rsidR="00902F9E">
        <w:t xml:space="preserve"> </w:t>
      </w:r>
      <w:r w:rsidR="002C2197">
        <w:rPr>
          <w:rFonts w:ascii="Garamond" w:hAnsi="Garamond"/>
        </w:rPr>
        <w:t xml:space="preserve"> </w:t>
      </w:r>
    </w:p>
    <w:p w14:paraId="0B613EF7" w14:textId="77777777" w:rsidR="00364F6D" w:rsidRPr="005C6FC1" w:rsidRDefault="00364F6D" w:rsidP="003D2EDF">
      <w:pPr>
        <w:rPr>
          <w:rFonts w:ascii="Garamond" w:hAnsi="Garamond"/>
        </w:rPr>
      </w:pPr>
    </w:p>
    <w:p w14:paraId="453F4E0F" w14:textId="77777777" w:rsidR="00B44DAC" w:rsidRDefault="00B44DAC" w:rsidP="00B44DAC">
      <w:pPr>
        <w:rPr>
          <w:rFonts w:ascii="Garamond" w:hAnsi="Garamond"/>
        </w:rPr>
      </w:pPr>
      <w:r w:rsidRPr="00BD6578">
        <w:rPr>
          <w:rFonts w:ascii="Garamond" w:hAnsi="Garamond"/>
        </w:rPr>
        <w:t>Susiatiningsih,</w:t>
      </w:r>
      <w:r>
        <w:rPr>
          <w:rFonts w:ascii="Garamond" w:hAnsi="Garamond"/>
        </w:rPr>
        <w:t xml:space="preserve"> H.,</w:t>
      </w:r>
      <w:r w:rsidRPr="00BD6578">
        <w:rPr>
          <w:rFonts w:ascii="Garamond" w:hAnsi="Garamond"/>
        </w:rPr>
        <w:t xml:space="preserve"> Farabi,</w:t>
      </w:r>
      <w:r>
        <w:rPr>
          <w:rFonts w:ascii="Garamond" w:hAnsi="Garamond"/>
        </w:rPr>
        <w:t xml:space="preserve"> N.,</w:t>
      </w:r>
      <w:r w:rsidRPr="00BD6578">
        <w:rPr>
          <w:rFonts w:ascii="Garamond" w:hAnsi="Garamond"/>
        </w:rPr>
        <w:t xml:space="preserve"> &amp;</w:t>
      </w:r>
      <w:r>
        <w:rPr>
          <w:rFonts w:ascii="Garamond" w:hAnsi="Garamond"/>
        </w:rPr>
        <w:t xml:space="preserve"> </w:t>
      </w:r>
      <w:r w:rsidRPr="00BD6578">
        <w:rPr>
          <w:rFonts w:ascii="Garamond" w:hAnsi="Garamond"/>
        </w:rPr>
        <w:t>Paramasatya</w:t>
      </w:r>
      <w:r>
        <w:rPr>
          <w:rFonts w:ascii="Garamond" w:hAnsi="Garamond"/>
        </w:rPr>
        <w:t>, S</w:t>
      </w:r>
      <w:r w:rsidRPr="00BD6578">
        <w:rPr>
          <w:rFonts w:ascii="Garamond" w:hAnsi="Garamond"/>
        </w:rPr>
        <w:t xml:space="preserve">. (2018). Semarang City's </w:t>
      </w:r>
      <w:r>
        <w:rPr>
          <w:rFonts w:ascii="Garamond" w:hAnsi="Garamond"/>
        </w:rPr>
        <w:t>f</w:t>
      </w:r>
      <w:r w:rsidRPr="00BD6578">
        <w:rPr>
          <w:rFonts w:ascii="Garamond" w:hAnsi="Garamond"/>
        </w:rPr>
        <w:t xml:space="preserve">lood </w:t>
      </w:r>
      <w:r>
        <w:rPr>
          <w:rFonts w:ascii="Garamond" w:hAnsi="Garamond"/>
        </w:rPr>
        <w:t>r</w:t>
      </w:r>
      <w:r w:rsidRPr="00BD6578">
        <w:rPr>
          <w:rFonts w:ascii="Garamond" w:hAnsi="Garamond"/>
        </w:rPr>
        <w:t xml:space="preserve">isk: A </w:t>
      </w:r>
      <w:r>
        <w:rPr>
          <w:rFonts w:ascii="Garamond" w:hAnsi="Garamond"/>
        </w:rPr>
        <w:t>t</w:t>
      </w:r>
      <w:r w:rsidRPr="00BD6578">
        <w:rPr>
          <w:rFonts w:ascii="Garamond" w:hAnsi="Garamond"/>
        </w:rPr>
        <w:t>hreat</w:t>
      </w:r>
    </w:p>
    <w:p w14:paraId="28A27AE8" w14:textId="77777777" w:rsidR="00B44DAC" w:rsidRPr="00BD6578" w:rsidRDefault="00B44DAC" w:rsidP="00B44DAC">
      <w:pPr>
        <w:ind w:firstLine="720"/>
        <w:rPr>
          <w:rFonts w:ascii="Garamond" w:hAnsi="Garamond"/>
        </w:rPr>
      </w:pPr>
      <w:r w:rsidRPr="00BD6578">
        <w:rPr>
          <w:rFonts w:ascii="Garamond" w:hAnsi="Garamond"/>
        </w:rPr>
        <w:t xml:space="preserve">to </w:t>
      </w:r>
      <w:r>
        <w:rPr>
          <w:rFonts w:ascii="Garamond" w:hAnsi="Garamond"/>
        </w:rPr>
        <w:t>h</w:t>
      </w:r>
      <w:r w:rsidRPr="00BD6578">
        <w:rPr>
          <w:rFonts w:ascii="Garamond" w:hAnsi="Garamond"/>
        </w:rPr>
        <w:t xml:space="preserve">uman </w:t>
      </w:r>
      <w:r>
        <w:rPr>
          <w:rFonts w:ascii="Garamond" w:hAnsi="Garamond"/>
        </w:rPr>
        <w:t>s</w:t>
      </w:r>
      <w:r w:rsidRPr="00BD6578">
        <w:rPr>
          <w:rFonts w:ascii="Garamond" w:hAnsi="Garamond"/>
        </w:rPr>
        <w:t>ecurity. </w:t>
      </w:r>
      <w:r w:rsidRPr="00BD6578">
        <w:rPr>
          <w:rFonts w:ascii="Garamond" w:hAnsi="Garamond"/>
          <w:i/>
          <w:iCs/>
        </w:rPr>
        <w:t>E3S Web of Conferences,</w:t>
      </w:r>
      <w:r w:rsidRPr="00BD6578">
        <w:rPr>
          <w:rFonts w:ascii="Garamond" w:hAnsi="Garamond"/>
        </w:rPr>
        <w:t> </w:t>
      </w:r>
      <w:r w:rsidRPr="00BD6578">
        <w:rPr>
          <w:rFonts w:ascii="Garamond" w:hAnsi="Garamond"/>
          <w:i/>
          <w:iCs/>
        </w:rPr>
        <w:t>73</w:t>
      </w:r>
      <w:r w:rsidRPr="00BD6578">
        <w:rPr>
          <w:rFonts w:ascii="Garamond" w:hAnsi="Garamond"/>
        </w:rPr>
        <w:t>, 08027.</w:t>
      </w:r>
      <w:r>
        <w:rPr>
          <w:rFonts w:ascii="Garamond" w:hAnsi="Garamond"/>
        </w:rPr>
        <w:t xml:space="preserve"> </w:t>
      </w:r>
      <w:r w:rsidRPr="00BA3EB2">
        <w:rPr>
          <w:rFonts w:ascii="Garamond" w:hAnsi="Garamond"/>
        </w:rPr>
        <w:t>https://doi.org/10.1051/e3sconf/20187308027</w:t>
      </w:r>
      <w:r>
        <w:rPr>
          <w:rFonts w:ascii="Garamond" w:hAnsi="Garamond"/>
        </w:rPr>
        <w:t xml:space="preserve"> </w:t>
      </w:r>
    </w:p>
    <w:p w14:paraId="79042E6C" w14:textId="70C7C438" w:rsidR="00213EC2" w:rsidRPr="00CD0433" w:rsidRDefault="00213EC2">
      <w:pPr>
        <w:rPr>
          <w:sz w:val="20"/>
          <w:szCs w:val="20"/>
        </w:rPr>
      </w:pPr>
    </w:p>
    <w:sectPr w:rsidR="00213EC2"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rwUA6AmjWywAAAA="/>
  </w:docVars>
  <w:rsids>
    <w:rsidRoot w:val="007B73F9"/>
    <w:rsid w:val="0001261B"/>
    <w:rsid w:val="00014585"/>
    <w:rsid w:val="00020050"/>
    <w:rsid w:val="000263DE"/>
    <w:rsid w:val="00031A6C"/>
    <w:rsid w:val="00073224"/>
    <w:rsid w:val="00075708"/>
    <w:rsid w:val="00083793"/>
    <w:rsid w:val="00094922"/>
    <w:rsid w:val="00095D93"/>
    <w:rsid w:val="000D7963"/>
    <w:rsid w:val="000E3C1F"/>
    <w:rsid w:val="000E4025"/>
    <w:rsid w:val="000F487D"/>
    <w:rsid w:val="000F76DA"/>
    <w:rsid w:val="00101BBE"/>
    <w:rsid w:val="00107706"/>
    <w:rsid w:val="00123B69"/>
    <w:rsid w:val="00134C6A"/>
    <w:rsid w:val="001538F2"/>
    <w:rsid w:val="00164AAB"/>
    <w:rsid w:val="001976DA"/>
    <w:rsid w:val="001A2ECC"/>
    <w:rsid w:val="001D1B19"/>
    <w:rsid w:val="001E20F8"/>
    <w:rsid w:val="001E5271"/>
    <w:rsid w:val="002046C4"/>
    <w:rsid w:val="00213EC2"/>
    <w:rsid w:val="002222A4"/>
    <w:rsid w:val="0022612D"/>
    <w:rsid w:val="00227218"/>
    <w:rsid w:val="0023408F"/>
    <w:rsid w:val="002723FD"/>
    <w:rsid w:val="00272CD9"/>
    <w:rsid w:val="00273BD3"/>
    <w:rsid w:val="00276572"/>
    <w:rsid w:val="00285042"/>
    <w:rsid w:val="00290705"/>
    <w:rsid w:val="002A561E"/>
    <w:rsid w:val="002B6846"/>
    <w:rsid w:val="002C0907"/>
    <w:rsid w:val="002C2197"/>
    <w:rsid w:val="002C501D"/>
    <w:rsid w:val="002D6CAD"/>
    <w:rsid w:val="002E2D9E"/>
    <w:rsid w:val="002E5D29"/>
    <w:rsid w:val="00302E59"/>
    <w:rsid w:val="003347A7"/>
    <w:rsid w:val="00334B0C"/>
    <w:rsid w:val="00347670"/>
    <w:rsid w:val="00353F4B"/>
    <w:rsid w:val="003567C6"/>
    <w:rsid w:val="00362915"/>
    <w:rsid w:val="00364F6D"/>
    <w:rsid w:val="003713C6"/>
    <w:rsid w:val="00371A66"/>
    <w:rsid w:val="00376CB8"/>
    <w:rsid w:val="00384B24"/>
    <w:rsid w:val="003A3CDA"/>
    <w:rsid w:val="003A6B21"/>
    <w:rsid w:val="003B54D0"/>
    <w:rsid w:val="003C28CD"/>
    <w:rsid w:val="003D2EDF"/>
    <w:rsid w:val="003F2206"/>
    <w:rsid w:val="00415767"/>
    <w:rsid w:val="00416184"/>
    <w:rsid w:val="0041686A"/>
    <w:rsid w:val="004228B2"/>
    <w:rsid w:val="0043213A"/>
    <w:rsid w:val="00453F48"/>
    <w:rsid w:val="00461AA0"/>
    <w:rsid w:val="00467737"/>
    <w:rsid w:val="00476EA1"/>
    <w:rsid w:val="004A484D"/>
    <w:rsid w:val="004B304D"/>
    <w:rsid w:val="004C0A16"/>
    <w:rsid w:val="004D4541"/>
    <w:rsid w:val="004F44F4"/>
    <w:rsid w:val="0052371E"/>
    <w:rsid w:val="00526037"/>
    <w:rsid w:val="00532434"/>
    <w:rsid w:val="005344D2"/>
    <w:rsid w:val="00542AAA"/>
    <w:rsid w:val="00542FBD"/>
    <w:rsid w:val="00544C88"/>
    <w:rsid w:val="0054541A"/>
    <w:rsid w:val="00562EFB"/>
    <w:rsid w:val="00565EE1"/>
    <w:rsid w:val="00583971"/>
    <w:rsid w:val="00594D0B"/>
    <w:rsid w:val="005B3EA7"/>
    <w:rsid w:val="005C5954"/>
    <w:rsid w:val="005C6FC1"/>
    <w:rsid w:val="005D257F"/>
    <w:rsid w:val="005D3F60"/>
    <w:rsid w:val="005D7108"/>
    <w:rsid w:val="00605018"/>
    <w:rsid w:val="00636FAE"/>
    <w:rsid w:val="006452A4"/>
    <w:rsid w:val="00650669"/>
    <w:rsid w:val="006515E3"/>
    <w:rsid w:val="00656267"/>
    <w:rsid w:val="00664BF3"/>
    <w:rsid w:val="00676C74"/>
    <w:rsid w:val="006804AC"/>
    <w:rsid w:val="00695D85"/>
    <w:rsid w:val="006A2A26"/>
    <w:rsid w:val="006B39A8"/>
    <w:rsid w:val="006B7491"/>
    <w:rsid w:val="006E1C6C"/>
    <w:rsid w:val="00700154"/>
    <w:rsid w:val="007059D2"/>
    <w:rsid w:val="007072BA"/>
    <w:rsid w:val="007226AE"/>
    <w:rsid w:val="00735F70"/>
    <w:rsid w:val="0073702A"/>
    <w:rsid w:val="00752AC5"/>
    <w:rsid w:val="00760B99"/>
    <w:rsid w:val="007715BF"/>
    <w:rsid w:val="00782999"/>
    <w:rsid w:val="00791391"/>
    <w:rsid w:val="007A4F2A"/>
    <w:rsid w:val="007A7268"/>
    <w:rsid w:val="007B3D70"/>
    <w:rsid w:val="007B73F9"/>
    <w:rsid w:val="007C08E6"/>
    <w:rsid w:val="007E1CC0"/>
    <w:rsid w:val="007E30C2"/>
    <w:rsid w:val="0080287D"/>
    <w:rsid w:val="008060AF"/>
    <w:rsid w:val="00806DE6"/>
    <w:rsid w:val="008129F6"/>
    <w:rsid w:val="00835C04"/>
    <w:rsid w:val="008403B8"/>
    <w:rsid w:val="0084205C"/>
    <w:rsid w:val="0086051E"/>
    <w:rsid w:val="0087753E"/>
    <w:rsid w:val="0089060E"/>
    <w:rsid w:val="00892AE1"/>
    <w:rsid w:val="00896D48"/>
    <w:rsid w:val="008A4B10"/>
    <w:rsid w:val="008B3821"/>
    <w:rsid w:val="008D088A"/>
    <w:rsid w:val="008D41B1"/>
    <w:rsid w:val="008D7444"/>
    <w:rsid w:val="00902F9E"/>
    <w:rsid w:val="00916099"/>
    <w:rsid w:val="00920FF7"/>
    <w:rsid w:val="00936A45"/>
    <w:rsid w:val="00937ED2"/>
    <w:rsid w:val="00941956"/>
    <w:rsid w:val="0094514E"/>
    <w:rsid w:val="009479E5"/>
    <w:rsid w:val="009812BB"/>
    <w:rsid w:val="009A09FD"/>
    <w:rsid w:val="009A492A"/>
    <w:rsid w:val="009B08C3"/>
    <w:rsid w:val="009B27B1"/>
    <w:rsid w:val="009D7235"/>
    <w:rsid w:val="009E1788"/>
    <w:rsid w:val="009E4CFF"/>
    <w:rsid w:val="00A0319C"/>
    <w:rsid w:val="00A05268"/>
    <w:rsid w:val="00A07C1D"/>
    <w:rsid w:val="00A30E28"/>
    <w:rsid w:val="00A4062F"/>
    <w:rsid w:val="00A4473F"/>
    <w:rsid w:val="00A44DD0"/>
    <w:rsid w:val="00A46F34"/>
    <w:rsid w:val="00A502A8"/>
    <w:rsid w:val="00A50CFE"/>
    <w:rsid w:val="00A5463B"/>
    <w:rsid w:val="00A60645"/>
    <w:rsid w:val="00A70864"/>
    <w:rsid w:val="00A7789A"/>
    <w:rsid w:val="00A80851"/>
    <w:rsid w:val="00A80A92"/>
    <w:rsid w:val="00A8257F"/>
    <w:rsid w:val="00A854F1"/>
    <w:rsid w:val="00AA5832"/>
    <w:rsid w:val="00AB2522"/>
    <w:rsid w:val="00AB2804"/>
    <w:rsid w:val="00AE46F5"/>
    <w:rsid w:val="00B23701"/>
    <w:rsid w:val="00B321BC"/>
    <w:rsid w:val="00B43262"/>
    <w:rsid w:val="00B44DAC"/>
    <w:rsid w:val="00B560ED"/>
    <w:rsid w:val="00B73203"/>
    <w:rsid w:val="00B753A4"/>
    <w:rsid w:val="00B76BDC"/>
    <w:rsid w:val="00B81E34"/>
    <w:rsid w:val="00B82905"/>
    <w:rsid w:val="00B9571C"/>
    <w:rsid w:val="00B9614C"/>
    <w:rsid w:val="00BA1085"/>
    <w:rsid w:val="00BB1A3F"/>
    <w:rsid w:val="00BD0255"/>
    <w:rsid w:val="00BD6578"/>
    <w:rsid w:val="00BF64A4"/>
    <w:rsid w:val="00C057E9"/>
    <w:rsid w:val="00C071A1"/>
    <w:rsid w:val="00C27214"/>
    <w:rsid w:val="00C32A58"/>
    <w:rsid w:val="00C33A8E"/>
    <w:rsid w:val="00C55FC9"/>
    <w:rsid w:val="00C72F1A"/>
    <w:rsid w:val="00C82473"/>
    <w:rsid w:val="00C82C8C"/>
    <w:rsid w:val="00C83576"/>
    <w:rsid w:val="00C9099D"/>
    <w:rsid w:val="00CA0A4F"/>
    <w:rsid w:val="00CA0EED"/>
    <w:rsid w:val="00CA4793"/>
    <w:rsid w:val="00CB421A"/>
    <w:rsid w:val="00CB51DA"/>
    <w:rsid w:val="00CC0FEA"/>
    <w:rsid w:val="00CC39DE"/>
    <w:rsid w:val="00CC7683"/>
    <w:rsid w:val="00CD0433"/>
    <w:rsid w:val="00CD16C5"/>
    <w:rsid w:val="00CE22EA"/>
    <w:rsid w:val="00CE4F6F"/>
    <w:rsid w:val="00CF2303"/>
    <w:rsid w:val="00CF31A2"/>
    <w:rsid w:val="00D07222"/>
    <w:rsid w:val="00D12F5B"/>
    <w:rsid w:val="00D22F4A"/>
    <w:rsid w:val="00D3189E"/>
    <w:rsid w:val="00D3192F"/>
    <w:rsid w:val="00D36C01"/>
    <w:rsid w:val="00D55491"/>
    <w:rsid w:val="00D63B6C"/>
    <w:rsid w:val="00D808DE"/>
    <w:rsid w:val="00DA35F1"/>
    <w:rsid w:val="00DB5124"/>
    <w:rsid w:val="00DC6974"/>
    <w:rsid w:val="00DE42EA"/>
    <w:rsid w:val="00DE50F5"/>
    <w:rsid w:val="00E06362"/>
    <w:rsid w:val="00E218D4"/>
    <w:rsid w:val="00E24415"/>
    <w:rsid w:val="00E55138"/>
    <w:rsid w:val="00E6039B"/>
    <w:rsid w:val="00E61794"/>
    <w:rsid w:val="00E921E6"/>
    <w:rsid w:val="00EA40AC"/>
    <w:rsid w:val="00EB4818"/>
    <w:rsid w:val="00EC3694"/>
    <w:rsid w:val="00ED6B3C"/>
    <w:rsid w:val="00EE5E74"/>
    <w:rsid w:val="00F038E6"/>
    <w:rsid w:val="00F06AF4"/>
    <w:rsid w:val="00F072D2"/>
    <w:rsid w:val="00F1255A"/>
    <w:rsid w:val="00F20A93"/>
    <w:rsid w:val="00F2154C"/>
    <w:rsid w:val="00F24033"/>
    <w:rsid w:val="00F268BE"/>
    <w:rsid w:val="00F434EA"/>
    <w:rsid w:val="00F52113"/>
    <w:rsid w:val="00FB1905"/>
    <w:rsid w:val="00FB4DE3"/>
    <w:rsid w:val="00FB53C8"/>
    <w:rsid w:val="00FE175F"/>
    <w:rsid w:val="00FE312E"/>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3906">
      <w:bodyDiv w:val="1"/>
      <w:marLeft w:val="0"/>
      <w:marRight w:val="0"/>
      <w:marTop w:val="0"/>
      <w:marBottom w:val="0"/>
      <w:divBdr>
        <w:top w:val="none" w:sz="0" w:space="0" w:color="auto"/>
        <w:left w:val="none" w:sz="0" w:space="0" w:color="auto"/>
        <w:bottom w:val="none" w:sz="0" w:space="0" w:color="auto"/>
        <w:right w:val="none" w:sz="0" w:space="0" w:color="auto"/>
      </w:divBdr>
    </w:div>
    <w:div w:id="51121439">
      <w:bodyDiv w:val="1"/>
      <w:marLeft w:val="0"/>
      <w:marRight w:val="0"/>
      <w:marTop w:val="0"/>
      <w:marBottom w:val="0"/>
      <w:divBdr>
        <w:top w:val="none" w:sz="0" w:space="0" w:color="auto"/>
        <w:left w:val="none" w:sz="0" w:space="0" w:color="auto"/>
        <w:bottom w:val="none" w:sz="0" w:space="0" w:color="auto"/>
        <w:right w:val="none" w:sz="0" w:space="0" w:color="auto"/>
      </w:divBdr>
    </w:div>
    <w:div w:id="125515647">
      <w:bodyDiv w:val="1"/>
      <w:marLeft w:val="0"/>
      <w:marRight w:val="0"/>
      <w:marTop w:val="0"/>
      <w:marBottom w:val="0"/>
      <w:divBdr>
        <w:top w:val="none" w:sz="0" w:space="0" w:color="auto"/>
        <w:left w:val="none" w:sz="0" w:space="0" w:color="auto"/>
        <w:bottom w:val="none" w:sz="0" w:space="0" w:color="auto"/>
        <w:right w:val="none" w:sz="0" w:space="0" w:color="auto"/>
      </w:divBdr>
    </w:div>
    <w:div w:id="198516501">
      <w:bodyDiv w:val="1"/>
      <w:marLeft w:val="0"/>
      <w:marRight w:val="0"/>
      <w:marTop w:val="0"/>
      <w:marBottom w:val="0"/>
      <w:divBdr>
        <w:top w:val="none" w:sz="0" w:space="0" w:color="auto"/>
        <w:left w:val="none" w:sz="0" w:space="0" w:color="auto"/>
        <w:bottom w:val="none" w:sz="0" w:space="0" w:color="auto"/>
        <w:right w:val="none" w:sz="0" w:space="0" w:color="auto"/>
      </w:divBdr>
    </w:div>
    <w:div w:id="368073197">
      <w:bodyDiv w:val="1"/>
      <w:marLeft w:val="0"/>
      <w:marRight w:val="0"/>
      <w:marTop w:val="0"/>
      <w:marBottom w:val="0"/>
      <w:divBdr>
        <w:top w:val="none" w:sz="0" w:space="0" w:color="auto"/>
        <w:left w:val="none" w:sz="0" w:space="0" w:color="auto"/>
        <w:bottom w:val="none" w:sz="0" w:space="0" w:color="auto"/>
        <w:right w:val="none" w:sz="0" w:space="0" w:color="auto"/>
      </w:divBdr>
    </w:div>
    <w:div w:id="380598066">
      <w:bodyDiv w:val="1"/>
      <w:marLeft w:val="0"/>
      <w:marRight w:val="0"/>
      <w:marTop w:val="0"/>
      <w:marBottom w:val="0"/>
      <w:divBdr>
        <w:top w:val="none" w:sz="0" w:space="0" w:color="auto"/>
        <w:left w:val="none" w:sz="0" w:space="0" w:color="auto"/>
        <w:bottom w:val="none" w:sz="0" w:space="0" w:color="auto"/>
        <w:right w:val="none" w:sz="0" w:space="0" w:color="auto"/>
      </w:divBdr>
    </w:div>
    <w:div w:id="758722984">
      <w:bodyDiv w:val="1"/>
      <w:marLeft w:val="0"/>
      <w:marRight w:val="0"/>
      <w:marTop w:val="0"/>
      <w:marBottom w:val="0"/>
      <w:divBdr>
        <w:top w:val="none" w:sz="0" w:space="0" w:color="auto"/>
        <w:left w:val="none" w:sz="0" w:space="0" w:color="auto"/>
        <w:bottom w:val="none" w:sz="0" w:space="0" w:color="auto"/>
        <w:right w:val="none" w:sz="0" w:space="0" w:color="auto"/>
      </w:divBdr>
    </w:div>
    <w:div w:id="954868010">
      <w:bodyDiv w:val="1"/>
      <w:marLeft w:val="0"/>
      <w:marRight w:val="0"/>
      <w:marTop w:val="0"/>
      <w:marBottom w:val="0"/>
      <w:divBdr>
        <w:top w:val="none" w:sz="0" w:space="0" w:color="auto"/>
        <w:left w:val="none" w:sz="0" w:space="0" w:color="auto"/>
        <w:bottom w:val="none" w:sz="0" w:space="0" w:color="auto"/>
        <w:right w:val="none" w:sz="0" w:space="0" w:color="auto"/>
      </w:divBdr>
    </w:div>
    <w:div w:id="1001271236">
      <w:bodyDiv w:val="1"/>
      <w:marLeft w:val="0"/>
      <w:marRight w:val="0"/>
      <w:marTop w:val="0"/>
      <w:marBottom w:val="0"/>
      <w:divBdr>
        <w:top w:val="none" w:sz="0" w:space="0" w:color="auto"/>
        <w:left w:val="none" w:sz="0" w:space="0" w:color="auto"/>
        <w:bottom w:val="none" w:sz="0" w:space="0" w:color="auto"/>
        <w:right w:val="none" w:sz="0" w:space="0" w:color="auto"/>
      </w:divBdr>
    </w:div>
    <w:div w:id="1107239235">
      <w:bodyDiv w:val="1"/>
      <w:marLeft w:val="0"/>
      <w:marRight w:val="0"/>
      <w:marTop w:val="0"/>
      <w:marBottom w:val="0"/>
      <w:divBdr>
        <w:top w:val="none" w:sz="0" w:space="0" w:color="auto"/>
        <w:left w:val="none" w:sz="0" w:space="0" w:color="auto"/>
        <w:bottom w:val="none" w:sz="0" w:space="0" w:color="auto"/>
        <w:right w:val="none" w:sz="0" w:space="0" w:color="auto"/>
      </w:divBdr>
    </w:div>
    <w:div w:id="1202859231">
      <w:bodyDiv w:val="1"/>
      <w:marLeft w:val="0"/>
      <w:marRight w:val="0"/>
      <w:marTop w:val="0"/>
      <w:marBottom w:val="0"/>
      <w:divBdr>
        <w:top w:val="none" w:sz="0" w:space="0" w:color="auto"/>
        <w:left w:val="none" w:sz="0" w:space="0" w:color="auto"/>
        <w:bottom w:val="none" w:sz="0" w:space="0" w:color="auto"/>
        <w:right w:val="none" w:sz="0" w:space="0" w:color="auto"/>
      </w:divBdr>
    </w:div>
    <w:div w:id="1248466655">
      <w:bodyDiv w:val="1"/>
      <w:marLeft w:val="0"/>
      <w:marRight w:val="0"/>
      <w:marTop w:val="0"/>
      <w:marBottom w:val="0"/>
      <w:divBdr>
        <w:top w:val="none" w:sz="0" w:space="0" w:color="auto"/>
        <w:left w:val="none" w:sz="0" w:space="0" w:color="auto"/>
        <w:bottom w:val="none" w:sz="0" w:space="0" w:color="auto"/>
        <w:right w:val="none" w:sz="0" w:space="0" w:color="auto"/>
      </w:divBdr>
    </w:div>
    <w:div w:id="127535788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63553282">
      <w:bodyDiv w:val="1"/>
      <w:marLeft w:val="0"/>
      <w:marRight w:val="0"/>
      <w:marTop w:val="0"/>
      <w:marBottom w:val="0"/>
      <w:divBdr>
        <w:top w:val="none" w:sz="0" w:space="0" w:color="auto"/>
        <w:left w:val="none" w:sz="0" w:space="0" w:color="auto"/>
        <w:bottom w:val="none" w:sz="0" w:space="0" w:color="auto"/>
        <w:right w:val="none" w:sz="0" w:space="0" w:color="auto"/>
      </w:divBdr>
    </w:div>
    <w:div w:id="1409885014">
      <w:bodyDiv w:val="1"/>
      <w:marLeft w:val="0"/>
      <w:marRight w:val="0"/>
      <w:marTop w:val="0"/>
      <w:marBottom w:val="0"/>
      <w:divBdr>
        <w:top w:val="none" w:sz="0" w:space="0" w:color="auto"/>
        <w:left w:val="none" w:sz="0" w:space="0" w:color="auto"/>
        <w:bottom w:val="none" w:sz="0" w:space="0" w:color="auto"/>
        <w:right w:val="none" w:sz="0" w:space="0" w:color="auto"/>
      </w:divBdr>
    </w:div>
    <w:div w:id="1456212300">
      <w:bodyDiv w:val="1"/>
      <w:marLeft w:val="0"/>
      <w:marRight w:val="0"/>
      <w:marTop w:val="0"/>
      <w:marBottom w:val="0"/>
      <w:divBdr>
        <w:top w:val="none" w:sz="0" w:space="0" w:color="auto"/>
        <w:left w:val="none" w:sz="0" w:space="0" w:color="auto"/>
        <w:bottom w:val="none" w:sz="0" w:space="0" w:color="auto"/>
        <w:right w:val="none" w:sz="0" w:space="0" w:color="auto"/>
      </w:divBdr>
    </w:div>
    <w:div w:id="1583298437">
      <w:bodyDiv w:val="1"/>
      <w:marLeft w:val="0"/>
      <w:marRight w:val="0"/>
      <w:marTop w:val="0"/>
      <w:marBottom w:val="0"/>
      <w:divBdr>
        <w:top w:val="none" w:sz="0" w:space="0" w:color="auto"/>
        <w:left w:val="none" w:sz="0" w:space="0" w:color="auto"/>
        <w:bottom w:val="none" w:sz="0" w:space="0" w:color="auto"/>
        <w:right w:val="none" w:sz="0" w:space="0" w:color="auto"/>
      </w:divBdr>
    </w:div>
    <w:div w:id="1669092376">
      <w:bodyDiv w:val="1"/>
      <w:marLeft w:val="0"/>
      <w:marRight w:val="0"/>
      <w:marTop w:val="0"/>
      <w:marBottom w:val="0"/>
      <w:divBdr>
        <w:top w:val="none" w:sz="0" w:space="0" w:color="auto"/>
        <w:left w:val="none" w:sz="0" w:space="0" w:color="auto"/>
        <w:bottom w:val="none" w:sz="0" w:space="0" w:color="auto"/>
        <w:right w:val="none" w:sz="0" w:space="0" w:color="auto"/>
      </w:divBdr>
    </w:div>
    <w:div w:id="1750610587">
      <w:bodyDiv w:val="1"/>
      <w:marLeft w:val="0"/>
      <w:marRight w:val="0"/>
      <w:marTop w:val="0"/>
      <w:marBottom w:val="0"/>
      <w:divBdr>
        <w:top w:val="none" w:sz="0" w:space="0" w:color="auto"/>
        <w:left w:val="none" w:sz="0" w:space="0" w:color="auto"/>
        <w:bottom w:val="none" w:sz="0" w:space="0" w:color="auto"/>
        <w:right w:val="none" w:sz="0" w:space="0" w:color="auto"/>
      </w:divBdr>
    </w:div>
    <w:div w:id="1854764491">
      <w:bodyDiv w:val="1"/>
      <w:marLeft w:val="0"/>
      <w:marRight w:val="0"/>
      <w:marTop w:val="0"/>
      <w:marBottom w:val="0"/>
      <w:divBdr>
        <w:top w:val="none" w:sz="0" w:space="0" w:color="auto"/>
        <w:left w:val="none" w:sz="0" w:space="0" w:color="auto"/>
        <w:bottom w:val="none" w:sz="0" w:space="0" w:color="auto"/>
        <w:right w:val="none" w:sz="0" w:space="0" w:color="auto"/>
      </w:divBdr>
    </w:div>
    <w:div w:id="1859997996">
      <w:bodyDiv w:val="1"/>
      <w:marLeft w:val="0"/>
      <w:marRight w:val="0"/>
      <w:marTop w:val="0"/>
      <w:marBottom w:val="0"/>
      <w:divBdr>
        <w:top w:val="none" w:sz="0" w:space="0" w:color="auto"/>
        <w:left w:val="none" w:sz="0" w:space="0" w:color="auto"/>
        <w:bottom w:val="none" w:sz="0" w:space="0" w:color="auto"/>
        <w:right w:val="none" w:sz="0" w:space="0" w:color="auto"/>
      </w:divBdr>
    </w:div>
    <w:div w:id="1968271627">
      <w:bodyDiv w:val="1"/>
      <w:marLeft w:val="0"/>
      <w:marRight w:val="0"/>
      <w:marTop w:val="0"/>
      <w:marBottom w:val="0"/>
      <w:divBdr>
        <w:top w:val="none" w:sz="0" w:space="0" w:color="auto"/>
        <w:left w:val="none" w:sz="0" w:space="0" w:color="auto"/>
        <w:bottom w:val="none" w:sz="0" w:space="0" w:color="auto"/>
        <w:right w:val="none" w:sz="0" w:space="0" w:color="auto"/>
      </w:divBdr>
    </w:div>
    <w:div w:id="2041741055">
      <w:bodyDiv w:val="1"/>
      <w:marLeft w:val="0"/>
      <w:marRight w:val="0"/>
      <w:marTop w:val="0"/>
      <w:marBottom w:val="0"/>
      <w:divBdr>
        <w:top w:val="none" w:sz="0" w:space="0" w:color="auto"/>
        <w:left w:val="none" w:sz="0" w:space="0" w:color="auto"/>
        <w:bottom w:val="none" w:sz="0" w:space="0" w:color="auto"/>
        <w:right w:val="none" w:sz="0" w:space="0" w:color="auto"/>
      </w:divBdr>
    </w:div>
    <w:div w:id="20935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doi.org/10.1007/s00254-007-1169-9" TargetMode="External"/><Relationship Id="rId4" Type="http://schemas.openxmlformats.org/officeDocument/2006/relationships/customXml" Target="../customXml/item4.xml"/><Relationship Id="rId9" Type="http://schemas.openxmlformats.org/officeDocument/2006/relationships/hyperlink" Target="https://doi.org/10.1016/j.jenvman.2017.07.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9" ma:contentTypeDescription="Create a new document." ma:contentTypeScope="" ma:versionID="4245d05aea31ea187938e643b94719c1">
  <xsd:schema xmlns:xsd="http://www.w3.org/2001/XMLSchema" xmlns:xs="http://www.w3.org/2001/XMLSchema" xmlns:p="http://schemas.microsoft.com/office/2006/metadata/properties" xmlns:ns1="http://schemas.microsoft.com/sharepoint/v3" xmlns:ns3="3cb15ddf-dbe9-47ea-851d-c70642058130" targetNamespace="http://schemas.microsoft.com/office/2006/metadata/properties" ma:root="true" ma:fieldsID="2769fdfd8a9905091c06fdf0e44255a8" ns1:_="" ns3:_="">
    <xsd:import namespace="http://schemas.microsoft.com/sharepoint/v3"/>
    <xsd:import namespace="3cb15ddf-dbe9-47ea-851d-c706420581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E905-6BB0-442D-B5B2-8B8BAF14308C}">
  <ds:schemaRefs>
    <ds:schemaRef ds:uri="http://schemas.microsoft.com/sharepoint/v3/contenttype/forms"/>
  </ds:schemaRefs>
</ds:datastoreItem>
</file>

<file path=customXml/itemProps2.xml><?xml version="1.0" encoding="utf-8"?>
<ds:datastoreItem xmlns:ds="http://schemas.openxmlformats.org/officeDocument/2006/customXml" ds:itemID="{52D27C05-F4F1-45C0-A8E5-34A50CD8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E4288-5BF5-4D98-AA06-2E620A3039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B4C909-2A1E-1542-8CA2-15B07C35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Celeste Gambino</cp:lastModifiedBy>
  <cp:revision>10</cp:revision>
  <cp:lastPrinted>2019-09-16T18:47:00Z</cp:lastPrinted>
  <dcterms:created xsi:type="dcterms:W3CDTF">2019-09-03T23:14:00Z</dcterms:created>
  <dcterms:modified xsi:type="dcterms:W3CDTF">2019-10-28T15:17:00Z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