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D465A" w14:textId="1A0ADC9C" w:rsidR="009830D6" w:rsidRPr="000B6E68" w:rsidRDefault="009830D6" w:rsidP="0041150E">
      <w:pPr>
        <w:spacing w:after="0" w:line="240" w:lineRule="auto"/>
        <w:rPr>
          <w:rFonts w:ascii="Garamond" w:hAnsi="Garamond" w:cs="Arial"/>
          <w:b/>
          <w:sz w:val="40"/>
          <w:szCs w:val="40"/>
        </w:rPr>
      </w:pPr>
    </w:p>
    <w:p w14:paraId="0770EE59" w14:textId="00E789B9" w:rsidR="005F6AD4" w:rsidRDefault="00C5240D" w:rsidP="000B6E68">
      <w:pPr>
        <w:tabs>
          <w:tab w:val="left" w:pos="7329"/>
        </w:tabs>
        <w:spacing w:after="0" w:line="240" w:lineRule="auto"/>
        <w:jc w:val="right"/>
        <w:rPr>
          <w:rFonts w:ascii="Garamond" w:hAnsi="Garamond" w:cs="Arial"/>
          <w:sz w:val="40"/>
        </w:rPr>
      </w:pPr>
      <w:r>
        <w:rPr>
          <w:rFonts w:ascii="Garamond" w:hAnsi="Garamond" w:cs="Arial"/>
          <w:sz w:val="40"/>
        </w:rPr>
        <w:t>Chesapeake Bay Agriculture and Food Security II</w:t>
      </w:r>
    </w:p>
    <w:p w14:paraId="5C53A2B7" w14:textId="538372A1" w:rsidR="009830D6" w:rsidRPr="005A5711" w:rsidRDefault="00C5240D" w:rsidP="00E578D6">
      <w:pPr>
        <w:spacing w:after="0" w:line="240" w:lineRule="auto"/>
        <w:jc w:val="right"/>
        <w:rPr>
          <w:rFonts w:ascii="Garamond" w:hAnsi="Garamond" w:cs="Arial"/>
          <w:sz w:val="28"/>
        </w:rPr>
      </w:pPr>
      <w:r>
        <w:rPr>
          <w:rFonts w:ascii="Garamond" w:hAnsi="Garamond" w:cs="Arial"/>
          <w:sz w:val="28"/>
        </w:rPr>
        <w:t>Operational Analysis of Winter Cover Crop Environmental Performance throughout the State of Maryland</w:t>
      </w:r>
    </w:p>
    <w:p w14:paraId="0F963EE5" w14:textId="77777777" w:rsidR="009830D6" w:rsidRPr="005A5711" w:rsidRDefault="009830D6" w:rsidP="00916AAB">
      <w:pPr>
        <w:spacing w:after="0" w:line="240" w:lineRule="auto"/>
        <w:rPr>
          <w:rFonts w:ascii="Garamond" w:hAnsi="Garamond" w:cs="Arial"/>
          <w:sz w:val="32"/>
        </w:rPr>
      </w:pPr>
    </w:p>
    <w:p w14:paraId="11F786B3" w14:textId="77777777" w:rsidR="00E578D6" w:rsidRPr="005A5711" w:rsidRDefault="00E578D6" w:rsidP="00916AAB">
      <w:pPr>
        <w:spacing w:after="0" w:line="240" w:lineRule="auto"/>
        <w:rPr>
          <w:rFonts w:ascii="Garamond" w:hAnsi="Garamond" w:cs="Arial"/>
          <w:sz w:val="32"/>
        </w:rPr>
      </w:pPr>
    </w:p>
    <w:p w14:paraId="5FF73AA5" w14:textId="77777777" w:rsidR="00E578D6" w:rsidRPr="005A5711" w:rsidRDefault="00E578D6" w:rsidP="00916AAB">
      <w:pPr>
        <w:spacing w:after="0" w:line="240" w:lineRule="auto"/>
        <w:rPr>
          <w:rFonts w:ascii="Garamond" w:hAnsi="Garamond" w:cs="Arial"/>
          <w:sz w:val="32"/>
        </w:rPr>
      </w:pPr>
    </w:p>
    <w:p w14:paraId="2A91BFEF" w14:textId="77777777" w:rsidR="00E578D6" w:rsidRPr="005A5711" w:rsidRDefault="00E578D6" w:rsidP="00916AAB">
      <w:pPr>
        <w:spacing w:after="0" w:line="240" w:lineRule="auto"/>
        <w:rPr>
          <w:rFonts w:ascii="Garamond" w:hAnsi="Garamond" w:cs="Arial"/>
          <w:sz w:val="32"/>
        </w:rPr>
      </w:pPr>
    </w:p>
    <w:p w14:paraId="347CEE32" w14:textId="77777777" w:rsidR="00FC670A" w:rsidRPr="005A5711" w:rsidRDefault="00FC670A" w:rsidP="00E578D6">
      <w:pPr>
        <w:spacing w:after="0" w:line="240" w:lineRule="auto"/>
        <w:jc w:val="center"/>
        <w:rPr>
          <w:rFonts w:ascii="Garamond" w:hAnsi="Garamond" w:cs="Arial"/>
          <w:b/>
          <w:sz w:val="32"/>
        </w:rPr>
      </w:pPr>
    </w:p>
    <w:p w14:paraId="37CABABF" w14:textId="77777777" w:rsidR="00FC670A" w:rsidRPr="005A5711" w:rsidRDefault="00FC670A" w:rsidP="00E578D6">
      <w:pPr>
        <w:spacing w:after="0" w:line="240" w:lineRule="auto"/>
        <w:jc w:val="center"/>
        <w:rPr>
          <w:rFonts w:ascii="Garamond" w:hAnsi="Garamond" w:cs="Arial"/>
          <w:b/>
          <w:sz w:val="32"/>
        </w:rPr>
      </w:pPr>
    </w:p>
    <w:p w14:paraId="776B0F45" w14:textId="5C033021" w:rsidR="0064280B" w:rsidRPr="005A5711" w:rsidRDefault="0064280B" w:rsidP="00E578D6">
      <w:pPr>
        <w:spacing w:after="0" w:line="240" w:lineRule="auto"/>
        <w:jc w:val="center"/>
        <w:rPr>
          <w:rFonts w:ascii="Garamond" w:hAnsi="Garamond" w:cs="Arial"/>
          <w:b/>
          <w:sz w:val="32"/>
        </w:rPr>
      </w:pPr>
      <w:r w:rsidRPr="005A5711">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5A5711">
        <w:rPr>
          <w:rFonts w:ascii="Garamond" w:hAnsi="Garamond" w:cs="Arial"/>
          <w:b/>
          <w:sz w:val="32"/>
        </w:rPr>
        <w:t xml:space="preserve">                 </w:t>
      </w:r>
      <w:r w:rsidR="00FB5846" w:rsidRPr="005A5711">
        <w:rPr>
          <w:rFonts w:ascii="Garamond" w:hAnsi="Garamond" w:cs="Arial"/>
          <w:b/>
          <w:sz w:val="32"/>
        </w:rPr>
        <w:t>Technical Report</w:t>
      </w:r>
    </w:p>
    <w:p w14:paraId="6135BAC2" w14:textId="2B398397" w:rsidR="00916AAB" w:rsidRPr="005A5711" w:rsidRDefault="005E4C48" w:rsidP="00E578D6">
      <w:pPr>
        <w:spacing w:after="0" w:line="240" w:lineRule="auto"/>
        <w:jc w:val="center"/>
        <w:rPr>
          <w:rFonts w:ascii="Garamond" w:hAnsi="Garamond" w:cs="Arial"/>
          <w:sz w:val="28"/>
        </w:rPr>
      </w:pPr>
      <w:r>
        <w:rPr>
          <w:rFonts w:ascii="Garamond" w:hAnsi="Garamond" w:cs="Arial"/>
          <w:sz w:val="28"/>
        </w:rPr>
        <w:t>Final Draft – November 1</w:t>
      </w:r>
      <w:r w:rsidR="00491104">
        <w:rPr>
          <w:rFonts w:ascii="Garamond" w:hAnsi="Garamond" w:cs="Arial"/>
          <w:sz w:val="28"/>
        </w:rPr>
        <w:t>5</w:t>
      </w:r>
      <w:r>
        <w:rPr>
          <w:rFonts w:ascii="Garamond" w:hAnsi="Garamond" w:cs="Arial"/>
          <w:sz w:val="28"/>
          <w:vertAlign w:val="superscript"/>
        </w:rPr>
        <w:t>th</w:t>
      </w:r>
      <w:r w:rsidR="00A2773A" w:rsidRPr="005A5711">
        <w:rPr>
          <w:rFonts w:ascii="Garamond" w:hAnsi="Garamond" w:cs="Arial"/>
          <w:sz w:val="28"/>
        </w:rPr>
        <w:t>, 201</w:t>
      </w:r>
      <w:r w:rsidR="004C4352">
        <w:rPr>
          <w:rFonts w:ascii="Garamond" w:hAnsi="Garamond" w:cs="Arial"/>
          <w:sz w:val="28"/>
        </w:rPr>
        <w:t>8</w:t>
      </w:r>
    </w:p>
    <w:p w14:paraId="654A8582" w14:textId="77777777" w:rsidR="00916AAB" w:rsidRPr="005A5711" w:rsidRDefault="00916AAB" w:rsidP="00E578D6">
      <w:pPr>
        <w:spacing w:after="0" w:line="240" w:lineRule="auto"/>
        <w:jc w:val="center"/>
        <w:rPr>
          <w:rFonts w:ascii="Garamond" w:hAnsi="Garamond" w:cs="Arial"/>
          <w:sz w:val="24"/>
          <w:szCs w:val="24"/>
        </w:rPr>
      </w:pPr>
    </w:p>
    <w:p w14:paraId="0A1D7C8F" w14:textId="77777777" w:rsidR="00C5240D" w:rsidRDefault="00C5240D" w:rsidP="00C5240D">
      <w:pPr>
        <w:pStyle w:val="NormalWeb"/>
        <w:spacing w:before="0" w:beforeAutospacing="0" w:after="0" w:afterAutospacing="0"/>
        <w:jc w:val="center"/>
      </w:pPr>
      <w:r>
        <w:rPr>
          <w:rFonts w:ascii="Garamond" w:hAnsi="Garamond"/>
          <w:color w:val="000000"/>
          <w:sz w:val="20"/>
          <w:szCs w:val="20"/>
        </w:rPr>
        <w:t>Logan Kline (Project Lead)</w:t>
      </w:r>
    </w:p>
    <w:p w14:paraId="284031EC" w14:textId="77777777" w:rsidR="00C5240D" w:rsidRDefault="00C5240D" w:rsidP="00C5240D">
      <w:pPr>
        <w:pStyle w:val="NormalWeb"/>
        <w:spacing w:before="0" w:beforeAutospacing="0" w:after="0" w:afterAutospacing="0"/>
        <w:jc w:val="center"/>
      </w:pPr>
      <w:r>
        <w:rPr>
          <w:rFonts w:ascii="Garamond" w:hAnsi="Garamond"/>
          <w:color w:val="000000"/>
          <w:sz w:val="20"/>
          <w:szCs w:val="20"/>
        </w:rPr>
        <w:t>Julio Peredo</w:t>
      </w:r>
    </w:p>
    <w:p w14:paraId="41C7F883" w14:textId="77777777" w:rsidR="00C5240D" w:rsidRDefault="00C5240D" w:rsidP="00C5240D">
      <w:pPr>
        <w:pStyle w:val="NormalWeb"/>
        <w:spacing w:before="0" w:beforeAutospacing="0" w:after="0" w:afterAutospacing="0"/>
        <w:jc w:val="center"/>
      </w:pPr>
      <w:r>
        <w:rPr>
          <w:rFonts w:ascii="Garamond" w:hAnsi="Garamond"/>
          <w:color w:val="000000"/>
          <w:sz w:val="20"/>
          <w:szCs w:val="20"/>
        </w:rPr>
        <w:t>Diane Portillo</w:t>
      </w:r>
    </w:p>
    <w:p w14:paraId="2F9581E6" w14:textId="77777777" w:rsidR="00C5240D" w:rsidRDefault="00C5240D" w:rsidP="00C5240D">
      <w:pPr>
        <w:pStyle w:val="NormalWeb"/>
        <w:spacing w:before="0" w:beforeAutospacing="0" w:after="0" w:afterAutospacing="0"/>
        <w:jc w:val="center"/>
      </w:pPr>
      <w:r>
        <w:rPr>
          <w:rFonts w:ascii="Garamond" w:hAnsi="Garamond"/>
          <w:color w:val="000000"/>
          <w:sz w:val="20"/>
          <w:szCs w:val="20"/>
        </w:rPr>
        <w:t xml:space="preserve">Benjamin </w:t>
      </w:r>
      <w:r w:rsidRPr="0088672F">
        <w:rPr>
          <w:rFonts w:ascii="Garamond" w:hAnsi="Garamond"/>
          <w:noProof/>
          <w:color w:val="000000"/>
          <w:sz w:val="20"/>
          <w:szCs w:val="20"/>
        </w:rPr>
        <w:t>Whong</w:t>
      </w:r>
    </w:p>
    <w:p w14:paraId="58C3E2E7" w14:textId="77777777" w:rsidR="00FC670A" w:rsidRPr="005A5711" w:rsidRDefault="00FC670A" w:rsidP="00FC670A">
      <w:pPr>
        <w:spacing w:after="0" w:line="240" w:lineRule="auto"/>
        <w:jc w:val="center"/>
        <w:rPr>
          <w:rFonts w:ascii="Garamond" w:hAnsi="Garamond" w:cs="Arial"/>
          <w:sz w:val="20"/>
          <w:szCs w:val="20"/>
        </w:rPr>
      </w:pPr>
    </w:p>
    <w:p w14:paraId="6B16EEA6" w14:textId="77777777" w:rsidR="00C5240D" w:rsidRDefault="00C5240D" w:rsidP="00C5240D">
      <w:pPr>
        <w:pStyle w:val="NormalWeb"/>
        <w:spacing w:before="0" w:beforeAutospacing="0" w:after="0" w:afterAutospacing="0"/>
        <w:jc w:val="center"/>
      </w:pPr>
      <w:r>
        <w:rPr>
          <w:rFonts w:ascii="Garamond" w:hAnsi="Garamond"/>
          <w:color w:val="000000"/>
          <w:sz w:val="20"/>
          <w:szCs w:val="20"/>
        </w:rPr>
        <w:t>Dr. W. Dean Hively, USGS Eastern Geographic Science Center (Science Advisor)</w:t>
      </w:r>
    </w:p>
    <w:p w14:paraId="69CE3FF4" w14:textId="77777777" w:rsidR="00C5240D" w:rsidRDefault="00C5240D" w:rsidP="00C5240D">
      <w:pPr>
        <w:pStyle w:val="NormalWeb"/>
        <w:spacing w:before="0" w:beforeAutospacing="0" w:after="0" w:afterAutospacing="0"/>
        <w:jc w:val="center"/>
      </w:pPr>
      <w:r>
        <w:rPr>
          <w:rFonts w:ascii="Garamond" w:hAnsi="Garamond"/>
          <w:color w:val="000000"/>
          <w:sz w:val="20"/>
          <w:szCs w:val="20"/>
        </w:rPr>
        <w:t>Dr. Greg McCarty, USDA-Agricultural Research Service, Hydrology and Remote Sensing Laboratory (Science Advisor)</w:t>
      </w:r>
    </w:p>
    <w:p w14:paraId="287851FA" w14:textId="77777777" w:rsidR="00C5240D" w:rsidRDefault="00C5240D" w:rsidP="00C5240D">
      <w:pPr>
        <w:pStyle w:val="NormalWeb"/>
        <w:spacing w:before="0" w:beforeAutospacing="0" w:after="0" w:afterAutospacing="0"/>
        <w:jc w:val="center"/>
      </w:pPr>
      <w:r>
        <w:rPr>
          <w:rFonts w:ascii="Garamond" w:hAnsi="Garamond"/>
          <w:color w:val="000000"/>
          <w:sz w:val="20"/>
          <w:szCs w:val="20"/>
        </w:rPr>
        <w:t>Dr. Kristofer Lasko, ERDC Geospatial Research Laboratory (Science Advisor)</w:t>
      </w:r>
    </w:p>
    <w:p w14:paraId="20DDFCF1" w14:textId="77777777" w:rsidR="00FC670A" w:rsidRPr="005A5711" w:rsidRDefault="00FC670A" w:rsidP="00E578D6">
      <w:pPr>
        <w:spacing w:after="0" w:line="240" w:lineRule="auto"/>
        <w:jc w:val="center"/>
        <w:rPr>
          <w:rFonts w:ascii="Garamond" w:hAnsi="Garamond" w:cs="Arial"/>
          <w:sz w:val="20"/>
          <w:szCs w:val="20"/>
        </w:rPr>
      </w:pPr>
    </w:p>
    <w:p w14:paraId="7F3D67F6"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Previous Contributors:</w:t>
      </w:r>
    </w:p>
    <w:p w14:paraId="26C05FD4" w14:textId="77777777" w:rsidR="00C5240D" w:rsidRDefault="00C5240D" w:rsidP="00C5240D">
      <w:pPr>
        <w:pStyle w:val="NormalWeb"/>
        <w:spacing w:before="0" w:beforeAutospacing="0" w:after="0" w:afterAutospacing="0"/>
        <w:jc w:val="center"/>
      </w:pPr>
      <w:r>
        <w:rPr>
          <w:rFonts w:ascii="Garamond" w:hAnsi="Garamond"/>
          <w:color w:val="000000"/>
          <w:sz w:val="20"/>
          <w:szCs w:val="20"/>
        </w:rPr>
        <w:t>Dr. Sunita Yadav</w:t>
      </w:r>
    </w:p>
    <w:p w14:paraId="3D2912A5" w14:textId="77777777" w:rsidR="00C5240D" w:rsidRDefault="00C5240D" w:rsidP="00C5240D">
      <w:pPr>
        <w:pStyle w:val="NormalWeb"/>
        <w:spacing w:before="0" w:beforeAutospacing="0" w:after="0" w:afterAutospacing="0"/>
        <w:jc w:val="center"/>
      </w:pPr>
      <w:r>
        <w:rPr>
          <w:rFonts w:ascii="Garamond" w:hAnsi="Garamond"/>
          <w:color w:val="000000"/>
          <w:sz w:val="20"/>
          <w:szCs w:val="20"/>
        </w:rPr>
        <w:t>John Fitz</w:t>
      </w:r>
    </w:p>
    <w:p w14:paraId="6BBD1A7B" w14:textId="77777777" w:rsidR="00C5240D" w:rsidRDefault="00C5240D" w:rsidP="00C5240D">
      <w:pPr>
        <w:pStyle w:val="NormalWeb"/>
        <w:spacing w:before="0" w:beforeAutospacing="0" w:after="0" w:afterAutospacing="0"/>
        <w:jc w:val="center"/>
      </w:pPr>
      <w:r>
        <w:rPr>
          <w:rFonts w:ascii="Garamond" w:hAnsi="Garamond"/>
          <w:color w:val="000000"/>
          <w:sz w:val="20"/>
          <w:szCs w:val="20"/>
        </w:rPr>
        <w:t>Sean McCartney</w:t>
      </w:r>
    </w:p>
    <w:p w14:paraId="50ADD905" w14:textId="77777777" w:rsidR="00C5240D" w:rsidRDefault="00C5240D" w:rsidP="00C5240D">
      <w:pPr>
        <w:pStyle w:val="NormalWeb"/>
        <w:spacing w:before="0" w:beforeAutospacing="0" w:after="0" w:afterAutospacing="0"/>
        <w:jc w:val="center"/>
      </w:pPr>
      <w:r>
        <w:rPr>
          <w:rFonts w:ascii="Garamond" w:hAnsi="Garamond"/>
          <w:color w:val="000000"/>
          <w:sz w:val="20"/>
          <w:szCs w:val="20"/>
        </w:rPr>
        <w:t>Perry Oddo</w:t>
      </w:r>
    </w:p>
    <w:p w14:paraId="386B63DE" w14:textId="77777777" w:rsidR="00C5240D" w:rsidRDefault="00C5240D" w:rsidP="00C5240D">
      <w:pPr>
        <w:pStyle w:val="NormalWeb"/>
        <w:spacing w:before="0" w:beforeAutospacing="0" w:after="0" w:afterAutospacing="0"/>
        <w:jc w:val="center"/>
      </w:pPr>
      <w:r>
        <w:rPr>
          <w:rFonts w:ascii="Garamond" w:hAnsi="Garamond"/>
          <w:color w:val="000000"/>
          <w:sz w:val="20"/>
          <w:szCs w:val="20"/>
        </w:rPr>
        <w:t>Alison Thieme</w:t>
      </w:r>
    </w:p>
    <w:p w14:paraId="2558426B" w14:textId="77777777" w:rsidR="0064280B" w:rsidRPr="005A5711" w:rsidRDefault="0064280B">
      <w:pPr>
        <w:rPr>
          <w:rFonts w:ascii="Garamond" w:hAnsi="Garamond" w:cs="Arial"/>
          <w:sz w:val="20"/>
          <w:szCs w:val="20"/>
        </w:rPr>
      </w:pPr>
      <w:r w:rsidRPr="005A5711">
        <w:rPr>
          <w:rFonts w:ascii="Garamond" w:hAnsi="Garamond" w:cs="Arial"/>
          <w:b/>
          <w:bCs/>
          <w:sz w:val="20"/>
          <w:szCs w:val="20"/>
        </w:rPr>
        <w:br w:type="page"/>
      </w:r>
    </w:p>
    <w:p w14:paraId="45F8C63B" w14:textId="2ABA52D9" w:rsidR="006E2A1C" w:rsidRPr="005A5711" w:rsidRDefault="00C15E9C" w:rsidP="006E2A1C">
      <w:pPr>
        <w:pStyle w:val="Heading1"/>
        <w:rPr>
          <w:rFonts w:ascii="Garamond" w:hAnsi="Garamond"/>
        </w:rPr>
      </w:pPr>
      <w:r w:rsidRPr="005A5711">
        <w:rPr>
          <w:rFonts w:ascii="Garamond" w:hAnsi="Garamond"/>
        </w:rPr>
        <w:lastRenderedPageBreak/>
        <w:t>1</w:t>
      </w:r>
      <w:r w:rsidR="008B7071" w:rsidRPr="005A5711">
        <w:rPr>
          <w:rFonts w:ascii="Garamond" w:hAnsi="Garamond"/>
        </w:rPr>
        <w:t xml:space="preserve">. </w:t>
      </w:r>
      <w:r w:rsidR="007E508C" w:rsidRPr="005A5711">
        <w:rPr>
          <w:rFonts w:ascii="Garamond" w:hAnsi="Garamond"/>
        </w:rPr>
        <w:t>Abstract</w:t>
      </w:r>
    </w:p>
    <w:p w14:paraId="73D9AA95" w14:textId="4B60A309" w:rsidR="006E2A1C" w:rsidRPr="00106FD6" w:rsidRDefault="005E4C48" w:rsidP="00D83A73">
      <w:pPr>
        <w:spacing w:after="0" w:line="240" w:lineRule="auto"/>
        <w:rPr>
          <w:rFonts w:ascii="Garamond" w:hAnsi="Garamond" w:cs="Arial"/>
        </w:rPr>
      </w:pPr>
      <w:r>
        <w:rPr>
          <w:rFonts w:ascii="Garamond" w:hAnsi="Garamond"/>
          <w:color w:val="000000"/>
        </w:rPr>
        <w:t xml:space="preserve">Winter cover crops increase the sustainability of agricultural lands and the health of surrounding watersheds through erosion control and nutrient retention. The Maryland Department of Agriculture (MDA) incentivizes the planting of winter cover crops in the Chesapeake Bay area via a cost-sharing program that offers subsidies to enrolled farmers. The success of these cover crops is dependent on several factors, such as crop species, planting date, and termination date. Using imagery from Landsat 5 Thematic Mapper (TM), Landsat 8 Operational Land Imager (OLI), and Sentinel-2 MultiSpectral Instrument (MSI), a previous DEVELOP team constructed methods that evaluated the performance of Maryland cover crops on the basis of biomass. However, the MDA required more streamlined methods and user-friendly tools to implement the products in their day-to-day operations. The current DEVELOP project aimed to simplify the methods established by the previous team through the creation of a graphical user interface (GUI) using Google Earth Engine to optimize </w:t>
      </w:r>
      <w:r w:rsidRPr="0088672F">
        <w:rPr>
          <w:rFonts w:ascii="Garamond" w:hAnsi="Garamond"/>
          <w:noProof/>
          <w:color w:val="000000"/>
        </w:rPr>
        <w:t>end user</w:t>
      </w:r>
      <w:r>
        <w:rPr>
          <w:rFonts w:ascii="Garamond" w:hAnsi="Garamond"/>
          <w:color w:val="000000"/>
        </w:rPr>
        <w:t xml:space="preserve"> analysis of cover crop data. The graphical analysis produced by this GUI aids the MDA by granting further insight into cover crop effectiveness, promoting more informed decision making and improved conservation efforts for the Chesapeake Bay.</w:t>
      </w:r>
    </w:p>
    <w:p w14:paraId="00721E94" w14:textId="77777777" w:rsidR="00D3013B" w:rsidRPr="005A5711" w:rsidRDefault="00D3013B" w:rsidP="00D83A73">
      <w:pPr>
        <w:spacing w:after="0" w:line="240" w:lineRule="auto"/>
        <w:rPr>
          <w:rFonts w:ascii="Garamond" w:hAnsi="Garamond" w:cs="Arial"/>
          <w:szCs w:val="24"/>
        </w:rPr>
      </w:pPr>
    </w:p>
    <w:p w14:paraId="350BBE67" w14:textId="77777777" w:rsidR="00770650" w:rsidRPr="00106FD6" w:rsidRDefault="00770650" w:rsidP="008975BD">
      <w:pPr>
        <w:spacing w:after="0" w:line="240" w:lineRule="auto"/>
        <w:rPr>
          <w:rFonts w:ascii="Garamond" w:hAnsi="Garamond" w:cs="Arial"/>
          <w:b/>
        </w:rPr>
      </w:pPr>
      <w:r w:rsidRPr="00106FD6">
        <w:rPr>
          <w:rFonts w:ascii="Garamond" w:hAnsi="Garamond" w:cs="Arial"/>
          <w:b/>
        </w:rPr>
        <w:t>Keywords</w:t>
      </w:r>
    </w:p>
    <w:p w14:paraId="36F9FEF5" w14:textId="34E10E69" w:rsidR="002C4C2E" w:rsidRPr="00106FD6" w:rsidRDefault="00E01F63" w:rsidP="008975BD">
      <w:pPr>
        <w:spacing w:after="0" w:line="240" w:lineRule="auto"/>
        <w:rPr>
          <w:rFonts w:ascii="Garamond" w:hAnsi="Garamond" w:cs="Arial"/>
        </w:rPr>
      </w:pPr>
      <w:r>
        <w:rPr>
          <w:rFonts w:ascii="Garamond" w:hAnsi="Garamond"/>
          <w:color w:val="000000"/>
        </w:rPr>
        <w:t>Remote sensing, biomass, percent ground cover, Normalized Difference Vegetation Index, graphical user interface, crop performance, Google Earth Engine</w:t>
      </w:r>
    </w:p>
    <w:p w14:paraId="24D6C1A2" w14:textId="7ABE2FBC" w:rsidR="00E03B8E" w:rsidRPr="009A6617" w:rsidRDefault="00C15E9C" w:rsidP="009A6617">
      <w:pPr>
        <w:pStyle w:val="Heading1"/>
        <w:rPr>
          <w:rFonts w:ascii="Garamond" w:hAnsi="Garamond"/>
        </w:rPr>
      </w:pPr>
      <w:bookmarkStart w:id="0" w:name="_Toc334198720"/>
      <w:r w:rsidRPr="005A5711">
        <w:rPr>
          <w:rFonts w:ascii="Garamond" w:hAnsi="Garamond"/>
        </w:rPr>
        <w:t>2</w:t>
      </w:r>
      <w:r w:rsidR="008B7071" w:rsidRPr="005A5711">
        <w:rPr>
          <w:rFonts w:ascii="Garamond" w:hAnsi="Garamond"/>
        </w:rPr>
        <w:t xml:space="preserve">. </w:t>
      </w:r>
      <w:r w:rsidR="00FB5846" w:rsidRPr="005A5711">
        <w:rPr>
          <w:rFonts w:ascii="Garamond" w:hAnsi="Garamond"/>
        </w:rPr>
        <w:t>Introduction</w:t>
      </w:r>
      <w:bookmarkEnd w:id="0"/>
    </w:p>
    <w:p w14:paraId="53F72CE1" w14:textId="5758950C" w:rsidR="00C15E9C" w:rsidRPr="006C6154" w:rsidRDefault="00C15E9C" w:rsidP="009F60A9">
      <w:pPr>
        <w:pStyle w:val="ListParagraph"/>
        <w:numPr>
          <w:ilvl w:val="1"/>
          <w:numId w:val="11"/>
        </w:numPr>
        <w:spacing w:after="0" w:line="240" w:lineRule="auto"/>
        <w:rPr>
          <w:rFonts w:ascii="Garamond" w:hAnsi="Garamond"/>
          <w:b/>
          <w:i/>
        </w:rPr>
      </w:pPr>
      <w:bookmarkStart w:id="1" w:name="_Toc334198721"/>
      <w:r w:rsidRPr="006C6154">
        <w:rPr>
          <w:rFonts w:ascii="Garamond" w:hAnsi="Garamond"/>
          <w:b/>
          <w:i/>
        </w:rPr>
        <w:t>Background Information</w:t>
      </w:r>
    </w:p>
    <w:bookmarkEnd w:id="1"/>
    <w:p w14:paraId="5BC97AA4" w14:textId="5CC3B9D2" w:rsidR="00447FBA" w:rsidRDefault="005E4C48" w:rsidP="00D83A73">
      <w:pPr>
        <w:spacing w:after="0" w:line="240" w:lineRule="auto"/>
        <w:rPr>
          <w:rFonts w:ascii="Garamond" w:hAnsi="Garamond"/>
          <w:color w:val="000000"/>
        </w:rPr>
      </w:pPr>
      <w:r>
        <w:rPr>
          <w:rFonts w:ascii="Garamond" w:hAnsi="Garamond"/>
          <w:color w:val="000000"/>
        </w:rPr>
        <w:t>The Chesapeake Bay is the largest estuary in the United States, fed by a watershed spanning six states and encompassing 166,000 km</w:t>
      </w:r>
      <w:r w:rsidR="00D06507" w:rsidRPr="00491104">
        <w:rPr>
          <w:rFonts w:ascii="Garamond" w:hAnsi="Garamond"/>
          <w:color w:val="000000"/>
          <w:vertAlign w:val="superscript"/>
        </w:rPr>
        <w:t>2</w:t>
      </w:r>
      <w:r>
        <w:rPr>
          <w:rFonts w:ascii="Garamond" w:hAnsi="Garamond"/>
          <w:color w:val="000000"/>
        </w:rPr>
        <w:t xml:space="preserve"> of diverse terrestrial and marine ecosystems (Phillips &amp; McGee, 2016). Over 3,000 species of bivalves, birds, fish, and other organisms inhabit the watershed, whose coastal wetlands provide nurseries, food, and nesting sites (Chesapeake Bay Foundation). The Chesapeake Bay also generates substantial commercial benefits, hosting a multi-billion dollar boating industry and fisheries capable of generating $2 billion per year (Maryland Department of Natural Resources, 2012). Therefore, the health of the Bay and neighboring watersheds is of great ecological and economic importance to the Mid-Atlantic region. However, soil erosion and nutrient leaching from agricultural lands pose a major threat to the estuary and its local waterways (Dauer, Ranasinghe, &amp; Weisberg, 2000). Sediment loading from farms buries benthic organisms, prevents sunlight from reaching submerged aquatic vegetation and transports nutrients such as nitrogen into vulnerable habitats (Gellis, Banks, Langland, &amp; Martucci, 2004). Excess nitrogen can induce eutrophication and subsequent hypoxia in coastal waters, threatening the prolific fisheries of the Chesapeake Bay (Boesch, Brinsfield, &amp; Magnien, 2001; Malone, Boynton, Horton, &amp; Stevenson, 1993).</w:t>
      </w:r>
    </w:p>
    <w:p w14:paraId="0D27B7AD" w14:textId="77777777" w:rsidR="00E01F63" w:rsidRDefault="00E01F63" w:rsidP="00D83A73">
      <w:pPr>
        <w:spacing w:after="0" w:line="240" w:lineRule="auto"/>
        <w:rPr>
          <w:rFonts w:ascii="Garamond" w:hAnsi="Garamond"/>
          <w:color w:val="000000"/>
        </w:rPr>
      </w:pPr>
    </w:p>
    <w:p w14:paraId="15228D7C" w14:textId="134C9406" w:rsidR="00C5240D" w:rsidRDefault="005E4C48" w:rsidP="00D83A73">
      <w:pPr>
        <w:spacing w:after="0" w:line="240" w:lineRule="auto"/>
        <w:rPr>
          <w:rFonts w:ascii="Garamond" w:hAnsi="Garamond"/>
          <w:color w:val="000000"/>
        </w:rPr>
      </w:pPr>
      <w:r>
        <w:rPr>
          <w:rFonts w:ascii="Garamond" w:hAnsi="Garamond"/>
          <w:color w:val="000000"/>
        </w:rPr>
        <w:t>To help mitigate these effects, the Maryland Department of Agriculture (MDA) oversees the Maryland Agricultural Water Quality Cost-Share (MACS) Program. This program offers subsidies to Maryland farmers who plant winter cover crops, which have been linked to reduced soil erosion and nitrogen leaching in the Chesapeake Bay region (Hively et al, 2009a; Staver, 2001). Cover crop success varies significantly depending on agronomic factors such as planting date, planting method, and crop species (Hively et. al., 2009a). Studies have linked biomass in particular to increased soil retention, as higher crop biomass correlates with less soil erosion (Prabahakara, Hively, &amp; McCarty, 2015). Therefore, the MDA is interested in methods for analyzing cover crop performance across several variables in order to identify best practices for farms enrolled in its cost-sharing program.</w:t>
      </w:r>
    </w:p>
    <w:p w14:paraId="31EA5920" w14:textId="77777777" w:rsidR="00447FBA" w:rsidRDefault="00447FBA" w:rsidP="00D83A73">
      <w:pPr>
        <w:spacing w:after="0" w:line="240" w:lineRule="auto"/>
        <w:rPr>
          <w:rFonts w:ascii="Garamond" w:hAnsi="Garamond"/>
          <w:color w:val="000000"/>
        </w:rPr>
      </w:pPr>
    </w:p>
    <w:p w14:paraId="5B2057DB" w14:textId="5BBC87E0" w:rsidR="00C5240D" w:rsidRDefault="005E4C48" w:rsidP="00D83A73">
      <w:pPr>
        <w:spacing w:after="0" w:line="240" w:lineRule="auto"/>
        <w:rPr>
          <w:rFonts w:ascii="Garamond" w:hAnsi="Garamond"/>
          <w:color w:val="000000"/>
        </w:rPr>
      </w:pPr>
      <w:r>
        <w:rPr>
          <w:rFonts w:ascii="Garamond" w:hAnsi="Garamond"/>
          <w:color w:val="000000"/>
        </w:rPr>
        <w:t xml:space="preserve">Remote sensing provides powerful satellite imagery tools for monitoring vegetation health, including that of cover crops. Recent research on cover crop efficiency in the Chesapeake Bay region has been conducted largely by a partnership between the United States Geological Survey (USGS) and United States Department of Agriculture’s Agricultural Research Service (USDA-ARS) (Hively et al., 2015; Hively et al., 2009a; Hively, McCarty, &amp; Keppler 2009b). The MDA works in tandem with this partnership and ensures compliance with </w:t>
      </w:r>
      <w:r w:rsidR="0088672F" w:rsidRPr="0088672F">
        <w:rPr>
          <w:rFonts w:ascii="Garamond" w:hAnsi="Garamond"/>
          <w:noProof/>
          <w:color w:val="000000"/>
        </w:rPr>
        <w:lastRenderedPageBreak/>
        <w:t xml:space="preserve">the </w:t>
      </w:r>
      <w:r w:rsidRPr="0088672F">
        <w:rPr>
          <w:rFonts w:ascii="Garamond" w:hAnsi="Garamond"/>
          <w:noProof/>
          <w:color w:val="000000"/>
        </w:rPr>
        <w:t>MACS</w:t>
      </w:r>
      <w:r>
        <w:rPr>
          <w:rFonts w:ascii="Garamond" w:hAnsi="Garamond"/>
          <w:color w:val="000000"/>
        </w:rPr>
        <w:t xml:space="preserve"> Program protocol</w:t>
      </w:r>
      <w:r w:rsidR="008450DA">
        <w:rPr>
          <w:rFonts w:ascii="Garamond" w:hAnsi="Garamond"/>
          <w:color w:val="000000"/>
        </w:rPr>
        <w:t xml:space="preserve"> by</w:t>
      </w:r>
      <w:r>
        <w:rPr>
          <w:rFonts w:ascii="Garamond" w:hAnsi="Garamond"/>
          <w:color w:val="000000"/>
        </w:rPr>
        <w:t xml:space="preserve"> performing spot-checks on 20% of enrolled fields (J. Keppler, personal communication, October 1, 2018). Remote sensing technologies offer the opportunity to forego labor-intensive spot-checking and implement publicly available satellite data for evaluating enrollment compliance. Furthermore, spectral vegetation indices can be used to assess winter cover crop performance and enhance MDA recommendations to farmers seeking to improve their conservation strategies (Hively et al., 2015). However, remote sensing research in Chesapeake Bay winter cover crop analysis has not been conducted over large regional scales (Hively, Duiker, McCarty, &amp; Prabahakara, 2015; Prabahakara et al., 2015).</w:t>
      </w:r>
    </w:p>
    <w:p w14:paraId="699A9B85" w14:textId="77777777" w:rsidR="00C5240D" w:rsidRDefault="00C5240D" w:rsidP="00D83A73">
      <w:pPr>
        <w:spacing w:after="0" w:line="240" w:lineRule="auto"/>
        <w:rPr>
          <w:rFonts w:ascii="Garamond" w:hAnsi="Garamond"/>
          <w:color w:val="000000"/>
        </w:rPr>
      </w:pPr>
    </w:p>
    <w:p w14:paraId="6B4D3679" w14:textId="4B8DE7B2" w:rsidR="00C5240D" w:rsidRDefault="005E4C48" w:rsidP="00D83A73">
      <w:pPr>
        <w:spacing w:after="0" w:line="240" w:lineRule="auto"/>
        <w:rPr>
          <w:rFonts w:ascii="Garamond" w:hAnsi="Garamond"/>
          <w:color w:val="000000"/>
        </w:rPr>
      </w:pPr>
      <w:r>
        <w:rPr>
          <w:rFonts w:ascii="Garamond" w:hAnsi="Garamond"/>
          <w:color w:val="000000"/>
        </w:rPr>
        <w:t xml:space="preserve">A prior study conducted by the spring 2017 NASA DEVELOP team examined cover crops in four Maryland counties–Talbot, Somerset, Queen Anne’s, and Washington–to aid the MDA in their performance analysis. Data were analyzed for winter (December 15-January 31) and spring (March 1-April 15) from 2006 to 2016. Using the open-source coding platform Google Earth Engine (GEE), the previous team applied remote sensing techniques to MDA field data to analyze crop performance. The team found that </w:t>
      </w:r>
      <w:r w:rsidR="008450DA">
        <w:rPr>
          <w:rFonts w:ascii="Garamond" w:hAnsi="Garamond"/>
          <w:color w:val="000000"/>
        </w:rPr>
        <w:t xml:space="preserve">the </w:t>
      </w:r>
      <w:r>
        <w:rPr>
          <w:rFonts w:ascii="Garamond" w:hAnsi="Garamond"/>
          <w:color w:val="000000"/>
        </w:rPr>
        <w:t>parameter of interest, Normalized Difference Vegetation Index (NDVI), correlated reasonably well with both plant biomass and percent ground cover, two useful metrics for remotely evaluating crop health (Hively et. al., 2009a; Prabhakara et. al., 2015).</w:t>
      </w:r>
    </w:p>
    <w:p w14:paraId="09BC9559" w14:textId="77777777" w:rsidR="00C5240D" w:rsidRDefault="00C5240D" w:rsidP="00D83A73">
      <w:pPr>
        <w:spacing w:after="0" w:line="240" w:lineRule="auto"/>
        <w:rPr>
          <w:rFonts w:ascii="Garamond" w:hAnsi="Garamond"/>
          <w:color w:val="000000"/>
        </w:rPr>
      </w:pPr>
    </w:p>
    <w:p w14:paraId="22BA311B" w14:textId="7BAD481D" w:rsidR="00C5240D" w:rsidRDefault="005E4C48" w:rsidP="00D83A73">
      <w:pPr>
        <w:spacing w:after="0" w:line="240" w:lineRule="auto"/>
        <w:rPr>
          <w:rFonts w:ascii="Garamond" w:hAnsi="Garamond"/>
          <w:color w:val="000000"/>
        </w:rPr>
      </w:pPr>
      <w:r>
        <w:rPr>
          <w:rFonts w:ascii="Garamond" w:hAnsi="Garamond"/>
          <w:color w:val="000000"/>
        </w:rPr>
        <w:t>The current team continued work in the same study area (Figure 1) and expanded the study period to 2018. Graphical user interface (GUI) production in GEE streamlined methodology used by the previous team, automating the analysis process for the end-user. The GUI provides the MDA the opportunity to analyze the effectiveness of the program on both small and large scales while granting insight into best practices for an updated incentive structure.</w:t>
      </w:r>
    </w:p>
    <w:p w14:paraId="5B72D9B7" w14:textId="77777777" w:rsidR="00447FBA" w:rsidRDefault="00447FBA" w:rsidP="00C15E9C">
      <w:pPr>
        <w:spacing w:after="0" w:line="240" w:lineRule="auto"/>
        <w:rPr>
          <w:rFonts w:ascii="Garamond" w:hAnsi="Garamond"/>
          <w:color w:val="000000"/>
        </w:rPr>
      </w:pPr>
    </w:p>
    <w:p w14:paraId="69851EFE" w14:textId="34D6DEC6" w:rsidR="00C5240D" w:rsidRDefault="00C5240D" w:rsidP="00E01F63">
      <w:pPr>
        <w:spacing w:after="0" w:line="240" w:lineRule="auto"/>
        <w:jc w:val="center"/>
        <w:rPr>
          <w:rFonts w:ascii="Garamond" w:hAnsi="Garamond"/>
          <w:color w:val="000000"/>
        </w:rPr>
      </w:pPr>
      <w:r>
        <w:rPr>
          <w:rFonts w:ascii="Garamond" w:hAnsi="Garamond"/>
          <w:noProof/>
          <w:color w:val="000000"/>
        </w:rPr>
        <w:drawing>
          <wp:inline distT="0" distB="0" distL="0" distR="0" wp14:anchorId="49621854" wp14:editId="30867B26">
            <wp:extent cx="6067093" cy="2733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2aroToXCHNXqgGmwx1kupzxRvmXrCXN2IM5Hgc69dLBl-8XMcVOb1jfittrAqKlp1FXGVAu3XIa6ZN5dVw4emXc3lhR_0DRgWlLGldtfq_OVOrwT3ZsYV3R_A17UtNV_S07JbA6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070476" cy="2735199"/>
                    </a:xfrm>
                    <a:prstGeom prst="rect">
                      <a:avLst/>
                    </a:prstGeom>
                    <a:noFill/>
                    <a:ln>
                      <a:noFill/>
                    </a:ln>
                  </pic:spPr>
                </pic:pic>
              </a:graphicData>
            </a:graphic>
          </wp:inline>
        </w:drawing>
      </w:r>
    </w:p>
    <w:p w14:paraId="3B5E6475" w14:textId="4218E408" w:rsidR="00C5240D" w:rsidRDefault="005E4C48" w:rsidP="00485EA2">
      <w:pPr>
        <w:spacing w:after="0" w:line="240" w:lineRule="auto"/>
        <w:jc w:val="center"/>
        <w:rPr>
          <w:rFonts w:ascii="Garamond" w:hAnsi="Garamond"/>
          <w:color w:val="000000"/>
        </w:rPr>
      </w:pPr>
      <w:r>
        <w:rPr>
          <w:rFonts w:ascii="Garamond" w:hAnsi="Garamond"/>
          <w:i/>
          <w:iCs/>
          <w:color w:val="000000"/>
        </w:rPr>
        <w:t xml:space="preserve">Figure 1. </w:t>
      </w:r>
      <w:r>
        <w:rPr>
          <w:rFonts w:ascii="Garamond" w:hAnsi="Garamond"/>
          <w:color w:val="000000"/>
        </w:rPr>
        <w:t xml:space="preserve">Maryland </w:t>
      </w:r>
      <w:r w:rsidRPr="0088672F">
        <w:rPr>
          <w:rFonts w:ascii="Garamond" w:hAnsi="Garamond"/>
          <w:noProof/>
          <w:color w:val="000000"/>
        </w:rPr>
        <w:t>iMAP</w:t>
      </w:r>
      <w:r>
        <w:rPr>
          <w:rFonts w:ascii="Garamond" w:hAnsi="Garamond"/>
          <w:color w:val="000000"/>
        </w:rPr>
        <w:t xml:space="preserve"> (2018) detailed county boundaries on ArcGIS Pro World Imagery </w:t>
      </w:r>
      <w:r w:rsidRPr="0088672F">
        <w:rPr>
          <w:rFonts w:ascii="Garamond" w:hAnsi="Garamond"/>
          <w:noProof/>
          <w:color w:val="000000"/>
        </w:rPr>
        <w:t>basemap</w:t>
      </w:r>
      <w:r>
        <w:rPr>
          <w:rFonts w:ascii="Garamond" w:hAnsi="Garamond"/>
          <w:color w:val="000000"/>
        </w:rPr>
        <w:t xml:space="preserve"> with study areas highlighted.</w:t>
      </w:r>
    </w:p>
    <w:p w14:paraId="4AB0BFA0" w14:textId="77777777" w:rsidR="00C5240D" w:rsidRPr="00106FD6" w:rsidRDefault="00C5240D" w:rsidP="00C15E9C">
      <w:pPr>
        <w:spacing w:after="0" w:line="240" w:lineRule="auto"/>
        <w:rPr>
          <w:rFonts w:ascii="Garamond" w:hAnsi="Garamond"/>
          <w:bCs/>
        </w:rPr>
      </w:pPr>
    </w:p>
    <w:p w14:paraId="7C9D709B" w14:textId="11B9599A" w:rsidR="00C15E9C" w:rsidRPr="006C6154" w:rsidRDefault="00C15E9C" w:rsidP="00B468A3">
      <w:pPr>
        <w:pStyle w:val="ListParagraph"/>
        <w:numPr>
          <w:ilvl w:val="1"/>
          <w:numId w:val="11"/>
        </w:numPr>
        <w:spacing w:after="0" w:line="240" w:lineRule="auto"/>
        <w:rPr>
          <w:rFonts w:ascii="Garamond" w:hAnsi="Garamond"/>
          <w:b/>
          <w:bCs/>
          <w:i/>
        </w:rPr>
      </w:pPr>
      <w:r w:rsidRPr="006C6154">
        <w:rPr>
          <w:rFonts w:ascii="Garamond" w:hAnsi="Garamond"/>
          <w:b/>
          <w:bCs/>
          <w:i/>
        </w:rPr>
        <w:t xml:space="preserve">Project </w:t>
      </w:r>
      <w:r w:rsidR="00B468A3" w:rsidRPr="006C6154">
        <w:rPr>
          <w:rFonts w:ascii="Garamond" w:hAnsi="Garamond"/>
          <w:b/>
          <w:bCs/>
          <w:i/>
        </w:rPr>
        <w:t>Partners &amp; Objectives</w:t>
      </w:r>
    </w:p>
    <w:p w14:paraId="61B21CAF" w14:textId="2205E25D" w:rsidR="00C15E9C" w:rsidRPr="00106FD6" w:rsidRDefault="005E4C48" w:rsidP="00D83A73">
      <w:pPr>
        <w:spacing w:after="0" w:line="240" w:lineRule="auto"/>
        <w:rPr>
          <w:rFonts w:ascii="Garamond" w:hAnsi="Garamond"/>
        </w:rPr>
      </w:pPr>
      <w:r>
        <w:rPr>
          <w:rFonts w:ascii="Garamond" w:hAnsi="Garamond"/>
          <w:color w:val="000000"/>
        </w:rPr>
        <w:t xml:space="preserve">Project development was conducted in collaboration with the MDA Office of Resource Conservation (ORC), the USGS Eastern Geographic Science Center (EGSC), the USDA-ARS, and the Environmental Protection Agency (EPA) Chesapeake Bay Program (CBP). Code </w:t>
      </w:r>
      <w:r w:rsidRPr="00491104">
        <w:rPr>
          <w:rFonts w:ascii="Garamond" w:hAnsi="Garamond"/>
          <w:noProof/>
          <w:color w:val="000000"/>
        </w:rPr>
        <w:t>written</w:t>
      </w:r>
      <w:r>
        <w:rPr>
          <w:rFonts w:ascii="Garamond" w:hAnsi="Garamond"/>
          <w:color w:val="000000"/>
        </w:rPr>
        <w:t xml:space="preserve"> by the previous DEVELOP team in GEE, R, and Excel w</w:t>
      </w:r>
      <w:r w:rsidR="00491104">
        <w:rPr>
          <w:rFonts w:ascii="Garamond" w:hAnsi="Garamond"/>
          <w:color w:val="000000"/>
        </w:rPr>
        <w:t>as</w:t>
      </w:r>
      <w:r>
        <w:rPr>
          <w:rFonts w:ascii="Garamond" w:hAnsi="Garamond"/>
          <w:color w:val="000000"/>
        </w:rPr>
        <w:t xml:space="preserve"> synthesized to provide the MDA with software that enables enhanced analysis of cover crop biomass and percent ground cover. The GUI automates winter cover crop evaluation, producing both tabular and graphical analysis of performance over time and by county, planting date, and crop type. This software </w:t>
      </w:r>
      <w:r>
        <w:rPr>
          <w:rFonts w:ascii="Garamond" w:hAnsi="Garamond"/>
          <w:color w:val="000000"/>
        </w:rPr>
        <w:lastRenderedPageBreak/>
        <w:t>can contribute to more informed decision-making regarding Chesapeake Bay conservation efforts and ensure proper compliance with the Maryland cost-sharing program.</w:t>
      </w:r>
    </w:p>
    <w:p w14:paraId="4EAB8422" w14:textId="0513B259" w:rsidR="00E41324" w:rsidRPr="005A5711" w:rsidRDefault="00A43059" w:rsidP="00D3013B">
      <w:pPr>
        <w:pStyle w:val="Heading1"/>
        <w:rPr>
          <w:rFonts w:ascii="Garamond" w:hAnsi="Garamond"/>
        </w:rPr>
      </w:pPr>
      <w:bookmarkStart w:id="2" w:name="_Toc334198726"/>
      <w:r w:rsidRPr="005A5711">
        <w:rPr>
          <w:rFonts w:ascii="Garamond" w:hAnsi="Garamond"/>
        </w:rPr>
        <w:t>3</w:t>
      </w:r>
      <w:r w:rsidR="008B7071" w:rsidRPr="005A5711">
        <w:rPr>
          <w:rFonts w:ascii="Garamond" w:hAnsi="Garamond"/>
        </w:rPr>
        <w:t xml:space="preserve">. </w:t>
      </w:r>
      <w:r w:rsidR="00E41324" w:rsidRPr="005A5711">
        <w:rPr>
          <w:rFonts w:ascii="Garamond" w:hAnsi="Garamond"/>
        </w:rPr>
        <w:t>Methodology</w:t>
      </w:r>
      <w:bookmarkEnd w:id="2"/>
    </w:p>
    <w:p w14:paraId="6B9E638C" w14:textId="77777777"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 xml:space="preserve">3.1 </w:t>
      </w:r>
      <w:r w:rsidRPr="0066075C">
        <w:rPr>
          <w:rFonts w:ascii="Garamond" w:hAnsi="Garamond"/>
          <w:b/>
          <w:i/>
        </w:rPr>
        <w:t>Data Acquisition</w:t>
      </w:r>
      <w:r w:rsidRPr="0066075C">
        <w:rPr>
          <w:rFonts w:ascii="Garamond" w:hAnsi="Garamond" w:cs="Arial"/>
          <w:b/>
          <w:i/>
          <w:szCs w:val="24"/>
        </w:rPr>
        <w:t xml:space="preserve"> </w:t>
      </w:r>
    </w:p>
    <w:p w14:paraId="3ACAD469" w14:textId="0AD5A243" w:rsidR="00A43059" w:rsidRDefault="0073301D" w:rsidP="00D83A73">
      <w:pPr>
        <w:spacing w:after="0" w:line="240" w:lineRule="auto"/>
        <w:rPr>
          <w:rFonts w:ascii="Garamond" w:hAnsi="Garamond"/>
          <w:color w:val="000000"/>
        </w:rPr>
      </w:pPr>
      <w:r>
        <w:rPr>
          <w:rFonts w:ascii="Garamond" w:hAnsi="Garamond"/>
          <w:color w:val="000000"/>
        </w:rPr>
        <w:t>The team worked with the same NASA Landsat archival imagery and European Space Agency (ESA) Sentinel-2 imagery that was used during the previous term to continue analysis of winter cover crops. See Table 1 for a complete list of platforms and sensors used for imagery collection. Data were analyzed for winter (December 15-January 31) and spring (March 1-April 15) from December 2006 to April 2018.</w:t>
      </w:r>
    </w:p>
    <w:p w14:paraId="7CE1B4F1" w14:textId="77777777" w:rsidR="00447FBA" w:rsidRDefault="00447FBA" w:rsidP="00D83A73">
      <w:pPr>
        <w:spacing w:after="0" w:line="240" w:lineRule="auto"/>
        <w:rPr>
          <w:rFonts w:ascii="Garamond" w:hAnsi="Garamond"/>
          <w:color w:val="000000"/>
        </w:rPr>
      </w:pPr>
    </w:p>
    <w:p w14:paraId="4300301F" w14:textId="6B16DCB2" w:rsidR="007D526C" w:rsidRPr="00641237" w:rsidRDefault="00641237" w:rsidP="00D83A73">
      <w:pPr>
        <w:spacing w:after="0" w:line="240" w:lineRule="auto"/>
        <w:rPr>
          <w:rFonts w:ascii="Garamond" w:eastAsia="Times New Roman" w:hAnsi="Garamond" w:cs="Times New Roman"/>
          <w:bCs/>
          <w:color w:val="000000"/>
        </w:rPr>
      </w:pPr>
      <w:r>
        <w:rPr>
          <w:rFonts w:ascii="Garamond" w:eastAsia="Times New Roman" w:hAnsi="Garamond" w:cs="Times New Roman"/>
          <w:b/>
          <w:bCs/>
          <w:color w:val="000000"/>
        </w:rPr>
        <w:t>Table 1:</w:t>
      </w:r>
      <w:r>
        <w:rPr>
          <w:rFonts w:ascii="Garamond" w:eastAsia="Times New Roman" w:hAnsi="Garamond" w:cs="Times New Roman"/>
          <w:bCs/>
          <w:color w:val="000000"/>
        </w:rPr>
        <w:t xml:space="preserve"> </w:t>
      </w:r>
      <w:r w:rsidR="00447FBA" w:rsidRPr="00641237">
        <w:rPr>
          <w:rFonts w:ascii="Garamond" w:eastAsia="Times New Roman" w:hAnsi="Garamond" w:cs="Times New Roman"/>
          <w:color w:val="000000"/>
        </w:rPr>
        <w:t>Earth observation platforms, sensors, and image levels used for this project.</w:t>
      </w:r>
    </w:p>
    <w:tbl>
      <w:tblPr>
        <w:tblW w:w="9350" w:type="dxa"/>
        <w:tblCellMar>
          <w:top w:w="15" w:type="dxa"/>
          <w:left w:w="15" w:type="dxa"/>
          <w:bottom w:w="15" w:type="dxa"/>
          <w:right w:w="15" w:type="dxa"/>
        </w:tblCellMar>
        <w:tblLook w:val="04A0" w:firstRow="1" w:lastRow="0" w:firstColumn="1" w:lastColumn="0" w:noHBand="0" w:noVBand="1"/>
      </w:tblPr>
      <w:tblGrid>
        <w:gridCol w:w="1050"/>
        <w:gridCol w:w="2925"/>
        <w:gridCol w:w="965"/>
        <w:gridCol w:w="4410"/>
      </w:tblGrid>
      <w:tr w:rsidR="007D526C" w:rsidRPr="007D526C" w14:paraId="1D518AE9" w14:textId="77777777" w:rsidTr="007D5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2E01D" w14:textId="77777777" w:rsidR="007D526C" w:rsidRPr="007D526C" w:rsidRDefault="007D526C" w:rsidP="00D83A73">
            <w:pPr>
              <w:spacing w:after="0" w:line="240" w:lineRule="auto"/>
              <w:rPr>
                <w:rFonts w:ascii="Times New Roman" w:eastAsia="Times New Roman" w:hAnsi="Times New Roman" w:cs="Times New Roman"/>
                <w:sz w:val="24"/>
                <w:szCs w:val="24"/>
              </w:rPr>
            </w:pPr>
            <w:r w:rsidRPr="007D526C">
              <w:rPr>
                <w:rFonts w:ascii="Garamond" w:eastAsia="Times New Roman" w:hAnsi="Garamond" w:cs="Times New Roman"/>
                <w:b/>
                <w:bCs/>
                <w:color w:val="000000"/>
              </w:rPr>
              <w:t>Platform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CA3FC" w14:textId="77777777" w:rsidR="007D526C" w:rsidRPr="007D526C" w:rsidRDefault="007D526C" w:rsidP="00D83A73">
            <w:pPr>
              <w:spacing w:after="0" w:line="240" w:lineRule="auto"/>
              <w:rPr>
                <w:rFonts w:ascii="Times New Roman" w:eastAsia="Times New Roman" w:hAnsi="Times New Roman" w:cs="Times New Roman"/>
                <w:sz w:val="24"/>
                <w:szCs w:val="24"/>
              </w:rPr>
            </w:pPr>
            <w:r w:rsidRPr="007D526C">
              <w:rPr>
                <w:rFonts w:ascii="Garamond" w:eastAsia="Times New Roman" w:hAnsi="Garamond" w:cs="Times New Roman"/>
                <w:b/>
                <w:bCs/>
                <w:color w:val="000000"/>
              </w:rPr>
              <w:t>Sensor</w:t>
            </w:r>
          </w:p>
        </w:tc>
        <w:tc>
          <w:tcPr>
            <w:tcW w:w="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BC04E" w14:textId="77777777" w:rsidR="007D526C" w:rsidRPr="007D526C" w:rsidRDefault="007D526C" w:rsidP="00D83A73">
            <w:pPr>
              <w:spacing w:after="0" w:line="240" w:lineRule="auto"/>
              <w:rPr>
                <w:rFonts w:ascii="Times New Roman" w:eastAsia="Times New Roman" w:hAnsi="Times New Roman" w:cs="Times New Roman"/>
                <w:sz w:val="24"/>
                <w:szCs w:val="24"/>
              </w:rPr>
            </w:pPr>
            <w:r w:rsidRPr="007D526C">
              <w:rPr>
                <w:rFonts w:ascii="Garamond" w:eastAsia="Times New Roman" w:hAnsi="Garamond" w:cs="Times New Roman"/>
                <w:b/>
                <w:bCs/>
                <w:color w:val="000000"/>
              </w:rPr>
              <w:t>Level</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D4E4C" w14:textId="77777777" w:rsidR="007D526C" w:rsidRPr="007D526C" w:rsidRDefault="007D526C" w:rsidP="00D83A73">
            <w:pPr>
              <w:spacing w:after="0" w:line="240" w:lineRule="auto"/>
              <w:rPr>
                <w:rFonts w:ascii="Times New Roman" w:eastAsia="Times New Roman" w:hAnsi="Times New Roman" w:cs="Times New Roman"/>
                <w:sz w:val="24"/>
                <w:szCs w:val="24"/>
              </w:rPr>
            </w:pPr>
            <w:r w:rsidRPr="007D526C">
              <w:rPr>
                <w:rFonts w:ascii="Garamond" w:eastAsia="Times New Roman" w:hAnsi="Garamond" w:cs="Times New Roman"/>
                <w:b/>
                <w:bCs/>
                <w:color w:val="000000"/>
              </w:rPr>
              <w:t>Google Earth Engine ImageCollection IDs</w:t>
            </w:r>
          </w:p>
        </w:tc>
      </w:tr>
      <w:tr w:rsidR="007D526C" w:rsidRPr="007D526C" w14:paraId="17CA1F23" w14:textId="77777777" w:rsidTr="007D5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AC331" w14:textId="77777777" w:rsidR="007D526C" w:rsidRPr="007D526C" w:rsidRDefault="007D526C" w:rsidP="00D83A73">
            <w:pPr>
              <w:spacing w:after="0" w:line="240" w:lineRule="auto"/>
              <w:rPr>
                <w:rFonts w:ascii="Times New Roman" w:eastAsia="Times New Roman" w:hAnsi="Times New Roman" w:cs="Times New Roman"/>
                <w:sz w:val="24"/>
                <w:szCs w:val="24"/>
              </w:rPr>
            </w:pPr>
            <w:r w:rsidRPr="007D526C">
              <w:rPr>
                <w:rFonts w:ascii="Garamond" w:eastAsia="Times New Roman" w:hAnsi="Garamond" w:cs="Times New Roman"/>
                <w:color w:val="000000"/>
              </w:rPr>
              <w:t>Landsat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F11A2" w14:textId="77777777" w:rsidR="007D526C" w:rsidRPr="007D526C" w:rsidRDefault="007D526C" w:rsidP="00D83A73">
            <w:pPr>
              <w:spacing w:after="0" w:line="240" w:lineRule="auto"/>
              <w:rPr>
                <w:rFonts w:ascii="Times New Roman" w:eastAsia="Times New Roman" w:hAnsi="Times New Roman" w:cs="Times New Roman"/>
                <w:sz w:val="24"/>
                <w:szCs w:val="24"/>
              </w:rPr>
            </w:pPr>
            <w:r w:rsidRPr="007D526C">
              <w:rPr>
                <w:rFonts w:ascii="Garamond" w:eastAsia="Times New Roman" w:hAnsi="Garamond" w:cs="Times New Roman"/>
                <w:color w:val="000000"/>
              </w:rPr>
              <w:t>Thematic Mapper (TM)</w:t>
            </w:r>
          </w:p>
        </w:tc>
        <w:tc>
          <w:tcPr>
            <w:tcW w:w="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43DBC" w14:textId="77777777" w:rsidR="007D526C" w:rsidRPr="007D526C" w:rsidRDefault="007D526C" w:rsidP="00D83A73">
            <w:pPr>
              <w:spacing w:after="0" w:line="240" w:lineRule="auto"/>
              <w:rPr>
                <w:rFonts w:ascii="Times New Roman" w:eastAsia="Times New Roman" w:hAnsi="Times New Roman" w:cs="Times New Roman"/>
                <w:sz w:val="24"/>
                <w:szCs w:val="24"/>
              </w:rPr>
            </w:pPr>
            <w:r w:rsidRPr="007D526C">
              <w:rPr>
                <w:rFonts w:ascii="Garamond" w:eastAsia="Times New Roman" w:hAnsi="Garamond" w:cs="Times New Roman"/>
                <w:color w:val="000000"/>
              </w:rPr>
              <w:t>1</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10C84" w14:textId="77777777" w:rsidR="007D526C" w:rsidRPr="007D526C" w:rsidRDefault="007D526C" w:rsidP="00D83A73">
            <w:pPr>
              <w:spacing w:after="0" w:line="240" w:lineRule="auto"/>
              <w:rPr>
                <w:rFonts w:ascii="Times New Roman" w:eastAsia="Times New Roman" w:hAnsi="Times New Roman" w:cs="Times New Roman"/>
                <w:sz w:val="24"/>
                <w:szCs w:val="24"/>
              </w:rPr>
            </w:pPr>
            <w:r w:rsidRPr="007D526C">
              <w:rPr>
                <w:rFonts w:ascii="Garamond" w:eastAsia="Times New Roman" w:hAnsi="Garamond" w:cs="Times New Roman"/>
                <w:color w:val="24292E"/>
                <w:shd w:val="clear" w:color="auto" w:fill="FFFFFF"/>
              </w:rPr>
              <w:t>LANDSAT/LT05/C01/T1_SR</w:t>
            </w:r>
          </w:p>
        </w:tc>
      </w:tr>
      <w:tr w:rsidR="007D526C" w:rsidRPr="007D526C" w14:paraId="1E794B4F" w14:textId="77777777" w:rsidTr="007D5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94CDE" w14:textId="77777777" w:rsidR="007D526C" w:rsidRPr="007D526C" w:rsidRDefault="007D526C" w:rsidP="00D83A73">
            <w:pPr>
              <w:spacing w:after="0" w:line="240" w:lineRule="auto"/>
              <w:rPr>
                <w:rFonts w:ascii="Times New Roman" w:eastAsia="Times New Roman" w:hAnsi="Times New Roman" w:cs="Times New Roman"/>
                <w:sz w:val="24"/>
                <w:szCs w:val="24"/>
              </w:rPr>
            </w:pPr>
            <w:r w:rsidRPr="007D526C">
              <w:rPr>
                <w:rFonts w:ascii="Garamond" w:eastAsia="Times New Roman" w:hAnsi="Garamond" w:cs="Times New Roman"/>
                <w:color w:val="000000"/>
              </w:rPr>
              <w:t>Landsat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6C19C" w14:textId="77777777" w:rsidR="007D526C" w:rsidRPr="007D526C" w:rsidRDefault="007D526C" w:rsidP="00D83A73">
            <w:pPr>
              <w:spacing w:after="0" w:line="240" w:lineRule="auto"/>
              <w:rPr>
                <w:rFonts w:ascii="Times New Roman" w:eastAsia="Times New Roman" w:hAnsi="Times New Roman" w:cs="Times New Roman"/>
                <w:sz w:val="24"/>
                <w:szCs w:val="24"/>
              </w:rPr>
            </w:pPr>
            <w:r w:rsidRPr="007D526C">
              <w:rPr>
                <w:rFonts w:ascii="Garamond" w:eastAsia="Times New Roman" w:hAnsi="Garamond" w:cs="Times New Roman"/>
                <w:color w:val="000000"/>
              </w:rPr>
              <w:t>Operational Land Imager (OLI)</w:t>
            </w:r>
          </w:p>
        </w:tc>
        <w:tc>
          <w:tcPr>
            <w:tcW w:w="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E32CD" w14:textId="77777777" w:rsidR="007D526C" w:rsidRPr="007D526C" w:rsidRDefault="007D526C" w:rsidP="00D83A73">
            <w:pPr>
              <w:spacing w:after="0" w:line="240" w:lineRule="auto"/>
              <w:rPr>
                <w:rFonts w:ascii="Times New Roman" w:eastAsia="Times New Roman" w:hAnsi="Times New Roman" w:cs="Times New Roman"/>
                <w:sz w:val="24"/>
                <w:szCs w:val="24"/>
              </w:rPr>
            </w:pPr>
            <w:r w:rsidRPr="007D526C">
              <w:rPr>
                <w:rFonts w:ascii="Garamond" w:eastAsia="Times New Roman" w:hAnsi="Garamond" w:cs="Times New Roman"/>
                <w:color w:val="000000"/>
              </w:rPr>
              <w:t>1</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F8DA1" w14:textId="77777777" w:rsidR="007D526C" w:rsidRPr="007D526C" w:rsidRDefault="007D526C" w:rsidP="00D83A73">
            <w:pPr>
              <w:spacing w:after="0" w:line="240" w:lineRule="auto"/>
              <w:rPr>
                <w:rFonts w:ascii="Times New Roman" w:eastAsia="Times New Roman" w:hAnsi="Times New Roman" w:cs="Times New Roman"/>
                <w:sz w:val="24"/>
                <w:szCs w:val="24"/>
              </w:rPr>
            </w:pPr>
            <w:r w:rsidRPr="007D526C">
              <w:rPr>
                <w:rFonts w:ascii="Garamond" w:eastAsia="Times New Roman" w:hAnsi="Garamond" w:cs="Times New Roman"/>
                <w:color w:val="000000"/>
              </w:rPr>
              <w:t>LANDSAT/LC08/C01/T1_SR</w:t>
            </w:r>
          </w:p>
        </w:tc>
      </w:tr>
      <w:tr w:rsidR="007D526C" w:rsidRPr="007D526C" w14:paraId="52CEA333" w14:textId="77777777" w:rsidTr="007D5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AC5E1" w14:textId="77777777" w:rsidR="007D526C" w:rsidRPr="007D526C" w:rsidRDefault="007D526C" w:rsidP="00D83A73">
            <w:pPr>
              <w:spacing w:after="0" w:line="240" w:lineRule="auto"/>
              <w:rPr>
                <w:rFonts w:ascii="Times New Roman" w:eastAsia="Times New Roman" w:hAnsi="Times New Roman" w:cs="Times New Roman"/>
                <w:sz w:val="24"/>
                <w:szCs w:val="24"/>
              </w:rPr>
            </w:pPr>
            <w:r w:rsidRPr="007D526C">
              <w:rPr>
                <w:rFonts w:ascii="Garamond" w:eastAsia="Times New Roman" w:hAnsi="Garamond" w:cs="Times New Roman"/>
                <w:color w:val="000000"/>
              </w:rPr>
              <w:t>Sentinel-2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61AB7" w14:textId="77777777" w:rsidR="007D526C" w:rsidRPr="007D526C" w:rsidRDefault="007D526C" w:rsidP="00D83A73">
            <w:pPr>
              <w:spacing w:after="0" w:line="240" w:lineRule="auto"/>
              <w:rPr>
                <w:rFonts w:ascii="Times New Roman" w:eastAsia="Times New Roman" w:hAnsi="Times New Roman" w:cs="Times New Roman"/>
                <w:sz w:val="24"/>
                <w:szCs w:val="24"/>
              </w:rPr>
            </w:pPr>
            <w:r w:rsidRPr="007D526C">
              <w:rPr>
                <w:rFonts w:ascii="Garamond" w:eastAsia="Times New Roman" w:hAnsi="Garamond" w:cs="Times New Roman"/>
                <w:color w:val="000000"/>
              </w:rPr>
              <w:t>MultiSpectral Imager (MSI)</w:t>
            </w:r>
          </w:p>
        </w:tc>
        <w:tc>
          <w:tcPr>
            <w:tcW w:w="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B8704" w14:textId="77777777" w:rsidR="007D526C" w:rsidRPr="007D526C" w:rsidRDefault="007D526C" w:rsidP="00D83A73">
            <w:pPr>
              <w:spacing w:after="0" w:line="240" w:lineRule="auto"/>
              <w:rPr>
                <w:rFonts w:ascii="Times New Roman" w:eastAsia="Times New Roman" w:hAnsi="Times New Roman" w:cs="Times New Roman"/>
                <w:sz w:val="24"/>
                <w:szCs w:val="24"/>
              </w:rPr>
            </w:pPr>
            <w:r w:rsidRPr="007D526C">
              <w:rPr>
                <w:rFonts w:ascii="Garamond" w:eastAsia="Times New Roman" w:hAnsi="Garamond" w:cs="Times New Roman"/>
                <w:color w:val="000000"/>
              </w:rPr>
              <w:t>1C</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C78890" w14:textId="77777777" w:rsidR="007D526C" w:rsidRPr="007D526C" w:rsidRDefault="007D526C" w:rsidP="00D83A73">
            <w:pPr>
              <w:spacing w:after="0" w:line="240" w:lineRule="auto"/>
              <w:rPr>
                <w:rFonts w:ascii="Times New Roman" w:eastAsia="Times New Roman" w:hAnsi="Times New Roman" w:cs="Times New Roman"/>
                <w:sz w:val="24"/>
                <w:szCs w:val="24"/>
              </w:rPr>
            </w:pPr>
            <w:r w:rsidRPr="007D526C">
              <w:rPr>
                <w:rFonts w:ascii="Garamond" w:eastAsia="Times New Roman" w:hAnsi="Garamond" w:cs="Times New Roman"/>
                <w:color w:val="24292E"/>
                <w:shd w:val="clear" w:color="auto" w:fill="FFFFFF"/>
              </w:rPr>
              <w:t>COPERNICUS/S2</w:t>
            </w:r>
          </w:p>
        </w:tc>
      </w:tr>
    </w:tbl>
    <w:p w14:paraId="79E76A99" w14:textId="77777777" w:rsidR="00447FBA" w:rsidRPr="00106FD6" w:rsidRDefault="00447FBA" w:rsidP="00D83A73">
      <w:pPr>
        <w:spacing w:after="0" w:line="240" w:lineRule="auto"/>
        <w:rPr>
          <w:rFonts w:ascii="Garamond" w:hAnsi="Garamond" w:cs="Arial"/>
        </w:rPr>
      </w:pPr>
    </w:p>
    <w:p w14:paraId="7E6F3030" w14:textId="36EEB5E0" w:rsidR="00A43059" w:rsidRDefault="0073301D" w:rsidP="00D83A73">
      <w:pPr>
        <w:spacing w:after="0" w:line="240" w:lineRule="auto"/>
        <w:rPr>
          <w:rFonts w:ascii="Garamond" w:hAnsi="Garamond"/>
          <w:color w:val="000000"/>
        </w:rPr>
      </w:pPr>
      <w:r>
        <w:rPr>
          <w:rFonts w:ascii="Garamond" w:hAnsi="Garamond"/>
          <w:color w:val="000000"/>
        </w:rPr>
        <w:t>The team also received ground-truth data and cover crop program enrollment shapefiles from the MDA and previous term partners. Data were received for Talbot, Somerset, Queen Anne’s, and Washington counties. Each field contained parameters such as county identification codes, planting method, previous crop type, and current crop type. Calibration data collected by the USGS and USDA were also received for the years 2006 through 2012.</w:t>
      </w:r>
    </w:p>
    <w:p w14:paraId="73025046" w14:textId="77777777" w:rsidR="00447FBA" w:rsidRPr="00106FD6" w:rsidRDefault="00447FBA" w:rsidP="00A43059">
      <w:pPr>
        <w:spacing w:after="0" w:line="240" w:lineRule="auto"/>
        <w:rPr>
          <w:rFonts w:ascii="Garamond" w:hAnsi="Garamond" w:cs="Arial"/>
        </w:rPr>
      </w:pPr>
    </w:p>
    <w:p w14:paraId="76007EF6" w14:textId="0D5278D8" w:rsidR="00A43059" w:rsidRPr="0066075C" w:rsidRDefault="00A43059" w:rsidP="00A43059">
      <w:pPr>
        <w:spacing w:after="0" w:line="240" w:lineRule="auto"/>
        <w:rPr>
          <w:rFonts w:ascii="Garamond" w:hAnsi="Garamond" w:cs="Arial"/>
          <w:b/>
          <w:i/>
          <w:szCs w:val="24"/>
        </w:rPr>
      </w:pPr>
      <w:r w:rsidRPr="0066075C">
        <w:rPr>
          <w:rFonts w:ascii="Garamond" w:hAnsi="Garamond" w:cs="Arial"/>
          <w:b/>
          <w:i/>
          <w:szCs w:val="24"/>
        </w:rPr>
        <w:t>3.2 Data Processing</w:t>
      </w:r>
    </w:p>
    <w:p w14:paraId="2FF2A6CC" w14:textId="40BEA2C1" w:rsidR="00A43059" w:rsidRDefault="0073301D" w:rsidP="00B365F0">
      <w:pPr>
        <w:spacing w:after="0" w:line="240" w:lineRule="auto"/>
        <w:rPr>
          <w:rFonts w:ascii="Garamond" w:eastAsia="Times New Roman" w:hAnsi="Garamond" w:cs="Arial"/>
          <w:bCs/>
        </w:rPr>
      </w:pPr>
      <w:r>
        <w:rPr>
          <w:rFonts w:ascii="Garamond" w:hAnsi="Garamond"/>
          <w:color w:val="000000"/>
        </w:rPr>
        <w:t xml:space="preserve">Shapefiles provided by the MDA required reprojection into World Geodetic System 1984 (WKID 4326) via ArcGIS Pro. Following reprojection, shapefiles were uploaded as tabular data into GEE and a </w:t>
      </w:r>
      <w:r w:rsidRPr="0088672F">
        <w:rPr>
          <w:rFonts w:ascii="Garamond" w:hAnsi="Garamond"/>
          <w:noProof/>
          <w:color w:val="000000"/>
        </w:rPr>
        <w:t>15</w:t>
      </w:r>
      <w:r w:rsidR="0088672F" w:rsidRPr="00491104">
        <w:rPr>
          <w:rFonts w:ascii="Garamond" w:hAnsi="Garamond"/>
          <w:noProof/>
          <w:color w:val="000000"/>
        </w:rPr>
        <w:t>-</w:t>
      </w:r>
      <w:r w:rsidRPr="0088672F">
        <w:rPr>
          <w:rFonts w:ascii="Garamond" w:hAnsi="Garamond"/>
          <w:noProof/>
          <w:color w:val="000000"/>
        </w:rPr>
        <w:t>meter</w:t>
      </w:r>
      <w:r>
        <w:rPr>
          <w:rFonts w:ascii="Garamond" w:hAnsi="Garamond"/>
          <w:color w:val="000000"/>
        </w:rPr>
        <w:t xml:space="preserve"> inner buffer was created in order to reduce edge effects and maintain clear boundaries between agricultural fields. This buffer resulted in some fields losing geometric properties due to their small size; these fields were eliminated prior to conducting </w:t>
      </w:r>
      <w:r w:rsidR="00491104">
        <w:rPr>
          <w:rFonts w:ascii="Garamond" w:hAnsi="Garamond"/>
          <w:color w:val="000000"/>
        </w:rPr>
        <w:t xml:space="preserve">the </w:t>
      </w:r>
      <w:r w:rsidRPr="00491104">
        <w:rPr>
          <w:rFonts w:ascii="Garamond" w:hAnsi="Garamond"/>
          <w:noProof/>
          <w:color w:val="000000"/>
        </w:rPr>
        <w:t>analysis</w:t>
      </w:r>
      <w:r>
        <w:rPr>
          <w:rFonts w:ascii="Garamond" w:hAnsi="Garamond"/>
          <w:color w:val="000000"/>
        </w:rPr>
        <w:t>. The CFmask function was then applied to Landsat and Sentinel-2 data to find cloud-free images that would provide the most accurate assessment of enrolled fields. NDVI was calculated for every pixel in a field using the previous team’s GEE script. These values were averaged across each field. The day with the highest average NDVI was selected, and this date and its corresponding NDVI value were extracted for analysis.</w:t>
      </w:r>
    </w:p>
    <w:p w14:paraId="3A85428F" w14:textId="77777777" w:rsidR="00BD1A87" w:rsidRDefault="00BD1A87" w:rsidP="008975BD">
      <w:pPr>
        <w:spacing w:after="0" w:line="240" w:lineRule="auto"/>
        <w:rPr>
          <w:rFonts w:ascii="Garamond" w:hAnsi="Garamond" w:cs="Arial"/>
          <w:b/>
          <w:i/>
          <w:szCs w:val="24"/>
        </w:rPr>
      </w:pPr>
    </w:p>
    <w:p w14:paraId="538A5F1D" w14:textId="20BE9355"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3.3 Data Analysis</w:t>
      </w:r>
    </w:p>
    <w:p w14:paraId="7E6FC3FC" w14:textId="17B92EFA" w:rsidR="00A43059" w:rsidRDefault="0073301D" w:rsidP="00B365F0">
      <w:pPr>
        <w:spacing w:after="0" w:line="240" w:lineRule="auto"/>
        <w:rPr>
          <w:rFonts w:ascii="Garamond" w:hAnsi="Garamond"/>
          <w:color w:val="000000"/>
        </w:rPr>
      </w:pPr>
      <w:r>
        <w:rPr>
          <w:rFonts w:ascii="Garamond" w:hAnsi="Garamond"/>
          <w:color w:val="000000"/>
        </w:rPr>
        <w:t>The team utilized the previous term’s R script and partner-gathered calibration data to convert NDVI values into biomass and percent ground cover (Table 2).</w:t>
      </w:r>
    </w:p>
    <w:p w14:paraId="0E3EFB5D" w14:textId="77777777" w:rsidR="00485EA2" w:rsidRPr="009951FD" w:rsidRDefault="00485EA2" w:rsidP="00B365F0">
      <w:pPr>
        <w:spacing w:after="0" w:line="240" w:lineRule="auto"/>
        <w:rPr>
          <w:rFonts w:ascii="Garamond" w:hAnsi="Garamond"/>
          <w:color w:val="000000"/>
        </w:rPr>
      </w:pPr>
    </w:p>
    <w:p w14:paraId="6B37828D" w14:textId="671D8DC6" w:rsidR="00485EA2" w:rsidRPr="00641237" w:rsidRDefault="00485EA2" w:rsidP="00485EA2">
      <w:pPr>
        <w:spacing w:after="0" w:line="240" w:lineRule="auto"/>
        <w:rPr>
          <w:rFonts w:ascii="Garamond" w:eastAsia="Times New Roman" w:hAnsi="Garamond" w:cs="Times New Roman"/>
          <w:color w:val="000000"/>
        </w:rPr>
      </w:pPr>
      <w:r w:rsidRPr="00641237">
        <w:rPr>
          <w:rFonts w:ascii="Garamond" w:eastAsia="Times New Roman" w:hAnsi="Garamond" w:cs="Times New Roman"/>
          <w:b/>
          <w:bCs/>
          <w:color w:val="000000"/>
        </w:rPr>
        <w:t>Table 2:</w:t>
      </w:r>
      <w:r w:rsidRPr="00485EA2">
        <w:rPr>
          <w:rFonts w:ascii="Garamond" w:eastAsia="Times New Roman" w:hAnsi="Garamond" w:cs="Times New Roman"/>
          <w:color w:val="000000"/>
        </w:rPr>
        <w:t xml:space="preserve"> </w:t>
      </w:r>
      <w:r w:rsidRPr="00641237">
        <w:rPr>
          <w:rFonts w:ascii="Garamond" w:eastAsia="Times New Roman" w:hAnsi="Garamond" w:cs="Times New Roman"/>
          <w:color w:val="000000"/>
        </w:rPr>
        <w:t>Biomass and percent ground cover equations for winter and spring.</w:t>
      </w:r>
    </w:p>
    <w:tbl>
      <w:tblPr>
        <w:tblW w:w="9360" w:type="dxa"/>
        <w:tblCellMar>
          <w:top w:w="15" w:type="dxa"/>
          <w:left w:w="15" w:type="dxa"/>
          <w:bottom w:w="15" w:type="dxa"/>
          <w:right w:w="15" w:type="dxa"/>
        </w:tblCellMar>
        <w:tblLook w:val="04A0" w:firstRow="1" w:lastRow="0" w:firstColumn="1" w:lastColumn="0" w:noHBand="0" w:noVBand="1"/>
      </w:tblPr>
      <w:tblGrid>
        <w:gridCol w:w="2782"/>
        <w:gridCol w:w="3289"/>
        <w:gridCol w:w="3289"/>
      </w:tblGrid>
      <w:tr w:rsidR="00485EA2" w:rsidRPr="00485EA2" w14:paraId="2FDB31DB" w14:textId="77777777" w:rsidTr="00485E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84446" w14:textId="44412261" w:rsidR="00485EA2" w:rsidRPr="00485EA2" w:rsidRDefault="00485EA2" w:rsidP="00641237">
            <w:pPr>
              <w:tabs>
                <w:tab w:val="left" w:pos="1440"/>
              </w:tabs>
              <w:spacing w:after="0" w:line="240" w:lineRule="auto"/>
              <w:jc w:val="center"/>
              <w:rPr>
                <w:rFonts w:ascii="Garamond" w:eastAsia="Times New Roman" w:hAnsi="Garamond" w:cs="Times New Roman"/>
                <w:sz w:val="24"/>
                <w:szCs w:val="24"/>
              </w:rPr>
            </w:pPr>
            <w:r w:rsidRPr="00485EA2">
              <w:rPr>
                <w:rFonts w:ascii="Garamond" w:eastAsia="Times New Roman" w:hAnsi="Garamond" w:cs="Times New Roman"/>
                <w:b/>
                <w:bCs/>
                <w:color w:val="000000"/>
              </w:rPr>
              <w:t>Parameter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FFE62" w14:textId="77777777" w:rsidR="00485EA2" w:rsidRPr="00485EA2" w:rsidRDefault="00485EA2" w:rsidP="00641237">
            <w:pPr>
              <w:spacing w:after="0" w:line="240" w:lineRule="auto"/>
              <w:jc w:val="center"/>
              <w:rPr>
                <w:rFonts w:ascii="Garamond" w:eastAsia="Times New Roman" w:hAnsi="Garamond" w:cs="Times New Roman"/>
                <w:sz w:val="24"/>
                <w:szCs w:val="24"/>
              </w:rPr>
            </w:pPr>
            <w:r w:rsidRPr="00485EA2">
              <w:rPr>
                <w:rFonts w:ascii="Garamond" w:eastAsia="Times New Roman" w:hAnsi="Garamond" w:cs="Times New Roman"/>
                <w:b/>
                <w:bCs/>
                <w:color w:val="000000"/>
              </w:rPr>
              <w:t>Winter Equation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EBDFB" w14:textId="77777777" w:rsidR="00485EA2" w:rsidRPr="00485EA2" w:rsidRDefault="00485EA2" w:rsidP="00641237">
            <w:pPr>
              <w:spacing w:after="0" w:line="240" w:lineRule="auto"/>
              <w:jc w:val="center"/>
              <w:rPr>
                <w:rFonts w:ascii="Garamond" w:eastAsia="Times New Roman" w:hAnsi="Garamond" w:cs="Times New Roman"/>
                <w:sz w:val="24"/>
                <w:szCs w:val="24"/>
              </w:rPr>
            </w:pPr>
            <w:r w:rsidRPr="00485EA2">
              <w:rPr>
                <w:rFonts w:ascii="Garamond" w:eastAsia="Times New Roman" w:hAnsi="Garamond" w:cs="Times New Roman"/>
                <w:b/>
                <w:bCs/>
                <w:color w:val="000000"/>
              </w:rPr>
              <w:t>Spring Equation</w:t>
            </w:r>
          </w:p>
        </w:tc>
      </w:tr>
      <w:tr w:rsidR="00485EA2" w:rsidRPr="00485EA2" w14:paraId="1964176B" w14:textId="77777777" w:rsidTr="00485E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47913" w14:textId="77777777" w:rsidR="00485EA2" w:rsidRPr="00485EA2" w:rsidRDefault="00485EA2" w:rsidP="00485EA2">
            <w:pPr>
              <w:spacing w:after="0" w:line="240" w:lineRule="auto"/>
              <w:rPr>
                <w:rFonts w:ascii="Garamond" w:eastAsia="Times New Roman" w:hAnsi="Garamond" w:cs="Times New Roman"/>
                <w:sz w:val="24"/>
                <w:szCs w:val="24"/>
              </w:rPr>
            </w:pPr>
            <w:r w:rsidRPr="00485EA2">
              <w:rPr>
                <w:rFonts w:ascii="Garamond" w:eastAsia="Times New Roman" w:hAnsi="Garamond" w:cs="Times New Roman"/>
                <w:color w:val="000000"/>
              </w:rPr>
              <w:t>ln(Biomass)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59190" w14:textId="77777777" w:rsidR="00485EA2" w:rsidRPr="00485EA2" w:rsidRDefault="00485EA2" w:rsidP="00485EA2">
            <w:pPr>
              <w:spacing w:after="0" w:line="240" w:lineRule="auto"/>
              <w:rPr>
                <w:rFonts w:ascii="Garamond" w:eastAsia="Times New Roman" w:hAnsi="Garamond" w:cs="Times New Roman"/>
                <w:sz w:val="24"/>
                <w:szCs w:val="24"/>
              </w:rPr>
            </w:pPr>
            <w:r w:rsidRPr="00485EA2">
              <w:rPr>
                <w:rFonts w:ascii="Garamond" w:eastAsia="Times New Roman" w:hAnsi="Garamond" w:cs="Times New Roman"/>
                <w:color w:val="000000"/>
              </w:rPr>
              <w:t>3.2022 + 5.3740*NDVI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E1BFA" w14:textId="77777777" w:rsidR="00485EA2" w:rsidRPr="00485EA2" w:rsidRDefault="00485EA2" w:rsidP="00485EA2">
            <w:pPr>
              <w:spacing w:after="0" w:line="240" w:lineRule="auto"/>
              <w:rPr>
                <w:rFonts w:ascii="Garamond" w:eastAsia="Times New Roman" w:hAnsi="Garamond" w:cs="Times New Roman"/>
                <w:sz w:val="24"/>
                <w:szCs w:val="24"/>
              </w:rPr>
            </w:pPr>
            <w:r w:rsidRPr="00485EA2">
              <w:rPr>
                <w:rFonts w:ascii="Garamond" w:eastAsia="Times New Roman" w:hAnsi="Garamond" w:cs="Times New Roman"/>
                <w:color w:val="000000"/>
              </w:rPr>
              <w:t>4.7794 + 3.7453*NDVI</w:t>
            </w:r>
          </w:p>
        </w:tc>
      </w:tr>
      <w:tr w:rsidR="00485EA2" w:rsidRPr="00485EA2" w14:paraId="6C529C14" w14:textId="77777777" w:rsidTr="00485E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3364B" w14:textId="77777777" w:rsidR="00485EA2" w:rsidRPr="00485EA2" w:rsidRDefault="00485EA2" w:rsidP="00485EA2">
            <w:pPr>
              <w:spacing w:after="0" w:line="240" w:lineRule="auto"/>
              <w:rPr>
                <w:rFonts w:ascii="Garamond" w:eastAsia="Times New Roman" w:hAnsi="Garamond" w:cs="Times New Roman"/>
                <w:sz w:val="24"/>
                <w:szCs w:val="24"/>
              </w:rPr>
            </w:pPr>
            <w:r w:rsidRPr="00485EA2">
              <w:rPr>
                <w:rFonts w:ascii="Garamond" w:eastAsia="Times New Roman" w:hAnsi="Garamond" w:cs="Times New Roman"/>
                <w:color w:val="000000"/>
              </w:rPr>
              <w:t>Percent ground cover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6AD98" w14:textId="77777777" w:rsidR="00485EA2" w:rsidRPr="00485EA2" w:rsidRDefault="00485EA2" w:rsidP="00485EA2">
            <w:pPr>
              <w:spacing w:after="0" w:line="240" w:lineRule="auto"/>
              <w:rPr>
                <w:rFonts w:ascii="Garamond" w:eastAsia="Times New Roman" w:hAnsi="Garamond" w:cs="Times New Roman"/>
                <w:sz w:val="24"/>
                <w:szCs w:val="24"/>
              </w:rPr>
            </w:pPr>
            <w:r w:rsidRPr="00485EA2">
              <w:rPr>
                <w:rFonts w:ascii="Garamond" w:eastAsia="Times New Roman" w:hAnsi="Garamond" w:cs="Times New Roman"/>
                <w:color w:val="000000"/>
              </w:rPr>
              <w:t>-21.904 + 116.305*NDVI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E6B99" w14:textId="77777777" w:rsidR="00485EA2" w:rsidRPr="00485EA2" w:rsidRDefault="00485EA2" w:rsidP="00485EA2">
            <w:pPr>
              <w:spacing w:after="0" w:line="240" w:lineRule="auto"/>
              <w:rPr>
                <w:rFonts w:ascii="Garamond" w:eastAsia="Times New Roman" w:hAnsi="Garamond" w:cs="Times New Roman"/>
                <w:sz w:val="24"/>
                <w:szCs w:val="24"/>
              </w:rPr>
            </w:pPr>
            <w:r w:rsidRPr="00485EA2">
              <w:rPr>
                <w:rFonts w:ascii="Garamond" w:eastAsia="Times New Roman" w:hAnsi="Garamond" w:cs="Times New Roman"/>
                <w:color w:val="000000"/>
              </w:rPr>
              <w:t>-10.783 + 107.566*NDVI</w:t>
            </w:r>
          </w:p>
        </w:tc>
      </w:tr>
    </w:tbl>
    <w:p w14:paraId="213DE78B" w14:textId="1EDBE7BD" w:rsidR="00485EA2" w:rsidRDefault="00485EA2" w:rsidP="00B365F0">
      <w:pPr>
        <w:spacing w:after="0" w:line="240" w:lineRule="auto"/>
        <w:rPr>
          <w:rFonts w:ascii="Garamond" w:hAnsi="Garamond" w:cs="Arial"/>
        </w:rPr>
      </w:pPr>
    </w:p>
    <w:p w14:paraId="7555F7A7" w14:textId="790182B6" w:rsidR="003C4C33" w:rsidRDefault="003C4C33" w:rsidP="00B365F0">
      <w:pPr>
        <w:spacing w:after="0" w:line="240" w:lineRule="auto"/>
        <w:rPr>
          <w:rFonts w:ascii="Garamond" w:hAnsi="Garamond" w:cs="Arial"/>
        </w:rPr>
      </w:pPr>
    </w:p>
    <w:p w14:paraId="4A0075AE" w14:textId="77777777" w:rsidR="003C4C33" w:rsidRPr="009951FD" w:rsidRDefault="003C4C33" w:rsidP="00B365F0">
      <w:pPr>
        <w:spacing w:after="0" w:line="240" w:lineRule="auto"/>
        <w:rPr>
          <w:rFonts w:ascii="Garamond" w:hAnsi="Garamond" w:cs="Arial"/>
        </w:rPr>
      </w:pPr>
    </w:p>
    <w:p w14:paraId="62735BFA" w14:textId="0D974278" w:rsidR="00485EA2" w:rsidRPr="009951FD" w:rsidRDefault="00485EA2" w:rsidP="00B365F0">
      <w:pPr>
        <w:spacing w:after="0" w:line="240" w:lineRule="auto"/>
        <w:rPr>
          <w:rFonts w:ascii="Garamond" w:hAnsi="Garamond"/>
          <w:color w:val="000000"/>
        </w:rPr>
      </w:pPr>
      <w:r w:rsidRPr="009951FD">
        <w:rPr>
          <w:rFonts w:ascii="Garamond" w:hAnsi="Garamond"/>
          <w:color w:val="000000"/>
        </w:rPr>
        <w:lastRenderedPageBreak/>
        <w:t>The log value of biomass was then reverted to biomass using the equation (Thieme et. al, 2018):</w:t>
      </w:r>
    </w:p>
    <w:p w14:paraId="7EDDB1E8" w14:textId="77777777" w:rsidR="00485EA2" w:rsidRPr="009951FD" w:rsidRDefault="00485EA2" w:rsidP="00B365F0">
      <w:pPr>
        <w:spacing w:after="0" w:line="240" w:lineRule="auto"/>
        <w:rPr>
          <w:rFonts w:ascii="Garamond" w:hAnsi="Garamond"/>
          <w:color w:val="000000"/>
        </w:rPr>
      </w:pPr>
    </w:p>
    <w:p w14:paraId="7E9C802D" w14:textId="642B93DF" w:rsidR="00485EA2" w:rsidRPr="009951FD" w:rsidRDefault="00485EA2" w:rsidP="00485EA2">
      <w:pPr>
        <w:spacing w:after="0" w:line="240" w:lineRule="auto"/>
        <w:jc w:val="center"/>
        <w:rPr>
          <w:rFonts w:ascii="Garamond" w:hAnsi="Garamond" w:cs="Arial"/>
        </w:rPr>
      </w:pPr>
      <w:r w:rsidRPr="009951FD">
        <w:rPr>
          <w:rFonts w:ascii="Garamond" w:hAnsi="Garamond" w:cs="Arial"/>
          <w:i/>
          <w:color w:val="000000"/>
        </w:rPr>
        <w:tab/>
      </w:r>
      <w:r w:rsidRPr="009951FD">
        <w:rPr>
          <w:rFonts w:ascii="Garamond" w:hAnsi="Garamond" w:cs="Arial"/>
          <w:color w:val="000000"/>
        </w:rPr>
        <w:tab/>
      </w:r>
      <w:r w:rsidRPr="009951FD">
        <w:rPr>
          <w:rFonts w:ascii="Garamond" w:hAnsi="Garamond" w:cs="Arial"/>
          <w:color w:val="000000"/>
        </w:rPr>
        <w:tab/>
      </w:r>
      <w:r w:rsidRPr="009951FD">
        <w:rPr>
          <w:rFonts w:ascii="Garamond" w:hAnsi="Garamond" w:cs="Arial"/>
          <w:color w:val="000000"/>
        </w:rPr>
        <w:tab/>
        <w:t xml:space="preserve">   </w:t>
      </w:r>
      <m:oMath>
        <m:r>
          <m:rPr>
            <m:nor/>
          </m:rPr>
          <w:rPr>
            <w:rFonts w:ascii="Garamond" w:hAnsi="Garamond" w:cs="Arial"/>
          </w:rPr>
          <m:t>Biomass=</m:t>
        </m:r>
        <m:sSup>
          <m:sSupPr>
            <m:ctrlPr>
              <w:rPr>
                <w:rFonts w:ascii="Cambria Math" w:hAnsi="Cambria Math" w:cs="Arial"/>
                <w:i/>
              </w:rPr>
            </m:ctrlPr>
          </m:sSupPr>
          <m:e>
            <m:r>
              <m:rPr>
                <m:nor/>
              </m:rPr>
              <w:rPr>
                <w:rFonts w:ascii="Garamond" w:hAnsi="Garamond" w:cs="Arial"/>
              </w:rPr>
              <m:t>e</m:t>
            </m:r>
          </m:e>
          <m:sup>
            <m:func>
              <m:funcPr>
                <m:ctrlPr>
                  <w:rPr>
                    <w:rFonts w:ascii="Cambria Math" w:hAnsi="Cambria Math" w:cs="Arial"/>
                  </w:rPr>
                </m:ctrlPr>
              </m:funcPr>
              <m:fName>
                <m:r>
                  <m:rPr>
                    <m:nor/>
                  </m:rPr>
                  <w:rPr>
                    <w:rFonts w:ascii="Garamond" w:hAnsi="Garamond" w:cs="Arial"/>
                  </w:rPr>
                  <m:t>ln</m:t>
                </m:r>
                <m:ctrlPr>
                  <w:rPr>
                    <w:rFonts w:ascii="Cambria Math" w:hAnsi="Cambria Math" w:cs="Arial"/>
                    <w:i/>
                  </w:rPr>
                </m:ctrlPr>
              </m:fName>
              <m:e>
                <m:d>
                  <m:dPr>
                    <m:ctrlPr>
                      <w:rPr>
                        <w:rFonts w:ascii="Cambria Math" w:hAnsi="Cambria Math" w:cs="Arial"/>
                        <w:i/>
                      </w:rPr>
                    </m:ctrlPr>
                  </m:dPr>
                  <m:e>
                    <m:r>
                      <m:rPr>
                        <m:nor/>
                      </m:rPr>
                      <w:rPr>
                        <w:rFonts w:ascii="Garamond" w:hAnsi="Garamond" w:cs="Arial"/>
                      </w:rPr>
                      <m:t>Biomass</m:t>
                    </m:r>
                  </m:e>
                </m:d>
              </m:e>
            </m:func>
            <m:r>
              <m:rPr>
                <m:nor/>
              </m:rPr>
              <w:rPr>
                <w:rFonts w:ascii="Garamond" w:hAnsi="Garamond" w:cs="Arial"/>
              </w:rPr>
              <m:t>+</m:t>
            </m:r>
            <m:f>
              <m:fPr>
                <m:ctrlPr>
                  <w:rPr>
                    <w:rFonts w:ascii="Cambria Math" w:hAnsi="Cambria Math" w:cs="Arial"/>
                    <w:i/>
                  </w:rPr>
                </m:ctrlPr>
              </m:fPr>
              <m:num>
                <m:r>
                  <m:rPr>
                    <m:nor/>
                  </m:rPr>
                  <w:rPr>
                    <w:rFonts w:ascii="Garamond" w:hAnsi="Garamond" w:cs="Arial"/>
                  </w:rPr>
                  <m:t>MSE</m:t>
                </m:r>
              </m:num>
              <m:den>
                <m:r>
                  <m:rPr>
                    <m:nor/>
                  </m:rPr>
                  <w:rPr>
                    <w:rFonts w:ascii="Garamond" w:hAnsi="Garamond" w:cs="Arial"/>
                  </w:rPr>
                  <m:t>2</m:t>
                </m:r>
              </m:den>
            </m:f>
          </m:sup>
        </m:sSup>
      </m:oMath>
      <w:r w:rsidRPr="009951FD">
        <w:rPr>
          <w:rFonts w:ascii="Garamond" w:hAnsi="Garamond" w:cs="Arial"/>
          <w:color w:val="000000"/>
        </w:rPr>
        <w:tab/>
        <w:t xml:space="preserve">        </w:t>
      </w:r>
      <w:r w:rsidRPr="009951FD">
        <w:rPr>
          <w:rFonts w:ascii="Garamond" w:hAnsi="Garamond" w:cs="Arial"/>
          <w:color w:val="000000"/>
        </w:rPr>
        <w:tab/>
        <w:t xml:space="preserve">     </w:t>
      </w:r>
      <w:r w:rsidRPr="009951FD">
        <w:rPr>
          <w:rFonts w:ascii="Garamond" w:hAnsi="Garamond" w:cs="Arial"/>
          <w:color w:val="000000"/>
        </w:rPr>
        <w:tab/>
      </w:r>
      <w:r w:rsidRPr="009951FD">
        <w:rPr>
          <w:rFonts w:ascii="Garamond" w:hAnsi="Garamond" w:cs="Arial"/>
          <w:color w:val="000000"/>
        </w:rPr>
        <w:tab/>
      </w:r>
      <w:r w:rsidRPr="009951FD">
        <w:rPr>
          <w:rFonts w:ascii="Garamond" w:hAnsi="Garamond" w:cs="Arial"/>
          <w:color w:val="000000"/>
        </w:rPr>
        <w:tab/>
        <w:t xml:space="preserve">        (1)</w:t>
      </w:r>
    </w:p>
    <w:p w14:paraId="19FF19F4" w14:textId="77777777" w:rsidR="00485EA2" w:rsidRPr="009951FD" w:rsidRDefault="00485EA2" w:rsidP="00B365F0">
      <w:pPr>
        <w:spacing w:after="0" w:line="240" w:lineRule="auto"/>
        <w:rPr>
          <w:rFonts w:ascii="Garamond" w:hAnsi="Garamond" w:cs="Arial"/>
        </w:rPr>
      </w:pPr>
    </w:p>
    <w:p w14:paraId="6CB77802" w14:textId="7A6EF418" w:rsidR="00485EA2" w:rsidRDefault="00485EA2" w:rsidP="00B365F0">
      <w:pPr>
        <w:spacing w:after="0" w:line="240" w:lineRule="auto"/>
        <w:rPr>
          <w:rFonts w:ascii="Garamond" w:hAnsi="Garamond" w:cs="Arial"/>
        </w:rPr>
      </w:pPr>
      <w:r w:rsidRPr="009951FD">
        <w:rPr>
          <w:rFonts w:ascii="Garamond" w:hAnsi="Garamond" w:cs="Arial"/>
        </w:rPr>
        <w:t>where MSE is mean squared error.</w:t>
      </w:r>
    </w:p>
    <w:p w14:paraId="7BC9108E" w14:textId="77777777" w:rsidR="00365ADD" w:rsidRDefault="00365ADD" w:rsidP="00B365F0">
      <w:pPr>
        <w:spacing w:after="0" w:line="240" w:lineRule="auto"/>
        <w:rPr>
          <w:rFonts w:ascii="Garamond" w:hAnsi="Garamond" w:cs="Arial"/>
        </w:rPr>
      </w:pPr>
    </w:p>
    <w:p w14:paraId="1630AED8" w14:textId="6F3635CE" w:rsidR="00365ADD" w:rsidRDefault="00365ADD" w:rsidP="00365ADD">
      <w:pPr>
        <w:spacing w:after="0" w:line="240" w:lineRule="auto"/>
        <w:rPr>
          <w:rFonts w:ascii="Garamond" w:hAnsi="Garamond" w:cs="Arial"/>
          <w:b/>
          <w:i/>
          <w:szCs w:val="24"/>
        </w:rPr>
      </w:pPr>
      <w:r w:rsidRPr="0066075C">
        <w:rPr>
          <w:rFonts w:ascii="Garamond" w:hAnsi="Garamond" w:cs="Arial"/>
          <w:b/>
          <w:i/>
          <w:szCs w:val="24"/>
        </w:rPr>
        <w:t>3.</w:t>
      </w:r>
      <w:r>
        <w:rPr>
          <w:rFonts w:ascii="Garamond" w:hAnsi="Garamond" w:cs="Arial"/>
          <w:b/>
          <w:i/>
          <w:szCs w:val="24"/>
        </w:rPr>
        <w:t>4 Data Visualization</w:t>
      </w:r>
    </w:p>
    <w:p w14:paraId="0DBB0CC9" w14:textId="4E29EF71" w:rsidR="00365ADD" w:rsidRDefault="0073301D" w:rsidP="00D83A73">
      <w:pPr>
        <w:spacing w:after="0" w:line="240" w:lineRule="auto"/>
        <w:rPr>
          <w:rFonts w:ascii="Garamond" w:hAnsi="Garamond"/>
          <w:color w:val="000000"/>
        </w:rPr>
      </w:pPr>
      <w:r>
        <w:rPr>
          <w:rFonts w:ascii="Garamond" w:hAnsi="Garamond"/>
          <w:color w:val="000000"/>
        </w:rPr>
        <w:t>A GEE graphical user interface was created to allow convenient, repeated analysis of data for the MDA. The GUI contains two sections: analysis and filtering. The analysis menu allows users to select a raw dataset, a satellite, and calibration equations to conduct NDVI analysis and produce biomass and percent ground cover values. After these calculations are performed, the analyzed dataset can be exported as a GEE asset or as a shapefile. The new asset can then be imported back into the GUI to undergo filtering. The GUI provides menus for several cover crop parameters (Table 3) and filters the analyzed dataset based on any provided combination of variables.</w:t>
      </w:r>
    </w:p>
    <w:p w14:paraId="739CAB2A" w14:textId="77777777" w:rsidR="00365ADD" w:rsidRDefault="00365ADD" w:rsidP="00D83A73">
      <w:pPr>
        <w:spacing w:after="0" w:line="240" w:lineRule="auto"/>
        <w:rPr>
          <w:rFonts w:ascii="Garamond" w:hAnsi="Garamond"/>
          <w:color w:val="000000"/>
        </w:rPr>
      </w:pPr>
    </w:p>
    <w:p w14:paraId="1DC51638" w14:textId="786A9C29" w:rsidR="00365ADD" w:rsidRPr="00641237" w:rsidRDefault="00641237" w:rsidP="00D83A73">
      <w:pPr>
        <w:spacing w:after="0" w:line="240" w:lineRule="auto"/>
        <w:rPr>
          <w:rFonts w:ascii="Garamond" w:eastAsia="Times New Roman" w:hAnsi="Garamond" w:cs="Times New Roman"/>
          <w:bCs/>
          <w:color w:val="000000"/>
        </w:rPr>
      </w:pPr>
      <w:r w:rsidRPr="00641237">
        <w:rPr>
          <w:rFonts w:ascii="Garamond" w:eastAsia="Times New Roman" w:hAnsi="Garamond" w:cs="Times New Roman"/>
          <w:b/>
          <w:bCs/>
          <w:color w:val="000000"/>
        </w:rPr>
        <w:t>Table 3:</w:t>
      </w:r>
      <w:r>
        <w:rPr>
          <w:rFonts w:ascii="Garamond" w:eastAsia="Times New Roman" w:hAnsi="Garamond" w:cs="Times New Roman"/>
          <w:bCs/>
          <w:color w:val="000000"/>
        </w:rPr>
        <w:t xml:space="preserve"> </w:t>
      </w:r>
      <w:r w:rsidR="00365ADD" w:rsidRPr="00641237">
        <w:rPr>
          <w:rFonts w:ascii="Garamond" w:eastAsia="Times New Roman" w:hAnsi="Garamond" w:cs="Times New Roman"/>
          <w:color w:val="000000"/>
        </w:rPr>
        <w:t>Filtering options available through the GUI.</w:t>
      </w:r>
    </w:p>
    <w:tbl>
      <w:tblPr>
        <w:tblW w:w="9360" w:type="dxa"/>
        <w:tblCellMar>
          <w:top w:w="15" w:type="dxa"/>
          <w:left w:w="15" w:type="dxa"/>
          <w:bottom w:w="15" w:type="dxa"/>
          <w:right w:w="15" w:type="dxa"/>
        </w:tblCellMar>
        <w:tblLook w:val="04A0" w:firstRow="1" w:lastRow="0" w:firstColumn="1" w:lastColumn="0" w:noHBand="0" w:noVBand="1"/>
      </w:tblPr>
      <w:tblGrid>
        <w:gridCol w:w="4850"/>
        <w:gridCol w:w="4510"/>
      </w:tblGrid>
      <w:tr w:rsidR="00365ADD" w:rsidRPr="00365ADD" w14:paraId="0DC32F5E" w14:textId="77777777" w:rsidTr="00365ADD">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22F72" w14:textId="39D3A76E" w:rsidR="00365ADD" w:rsidRPr="00365ADD" w:rsidRDefault="00365ADD" w:rsidP="0073301D">
            <w:pPr>
              <w:tabs>
                <w:tab w:val="center" w:pos="2325"/>
              </w:tabs>
              <w:spacing w:after="0" w:line="240" w:lineRule="auto"/>
              <w:jc w:val="center"/>
              <w:rPr>
                <w:rFonts w:ascii="Times New Roman" w:eastAsia="Times New Roman" w:hAnsi="Times New Roman" w:cs="Times New Roman"/>
                <w:b/>
                <w:sz w:val="24"/>
                <w:szCs w:val="24"/>
              </w:rPr>
            </w:pPr>
            <w:r w:rsidRPr="00365ADD">
              <w:rPr>
                <w:rFonts w:ascii="Garamond" w:eastAsia="Times New Roman" w:hAnsi="Garamond" w:cs="Times New Roman"/>
                <w:b/>
                <w:color w:val="000000"/>
              </w:rPr>
              <w:t>Parameter</w:t>
            </w:r>
          </w:p>
        </w:tc>
        <w:tc>
          <w:tcPr>
            <w:tcW w:w="4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2FEBB" w14:textId="60A7484B" w:rsidR="00365ADD" w:rsidRPr="00365ADD" w:rsidRDefault="00365ADD" w:rsidP="0073301D">
            <w:pPr>
              <w:spacing w:after="0" w:line="240" w:lineRule="auto"/>
              <w:jc w:val="center"/>
              <w:rPr>
                <w:rFonts w:ascii="Times New Roman" w:eastAsia="Times New Roman" w:hAnsi="Times New Roman" w:cs="Times New Roman"/>
                <w:b/>
                <w:sz w:val="24"/>
                <w:szCs w:val="24"/>
              </w:rPr>
            </w:pPr>
            <w:r w:rsidRPr="00365ADD">
              <w:rPr>
                <w:rFonts w:ascii="Garamond" w:eastAsia="Times New Roman" w:hAnsi="Garamond" w:cs="Times New Roman"/>
                <w:b/>
                <w:color w:val="000000"/>
              </w:rPr>
              <w:t>Options</w:t>
            </w:r>
          </w:p>
        </w:tc>
      </w:tr>
      <w:tr w:rsidR="00365ADD" w:rsidRPr="00365ADD" w14:paraId="20D9C26C" w14:textId="77777777" w:rsidTr="00365ADD">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CDE0D" w14:textId="77777777" w:rsidR="00365ADD" w:rsidRPr="00365ADD" w:rsidRDefault="00365ADD" w:rsidP="00D83A73">
            <w:pPr>
              <w:spacing w:after="0" w:line="240" w:lineRule="auto"/>
              <w:jc w:val="center"/>
              <w:rPr>
                <w:rFonts w:ascii="Times New Roman" w:eastAsia="Times New Roman" w:hAnsi="Times New Roman" w:cs="Times New Roman"/>
                <w:sz w:val="24"/>
                <w:szCs w:val="24"/>
              </w:rPr>
            </w:pPr>
            <w:r w:rsidRPr="00365ADD">
              <w:rPr>
                <w:rFonts w:ascii="Garamond" w:eastAsia="Times New Roman" w:hAnsi="Garamond" w:cs="Times New Roman"/>
                <w:color w:val="000000"/>
              </w:rPr>
              <w:t>County</w:t>
            </w:r>
          </w:p>
        </w:tc>
        <w:tc>
          <w:tcPr>
            <w:tcW w:w="4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F5556" w14:textId="77777777" w:rsidR="00365ADD" w:rsidRPr="00365ADD" w:rsidRDefault="00365ADD" w:rsidP="00D83A73">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Allegany, Anne Arundel, Baltimore, Calvert, Caroline, Carroll, Cecil, Charles, Dorchester, Frederick, Garrett, Harford, Howard, Kent, Montgomery, Prince George’s, St. Mary’s, Wicomico, Worcester, Talbot, Washington, Queen Anne’s, Somerset</w:t>
            </w:r>
          </w:p>
        </w:tc>
      </w:tr>
      <w:tr w:rsidR="00365ADD" w:rsidRPr="00365ADD" w14:paraId="04D0AC5B" w14:textId="77777777" w:rsidTr="00365ADD">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47E94" w14:textId="77777777" w:rsidR="00365ADD" w:rsidRPr="00365ADD" w:rsidRDefault="00365ADD" w:rsidP="00D83A73">
            <w:pPr>
              <w:spacing w:after="0" w:line="240" w:lineRule="auto"/>
              <w:jc w:val="center"/>
              <w:rPr>
                <w:rFonts w:ascii="Times New Roman" w:eastAsia="Times New Roman" w:hAnsi="Times New Roman" w:cs="Times New Roman"/>
                <w:sz w:val="24"/>
                <w:szCs w:val="24"/>
              </w:rPr>
            </w:pPr>
            <w:r w:rsidRPr="00365ADD">
              <w:rPr>
                <w:rFonts w:ascii="Garamond" w:eastAsia="Times New Roman" w:hAnsi="Garamond" w:cs="Times New Roman"/>
                <w:color w:val="000000"/>
              </w:rPr>
              <w:t>Cover Crop</w:t>
            </w:r>
          </w:p>
        </w:tc>
        <w:tc>
          <w:tcPr>
            <w:tcW w:w="4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8C956" w14:textId="77777777" w:rsidR="00365ADD" w:rsidRPr="00365ADD" w:rsidRDefault="00365ADD" w:rsidP="00D83A73">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Wheat, Rye, Barley, Canola, Cereal Grain, Forage Radish, Legume, Oats, Triticale</w:t>
            </w:r>
          </w:p>
        </w:tc>
      </w:tr>
      <w:tr w:rsidR="00365ADD" w:rsidRPr="00365ADD" w14:paraId="3CBD9335" w14:textId="77777777" w:rsidTr="00365ADD">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0D6CE" w14:textId="77777777" w:rsidR="00365ADD" w:rsidRPr="00365ADD" w:rsidRDefault="00365ADD" w:rsidP="00D83A73">
            <w:pPr>
              <w:spacing w:after="0" w:line="240" w:lineRule="auto"/>
              <w:jc w:val="center"/>
              <w:rPr>
                <w:rFonts w:ascii="Times New Roman" w:eastAsia="Times New Roman" w:hAnsi="Times New Roman" w:cs="Times New Roman"/>
                <w:sz w:val="24"/>
                <w:szCs w:val="24"/>
              </w:rPr>
            </w:pPr>
            <w:r w:rsidRPr="00365ADD">
              <w:rPr>
                <w:rFonts w:ascii="Garamond" w:eastAsia="Times New Roman" w:hAnsi="Garamond" w:cs="Times New Roman"/>
                <w:color w:val="000000"/>
              </w:rPr>
              <w:t>Planting Method</w:t>
            </w:r>
          </w:p>
        </w:tc>
        <w:tc>
          <w:tcPr>
            <w:tcW w:w="4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D7C13" w14:textId="77777777" w:rsidR="00365ADD" w:rsidRPr="00365ADD" w:rsidRDefault="00365ADD" w:rsidP="00D83A73">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Aerial Air, Broadcast Cultipacker, Broadcast Light Tillage, Broadcast Stalkchop, Vertical Tillage, Conventional, No-till, Aerial Ground</w:t>
            </w:r>
          </w:p>
        </w:tc>
      </w:tr>
      <w:tr w:rsidR="00365ADD" w:rsidRPr="00365ADD" w14:paraId="654E5F80" w14:textId="77777777" w:rsidTr="00365ADD">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53BD5" w14:textId="77777777" w:rsidR="00365ADD" w:rsidRPr="00365ADD" w:rsidRDefault="00365ADD" w:rsidP="00D83A73">
            <w:pPr>
              <w:spacing w:after="0" w:line="240" w:lineRule="auto"/>
              <w:jc w:val="center"/>
              <w:rPr>
                <w:rFonts w:ascii="Times New Roman" w:eastAsia="Times New Roman" w:hAnsi="Times New Roman" w:cs="Times New Roman"/>
                <w:sz w:val="24"/>
                <w:szCs w:val="24"/>
              </w:rPr>
            </w:pPr>
            <w:r w:rsidRPr="00365ADD">
              <w:rPr>
                <w:rFonts w:ascii="Garamond" w:eastAsia="Times New Roman" w:hAnsi="Garamond" w:cs="Times New Roman"/>
                <w:color w:val="000000"/>
              </w:rPr>
              <w:t>Manure</w:t>
            </w:r>
          </w:p>
        </w:tc>
        <w:tc>
          <w:tcPr>
            <w:tcW w:w="4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54394" w14:textId="77777777" w:rsidR="00365ADD" w:rsidRPr="00365ADD" w:rsidRDefault="00365ADD" w:rsidP="00D83A73">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None, Spring, Fall</w:t>
            </w:r>
          </w:p>
        </w:tc>
      </w:tr>
      <w:tr w:rsidR="00365ADD" w:rsidRPr="00365ADD" w14:paraId="6FF2EF0F" w14:textId="77777777" w:rsidTr="00365ADD">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2B06F" w14:textId="77777777" w:rsidR="00365ADD" w:rsidRPr="00365ADD" w:rsidRDefault="00365ADD" w:rsidP="00D83A73">
            <w:pPr>
              <w:spacing w:after="0" w:line="240" w:lineRule="auto"/>
              <w:jc w:val="center"/>
              <w:rPr>
                <w:rFonts w:ascii="Times New Roman" w:eastAsia="Times New Roman" w:hAnsi="Times New Roman" w:cs="Times New Roman"/>
                <w:sz w:val="24"/>
                <w:szCs w:val="24"/>
              </w:rPr>
            </w:pPr>
            <w:r w:rsidRPr="00365ADD">
              <w:rPr>
                <w:rFonts w:ascii="Garamond" w:eastAsia="Times New Roman" w:hAnsi="Garamond" w:cs="Times New Roman"/>
                <w:color w:val="000000"/>
              </w:rPr>
              <w:t>Previous Crop</w:t>
            </w:r>
          </w:p>
        </w:tc>
        <w:tc>
          <w:tcPr>
            <w:tcW w:w="4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73A44" w14:textId="77777777" w:rsidR="00365ADD" w:rsidRPr="00365ADD" w:rsidRDefault="00365ADD" w:rsidP="00D83A73">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Corn, Soybeans, Vegetables, Double-crop Soybeans, Sorghum</w:t>
            </w:r>
          </w:p>
        </w:tc>
      </w:tr>
      <w:tr w:rsidR="00365ADD" w:rsidRPr="00365ADD" w14:paraId="2CDB171C" w14:textId="77777777" w:rsidTr="00365ADD">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A00AB" w14:textId="77777777" w:rsidR="00365ADD" w:rsidRPr="00365ADD" w:rsidRDefault="00365ADD" w:rsidP="00D83A73">
            <w:pPr>
              <w:spacing w:after="0" w:line="240" w:lineRule="auto"/>
              <w:jc w:val="center"/>
              <w:rPr>
                <w:rFonts w:ascii="Times New Roman" w:eastAsia="Times New Roman" w:hAnsi="Times New Roman" w:cs="Times New Roman"/>
                <w:sz w:val="24"/>
                <w:szCs w:val="24"/>
              </w:rPr>
            </w:pPr>
            <w:r w:rsidRPr="00365ADD">
              <w:rPr>
                <w:rFonts w:ascii="Garamond" w:eastAsia="Times New Roman" w:hAnsi="Garamond" w:cs="Times New Roman"/>
                <w:color w:val="000000"/>
              </w:rPr>
              <w:t>Irrigation</w:t>
            </w:r>
          </w:p>
        </w:tc>
        <w:tc>
          <w:tcPr>
            <w:tcW w:w="4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88174" w14:textId="77777777" w:rsidR="00365ADD" w:rsidRPr="00365ADD" w:rsidRDefault="00365ADD" w:rsidP="00D83A73">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Yes/No</w:t>
            </w:r>
          </w:p>
        </w:tc>
      </w:tr>
      <w:tr w:rsidR="00365ADD" w:rsidRPr="00365ADD" w14:paraId="6A65FB6E" w14:textId="77777777" w:rsidTr="00365ADD">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24A16" w14:textId="77777777" w:rsidR="00365ADD" w:rsidRPr="00365ADD" w:rsidRDefault="00365ADD" w:rsidP="00D83A73">
            <w:pPr>
              <w:spacing w:after="0" w:line="240" w:lineRule="auto"/>
              <w:jc w:val="center"/>
              <w:rPr>
                <w:rFonts w:ascii="Times New Roman" w:eastAsia="Times New Roman" w:hAnsi="Times New Roman" w:cs="Times New Roman"/>
                <w:sz w:val="24"/>
                <w:szCs w:val="24"/>
              </w:rPr>
            </w:pPr>
            <w:r w:rsidRPr="00365ADD">
              <w:rPr>
                <w:rFonts w:ascii="Garamond" w:eastAsia="Times New Roman" w:hAnsi="Garamond" w:cs="Times New Roman"/>
                <w:color w:val="000000"/>
              </w:rPr>
              <w:t>Month Planted</w:t>
            </w:r>
          </w:p>
        </w:tc>
        <w:tc>
          <w:tcPr>
            <w:tcW w:w="4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121AF" w14:textId="77777777" w:rsidR="00365ADD" w:rsidRPr="00365ADD" w:rsidRDefault="00365ADD" w:rsidP="00D83A73">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August, September, October, November</w:t>
            </w:r>
          </w:p>
        </w:tc>
      </w:tr>
    </w:tbl>
    <w:p w14:paraId="5C5F6C68" w14:textId="77777777" w:rsidR="00365ADD" w:rsidRPr="00365ADD" w:rsidRDefault="00365ADD" w:rsidP="00D83A73">
      <w:pPr>
        <w:spacing w:after="0" w:line="240" w:lineRule="auto"/>
        <w:rPr>
          <w:rFonts w:ascii="Garamond" w:hAnsi="Garamond" w:cs="Arial"/>
          <w:szCs w:val="24"/>
        </w:rPr>
      </w:pPr>
    </w:p>
    <w:p w14:paraId="1FE6F4C6" w14:textId="511ABBF5" w:rsidR="00365ADD" w:rsidRPr="00365ADD" w:rsidRDefault="0073301D" w:rsidP="00D83A73">
      <w:pPr>
        <w:spacing w:after="0" w:line="240" w:lineRule="auto"/>
        <w:rPr>
          <w:rFonts w:ascii="Times New Roman" w:eastAsia="Times New Roman" w:hAnsi="Times New Roman" w:cs="Times New Roman"/>
          <w:sz w:val="24"/>
          <w:szCs w:val="24"/>
        </w:rPr>
      </w:pPr>
      <w:r>
        <w:rPr>
          <w:rFonts w:ascii="Garamond" w:hAnsi="Garamond"/>
          <w:color w:val="000000"/>
        </w:rPr>
        <w:t xml:space="preserve">The user may then produce a histogram displaying the number of fields by NDVI range for the selected area. Comparing these histograms for various sets of parameters allows the user to analyze patterns for crop performance and better understand the effects of specific </w:t>
      </w:r>
      <w:r w:rsidRPr="0088672F">
        <w:rPr>
          <w:rFonts w:ascii="Garamond" w:hAnsi="Garamond"/>
          <w:noProof/>
          <w:color w:val="000000"/>
        </w:rPr>
        <w:t>growing</w:t>
      </w:r>
      <w:r>
        <w:rPr>
          <w:rFonts w:ascii="Garamond" w:hAnsi="Garamond"/>
          <w:color w:val="000000"/>
        </w:rPr>
        <w:t xml:space="preserve"> strategies.</w:t>
      </w:r>
    </w:p>
    <w:p w14:paraId="7A491EC0" w14:textId="77777777" w:rsidR="00365ADD" w:rsidRPr="00365ADD" w:rsidRDefault="00365ADD" w:rsidP="00D83A73">
      <w:pPr>
        <w:spacing w:after="0" w:line="240" w:lineRule="auto"/>
        <w:rPr>
          <w:rFonts w:ascii="Times New Roman" w:eastAsia="Times New Roman" w:hAnsi="Times New Roman" w:cs="Times New Roman"/>
          <w:sz w:val="24"/>
          <w:szCs w:val="24"/>
        </w:rPr>
      </w:pPr>
    </w:p>
    <w:p w14:paraId="622DAF3F" w14:textId="231F1C05" w:rsidR="00365ADD" w:rsidRPr="00365ADD" w:rsidRDefault="0073301D" w:rsidP="00D83A73">
      <w:pPr>
        <w:spacing w:after="0" w:line="240" w:lineRule="auto"/>
        <w:rPr>
          <w:rFonts w:ascii="Times New Roman" w:eastAsia="Times New Roman" w:hAnsi="Times New Roman" w:cs="Times New Roman"/>
          <w:sz w:val="24"/>
          <w:szCs w:val="24"/>
        </w:rPr>
      </w:pPr>
      <w:r>
        <w:rPr>
          <w:rFonts w:ascii="Garamond" w:hAnsi="Garamond"/>
          <w:color w:val="000000"/>
        </w:rPr>
        <w:t>When prompted, the GUI also produces summary tables for a more detailed, comprehensive analysis of specific parameters (see Table 3) and their relative performance in Washington, Queen Anne’s, Somerset, and Talbot counties. These tables were coded to display average NDVI, predicted biomass, and predicted ground cover for the most popular crops and other agronomic factors.</w:t>
      </w:r>
    </w:p>
    <w:p w14:paraId="4DEA908A" w14:textId="6D3A3575" w:rsidR="009A20ED" w:rsidRPr="009A6617" w:rsidRDefault="00621AB9" w:rsidP="009A6617">
      <w:pPr>
        <w:pStyle w:val="Heading1"/>
        <w:rPr>
          <w:rFonts w:ascii="Garamond" w:hAnsi="Garamond"/>
        </w:rPr>
      </w:pPr>
      <w:bookmarkStart w:id="3" w:name="_Toc334198730"/>
      <w:r w:rsidRPr="005A5711">
        <w:rPr>
          <w:rFonts w:ascii="Garamond" w:hAnsi="Garamond"/>
        </w:rPr>
        <w:lastRenderedPageBreak/>
        <w:t>4</w:t>
      </w:r>
      <w:r w:rsidR="008B7071" w:rsidRPr="005A5711">
        <w:rPr>
          <w:rFonts w:ascii="Garamond" w:hAnsi="Garamond"/>
        </w:rPr>
        <w:t xml:space="preserve">. </w:t>
      </w:r>
      <w:r w:rsidR="00E41324" w:rsidRPr="005A5711">
        <w:rPr>
          <w:rFonts w:ascii="Garamond" w:hAnsi="Garamond"/>
        </w:rPr>
        <w:t>Results</w:t>
      </w:r>
      <w:bookmarkEnd w:id="3"/>
      <w:r w:rsidR="001F1328" w:rsidRPr="005A5711">
        <w:rPr>
          <w:rFonts w:ascii="Garamond" w:hAnsi="Garamond"/>
        </w:rPr>
        <w:t xml:space="preserve"> &amp; Discussion</w:t>
      </w:r>
    </w:p>
    <w:p w14:paraId="3AB7CD2F" w14:textId="1C2494C9" w:rsidR="00E41324" w:rsidRDefault="00621AB9" w:rsidP="008975BD">
      <w:pPr>
        <w:spacing w:after="0" w:line="240" w:lineRule="auto"/>
        <w:rPr>
          <w:rFonts w:ascii="Garamond" w:hAnsi="Garamond"/>
          <w:b/>
          <w:i/>
          <w:szCs w:val="24"/>
        </w:rPr>
      </w:pPr>
      <w:r w:rsidRPr="006C6154">
        <w:rPr>
          <w:rFonts w:ascii="Garamond" w:hAnsi="Garamond"/>
          <w:b/>
          <w:i/>
          <w:szCs w:val="24"/>
        </w:rPr>
        <w:t>4.1 Analysis of Results</w:t>
      </w:r>
    </w:p>
    <w:p w14:paraId="612686A9" w14:textId="043C6979" w:rsidR="00365ADD" w:rsidRDefault="0073301D" w:rsidP="00D83A73">
      <w:pPr>
        <w:spacing w:after="0" w:line="240" w:lineRule="auto"/>
        <w:rPr>
          <w:rFonts w:ascii="Garamond" w:hAnsi="Garamond"/>
          <w:color w:val="000000"/>
        </w:rPr>
      </w:pPr>
      <w:r>
        <w:rPr>
          <w:rFonts w:ascii="Garamond" w:hAnsi="Garamond"/>
          <w:color w:val="000000"/>
        </w:rPr>
        <w:t>The GUI has the capability to produce a collection of tabular and graphical outputs. Figures 2 and 3 display sample histograms produced within the GUI to analyze the health of wheat compared to triticale in Queen Anne’s County.</w:t>
      </w:r>
    </w:p>
    <w:p w14:paraId="1CA6F5DD" w14:textId="77777777" w:rsidR="0073301D" w:rsidRDefault="0073301D" w:rsidP="00D83A73">
      <w:pPr>
        <w:spacing w:after="0" w:line="240" w:lineRule="auto"/>
        <w:rPr>
          <w:rFonts w:ascii="Garamond" w:hAnsi="Garamond"/>
          <w:color w:val="000000"/>
        </w:rPr>
      </w:pPr>
    </w:p>
    <w:p w14:paraId="1E08DC96" w14:textId="4C990F72" w:rsidR="00365ADD" w:rsidRDefault="00365ADD" w:rsidP="00D83A73">
      <w:pPr>
        <w:spacing w:after="0" w:line="240" w:lineRule="auto"/>
        <w:jc w:val="center"/>
        <w:rPr>
          <w:rFonts w:ascii="Garamond" w:hAnsi="Garamond"/>
          <w:szCs w:val="24"/>
        </w:rPr>
      </w:pPr>
      <w:r>
        <w:rPr>
          <w:rFonts w:ascii="Garamond" w:hAnsi="Garamond"/>
          <w:b/>
          <w:bCs/>
          <w:i/>
          <w:iCs/>
          <w:noProof/>
          <w:color w:val="000000"/>
        </w:rPr>
        <w:drawing>
          <wp:inline distT="0" distB="0" distL="0" distR="0" wp14:anchorId="0A3D3341" wp14:editId="74761D64">
            <wp:extent cx="4487298" cy="3291840"/>
            <wp:effectExtent l="0" t="0" r="8890" b="3810"/>
            <wp:docPr id="2" name="Picture 2" descr="https://lh6.googleusercontent.com/Q4Tny8XIx1KByVNrbCqJbODqhpAwzhoWt3GC2YM2NMHvv0UxvUkg8HAUSfniFsM9IhNeA56CYU9Lp71IaEqhdgsrvVlzsmxnPQsVTj2weTZhSOvtEXRHlh3vk2t1U6crEPyy3R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Q4Tny8XIx1KByVNrbCqJbODqhpAwzhoWt3GC2YM2NMHvv0UxvUkg8HAUSfniFsM9IhNeA56CYU9Lp71IaEqhdgsrvVlzsmxnPQsVTj2weTZhSOvtEXRHlh3vk2t1U6crEPyy3RF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7298" cy="3291840"/>
                    </a:xfrm>
                    <a:prstGeom prst="rect">
                      <a:avLst/>
                    </a:prstGeom>
                    <a:noFill/>
                    <a:ln>
                      <a:noFill/>
                    </a:ln>
                  </pic:spPr>
                </pic:pic>
              </a:graphicData>
            </a:graphic>
          </wp:inline>
        </w:drawing>
      </w:r>
    </w:p>
    <w:p w14:paraId="26F2560B" w14:textId="11088205" w:rsidR="00365ADD" w:rsidRDefault="00365ADD" w:rsidP="00D83A73">
      <w:pPr>
        <w:spacing w:after="0" w:line="240" w:lineRule="auto"/>
        <w:jc w:val="center"/>
        <w:rPr>
          <w:rFonts w:ascii="Garamond" w:hAnsi="Garamond"/>
          <w:color w:val="000000"/>
        </w:rPr>
      </w:pPr>
      <w:r w:rsidRPr="00D83A73">
        <w:rPr>
          <w:rFonts w:ascii="Garamond" w:hAnsi="Garamond"/>
          <w:bCs/>
          <w:i/>
          <w:color w:val="000000"/>
        </w:rPr>
        <w:t>Figure 2.</w:t>
      </w:r>
      <w:r>
        <w:rPr>
          <w:rFonts w:ascii="Garamond" w:hAnsi="Garamond"/>
          <w:b/>
          <w:bCs/>
          <w:color w:val="000000"/>
        </w:rPr>
        <w:t xml:space="preserve"> </w:t>
      </w:r>
      <w:r>
        <w:rPr>
          <w:rFonts w:ascii="Garamond" w:hAnsi="Garamond"/>
          <w:color w:val="000000"/>
        </w:rPr>
        <w:t xml:space="preserve">Histogram displaying </w:t>
      </w:r>
      <w:r w:rsidR="00491104">
        <w:rPr>
          <w:rFonts w:ascii="Garamond" w:hAnsi="Garamond"/>
          <w:color w:val="000000"/>
        </w:rPr>
        <w:t xml:space="preserve">the </w:t>
      </w:r>
      <w:r w:rsidRPr="00491104">
        <w:rPr>
          <w:rFonts w:ascii="Garamond" w:hAnsi="Garamond"/>
          <w:noProof/>
          <w:color w:val="000000"/>
        </w:rPr>
        <w:t>number</w:t>
      </w:r>
      <w:r>
        <w:rPr>
          <w:rFonts w:ascii="Garamond" w:hAnsi="Garamond"/>
          <w:color w:val="000000"/>
        </w:rPr>
        <w:t xml:space="preserve"> of fields versus NDVI for wheat fields in Queen Anne’s </w:t>
      </w:r>
      <w:r w:rsidR="009A09A7">
        <w:rPr>
          <w:rFonts w:ascii="Garamond" w:hAnsi="Garamond"/>
          <w:color w:val="000000"/>
        </w:rPr>
        <w:t>C</w:t>
      </w:r>
      <w:r>
        <w:rPr>
          <w:rFonts w:ascii="Garamond" w:hAnsi="Garamond"/>
          <w:color w:val="000000"/>
        </w:rPr>
        <w:t>ounty.</w:t>
      </w:r>
    </w:p>
    <w:p w14:paraId="11D0AFE5" w14:textId="77777777" w:rsidR="00641237" w:rsidRDefault="00641237" w:rsidP="00D83A73">
      <w:pPr>
        <w:spacing w:after="0" w:line="240" w:lineRule="auto"/>
        <w:jc w:val="center"/>
        <w:rPr>
          <w:rFonts w:ascii="Garamond" w:hAnsi="Garamond"/>
          <w:color w:val="000000"/>
        </w:rPr>
      </w:pPr>
    </w:p>
    <w:p w14:paraId="2FE3A595" w14:textId="11CEBEF4" w:rsidR="00365ADD" w:rsidRDefault="00365ADD" w:rsidP="00D83A73">
      <w:pPr>
        <w:spacing w:after="0" w:line="240" w:lineRule="auto"/>
        <w:jc w:val="center"/>
        <w:rPr>
          <w:rFonts w:ascii="Garamond" w:hAnsi="Garamond"/>
          <w:szCs w:val="24"/>
        </w:rPr>
      </w:pPr>
      <w:r>
        <w:rPr>
          <w:rFonts w:ascii="Garamond" w:hAnsi="Garamond"/>
          <w:noProof/>
          <w:color w:val="000000"/>
        </w:rPr>
        <w:drawing>
          <wp:inline distT="0" distB="0" distL="0" distR="0" wp14:anchorId="4C5F4EC0" wp14:editId="6D06419F">
            <wp:extent cx="4414838" cy="3291840"/>
            <wp:effectExtent l="0" t="0" r="5080" b="3810"/>
            <wp:docPr id="3" name="Picture 3" descr="https://lh3.googleusercontent.com/JvS0a1miqr6L3MYRL8MGhc1bnL9QyV3GCpioCT4uiabwqywD8XE7RMRqeHwNMB5l3xSQWYX20bfcynQJvZ6lUrNbGasLdQUnH_bC3oR-FGbvvIQ34pcbbYHnDmKTVY07C84m-f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JvS0a1miqr6L3MYRL8MGhc1bnL9QyV3GCpioCT4uiabwqywD8XE7RMRqeHwNMB5l3xSQWYX20bfcynQJvZ6lUrNbGasLdQUnH_bC3oR-FGbvvIQ34pcbbYHnDmKTVY07C84m-fR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4838" cy="3291840"/>
                    </a:xfrm>
                    <a:prstGeom prst="rect">
                      <a:avLst/>
                    </a:prstGeom>
                    <a:noFill/>
                    <a:ln>
                      <a:noFill/>
                    </a:ln>
                  </pic:spPr>
                </pic:pic>
              </a:graphicData>
            </a:graphic>
          </wp:inline>
        </w:drawing>
      </w:r>
    </w:p>
    <w:p w14:paraId="4380617E" w14:textId="3BBA2B06" w:rsidR="00365ADD" w:rsidRDefault="00365ADD" w:rsidP="00D83A73">
      <w:pPr>
        <w:spacing w:after="0" w:line="240" w:lineRule="auto"/>
        <w:jc w:val="center"/>
        <w:rPr>
          <w:rFonts w:ascii="Garamond" w:hAnsi="Garamond"/>
          <w:color w:val="000000"/>
        </w:rPr>
      </w:pPr>
      <w:r w:rsidRPr="00D83A73">
        <w:rPr>
          <w:rFonts w:ascii="Garamond" w:hAnsi="Garamond"/>
          <w:bCs/>
          <w:i/>
          <w:color w:val="000000"/>
        </w:rPr>
        <w:t>Figure 3.</w:t>
      </w:r>
      <w:r>
        <w:rPr>
          <w:rFonts w:ascii="Garamond" w:hAnsi="Garamond"/>
          <w:b/>
          <w:bCs/>
          <w:color w:val="000000"/>
        </w:rPr>
        <w:t xml:space="preserve"> </w:t>
      </w:r>
      <w:r>
        <w:rPr>
          <w:rFonts w:ascii="Garamond" w:hAnsi="Garamond"/>
          <w:color w:val="000000"/>
        </w:rPr>
        <w:t xml:space="preserve">Histogram displaying </w:t>
      </w:r>
      <w:r w:rsidR="00491104">
        <w:rPr>
          <w:rFonts w:ascii="Garamond" w:hAnsi="Garamond"/>
          <w:color w:val="000000"/>
        </w:rPr>
        <w:t xml:space="preserve">the </w:t>
      </w:r>
      <w:r w:rsidRPr="00491104">
        <w:rPr>
          <w:rFonts w:ascii="Garamond" w:hAnsi="Garamond"/>
          <w:noProof/>
          <w:color w:val="000000"/>
        </w:rPr>
        <w:t>number</w:t>
      </w:r>
      <w:r>
        <w:rPr>
          <w:rFonts w:ascii="Garamond" w:hAnsi="Garamond"/>
          <w:color w:val="000000"/>
        </w:rPr>
        <w:t xml:space="preserve"> of fields versus NDVI for triticale fields in Queen Anne’s </w:t>
      </w:r>
      <w:r w:rsidR="009A09A7">
        <w:rPr>
          <w:rFonts w:ascii="Garamond" w:hAnsi="Garamond"/>
          <w:color w:val="000000"/>
        </w:rPr>
        <w:t>C</w:t>
      </w:r>
      <w:r>
        <w:rPr>
          <w:rFonts w:ascii="Garamond" w:hAnsi="Garamond"/>
          <w:color w:val="000000"/>
        </w:rPr>
        <w:t>ounty.</w:t>
      </w:r>
    </w:p>
    <w:p w14:paraId="29011484" w14:textId="09D02A92" w:rsidR="009A09A7" w:rsidRPr="009A09A7" w:rsidRDefault="0073301D" w:rsidP="00D83A73">
      <w:pPr>
        <w:spacing w:after="0" w:line="240" w:lineRule="auto"/>
        <w:rPr>
          <w:rFonts w:ascii="Times New Roman" w:eastAsia="Times New Roman" w:hAnsi="Times New Roman" w:cs="Times New Roman"/>
          <w:sz w:val="24"/>
          <w:szCs w:val="24"/>
        </w:rPr>
      </w:pPr>
      <w:r>
        <w:rPr>
          <w:rFonts w:ascii="Garamond" w:hAnsi="Garamond"/>
          <w:color w:val="000000"/>
        </w:rPr>
        <w:lastRenderedPageBreak/>
        <w:t>In these figures, triticale displays an average NDVI value of 0.56 while wheat displays an average of 0.38, which equates to a 47% difference in NDVI between the two crops. Although the sample size for triticale is comparatively smaller than that for wheat, these results suggest that triticale cover crops may perform better than wheat in Queen Anne’s County. The user may then repeat this analysis in another county, or over the region as a whole, to examine this pattern in further detail.</w:t>
      </w:r>
    </w:p>
    <w:p w14:paraId="297CCF2A" w14:textId="77777777" w:rsidR="009A09A7" w:rsidRPr="009A09A7" w:rsidRDefault="009A09A7" w:rsidP="00D83A73">
      <w:pPr>
        <w:spacing w:after="0" w:line="240" w:lineRule="auto"/>
        <w:rPr>
          <w:rFonts w:ascii="Times New Roman" w:eastAsia="Times New Roman" w:hAnsi="Times New Roman" w:cs="Times New Roman"/>
          <w:sz w:val="24"/>
          <w:szCs w:val="24"/>
        </w:rPr>
      </w:pPr>
    </w:p>
    <w:p w14:paraId="3424557A" w14:textId="3179DD26" w:rsidR="009A09A7" w:rsidRDefault="0073301D" w:rsidP="00D83A73">
      <w:pPr>
        <w:spacing w:after="0" w:line="240" w:lineRule="auto"/>
        <w:rPr>
          <w:rFonts w:ascii="Garamond" w:hAnsi="Garamond"/>
          <w:color w:val="000000"/>
        </w:rPr>
      </w:pPr>
      <w:r>
        <w:rPr>
          <w:rFonts w:ascii="Garamond" w:hAnsi="Garamond"/>
          <w:color w:val="000000"/>
        </w:rPr>
        <w:t xml:space="preserve">The GUI can also be used to test scientific hypotheses on cover crop effectiveness. Prior studies have shown that cover crops are more effective if planted in early fall (Hively et. al, 2009a). To verify this, different planting date ranges can be selected in the GUI to examine </w:t>
      </w:r>
      <w:r w:rsidR="0088672F" w:rsidRPr="0088672F">
        <w:rPr>
          <w:rFonts w:ascii="Garamond" w:hAnsi="Garamond"/>
          <w:noProof/>
          <w:color w:val="000000"/>
        </w:rPr>
        <w:t xml:space="preserve">the </w:t>
      </w:r>
      <w:r w:rsidRPr="0088672F">
        <w:rPr>
          <w:rFonts w:ascii="Garamond" w:hAnsi="Garamond"/>
          <w:noProof/>
          <w:color w:val="000000"/>
        </w:rPr>
        <w:t>performance</w:t>
      </w:r>
      <w:r>
        <w:rPr>
          <w:rFonts w:ascii="Garamond" w:hAnsi="Garamond"/>
          <w:color w:val="000000"/>
        </w:rPr>
        <w:t xml:space="preserve"> of cover crops planted in September (Figure 4) compared to those planted in November (Figure 5).</w:t>
      </w:r>
    </w:p>
    <w:p w14:paraId="73D4E188" w14:textId="77777777" w:rsidR="00641237" w:rsidRDefault="00641237" w:rsidP="00D83A73">
      <w:pPr>
        <w:spacing w:after="0" w:line="240" w:lineRule="auto"/>
        <w:rPr>
          <w:rFonts w:ascii="Garamond" w:eastAsia="Times New Roman" w:hAnsi="Garamond" w:cs="Times New Roman"/>
          <w:color w:val="000000"/>
        </w:rPr>
      </w:pPr>
    </w:p>
    <w:p w14:paraId="2B94C775" w14:textId="62FC602E" w:rsidR="009A09A7" w:rsidRDefault="009A09A7" w:rsidP="009A09A7">
      <w:pPr>
        <w:spacing w:after="0" w:line="240" w:lineRule="auto"/>
        <w:jc w:val="center"/>
        <w:rPr>
          <w:rFonts w:ascii="Times New Roman" w:eastAsia="Times New Roman" w:hAnsi="Times New Roman" w:cs="Times New Roman"/>
          <w:sz w:val="24"/>
          <w:szCs w:val="24"/>
        </w:rPr>
      </w:pPr>
      <w:r>
        <w:rPr>
          <w:rFonts w:ascii="Garamond" w:hAnsi="Garamond"/>
          <w:noProof/>
          <w:color w:val="000000"/>
        </w:rPr>
        <w:drawing>
          <wp:inline distT="0" distB="0" distL="0" distR="0" wp14:anchorId="43D1914F" wp14:editId="4B4BB3C5">
            <wp:extent cx="4909052" cy="3291840"/>
            <wp:effectExtent l="0" t="0" r="6350" b="3810"/>
            <wp:docPr id="6" name="Picture 6" descr="https://lh5.googleusercontent.com/SMuMKYcCVwCXKw0IWiplanl8DologU_1fVWvwXqh03gZ_CIj30oz4Awa6L-lFGSh7KtkbBpghaEYEeeLrPB0tRBMQub5FSJ0pgJiu9VwLMT6AEIa595o-LudPn-H43d-FIhRlx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SMuMKYcCVwCXKw0IWiplanl8DologU_1fVWvwXqh03gZ_CIj30oz4Awa6L-lFGSh7KtkbBpghaEYEeeLrPB0tRBMQub5FSJ0pgJiu9VwLMT6AEIa595o-LudPn-H43d-FIhRlx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9052" cy="3291840"/>
                    </a:xfrm>
                    <a:prstGeom prst="rect">
                      <a:avLst/>
                    </a:prstGeom>
                    <a:noFill/>
                    <a:ln>
                      <a:noFill/>
                    </a:ln>
                  </pic:spPr>
                </pic:pic>
              </a:graphicData>
            </a:graphic>
          </wp:inline>
        </w:drawing>
      </w:r>
    </w:p>
    <w:p w14:paraId="0702BCD3" w14:textId="19C83C99" w:rsidR="009A09A7" w:rsidRDefault="009A09A7" w:rsidP="009A09A7">
      <w:pPr>
        <w:spacing w:after="0" w:line="240" w:lineRule="auto"/>
        <w:jc w:val="center"/>
        <w:rPr>
          <w:rFonts w:ascii="Garamond" w:hAnsi="Garamond"/>
          <w:color w:val="000000"/>
        </w:rPr>
      </w:pPr>
      <w:r w:rsidRPr="00D83A73">
        <w:rPr>
          <w:rFonts w:ascii="Garamond" w:hAnsi="Garamond"/>
          <w:bCs/>
          <w:i/>
          <w:color w:val="000000"/>
        </w:rPr>
        <w:t xml:space="preserve">Figure </w:t>
      </w:r>
      <w:r w:rsidR="00D83A73">
        <w:rPr>
          <w:rFonts w:ascii="Garamond" w:hAnsi="Garamond"/>
          <w:bCs/>
          <w:i/>
          <w:color w:val="000000"/>
        </w:rPr>
        <w:t>4</w:t>
      </w:r>
      <w:r w:rsidRPr="00D83A73">
        <w:rPr>
          <w:rFonts w:ascii="Garamond" w:hAnsi="Garamond"/>
          <w:bCs/>
          <w:i/>
          <w:color w:val="000000"/>
        </w:rPr>
        <w:t>.</w:t>
      </w:r>
      <w:r>
        <w:rPr>
          <w:rFonts w:ascii="Garamond" w:hAnsi="Garamond"/>
          <w:b/>
          <w:bCs/>
          <w:color w:val="000000"/>
        </w:rPr>
        <w:t xml:space="preserve"> </w:t>
      </w:r>
      <w:r>
        <w:rPr>
          <w:rFonts w:ascii="Garamond" w:hAnsi="Garamond"/>
          <w:color w:val="000000"/>
        </w:rPr>
        <w:t>Histogram showing number of fields versus maximum NDVI for fields planted in September.</w:t>
      </w:r>
    </w:p>
    <w:p w14:paraId="046AB8E9" w14:textId="77777777" w:rsidR="009A09A7" w:rsidRDefault="009A09A7" w:rsidP="009A09A7">
      <w:pPr>
        <w:spacing w:after="0" w:line="240" w:lineRule="auto"/>
        <w:rPr>
          <w:rFonts w:ascii="Garamond" w:hAnsi="Garamond"/>
          <w:color w:val="000000"/>
        </w:rPr>
      </w:pPr>
    </w:p>
    <w:p w14:paraId="0D4473BA" w14:textId="177388FC" w:rsidR="009A09A7" w:rsidRDefault="009A09A7" w:rsidP="009A09A7">
      <w:pPr>
        <w:spacing w:after="0" w:line="240" w:lineRule="auto"/>
        <w:jc w:val="center"/>
        <w:rPr>
          <w:rFonts w:ascii="Times New Roman" w:eastAsia="Times New Roman" w:hAnsi="Times New Roman" w:cs="Times New Roman"/>
          <w:sz w:val="24"/>
          <w:szCs w:val="24"/>
        </w:rPr>
      </w:pPr>
      <w:r>
        <w:rPr>
          <w:rFonts w:ascii="Garamond" w:hAnsi="Garamond"/>
          <w:b/>
          <w:bCs/>
          <w:i/>
          <w:iCs/>
          <w:noProof/>
          <w:color w:val="000000"/>
        </w:rPr>
        <w:lastRenderedPageBreak/>
        <w:drawing>
          <wp:inline distT="0" distB="0" distL="0" distR="0" wp14:anchorId="773A4D42" wp14:editId="4AB64E79">
            <wp:extent cx="4824248" cy="3291840"/>
            <wp:effectExtent l="0" t="0" r="0" b="3810"/>
            <wp:docPr id="7" name="Picture 7" descr="https://lh3.googleusercontent.com/OP6rIEifm3Q4Ej8szXv1rcaUv1_ZW3u-M1r-aj90Zp6KVep4O5g0qQethGQf1qdkFnkTeBTJoDfE9lvaRru0OlO2B6HlqbcPII5I_hpzLs5j2CuRRVPN5qf389ZnYlnndqDauI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OP6rIEifm3Q4Ej8szXv1rcaUv1_ZW3u-M1r-aj90Zp6KVep4O5g0qQethGQf1qdkFnkTeBTJoDfE9lvaRru0OlO2B6HlqbcPII5I_hpzLs5j2CuRRVPN5qf389ZnYlnndqDauInV"/>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4248" cy="3291840"/>
                    </a:xfrm>
                    <a:prstGeom prst="rect">
                      <a:avLst/>
                    </a:prstGeom>
                    <a:noFill/>
                    <a:ln>
                      <a:noFill/>
                    </a:ln>
                  </pic:spPr>
                </pic:pic>
              </a:graphicData>
            </a:graphic>
          </wp:inline>
        </w:drawing>
      </w:r>
    </w:p>
    <w:p w14:paraId="465ADC7A" w14:textId="1BA2797F" w:rsidR="009A09A7" w:rsidRDefault="009A09A7" w:rsidP="00D83A73">
      <w:pPr>
        <w:spacing w:after="0" w:line="240" w:lineRule="auto"/>
        <w:jc w:val="center"/>
        <w:rPr>
          <w:rFonts w:ascii="Garamond" w:hAnsi="Garamond"/>
          <w:color w:val="000000"/>
        </w:rPr>
      </w:pPr>
      <w:r w:rsidRPr="00D83A73">
        <w:rPr>
          <w:rFonts w:ascii="Garamond" w:hAnsi="Garamond"/>
          <w:bCs/>
          <w:i/>
          <w:color w:val="000000"/>
        </w:rPr>
        <w:t xml:space="preserve">Figure </w:t>
      </w:r>
      <w:r w:rsidR="00D83A73">
        <w:rPr>
          <w:rFonts w:ascii="Garamond" w:hAnsi="Garamond"/>
          <w:bCs/>
          <w:i/>
          <w:color w:val="000000"/>
        </w:rPr>
        <w:t>5</w:t>
      </w:r>
      <w:r w:rsidRPr="00D83A73">
        <w:rPr>
          <w:rFonts w:ascii="Garamond" w:hAnsi="Garamond"/>
          <w:bCs/>
          <w:i/>
          <w:color w:val="000000"/>
        </w:rPr>
        <w:t>.</w:t>
      </w:r>
      <w:r>
        <w:rPr>
          <w:rFonts w:ascii="Garamond" w:hAnsi="Garamond"/>
          <w:b/>
          <w:bCs/>
          <w:color w:val="000000"/>
        </w:rPr>
        <w:t xml:space="preserve"> </w:t>
      </w:r>
      <w:r>
        <w:rPr>
          <w:rFonts w:ascii="Garamond" w:hAnsi="Garamond"/>
          <w:color w:val="000000"/>
        </w:rPr>
        <w:t>Histogram showing number of fields versus maximum NDVI for fields planted in November.</w:t>
      </w:r>
    </w:p>
    <w:p w14:paraId="73FA6449" w14:textId="77777777" w:rsidR="009A09A7" w:rsidRDefault="009A09A7" w:rsidP="00D83A73">
      <w:pPr>
        <w:spacing w:after="0" w:line="240" w:lineRule="auto"/>
        <w:rPr>
          <w:rFonts w:ascii="Garamond" w:hAnsi="Garamond"/>
          <w:color w:val="000000"/>
        </w:rPr>
      </w:pPr>
    </w:p>
    <w:p w14:paraId="67E64D09" w14:textId="5044C840" w:rsidR="009A09A7" w:rsidRDefault="0073301D" w:rsidP="00D83A73">
      <w:pPr>
        <w:spacing w:after="0" w:line="240" w:lineRule="auto"/>
        <w:rPr>
          <w:rFonts w:ascii="Garamond" w:hAnsi="Garamond"/>
          <w:color w:val="000000"/>
        </w:rPr>
      </w:pPr>
      <w:r>
        <w:rPr>
          <w:rFonts w:ascii="Garamond" w:hAnsi="Garamond"/>
          <w:color w:val="000000"/>
        </w:rPr>
        <w:t>These figures support the hypothesis that early planting, before October 1, yields better cover crop performance: the peak of the November curve is nearly 0.2 NDVI lower than the September curve, corresponding to a difference of 20% ground cover (per the conversion equation in Table 2).</w:t>
      </w:r>
    </w:p>
    <w:p w14:paraId="4F6D901C" w14:textId="77777777" w:rsidR="009A09A7" w:rsidRDefault="009A09A7" w:rsidP="00D83A73">
      <w:pPr>
        <w:spacing w:after="0" w:line="240" w:lineRule="auto"/>
        <w:rPr>
          <w:rFonts w:ascii="Garamond" w:hAnsi="Garamond"/>
          <w:color w:val="000000"/>
        </w:rPr>
      </w:pPr>
    </w:p>
    <w:p w14:paraId="3381F267" w14:textId="6215D141" w:rsidR="009A09A7" w:rsidRDefault="0073301D" w:rsidP="00D83A73">
      <w:pPr>
        <w:spacing w:after="0" w:line="240" w:lineRule="auto"/>
        <w:rPr>
          <w:rFonts w:ascii="Garamond" w:hAnsi="Garamond"/>
          <w:color w:val="000000"/>
        </w:rPr>
      </w:pPr>
      <w:r>
        <w:rPr>
          <w:rFonts w:ascii="Garamond" w:hAnsi="Garamond"/>
          <w:color w:val="000000"/>
        </w:rPr>
        <w:t>Table 4 displays a portion of the overall summary table produced by the GUI for Queen Anne’s County. See Appendix A for a complete overview of all summary tables and parameters.</w:t>
      </w:r>
    </w:p>
    <w:p w14:paraId="48DD213B" w14:textId="77777777" w:rsidR="00641237" w:rsidRDefault="00641237" w:rsidP="00D83A73">
      <w:pPr>
        <w:spacing w:after="0" w:line="240" w:lineRule="auto"/>
        <w:rPr>
          <w:rFonts w:ascii="Garamond" w:hAnsi="Garamond"/>
          <w:bCs/>
          <w:color w:val="000000"/>
        </w:rPr>
      </w:pPr>
    </w:p>
    <w:p w14:paraId="2790EC90" w14:textId="4114FB46" w:rsidR="009A09A7" w:rsidRPr="00641237" w:rsidRDefault="009A09A7" w:rsidP="00D83A73">
      <w:pPr>
        <w:spacing w:after="0" w:line="240" w:lineRule="auto"/>
        <w:rPr>
          <w:rFonts w:ascii="Garamond" w:hAnsi="Garamond"/>
          <w:b/>
          <w:bCs/>
          <w:color w:val="000000"/>
        </w:rPr>
      </w:pPr>
      <w:r w:rsidRPr="00641237">
        <w:rPr>
          <w:rFonts w:ascii="Garamond" w:hAnsi="Garamond"/>
          <w:b/>
          <w:bCs/>
          <w:color w:val="000000"/>
        </w:rPr>
        <w:t>Table 4</w:t>
      </w:r>
      <w:r w:rsidR="00D83A73" w:rsidRPr="00641237">
        <w:rPr>
          <w:rFonts w:ascii="Garamond" w:hAnsi="Garamond"/>
          <w:b/>
          <w:bCs/>
          <w:color w:val="000000"/>
        </w:rPr>
        <w:t>:</w:t>
      </w:r>
      <w:r w:rsidRPr="00641237">
        <w:rPr>
          <w:rFonts w:ascii="Garamond" w:hAnsi="Garamond"/>
          <w:b/>
          <w:bCs/>
          <w:color w:val="000000"/>
        </w:rPr>
        <w:t xml:space="preserve"> </w:t>
      </w:r>
      <w:r w:rsidRPr="00641237">
        <w:rPr>
          <w:rFonts w:ascii="Garamond" w:hAnsi="Garamond"/>
          <w:color w:val="000000"/>
        </w:rPr>
        <w:t>GUI output summary table outlining performance in Queen Anne’s County based on filtering parameters.</w:t>
      </w:r>
    </w:p>
    <w:p w14:paraId="7DD00B94" w14:textId="70E213CC" w:rsidR="009A09A7" w:rsidRPr="009A09A7" w:rsidRDefault="009A09A7" w:rsidP="00D83A73">
      <w:pPr>
        <w:spacing w:after="0" w:line="240" w:lineRule="auto"/>
        <w:rPr>
          <w:rFonts w:ascii="Times New Roman" w:eastAsia="Times New Roman" w:hAnsi="Times New Roman" w:cs="Times New Roman"/>
          <w:sz w:val="24"/>
          <w:szCs w:val="24"/>
        </w:rPr>
      </w:pPr>
      <w:r>
        <w:rPr>
          <w:rFonts w:ascii="Garamond" w:hAnsi="Garamond"/>
          <w:noProof/>
          <w:color w:val="000000"/>
        </w:rPr>
        <w:drawing>
          <wp:inline distT="0" distB="0" distL="0" distR="0" wp14:anchorId="343071E6" wp14:editId="4CA37695">
            <wp:extent cx="5943600" cy="1885950"/>
            <wp:effectExtent l="0" t="0" r="0" b="0"/>
            <wp:docPr id="8" name="Picture 8" descr="https://lh5.googleusercontent.com/d4FEt5vKo5p4eThv8CGRO08-xxwc1d8aYYY0RGvpwVUnMaP76Yv2eeq2hAZKCpjd9bCZGM3FvYU8sGRvYUiapCETtsa4xee3HxzWDgY55QReKHY1kNAYueVy_DGogSRoynzDXm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5.googleusercontent.com/d4FEt5vKo5p4eThv8CGRO08-xxwc1d8aYYY0RGvpwVUnMaP76Yv2eeq2hAZKCpjd9bCZGM3FvYU8sGRvYUiapCETtsa4xee3HxzWDgY55QReKHY1kNAYueVy_DGogSRoynzDXm8a"/>
                    <pic:cNvPicPr>
                      <a:picLocks noChangeAspect="1" noChangeArrowheads="1"/>
                    </pic:cNvPicPr>
                  </pic:nvPicPr>
                  <pic:blipFill rotWithShape="1">
                    <a:blip r:embed="rId14">
                      <a:extLst>
                        <a:ext uri="{28A0092B-C50C-407E-A947-70E740481C1C}">
                          <a14:useLocalDpi xmlns:a14="http://schemas.microsoft.com/office/drawing/2010/main" val="0"/>
                        </a:ext>
                      </a:extLst>
                    </a:blip>
                    <a:srcRect b="2941"/>
                    <a:stretch/>
                  </pic:blipFill>
                  <pic:spPr bwMode="auto">
                    <a:xfrm>
                      <a:off x="0" y="0"/>
                      <a:ext cx="5943600" cy="1885950"/>
                    </a:xfrm>
                    <a:prstGeom prst="rect">
                      <a:avLst/>
                    </a:prstGeom>
                    <a:noFill/>
                    <a:ln>
                      <a:noFill/>
                    </a:ln>
                    <a:extLst>
                      <a:ext uri="{53640926-AAD7-44D8-BBD7-CCE9431645EC}">
                        <a14:shadowObscured xmlns:a14="http://schemas.microsoft.com/office/drawing/2010/main"/>
                      </a:ext>
                    </a:extLst>
                  </pic:spPr>
                </pic:pic>
              </a:graphicData>
            </a:graphic>
          </wp:inline>
        </w:drawing>
      </w:r>
    </w:p>
    <w:p w14:paraId="26652EBC" w14:textId="77777777" w:rsidR="00E91B1A" w:rsidRDefault="00E91B1A" w:rsidP="00D83A73">
      <w:pPr>
        <w:pStyle w:val="NoSpacing"/>
        <w:rPr>
          <w:rFonts w:ascii="Garamond" w:hAnsi="Garamond"/>
          <w:b/>
          <w:i/>
          <w:szCs w:val="24"/>
        </w:rPr>
      </w:pPr>
      <w:bookmarkStart w:id="4" w:name="_Toc334198734"/>
    </w:p>
    <w:p w14:paraId="4EB6DFAB" w14:textId="426CAABA" w:rsidR="00621AB9" w:rsidRPr="006C6154" w:rsidRDefault="00621AB9" w:rsidP="00D83A73">
      <w:pPr>
        <w:pStyle w:val="NoSpacing"/>
        <w:rPr>
          <w:rFonts w:ascii="Garamond" w:hAnsi="Garamond"/>
          <w:b/>
          <w:i/>
          <w:szCs w:val="24"/>
        </w:rPr>
      </w:pPr>
      <w:r w:rsidRPr="006C6154">
        <w:rPr>
          <w:rFonts w:ascii="Garamond" w:hAnsi="Garamond"/>
          <w:b/>
          <w:i/>
          <w:szCs w:val="24"/>
        </w:rPr>
        <w:t>4.2 Future Work</w:t>
      </w:r>
    </w:p>
    <w:bookmarkEnd w:id="4"/>
    <w:p w14:paraId="6FCCDE43" w14:textId="4C066D81" w:rsidR="001F1328" w:rsidRPr="00106FD6" w:rsidRDefault="0073301D" w:rsidP="00D83A73">
      <w:pPr>
        <w:pStyle w:val="NoSpacing"/>
        <w:rPr>
          <w:rFonts w:ascii="Garamond" w:hAnsi="Garamond"/>
        </w:rPr>
      </w:pPr>
      <w:r>
        <w:rPr>
          <w:rFonts w:ascii="Garamond" w:hAnsi="Garamond"/>
          <w:color w:val="000000"/>
        </w:rPr>
        <w:t xml:space="preserve">A third term would incorporate a spring season time series analysis into previous project work in order to establish the date of springtime termination of cover crops on MACS enrolled winter cover crop fields. This additional analysis would enable the MDA to verify adherence to the cover crop program while eliminating the need for spot-checking, which would reduce workload significantly and increase </w:t>
      </w:r>
      <w:r w:rsidR="0088672F" w:rsidRPr="0088672F">
        <w:rPr>
          <w:rFonts w:ascii="Garamond" w:hAnsi="Garamond"/>
          <w:noProof/>
          <w:color w:val="000000"/>
        </w:rPr>
        <w:t xml:space="preserve">the </w:t>
      </w:r>
      <w:r w:rsidRPr="0088672F">
        <w:rPr>
          <w:rFonts w:ascii="Garamond" w:hAnsi="Garamond"/>
          <w:noProof/>
          <w:color w:val="000000"/>
        </w:rPr>
        <w:t>effectiveness</w:t>
      </w:r>
      <w:r>
        <w:rPr>
          <w:rFonts w:ascii="Garamond" w:hAnsi="Garamond"/>
          <w:color w:val="000000"/>
        </w:rPr>
        <w:t xml:space="preserve"> of cover crop management.</w:t>
      </w:r>
    </w:p>
    <w:p w14:paraId="2177AADA" w14:textId="1695743A" w:rsidR="00E41324" w:rsidRDefault="00621AB9" w:rsidP="00D83A73">
      <w:pPr>
        <w:pStyle w:val="Heading1"/>
        <w:spacing w:line="240" w:lineRule="auto"/>
        <w:rPr>
          <w:rFonts w:ascii="Garamond" w:hAnsi="Garamond"/>
        </w:rPr>
      </w:pPr>
      <w:bookmarkStart w:id="5" w:name="_Toc334198735"/>
      <w:r w:rsidRPr="005A5711">
        <w:rPr>
          <w:rFonts w:ascii="Garamond" w:hAnsi="Garamond"/>
        </w:rPr>
        <w:lastRenderedPageBreak/>
        <w:t>5</w:t>
      </w:r>
      <w:r w:rsidR="008B7071" w:rsidRPr="005A5711">
        <w:rPr>
          <w:rFonts w:ascii="Garamond" w:hAnsi="Garamond"/>
        </w:rPr>
        <w:t xml:space="preserve">. </w:t>
      </w:r>
      <w:r w:rsidR="00E41324" w:rsidRPr="005A5711">
        <w:rPr>
          <w:rFonts w:ascii="Garamond" w:hAnsi="Garamond"/>
        </w:rPr>
        <w:t>Conclusions</w:t>
      </w:r>
      <w:bookmarkEnd w:id="5"/>
    </w:p>
    <w:p w14:paraId="2562EA01" w14:textId="0901A258" w:rsidR="009A09A7" w:rsidRDefault="0073301D" w:rsidP="00D83A73">
      <w:pPr>
        <w:pStyle w:val="NormalWeb"/>
        <w:spacing w:before="0" w:beforeAutospacing="0" w:after="200" w:afterAutospacing="0"/>
      </w:pPr>
      <w:r>
        <w:rPr>
          <w:rFonts w:ascii="Garamond" w:hAnsi="Garamond"/>
          <w:color w:val="000000"/>
          <w:sz w:val="22"/>
          <w:szCs w:val="22"/>
        </w:rPr>
        <w:t>The Google Earth Engine graphical user interface provides the Maryland Department of Agriculture the ability to utilize NASA Earth observations in evaluating their cover crop program. Analyzed data can be visually represented on an interactive map, filtered for planting characteristics, and displayed as graphical and tabular outputs of average maximum NDVI, predicted biomass, and predicted percent ground cover.</w:t>
      </w:r>
      <w:r w:rsidR="009A09A7">
        <w:rPr>
          <w:rFonts w:ascii="Garamond" w:hAnsi="Garamond"/>
          <w:color w:val="000000"/>
          <w:sz w:val="22"/>
          <w:szCs w:val="22"/>
        </w:rPr>
        <w:t xml:space="preserve"> </w:t>
      </w:r>
    </w:p>
    <w:p w14:paraId="5EB7ED4C" w14:textId="3BFE0E3B" w:rsidR="009A09A7" w:rsidRDefault="0073301D" w:rsidP="00D83A73">
      <w:pPr>
        <w:pStyle w:val="NormalWeb"/>
        <w:spacing w:before="0" w:beforeAutospacing="0" w:after="200" w:afterAutospacing="0"/>
      </w:pPr>
      <w:r>
        <w:rPr>
          <w:rFonts w:ascii="Garamond" w:hAnsi="Garamond"/>
          <w:color w:val="000000"/>
          <w:sz w:val="22"/>
          <w:szCs w:val="22"/>
        </w:rPr>
        <w:t>Through GUI construction and use, the team built upon established correlations between NDVI, biomass and ground cover to analyze the effectiveness of a variety of crop planting techniques and parameters. Histograms displaying distributions of NDVI values for a filtered dataset verified that fields planted earlier in the season have higher average NDVI, biomass, and percent ground cover than those planted later in the season. Furthermore, a comparison of performance between crop types indicated that triticale, though planted less frequently, has a higher biomass yield than wheat. Findings such as these give the MDA the opportunity to amend and optimize their cover crop program policies and incentive structure to reward high-performing crops and planting methods.</w:t>
      </w:r>
    </w:p>
    <w:p w14:paraId="2332BFE0" w14:textId="57901B39" w:rsidR="009A09A7" w:rsidRPr="009A09A7" w:rsidRDefault="0073301D" w:rsidP="00D83A73">
      <w:pPr>
        <w:spacing w:line="240" w:lineRule="auto"/>
      </w:pPr>
      <w:r>
        <w:rPr>
          <w:rFonts w:ascii="Garamond" w:hAnsi="Garamond"/>
          <w:color w:val="000000"/>
        </w:rPr>
        <w:t xml:space="preserve">Providing the MDA with this tool established a means of improving agricultural management techniques throughout Maryland, as the GUI is capable of analyzing fields in all Maryland counties. The GUI supports the MDA’s long-term goals of reducing </w:t>
      </w:r>
      <w:r>
        <w:rPr>
          <w:rFonts w:ascii="Garamond" w:hAnsi="Garamond"/>
          <w:i/>
          <w:iCs/>
          <w:color w:val="000000"/>
        </w:rPr>
        <w:t xml:space="preserve">in situ </w:t>
      </w:r>
      <w:r>
        <w:rPr>
          <w:rFonts w:ascii="Garamond" w:hAnsi="Garamond"/>
          <w:color w:val="000000"/>
        </w:rPr>
        <w:t>spot-checking of enrolled fields and assessing the productivity of various planting methods. The depth and sophistication of cover crop analysis in Maryland can be improved through future work. However, this partnership has established a novel methodology for cover crop analysis via Google Earth Engine and provided the MDA with a user-friendly tool to help optimize their management of Maryland cover crops, both of which contribute to improved watershed conservation practices and Chesapeake Bay health.</w:t>
      </w:r>
    </w:p>
    <w:p w14:paraId="2BF53931" w14:textId="3D78EBFF" w:rsidR="00E41324" w:rsidRPr="005A5711" w:rsidRDefault="00621AB9" w:rsidP="00D3013B">
      <w:pPr>
        <w:pStyle w:val="Heading1"/>
        <w:rPr>
          <w:rFonts w:ascii="Garamond" w:hAnsi="Garamond"/>
        </w:rPr>
      </w:pPr>
      <w:bookmarkStart w:id="6" w:name="_Toc334198736"/>
      <w:r w:rsidRPr="005A5711">
        <w:rPr>
          <w:rFonts w:ascii="Garamond" w:hAnsi="Garamond"/>
        </w:rPr>
        <w:t>6</w:t>
      </w:r>
      <w:r w:rsidR="008B7071" w:rsidRPr="005A5711">
        <w:rPr>
          <w:rFonts w:ascii="Garamond" w:hAnsi="Garamond"/>
        </w:rPr>
        <w:t xml:space="preserve">. </w:t>
      </w:r>
      <w:r w:rsidR="00E41324" w:rsidRPr="005A5711">
        <w:rPr>
          <w:rFonts w:ascii="Garamond" w:hAnsi="Garamond"/>
        </w:rPr>
        <w:t>Acknowledgments</w:t>
      </w:r>
      <w:bookmarkEnd w:id="6"/>
    </w:p>
    <w:p w14:paraId="2DEC1783" w14:textId="6C76ABB7" w:rsidR="0073301D" w:rsidRPr="0073301D" w:rsidRDefault="0073301D" w:rsidP="0073301D">
      <w:pPr>
        <w:spacing w:after="0" w:line="240" w:lineRule="auto"/>
        <w:rPr>
          <w:rFonts w:ascii="Times New Roman" w:eastAsia="Times New Roman" w:hAnsi="Times New Roman" w:cs="Times New Roman"/>
          <w:sz w:val="24"/>
          <w:szCs w:val="24"/>
        </w:rPr>
      </w:pPr>
      <w:r w:rsidRPr="0073301D">
        <w:rPr>
          <w:rFonts w:ascii="Garamond" w:eastAsia="Times New Roman" w:hAnsi="Garamond" w:cs="Times New Roman"/>
          <w:color w:val="000000"/>
        </w:rPr>
        <w:t xml:space="preserve">We wish to show our gratitude to our project advisors – Dr. W. Dean Hively, Dr. Greg McCarty, and Dr. Kristofer Lasko – for their participation and guidance during this development process. We also thank </w:t>
      </w:r>
      <w:r w:rsidR="003C4C33">
        <w:rPr>
          <w:rFonts w:ascii="Garamond" w:eastAsia="Times New Roman" w:hAnsi="Garamond" w:cs="Times New Roman"/>
          <w:color w:val="000000"/>
        </w:rPr>
        <w:t>our</w:t>
      </w:r>
      <w:r w:rsidR="003C4C33" w:rsidRPr="0073301D">
        <w:rPr>
          <w:rFonts w:ascii="Garamond" w:eastAsia="Times New Roman" w:hAnsi="Garamond" w:cs="Times New Roman"/>
          <w:color w:val="000000"/>
        </w:rPr>
        <w:t xml:space="preserve"> </w:t>
      </w:r>
      <w:r w:rsidRPr="0073301D">
        <w:rPr>
          <w:rFonts w:ascii="Garamond" w:eastAsia="Times New Roman" w:hAnsi="Garamond" w:cs="Times New Roman"/>
          <w:color w:val="000000"/>
        </w:rPr>
        <w:t>partners on this project: Jason Keppler from the Maryland Department of Agriculture and Rich Batiuk from the Chesapeake Bay Program. Finally, we thank our lead science advisor, Dr. John Bolten, and Center Lead, Victor Lenske, at NASA Goddard Space Flight Center.</w:t>
      </w:r>
    </w:p>
    <w:p w14:paraId="554ED8D3" w14:textId="77777777" w:rsidR="0073301D" w:rsidRPr="0073301D" w:rsidRDefault="0073301D" w:rsidP="0073301D">
      <w:pPr>
        <w:spacing w:after="0" w:line="240" w:lineRule="auto"/>
        <w:rPr>
          <w:rFonts w:ascii="Times New Roman" w:eastAsia="Times New Roman" w:hAnsi="Times New Roman" w:cs="Times New Roman"/>
          <w:sz w:val="24"/>
          <w:szCs w:val="24"/>
        </w:rPr>
      </w:pPr>
    </w:p>
    <w:p w14:paraId="4CE1077E" w14:textId="77777777" w:rsidR="0073301D" w:rsidRPr="0073301D" w:rsidRDefault="0073301D" w:rsidP="0073301D">
      <w:pPr>
        <w:spacing w:after="0" w:line="240" w:lineRule="auto"/>
        <w:rPr>
          <w:rFonts w:ascii="Times New Roman" w:eastAsia="Times New Roman" w:hAnsi="Times New Roman" w:cs="Times New Roman"/>
          <w:sz w:val="24"/>
          <w:szCs w:val="24"/>
        </w:rPr>
      </w:pPr>
      <w:r w:rsidRPr="0073301D">
        <w:rPr>
          <w:rFonts w:ascii="Garamond" w:eastAsia="Times New Roman" w:hAnsi="Garamond" w:cs="Times New Roman"/>
          <w:color w:val="000000"/>
        </w:rPr>
        <w:t xml:space="preserve">This material contains modified Copernicus Sentinel data 2017, processed by ESA. </w:t>
      </w:r>
    </w:p>
    <w:p w14:paraId="6FE95BBD" w14:textId="77777777" w:rsidR="0073301D" w:rsidRPr="0073301D" w:rsidRDefault="0073301D" w:rsidP="0073301D">
      <w:pPr>
        <w:spacing w:after="0" w:line="240" w:lineRule="auto"/>
        <w:rPr>
          <w:rFonts w:ascii="Times New Roman" w:eastAsia="Times New Roman" w:hAnsi="Times New Roman" w:cs="Times New Roman"/>
          <w:sz w:val="24"/>
          <w:szCs w:val="24"/>
        </w:rPr>
      </w:pPr>
    </w:p>
    <w:p w14:paraId="6671623C" w14:textId="77777777" w:rsidR="0073301D" w:rsidRPr="0073301D" w:rsidRDefault="0073301D" w:rsidP="0073301D">
      <w:pPr>
        <w:spacing w:after="0" w:line="240" w:lineRule="auto"/>
        <w:rPr>
          <w:rFonts w:ascii="Times New Roman" w:eastAsia="Times New Roman" w:hAnsi="Times New Roman" w:cs="Times New Roman"/>
          <w:sz w:val="24"/>
          <w:szCs w:val="24"/>
        </w:rPr>
      </w:pPr>
      <w:r w:rsidRPr="0073301D">
        <w:rPr>
          <w:rFonts w:ascii="Garamond" w:eastAsia="Times New Roman" w:hAnsi="Garamond" w:cs="Times New Roman"/>
          <w:color w:val="000000"/>
        </w:rPr>
        <w:t>Any opinions, findings, and conclusions or recommendations expressed in this material are those of the author(s) and do not necessarily reflect the views of the National Aeronautics and Space Administration.</w:t>
      </w:r>
    </w:p>
    <w:p w14:paraId="26D28C50" w14:textId="77777777" w:rsidR="0073301D" w:rsidRPr="0073301D" w:rsidRDefault="0073301D" w:rsidP="0073301D">
      <w:pPr>
        <w:spacing w:after="0" w:line="240" w:lineRule="auto"/>
        <w:rPr>
          <w:rFonts w:ascii="Times New Roman" w:eastAsia="Times New Roman" w:hAnsi="Times New Roman" w:cs="Times New Roman"/>
          <w:sz w:val="24"/>
          <w:szCs w:val="24"/>
        </w:rPr>
      </w:pPr>
    </w:p>
    <w:p w14:paraId="6A279A0D" w14:textId="68D0D5FB" w:rsidR="009A09A7" w:rsidRPr="009A09A7" w:rsidRDefault="0073301D" w:rsidP="00D83A73">
      <w:pPr>
        <w:spacing w:after="0" w:line="240" w:lineRule="auto"/>
        <w:rPr>
          <w:rFonts w:ascii="Times New Roman" w:eastAsia="Times New Roman" w:hAnsi="Times New Roman" w:cs="Times New Roman"/>
          <w:sz w:val="24"/>
          <w:szCs w:val="24"/>
        </w:rPr>
      </w:pPr>
      <w:r w:rsidRPr="0073301D">
        <w:rPr>
          <w:rFonts w:ascii="Garamond" w:eastAsia="Times New Roman" w:hAnsi="Garamond" w:cs="Times New Roman"/>
          <w:color w:val="000000"/>
        </w:rPr>
        <w:t>This material is based upon work supported by NASA through contract NNL16AA05C.</w:t>
      </w:r>
    </w:p>
    <w:p w14:paraId="5E048FEB" w14:textId="00604476" w:rsidR="001A67C2" w:rsidRDefault="00621AB9" w:rsidP="00872A13">
      <w:pPr>
        <w:pStyle w:val="Heading1"/>
        <w:spacing w:line="240" w:lineRule="auto"/>
        <w:rPr>
          <w:rFonts w:ascii="Garamond" w:hAnsi="Garamond"/>
        </w:rPr>
      </w:pPr>
      <w:bookmarkStart w:id="7" w:name="_Toc334198737"/>
      <w:r w:rsidRPr="005A5711">
        <w:rPr>
          <w:rFonts w:ascii="Garamond" w:hAnsi="Garamond"/>
        </w:rPr>
        <w:t>7</w:t>
      </w:r>
      <w:r w:rsidR="008B7071" w:rsidRPr="005A5711">
        <w:rPr>
          <w:rFonts w:ascii="Garamond" w:hAnsi="Garamond"/>
        </w:rPr>
        <w:t xml:space="preserve">. </w:t>
      </w:r>
      <w:r w:rsidR="001A67C2">
        <w:rPr>
          <w:rFonts w:ascii="Garamond" w:hAnsi="Garamond"/>
        </w:rPr>
        <w:t>Glossary</w:t>
      </w:r>
    </w:p>
    <w:p w14:paraId="22682345" w14:textId="77777777" w:rsidR="0073301D" w:rsidRPr="0073301D" w:rsidRDefault="0073301D" w:rsidP="0073301D">
      <w:pPr>
        <w:spacing w:after="0" w:line="240" w:lineRule="auto"/>
        <w:rPr>
          <w:rFonts w:ascii="Times New Roman" w:eastAsia="Times New Roman" w:hAnsi="Times New Roman" w:cs="Times New Roman"/>
          <w:sz w:val="24"/>
          <w:szCs w:val="24"/>
        </w:rPr>
      </w:pPr>
      <w:r w:rsidRPr="0073301D">
        <w:rPr>
          <w:rFonts w:ascii="Garamond" w:eastAsia="Times New Roman" w:hAnsi="Garamond" w:cs="Times New Roman"/>
          <w:b/>
          <w:bCs/>
          <w:color w:val="000000"/>
        </w:rPr>
        <w:t xml:space="preserve">Biomass </w:t>
      </w:r>
      <w:r w:rsidRPr="0073301D">
        <w:rPr>
          <w:rFonts w:ascii="Garamond" w:eastAsia="Times New Roman" w:hAnsi="Garamond" w:cs="Times New Roman"/>
          <w:color w:val="000000"/>
        </w:rPr>
        <w:t xml:space="preserve">– The total mass of a collection of organisms in an area. Used as an indicator of cover crop performance in this study </w:t>
      </w:r>
    </w:p>
    <w:p w14:paraId="101DC345" w14:textId="77777777" w:rsidR="0073301D" w:rsidRPr="0073301D" w:rsidRDefault="0073301D" w:rsidP="0073301D">
      <w:pPr>
        <w:spacing w:after="0" w:line="240" w:lineRule="auto"/>
        <w:rPr>
          <w:rFonts w:ascii="Times New Roman" w:eastAsia="Times New Roman" w:hAnsi="Times New Roman" w:cs="Times New Roman"/>
          <w:sz w:val="24"/>
          <w:szCs w:val="24"/>
        </w:rPr>
      </w:pPr>
      <w:r w:rsidRPr="0073301D">
        <w:rPr>
          <w:rFonts w:ascii="Garamond" w:eastAsia="Times New Roman" w:hAnsi="Garamond" w:cs="Times New Roman"/>
          <w:b/>
          <w:bCs/>
          <w:color w:val="000000"/>
        </w:rPr>
        <w:t>Earth observations</w:t>
      </w:r>
      <w:r w:rsidRPr="0073301D">
        <w:rPr>
          <w:rFonts w:ascii="Garamond" w:eastAsia="Times New Roman" w:hAnsi="Garamond" w:cs="Times New Roman"/>
          <w:color w:val="000000"/>
        </w:rPr>
        <w:t xml:space="preserve"> – Satellites and sensors that collect information about the Earth’s physical, chemical, and biological systems over space and time</w:t>
      </w:r>
    </w:p>
    <w:p w14:paraId="60D8E031" w14:textId="77777777" w:rsidR="0073301D" w:rsidRPr="0073301D" w:rsidRDefault="0073301D" w:rsidP="0073301D">
      <w:pPr>
        <w:spacing w:after="0" w:line="240" w:lineRule="auto"/>
        <w:rPr>
          <w:rFonts w:ascii="Times New Roman" w:eastAsia="Times New Roman" w:hAnsi="Times New Roman" w:cs="Times New Roman"/>
          <w:sz w:val="24"/>
          <w:szCs w:val="24"/>
        </w:rPr>
      </w:pPr>
      <w:r w:rsidRPr="0073301D">
        <w:rPr>
          <w:rFonts w:ascii="Garamond" w:eastAsia="Times New Roman" w:hAnsi="Garamond" w:cs="Times New Roman"/>
          <w:b/>
          <w:bCs/>
          <w:color w:val="000000"/>
        </w:rPr>
        <w:t xml:space="preserve">EPA </w:t>
      </w:r>
      <w:r w:rsidRPr="0073301D">
        <w:rPr>
          <w:rFonts w:ascii="Garamond" w:eastAsia="Times New Roman" w:hAnsi="Garamond" w:cs="Times New Roman"/>
          <w:color w:val="000000"/>
        </w:rPr>
        <w:t>–</w:t>
      </w:r>
      <w:r w:rsidRPr="0073301D">
        <w:rPr>
          <w:rFonts w:ascii="Garamond" w:eastAsia="Times New Roman" w:hAnsi="Garamond" w:cs="Times New Roman"/>
          <w:b/>
          <w:bCs/>
          <w:color w:val="000000"/>
        </w:rPr>
        <w:t xml:space="preserve"> </w:t>
      </w:r>
      <w:r w:rsidRPr="0073301D">
        <w:rPr>
          <w:rFonts w:ascii="Garamond" w:eastAsia="Times New Roman" w:hAnsi="Garamond" w:cs="Times New Roman"/>
          <w:color w:val="000000"/>
        </w:rPr>
        <w:t>Environmental Protection Agency, an independent government agency</w:t>
      </w:r>
    </w:p>
    <w:p w14:paraId="7B1DA57E" w14:textId="40B66469" w:rsidR="0073301D" w:rsidRPr="0073301D" w:rsidRDefault="0073301D" w:rsidP="0073301D">
      <w:pPr>
        <w:spacing w:after="0" w:line="240" w:lineRule="auto"/>
        <w:rPr>
          <w:rFonts w:ascii="Times New Roman" w:eastAsia="Times New Roman" w:hAnsi="Times New Roman" w:cs="Times New Roman"/>
          <w:sz w:val="24"/>
          <w:szCs w:val="24"/>
        </w:rPr>
      </w:pPr>
      <w:r w:rsidRPr="0073301D">
        <w:rPr>
          <w:rFonts w:ascii="Garamond" w:eastAsia="Times New Roman" w:hAnsi="Garamond" w:cs="Times New Roman"/>
          <w:b/>
          <w:bCs/>
          <w:color w:val="000000"/>
        </w:rPr>
        <w:t xml:space="preserve">Graphical User Interface </w:t>
      </w:r>
      <w:r w:rsidRPr="0073301D">
        <w:rPr>
          <w:rFonts w:ascii="Garamond" w:eastAsia="Times New Roman" w:hAnsi="Garamond" w:cs="Times New Roman"/>
          <w:color w:val="000000"/>
        </w:rPr>
        <w:t xml:space="preserve">– A way of visually interacting with a piece of software without requiring edits to </w:t>
      </w:r>
      <w:r w:rsidR="0088672F" w:rsidRPr="0088672F">
        <w:rPr>
          <w:rFonts w:ascii="Garamond" w:eastAsia="Times New Roman" w:hAnsi="Garamond" w:cs="Times New Roman"/>
          <w:noProof/>
          <w:color w:val="000000"/>
        </w:rPr>
        <w:t xml:space="preserve">the </w:t>
      </w:r>
      <w:r w:rsidRPr="0088672F">
        <w:rPr>
          <w:rFonts w:ascii="Garamond" w:eastAsia="Times New Roman" w:hAnsi="Garamond" w:cs="Times New Roman"/>
          <w:noProof/>
          <w:color w:val="000000"/>
        </w:rPr>
        <w:t>source</w:t>
      </w:r>
      <w:r w:rsidRPr="0073301D">
        <w:rPr>
          <w:rFonts w:ascii="Garamond" w:eastAsia="Times New Roman" w:hAnsi="Garamond" w:cs="Times New Roman"/>
          <w:color w:val="000000"/>
        </w:rPr>
        <w:t xml:space="preserve"> code</w:t>
      </w:r>
    </w:p>
    <w:p w14:paraId="3B62CFFB" w14:textId="77777777" w:rsidR="0073301D" w:rsidRPr="0073301D" w:rsidRDefault="0073301D" w:rsidP="0073301D">
      <w:pPr>
        <w:spacing w:after="0" w:line="240" w:lineRule="auto"/>
        <w:rPr>
          <w:rFonts w:ascii="Times New Roman" w:eastAsia="Times New Roman" w:hAnsi="Times New Roman" w:cs="Times New Roman"/>
          <w:sz w:val="24"/>
          <w:szCs w:val="24"/>
        </w:rPr>
      </w:pPr>
      <w:r w:rsidRPr="0073301D">
        <w:rPr>
          <w:rFonts w:ascii="Garamond" w:eastAsia="Times New Roman" w:hAnsi="Garamond" w:cs="Times New Roman"/>
          <w:b/>
          <w:bCs/>
          <w:color w:val="000000"/>
        </w:rPr>
        <w:t xml:space="preserve">GSFC </w:t>
      </w:r>
      <w:r w:rsidRPr="0073301D">
        <w:rPr>
          <w:rFonts w:ascii="Garamond" w:eastAsia="Times New Roman" w:hAnsi="Garamond" w:cs="Times New Roman"/>
          <w:color w:val="000000"/>
        </w:rPr>
        <w:t>–</w:t>
      </w:r>
      <w:r w:rsidRPr="0073301D">
        <w:rPr>
          <w:rFonts w:ascii="Garamond" w:eastAsia="Times New Roman" w:hAnsi="Garamond" w:cs="Times New Roman"/>
          <w:b/>
          <w:bCs/>
          <w:color w:val="000000"/>
        </w:rPr>
        <w:t xml:space="preserve"> </w:t>
      </w:r>
      <w:r w:rsidRPr="0073301D">
        <w:rPr>
          <w:rFonts w:ascii="Garamond" w:eastAsia="Times New Roman" w:hAnsi="Garamond" w:cs="Times New Roman"/>
          <w:color w:val="000000"/>
        </w:rPr>
        <w:t>Goddard Space Flight Center, a NASA Center located in Greenbelt, Maryland</w:t>
      </w:r>
    </w:p>
    <w:p w14:paraId="58D197BD" w14:textId="77777777" w:rsidR="0073301D" w:rsidRPr="0073301D" w:rsidRDefault="0073301D" w:rsidP="0073301D">
      <w:pPr>
        <w:spacing w:after="0" w:line="240" w:lineRule="auto"/>
        <w:rPr>
          <w:rFonts w:ascii="Times New Roman" w:eastAsia="Times New Roman" w:hAnsi="Times New Roman" w:cs="Times New Roman"/>
          <w:sz w:val="24"/>
          <w:szCs w:val="24"/>
        </w:rPr>
      </w:pPr>
      <w:r w:rsidRPr="0073301D">
        <w:rPr>
          <w:rFonts w:ascii="Garamond" w:eastAsia="Times New Roman" w:hAnsi="Garamond" w:cs="Times New Roman"/>
          <w:b/>
          <w:bCs/>
          <w:color w:val="000000"/>
        </w:rPr>
        <w:t>MACS</w:t>
      </w:r>
      <w:r w:rsidRPr="0073301D">
        <w:rPr>
          <w:rFonts w:ascii="Garamond" w:eastAsia="Times New Roman" w:hAnsi="Garamond" w:cs="Times New Roman"/>
          <w:color w:val="000000"/>
        </w:rPr>
        <w:t xml:space="preserve"> – Maryland Agricultural Water Quality Cost-Share Program, a program developed by the Maryland Department of Agriculture that provides subsidies to farmers who grow winter cover crops</w:t>
      </w:r>
    </w:p>
    <w:p w14:paraId="7BB71967" w14:textId="77777777" w:rsidR="0073301D" w:rsidRPr="0073301D" w:rsidRDefault="0073301D" w:rsidP="0073301D">
      <w:pPr>
        <w:spacing w:after="0" w:line="240" w:lineRule="auto"/>
        <w:rPr>
          <w:rFonts w:ascii="Times New Roman" w:eastAsia="Times New Roman" w:hAnsi="Times New Roman" w:cs="Times New Roman"/>
          <w:sz w:val="24"/>
          <w:szCs w:val="24"/>
        </w:rPr>
      </w:pPr>
      <w:r w:rsidRPr="0073301D">
        <w:rPr>
          <w:rFonts w:ascii="Garamond" w:eastAsia="Times New Roman" w:hAnsi="Garamond" w:cs="Times New Roman"/>
          <w:b/>
          <w:bCs/>
          <w:color w:val="000000"/>
        </w:rPr>
        <w:lastRenderedPageBreak/>
        <w:t xml:space="preserve">MDA </w:t>
      </w:r>
      <w:r w:rsidRPr="0073301D">
        <w:rPr>
          <w:rFonts w:ascii="Garamond" w:eastAsia="Times New Roman" w:hAnsi="Garamond" w:cs="Times New Roman"/>
          <w:color w:val="000000"/>
        </w:rPr>
        <w:t>–</w:t>
      </w:r>
      <w:r w:rsidRPr="0073301D">
        <w:rPr>
          <w:rFonts w:ascii="Garamond" w:eastAsia="Times New Roman" w:hAnsi="Garamond" w:cs="Times New Roman"/>
          <w:b/>
          <w:bCs/>
          <w:color w:val="000000"/>
        </w:rPr>
        <w:t xml:space="preserve"> </w:t>
      </w:r>
      <w:r w:rsidRPr="0073301D">
        <w:rPr>
          <w:rFonts w:ascii="Garamond" w:eastAsia="Times New Roman" w:hAnsi="Garamond" w:cs="Times New Roman"/>
          <w:color w:val="000000"/>
        </w:rPr>
        <w:t>Maryland Department of Agriculture, a state agency of Maryland</w:t>
      </w:r>
    </w:p>
    <w:p w14:paraId="3A568C43" w14:textId="77777777" w:rsidR="0073301D" w:rsidRPr="0073301D" w:rsidRDefault="0073301D" w:rsidP="0073301D">
      <w:pPr>
        <w:spacing w:after="0" w:line="240" w:lineRule="auto"/>
        <w:rPr>
          <w:rFonts w:ascii="Times New Roman" w:eastAsia="Times New Roman" w:hAnsi="Times New Roman" w:cs="Times New Roman"/>
          <w:sz w:val="24"/>
          <w:szCs w:val="24"/>
        </w:rPr>
      </w:pPr>
      <w:r w:rsidRPr="0073301D">
        <w:rPr>
          <w:rFonts w:ascii="Garamond" w:eastAsia="Times New Roman" w:hAnsi="Garamond" w:cs="Times New Roman"/>
          <w:b/>
          <w:bCs/>
          <w:color w:val="000000"/>
        </w:rPr>
        <w:t xml:space="preserve">NASA </w:t>
      </w:r>
      <w:r w:rsidRPr="0073301D">
        <w:rPr>
          <w:rFonts w:ascii="Garamond" w:eastAsia="Times New Roman" w:hAnsi="Garamond" w:cs="Times New Roman"/>
          <w:color w:val="000000"/>
        </w:rPr>
        <w:t>–</w:t>
      </w:r>
      <w:r w:rsidRPr="0073301D">
        <w:rPr>
          <w:rFonts w:ascii="Garamond" w:eastAsia="Times New Roman" w:hAnsi="Garamond" w:cs="Times New Roman"/>
          <w:b/>
          <w:bCs/>
          <w:color w:val="000000"/>
        </w:rPr>
        <w:t xml:space="preserve"> </w:t>
      </w:r>
      <w:r w:rsidRPr="0073301D">
        <w:rPr>
          <w:rFonts w:ascii="Garamond" w:eastAsia="Times New Roman" w:hAnsi="Garamond" w:cs="Times New Roman"/>
          <w:color w:val="000000"/>
        </w:rPr>
        <w:t>National Aeronautics and Space Administration, a US government agency</w:t>
      </w:r>
    </w:p>
    <w:p w14:paraId="254FCC52" w14:textId="77777777" w:rsidR="0073301D" w:rsidRPr="0073301D" w:rsidRDefault="0073301D" w:rsidP="0073301D">
      <w:pPr>
        <w:spacing w:after="0" w:line="240" w:lineRule="auto"/>
        <w:rPr>
          <w:rFonts w:ascii="Times New Roman" w:eastAsia="Times New Roman" w:hAnsi="Times New Roman" w:cs="Times New Roman"/>
          <w:sz w:val="24"/>
          <w:szCs w:val="24"/>
        </w:rPr>
      </w:pPr>
      <w:r w:rsidRPr="0073301D">
        <w:rPr>
          <w:rFonts w:ascii="Garamond" w:eastAsia="Times New Roman" w:hAnsi="Garamond" w:cs="Times New Roman"/>
          <w:b/>
          <w:bCs/>
          <w:color w:val="000000"/>
        </w:rPr>
        <w:t xml:space="preserve">NDVI </w:t>
      </w:r>
      <w:r w:rsidRPr="0073301D">
        <w:rPr>
          <w:rFonts w:ascii="Garamond" w:eastAsia="Times New Roman" w:hAnsi="Garamond" w:cs="Times New Roman"/>
          <w:color w:val="000000"/>
        </w:rPr>
        <w:t>– Normalized difference vegetation index, utilized to highlight vegetation in remotely sensed imagery</w:t>
      </w:r>
    </w:p>
    <w:p w14:paraId="015E2170" w14:textId="77777777" w:rsidR="0073301D" w:rsidRPr="0073301D" w:rsidRDefault="0073301D" w:rsidP="0073301D">
      <w:pPr>
        <w:spacing w:after="0" w:line="240" w:lineRule="auto"/>
        <w:rPr>
          <w:rFonts w:ascii="Times New Roman" w:eastAsia="Times New Roman" w:hAnsi="Times New Roman" w:cs="Times New Roman"/>
          <w:sz w:val="24"/>
          <w:szCs w:val="24"/>
        </w:rPr>
      </w:pPr>
      <w:r w:rsidRPr="0073301D">
        <w:rPr>
          <w:rFonts w:ascii="Garamond" w:eastAsia="Times New Roman" w:hAnsi="Garamond" w:cs="Times New Roman"/>
          <w:b/>
          <w:bCs/>
          <w:color w:val="000000"/>
        </w:rPr>
        <w:t xml:space="preserve">USDA-ARS </w:t>
      </w:r>
      <w:r w:rsidRPr="0073301D">
        <w:rPr>
          <w:rFonts w:ascii="Garamond" w:eastAsia="Times New Roman" w:hAnsi="Garamond" w:cs="Times New Roman"/>
          <w:color w:val="000000"/>
        </w:rPr>
        <w:t>–</w:t>
      </w:r>
      <w:r w:rsidRPr="0073301D">
        <w:rPr>
          <w:rFonts w:ascii="Garamond" w:eastAsia="Times New Roman" w:hAnsi="Garamond" w:cs="Times New Roman"/>
          <w:b/>
          <w:bCs/>
          <w:color w:val="000000"/>
        </w:rPr>
        <w:t xml:space="preserve"> </w:t>
      </w:r>
      <w:r w:rsidRPr="0073301D">
        <w:rPr>
          <w:rFonts w:ascii="Garamond" w:eastAsia="Times New Roman" w:hAnsi="Garamond" w:cs="Times New Roman"/>
          <w:color w:val="000000"/>
        </w:rPr>
        <w:t>United States Department of Agriculture Agricultural Research Service, a branch of a US government agency</w:t>
      </w:r>
    </w:p>
    <w:p w14:paraId="13356948" w14:textId="77777777" w:rsidR="0073301D" w:rsidRPr="0073301D" w:rsidRDefault="0073301D" w:rsidP="0073301D">
      <w:pPr>
        <w:spacing w:after="0" w:line="240" w:lineRule="auto"/>
        <w:rPr>
          <w:rFonts w:ascii="Times New Roman" w:eastAsia="Times New Roman" w:hAnsi="Times New Roman" w:cs="Times New Roman"/>
          <w:sz w:val="24"/>
          <w:szCs w:val="24"/>
        </w:rPr>
      </w:pPr>
      <w:r w:rsidRPr="0073301D">
        <w:rPr>
          <w:rFonts w:ascii="Garamond" w:eastAsia="Times New Roman" w:hAnsi="Garamond" w:cs="Times New Roman"/>
          <w:b/>
          <w:bCs/>
          <w:color w:val="000000"/>
        </w:rPr>
        <w:t xml:space="preserve">USGS </w:t>
      </w:r>
      <w:r w:rsidRPr="0073301D">
        <w:rPr>
          <w:rFonts w:ascii="Garamond" w:eastAsia="Times New Roman" w:hAnsi="Garamond" w:cs="Times New Roman"/>
          <w:color w:val="000000"/>
        </w:rPr>
        <w:t>–</w:t>
      </w:r>
      <w:r w:rsidRPr="0073301D">
        <w:rPr>
          <w:rFonts w:ascii="Garamond" w:eastAsia="Times New Roman" w:hAnsi="Garamond" w:cs="Times New Roman"/>
          <w:b/>
          <w:bCs/>
          <w:color w:val="000000"/>
        </w:rPr>
        <w:t xml:space="preserve"> </w:t>
      </w:r>
      <w:r w:rsidRPr="0073301D">
        <w:rPr>
          <w:rFonts w:ascii="Garamond" w:eastAsia="Times New Roman" w:hAnsi="Garamond" w:cs="Times New Roman"/>
          <w:color w:val="000000"/>
        </w:rPr>
        <w:t>United States Geological Survey, a US government agency</w:t>
      </w:r>
    </w:p>
    <w:p w14:paraId="6279AAB7" w14:textId="0314AD5A" w:rsidR="00485EA2" w:rsidRDefault="0073301D" w:rsidP="0073301D">
      <w:pPr>
        <w:spacing w:after="0" w:line="240" w:lineRule="auto"/>
        <w:rPr>
          <w:rFonts w:ascii="Garamond" w:hAnsi="Garamond"/>
        </w:rPr>
      </w:pPr>
      <w:r w:rsidRPr="0073301D">
        <w:rPr>
          <w:rFonts w:ascii="Garamond" w:eastAsia="Times New Roman" w:hAnsi="Garamond" w:cs="Times New Roman"/>
          <w:b/>
          <w:bCs/>
          <w:color w:val="000000"/>
        </w:rPr>
        <w:t xml:space="preserve">Winter cover crops </w:t>
      </w:r>
      <w:r w:rsidRPr="0073301D">
        <w:rPr>
          <w:rFonts w:ascii="Garamond" w:eastAsia="Times New Roman" w:hAnsi="Garamond" w:cs="Times New Roman"/>
          <w:color w:val="000000"/>
        </w:rPr>
        <w:t>–</w:t>
      </w:r>
      <w:r w:rsidRPr="0073301D">
        <w:rPr>
          <w:rFonts w:ascii="Garamond" w:eastAsia="Times New Roman" w:hAnsi="Garamond" w:cs="Times New Roman"/>
          <w:b/>
          <w:bCs/>
          <w:color w:val="000000"/>
        </w:rPr>
        <w:t xml:space="preserve"> </w:t>
      </w:r>
      <w:r w:rsidRPr="0073301D">
        <w:rPr>
          <w:rFonts w:ascii="Garamond" w:eastAsia="Times New Roman" w:hAnsi="Garamond" w:cs="Times New Roman"/>
          <w:color w:val="000000"/>
        </w:rPr>
        <w:t>Crops planted in active agricultural fields during winter months to reduce nutrient leaching and soil erosion into waterways</w:t>
      </w:r>
    </w:p>
    <w:p w14:paraId="6A686CFC" w14:textId="082F246F" w:rsidR="00E41324" w:rsidRPr="005A5711" w:rsidRDefault="001A67C2" w:rsidP="00872A13">
      <w:pPr>
        <w:pStyle w:val="Heading1"/>
        <w:spacing w:line="240" w:lineRule="auto"/>
        <w:rPr>
          <w:rFonts w:ascii="Garamond" w:hAnsi="Garamond"/>
        </w:rPr>
      </w:pPr>
      <w:r>
        <w:rPr>
          <w:rFonts w:ascii="Garamond" w:hAnsi="Garamond"/>
        </w:rPr>
        <w:t xml:space="preserve">8. </w:t>
      </w:r>
      <w:r w:rsidR="00E41324" w:rsidRPr="005A5711">
        <w:rPr>
          <w:rFonts w:ascii="Garamond" w:hAnsi="Garamond"/>
        </w:rPr>
        <w:t>References</w:t>
      </w:r>
      <w:bookmarkEnd w:id="7"/>
    </w:p>
    <w:p w14:paraId="39EE4CE8" w14:textId="265215A7" w:rsidR="00485EA2" w:rsidRPr="00216413" w:rsidRDefault="0073301D" w:rsidP="009A6617">
      <w:pPr>
        <w:pStyle w:val="NormalWeb"/>
        <w:spacing w:before="0" w:beforeAutospacing="0" w:after="0" w:afterAutospacing="0"/>
        <w:ind w:left="432" w:hanging="432"/>
      </w:pPr>
      <w:r>
        <w:rPr>
          <w:rFonts w:ascii="Garamond" w:hAnsi="Garamond"/>
          <w:color w:val="000000"/>
          <w:sz w:val="22"/>
          <w:szCs w:val="22"/>
        </w:rPr>
        <w:t xml:space="preserve">Boesch, D. F., Brinsfield, R. B., &amp; Magnien, R. E. (2001). Chesapeake Bay eutrophication: Scientific understanding, ecosystem restoration, and challenges for agriculture. </w:t>
      </w:r>
      <w:r>
        <w:rPr>
          <w:rFonts w:ascii="Garamond" w:hAnsi="Garamond"/>
          <w:i/>
          <w:iCs/>
          <w:color w:val="000000"/>
          <w:sz w:val="22"/>
          <w:szCs w:val="22"/>
        </w:rPr>
        <w:t>Journal of Environmental Quality, 30</w:t>
      </w:r>
      <w:r>
        <w:rPr>
          <w:rFonts w:ascii="Garamond" w:hAnsi="Garamond"/>
          <w:color w:val="000000"/>
          <w:sz w:val="22"/>
          <w:szCs w:val="22"/>
        </w:rPr>
        <w:t xml:space="preserve">(2), 303-320. </w:t>
      </w:r>
      <w:r w:rsidRPr="0088672F">
        <w:rPr>
          <w:rFonts w:ascii="Garamond" w:hAnsi="Garamond"/>
          <w:noProof/>
          <w:color w:val="000000"/>
          <w:sz w:val="22"/>
          <w:szCs w:val="22"/>
        </w:rPr>
        <w:t>doi</w:t>
      </w:r>
      <w:r>
        <w:rPr>
          <w:rFonts w:ascii="Garamond" w:hAnsi="Garamond"/>
          <w:color w:val="000000"/>
          <w:sz w:val="22"/>
          <w:szCs w:val="22"/>
        </w:rPr>
        <w:t>: 10.2134/jeq2001.302303x</w:t>
      </w:r>
      <w:r w:rsidR="00485EA2" w:rsidRPr="00365ADD">
        <w:rPr>
          <w:rFonts w:ascii="Garamond" w:hAnsi="Garamond"/>
          <w:sz w:val="22"/>
          <w:szCs w:val="22"/>
        </w:rPr>
        <w:br/>
      </w:r>
    </w:p>
    <w:p w14:paraId="2C469A94" w14:textId="4228FFFC" w:rsidR="00485EA2" w:rsidRPr="00216413" w:rsidRDefault="00485EA2" w:rsidP="009A6617">
      <w:pPr>
        <w:pStyle w:val="NormalWeb"/>
        <w:spacing w:before="0" w:beforeAutospacing="0" w:after="0" w:afterAutospacing="0"/>
        <w:ind w:left="432" w:hanging="432"/>
      </w:pPr>
      <w:r w:rsidRPr="00365ADD">
        <w:rPr>
          <w:rFonts w:ascii="Garamond" w:hAnsi="Garamond"/>
          <w:sz w:val="22"/>
          <w:szCs w:val="22"/>
        </w:rPr>
        <w:t xml:space="preserve">Chesapeake Bay Foundation. (n.d.). Chesapeake wildlife. Retrieved from </w:t>
      </w:r>
      <w:r w:rsidRPr="00216413">
        <w:rPr>
          <w:rFonts w:ascii="Garamond" w:hAnsi="Garamond"/>
          <w:sz w:val="22"/>
          <w:szCs w:val="22"/>
        </w:rPr>
        <w:t>http://www.cbf.org/about-the-bay/more-than-just-the-bay/chesapeake-wildlife/</w:t>
      </w:r>
      <w:r w:rsidRPr="00365ADD">
        <w:rPr>
          <w:rFonts w:ascii="PT Sans" w:hAnsi="PT Sans"/>
          <w:sz w:val="22"/>
          <w:szCs w:val="22"/>
          <w:shd w:val="clear" w:color="auto" w:fill="FFFFFF"/>
        </w:rPr>
        <w:t>.</w:t>
      </w:r>
      <w:r w:rsidRPr="00365ADD">
        <w:rPr>
          <w:rFonts w:ascii="PT Sans" w:hAnsi="PT Sans"/>
          <w:sz w:val="22"/>
          <w:szCs w:val="22"/>
          <w:shd w:val="clear" w:color="auto" w:fill="FFFFFF"/>
        </w:rPr>
        <w:br/>
      </w:r>
    </w:p>
    <w:p w14:paraId="73675CB6" w14:textId="728ED46B" w:rsidR="00485EA2" w:rsidRPr="00216413" w:rsidRDefault="00485EA2" w:rsidP="009A6617">
      <w:pPr>
        <w:pStyle w:val="NormalWeb"/>
        <w:spacing w:before="0" w:beforeAutospacing="0" w:after="0" w:afterAutospacing="0"/>
        <w:ind w:left="432" w:hanging="432"/>
      </w:pPr>
      <w:r w:rsidRPr="00365ADD">
        <w:rPr>
          <w:rFonts w:ascii="Garamond" w:hAnsi="Garamond"/>
          <w:sz w:val="22"/>
          <w:szCs w:val="22"/>
          <w:shd w:val="clear" w:color="auto" w:fill="FFFFFF"/>
        </w:rPr>
        <w:t xml:space="preserve">Dauer, D.M., Ranasinghe, J.A., Weisberg, S.B. (2000). Relationships between benthic community condition, water quality, sediment quality, nutrient loads, and land use patterns in </w:t>
      </w:r>
      <w:r w:rsidRPr="00491104">
        <w:rPr>
          <w:rFonts w:ascii="Garamond" w:hAnsi="Garamond"/>
          <w:noProof/>
          <w:sz w:val="22"/>
          <w:szCs w:val="22"/>
          <w:shd w:val="clear" w:color="auto" w:fill="FFFFFF"/>
        </w:rPr>
        <w:t>Chesapeake</w:t>
      </w:r>
      <w:r w:rsidRPr="00365ADD">
        <w:rPr>
          <w:rFonts w:ascii="Garamond" w:hAnsi="Garamond"/>
          <w:sz w:val="22"/>
          <w:szCs w:val="22"/>
          <w:shd w:val="clear" w:color="auto" w:fill="FFFFFF"/>
        </w:rPr>
        <w:t xml:space="preserve"> Bay. </w:t>
      </w:r>
      <w:r w:rsidRPr="00365ADD">
        <w:rPr>
          <w:rFonts w:ascii="Garamond" w:hAnsi="Garamond"/>
          <w:i/>
          <w:iCs/>
          <w:sz w:val="22"/>
          <w:szCs w:val="22"/>
          <w:shd w:val="clear" w:color="auto" w:fill="FFFFFF"/>
        </w:rPr>
        <w:t>Estuaries</w:t>
      </w:r>
      <w:r w:rsidRPr="00365ADD">
        <w:rPr>
          <w:rFonts w:ascii="Garamond" w:hAnsi="Garamond"/>
          <w:sz w:val="22"/>
          <w:szCs w:val="22"/>
          <w:shd w:val="clear" w:color="auto" w:fill="FFFFFF"/>
        </w:rPr>
        <w:t xml:space="preserve"> </w:t>
      </w:r>
      <w:r w:rsidRPr="00365ADD">
        <w:rPr>
          <w:rFonts w:ascii="Garamond" w:hAnsi="Garamond"/>
          <w:i/>
          <w:iCs/>
          <w:sz w:val="22"/>
          <w:szCs w:val="22"/>
          <w:shd w:val="clear" w:color="auto" w:fill="FFFFFF"/>
        </w:rPr>
        <w:t>23</w:t>
      </w:r>
      <w:r w:rsidRPr="00365ADD">
        <w:rPr>
          <w:rFonts w:ascii="Garamond" w:hAnsi="Garamond"/>
          <w:sz w:val="22"/>
          <w:szCs w:val="22"/>
          <w:shd w:val="clear" w:color="auto" w:fill="FFFFFF"/>
        </w:rPr>
        <w:t>(1), 80–96.</w:t>
      </w:r>
      <w:r w:rsidR="007D526C" w:rsidRPr="00365ADD">
        <w:rPr>
          <w:rFonts w:ascii="Garamond" w:hAnsi="Garamond"/>
          <w:sz w:val="22"/>
          <w:szCs w:val="22"/>
          <w:shd w:val="clear" w:color="auto" w:fill="FFFFFF"/>
        </w:rPr>
        <w:t xml:space="preserve"> </w:t>
      </w:r>
      <w:r w:rsidR="007D526C" w:rsidRPr="0088672F">
        <w:rPr>
          <w:rFonts w:ascii="Garamond" w:hAnsi="Garamond"/>
          <w:noProof/>
          <w:sz w:val="22"/>
          <w:szCs w:val="22"/>
          <w:shd w:val="clear" w:color="auto" w:fill="FFFFFF"/>
        </w:rPr>
        <w:t>doi</w:t>
      </w:r>
      <w:r w:rsidR="007D526C" w:rsidRPr="00365ADD">
        <w:rPr>
          <w:rFonts w:ascii="Garamond" w:hAnsi="Garamond"/>
          <w:sz w:val="22"/>
          <w:szCs w:val="22"/>
          <w:shd w:val="clear" w:color="auto" w:fill="FFFFFF"/>
        </w:rPr>
        <w:t>:10.2307/1353227</w:t>
      </w:r>
      <w:r w:rsidRPr="00365ADD">
        <w:rPr>
          <w:rFonts w:ascii="Garamond" w:hAnsi="Garamond"/>
          <w:sz w:val="22"/>
          <w:szCs w:val="22"/>
          <w:shd w:val="clear" w:color="auto" w:fill="FFFFFF"/>
        </w:rPr>
        <w:br/>
      </w:r>
      <w:bookmarkStart w:id="8" w:name="_GoBack"/>
      <w:bookmarkEnd w:id="8"/>
    </w:p>
    <w:p w14:paraId="5F5C9CF7" w14:textId="2A44F7F5" w:rsidR="00485EA2" w:rsidRPr="00365ADD" w:rsidRDefault="0073301D" w:rsidP="009A6617">
      <w:pPr>
        <w:pStyle w:val="NormalWeb"/>
        <w:spacing w:before="0" w:beforeAutospacing="0" w:after="0" w:afterAutospacing="0"/>
        <w:ind w:left="432" w:hanging="432"/>
        <w:rPr>
          <w:rFonts w:ascii="Garamond" w:hAnsi="Garamond"/>
          <w:sz w:val="22"/>
          <w:szCs w:val="22"/>
        </w:rPr>
      </w:pPr>
      <w:r>
        <w:rPr>
          <w:rFonts w:ascii="Garamond" w:hAnsi="Garamond"/>
          <w:color w:val="000000"/>
          <w:sz w:val="22"/>
          <w:szCs w:val="22"/>
        </w:rPr>
        <w:t xml:space="preserve">Gellis, A. C., Banks, W. S. L., Langland, M. J., &amp; Martucci, S. K. (2004). Summary of suspended-sediment data for streams draining the Chesapeake Bay watershed, water years 1952-2002 (Report 2004-5056). </w:t>
      </w:r>
      <w:r w:rsidRPr="0088672F">
        <w:rPr>
          <w:rFonts w:ascii="Garamond" w:hAnsi="Garamond"/>
          <w:noProof/>
          <w:color w:val="000000"/>
          <w:sz w:val="22"/>
          <w:szCs w:val="22"/>
        </w:rPr>
        <w:t>doi</w:t>
      </w:r>
      <w:r>
        <w:rPr>
          <w:rFonts w:ascii="Garamond" w:hAnsi="Garamond"/>
          <w:color w:val="000000"/>
          <w:sz w:val="22"/>
          <w:szCs w:val="22"/>
        </w:rPr>
        <w:t>:10.3133/sir20045056</w:t>
      </w:r>
    </w:p>
    <w:p w14:paraId="4A7D5DEC" w14:textId="77777777" w:rsidR="007D526C" w:rsidRPr="00365ADD" w:rsidRDefault="007D526C" w:rsidP="009A6617">
      <w:pPr>
        <w:pStyle w:val="NormalWeb"/>
        <w:spacing w:before="0" w:beforeAutospacing="0" w:after="0" w:afterAutospacing="0"/>
        <w:ind w:left="432" w:hanging="432"/>
        <w:rPr>
          <w:rFonts w:ascii="Garamond" w:hAnsi="Garamond"/>
          <w:sz w:val="22"/>
          <w:szCs w:val="22"/>
        </w:rPr>
      </w:pPr>
    </w:p>
    <w:p w14:paraId="59383F6F" w14:textId="7701AE50" w:rsidR="00485EA2" w:rsidRPr="00216413" w:rsidRDefault="00485EA2" w:rsidP="009A6617">
      <w:pPr>
        <w:spacing w:after="0" w:line="240" w:lineRule="auto"/>
        <w:ind w:left="432" w:hanging="432"/>
        <w:rPr>
          <w:rFonts w:ascii="Times New Roman" w:eastAsia="Times New Roman" w:hAnsi="Times New Roman" w:cs="Times New Roman"/>
          <w:sz w:val="24"/>
          <w:szCs w:val="24"/>
        </w:rPr>
      </w:pPr>
      <w:r w:rsidRPr="00365ADD">
        <w:rPr>
          <w:rFonts w:ascii="Garamond" w:eastAsia="Times New Roman" w:hAnsi="Garamond" w:cs="Times New Roman"/>
          <w:shd w:val="clear" w:color="auto" w:fill="FFFFFF"/>
        </w:rPr>
        <w:t xml:space="preserve">Hively, W. D., Lang, M., McCarty, G. W., Keppler, J., Sadeghi, A., &amp; McConnell, L. L. (2009a). Using satellite remote sensing to estimate winter cover crop nutrient uptake efficiency. </w:t>
      </w:r>
      <w:r w:rsidRPr="00365ADD">
        <w:rPr>
          <w:rFonts w:ascii="Garamond" w:eastAsia="Times New Roman" w:hAnsi="Garamond" w:cs="Times New Roman"/>
          <w:i/>
          <w:iCs/>
          <w:shd w:val="clear" w:color="auto" w:fill="FFFFFF"/>
        </w:rPr>
        <w:t>Journal of Soil and Water Conservation</w:t>
      </w:r>
      <w:r w:rsidRPr="00365ADD">
        <w:rPr>
          <w:rFonts w:ascii="Garamond" w:eastAsia="Times New Roman" w:hAnsi="Garamond" w:cs="Times New Roman"/>
          <w:shd w:val="clear" w:color="auto" w:fill="FFFFFF"/>
        </w:rPr>
        <w:t xml:space="preserve">, </w:t>
      </w:r>
      <w:r w:rsidRPr="00365ADD">
        <w:rPr>
          <w:rFonts w:ascii="Garamond" w:eastAsia="Times New Roman" w:hAnsi="Garamond" w:cs="Times New Roman"/>
          <w:i/>
          <w:iCs/>
          <w:shd w:val="clear" w:color="auto" w:fill="FFFFFF"/>
        </w:rPr>
        <w:t>64</w:t>
      </w:r>
      <w:r w:rsidRPr="00365ADD">
        <w:rPr>
          <w:rFonts w:ascii="Garamond" w:eastAsia="Times New Roman" w:hAnsi="Garamond" w:cs="Times New Roman"/>
          <w:shd w:val="clear" w:color="auto" w:fill="FFFFFF"/>
        </w:rPr>
        <w:t>(5), 303–313.</w:t>
      </w:r>
      <w:r w:rsidR="007D526C" w:rsidRPr="00365ADD">
        <w:rPr>
          <w:rFonts w:ascii="Garamond" w:eastAsia="Times New Roman" w:hAnsi="Garamond" w:cs="Times New Roman"/>
          <w:shd w:val="clear" w:color="auto" w:fill="FFFFFF"/>
        </w:rPr>
        <w:t xml:space="preserve"> </w:t>
      </w:r>
      <w:r w:rsidR="007D526C" w:rsidRPr="0088672F">
        <w:rPr>
          <w:rFonts w:ascii="Garamond" w:eastAsia="Times New Roman" w:hAnsi="Garamond" w:cs="Times New Roman"/>
          <w:noProof/>
          <w:shd w:val="clear" w:color="auto" w:fill="FFFFFF"/>
        </w:rPr>
        <w:t>doi</w:t>
      </w:r>
      <w:r w:rsidR="007D526C" w:rsidRPr="00365ADD">
        <w:rPr>
          <w:rFonts w:ascii="Garamond" w:eastAsia="Times New Roman" w:hAnsi="Garamond" w:cs="Times New Roman"/>
          <w:shd w:val="clear" w:color="auto" w:fill="FFFFFF"/>
        </w:rPr>
        <w:t>:10.2489/jswc.64.5.303</w:t>
      </w:r>
    </w:p>
    <w:p w14:paraId="5DE66F45" w14:textId="77777777" w:rsidR="00485EA2" w:rsidRPr="00216413" w:rsidRDefault="00485EA2" w:rsidP="009A6617">
      <w:pPr>
        <w:spacing w:after="0" w:line="240" w:lineRule="auto"/>
        <w:ind w:left="432" w:hanging="432"/>
        <w:rPr>
          <w:rFonts w:ascii="Times New Roman" w:eastAsia="Times New Roman" w:hAnsi="Times New Roman" w:cs="Times New Roman"/>
          <w:sz w:val="24"/>
          <w:szCs w:val="24"/>
        </w:rPr>
      </w:pPr>
    </w:p>
    <w:p w14:paraId="6C47A41F" w14:textId="466A3972" w:rsidR="00485EA2" w:rsidRPr="00216413" w:rsidRDefault="00485EA2" w:rsidP="009A6617">
      <w:pPr>
        <w:spacing w:after="0" w:line="240" w:lineRule="auto"/>
        <w:ind w:left="432" w:hanging="432"/>
        <w:rPr>
          <w:rFonts w:ascii="Times New Roman" w:eastAsia="Times New Roman" w:hAnsi="Times New Roman" w:cs="Times New Roman"/>
          <w:sz w:val="24"/>
          <w:szCs w:val="24"/>
        </w:rPr>
      </w:pPr>
      <w:r w:rsidRPr="00365ADD">
        <w:rPr>
          <w:rFonts w:ascii="Garamond" w:eastAsia="Times New Roman" w:hAnsi="Garamond" w:cs="Times New Roman"/>
        </w:rPr>
        <w:t xml:space="preserve">Hively, W. D., McCarty, G. W., Keppler, J. (2009b). Federal-state partnership yields success in remote sensing analysis of conservation practice effectiveness: Results from the Choptank River Conservation Effects Assessment Project. </w:t>
      </w:r>
      <w:r w:rsidRPr="00365ADD">
        <w:rPr>
          <w:rFonts w:ascii="Garamond" w:eastAsia="Times New Roman" w:hAnsi="Garamond" w:cs="Times New Roman"/>
          <w:i/>
          <w:iCs/>
        </w:rPr>
        <w:t>Journal of Soil and Water Conservation, 64</w:t>
      </w:r>
      <w:r w:rsidRPr="00365ADD">
        <w:rPr>
          <w:rFonts w:ascii="Garamond" w:eastAsia="Times New Roman" w:hAnsi="Garamond" w:cs="Times New Roman"/>
        </w:rPr>
        <w:t>(5), 154A.</w:t>
      </w:r>
      <w:r w:rsidR="007D526C" w:rsidRPr="00365ADD">
        <w:rPr>
          <w:rFonts w:ascii="Garamond" w:eastAsia="Times New Roman" w:hAnsi="Garamond" w:cs="Times New Roman"/>
        </w:rPr>
        <w:t xml:space="preserve"> </w:t>
      </w:r>
      <w:r w:rsidR="007D526C" w:rsidRPr="0088672F">
        <w:rPr>
          <w:rFonts w:ascii="Garamond" w:eastAsia="Times New Roman" w:hAnsi="Garamond" w:cs="Times New Roman"/>
          <w:noProof/>
        </w:rPr>
        <w:t>doi</w:t>
      </w:r>
      <w:r w:rsidR="007D526C" w:rsidRPr="00365ADD">
        <w:rPr>
          <w:rFonts w:ascii="Garamond" w:eastAsia="Times New Roman" w:hAnsi="Garamond" w:cs="Times New Roman"/>
        </w:rPr>
        <w:t>:10.2489/jswc.64.5.154A</w:t>
      </w:r>
    </w:p>
    <w:p w14:paraId="4E878A61" w14:textId="77777777" w:rsidR="00F73F9E" w:rsidRPr="00216413" w:rsidRDefault="00F73F9E" w:rsidP="009A6617">
      <w:pPr>
        <w:pStyle w:val="NormalWeb"/>
        <w:spacing w:before="0" w:beforeAutospacing="0" w:after="0" w:afterAutospacing="0"/>
        <w:ind w:left="432" w:hanging="432"/>
      </w:pPr>
    </w:p>
    <w:p w14:paraId="244A820E" w14:textId="597D46A6" w:rsidR="006D2F15" w:rsidRPr="00365ADD" w:rsidRDefault="00485EA2" w:rsidP="009A6617">
      <w:pPr>
        <w:pStyle w:val="NormalWeb"/>
        <w:spacing w:before="0" w:beforeAutospacing="0" w:after="0" w:afterAutospacing="0"/>
        <w:ind w:left="432" w:hanging="432"/>
        <w:rPr>
          <w:rFonts w:ascii="Garamond" w:hAnsi="Garamond"/>
          <w:sz w:val="22"/>
          <w:szCs w:val="22"/>
          <w:shd w:val="clear" w:color="auto" w:fill="FFFFFF"/>
        </w:rPr>
      </w:pPr>
      <w:r w:rsidRPr="00365ADD">
        <w:rPr>
          <w:rFonts w:ascii="Garamond" w:hAnsi="Garamond"/>
          <w:sz w:val="22"/>
          <w:szCs w:val="22"/>
          <w:shd w:val="clear" w:color="auto" w:fill="FFFFFF"/>
        </w:rPr>
        <w:t xml:space="preserve">Hively, W. D., Duiker, S., McCarty, G., &amp; Prabahakara, K. (2015). Remote sensing to monitor cover crop adoption in southeastern Pennsylvania. </w:t>
      </w:r>
      <w:r w:rsidRPr="00365ADD">
        <w:rPr>
          <w:rFonts w:ascii="Garamond" w:hAnsi="Garamond"/>
          <w:i/>
          <w:iCs/>
          <w:sz w:val="22"/>
          <w:szCs w:val="22"/>
          <w:shd w:val="clear" w:color="auto" w:fill="FFFFFF"/>
        </w:rPr>
        <w:t>Journal of Soil and Water Conservation, 70</w:t>
      </w:r>
      <w:r w:rsidRPr="00365ADD">
        <w:rPr>
          <w:rFonts w:ascii="Garamond" w:hAnsi="Garamond"/>
          <w:sz w:val="22"/>
          <w:szCs w:val="22"/>
          <w:shd w:val="clear" w:color="auto" w:fill="FFFFFF"/>
        </w:rPr>
        <w:t>(6), 340-352.</w:t>
      </w:r>
      <w:r w:rsidR="00F73F9E" w:rsidRPr="00365ADD">
        <w:rPr>
          <w:rFonts w:ascii="Garamond" w:hAnsi="Garamond"/>
          <w:sz w:val="22"/>
          <w:szCs w:val="22"/>
          <w:shd w:val="clear" w:color="auto" w:fill="FFFFFF"/>
        </w:rPr>
        <w:t xml:space="preserve"> </w:t>
      </w:r>
      <w:r w:rsidR="00F73F9E" w:rsidRPr="0088672F">
        <w:rPr>
          <w:rFonts w:ascii="Garamond" w:hAnsi="Garamond"/>
          <w:noProof/>
          <w:sz w:val="22"/>
          <w:szCs w:val="22"/>
          <w:shd w:val="clear" w:color="auto" w:fill="FFFFFF"/>
        </w:rPr>
        <w:t>doi</w:t>
      </w:r>
      <w:r w:rsidR="00F73F9E" w:rsidRPr="00365ADD">
        <w:rPr>
          <w:rFonts w:ascii="Garamond" w:hAnsi="Garamond"/>
          <w:sz w:val="22"/>
          <w:szCs w:val="22"/>
          <w:shd w:val="clear" w:color="auto" w:fill="FFFFFF"/>
        </w:rPr>
        <w:t>:10.2489/jswc.70.6.340</w:t>
      </w:r>
    </w:p>
    <w:p w14:paraId="52BB4304" w14:textId="77777777" w:rsidR="00485EA2" w:rsidRPr="00365ADD" w:rsidRDefault="00485EA2" w:rsidP="009A6617">
      <w:pPr>
        <w:pStyle w:val="NormalWeb"/>
        <w:spacing w:before="0" w:beforeAutospacing="0" w:after="0" w:afterAutospacing="0"/>
        <w:ind w:left="432" w:hanging="432"/>
        <w:rPr>
          <w:rFonts w:ascii="Garamond" w:hAnsi="Garamond"/>
          <w:sz w:val="22"/>
          <w:szCs w:val="22"/>
          <w:shd w:val="clear" w:color="auto" w:fill="FFFFFF"/>
        </w:rPr>
      </w:pPr>
    </w:p>
    <w:p w14:paraId="6977428C" w14:textId="2A8A918E" w:rsidR="00485EA2" w:rsidRPr="00216413" w:rsidRDefault="00485EA2" w:rsidP="009A6617">
      <w:pPr>
        <w:pStyle w:val="NormalWeb"/>
        <w:spacing w:before="0" w:beforeAutospacing="0" w:after="0" w:afterAutospacing="0"/>
        <w:ind w:left="432" w:hanging="432"/>
      </w:pPr>
      <w:r w:rsidRPr="00365ADD">
        <w:rPr>
          <w:rFonts w:ascii="Garamond" w:hAnsi="Garamond"/>
          <w:sz w:val="22"/>
          <w:szCs w:val="22"/>
        </w:rPr>
        <w:t xml:space="preserve">Malone, T. C., Boynton, W., Horton, T., &amp; Stevenson, C. (1993). Nutrient loadings to surface waters: Chesapeake Bay case study. In M. F. Uman (Ed.), </w:t>
      </w:r>
      <w:r w:rsidRPr="00365ADD">
        <w:rPr>
          <w:rFonts w:ascii="Garamond" w:hAnsi="Garamond"/>
          <w:i/>
          <w:iCs/>
          <w:sz w:val="22"/>
          <w:szCs w:val="22"/>
        </w:rPr>
        <w:t>Keeping pace with science and engineering: Case studies in environmental regulation</w:t>
      </w:r>
      <w:r w:rsidRPr="00365ADD">
        <w:rPr>
          <w:rFonts w:ascii="Garamond" w:hAnsi="Garamond"/>
          <w:sz w:val="22"/>
          <w:szCs w:val="22"/>
        </w:rPr>
        <w:t xml:space="preserve"> (pp. 8-38). Washington, DC: National Academy Press.</w:t>
      </w:r>
      <w:r w:rsidRPr="00365ADD">
        <w:rPr>
          <w:rFonts w:ascii="Garamond" w:hAnsi="Garamond"/>
          <w:sz w:val="22"/>
          <w:szCs w:val="22"/>
        </w:rPr>
        <w:br/>
      </w:r>
    </w:p>
    <w:p w14:paraId="15602E07" w14:textId="71B3B64F" w:rsidR="00485EA2" w:rsidRPr="00216413" w:rsidRDefault="00485EA2" w:rsidP="009A6617">
      <w:pPr>
        <w:pStyle w:val="NormalWeb"/>
        <w:spacing w:before="0" w:beforeAutospacing="0" w:after="0" w:afterAutospacing="0"/>
        <w:ind w:left="432" w:hanging="432"/>
      </w:pPr>
      <w:r w:rsidRPr="00365ADD">
        <w:rPr>
          <w:rFonts w:ascii="Garamond" w:hAnsi="Garamond"/>
          <w:sz w:val="22"/>
          <w:szCs w:val="22"/>
        </w:rPr>
        <w:t xml:space="preserve">Maryland Department of Agriculture. (2018). </w:t>
      </w:r>
      <w:r w:rsidRPr="00365ADD">
        <w:rPr>
          <w:rFonts w:ascii="Garamond" w:hAnsi="Garamond"/>
          <w:i/>
          <w:iCs/>
          <w:sz w:val="22"/>
          <w:szCs w:val="22"/>
        </w:rPr>
        <w:t xml:space="preserve">Build your soil </w:t>
      </w:r>
      <w:r w:rsidR="006710B8" w:rsidRPr="00365ADD">
        <w:rPr>
          <w:rFonts w:ascii="Garamond" w:hAnsi="Garamond"/>
          <w:i/>
          <w:iCs/>
          <w:sz w:val="22"/>
          <w:szCs w:val="22"/>
        </w:rPr>
        <w:t>–</w:t>
      </w:r>
      <w:r w:rsidRPr="00365ADD">
        <w:rPr>
          <w:rFonts w:ascii="Garamond" w:hAnsi="Garamond"/>
          <w:i/>
          <w:iCs/>
          <w:sz w:val="22"/>
          <w:szCs w:val="22"/>
        </w:rPr>
        <w:t xml:space="preserve"> Maryland’s 2018-2019 cover crop sign-up. </w:t>
      </w:r>
      <w:r w:rsidRPr="00365ADD">
        <w:rPr>
          <w:rFonts w:ascii="Garamond" w:hAnsi="Garamond"/>
          <w:sz w:val="22"/>
          <w:szCs w:val="22"/>
        </w:rPr>
        <w:t xml:space="preserve">Annapolis, MD: Office of Resource Conservation. Retrieved from </w:t>
      </w:r>
      <w:r w:rsidRPr="00216413">
        <w:rPr>
          <w:rFonts w:ascii="Garamond" w:hAnsi="Garamond"/>
          <w:sz w:val="22"/>
          <w:szCs w:val="22"/>
        </w:rPr>
        <w:t>https://mda.maryland.gov/resource_conservation/counties/2018CCSignup.pdf</w:t>
      </w:r>
      <w:r w:rsidRPr="00365ADD">
        <w:rPr>
          <w:rFonts w:ascii="Garamond" w:hAnsi="Garamond"/>
          <w:sz w:val="22"/>
          <w:szCs w:val="22"/>
        </w:rPr>
        <w:t>.</w:t>
      </w:r>
      <w:r w:rsidRPr="00365ADD">
        <w:rPr>
          <w:rFonts w:ascii="Garamond" w:hAnsi="Garamond"/>
          <w:sz w:val="22"/>
          <w:szCs w:val="22"/>
        </w:rPr>
        <w:br/>
      </w:r>
    </w:p>
    <w:p w14:paraId="18ACD0F8" w14:textId="5D8C6D50" w:rsidR="00485EA2" w:rsidRPr="00216413" w:rsidRDefault="00485EA2" w:rsidP="009A6617">
      <w:pPr>
        <w:pStyle w:val="NormalWeb"/>
        <w:spacing w:before="0" w:beforeAutospacing="0" w:after="0" w:afterAutospacing="0"/>
        <w:ind w:left="432" w:hanging="432"/>
      </w:pPr>
      <w:r w:rsidRPr="00365ADD">
        <w:rPr>
          <w:rFonts w:ascii="Garamond" w:hAnsi="Garamond"/>
          <w:sz w:val="22"/>
          <w:szCs w:val="22"/>
        </w:rPr>
        <w:t xml:space="preserve">Maryland Department of Natural Resources. (2012). </w:t>
      </w:r>
      <w:r w:rsidRPr="00365ADD">
        <w:rPr>
          <w:rFonts w:ascii="Garamond" w:hAnsi="Garamond"/>
          <w:i/>
          <w:iCs/>
          <w:sz w:val="22"/>
          <w:szCs w:val="22"/>
        </w:rPr>
        <w:t>Accounting for Maryland’s ecosystem services: Integrating the value of nature into decision making.</w:t>
      </w:r>
      <w:r w:rsidRPr="00365ADD">
        <w:rPr>
          <w:rFonts w:ascii="Garamond" w:hAnsi="Garamond"/>
          <w:sz w:val="22"/>
          <w:szCs w:val="22"/>
        </w:rPr>
        <w:t xml:space="preserve"> Annapolis, MD: Mark Belton.</w:t>
      </w:r>
      <w:r w:rsidRPr="00365ADD">
        <w:rPr>
          <w:rFonts w:ascii="Garamond" w:hAnsi="Garamond"/>
          <w:sz w:val="22"/>
          <w:szCs w:val="22"/>
        </w:rPr>
        <w:br/>
      </w:r>
    </w:p>
    <w:p w14:paraId="38D985FF" w14:textId="77777777" w:rsidR="00485EA2" w:rsidRPr="00216413" w:rsidRDefault="00485EA2" w:rsidP="009A6617">
      <w:pPr>
        <w:pStyle w:val="NormalWeb"/>
        <w:spacing w:before="0" w:beforeAutospacing="0" w:after="0" w:afterAutospacing="0"/>
        <w:ind w:left="432" w:hanging="432"/>
      </w:pPr>
      <w:r w:rsidRPr="00365ADD">
        <w:rPr>
          <w:rFonts w:ascii="Garamond" w:hAnsi="Garamond"/>
          <w:sz w:val="22"/>
          <w:szCs w:val="22"/>
        </w:rPr>
        <w:t xml:space="preserve">Maryland </w:t>
      </w:r>
      <w:r w:rsidRPr="0088672F">
        <w:rPr>
          <w:rFonts w:ascii="Garamond" w:hAnsi="Garamond"/>
          <w:noProof/>
          <w:sz w:val="22"/>
          <w:szCs w:val="22"/>
        </w:rPr>
        <w:t>iMAP</w:t>
      </w:r>
      <w:r w:rsidRPr="00365ADD">
        <w:rPr>
          <w:rFonts w:ascii="Garamond" w:hAnsi="Garamond"/>
          <w:sz w:val="22"/>
          <w:szCs w:val="22"/>
        </w:rPr>
        <w:t xml:space="preserve">. (2018). </w:t>
      </w:r>
      <w:r w:rsidRPr="00365ADD">
        <w:rPr>
          <w:rFonts w:ascii="Garamond" w:hAnsi="Garamond"/>
          <w:i/>
          <w:iCs/>
          <w:sz w:val="22"/>
          <w:szCs w:val="22"/>
        </w:rPr>
        <w:t xml:space="preserve">Maryland Physical Boundaries - County Boundaries (Detailed). </w:t>
      </w:r>
      <w:r w:rsidRPr="00365ADD">
        <w:rPr>
          <w:rFonts w:ascii="Garamond" w:hAnsi="Garamond"/>
          <w:sz w:val="22"/>
          <w:szCs w:val="22"/>
        </w:rPr>
        <w:t>Maryland GIS Data Catalog.</w:t>
      </w:r>
    </w:p>
    <w:p w14:paraId="75251441" w14:textId="77777777" w:rsidR="00F73F9E" w:rsidRPr="00216413" w:rsidRDefault="00F73F9E" w:rsidP="009A6617">
      <w:pPr>
        <w:pStyle w:val="NormalWeb"/>
        <w:spacing w:before="0" w:beforeAutospacing="0" w:after="0" w:afterAutospacing="0"/>
        <w:ind w:left="432" w:hanging="432"/>
      </w:pPr>
    </w:p>
    <w:p w14:paraId="7506C651" w14:textId="0C45802D" w:rsidR="00485EA2" w:rsidRPr="00216413" w:rsidRDefault="00485EA2" w:rsidP="009A6617">
      <w:pPr>
        <w:pStyle w:val="NormalWeb"/>
        <w:spacing w:before="0" w:beforeAutospacing="0" w:after="0" w:afterAutospacing="0"/>
        <w:ind w:left="432" w:hanging="432"/>
      </w:pPr>
      <w:r w:rsidRPr="00365ADD">
        <w:rPr>
          <w:rFonts w:ascii="Garamond" w:hAnsi="Garamond"/>
          <w:sz w:val="22"/>
          <w:szCs w:val="22"/>
        </w:rPr>
        <w:lastRenderedPageBreak/>
        <w:t xml:space="preserve">Phillips, S. &amp; McGee, B. (2016). Ecosystem service benefits of a cleaner Chesapeake Bay. </w:t>
      </w:r>
      <w:r w:rsidRPr="00365ADD">
        <w:rPr>
          <w:rFonts w:ascii="Garamond" w:hAnsi="Garamond"/>
          <w:i/>
          <w:iCs/>
          <w:sz w:val="22"/>
          <w:szCs w:val="22"/>
        </w:rPr>
        <w:t>Coastal Management, 44</w:t>
      </w:r>
      <w:r w:rsidRPr="00365ADD">
        <w:rPr>
          <w:rFonts w:ascii="Garamond" w:hAnsi="Garamond"/>
          <w:sz w:val="22"/>
          <w:szCs w:val="22"/>
        </w:rPr>
        <w:t>(3), 241-258.</w:t>
      </w:r>
      <w:r w:rsidR="00F73F9E" w:rsidRPr="00365ADD">
        <w:rPr>
          <w:rFonts w:ascii="Garamond" w:hAnsi="Garamond"/>
          <w:sz w:val="22"/>
          <w:szCs w:val="22"/>
        </w:rPr>
        <w:t xml:space="preserve"> </w:t>
      </w:r>
      <w:r w:rsidR="00F73F9E" w:rsidRPr="0088672F">
        <w:rPr>
          <w:rFonts w:ascii="Garamond" w:hAnsi="Garamond"/>
          <w:noProof/>
          <w:sz w:val="22"/>
          <w:szCs w:val="22"/>
        </w:rPr>
        <w:t>doi</w:t>
      </w:r>
      <w:r w:rsidR="00F73F9E" w:rsidRPr="00365ADD">
        <w:rPr>
          <w:rFonts w:ascii="Garamond" w:hAnsi="Garamond"/>
          <w:sz w:val="22"/>
          <w:szCs w:val="22"/>
        </w:rPr>
        <w:t>:10.1080/08920753.2016.1160205</w:t>
      </w:r>
    </w:p>
    <w:p w14:paraId="34BF1A85" w14:textId="13FC7033" w:rsidR="00D7644D" w:rsidRPr="00216413" w:rsidRDefault="00D7644D" w:rsidP="009A6617">
      <w:pPr>
        <w:spacing w:after="0" w:line="259" w:lineRule="auto"/>
        <w:ind w:left="432" w:hanging="432"/>
        <w:rPr>
          <w:rFonts w:ascii="Garamond" w:hAnsi="Garamond"/>
        </w:rPr>
      </w:pPr>
    </w:p>
    <w:p w14:paraId="6F4A7F56" w14:textId="771F712B" w:rsidR="00485EA2" w:rsidRPr="00365ADD" w:rsidRDefault="00485EA2" w:rsidP="009A6617">
      <w:pPr>
        <w:spacing w:after="0" w:line="259" w:lineRule="auto"/>
        <w:ind w:left="432" w:hanging="432"/>
        <w:rPr>
          <w:rFonts w:ascii="Garamond" w:hAnsi="Garamond"/>
        </w:rPr>
      </w:pPr>
      <w:r w:rsidRPr="00365ADD">
        <w:rPr>
          <w:rFonts w:ascii="Garamond" w:hAnsi="Garamond"/>
        </w:rPr>
        <w:t xml:space="preserve">Prabhakara, K., Hively, W. D., &amp; McCarty, G. W. (2015). Evaluating the relationship between biomass, percent groundcover and remote sensing indices across six winter cover crop fields in Maryland, United States. </w:t>
      </w:r>
      <w:r w:rsidRPr="00365ADD">
        <w:rPr>
          <w:rFonts w:ascii="Garamond" w:hAnsi="Garamond"/>
          <w:i/>
          <w:iCs/>
        </w:rPr>
        <w:t xml:space="preserve">International Journal of Applied Earth Observation and Geoinformation, 39, </w:t>
      </w:r>
      <w:r w:rsidRPr="00365ADD">
        <w:rPr>
          <w:rFonts w:ascii="Garamond" w:hAnsi="Garamond"/>
        </w:rPr>
        <w:t>88-102.</w:t>
      </w:r>
      <w:r w:rsidR="00F73F9E" w:rsidRPr="00365ADD">
        <w:rPr>
          <w:rFonts w:ascii="Garamond" w:hAnsi="Garamond"/>
        </w:rPr>
        <w:t xml:space="preserve"> </w:t>
      </w:r>
      <w:r w:rsidR="00F73F9E" w:rsidRPr="0088672F">
        <w:rPr>
          <w:rFonts w:ascii="Garamond" w:hAnsi="Garamond"/>
          <w:noProof/>
        </w:rPr>
        <w:t>doi</w:t>
      </w:r>
      <w:r w:rsidR="00F73F9E" w:rsidRPr="00365ADD">
        <w:rPr>
          <w:rFonts w:ascii="Garamond" w:hAnsi="Garamond"/>
        </w:rPr>
        <w:t>:10.1016/j.jag.2015.03.002</w:t>
      </w:r>
    </w:p>
    <w:p w14:paraId="3555F70E" w14:textId="77777777" w:rsidR="00485EA2" w:rsidRPr="00365ADD" w:rsidRDefault="00485EA2" w:rsidP="009A6617">
      <w:pPr>
        <w:spacing w:after="0" w:line="259" w:lineRule="auto"/>
        <w:ind w:left="432" w:hanging="432"/>
        <w:rPr>
          <w:rFonts w:ascii="Garamond" w:hAnsi="Garamond"/>
        </w:rPr>
      </w:pPr>
    </w:p>
    <w:p w14:paraId="1EA857DF" w14:textId="4D8C3681" w:rsidR="00485EA2" w:rsidRPr="00216413" w:rsidRDefault="0073301D" w:rsidP="009A6617">
      <w:pPr>
        <w:spacing w:after="0" w:line="240" w:lineRule="auto"/>
        <w:ind w:left="432" w:hanging="432"/>
        <w:rPr>
          <w:rFonts w:ascii="Times New Roman" w:eastAsia="Times New Roman" w:hAnsi="Times New Roman" w:cs="Times New Roman"/>
          <w:sz w:val="24"/>
          <w:szCs w:val="24"/>
        </w:rPr>
      </w:pPr>
      <w:r>
        <w:rPr>
          <w:rFonts w:ascii="Garamond" w:hAnsi="Garamond"/>
          <w:color w:val="000000"/>
          <w:shd w:val="clear" w:color="auto" w:fill="FFFFFF"/>
        </w:rPr>
        <w:t xml:space="preserve">Staver, K. W. (2001). Increasing N Retention in Coastal Plain Agricultural Watersheds. </w:t>
      </w:r>
      <w:r>
        <w:rPr>
          <w:rFonts w:ascii="Garamond" w:hAnsi="Garamond"/>
          <w:i/>
          <w:iCs/>
          <w:color w:val="000000"/>
          <w:shd w:val="clear" w:color="auto" w:fill="FFFFFF"/>
        </w:rPr>
        <w:t>The Scientific World Journal</w:t>
      </w:r>
      <w:r>
        <w:rPr>
          <w:rFonts w:ascii="Garamond" w:hAnsi="Garamond"/>
          <w:color w:val="000000"/>
          <w:shd w:val="clear" w:color="auto" w:fill="FFFFFF"/>
        </w:rPr>
        <w:t xml:space="preserve">, </w:t>
      </w:r>
      <w:r>
        <w:rPr>
          <w:rFonts w:ascii="Garamond" w:hAnsi="Garamond"/>
          <w:i/>
          <w:iCs/>
          <w:color w:val="000000"/>
          <w:shd w:val="clear" w:color="auto" w:fill="FFFFFF"/>
        </w:rPr>
        <w:t>1</w:t>
      </w:r>
      <w:r>
        <w:rPr>
          <w:rFonts w:ascii="Garamond" w:hAnsi="Garamond"/>
          <w:color w:val="000000"/>
          <w:shd w:val="clear" w:color="auto" w:fill="FFFFFF"/>
        </w:rPr>
        <w:t xml:space="preserve">, 207-215. </w:t>
      </w:r>
      <w:r w:rsidRPr="0088672F">
        <w:rPr>
          <w:rFonts w:ascii="Garamond" w:hAnsi="Garamond"/>
          <w:noProof/>
          <w:color w:val="000000"/>
          <w:shd w:val="clear" w:color="auto" w:fill="FFFFFF"/>
        </w:rPr>
        <w:t>doi</w:t>
      </w:r>
      <w:r>
        <w:rPr>
          <w:rFonts w:ascii="Garamond" w:hAnsi="Garamond"/>
          <w:color w:val="000000"/>
          <w:shd w:val="clear" w:color="auto" w:fill="FFFFFF"/>
        </w:rPr>
        <w:t>: 10.1100/tsw.2001.375</w:t>
      </w:r>
    </w:p>
    <w:p w14:paraId="587B61AC" w14:textId="77777777" w:rsidR="00F73F9E" w:rsidRPr="00216413" w:rsidRDefault="00F73F9E" w:rsidP="009A6617">
      <w:pPr>
        <w:spacing w:after="0" w:line="259" w:lineRule="auto"/>
        <w:ind w:left="432" w:hanging="432"/>
        <w:rPr>
          <w:rFonts w:ascii="Times New Roman" w:eastAsia="Times New Roman" w:hAnsi="Times New Roman" w:cs="Times New Roman"/>
          <w:sz w:val="24"/>
          <w:szCs w:val="24"/>
        </w:rPr>
      </w:pPr>
    </w:p>
    <w:p w14:paraId="3DF3AA67" w14:textId="37B29142" w:rsidR="00485EA2" w:rsidRPr="00216413" w:rsidRDefault="00485EA2" w:rsidP="009A6617">
      <w:pPr>
        <w:spacing w:after="0" w:line="259" w:lineRule="auto"/>
        <w:ind w:left="432" w:hanging="432"/>
        <w:rPr>
          <w:rFonts w:ascii="Garamond" w:hAnsi="Garamond"/>
        </w:rPr>
      </w:pPr>
      <w:r w:rsidRPr="00365ADD">
        <w:rPr>
          <w:rFonts w:ascii="Garamond" w:eastAsia="Times New Roman" w:hAnsi="Garamond" w:cs="Times New Roman"/>
          <w:shd w:val="clear" w:color="auto" w:fill="FFFFFF"/>
        </w:rPr>
        <w:t xml:space="preserve">Thieme, A., Yadav, S., Oddo, P. C., Fitz, J. M., McCartney, S., King, L., … Hively, W. D. (2018). </w:t>
      </w:r>
      <w:r w:rsidRPr="00365ADD">
        <w:rPr>
          <w:rFonts w:ascii="Garamond" w:eastAsia="Times New Roman" w:hAnsi="Garamond" w:cs="Times New Roman"/>
          <w:i/>
          <w:iCs/>
          <w:shd w:val="clear" w:color="auto" w:fill="FFFFFF"/>
        </w:rPr>
        <w:t xml:space="preserve">Using NASA Earth observations and Google Earth Engine to map winter cover crop conservation performance in the Chesapeake Bay watershed. </w:t>
      </w:r>
      <w:r w:rsidRPr="00365ADD">
        <w:rPr>
          <w:rFonts w:ascii="Garamond" w:eastAsia="Times New Roman" w:hAnsi="Garamond" w:cs="Times New Roman"/>
          <w:shd w:val="clear" w:color="auto" w:fill="FFFFFF"/>
        </w:rPr>
        <w:t>Unpublished manuscript.</w:t>
      </w:r>
    </w:p>
    <w:p w14:paraId="7CA9A253" w14:textId="28515226" w:rsidR="00615E3A" w:rsidRPr="005A5711" w:rsidRDefault="00824CC4" w:rsidP="00615E3A">
      <w:pPr>
        <w:pStyle w:val="Heading1"/>
        <w:rPr>
          <w:rFonts w:ascii="Garamond" w:hAnsi="Garamond"/>
        </w:rPr>
      </w:pPr>
      <w:r>
        <w:rPr>
          <w:rFonts w:ascii="Garamond" w:hAnsi="Garamond"/>
        </w:rPr>
        <w:t>9</w:t>
      </w:r>
      <w:r w:rsidR="00615E3A" w:rsidRPr="005A5711">
        <w:rPr>
          <w:rFonts w:ascii="Garamond" w:hAnsi="Garamond"/>
        </w:rPr>
        <w:t>. Appendi</w:t>
      </w:r>
      <w:r w:rsidR="00491104">
        <w:rPr>
          <w:rFonts w:ascii="Garamond" w:hAnsi="Garamond"/>
        </w:rPr>
        <w:t>x A</w:t>
      </w:r>
    </w:p>
    <w:p w14:paraId="53D634B1" w14:textId="77777777" w:rsidR="00DD136C" w:rsidRDefault="00DD136C" w:rsidP="008975BD">
      <w:pPr>
        <w:spacing w:after="0" w:line="240" w:lineRule="auto"/>
        <w:rPr>
          <w:rFonts w:ascii="Garamond" w:hAnsi="Garamond"/>
        </w:rPr>
      </w:pPr>
    </w:p>
    <w:p w14:paraId="5757CBE0" w14:textId="08EE459D" w:rsidR="00DD136C" w:rsidRPr="00B8208C" w:rsidRDefault="00365ADD" w:rsidP="00365ADD">
      <w:pPr>
        <w:spacing w:after="0" w:line="240" w:lineRule="auto"/>
        <w:rPr>
          <w:rFonts w:ascii="Garamond" w:eastAsia="Times New Roman" w:hAnsi="Garamond" w:cs="Times New Roman"/>
          <w:color w:val="000000"/>
        </w:rPr>
      </w:pPr>
      <w:r w:rsidRPr="00365ADD">
        <w:rPr>
          <w:rFonts w:ascii="Garamond" w:eastAsia="Times New Roman" w:hAnsi="Garamond" w:cs="Times New Roman"/>
          <w:b/>
          <w:bCs/>
          <w:color w:val="000000"/>
        </w:rPr>
        <w:t>Table A.1.</w:t>
      </w:r>
      <w:r w:rsidRPr="00365ADD">
        <w:rPr>
          <w:rFonts w:ascii="Garamond" w:eastAsia="Times New Roman" w:hAnsi="Garamond" w:cs="Times New Roman"/>
          <w:color w:val="000000"/>
        </w:rPr>
        <w:t xml:space="preserve"> Summary of crop performance in Queen Anne’s County.</w:t>
      </w:r>
    </w:p>
    <w:tbl>
      <w:tblPr>
        <w:tblW w:w="0" w:type="auto"/>
        <w:tblCellMar>
          <w:top w:w="15" w:type="dxa"/>
          <w:left w:w="15" w:type="dxa"/>
          <w:bottom w:w="15" w:type="dxa"/>
          <w:right w:w="15" w:type="dxa"/>
        </w:tblCellMar>
        <w:tblLook w:val="04A0" w:firstRow="1" w:lastRow="0" w:firstColumn="1" w:lastColumn="0" w:noHBand="0" w:noVBand="1"/>
      </w:tblPr>
      <w:tblGrid>
        <w:gridCol w:w="1917"/>
        <w:gridCol w:w="1439"/>
        <w:gridCol w:w="1280"/>
        <w:gridCol w:w="2337"/>
        <w:gridCol w:w="2367"/>
      </w:tblGrid>
      <w:tr w:rsidR="00365ADD" w:rsidRPr="00365ADD" w14:paraId="37808C4E"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027D66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Queen Anne's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358B35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CE4D17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145B42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A1D0CC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r>
      <w:tr w:rsidR="00365ADD" w:rsidRPr="00365ADD" w14:paraId="0A9863E7" w14:textId="77777777" w:rsidTr="00DD136C">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36DE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Agronomic Factor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BB0B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Enrolled Fields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699F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NDVI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CA75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Predicted Biomass (kg/Ha)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D7B8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Predicted Ground Cover (%)</w:t>
            </w:r>
          </w:p>
        </w:tc>
      </w:tr>
      <w:tr w:rsidR="00365ADD" w:rsidRPr="00365ADD" w14:paraId="4D800332"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33D4C7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Species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1AA556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E9A4B4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046788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A8A7A3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r>
      <w:tr w:rsidR="00365ADD" w:rsidRPr="00365ADD" w14:paraId="40457A01"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07863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Wheat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562F2"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1306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1ABC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0.442861587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74D7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1015.199515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421E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36.78089874</w:t>
            </w:r>
          </w:p>
        </w:tc>
      </w:tr>
      <w:tr w:rsidR="00365ADD" w:rsidRPr="00365ADD" w14:paraId="49EF9A01"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63F1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Rye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F678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258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4019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0.507601578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D92EA"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1288.43504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9D00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43.81767137</w:t>
            </w:r>
          </w:p>
        </w:tc>
      </w:tr>
      <w:tr w:rsidR="00365ADD" w:rsidRPr="00365ADD" w14:paraId="74AF90F6" w14:textId="77777777" w:rsidTr="00365AD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3E7F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Barley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5B84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B70A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0.437538814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EAAD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974.7628984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CB59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36.2813001</w:t>
            </w:r>
          </w:p>
        </w:tc>
      </w:tr>
      <w:tr w:rsidR="00365ADD" w:rsidRPr="00365ADD" w14:paraId="3E2FC6AD"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91A3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Triticale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06D2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8469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0.590399161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38C50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1886.171594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B83E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52.72387611</w:t>
            </w:r>
          </w:p>
        </w:tc>
      </w:tr>
      <w:tr w:rsidR="00365ADD" w:rsidRPr="00365ADD" w14:paraId="0954E47A"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9E5B68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Planting Date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C99726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5C5B253"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C57181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444AAA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r>
      <w:tr w:rsidR="00365ADD" w:rsidRPr="00365ADD" w14:paraId="7DDEDEA4"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DDB3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September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E832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794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92F6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0.444557251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D496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1038.255358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5E85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36.97601955</w:t>
            </w:r>
          </w:p>
        </w:tc>
      </w:tr>
      <w:tr w:rsidR="00365ADD" w:rsidRPr="00365ADD" w14:paraId="6CB05F6D"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02AA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October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0D98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5E4D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0.455752505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9BD7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1071.179373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552A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38.19255264</w:t>
            </w:r>
          </w:p>
        </w:tc>
      </w:tr>
      <w:tr w:rsidR="00365ADD" w:rsidRPr="00365ADD" w14:paraId="41EF342D"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9D07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November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FF08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A34F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0.372999677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ED91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749.5658639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B671A"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29.33908331</w:t>
            </w:r>
          </w:p>
        </w:tc>
      </w:tr>
      <w:tr w:rsidR="00365ADD" w:rsidRPr="00365ADD" w14:paraId="0C9C0610" w14:textId="77777777" w:rsidTr="00D83A73">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0B1732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Planting Method</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29A3EC3"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26671CA"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F28400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62C4D3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r>
      <w:tr w:rsidR="00365ADD" w:rsidRPr="00365ADD" w14:paraId="1609064B"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152A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Aerial Air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D9FE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796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C075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0.415390869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30ED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909.4077061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E2833"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33.89893422</w:t>
            </w:r>
          </w:p>
        </w:tc>
      </w:tr>
      <w:tr w:rsidR="00365ADD" w:rsidRPr="00365ADD" w14:paraId="51EB9108"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335F2"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Aerial Ground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988C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17B3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17C2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47F1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r>
      <w:tr w:rsidR="00365ADD" w:rsidRPr="00365ADD" w14:paraId="4A3043ED"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7C24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No-till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5575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38E5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9CB8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194A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r>
      <w:tr w:rsidR="00365ADD" w:rsidRPr="00365ADD" w14:paraId="444B31D9"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AA79A"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lastRenderedPageBreak/>
              <w:t>Broadcast Cultipacker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C83E2"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8C2CC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E803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8D6F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r>
      <w:tr w:rsidR="00365ADD" w:rsidRPr="00365ADD" w14:paraId="0D16BF91"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4183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Broadcast Stalkchop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0D8C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9475A"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0.433097772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3013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941.5146478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36E2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35.80359497</w:t>
            </w:r>
          </w:p>
        </w:tc>
      </w:tr>
      <w:tr w:rsidR="00365ADD" w:rsidRPr="00365ADD" w14:paraId="3BE890B9"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FE3E2"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Broadcast Light Tillage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63683"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237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5F82A"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0.480940264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E1C0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1180.633211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712C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40.73153855</w:t>
            </w:r>
          </w:p>
        </w:tc>
      </w:tr>
      <w:tr w:rsidR="00365ADD" w:rsidRPr="00365ADD" w14:paraId="2E256C4E"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4CBA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Conventional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63D62"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83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D9F6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0.554184509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94B92"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1590.318134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25045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48.82841088</w:t>
            </w:r>
          </w:p>
        </w:tc>
      </w:tr>
      <w:tr w:rsidR="00365ADD" w:rsidRPr="00365ADD" w14:paraId="7B27AD2B"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8C43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Vertical Tillage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CC163"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39E0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0.439617736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31D3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1000.63893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454D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36.38787207</w:t>
            </w:r>
          </w:p>
        </w:tc>
      </w:tr>
      <w:tr w:rsidR="00365ADD" w:rsidRPr="00365ADD" w14:paraId="265FFCC3"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C2B4E7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Previous Crop</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46F2BF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7F7583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6FEE3A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B70830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 xml:space="preserve"> </w:t>
            </w:r>
          </w:p>
        </w:tc>
      </w:tr>
      <w:tr w:rsidR="00365ADD" w:rsidRPr="00365ADD" w14:paraId="5B22305F" w14:textId="77777777" w:rsidTr="00DD136C">
        <w:trPr>
          <w:trHeight w:val="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08E7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Corn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766D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1221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0411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0.451995303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E9933"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1065.74598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8250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37.79650747</w:t>
            </w:r>
          </w:p>
        </w:tc>
      </w:tr>
      <w:tr w:rsidR="00365ADD" w:rsidRPr="00365ADD" w14:paraId="4A223308" w14:textId="77777777" w:rsidTr="00DD136C">
        <w:trPr>
          <w:trHeight w:val="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6A5D2"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Soybeans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4460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684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0359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0.428250008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5C08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958.4869573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78B2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35.2147937</w:t>
            </w:r>
          </w:p>
        </w:tc>
      </w:tr>
      <w:tr w:rsidR="00365ADD" w:rsidRPr="00365ADD" w14:paraId="3A35B5B0"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C87E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Vegetables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6AC7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4361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0.505772386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CD64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1310.138675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5DA5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43.62091242</w:t>
            </w:r>
          </w:p>
        </w:tc>
      </w:tr>
      <w:tr w:rsidR="00365ADD" w:rsidRPr="00365ADD" w14:paraId="572A7AFB"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7ED5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Double-crop Soybeans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9ED1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A53B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0.431414362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9853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958.4726445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7851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35.62251732</w:t>
            </w:r>
          </w:p>
        </w:tc>
      </w:tr>
      <w:tr w:rsidR="00365ADD" w:rsidRPr="00365ADD" w14:paraId="2183CB53" w14:textId="77777777" w:rsidTr="00DD136C">
        <w:trPr>
          <w:trHeight w:val="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CDA0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Sorghum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53F7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1B5C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0.371094696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6F6B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751.3763398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4CF5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29.13417203</w:t>
            </w:r>
          </w:p>
        </w:tc>
      </w:tr>
      <w:tr w:rsidR="00365ADD" w:rsidRPr="00365ADD" w14:paraId="12C2CE3E"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81BECE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All Fields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25BDA7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1987</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8D8054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0.444169334</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2505C8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1030.433495</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FFA5CB2"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36.94642843</w:t>
            </w:r>
          </w:p>
        </w:tc>
      </w:tr>
    </w:tbl>
    <w:p w14:paraId="221694D1" w14:textId="77777777" w:rsidR="00DD136C" w:rsidRDefault="00DD136C" w:rsidP="00365ADD">
      <w:pPr>
        <w:spacing w:after="0" w:line="240" w:lineRule="auto"/>
        <w:rPr>
          <w:rFonts w:ascii="Garamond" w:eastAsia="Times New Roman" w:hAnsi="Garamond" w:cs="Times New Roman"/>
          <w:b/>
          <w:bCs/>
          <w:color w:val="000000"/>
        </w:rPr>
      </w:pPr>
    </w:p>
    <w:p w14:paraId="37F15C12" w14:textId="77777777" w:rsidR="00DD136C" w:rsidRDefault="00DD136C" w:rsidP="00365ADD">
      <w:pPr>
        <w:spacing w:after="0" w:line="240" w:lineRule="auto"/>
        <w:rPr>
          <w:rFonts w:ascii="Garamond" w:eastAsia="Times New Roman" w:hAnsi="Garamond" w:cs="Times New Roman"/>
          <w:b/>
          <w:bCs/>
          <w:color w:val="000000"/>
        </w:rPr>
      </w:pPr>
    </w:p>
    <w:p w14:paraId="740CFE13" w14:textId="16C56685"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 xml:space="preserve">Table A.2. </w:t>
      </w:r>
      <w:r w:rsidRPr="00365ADD">
        <w:rPr>
          <w:rFonts w:ascii="Garamond" w:eastAsia="Times New Roman" w:hAnsi="Garamond" w:cs="Times New Roman"/>
          <w:color w:val="000000"/>
        </w:rPr>
        <w:t>Summary of crop performance in Somerset County.</w:t>
      </w:r>
    </w:p>
    <w:tbl>
      <w:tblPr>
        <w:tblW w:w="0" w:type="auto"/>
        <w:tblCellMar>
          <w:top w:w="15" w:type="dxa"/>
          <w:left w:w="15" w:type="dxa"/>
          <w:bottom w:w="15" w:type="dxa"/>
          <w:right w:w="15" w:type="dxa"/>
        </w:tblCellMar>
        <w:tblLook w:val="04A0" w:firstRow="1" w:lastRow="0" w:firstColumn="1" w:lastColumn="0" w:noHBand="0" w:noVBand="1"/>
      </w:tblPr>
      <w:tblGrid>
        <w:gridCol w:w="2051"/>
        <w:gridCol w:w="1539"/>
        <w:gridCol w:w="1280"/>
        <w:gridCol w:w="1849"/>
        <w:gridCol w:w="2621"/>
      </w:tblGrid>
      <w:tr w:rsidR="00365ADD" w:rsidRPr="00365ADD" w14:paraId="1731E598"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17C1DF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Somerset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197026D"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944B3B7"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BAF3C15"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CA0FDB6" w14:textId="77777777" w:rsidR="00365ADD" w:rsidRPr="00365ADD" w:rsidRDefault="00365ADD" w:rsidP="00365ADD">
            <w:pPr>
              <w:spacing w:after="0" w:line="240" w:lineRule="auto"/>
              <w:rPr>
                <w:rFonts w:ascii="Times New Roman" w:eastAsia="Times New Roman" w:hAnsi="Times New Roman" w:cs="Times New Roman"/>
                <w:sz w:val="24"/>
                <w:szCs w:val="24"/>
              </w:rPr>
            </w:pPr>
          </w:p>
        </w:tc>
      </w:tr>
      <w:tr w:rsidR="00365ADD" w:rsidRPr="00365ADD" w14:paraId="0F4FFF79" w14:textId="77777777" w:rsidTr="00DD136C">
        <w:trPr>
          <w:trHeight w:val="1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1ADB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Agronomic Factor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239D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Enrolled Fields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1F0C2"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NDVI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DFB6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Predicted Biomass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339D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Predicted Ground Cover (%)</w:t>
            </w:r>
          </w:p>
        </w:tc>
      </w:tr>
      <w:tr w:rsidR="00365ADD" w:rsidRPr="00365ADD" w14:paraId="3AF9DA1F"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B08882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Species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15CB0D6"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BF8EC11"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7851859"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803F5CF" w14:textId="77777777" w:rsidR="00365ADD" w:rsidRPr="00365ADD" w:rsidRDefault="00365ADD" w:rsidP="00365ADD">
            <w:pPr>
              <w:spacing w:after="0" w:line="240" w:lineRule="auto"/>
              <w:rPr>
                <w:rFonts w:ascii="Times New Roman" w:eastAsia="Times New Roman" w:hAnsi="Times New Roman" w:cs="Times New Roman"/>
                <w:sz w:val="24"/>
                <w:szCs w:val="24"/>
              </w:rPr>
            </w:pPr>
          </w:p>
        </w:tc>
      </w:tr>
      <w:tr w:rsidR="00365ADD" w:rsidRPr="00365ADD" w14:paraId="445326E9"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19B8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Wheat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8295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661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7ABC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0.519836647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5C6C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1197.323552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7F08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39.55053331</w:t>
            </w:r>
          </w:p>
        </w:tc>
      </w:tr>
      <w:tr w:rsidR="00365ADD" w:rsidRPr="00365ADD" w14:paraId="4796D154" w14:textId="77777777" w:rsidTr="00DD136C">
        <w:trPr>
          <w:trHeight w:val="1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8979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Rye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BE7E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D3CC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0.531777559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245E2"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1345.046019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FDEE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42.78111531</w:t>
            </w:r>
          </w:p>
        </w:tc>
      </w:tr>
      <w:tr w:rsidR="00365ADD" w:rsidRPr="00365ADD" w14:paraId="1C2B42DA"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9710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Barley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33BB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6D1A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0.534129609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56B93"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1432.192846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CCEE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46.67118553</w:t>
            </w:r>
          </w:p>
        </w:tc>
      </w:tr>
      <w:tr w:rsidR="00365ADD" w:rsidRPr="00365ADD" w14:paraId="7281F1B7" w14:textId="77777777" w:rsidTr="00DD136C">
        <w:trPr>
          <w:trHeight w:val="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0562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Triticale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4D48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B17A3"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6B012"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D6394" w14:textId="77777777" w:rsidR="00365ADD" w:rsidRPr="00365ADD" w:rsidRDefault="00365ADD" w:rsidP="00365ADD">
            <w:pPr>
              <w:spacing w:after="0" w:line="240" w:lineRule="auto"/>
              <w:rPr>
                <w:rFonts w:ascii="Times New Roman" w:eastAsia="Times New Roman" w:hAnsi="Times New Roman" w:cs="Times New Roman"/>
                <w:sz w:val="24"/>
                <w:szCs w:val="24"/>
              </w:rPr>
            </w:pPr>
          </w:p>
        </w:tc>
      </w:tr>
      <w:tr w:rsidR="00365ADD" w:rsidRPr="00365ADD" w14:paraId="2286B9D5"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E22E83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Planting Date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C33BE88"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8212992"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B44886C"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F3294E4" w14:textId="77777777" w:rsidR="00365ADD" w:rsidRPr="00365ADD" w:rsidRDefault="00365ADD" w:rsidP="00365ADD">
            <w:pPr>
              <w:spacing w:after="0" w:line="240" w:lineRule="auto"/>
              <w:rPr>
                <w:rFonts w:ascii="Times New Roman" w:eastAsia="Times New Roman" w:hAnsi="Times New Roman" w:cs="Times New Roman"/>
                <w:sz w:val="24"/>
                <w:szCs w:val="24"/>
              </w:rPr>
            </w:pPr>
          </w:p>
        </w:tc>
      </w:tr>
      <w:tr w:rsidR="00365ADD" w:rsidRPr="00365ADD" w14:paraId="60D1F25C"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3F36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September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D73C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388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FB6C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0.515481235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45C3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1248.477622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38FD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40.24118012</w:t>
            </w:r>
          </w:p>
        </w:tc>
      </w:tr>
      <w:tr w:rsidR="00365ADD" w:rsidRPr="00365ADD" w14:paraId="638CB7AA"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BA9A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October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883F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525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CB21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0.523670262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9F2B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1214.47893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0BA02"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39.64496996</w:t>
            </w:r>
          </w:p>
        </w:tc>
      </w:tr>
      <w:tr w:rsidR="00365ADD" w:rsidRPr="00365ADD" w14:paraId="64E5BC6C"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EE5E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November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68D0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81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D5BF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0.482822218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F3BA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1068.288561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02C7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36.66402278</w:t>
            </w:r>
          </w:p>
        </w:tc>
      </w:tr>
      <w:tr w:rsidR="00365ADD" w:rsidRPr="00365ADD" w14:paraId="5C87B122"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C7A5F1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lastRenderedPageBreak/>
              <w:t>Planting Method</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D9FBA3E"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3B8CD24"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3A2B824"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47F23A8" w14:textId="77777777" w:rsidR="00365ADD" w:rsidRPr="00365ADD" w:rsidRDefault="00365ADD" w:rsidP="00365ADD">
            <w:pPr>
              <w:spacing w:after="0" w:line="240" w:lineRule="auto"/>
              <w:rPr>
                <w:rFonts w:ascii="Times New Roman" w:eastAsia="Times New Roman" w:hAnsi="Times New Roman" w:cs="Times New Roman"/>
                <w:sz w:val="24"/>
                <w:szCs w:val="24"/>
              </w:rPr>
            </w:pPr>
          </w:p>
        </w:tc>
      </w:tr>
      <w:tr w:rsidR="00365ADD" w:rsidRPr="00365ADD" w14:paraId="78FCDC7D"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33BA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Aerial Air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4F28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9E67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0.49765296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C062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1146.758047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5D22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39.3808378</w:t>
            </w:r>
          </w:p>
        </w:tc>
      </w:tr>
      <w:tr w:rsidR="00365ADD" w:rsidRPr="00365ADD" w14:paraId="16E47596"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3A6F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Aerial Ground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8250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116DE"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72BC5"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71EC7" w14:textId="77777777" w:rsidR="00365ADD" w:rsidRPr="00365ADD" w:rsidRDefault="00365ADD" w:rsidP="00365ADD">
            <w:pPr>
              <w:spacing w:after="0" w:line="240" w:lineRule="auto"/>
              <w:rPr>
                <w:rFonts w:ascii="Times New Roman" w:eastAsia="Times New Roman" w:hAnsi="Times New Roman" w:cs="Times New Roman"/>
                <w:sz w:val="24"/>
                <w:szCs w:val="24"/>
              </w:rPr>
            </w:pPr>
          </w:p>
        </w:tc>
      </w:tr>
      <w:tr w:rsidR="00365ADD" w:rsidRPr="00365ADD" w14:paraId="74AEB288"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FC54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No-till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0CB3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14902"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AC2DE"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2A348" w14:textId="77777777" w:rsidR="00365ADD" w:rsidRPr="00365ADD" w:rsidRDefault="00365ADD" w:rsidP="00365ADD">
            <w:pPr>
              <w:spacing w:after="0" w:line="240" w:lineRule="auto"/>
              <w:rPr>
                <w:rFonts w:ascii="Times New Roman" w:eastAsia="Times New Roman" w:hAnsi="Times New Roman" w:cs="Times New Roman"/>
                <w:sz w:val="24"/>
                <w:szCs w:val="24"/>
              </w:rPr>
            </w:pPr>
          </w:p>
        </w:tc>
      </w:tr>
      <w:tr w:rsidR="00365ADD" w:rsidRPr="00365ADD" w14:paraId="0E1946AF" w14:textId="77777777" w:rsidTr="00DD136C">
        <w:trPr>
          <w:trHeight w:val="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4002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Broadcast Cultipacker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6654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84CE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0.571209602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B1A4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1533.859858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BDFE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50.659732</w:t>
            </w:r>
          </w:p>
        </w:tc>
      </w:tr>
      <w:tr w:rsidR="00365ADD" w:rsidRPr="00365ADD" w14:paraId="001A9A41"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9700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Broadcast Stalkchop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BAF2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C749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0.568561888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2A35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1430.852859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2426A"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43.93725142</w:t>
            </w:r>
          </w:p>
        </w:tc>
      </w:tr>
      <w:tr w:rsidR="00365ADD" w:rsidRPr="00365ADD" w14:paraId="33695A5F"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C568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Broadcast Light Tillage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F50C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9E5A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0.508283148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CB03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1198.823233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0A7F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40.95289715</w:t>
            </w:r>
          </w:p>
        </w:tc>
      </w:tr>
      <w:tr w:rsidR="00365ADD" w:rsidRPr="00365ADD" w14:paraId="221AFF30"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CB09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Conventional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FBF5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D2E4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0.612275381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504F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1883.892558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BD01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55.07701365</w:t>
            </w:r>
          </w:p>
        </w:tc>
      </w:tr>
      <w:tr w:rsidR="00365ADD" w:rsidRPr="00365ADD" w14:paraId="11118059"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C9F9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Vertical Tillage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344D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3BB0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0.388429969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BBEB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580.1069742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00F8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17.071572</w:t>
            </w:r>
          </w:p>
        </w:tc>
      </w:tr>
      <w:tr w:rsidR="00365ADD" w:rsidRPr="00365ADD" w14:paraId="3E0AED7F"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7758DE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Previous Crop</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3D2B4C3"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56D5363"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E24DFCC"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7AA5EFD" w14:textId="77777777" w:rsidR="00365ADD" w:rsidRPr="00365ADD" w:rsidRDefault="00365ADD" w:rsidP="00365ADD">
            <w:pPr>
              <w:spacing w:after="0" w:line="240" w:lineRule="auto"/>
              <w:rPr>
                <w:rFonts w:ascii="Times New Roman" w:eastAsia="Times New Roman" w:hAnsi="Times New Roman" w:cs="Times New Roman"/>
                <w:sz w:val="24"/>
                <w:szCs w:val="24"/>
              </w:rPr>
            </w:pPr>
          </w:p>
        </w:tc>
      </w:tr>
      <w:tr w:rsidR="00365ADD" w:rsidRPr="00365ADD" w14:paraId="139D63B9"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5F5F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Corn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9832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733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9767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0.517164965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374E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1218.118791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86D1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40.59637405</w:t>
            </w:r>
          </w:p>
        </w:tc>
      </w:tr>
      <w:tr w:rsidR="00365ADD" w:rsidRPr="00365ADD" w14:paraId="7F5FFF39"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7605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Soybeans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6A81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269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A6733"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0.506460278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5CCE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1211.114035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23DF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41.06214499</w:t>
            </w:r>
          </w:p>
        </w:tc>
      </w:tr>
      <w:tr w:rsidR="00365ADD" w:rsidRPr="00365ADD" w14:paraId="4572BD5E"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F2D63"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Vegetables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CF63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EB894"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BF7BC"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BA557" w14:textId="77777777" w:rsidR="00365ADD" w:rsidRPr="00365ADD" w:rsidRDefault="00365ADD" w:rsidP="00365ADD">
            <w:pPr>
              <w:spacing w:after="0" w:line="240" w:lineRule="auto"/>
              <w:rPr>
                <w:rFonts w:ascii="Times New Roman" w:eastAsia="Times New Roman" w:hAnsi="Times New Roman" w:cs="Times New Roman"/>
                <w:sz w:val="24"/>
                <w:szCs w:val="24"/>
              </w:rPr>
            </w:pPr>
          </w:p>
        </w:tc>
      </w:tr>
      <w:tr w:rsidR="00365ADD" w:rsidRPr="00365ADD" w14:paraId="358B7429" w14:textId="77777777" w:rsidTr="00DD136C">
        <w:trPr>
          <w:trHeight w:val="1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7A9E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Sorghum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E965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AEFC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0.440297119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EAE5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845.4911401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421A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29.81214281</w:t>
            </w:r>
          </w:p>
        </w:tc>
      </w:tr>
      <w:tr w:rsidR="00365ADD" w:rsidRPr="00365ADD" w14:paraId="3B07F0C6"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40BB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Double-crop Soybeans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2DFA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BA20D"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49B0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177.8427975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C07E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-10.783</w:t>
            </w:r>
          </w:p>
        </w:tc>
      </w:tr>
      <w:tr w:rsidR="00365ADD" w:rsidRPr="00365ADD" w14:paraId="152EC820"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AACBD3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All Fields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FE2AB7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1017</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5D7A8B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0.513755373</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D70B48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1205.518122</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7CA411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40.24118012</w:t>
            </w:r>
          </w:p>
        </w:tc>
      </w:tr>
    </w:tbl>
    <w:p w14:paraId="43752307" w14:textId="77777777" w:rsidR="00DD136C" w:rsidRDefault="00DD136C" w:rsidP="00365ADD">
      <w:pPr>
        <w:spacing w:after="0" w:line="240" w:lineRule="auto"/>
        <w:rPr>
          <w:rFonts w:ascii="Garamond" w:eastAsia="Times New Roman" w:hAnsi="Garamond" w:cs="Times New Roman"/>
          <w:b/>
          <w:bCs/>
          <w:color w:val="000000"/>
        </w:rPr>
      </w:pPr>
    </w:p>
    <w:p w14:paraId="4165F5AE" w14:textId="77777777" w:rsidR="00DD136C" w:rsidRDefault="00DD136C" w:rsidP="00365ADD">
      <w:pPr>
        <w:spacing w:after="0" w:line="240" w:lineRule="auto"/>
        <w:rPr>
          <w:rFonts w:ascii="Garamond" w:eastAsia="Times New Roman" w:hAnsi="Garamond" w:cs="Times New Roman"/>
          <w:b/>
          <w:bCs/>
          <w:color w:val="000000"/>
        </w:rPr>
      </w:pPr>
    </w:p>
    <w:p w14:paraId="6CC2C0F3" w14:textId="2DFAC898"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 xml:space="preserve">Table A.3. </w:t>
      </w:r>
      <w:r w:rsidRPr="00365ADD">
        <w:rPr>
          <w:rFonts w:ascii="Garamond" w:eastAsia="Times New Roman" w:hAnsi="Garamond" w:cs="Times New Roman"/>
          <w:color w:val="000000"/>
        </w:rPr>
        <w:t>Summary of crop performance in Talbot County.</w:t>
      </w:r>
    </w:p>
    <w:tbl>
      <w:tblPr>
        <w:tblW w:w="0" w:type="auto"/>
        <w:tblCellMar>
          <w:top w:w="15" w:type="dxa"/>
          <w:left w:w="15" w:type="dxa"/>
          <w:bottom w:w="15" w:type="dxa"/>
          <w:right w:w="15" w:type="dxa"/>
        </w:tblCellMar>
        <w:tblLook w:val="04A0" w:firstRow="1" w:lastRow="0" w:firstColumn="1" w:lastColumn="0" w:noHBand="0" w:noVBand="1"/>
      </w:tblPr>
      <w:tblGrid>
        <w:gridCol w:w="2119"/>
        <w:gridCol w:w="1592"/>
        <w:gridCol w:w="970"/>
        <w:gridCol w:w="1905"/>
        <w:gridCol w:w="2754"/>
      </w:tblGrid>
      <w:tr w:rsidR="00365ADD" w:rsidRPr="00365ADD" w14:paraId="33932B96"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6712B4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Talbot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E972115"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6DD02FD"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7C86E04"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F315B94" w14:textId="77777777" w:rsidR="00365ADD" w:rsidRPr="00365ADD" w:rsidRDefault="00365ADD" w:rsidP="00365ADD">
            <w:pPr>
              <w:spacing w:after="0" w:line="240" w:lineRule="auto"/>
              <w:rPr>
                <w:rFonts w:ascii="Times New Roman" w:eastAsia="Times New Roman" w:hAnsi="Times New Roman" w:cs="Times New Roman"/>
                <w:sz w:val="24"/>
                <w:szCs w:val="24"/>
              </w:rPr>
            </w:pPr>
          </w:p>
        </w:tc>
      </w:tr>
      <w:tr w:rsidR="00365ADD" w:rsidRPr="00365ADD" w14:paraId="18C758A2" w14:textId="77777777" w:rsidTr="00DD136C">
        <w:trPr>
          <w:trHeight w:val="3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BE5C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Agronomic Factor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A8CF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Enrolled Fields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E7D6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NDVI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DAF8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Predicted Biomass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4E44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Predicted Ground Cover (%)</w:t>
            </w:r>
          </w:p>
        </w:tc>
      </w:tr>
      <w:tr w:rsidR="00365ADD" w:rsidRPr="00365ADD" w14:paraId="49313F36"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29FFF9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Species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F1D1B4C"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AAD0B79"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B9E0B22"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91DD997" w14:textId="77777777" w:rsidR="00365ADD" w:rsidRPr="00365ADD" w:rsidRDefault="00365ADD" w:rsidP="00365ADD">
            <w:pPr>
              <w:spacing w:after="0" w:line="240" w:lineRule="auto"/>
              <w:rPr>
                <w:rFonts w:ascii="Times New Roman" w:eastAsia="Times New Roman" w:hAnsi="Times New Roman" w:cs="Times New Roman"/>
                <w:sz w:val="24"/>
                <w:szCs w:val="24"/>
              </w:rPr>
            </w:pPr>
          </w:p>
        </w:tc>
      </w:tr>
      <w:tr w:rsidR="00365ADD" w:rsidRPr="00365ADD" w14:paraId="441E97EB"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2CDC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Wheat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D89A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1894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87ED7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0.438091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DF34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1006.853405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BC19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36.3158046</w:t>
            </w:r>
          </w:p>
        </w:tc>
      </w:tr>
      <w:tr w:rsidR="00365ADD" w:rsidRPr="00365ADD" w14:paraId="57953EE7"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6F91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Rye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F0F0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1067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0.51315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1EB8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1309.2288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5944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44.41453944</w:t>
            </w:r>
          </w:p>
        </w:tc>
      </w:tr>
      <w:tr w:rsidR="00365ADD" w:rsidRPr="00365ADD" w14:paraId="59193BB9"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B141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Barley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E669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76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3479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0.499436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F1CD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1240.03065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13C0A"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42.93937339</w:t>
            </w:r>
          </w:p>
        </w:tc>
      </w:tr>
      <w:tr w:rsidR="00365ADD" w:rsidRPr="00365ADD" w14:paraId="7CA9EF02" w14:textId="77777777" w:rsidTr="00DD136C">
        <w:trPr>
          <w:trHeight w:val="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51E3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Triticale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5276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58B3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0.644741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97212"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1989.516188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A213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58.56916156</w:t>
            </w:r>
          </w:p>
        </w:tc>
      </w:tr>
      <w:tr w:rsidR="00365ADD" w:rsidRPr="00365ADD" w14:paraId="6B26015B" w14:textId="77777777" w:rsidTr="00DD136C">
        <w:trPr>
          <w:trHeight w:val="42"/>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E43155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lastRenderedPageBreak/>
              <w:t>Planting Date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E977CE9"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49FAE3D"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CEC51D2"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10BC233" w14:textId="77777777" w:rsidR="00365ADD" w:rsidRPr="00365ADD" w:rsidRDefault="00365ADD" w:rsidP="00365ADD">
            <w:pPr>
              <w:spacing w:after="0" w:line="240" w:lineRule="auto"/>
              <w:rPr>
                <w:rFonts w:ascii="Times New Roman" w:eastAsia="Times New Roman" w:hAnsi="Times New Roman" w:cs="Times New Roman"/>
                <w:sz w:val="24"/>
                <w:szCs w:val="24"/>
              </w:rPr>
            </w:pPr>
          </w:p>
        </w:tc>
      </w:tr>
      <w:tr w:rsidR="00365ADD" w:rsidRPr="00365ADD" w14:paraId="6DEBD63C"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EF06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September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8778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1035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D678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0.430439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993C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962.1711986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8706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35.47286821</w:t>
            </w:r>
          </w:p>
        </w:tc>
      </w:tr>
      <w:tr w:rsidR="00365ADD" w:rsidRPr="00365ADD" w14:paraId="38355685"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6A0F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October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96C82"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960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4961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0.467645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EA22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1136.820991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0B6E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39.51969727</w:t>
            </w:r>
          </w:p>
        </w:tc>
      </w:tr>
      <w:tr w:rsidR="00365ADD" w:rsidRPr="00365ADD" w14:paraId="0D621309"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4F25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November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13205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CB74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0.394337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0A4A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826.5623905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A079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31.63425769</w:t>
            </w:r>
          </w:p>
        </w:tc>
      </w:tr>
      <w:tr w:rsidR="00365ADD" w:rsidRPr="00365ADD" w14:paraId="4959D4C5"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680F86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Planting Method</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CC5F00B"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096960F"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C07A2E7"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C014FA9" w14:textId="77777777" w:rsidR="00365ADD" w:rsidRPr="00365ADD" w:rsidRDefault="00365ADD" w:rsidP="00365ADD">
            <w:pPr>
              <w:spacing w:after="0" w:line="240" w:lineRule="auto"/>
              <w:rPr>
                <w:rFonts w:ascii="Times New Roman" w:eastAsia="Times New Roman" w:hAnsi="Times New Roman" w:cs="Times New Roman"/>
                <w:sz w:val="24"/>
                <w:szCs w:val="24"/>
              </w:rPr>
            </w:pPr>
          </w:p>
        </w:tc>
      </w:tr>
      <w:tr w:rsidR="00365ADD" w:rsidRPr="00365ADD" w14:paraId="1B8FD68D"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46342"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Aerial Air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09EB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561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58DC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0.410764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BCC3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889.1639963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69FD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33.40124861</w:t>
            </w:r>
          </w:p>
        </w:tc>
      </w:tr>
      <w:tr w:rsidR="00365ADD" w:rsidRPr="00365ADD" w14:paraId="45C3C0FF"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69CF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Aerial Ground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07CFA"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78D8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0.41023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CBCD2"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889.2478634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4A32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33.34383903</w:t>
            </w:r>
          </w:p>
        </w:tc>
      </w:tr>
      <w:tr w:rsidR="00365ADD" w:rsidRPr="00365ADD" w14:paraId="50789365"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FC87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No-till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A17D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10C5E"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42F4A"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570C1D" w14:textId="77777777" w:rsidR="00365ADD" w:rsidRPr="00365ADD" w:rsidRDefault="00365ADD" w:rsidP="00365ADD">
            <w:pPr>
              <w:spacing w:after="0" w:line="240" w:lineRule="auto"/>
              <w:rPr>
                <w:rFonts w:ascii="Times New Roman" w:eastAsia="Times New Roman" w:hAnsi="Times New Roman" w:cs="Times New Roman"/>
                <w:sz w:val="24"/>
                <w:szCs w:val="24"/>
              </w:rPr>
            </w:pPr>
          </w:p>
        </w:tc>
      </w:tr>
      <w:tr w:rsidR="00365ADD" w:rsidRPr="00365ADD" w14:paraId="17DBA3DD"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B61E2"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Broadcast Cultipacker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6ECE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C010F"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188E0"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CA67A" w14:textId="77777777" w:rsidR="00365ADD" w:rsidRPr="00365ADD" w:rsidRDefault="00365ADD" w:rsidP="00365ADD">
            <w:pPr>
              <w:spacing w:after="0" w:line="240" w:lineRule="auto"/>
              <w:rPr>
                <w:rFonts w:ascii="Times New Roman" w:eastAsia="Times New Roman" w:hAnsi="Times New Roman" w:cs="Times New Roman"/>
                <w:sz w:val="24"/>
                <w:szCs w:val="24"/>
              </w:rPr>
            </w:pPr>
          </w:p>
        </w:tc>
      </w:tr>
      <w:tr w:rsidR="00365ADD" w:rsidRPr="00365ADD" w14:paraId="43093979"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A0D6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Broadcast Stalkchop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12A7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80A33"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0.43964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C2BF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1091.105731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013E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36.50726762</w:t>
            </w:r>
          </w:p>
        </w:tc>
      </w:tr>
      <w:tr w:rsidR="00365ADD" w:rsidRPr="00365ADD" w14:paraId="410CABCB" w14:textId="77777777" w:rsidTr="00DD136C">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EB0A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Broadcast Light Tillage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B940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216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B2543"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0.463709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16F2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1096.01646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30AA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39.09637402</w:t>
            </w:r>
          </w:p>
        </w:tc>
      </w:tr>
      <w:tr w:rsidR="00365ADD" w:rsidRPr="00365ADD" w14:paraId="7F48FC0B"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75FA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Conventional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CE8B3"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7F7D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0.573073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CB52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1802.848891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E40C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50.86021185</w:t>
            </w:r>
          </w:p>
        </w:tc>
      </w:tr>
      <w:tr w:rsidR="00365ADD" w:rsidRPr="00365ADD" w14:paraId="77B7331C"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A30B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Vertical Tillage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B22D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519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537F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0.439671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1349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1030.638196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B0BF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36.51068516</w:t>
            </w:r>
          </w:p>
        </w:tc>
      </w:tr>
      <w:tr w:rsidR="00365ADD" w:rsidRPr="00365ADD" w14:paraId="45CE61F4"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A30A97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Previous Crop</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7E3050A"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B45284C"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727D961"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ECB3C20" w14:textId="77777777" w:rsidR="00365ADD" w:rsidRPr="00365ADD" w:rsidRDefault="00365ADD" w:rsidP="00365ADD">
            <w:pPr>
              <w:spacing w:after="0" w:line="240" w:lineRule="auto"/>
              <w:rPr>
                <w:rFonts w:ascii="Times New Roman" w:eastAsia="Times New Roman" w:hAnsi="Times New Roman" w:cs="Times New Roman"/>
                <w:sz w:val="24"/>
                <w:szCs w:val="24"/>
              </w:rPr>
            </w:pPr>
          </w:p>
        </w:tc>
      </w:tr>
      <w:tr w:rsidR="00365ADD" w:rsidRPr="00365ADD" w14:paraId="7A386CE4"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0AEA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Corn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9DEF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1106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A90F3"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0.442606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7AC7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1015.152249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04A8A"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36.78334642</w:t>
            </w:r>
          </w:p>
        </w:tc>
      </w:tr>
      <w:tr w:rsidR="00365ADD" w:rsidRPr="00365ADD" w14:paraId="3296CEF5"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6621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Soybeans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DB83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976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FED3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0.450417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D3B4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1063.01576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876E1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37.66651322</w:t>
            </w:r>
          </w:p>
        </w:tc>
      </w:tr>
      <w:tr w:rsidR="00365ADD" w:rsidRPr="00365ADD" w14:paraId="4BB0B193"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E50B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Vegetables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C444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4BEBA"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0.447571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59202"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979.7135876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EFF3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37.36037804</w:t>
            </w:r>
          </w:p>
        </w:tc>
      </w:tr>
      <w:tr w:rsidR="00365ADD" w:rsidRPr="00365ADD" w14:paraId="5A427B6E"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925C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Sorghum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B0C4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2B01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0.38289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B752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792.6080329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ADFA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30.40299461</w:t>
            </w:r>
          </w:p>
        </w:tc>
      </w:tr>
      <w:tr w:rsidR="00365ADD" w:rsidRPr="00365ADD" w14:paraId="50284966" w14:textId="77777777" w:rsidTr="00DD136C">
        <w:trPr>
          <w:trHeight w:val="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6178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Double-crop Soybeans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19DD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0138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0.400645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8CE4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852.217138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F074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32.31274904</w:t>
            </w:r>
          </w:p>
        </w:tc>
      </w:tr>
      <w:tr w:rsidR="00365ADD" w:rsidRPr="00365ADD" w14:paraId="08D1D54D"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494B6E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All Fields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8B3F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2193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E2AC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0.443466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D13A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1026.443181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6C57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36.89712465</w:t>
            </w:r>
          </w:p>
        </w:tc>
      </w:tr>
    </w:tbl>
    <w:p w14:paraId="6BE5D0FB" w14:textId="77777777" w:rsidR="00DD136C" w:rsidRPr="00365ADD" w:rsidRDefault="00DD136C" w:rsidP="00365ADD">
      <w:pPr>
        <w:spacing w:after="240" w:line="240" w:lineRule="auto"/>
        <w:rPr>
          <w:rFonts w:ascii="Times New Roman" w:eastAsia="Times New Roman" w:hAnsi="Times New Roman" w:cs="Times New Roman"/>
          <w:sz w:val="24"/>
          <w:szCs w:val="24"/>
        </w:rPr>
      </w:pPr>
    </w:p>
    <w:p w14:paraId="4DB6768D" w14:textId="7F8EF790"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 xml:space="preserve">Table A.4. </w:t>
      </w:r>
      <w:r w:rsidRPr="00365ADD">
        <w:rPr>
          <w:rFonts w:ascii="Garamond" w:eastAsia="Times New Roman" w:hAnsi="Garamond" w:cs="Times New Roman"/>
          <w:color w:val="000000"/>
        </w:rPr>
        <w:t>Summary of crop performance in Washington County.</w:t>
      </w:r>
    </w:p>
    <w:tbl>
      <w:tblPr>
        <w:tblW w:w="0" w:type="auto"/>
        <w:tblCellMar>
          <w:top w:w="15" w:type="dxa"/>
          <w:left w:w="15" w:type="dxa"/>
          <w:bottom w:w="15" w:type="dxa"/>
          <w:right w:w="15" w:type="dxa"/>
        </w:tblCellMar>
        <w:tblLook w:val="04A0" w:firstRow="1" w:lastRow="0" w:firstColumn="1" w:lastColumn="0" w:noHBand="0" w:noVBand="1"/>
      </w:tblPr>
      <w:tblGrid>
        <w:gridCol w:w="2119"/>
        <w:gridCol w:w="1592"/>
        <w:gridCol w:w="970"/>
        <w:gridCol w:w="1905"/>
        <w:gridCol w:w="2754"/>
      </w:tblGrid>
      <w:tr w:rsidR="00365ADD" w:rsidRPr="00365ADD" w14:paraId="650559B8"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BEEEEF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Washington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85166B9"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5DE92A8"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6AD33DC"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DAB7070" w14:textId="77777777" w:rsidR="00365ADD" w:rsidRPr="00365ADD" w:rsidRDefault="00365ADD" w:rsidP="00365ADD">
            <w:pPr>
              <w:spacing w:after="0" w:line="240" w:lineRule="auto"/>
              <w:rPr>
                <w:rFonts w:ascii="Times New Roman" w:eastAsia="Times New Roman" w:hAnsi="Times New Roman" w:cs="Times New Roman"/>
                <w:sz w:val="24"/>
                <w:szCs w:val="24"/>
              </w:rPr>
            </w:pPr>
          </w:p>
        </w:tc>
      </w:tr>
      <w:tr w:rsidR="00365ADD" w:rsidRPr="00365ADD" w14:paraId="40B7193D" w14:textId="77777777" w:rsidTr="00DD136C">
        <w:trPr>
          <w:trHeight w:val="5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FCA6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Agronomic Factor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3993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Enrolled Fields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ACD9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NDVI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E138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Predicted Biomass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06E5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Predicted Ground Cover (%)</w:t>
            </w:r>
          </w:p>
        </w:tc>
      </w:tr>
      <w:tr w:rsidR="00365ADD" w:rsidRPr="00365ADD" w14:paraId="0C6F779B"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B50141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Species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A20D6BB"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8DAAC3C"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80E4DA4"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7C5703C" w14:textId="77777777" w:rsidR="00365ADD" w:rsidRPr="00365ADD" w:rsidRDefault="00365ADD" w:rsidP="00365ADD">
            <w:pPr>
              <w:spacing w:after="0" w:line="240" w:lineRule="auto"/>
              <w:rPr>
                <w:rFonts w:ascii="Times New Roman" w:eastAsia="Times New Roman" w:hAnsi="Times New Roman" w:cs="Times New Roman"/>
                <w:sz w:val="24"/>
                <w:szCs w:val="24"/>
              </w:rPr>
            </w:pPr>
          </w:p>
        </w:tc>
      </w:tr>
      <w:tr w:rsidR="00365ADD" w:rsidRPr="00365ADD" w14:paraId="7942161B"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C259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lastRenderedPageBreak/>
              <w:t>Wheat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9DE4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02E6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0.453853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096C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1068.701498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64CE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37.00834947</w:t>
            </w:r>
          </w:p>
        </w:tc>
      </w:tr>
      <w:tr w:rsidR="00365ADD" w:rsidRPr="00365ADD" w14:paraId="0F0FA9C7" w14:textId="77777777" w:rsidTr="00DD136C">
        <w:trPr>
          <w:trHeight w:val="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70D3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Rye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3815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279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6295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0.481872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CF20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1234.050564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DE75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41.05008245</w:t>
            </w:r>
          </w:p>
        </w:tc>
      </w:tr>
      <w:tr w:rsidR="00365ADD" w:rsidRPr="00365ADD" w14:paraId="72D4D5F0"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0F63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Barley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3257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87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09BD2"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0.496914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6A87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1287.032818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9F41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42.66802769</w:t>
            </w:r>
          </w:p>
        </w:tc>
      </w:tr>
      <w:tr w:rsidR="00365ADD" w:rsidRPr="00365ADD" w14:paraId="1CB04DF1"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0470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Triticale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0E413"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AB0A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0.683409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6D08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2574.449706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B96A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62.72858266</w:t>
            </w:r>
          </w:p>
        </w:tc>
      </w:tr>
      <w:tr w:rsidR="00365ADD" w:rsidRPr="00365ADD" w14:paraId="24FE91F7" w14:textId="77777777" w:rsidTr="00D83A73">
        <w:trPr>
          <w:trHeight w:val="312"/>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2AAE5A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Planting Date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139F07E"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6CBF907"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A1D408E"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F427E93" w14:textId="77777777" w:rsidR="00365ADD" w:rsidRPr="00365ADD" w:rsidRDefault="00365ADD" w:rsidP="00365ADD">
            <w:pPr>
              <w:spacing w:after="0" w:line="240" w:lineRule="auto"/>
              <w:rPr>
                <w:rFonts w:ascii="Times New Roman" w:eastAsia="Times New Roman" w:hAnsi="Times New Roman" w:cs="Times New Roman"/>
                <w:sz w:val="24"/>
                <w:szCs w:val="24"/>
              </w:rPr>
            </w:pPr>
          </w:p>
        </w:tc>
      </w:tr>
      <w:tr w:rsidR="00365ADD" w:rsidRPr="00365ADD" w14:paraId="70C4916F" w14:textId="77777777" w:rsidTr="00DD136C">
        <w:trPr>
          <w:trHeight w:val="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26BE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September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3299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226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FF63A"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0.547729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5DD8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1709.007075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017FA"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48.13396879</w:t>
            </w:r>
          </w:p>
        </w:tc>
      </w:tr>
      <w:tr w:rsidR="00365ADD" w:rsidRPr="00365ADD" w14:paraId="0EEF65B1"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C315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October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D53D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5F6F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0.47324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EFF8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1200.874216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8D833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39.7952157</w:t>
            </w:r>
          </w:p>
        </w:tc>
      </w:tr>
      <w:tr w:rsidR="00365ADD" w:rsidRPr="00365ADD" w14:paraId="4B432427" w14:textId="77777777" w:rsidTr="00DD136C">
        <w:trPr>
          <w:trHeight w:val="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CFE3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November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0247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3EFC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0.389647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36E0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797.644623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FF0B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31.12974042</w:t>
            </w:r>
          </w:p>
        </w:tc>
      </w:tr>
      <w:tr w:rsidR="00365ADD" w:rsidRPr="00365ADD" w14:paraId="421D7C77" w14:textId="77777777" w:rsidTr="00D83A73">
        <w:trPr>
          <w:trHeight w:val="33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9CECD6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Planting Method</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DAB9F98"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C16719E"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411ADB8"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5420DF0" w14:textId="77777777" w:rsidR="00365ADD" w:rsidRPr="00365ADD" w:rsidRDefault="00365ADD" w:rsidP="00365ADD">
            <w:pPr>
              <w:spacing w:after="0" w:line="240" w:lineRule="auto"/>
              <w:rPr>
                <w:rFonts w:ascii="Times New Roman" w:eastAsia="Times New Roman" w:hAnsi="Times New Roman" w:cs="Times New Roman"/>
                <w:sz w:val="24"/>
                <w:szCs w:val="24"/>
              </w:rPr>
            </w:pPr>
          </w:p>
        </w:tc>
      </w:tr>
      <w:tr w:rsidR="00365ADD" w:rsidRPr="00365ADD" w14:paraId="19A781B9" w14:textId="77777777" w:rsidTr="00DD136C">
        <w:trPr>
          <w:trHeight w:val="1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CB7A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Aerial Air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D392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6B10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0.495535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29803"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1178.340091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E7AB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42.51974777</w:t>
            </w:r>
          </w:p>
        </w:tc>
      </w:tr>
      <w:tr w:rsidR="00365ADD" w:rsidRPr="00365ADD" w14:paraId="28F2C064"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8609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Aerial Ground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F28A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82CD3"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0.529928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C421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1294.190481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F4E7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46.21927343</w:t>
            </w:r>
          </w:p>
        </w:tc>
      </w:tr>
      <w:tr w:rsidR="00365ADD" w:rsidRPr="00365ADD" w14:paraId="40958904"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B91E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No-till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8E8AA"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29FDD"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BE6E3"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540D9" w14:textId="77777777" w:rsidR="00365ADD" w:rsidRPr="00365ADD" w:rsidRDefault="00365ADD" w:rsidP="00365ADD">
            <w:pPr>
              <w:spacing w:after="0" w:line="240" w:lineRule="auto"/>
              <w:rPr>
                <w:rFonts w:ascii="Times New Roman" w:eastAsia="Times New Roman" w:hAnsi="Times New Roman" w:cs="Times New Roman"/>
                <w:sz w:val="24"/>
                <w:szCs w:val="24"/>
              </w:rPr>
            </w:pPr>
          </w:p>
        </w:tc>
      </w:tr>
      <w:tr w:rsidR="00365ADD" w:rsidRPr="00365ADD" w14:paraId="184A5A68" w14:textId="77777777" w:rsidTr="00DD136C">
        <w:trPr>
          <w:trHeight w:val="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6438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Broadcast Cultipacker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9938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D2A5D"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EEB7A"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CA247" w14:textId="77777777" w:rsidR="00365ADD" w:rsidRPr="00365ADD" w:rsidRDefault="00365ADD" w:rsidP="00365ADD">
            <w:pPr>
              <w:spacing w:after="0" w:line="240" w:lineRule="auto"/>
              <w:rPr>
                <w:rFonts w:ascii="Times New Roman" w:eastAsia="Times New Roman" w:hAnsi="Times New Roman" w:cs="Times New Roman"/>
                <w:sz w:val="24"/>
                <w:szCs w:val="24"/>
              </w:rPr>
            </w:pPr>
          </w:p>
        </w:tc>
      </w:tr>
      <w:tr w:rsidR="00365ADD" w:rsidRPr="00365ADD" w14:paraId="620B9D2F"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B0EB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Broadcast Stalkchop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1430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5196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0.278435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CE85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509.1456211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A8D4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19.16716604</w:t>
            </w:r>
          </w:p>
        </w:tc>
      </w:tr>
      <w:tr w:rsidR="00365ADD" w:rsidRPr="00365ADD" w14:paraId="546EB9CF" w14:textId="77777777" w:rsidTr="00DD136C">
        <w:trPr>
          <w:trHeight w:val="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A089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Broadcast Light Tillage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84DA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75CD3"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0.570578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0F91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1621.558368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103E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50.59176014</w:t>
            </w:r>
          </w:p>
        </w:tc>
      </w:tr>
      <w:tr w:rsidR="00365ADD" w:rsidRPr="00365ADD" w14:paraId="6D226239"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B29B2"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Conventional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B4FE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94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6352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0.520713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0FA6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1490.932066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2D28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45.22805688</w:t>
            </w:r>
          </w:p>
        </w:tc>
      </w:tr>
      <w:tr w:rsidR="00365ADD" w:rsidRPr="00365ADD" w14:paraId="03138F42"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F09D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Vertical Tillage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A2CCA"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5227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0.533014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8FED5"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2034.909524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5211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46.55118162</w:t>
            </w:r>
          </w:p>
        </w:tc>
      </w:tr>
      <w:tr w:rsidR="00365ADD" w:rsidRPr="00365ADD" w14:paraId="1142529C"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06B7C11"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Previous Crop</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6836EA5"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B3891F3"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443E13C"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B2478FE" w14:textId="77777777" w:rsidR="00365ADD" w:rsidRPr="00365ADD" w:rsidRDefault="00365ADD" w:rsidP="00365ADD">
            <w:pPr>
              <w:spacing w:after="0" w:line="240" w:lineRule="auto"/>
              <w:rPr>
                <w:rFonts w:ascii="Times New Roman" w:eastAsia="Times New Roman" w:hAnsi="Times New Roman" w:cs="Times New Roman"/>
                <w:sz w:val="24"/>
                <w:szCs w:val="24"/>
              </w:rPr>
            </w:pPr>
          </w:p>
        </w:tc>
      </w:tr>
      <w:tr w:rsidR="00365ADD" w:rsidRPr="00365ADD" w14:paraId="48B66B27"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7F633"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Corn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CDFF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377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8CD9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0.50725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4D36F"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1477.148967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0032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43.77985088</w:t>
            </w:r>
          </w:p>
        </w:tc>
      </w:tr>
      <w:tr w:rsidR="00365ADD" w:rsidRPr="00365ADD" w14:paraId="6A5A77A1"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98B8A"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Soybeans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AF4D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144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FAF6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0.437567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9C1D6"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973.6319863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E157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35.63066521</w:t>
            </w:r>
          </w:p>
        </w:tc>
      </w:tr>
      <w:tr w:rsidR="00365ADD" w:rsidRPr="00365ADD" w14:paraId="3BD9CB8F"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C4FE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Vegetables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31B48"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A470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0.504948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31E3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1325.615452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B4C44"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43.53223659</w:t>
            </w:r>
          </w:p>
        </w:tc>
      </w:tr>
      <w:tr w:rsidR="00365ADD" w:rsidRPr="00365ADD" w14:paraId="700D4B1A"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62F45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Sorghum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524DE"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44260"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0.500268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31BA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1354.815825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92AD7"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43.02886781</w:t>
            </w:r>
          </w:p>
        </w:tc>
      </w:tr>
      <w:tr w:rsidR="00365ADD" w:rsidRPr="00365ADD" w14:paraId="2A812886" w14:textId="77777777" w:rsidTr="00365AD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70BD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Double-crop Soybeans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E50C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DF766"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8EFBB" w14:textId="77777777" w:rsidR="00365ADD" w:rsidRPr="00365ADD" w:rsidRDefault="00365ADD" w:rsidP="00365AD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18D2A" w14:textId="77777777" w:rsidR="00365ADD" w:rsidRPr="00365ADD" w:rsidRDefault="00365ADD" w:rsidP="00365ADD">
            <w:pPr>
              <w:spacing w:after="0" w:line="240" w:lineRule="auto"/>
              <w:rPr>
                <w:rFonts w:ascii="Times New Roman" w:eastAsia="Times New Roman" w:hAnsi="Times New Roman" w:cs="Times New Roman"/>
                <w:sz w:val="24"/>
                <w:szCs w:val="24"/>
              </w:rPr>
            </w:pPr>
          </w:p>
        </w:tc>
      </w:tr>
      <w:tr w:rsidR="00365ADD" w:rsidRPr="00365ADD" w14:paraId="69384423" w14:textId="77777777" w:rsidTr="00DD136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7FC7339"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b/>
                <w:bCs/>
                <w:color w:val="000000"/>
              </w:rPr>
              <w:t>All Fields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D23AD"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613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E991C"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0.490303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4AB5B"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1338.649931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E6FEA" w14:textId="77777777" w:rsidR="00365ADD" w:rsidRPr="00365ADD" w:rsidRDefault="00365ADD" w:rsidP="00365ADD">
            <w:pPr>
              <w:spacing w:after="0" w:line="240" w:lineRule="auto"/>
              <w:rPr>
                <w:rFonts w:ascii="Times New Roman" w:eastAsia="Times New Roman" w:hAnsi="Times New Roman" w:cs="Times New Roman"/>
                <w:sz w:val="24"/>
                <w:szCs w:val="24"/>
              </w:rPr>
            </w:pPr>
            <w:r w:rsidRPr="00365ADD">
              <w:rPr>
                <w:rFonts w:ascii="Garamond" w:eastAsia="Times New Roman" w:hAnsi="Garamond" w:cs="Times New Roman"/>
                <w:color w:val="000000"/>
              </w:rPr>
              <w:t>41.78483979</w:t>
            </w:r>
          </w:p>
        </w:tc>
      </w:tr>
    </w:tbl>
    <w:p w14:paraId="64545FC7" w14:textId="77777777" w:rsidR="00365ADD" w:rsidRPr="008E5453" w:rsidRDefault="00365ADD" w:rsidP="00DD136C">
      <w:pPr>
        <w:spacing w:after="0" w:line="240" w:lineRule="auto"/>
        <w:rPr>
          <w:rFonts w:ascii="Garamond" w:hAnsi="Garamond"/>
        </w:rPr>
      </w:pPr>
    </w:p>
    <w:sectPr w:rsidR="00365ADD" w:rsidRPr="008E5453" w:rsidSect="0064280B">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ADBB1" w14:textId="77777777" w:rsidR="00C10234" w:rsidRDefault="00C10234" w:rsidP="00242822">
      <w:pPr>
        <w:spacing w:after="0" w:line="240" w:lineRule="auto"/>
      </w:pPr>
      <w:r>
        <w:separator/>
      </w:r>
    </w:p>
  </w:endnote>
  <w:endnote w:type="continuationSeparator" w:id="0">
    <w:p w14:paraId="348648FA" w14:textId="77777777" w:rsidR="00C10234" w:rsidRDefault="00C10234"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PT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823035"/>
      <w:docPartObj>
        <w:docPartGallery w:val="Page Numbers (Bottom of Page)"/>
        <w:docPartUnique/>
      </w:docPartObj>
    </w:sdtPr>
    <w:sdtEndPr>
      <w:rPr>
        <w:noProof/>
      </w:rPr>
    </w:sdtEndPr>
    <w:sdtContent>
      <w:p w14:paraId="6FC3D74D" w14:textId="519EA1B1" w:rsidR="008450DA" w:rsidRDefault="008450DA">
        <w:pPr>
          <w:pStyle w:val="Footer"/>
          <w:jc w:val="center"/>
        </w:pPr>
        <w:r>
          <w:fldChar w:fldCharType="begin"/>
        </w:r>
        <w:r>
          <w:instrText xml:space="preserve"> PAGE   \* MERGEFORMAT </w:instrText>
        </w:r>
        <w:r>
          <w:fldChar w:fldCharType="separate"/>
        </w:r>
        <w:r w:rsidR="00491104">
          <w:rPr>
            <w:noProof/>
          </w:rPr>
          <w:t>9</w:t>
        </w:r>
        <w:r>
          <w:rPr>
            <w:noProof/>
          </w:rPr>
          <w:fldChar w:fldCharType="end"/>
        </w:r>
      </w:p>
    </w:sdtContent>
  </w:sdt>
  <w:p w14:paraId="472788A1" w14:textId="77777777" w:rsidR="008450DA" w:rsidRDefault="00845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F5C54" w14:textId="77777777" w:rsidR="008450DA" w:rsidRDefault="008450DA" w:rsidP="007E6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89B5B" w14:textId="77777777" w:rsidR="00C10234" w:rsidRDefault="00C10234" w:rsidP="00242822">
      <w:pPr>
        <w:spacing w:after="0" w:line="240" w:lineRule="auto"/>
      </w:pPr>
      <w:r>
        <w:separator/>
      </w:r>
    </w:p>
  </w:footnote>
  <w:footnote w:type="continuationSeparator" w:id="0">
    <w:p w14:paraId="63C9E424" w14:textId="77777777" w:rsidR="00C10234" w:rsidRDefault="00C10234" w:rsidP="00242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795A1" w14:textId="77777777" w:rsidR="008450DA" w:rsidRDefault="008450DA" w:rsidP="000B6E68">
    <w:pPr>
      <w:spacing w:after="0" w:line="240" w:lineRule="auto"/>
      <w:jc w:val="right"/>
      <w:rPr>
        <w:rFonts w:ascii="Garamond" w:hAnsi="Garamond"/>
        <w:b/>
        <w:sz w:val="32"/>
        <w:szCs w:val="32"/>
      </w:rPr>
    </w:pPr>
  </w:p>
  <w:p w14:paraId="4E9996A6" w14:textId="77777777" w:rsidR="008450DA" w:rsidRDefault="008450DA" w:rsidP="000B6E68">
    <w:pPr>
      <w:spacing w:after="0" w:line="240" w:lineRule="auto"/>
      <w:jc w:val="right"/>
      <w:rPr>
        <w:rFonts w:ascii="Garamond" w:hAnsi="Garamond"/>
        <w:b/>
        <w:sz w:val="32"/>
        <w:szCs w:val="32"/>
      </w:rPr>
    </w:pPr>
  </w:p>
  <w:p w14:paraId="01340886" w14:textId="77777777" w:rsidR="008450DA" w:rsidRDefault="008450DA" w:rsidP="000B6E68">
    <w:pPr>
      <w:spacing w:after="0" w:line="240" w:lineRule="auto"/>
      <w:jc w:val="right"/>
      <w:rPr>
        <w:rFonts w:ascii="Garamond" w:hAnsi="Garamond"/>
        <w:b/>
        <w:sz w:val="32"/>
        <w:szCs w:val="32"/>
      </w:rPr>
    </w:pPr>
  </w:p>
  <w:p w14:paraId="2C2BEC2D" w14:textId="46854E9D" w:rsidR="008450DA" w:rsidRPr="000B6E68" w:rsidRDefault="008450DA" w:rsidP="000B6E68">
    <w:pPr>
      <w:spacing w:after="0" w:line="240" w:lineRule="auto"/>
      <w:jc w:val="right"/>
      <w:rPr>
        <w:rFonts w:ascii="Garamond" w:hAnsi="Garamond"/>
        <w:b/>
        <w:sz w:val="32"/>
        <w:szCs w:val="32"/>
      </w:rPr>
    </w:pPr>
    <w:r w:rsidRPr="000B6E68">
      <w:rPr>
        <w:rFonts w:ascii="Garamond" w:hAnsi="Garamond"/>
        <w:b/>
        <w:noProof/>
        <w:sz w:val="32"/>
        <w:szCs w:val="32"/>
      </w:rPr>
      <w:drawing>
        <wp:anchor distT="0" distB="0" distL="114300" distR="114300" simplePos="0" relativeHeight="251659264" behindDoc="1" locked="0" layoutInCell="1" allowOverlap="1" wp14:anchorId="1DB3611D" wp14:editId="0F729883">
          <wp:simplePos x="0" y="0"/>
          <wp:positionH relativeFrom="margin">
            <wp:align>left</wp:align>
          </wp:positionH>
          <wp:positionV relativeFrom="paragraph">
            <wp:posOffset>156238</wp:posOffset>
          </wp:positionV>
          <wp:extent cx="5924550" cy="6419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b/>
        <w:sz w:val="32"/>
        <w:szCs w:val="32"/>
      </w:rPr>
      <w:t>NASA DEVELOP National Program</w:t>
    </w:r>
  </w:p>
  <w:p w14:paraId="2C103C83" w14:textId="261E0096" w:rsidR="008450DA" w:rsidRPr="000B6E68" w:rsidRDefault="008450DA" w:rsidP="000B6E68">
    <w:pPr>
      <w:spacing w:after="0" w:line="240" w:lineRule="auto"/>
      <w:jc w:val="right"/>
      <w:rPr>
        <w:rFonts w:ascii="Garamond" w:hAnsi="Garamond"/>
        <w:b/>
        <w:sz w:val="32"/>
        <w:szCs w:val="32"/>
      </w:rPr>
    </w:pPr>
    <w:r>
      <w:rPr>
        <w:rFonts w:ascii="Garamond" w:hAnsi="Garamond"/>
        <w:b/>
        <w:sz w:val="32"/>
        <w:szCs w:val="32"/>
      </w:rPr>
      <w:t>Maryland – Goddard</w:t>
    </w:r>
  </w:p>
  <w:p w14:paraId="63FF4904" w14:textId="77777777" w:rsidR="008450DA" w:rsidRDefault="008450DA" w:rsidP="000B6E68">
    <w:pPr>
      <w:pStyle w:val="Header"/>
      <w:rPr>
        <w:rFonts w:ascii="Garamond" w:hAnsi="Garamond"/>
        <w:b/>
        <w:sz w:val="32"/>
        <w:szCs w:val="32"/>
      </w:rPr>
    </w:pPr>
  </w:p>
  <w:p w14:paraId="77B49D9A" w14:textId="459FA23F" w:rsidR="008450DA" w:rsidRPr="000B6E68" w:rsidRDefault="008450DA" w:rsidP="000B6E68">
    <w:pPr>
      <w:pStyle w:val="Header"/>
      <w:jc w:val="right"/>
      <w:rPr>
        <w:rFonts w:ascii="Garamond" w:hAnsi="Garamond"/>
        <w:i/>
        <w:sz w:val="32"/>
        <w:szCs w:val="32"/>
      </w:rPr>
    </w:pPr>
    <w:r>
      <w:rPr>
        <w:rFonts w:ascii="Garamond" w:hAnsi="Garamond"/>
        <w:i/>
        <w:sz w:val="32"/>
        <w:szCs w:val="32"/>
      </w:rPr>
      <w:t>Fall</w:t>
    </w:r>
    <w:r w:rsidRPr="000B6E68">
      <w:rPr>
        <w:rFonts w:ascii="Garamond" w:hAnsi="Garamond"/>
        <w:i/>
        <w:sz w:val="32"/>
        <w:szCs w:val="32"/>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2"/>
  </w:num>
  <w:num w:numId="4">
    <w:abstractNumId w:val="4"/>
  </w:num>
  <w:num w:numId="5">
    <w:abstractNumId w:val="5"/>
  </w:num>
  <w:num w:numId="6">
    <w:abstractNumId w:val="3"/>
  </w:num>
  <w:num w:numId="7">
    <w:abstractNumId w:val="10"/>
  </w:num>
  <w:num w:numId="8">
    <w:abstractNumId w:val="6"/>
  </w:num>
  <w:num w:numId="9">
    <w:abstractNumId w:val="9"/>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2szA3MTYyMTQxMDdR0lEKTi0uzszPAykwrgUAM7emXSwAAAA="/>
  </w:docVars>
  <w:rsids>
    <w:rsidRoot w:val="0041150E"/>
    <w:rsid w:val="000057A6"/>
    <w:rsid w:val="00014DAF"/>
    <w:rsid w:val="00030B13"/>
    <w:rsid w:val="000456D3"/>
    <w:rsid w:val="00047A34"/>
    <w:rsid w:val="000501ED"/>
    <w:rsid w:val="00054474"/>
    <w:rsid w:val="00086B7E"/>
    <w:rsid w:val="000B5CB1"/>
    <w:rsid w:val="000B6E68"/>
    <w:rsid w:val="000C58B8"/>
    <w:rsid w:val="000D79AC"/>
    <w:rsid w:val="000E6EFA"/>
    <w:rsid w:val="000F1545"/>
    <w:rsid w:val="000F1EE7"/>
    <w:rsid w:val="000F2ADA"/>
    <w:rsid w:val="00101280"/>
    <w:rsid w:val="00106FD6"/>
    <w:rsid w:val="001277EC"/>
    <w:rsid w:val="0014039E"/>
    <w:rsid w:val="0014286F"/>
    <w:rsid w:val="0015019B"/>
    <w:rsid w:val="001556CC"/>
    <w:rsid w:val="00163111"/>
    <w:rsid w:val="00163826"/>
    <w:rsid w:val="00171796"/>
    <w:rsid w:val="001821EB"/>
    <w:rsid w:val="001940BE"/>
    <w:rsid w:val="00194FE1"/>
    <w:rsid w:val="00195D23"/>
    <w:rsid w:val="001A67C2"/>
    <w:rsid w:val="001B05EA"/>
    <w:rsid w:val="001F1328"/>
    <w:rsid w:val="001F2623"/>
    <w:rsid w:val="00206AB6"/>
    <w:rsid w:val="00216413"/>
    <w:rsid w:val="0022176E"/>
    <w:rsid w:val="00221CE5"/>
    <w:rsid w:val="00234F37"/>
    <w:rsid w:val="0023574D"/>
    <w:rsid w:val="00242822"/>
    <w:rsid w:val="0029214C"/>
    <w:rsid w:val="00293F47"/>
    <w:rsid w:val="002A2D97"/>
    <w:rsid w:val="002A37F8"/>
    <w:rsid w:val="002B2BE4"/>
    <w:rsid w:val="002C28E6"/>
    <w:rsid w:val="002C4C2E"/>
    <w:rsid w:val="002D5F9B"/>
    <w:rsid w:val="002D6167"/>
    <w:rsid w:val="002F204B"/>
    <w:rsid w:val="00351D95"/>
    <w:rsid w:val="003531D4"/>
    <w:rsid w:val="00365ADD"/>
    <w:rsid w:val="00366BA2"/>
    <w:rsid w:val="003C4C33"/>
    <w:rsid w:val="003F39BF"/>
    <w:rsid w:val="0041150E"/>
    <w:rsid w:val="0041500B"/>
    <w:rsid w:val="00417A61"/>
    <w:rsid w:val="0043112E"/>
    <w:rsid w:val="00436E69"/>
    <w:rsid w:val="00447FBA"/>
    <w:rsid w:val="00451695"/>
    <w:rsid w:val="0046718E"/>
    <w:rsid w:val="00482519"/>
    <w:rsid w:val="00485E17"/>
    <w:rsid w:val="00485EA2"/>
    <w:rsid w:val="00491104"/>
    <w:rsid w:val="00494746"/>
    <w:rsid w:val="004951A9"/>
    <w:rsid w:val="004A2010"/>
    <w:rsid w:val="004C4352"/>
    <w:rsid w:val="004D19D3"/>
    <w:rsid w:val="004D7212"/>
    <w:rsid w:val="004E726C"/>
    <w:rsid w:val="004E730A"/>
    <w:rsid w:val="00524715"/>
    <w:rsid w:val="005418C9"/>
    <w:rsid w:val="00571F90"/>
    <w:rsid w:val="00583B86"/>
    <w:rsid w:val="005974B9"/>
    <w:rsid w:val="005A457F"/>
    <w:rsid w:val="005A5711"/>
    <w:rsid w:val="005B6AE3"/>
    <w:rsid w:val="005C05A6"/>
    <w:rsid w:val="005C723F"/>
    <w:rsid w:val="005E4C48"/>
    <w:rsid w:val="005F6AD4"/>
    <w:rsid w:val="006043FF"/>
    <w:rsid w:val="00615E3A"/>
    <w:rsid w:val="00621AB9"/>
    <w:rsid w:val="00623A1B"/>
    <w:rsid w:val="00624E1E"/>
    <w:rsid w:val="006306DB"/>
    <w:rsid w:val="00635691"/>
    <w:rsid w:val="00641237"/>
    <w:rsid w:val="0064280B"/>
    <w:rsid w:val="00646ACB"/>
    <w:rsid w:val="006528A0"/>
    <w:rsid w:val="0066075C"/>
    <w:rsid w:val="0066727D"/>
    <w:rsid w:val="006710B8"/>
    <w:rsid w:val="006822ED"/>
    <w:rsid w:val="00684FE5"/>
    <w:rsid w:val="006856F9"/>
    <w:rsid w:val="00694CD3"/>
    <w:rsid w:val="00695331"/>
    <w:rsid w:val="006A440C"/>
    <w:rsid w:val="006B6FAA"/>
    <w:rsid w:val="006C6154"/>
    <w:rsid w:val="006C7B8F"/>
    <w:rsid w:val="006D1A28"/>
    <w:rsid w:val="006D2F15"/>
    <w:rsid w:val="006E1497"/>
    <w:rsid w:val="006E2A1C"/>
    <w:rsid w:val="006E2B65"/>
    <w:rsid w:val="006F0FAB"/>
    <w:rsid w:val="006F55F3"/>
    <w:rsid w:val="00716586"/>
    <w:rsid w:val="00732B10"/>
    <w:rsid w:val="0073301D"/>
    <w:rsid w:val="00753B16"/>
    <w:rsid w:val="007566D3"/>
    <w:rsid w:val="00756C0F"/>
    <w:rsid w:val="00770650"/>
    <w:rsid w:val="00771691"/>
    <w:rsid w:val="007775D4"/>
    <w:rsid w:val="00781908"/>
    <w:rsid w:val="00793FBF"/>
    <w:rsid w:val="007D526C"/>
    <w:rsid w:val="007E508C"/>
    <w:rsid w:val="007E68B5"/>
    <w:rsid w:val="007F5769"/>
    <w:rsid w:val="007F6093"/>
    <w:rsid w:val="0081261B"/>
    <w:rsid w:val="0082401C"/>
    <w:rsid w:val="00824CC4"/>
    <w:rsid w:val="0083391E"/>
    <w:rsid w:val="00834AC7"/>
    <w:rsid w:val="00840556"/>
    <w:rsid w:val="008450DA"/>
    <w:rsid w:val="00855532"/>
    <w:rsid w:val="00865A53"/>
    <w:rsid w:val="00870E95"/>
    <w:rsid w:val="00872A13"/>
    <w:rsid w:val="008741CE"/>
    <w:rsid w:val="0088672F"/>
    <w:rsid w:val="008921B2"/>
    <w:rsid w:val="008975BD"/>
    <w:rsid w:val="008B7071"/>
    <w:rsid w:val="008C0234"/>
    <w:rsid w:val="008C7380"/>
    <w:rsid w:val="008E5453"/>
    <w:rsid w:val="0091079C"/>
    <w:rsid w:val="00916AAB"/>
    <w:rsid w:val="009228EC"/>
    <w:rsid w:val="00933965"/>
    <w:rsid w:val="00935394"/>
    <w:rsid w:val="00943868"/>
    <w:rsid w:val="00981D6C"/>
    <w:rsid w:val="009830D6"/>
    <w:rsid w:val="009951FD"/>
    <w:rsid w:val="009A09A7"/>
    <w:rsid w:val="009A19B3"/>
    <w:rsid w:val="009A20C2"/>
    <w:rsid w:val="009A20ED"/>
    <w:rsid w:val="009A38ED"/>
    <w:rsid w:val="009A4203"/>
    <w:rsid w:val="009A5F2A"/>
    <w:rsid w:val="009A6617"/>
    <w:rsid w:val="009B0301"/>
    <w:rsid w:val="009B07CF"/>
    <w:rsid w:val="009F5966"/>
    <w:rsid w:val="009F5B6F"/>
    <w:rsid w:val="009F60A9"/>
    <w:rsid w:val="00A11DB7"/>
    <w:rsid w:val="00A12C21"/>
    <w:rsid w:val="00A212CE"/>
    <w:rsid w:val="00A2773A"/>
    <w:rsid w:val="00A402E2"/>
    <w:rsid w:val="00A43059"/>
    <w:rsid w:val="00A44FFF"/>
    <w:rsid w:val="00A60645"/>
    <w:rsid w:val="00AB12D0"/>
    <w:rsid w:val="00AD5D0D"/>
    <w:rsid w:val="00B1778F"/>
    <w:rsid w:val="00B2307C"/>
    <w:rsid w:val="00B24E61"/>
    <w:rsid w:val="00B265D9"/>
    <w:rsid w:val="00B3322E"/>
    <w:rsid w:val="00B365F0"/>
    <w:rsid w:val="00B41445"/>
    <w:rsid w:val="00B468A3"/>
    <w:rsid w:val="00B64CCF"/>
    <w:rsid w:val="00B8208C"/>
    <w:rsid w:val="00BA41F7"/>
    <w:rsid w:val="00BB1B7B"/>
    <w:rsid w:val="00BB78A4"/>
    <w:rsid w:val="00BC113C"/>
    <w:rsid w:val="00BD1A87"/>
    <w:rsid w:val="00C10234"/>
    <w:rsid w:val="00C15E9C"/>
    <w:rsid w:val="00C3045C"/>
    <w:rsid w:val="00C45088"/>
    <w:rsid w:val="00C46DF0"/>
    <w:rsid w:val="00C5240D"/>
    <w:rsid w:val="00C60F7D"/>
    <w:rsid w:val="00C82473"/>
    <w:rsid w:val="00C86E0B"/>
    <w:rsid w:val="00CB1C0F"/>
    <w:rsid w:val="00CB7AFE"/>
    <w:rsid w:val="00CD092A"/>
    <w:rsid w:val="00CE7909"/>
    <w:rsid w:val="00CF17F8"/>
    <w:rsid w:val="00CF6083"/>
    <w:rsid w:val="00D06507"/>
    <w:rsid w:val="00D1374C"/>
    <w:rsid w:val="00D3013B"/>
    <w:rsid w:val="00D41203"/>
    <w:rsid w:val="00D41B46"/>
    <w:rsid w:val="00D523CD"/>
    <w:rsid w:val="00D7644D"/>
    <w:rsid w:val="00D83A73"/>
    <w:rsid w:val="00D93A21"/>
    <w:rsid w:val="00DA3AA4"/>
    <w:rsid w:val="00DA5145"/>
    <w:rsid w:val="00DA7B77"/>
    <w:rsid w:val="00DA7F96"/>
    <w:rsid w:val="00DB7FD2"/>
    <w:rsid w:val="00DD136C"/>
    <w:rsid w:val="00E00E6B"/>
    <w:rsid w:val="00E01F63"/>
    <w:rsid w:val="00E02B08"/>
    <w:rsid w:val="00E03B8E"/>
    <w:rsid w:val="00E40B9D"/>
    <w:rsid w:val="00E41324"/>
    <w:rsid w:val="00E43BB7"/>
    <w:rsid w:val="00E578D6"/>
    <w:rsid w:val="00E6105B"/>
    <w:rsid w:val="00E64FEA"/>
    <w:rsid w:val="00E74845"/>
    <w:rsid w:val="00E75D54"/>
    <w:rsid w:val="00E91B1A"/>
    <w:rsid w:val="00EB1428"/>
    <w:rsid w:val="00ED4EBF"/>
    <w:rsid w:val="00F24FCE"/>
    <w:rsid w:val="00F37B0F"/>
    <w:rsid w:val="00F54C5E"/>
    <w:rsid w:val="00F73F9E"/>
    <w:rsid w:val="00F85D9B"/>
    <w:rsid w:val="00FB2F9A"/>
    <w:rsid w:val="00FB5846"/>
    <w:rsid w:val="00FB7A35"/>
    <w:rsid w:val="00FC670A"/>
    <w:rsid w:val="00FD2E28"/>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DC84104-CC61-444E-BA90-49BFA5CB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E5453"/>
    <w:pPr>
      <w:spacing w:line="240" w:lineRule="auto"/>
    </w:pPr>
    <w:rPr>
      <w:i/>
      <w:iCs/>
      <w:color w:val="1F497D" w:themeColor="text2"/>
      <w:sz w:val="18"/>
      <w:szCs w:val="18"/>
    </w:rPr>
  </w:style>
  <w:style w:type="paragraph" w:styleId="NormalWeb">
    <w:name w:val="Normal (Web)"/>
    <w:basedOn w:val="Normal"/>
    <w:uiPriority w:val="99"/>
    <w:unhideWhenUsed/>
    <w:rsid w:val="00C5240D"/>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85E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6270">
      <w:bodyDiv w:val="1"/>
      <w:marLeft w:val="0"/>
      <w:marRight w:val="0"/>
      <w:marTop w:val="0"/>
      <w:marBottom w:val="0"/>
      <w:divBdr>
        <w:top w:val="none" w:sz="0" w:space="0" w:color="auto"/>
        <w:left w:val="none" w:sz="0" w:space="0" w:color="auto"/>
        <w:bottom w:val="none" w:sz="0" w:space="0" w:color="auto"/>
        <w:right w:val="none" w:sz="0" w:space="0" w:color="auto"/>
      </w:divBdr>
      <w:divsChild>
        <w:div w:id="2012099462">
          <w:marLeft w:val="0"/>
          <w:marRight w:val="0"/>
          <w:marTop w:val="0"/>
          <w:marBottom w:val="0"/>
          <w:divBdr>
            <w:top w:val="none" w:sz="0" w:space="0" w:color="auto"/>
            <w:left w:val="none" w:sz="0" w:space="0" w:color="auto"/>
            <w:bottom w:val="none" w:sz="0" w:space="0" w:color="auto"/>
            <w:right w:val="none" w:sz="0" w:space="0" w:color="auto"/>
          </w:divBdr>
        </w:div>
        <w:div w:id="622539699">
          <w:marLeft w:val="0"/>
          <w:marRight w:val="0"/>
          <w:marTop w:val="0"/>
          <w:marBottom w:val="0"/>
          <w:divBdr>
            <w:top w:val="none" w:sz="0" w:space="0" w:color="auto"/>
            <w:left w:val="none" w:sz="0" w:space="0" w:color="auto"/>
            <w:bottom w:val="none" w:sz="0" w:space="0" w:color="auto"/>
            <w:right w:val="none" w:sz="0" w:space="0" w:color="auto"/>
          </w:divBdr>
        </w:div>
        <w:div w:id="55784167">
          <w:marLeft w:val="0"/>
          <w:marRight w:val="0"/>
          <w:marTop w:val="0"/>
          <w:marBottom w:val="0"/>
          <w:divBdr>
            <w:top w:val="none" w:sz="0" w:space="0" w:color="auto"/>
            <w:left w:val="none" w:sz="0" w:space="0" w:color="auto"/>
            <w:bottom w:val="none" w:sz="0" w:space="0" w:color="auto"/>
            <w:right w:val="none" w:sz="0" w:space="0" w:color="auto"/>
          </w:divBdr>
        </w:div>
        <w:div w:id="612592127">
          <w:marLeft w:val="0"/>
          <w:marRight w:val="0"/>
          <w:marTop w:val="0"/>
          <w:marBottom w:val="0"/>
          <w:divBdr>
            <w:top w:val="none" w:sz="0" w:space="0" w:color="auto"/>
            <w:left w:val="none" w:sz="0" w:space="0" w:color="auto"/>
            <w:bottom w:val="none" w:sz="0" w:space="0" w:color="auto"/>
            <w:right w:val="none" w:sz="0" w:space="0" w:color="auto"/>
          </w:divBdr>
        </w:div>
      </w:divsChild>
    </w:div>
    <w:div w:id="44453686">
      <w:bodyDiv w:val="1"/>
      <w:marLeft w:val="0"/>
      <w:marRight w:val="0"/>
      <w:marTop w:val="0"/>
      <w:marBottom w:val="0"/>
      <w:divBdr>
        <w:top w:val="none" w:sz="0" w:space="0" w:color="auto"/>
        <w:left w:val="none" w:sz="0" w:space="0" w:color="auto"/>
        <w:bottom w:val="none" w:sz="0" w:space="0" w:color="auto"/>
        <w:right w:val="none" w:sz="0" w:space="0" w:color="auto"/>
      </w:divBdr>
    </w:div>
    <w:div w:id="46691417">
      <w:bodyDiv w:val="1"/>
      <w:marLeft w:val="0"/>
      <w:marRight w:val="0"/>
      <w:marTop w:val="0"/>
      <w:marBottom w:val="0"/>
      <w:divBdr>
        <w:top w:val="none" w:sz="0" w:space="0" w:color="auto"/>
        <w:left w:val="none" w:sz="0" w:space="0" w:color="auto"/>
        <w:bottom w:val="none" w:sz="0" w:space="0" w:color="auto"/>
        <w:right w:val="none" w:sz="0" w:space="0" w:color="auto"/>
      </w:divBdr>
    </w:div>
    <w:div w:id="55710795">
      <w:bodyDiv w:val="1"/>
      <w:marLeft w:val="0"/>
      <w:marRight w:val="0"/>
      <w:marTop w:val="0"/>
      <w:marBottom w:val="0"/>
      <w:divBdr>
        <w:top w:val="none" w:sz="0" w:space="0" w:color="auto"/>
        <w:left w:val="none" w:sz="0" w:space="0" w:color="auto"/>
        <w:bottom w:val="none" w:sz="0" w:space="0" w:color="auto"/>
        <w:right w:val="none" w:sz="0" w:space="0" w:color="auto"/>
      </w:divBdr>
    </w:div>
    <w:div w:id="68620432">
      <w:bodyDiv w:val="1"/>
      <w:marLeft w:val="0"/>
      <w:marRight w:val="0"/>
      <w:marTop w:val="0"/>
      <w:marBottom w:val="0"/>
      <w:divBdr>
        <w:top w:val="none" w:sz="0" w:space="0" w:color="auto"/>
        <w:left w:val="none" w:sz="0" w:space="0" w:color="auto"/>
        <w:bottom w:val="none" w:sz="0" w:space="0" w:color="auto"/>
        <w:right w:val="none" w:sz="0" w:space="0" w:color="auto"/>
      </w:divBdr>
    </w:div>
    <w:div w:id="102196085">
      <w:bodyDiv w:val="1"/>
      <w:marLeft w:val="0"/>
      <w:marRight w:val="0"/>
      <w:marTop w:val="0"/>
      <w:marBottom w:val="0"/>
      <w:divBdr>
        <w:top w:val="none" w:sz="0" w:space="0" w:color="auto"/>
        <w:left w:val="none" w:sz="0" w:space="0" w:color="auto"/>
        <w:bottom w:val="none" w:sz="0" w:space="0" w:color="auto"/>
        <w:right w:val="none" w:sz="0" w:space="0" w:color="auto"/>
      </w:divBdr>
    </w:div>
    <w:div w:id="107742296">
      <w:bodyDiv w:val="1"/>
      <w:marLeft w:val="0"/>
      <w:marRight w:val="0"/>
      <w:marTop w:val="0"/>
      <w:marBottom w:val="0"/>
      <w:divBdr>
        <w:top w:val="none" w:sz="0" w:space="0" w:color="auto"/>
        <w:left w:val="none" w:sz="0" w:space="0" w:color="auto"/>
        <w:bottom w:val="none" w:sz="0" w:space="0" w:color="auto"/>
        <w:right w:val="none" w:sz="0" w:space="0" w:color="auto"/>
      </w:divBdr>
    </w:div>
    <w:div w:id="248394303">
      <w:bodyDiv w:val="1"/>
      <w:marLeft w:val="0"/>
      <w:marRight w:val="0"/>
      <w:marTop w:val="0"/>
      <w:marBottom w:val="0"/>
      <w:divBdr>
        <w:top w:val="none" w:sz="0" w:space="0" w:color="auto"/>
        <w:left w:val="none" w:sz="0" w:space="0" w:color="auto"/>
        <w:bottom w:val="none" w:sz="0" w:space="0" w:color="auto"/>
        <w:right w:val="none" w:sz="0" w:space="0" w:color="auto"/>
      </w:divBdr>
    </w:div>
    <w:div w:id="276645973">
      <w:bodyDiv w:val="1"/>
      <w:marLeft w:val="0"/>
      <w:marRight w:val="0"/>
      <w:marTop w:val="0"/>
      <w:marBottom w:val="0"/>
      <w:divBdr>
        <w:top w:val="none" w:sz="0" w:space="0" w:color="auto"/>
        <w:left w:val="none" w:sz="0" w:space="0" w:color="auto"/>
        <w:bottom w:val="none" w:sz="0" w:space="0" w:color="auto"/>
        <w:right w:val="none" w:sz="0" w:space="0" w:color="auto"/>
      </w:divBdr>
    </w:div>
    <w:div w:id="299573181">
      <w:bodyDiv w:val="1"/>
      <w:marLeft w:val="0"/>
      <w:marRight w:val="0"/>
      <w:marTop w:val="0"/>
      <w:marBottom w:val="0"/>
      <w:divBdr>
        <w:top w:val="none" w:sz="0" w:space="0" w:color="auto"/>
        <w:left w:val="none" w:sz="0" w:space="0" w:color="auto"/>
        <w:bottom w:val="none" w:sz="0" w:space="0" w:color="auto"/>
        <w:right w:val="none" w:sz="0" w:space="0" w:color="auto"/>
      </w:divBdr>
    </w:div>
    <w:div w:id="304361773">
      <w:bodyDiv w:val="1"/>
      <w:marLeft w:val="0"/>
      <w:marRight w:val="0"/>
      <w:marTop w:val="0"/>
      <w:marBottom w:val="0"/>
      <w:divBdr>
        <w:top w:val="none" w:sz="0" w:space="0" w:color="auto"/>
        <w:left w:val="none" w:sz="0" w:space="0" w:color="auto"/>
        <w:bottom w:val="none" w:sz="0" w:space="0" w:color="auto"/>
        <w:right w:val="none" w:sz="0" w:space="0" w:color="auto"/>
      </w:divBdr>
      <w:divsChild>
        <w:div w:id="260915820">
          <w:marLeft w:val="0"/>
          <w:marRight w:val="0"/>
          <w:marTop w:val="0"/>
          <w:marBottom w:val="0"/>
          <w:divBdr>
            <w:top w:val="none" w:sz="0" w:space="0" w:color="auto"/>
            <w:left w:val="none" w:sz="0" w:space="0" w:color="auto"/>
            <w:bottom w:val="none" w:sz="0" w:space="0" w:color="auto"/>
            <w:right w:val="none" w:sz="0" w:space="0" w:color="auto"/>
          </w:divBdr>
        </w:div>
        <w:div w:id="1561869863">
          <w:marLeft w:val="0"/>
          <w:marRight w:val="0"/>
          <w:marTop w:val="0"/>
          <w:marBottom w:val="0"/>
          <w:divBdr>
            <w:top w:val="none" w:sz="0" w:space="0" w:color="auto"/>
            <w:left w:val="none" w:sz="0" w:space="0" w:color="auto"/>
            <w:bottom w:val="none" w:sz="0" w:space="0" w:color="auto"/>
            <w:right w:val="none" w:sz="0" w:space="0" w:color="auto"/>
          </w:divBdr>
        </w:div>
        <w:div w:id="1417704625">
          <w:marLeft w:val="0"/>
          <w:marRight w:val="0"/>
          <w:marTop w:val="0"/>
          <w:marBottom w:val="0"/>
          <w:divBdr>
            <w:top w:val="none" w:sz="0" w:space="0" w:color="auto"/>
            <w:left w:val="none" w:sz="0" w:space="0" w:color="auto"/>
            <w:bottom w:val="none" w:sz="0" w:space="0" w:color="auto"/>
            <w:right w:val="none" w:sz="0" w:space="0" w:color="auto"/>
          </w:divBdr>
        </w:div>
        <w:div w:id="4794391">
          <w:marLeft w:val="0"/>
          <w:marRight w:val="0"/>
          <w:marTop w:val="0"/>
          <w:marBottom w:val="0"/>
          <w:divBdr>
            <w:top w:val="none" w:sz="0" w:space="0" w:color="auto"/>
            <w:left w:val="none" w:sz="0" w:space="0" w:color="auto"/>
            <w:bottom w:val="none" w:sz="0" w:space="0" w:color="auto"/>
            <w:right w:val="none" w:sz="0" w:space="0" w:color="auto"/>
          </w:divBdr>
        </w:div>
      </w:divsChild>
    </w:div>
    <w:div w:id="344091845">
      <w:bodyDiv w:val="1"/>
      <w:marLeft w:val="0"/>
      <w:marRight w:val="0"/>
      <w:marTop w:val="0"/>
      <w:marBottom w:val="0"/>
      <w:divBdr>
        <w:top w:val="none" w:sz="0" w:space="0" w:color="auto"/>
        <w:left w:val="none" w:sz="0" w:space="0" w:color="auto"/>
        <w:bottom w:val="none" w:sz="0" w:space="0" w:color="auto"/>
        <w:right w:val="none" w:sz="0" w:space="0" w:color="auto"/>
      </w:divBdr>
    </w:div>
    <w:div w:id="490367678">
      <w:bodyDiv w:val="1"/>
      <w:marLeft w:val="0"/>
      <w:marRight w:val="0"/>
      <w:marTop w:val="0"/>
      <w:marBottom w:val="0"/>
      <w:divBdr>
        <w:top w:val="none" w:sz="0" w:space="0" w:color="auto"/>
        <w:left w:val="none" w:sz="0" w:space="0" w:color="auto"/>
        <w:bottom w:val="none" w:sz="0" w:space="0" w:color="auto"/>
        <w:right w:val="none" w:sz="0" w:space="0" w:color="auto"/>
      </w:divBdr>
    </w:div>
    <w:div w:id="520239208">
      <w:bodyDiv w:val="1"/>
      <w:marLeft w:val="0"/>
      <w:marRight w:val="0"/>
      <w:marTop w:val="0"/>
      <w:marBottom w:val="0"/>
      <w:divBdr>
        <w:top w:val="none" w:sz="0" w:space="0" w:color="auto"/>
        <w:left w:val="none" w:sz="0" w:space="0" w:color="auto"/>
        <w:bottom w:val="none" w:sz="0" w:space="0" w:color="auto"/>
        <w:right w:val="none" w:sz="0" w:space="0" w:color="auto"/>
      </w:divBdr>
    </w:div>
    <w:div w:id="548221949">
      <w:bodyDiv w:val="1"/>
      <w:marLeft w:val="0"/>
      <w:marRight w:val="0"/>
      <w:marTop w:val="0"/>
      <w:marBottom w:val="0"/>
      <w:divBdr>
        <w:top w:val="none" w:sz="0" w:space="0" w:color="auto"/>
        <w:left w:val="none" w:sz="0" w:space="0" w:color="auto"/>
        <w:bottom w:val="none" w:sz="0" w:space="0" w:color="auto"/>
        <w:right w:val="none" w:sz="0" w:space="0" w:color="auto"/>
      </w:divBdr>
    </w:div>
    <w:div w:id="639654018">
      <w:bodyDiv w:val="1"/>
      <w:marLeft w:val="0"/>
      <w:marRight w:val="0"/>
      <w:marTop w:val="0"/>
      <w:marBottom w:val="0"/>
      <w:divBdr>
        <w:top w:val="none" w:sz="0" w:space="0" w:color="auto"/>
        <w:left w:val="none" w:sz="0" w:space="0" w:color="auto"/>
        <w:bottom w:val="none" w:sz="0" w:space="0" w:color="auto"/>
        <w:right w:val="none" w:sz="0" w:space="0" w:color="auto"/>
      </w:divBdr>
    </w:div>
    <w:div w:id="758411955">
      <w:bodyDiv w:val="1"/>
      <w:marLeft w:val="0"/>
      <w:marRight w:val="0"/>
      <w:marTop w:val="0"/>
      <w:marBottom w:val="0"/>
      <w:divBdr>
        <w:top w:val="none" w:sz="0" w:space="0" w:color="auto"/>
        <w:left w:val="none" w:sz="0" w:space="0" w:color="auto"/>
        <w:bottom w:val="none" w:sz="0" w:space="0" w:color="auto"/>
        <w:right w:val="none" w:sz="0" w:space="0" w:color="auto"/>
      </w:divBdr>
      <w:divsChild>
        <w:div w:id="390349229">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890920986">
      <w:bodyDiv w:val="1"/>
      <w:marLeft w:val="0"/>
      <w:marRight w:val="0"/>
      <w:marTop w:val="0"/>
      <w:marBottom w:val="0"/>
      <w:divBdr>
        <w:top w:val="none" w:sz="0" w:space="0" w:color="auto"/>
        <w:left w:val="none" w:sz="0" w:space="0" w:color="auto"/>
        <w:bottom w:val="none" w:sz="0" w:space="0" w:color="auto"/>
        <w:right w:val="none" w:sz="0" w:space="0" w:color="auto"/>
      </w:divBdr>
    </w:div>
    <w:div w:id="913931570">
      <w:bodyDiv w:val="1"/>
      <w:marLeft w:val="0"/>
      <w:marRight w:val="0"/>
      <w:marTop w:val="0"/>
      <w:marBottom w:val="0"/>
      <w:divBdr>
        <w:top w:val="none" w:sz="0" w:space="0" w:color="auto"/>
        <w:left w:val="none" w:sz="0" w:space="0" w:color="auto"/>
        <w:bottom w:val="none" w:sz="0" w:space="0" w:color="auto"/>
        <w:right w:val="none" w:sz="0" w:space="0" w:color="auto"/>
      </w:divBdr>
      <w:divsChild>
        <w:div w:id="404036898">
          <w:marLeft w:val="-100"/>
          <w:marRight w:val="0"/>
          <w:marTop w:val="0"/>
          <w:marBottom w:val="0"/>
          <w:divBdr>
            <w:top w:val="none" w:sz="0" w:space="0" w:color="auto"/>
            <w:left w:val="none" w:sz="0" w:space="0" w:color="auto"/>
            <w:bottom w:val="none" w:sz="0" w:space="0" w:color="auto"/>
            <w:right w:val="none" w:sz="0" w:space="0" w:color="auto"/>
          </w:divBdr>
        </w:div>
      </w:divsChild>
    </w:div>
    <w:div w:id="1017973790">
      <w:bodyDiv w:val="1"/>
      <w:marLeft w:val="0"/>
      <w:marRight w:val="0"/>
      <w:marTop w:val="0"/>
      <w:marBottom w:val="0"/>
      <w:divBdr>
        <w:top w:val="none" w:sz="0" w:space="0" w:color="auto"/>
        <w:left w:val="none" w:sz="0" w:space="0" w:color="auto"/>
        <w:bottom w:val="none" w:sz="0" w:space="0" w:color="auto"/>
        <w:right w:val="none" w:sz="0" w:space="0" w:color="auto"/>
      </w:divBdr>
      <w:divsChild>
        <w:div w:id="1367755209">
          <w:marLeft w:val="0"/>
          <w:marRight w:val="0"/>
          <w:marTop w:val="0"/>
          <w:marBottom w:val="0"/>
          <w:divBdr>
            <w:top w:val="none" w:sz="0" w:space="0" w:color="auto"/>
            <w:left w:val="none" w:sz="0" w:space="0" w:color="auto"/>
            <w:bottom w:val="none" w:sz="0" w:space="0" w:color="auto"/>
            <w:right w:val="none" w:sz="0" w:space="0" w:color="auto"/>
          </w:divBdr>
        </w:div>
      </w:divsChild>
    </w:div>
    <w:div w:id="1140804159">
      <w:bodyDiv w:val="1"/>
      <w:marLeft w:val="0"/>
      <w:marRight w:val="0"/>
      <w:marTop w:val="0"/>
      <w:marBottom w:val="0"/>
      <w:divBdr>
        <w:top w:val="none" w:sz="0" w:space="0" w:color="auto"/>
        <w:left w:val="none" w:sz="0" w:space="0" w:color="auto"/>
        <w:bottom w:val="none" w:sz="0" w:space="0" w:color="auto"/>
        <w:right w:val="none" w:sz="0" w:space="0" w:color="auto"/>
      </w:divBdr>
    </w:div>
    <w:div w:id="1181898368">
      <w:bodyDiv w:val="1"/>
      <w:marLeft w:val="0"/>
      <w:marRight w:val="0"/>
      <w:marTop w:val="0"/>
      <w:marBottom w:val="0"/>
      <w:divBdr>
        <w:top w:val="none" w:sz="0" w:space="0" w:color="auto"/>
        <w:left w:val="none" w:sz="0" w:space="0" w:color="auto"/>
        <w:bottom w:val="none" w:sz="0" w:space="0" w:color="auto"/>
        <w:right w:val="none" w:sz="0" w:space="0" w:color="auto"/>
      </w:divBdr>
    </w:div>
    <w:div w:id="1193571288">
      <w:bodyDiv w:val="1"/>
      <w:marLeft w:val="0"/>
      <w:marRight w:val="0"/>
      <w:marTop w:val="0"/>
      <w:marBottom w:val="0"/>
      <w:divBdr>
        <w:top w:val="none" w:sz="0" w:space="0" w:color="auto"/>
        <w:left w:val="none" w:sz="0" w:space="0" w:color="auto"/>
        <w:bottom w:val="none" w:sz="0" w:space="0" w:color="auto"/>
        <w:right w:val="none" w:sz="0" w:space="0" w:color="auto"/>
      </w:divBdr>
    </w:div>
    <w:div w:id="1194265982">
      <w:bodyDiv w:val="1"/>
      <w:marLeft w:val="0"/>
      <w:marRight w:val="0"/>
      <w:marTop w:val="0"/>
      <w:marBottom w:val="0"/>
      <w:divBdr>
        <w:top w:val="none" w:sz="0" w:space="0" w:color="auto"/>
        <w:left w:val="none" w:sz="0" w:space="0" w:color="auto"/>
        <w:bottom w:val="none" w:sz="0" w:space="0" w:color="auto"/>
        <w:right w:val="none" w:sz="0" w:space="0" w:color="auto"/>
      </w:divBdr>
    </w:div>
    <w:div w:id="1199514124">
      <w:bodyDiv w:val="1"/>
      <w:marLeft w:val="0"/>
      <w:marRight w:val="0"/>
      <w:marTop w:val="0"/>
      <w:marBottom w:val="0"/>
      <w:divBdr>
        <w:top w:val="none" w:sz="0" w:space="0" w:color="auto"/>
        <w:left w:val="none" w:sz="0" w:space="0" w:color="auto"/>
        <w:bottom w:val="none" w:sz="0" w:space="0" w:color="auto"/>
        <w:right w:val="none" w:sz="0" w:space="0" w:color="auto"/>
      </w:divBdr>
    </w:div>
    <w:div w:id="1263294810">
      <w:bodyDiv w:val="1"/>
      <w:marLeft w:val="0"/>
      <w:marRight w:val="0"/>
      <w:marTop w:val="0"/>
      <w:marBottom w:val="0"/>
      <w:divBdr>
        <w:top w:val="none" w:sz="0" w:space="0" w:color="auto"/>
        <w:left w:val="none" w:sz="0" w:space="0" w:color="auto"/>
        <w:bottom w:val="none" w:sz="0" w:space="0" w:color="auto"/>
        <w:right w:val="none" w:sz="0" w:space="0" w:color="auto"/>
      </w:divBdr>
    </w:div>
    <w:div w:id="1379818392">
      <w:bodyDiv w:val="1"/>
      <w:marLeft w:val="0"/>
      <w:marRight w:val="0"/>
      <w:marTop w:val="0"/>
      <w:marBottom w:val="0"/>
      <w:divBdr>
        <w:top w:val="none" w:sz="0" w:space="0" w:color="auto"/>
        <w:left w:val="none" w:sz="0" w:space="0" w:color="auto"/>
        <w:bottom w:val="none" w:sz="0" w:space="0" w:color="auto"/>
        <w:right w:val="none" w:sz="0" w:space="0" w:color="auto"/>
      </w:divBdr>
    </w:div>
    <w:div w:id="1416786596">
      <w:bodyDiv w:val="1"/>
      <w:marLeft w:val="0"/>
      <w:marRight w:val="0"/>
      <w:marTop w:val="0"/>
      <w:marBottom w:val="0"/>
      <w:divBdr>
        <w:top w:val="none" w:sz="0" w:space="0" w:color="auto"/>
        <w:left w:val="none" w:sz="0" w:space="0" w:color="auto"/>
        <w:bottom w:val="none" w:sz="0" w:space="0" w:color="auto"/>
        <w:right w:val="none" w:sz="0" w:space="0" w:color="auto"/>
      </w:divBdr>
      <w:divsChild>
        <w:div w:id="771559711">
          <w:marLeft w:val="0"/>
          <w:marRight w:val="0"/>
          <w:marTop w:val="0"/>
          <w:marBottom w:val="0"/>
          <w:divBdr>
            <w:top w:val="none" w:sz="0" w:space="0" w:color="auto"/>
            <w:left w:val="none" w:sz="0" w:space="0" w:color="auto"/>
            <w:bottom w:val="none" w:sz="0" w:space="0" w:color="auto"/>
            <w:right w:val="none" w:sz="0" w:space="0" w:color="auto"/>
          </w:divBdr>
        </w:div>
      </w:divsChild>
    </w:div>
    <w:div w:id="1499811563">
      <w:bodyDiv w:val="1"/>
      <w:marLeft w:val="0"/>
      <w:marRight w:val="0"/>
      <w:marTop w:val="0"/>
      <w:marBottom w:val="0"/>
      <w:divBdr>
        <w:top w:val="none" w:sz="0" w:space="0" w:color="auto"/>
        <w:left w:val="none" w:sz="0" w:space="0" w:color="auto"/>
        <w:bottom w:val="none" w:sz="0" w:space="0" w:color="auto"/>
        <w:right w:val="none" w:sz="0" w:space="0" w:color="auto"/>
      </w:divBdr>
    </w:div>
    <w:div w:id="1546407135">
      <w:bodyDiv w:val="1"/>
      <w:marLeft w:val="0"/>
      <w:marRight w:val="0"/>
      <w:marTop w:val="0"/>
      <w:marBottom w:val="0"/>
      <w:divBdr>
        <w:top w:val="none" w:sz="0" w:space="0" w:color="auto"/>
        <w:left w:val="none" w:sz="0" w:space="0" w:color="auto"/>
        <w:bottom w:val="none" w:sz="0" w:space="0" w:color="auto"/>
        <w:right w:val="none" w:sz="0" w:space="0" w:color="auto"/>
      </w:divBdr>
    </w:div>
    <w:div w:id="1578399372">
      <w:bodyDiv w:val="1"/>
      <w:marLeft w:val="0"/>
      <w:marRight w:val="0"/>
      <w:marTop w:val="0"/>
      <w:marBottom w:val="0"/>
      <w:divBdr>
        <w:top w:val="none" w:sz="0" w:space="0" w:color="auto"/>
        <w:left w:val="none" w:sz="0" w:space="0" w:color="auto"/>
        <w:bottom w:val="none" w:sz="0" w:space="0" w:color="auto"/>
        <w:right w:val="none" w:sz="0" w:space="0" w:color="auto"/>
      </w:divBdr>
    </w:div>
    <w:div w:id="1590380895">
      <w:bodyDiv w:val="1"/>
      <w:marLeft w:val="0"/>
      <w:marRight w:val="0"/>
      <w:marTop w:val="0"/>
      <w:marBottom w:val="0"/>
      <w:divBdr>
        <w:top w:val="none" w:sz="0" w:space="0" w:color="auto"/>
        <w:left w:val="none" w:sz="0" w:space="0" w:color="auto"/>
        <w:bottom w:val="none" w:sz="0" w:space="0" w:color="auto"/>
        <w:right w:val="none" w:sz="0" w:space="0" w:color="auto"/>
      </w:divBdr>
    </w:div>
    <w:div w:id="1604915205">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 w:id="1770735357">
      <w:bodyDiv w:val="1"/>
      <w:marLeft w:val="0"/>
      <w:marRight w:val="0"/>
      <w:marTop w:val="0"/>
      <w:marBottom w:val="0"/>
      <w:divBdr>
        <w:top w:val="none" w:sz="0" w:space="0" w:color="auto"/>
        <w:left w:val="none" w:sz="0" w:space="0" w:color="auto"/>
        <w:bottom w:val="none" w:sz="0" w:space="0" w:color="auto"/>
        <w:right w:val="none" w:sz="0" w:space="0" w:color="auto"/>
      </w:divBdr>
    </w:div>
    <w:div w:id="1855074987">
      <w:bodyDiv w:val="1"/>
      <w:marLeft w:val="0"/>
      <w:marRight w:val="0"/>
      <w:marTop w:val="0"/>
      <w:marBottom w:val="0"/>
      <w:divBdr>
        <w:top w:val="none" w:sz="0" w:space="0" w:color="auto"/>
        <w:left w:val="none" w:sz="0" w:space="0" w:color="auto"/>
        <w:bottom w:val="none" w:sz="0" w:space="0" w:color="auto"/>
        <w:right w:val="none" w:sz="0" w:space="0" w:color="auto"/>
      </w:divBdr>
    </w:div>
    <w:div w:id="1941834240">
      <w:bodyDiv w:val="1"/>
      <w:marLeft w:val="0"/>
      <w:marRight w:val="0"/>
      <w:marTop w:val="0"/>
      <w:marBottom w:val="0"/>
      <w:divBdr>
        <w:top w:val="none" w:sz="0" w:space="0" w:color="auto"/>
        <w:left w:val="none" w:sz="0" w:space="0" w:color="auto"/>
        <w:bottom w:val="none" w:sz="0" w:space="0" w:color="auto"/>
        <w:right w:val="none" w:sz="0" w:space="0" w:color="auto"/>
      </w:divBdr>
    </w:div>
    <w:div w:id="21202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48E8D-80E8-4702-BB9A-E99FA617F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4122</Words>
  <Characters>23502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Clayton, Amanda L. (LARC-E3)[SSAI DEVELOP]</cp:lastModifiedBy>
  <cp:revision>3</cp:revision>
  <cp:lastPrinted>2017-01-19T21:17:00Z</cp:lastPrinted>
  <dcterms:created xsi:type="dcterms:W3CDTF">2018-12-24T19:09:00Z</dcterms:created>
  <dcterms:modified xsi:type="dcterms:W3CDTF">2018-12-24T19:09:00Z</dcterms:modified>
</cp:coreProperties>
</file>