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770242" w:rsidRDefault="00D028A4">
      <w:pPr>
        <w:tabs>
          <w:tab w:val="left" w:pos="7329"/>
        </w:tabs>
        <w:jc w:val="right"/>
        <w:rPr>
          <w:rFonts w:ascii="Garamond" w:eastAsia="Garamond" w:hAnsi="Garamond" w:cs="Garamond"/>
          <w:sz w:val="40"/>
          <w:szCs w:val="40"/>
        </w:rPr>
      </w:pPr>
      <w:r>
        <w:rPr>
          <w:rFonts w:ascii="Garamond" w:eastAsia="Garamond" w:hAnsi="Garamond" w:cs="Garamond"/>
          <w:sz w:val="40"/>
          <w:szCs w:val="40"/>
        </w:rPr>
        <w:t>Vermont &amp; New Hampshire Ecological Forecasting</w:t>
      </w:r>
    </w:p>
    <w:p w14:paraId="00000002" w14:textId="7CF99268" w:rsidR="00770242" w:rsidRDefault="00D028A4">
      <w:pPr>
        <w:jc w:val="right"/>
        <w:rPr>
          <w:rFonts w:ascii="Garamond" w:eastAsia="Garamond" w:hAnsi="Garamond" w:cs="Garamond"/>
          <w:sz w:val="28"/>
          <w:szCs w:val="28"/>
        </w:rPr>
      </w:pPr>
      <w:r>
        <w:rPr>
          <w:rFonts w:ascii="Garamond" w:eastAsia="Garamond" w:hAnsi="Garamond" w:cs="Garamond"/>
          <w:sz w:val="28"/>
          <w:szCs w:val="28"/>
        </w:rPr>
        <w:t xml:space="preserve">Monitoring Trends in Tree Defoliation Due to </w:t>
      </w:r>
      <w:r>
        <w:rPr>
          <w:rFonts w:ascii="Garamond" w:eastAsia="Garamond" w:hAnsi="Garamond" w:cs="Garamond"/>
          <w:i/>
          <w:sz w:val="28"/>
          <w:szCs w:val="28"/>
        </w:rPr>
        <w:t>Lymantria dispar</w:t>
      </w:r>
      <w:r>
        <w:rPr>
          <w:rFonts w:ascii="Garamond" w:eastAsia="Garamond" w:hAnsi="Garamond" w:cs="Garamond"/>
          <w:sz w:val="28"/>
          <w:szCs w:val="28"/>
        </w:rPr>
        <w:t xml:space="preserve"> Outbreaks to Predict Future Hardwood Tree Mortality and Health Impacts</w:t>
      </w:r>
    </w:p>
    <w:p w14:paraId="00000003" w14:textId="77777777" w:rsidR="00770242" w:rsidRDefault="00770242">
      <w:pPr>
        <w:rPr>
          <w:rFonts w:ascii="Garamond" w:eastAsia="Garamond" w:hAnsi="Garamond" w:cs="Garamond"/>
          <w:sz w:val="32"/>
          <w:szCs w:val="32"/>
        </w:rPr>
      </w:pPr>
    </w:p>
    <w:p w14:paraId="00000004" w14:textId="77777777" w:rsidR="00770242" w:rsidRDefault="00770242">
      <w:pPr>
        <w:rPr>
          <w:rFonts w:ascii="Garamond" w:eastAsia="Garamond" w:hAnsi="Garamond" w:cs="Garamond"/>
          <w:sz w:val="32"/>
          <w:szCs w:val="32"/>
        </w:rPr>
      </w:pPr>
    </w:p>
    <w:p w14:paraId="00000005" w14:textId="77777777" w:rsidR="00770242" w:rsidRDefault="00770242">
      <w:pPr>
        <w:rPr>
          <w:rFonts w:ascii="Garamond" w:eastAsia="Garamond" w:hAnsi="Garamond" w:cs="Garamond"/>
          <w:sz w:val="32"/>
          <w:szCs w:val="32"/>
        </w:rPr>
      </w:pPr>
    </w:p>
    <w:p w14:paraId="00000006" w14:textId="77777777" w:rsidR="00770242" w:rsidRDefault="00770242">
      <w:pPr>
        <w:rPr>
          <w:rFonts w:ascii="Garamond" w:eastAsia="Garamond" w:hAnsi="Garamond" w:cs="Garamond"/>
          <w:sz w:val="32"/>
          <w:szCs w:val="32"/>
        </w:rPr>
      </w:pPr>
    </w:p>
    <w:p w14:paraId="00000007" w14:textId="77777777" w:rsidR="00770242" w:rsidRDefault="00770242">
      <w:pPr>
        <w:jc w:val="center"/>
        <w:rPr>
          <w:rFonts w:ascii="Garamond" w:eastAsia="Garamond" w:hAnsi="Garamond" w:cs="Garamond"/>
          <w:b/>
          <w:sz w:val="32"/>
          <w:szCs w:val="32"/>
        </w:rPr>
      </w:pPr>
    </w:p>
    <w:p w14:paraId="00000008" w14:textId="77777777" w:rsidR="00770242" w:rsidRDefault="00770242">
      <w:pPr>
        <w:jc w:val="center"/>
        <w:rPr>
          <w:rFonts w:ascii="Garamond" w:eastAsia="Garamond" w:hAnsi="Garamond" w:cs="Garamond"/>
          <w:b/>
          <w:sz w:val="32"/>
          <w:szCs w:val="32"/>
        </w:rPr>
      </w:pPr>
    </w:p>
    <w:p w14:paraId="00000009" w14:textId="77777777" w:rsidR="00770242" w:rsidRDefault="00D028A4">
      <w:pPr>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14:anchorId="7B7A7194" wp14:editId="236441DD">
            <wp:simplePos x="0" y="0"/>
            <wp:positionH relativeFrom="column">
              <wp:posOffset>1628140</wp:posOffset>
            </wp:positionH>
            <wp:positionV relativeFrom="paragraph">
              <wp:posOffset>56432</wp:posOffset>
            </wp:positionV>
            <wp:extent cx="968735" cy="182880"/>
            <wp:effectExtent l="0" t="0" r="0" b="0"/>
            <wp:wrapNone/>
            <wp:docPr id="19294722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968735" cy="182880"/>
                    </a:xfrm>
                    <a:prstGeom prst="rect">
                      <a:avLst/>
                    </a:prstGeom>
                    <a:ln/>
                  </pic:spPr>
                </pic:pic>
              </a:graphicData>
            </a:graphic>
          </wp:anchor>
        </w:drawing>
      </w:r>
    </w:p>
    <w:p w14:paraId="0000000A" w14:textId="6B73BD4C" w:rsidR="00770242" w:rsidRDefault="00D028A4">
      <w:pPr>
        <w:jc w:val="center"/>
        <w:rPr>
          <w:rFonts w:ascii="Garamond" w:eastAsia="Garamond" w:hAnsi="Garamond" w:cs="Garamond"/>
          <w:sz w:val="28"/>
          <w:szCs w:val="28"/>
        </w:rPr>
      </w:pPr>
      <w:r>
        <w:rPr>
          <w:rFonts w:ascii="Garamond" w:eastAsia="Garamond" w:hAnsi="Garamond" w:cs="Garamond"/>
          <w:sz w:val="28"/>
          <w:szCs w:val="28"/>
        </w:rPr>
        <w:t>Final – March 31</w:t>
      </w:r>
      <w:r>
        <w:rPr>
          <w:rFonts w:ascii="Garamond" w:eastAsia="Garamond" w:hAnsi="Garamond" w:cs="Garamond"/>
          <w:sz w:val="28"/>
          <w:szCs w:val="28"/>
          <w:vertAlign w:val="superscript"/>
        </w:rPr>
        <w:t>st</w:t>
      </w:r>
      <w:r>
        <w:rPr>
          <w:rFonts w:ascii="Garamond" w:eastAsia="Garamond" w:hAnsi="Garamond" w:cs="Garamond"/>
          <w:sz w:val="28"/>
          <w:szCs w:val="28"/>
        </w:rPr>
        <w:t>, 2022</w:t>
      </w:r>
    </w:p>
    <w:p w14:paraId="0000000B" w14:textId="77777777" w:rsidR="00770242" w:rsidRDefault="00770242">
      <w:pPr>
        <w:jc w:val="center"/>
        <w:rPr>
          <w:rFonts w:ascii="Garamond" w:eastAsia="Garamond" w:hAnsi="Garamond" w:cs="Garamond"/>
          <w:sz w:val="20"/>
          <w:szCs w:val="20"/>
        </w:rPr>
      </w:pPr>
    </w:p>
    <w:p w14:paraId="0000000C" w14:textId="77777777" w:rsidR="00770242" w:rsidRDefault="00D028A4">
      <w:pPr>
        <w:jc w:val="center"/>
        <w:rPr>
          <w:rFonts w:ascii="Garamond" w:eastAsia="Garamond" w:hAnsi="Garamond" w:cs="Garamond"/>
          <w:sz w:val="20"/>
          <w:szCs w:val="20"/>
        </w:rPr>
      </w:pPr>
      <w:r>
        <w:rPr>
          <w:rFonts w:ascii="Garamond" w:eastAsia="Garamond" w:hAnsi="Garamond" w:cs="Garamond"/>
          <w:sz w:val="20"/>
          <w:szCs w:val="20"/>
        </w:rPr>
        <w:t xml:space="preserve"> Seamore Zhu (Project Lead)</w:t>
      </w:r>
    </w:p>
    <w:p w14:paraId="0000000D" w14:textId="77777777" w:rsidR="00770242" w:rsidRDefault="00D028A4">
      <w:pPr>
        <w:jc w:val="center"/>
        <w:rPr>
          <w:rFonts w:ascii="Garamond" w:eastAsia="Garamond" w:hAnsi="Garamond" w:cs="Garamond"/>
          <w:sz w:val="20"/>
          <w:szCs w:val="20"/>
        </w:rPr>
      </w:pPr>
      <w:r>
        <w:rPr>
          <w:rFonts w:ascii="Garamond" w:eastAsia="Garamond" w:hAnsi="Garamond" w:cs="Garamond"/>
          <w:sz w:val="20"/>
          <w:szCs w:val="20"/>
        </w:rPr>
        <w:t>Katie Caruso</w:t>
      </w:r>
    </w:p>
    <w:p w14:paraId="0000000E" w14:textId="77777777" w:rsidR="00770242" w:rsidRDefault="00D028A4">
      <w:pPr>
        <w:jc w:val="center"/>
        <w:rPr>
          <w:rFonts w:ascii="Garamond" w:eastAsia="Garamond" w:hAnsi="Garamond" w:cs="Garamond"/>
          <w:sz w:val="20"/>
          <w:szCs w:val="20"/>
        </w:rPr>
      </w:pPr>
      <w:r>
        <w:rPr>
          <w:rFonts w:ascii="Garamond" w:eastAsia="Garamond" w:hAnsi="Garamond" w:cs="Garamond"/>
          <w:sz w:val="20"/>
          <w:szCs w:val="20"/>
        </w:rPr>
        <w:t>Morgan Dean</w:t>
      </w:r>
    </w:p>
    <w:p w14:paraId="0000000F" w14:textId="77777777" w:rsidR="00770242" w:rsidRDefault="00D028A4">
      <w:pPr>
        <w:jc w:val="center"/>
        <w:rPr>
          <w:rFonts w:ascii="Garamond" w:eastAsia="Garamond" w:hAnsi="Garamond" w:cs="Garamond"/>
          <w:sz w:val="20"/>
          <w:szCs w:val="20"/>
        </w:rPr>
      </w:pPr>
      <w:r>
        <w:rPr>
          <w:rFonts w:ascii="Garamond" w:eastAsia="Garamond" w:hAnsi="Garamond" w:cs="Garamond"/>
          <w:sz w:val="20"/>
          <w:szCs w:val="20"/>
        </w:rPr>
        <w:t>Jacob Orser</w:t>
      </w:r>
    </w:p>
    <w:p w14:paraId="00000010" w14:textId="77777777" w:rsidR="00770242" w:rsidRDefault="00770242">
      <w:pPr>
        <w:jc w:val="center"/>
        <w:rPr>
          <w:rFonts w:ascii="Garamond" w:eastAsia="Garamond" w:hAnsi="Garamond" w:cs="Garamond"/>
          <w:sz w:val="20"/>
          <w:szCs w:val="20"/>
        </w:rPr>
      </w:pPr>
    </w:p>
    <w:p w14:paraId="00000011" w14:textId="77777777" w:rsidR="00770242" w:rsidRDefault="00D028A4">
      <w:pPr>
        <w:jc w:val="center"/>
        <w:rPr>
          <w:rFonts w:ascii="Garamond" w:eastAsia="Garamond" w:hAnsi="Garamond" w:cs="Garamond"/>
          <w:b/>
          <w:i/>
          <w:sz w:val="20"/>
          <w:szCs w:val="20"/>
        </w:rPr>
      </w:pPr>
      <w:r>
        <w:rPr>
          <w:rFonts w:ascii="Garamond" w:eastAsia="Garamond" w:hAnsi="Garamond" w:cs="Garamond"/>
          <w:b/>
          <w:i/>
          <w:sz w:val="20"/>
          <w:szCs w:val="20"/>
        </w:rPr>
        <w:t>Advisors:</w:t>
      </w:r>
    </w:p>
    <w:p w14:paraId="00000012" w14:textId="77777777" w:rsidR="00770242" w:rsidRDefault="00D028A4">
      <w:pPr>
        <w:jc w:val="center"/>
        <w:rPr>
          <w:rFonts w:ascii="Garamond" w:eastAsia="Garamond" w:hAnsi="Garamond" w:cs="Garamond"/>
          <w:sz w:val="20"/>
          <w:szCs w:val="20"/>
        </w:rPr>
      </w:pPr>
      <w:r>
        <w:rPr>
          <w:rFonts w:ascii="Garamond" w:eastAsia="Garamond" w:hAnsi="Garamond" w:cs="Garamond"/>
          <w:sz w:val="20"/>
          <w:szCs w:val="20"/>
        </w:rPr>
        <w:t>Juan Torres-Pérez, NASA Ames Research Center (Science Advisor)</w:t>
      </w:r>
    </w:p>
    <w:p w14:paraId="00000013" w14:textId="77777777" w:rsidR="00770242" w:rsidRDefault="00D028A4">
      <w:pPr>
        <w:jc w:val="center"/>
        <w:rPr>
          <w:rFonts w:ascii="Garamond" w:eastAsia="Garamond" w:hAnsi="Garamond" w:cs="Garamond"/>
          <w:sz w:val="20"/>
          <w:szCs w:val="20"/>
        </w:rPr>
      </w:pPr>
      <w:r>
        <w:rPr>
          <w:rFonts w:ascii="Garamond" w:eastAsia="Garamond" w:hAnsi="Garamond" w:cs="Garamond"/>
          <w:sz w:val="20"/>
          <w:szCs w:val="20"/>
        </w:rPr>
        <w:t>Valerie Pasquarella, Boston University (Science Advisor)</w:t>
      </w:r>
    </w:p>
    <w:p w14:paraId="00000014" w14:textId="77777777" w:rsidR="00770242" w:rsidRDefault="00D028A4">
      <w:pPr>
        <w:rPr>
          <w:rFonts w:ascii="Garamond" w:eastAsia="Garamond" w:hAnsi="Garamond" w:cs="Garamond"/>
          <w:sz w:val="20"/>
          <w:szCs w:val="20"/>
        </w:rPr>
      </w:pPr>
      <w:r>
        <w:br w:type="page"/>
      </w:r>
    </w:p>
    <w:p w14:paraId="00000015" w14:textId="77777777" w:rsidR="00770242" w:rsidRDefault="00D028A4">
      <w:pPr>
        <w:pStyle w:val="Heading1"/>
        <w:spacing w:before="0"/>
        <w:rPr>
          <w:rFonts w:ascii="Garamond" w:eastAsia="Garamond" w:hAnsi="Garamond" w:cs="Garamond"/>
        </w:rPr>
      </w:pPr>
      <w:r>
        <w:rPr>
          <w:rFonts w:ascii="Garamond" w:eastAsia="Garamond" w:hAnsi="Garamond" w:cs="Garamond"/>
        </w:rPr>
        <w:lastRenderedPageBreak/>
        <w:t>1. Abstract</w:t>
      </w:r>
    </w:p>
    <w:p w14:paraId="00000016" w14:textId="77777777" w:rsidR="00770242" w:rsidRDefault="00D028A4">
      <w:pPr>
        <w:rPr>
          <w:color w:val="000000"/>
        </w:rPr>
      </w:pPr>
      <w:r>
        <w:rPr>
          <w:rFonts w:ascii="Garamond" w:eastAsia="Garamond" w:hAnsi="Garamond" w:cs="Garamond"/>
          <w:color w:val="000000"/>
          <w:sz w:val="22"/>
          <w:szCs w:val="22"/>
        </w:rPr>
        <w:t xml:space="preserve">The invasive, herbivorous insect </w:t>
      </w:r>
      <w:r>
        <w:rPr>
          <w:rFonts w:ascii="Garamond" w:eastAsia="Garamond" w:hAnsi="Garamond" w:cs="Garamond"/>
          <w:i/>
          <w:color w:val="000000"/>
          <w:sz w:val="22"/>
          <w:szCs w:val="22"/>
        </w:rPr>
        <w:t>Lymantria dispar</w:t>
      </w:r>
      <w:r>
        <w:rPr>
          <w:rFonts w:ascii="Garamond" w:eastAsia="Garamond" w:hAnsi="Garamond" w:cs="Garamond"/>
          <w:color w:val="000000"/>
          <w:sz w:val="22"/>
          <w:szCs w:val="22"/>
        </w:rPr>
        <w:t xml:space="preserve"> is a major defoliator of hardwood trees in the northeastern United States. Established populations of </w:t>
      </w:r>
      <w:r>
        <w:rPr>
          <w:rFonts w:ascii="Garamond" w:eastAsia="Garamond" w:hAnsi="Garamond" w:cs="Garamond"/>
          <w:i/>
          <w:color w:val="000000"/>
          <w:sz w:val="22"/>
          <w:szCs w:val="22"/>
        </w:rPr>
        <w:t>L. dispar</w:t>
      </w:r>
      <w:r>
        <w:rPr>
          <w:rFonts w:ascii="Garamond" w:eastAsia="Garamond" w:hAnsi="Garamond" w:cs="Garamond"/>
          <w:color w:val="000000"/>
          <w:sz w:val="22"/>
          <w:szCs w:val="22"/>
        </w:rPr>
        <w:t xml:space="preserve"> typically rest at low levels but undergo recurring outbreaks that cause tree mortality if they occur in quick succession or are combined with other stressors on tree health. Widespread defoliation events disrupt local wildlife, economies, and livelihoods. Accurate monitoring of defoliation events is necessary to implement effective land management practices that support tree health. There are challenges to accurately monitoring </w:t>
      </w:r>
      <w:r>
        <w:rPr>
          <w:rFonts w:ascii="Garamond" w:eastAsia="Garamond" w:hAnsi="Garamond" w:cs="Garamond"/>
          <w:i/>
          <w:color w:val="000000"/>
          <w:sz w:val="22"/>
          <w:szCs w:val="22"/>
        </w:rPr>
        <w:t>L. dispar</w:t>
      </w:r>
      <w:r>
        <w:rPr>
          <w:rFonts w:ascii="Garamond" w:eastAsia="Garamond" w:hAnsi="Garamond" w:cs="Garamond"/>
          <w:color w:val="000000"/>
          <w:sz w:val="22"/>
          <w:szCs w:val="22"/>
        </w:rPr>
        <w:t xml:space="preserve"> outbreaks that include the ephemeral character of defoliation disturbances and the difficulties of conducting large-scale surveys of </w:t>
      </w:r>
      <w:r>
        <w:rPr>
          <w:rFonts w:ascii="Garamond" w:eastAsia="Garamond" w:hAnsi="Garamond" w:cs="Garamond"/>
          <w:i/>
          <w:color w:val="000000"/>
          <w:sz w:val="22"/>
          <w:szCs w:val="22"/>
        </w:rPr>
        <w:t>L. dispar</w:t>
      </w:r>
      <w:r>
        <w:rPr>
          <w:rFonts w:ascii="Garamond" w:eastAsia="Garamond" w:hAnsi="Garamond" w:cs="Garamond"/>
          <w:color w:val="000000"/>
          <w:sz w:val="22"/>
          <w:szCs w:val="22"/>
        </w:rPr>
        <w:t xml:space="preserve"> populations using existing aerial and ground-based data collection methods. To better monitor the impact of </w:t>
      </w:r>
      <w:r>
        <w:rPr>
          <w:rFonts w:ascii="Garamond" w:eastAsia="Garamond" w:hAnsi="Garamond" w:cs="Garamond"/>
          <w:i/>
          <w:color w:val="000000"/>
          <w:sz w:val="22"/>
          <w:szCs w:val="22"/>
        </w:rPr>
        <w:t>L. dispar</w:t>
      </w:r>
      <w:r>
        <w:rPr>
          <w:rFonts w:ascii="Garamond" w:eastAsia="Garamond" w:hAnsi="Garamond" w:cs="Garamond"/>
          <w:color w:val="000000"/>
          <w:sz w:val="22"/>
          <w:szCs w:val="22"/>
        </w:rPr>
        <w:t xml:space="preserve"> on forests in Vermont and New Hampshire, the NASA DEVELOP team partnered with organizations responsible for supporting land and invasive species management including the Forest Ecosystem Monitoring Cooperative, the Vermont Agency of Agriculture, Food and Markets, the University of New Hampshire Cooperative Extension, and the New Hampshire Division of Forests and Lands, Forest Health Program. The team used NASA Earth observations collected by the Terra, Soil Moisture Active Passive (SMAP), Shuttle Radar Topography Mission (SRTM), Landsat 7, and Landsat 8 satellites along with ancillary datasets to map historical tree defoliation from 2012 to 2021. In support of partners’ future land management efforts, the team created a Google Earth Engine tool that displays annual defoliation extent.</w:t>
      </w:r>
    </w:p>
    <w:p w14:paraId="00000017" w14:textId="77777777" w:rsidR="00770242" w:rsidRDefault="00770242">
      <w:pPr>
        <w:rPr>
          <w:color w:val="000000"/>
        </w:rPr>
      </w:pPr>
    </w:p>
    <w:p w14:paraId="00000018" w14:textId="77777777" w:rsidR="00770242" w:rsidRDefault="00D028A4">
      <w:pPr>
        <w:rPr>
          <w:rFonts w:ascii="Garamond" w:eastAsia="Garamond" w:hAnsi="Garamond" w:cs="Garamond"/>
          <w:b/>
          <w:color w:val="000000"/>
          <w:sz w:val="22"/>
          <w:szCs w:val="22"/>
        </w:rPr>
      </w:pPr>
      <w:r>
        <w:rPr>
          <w:rFonts w:ascii="Garamond" w:eastAsia="Garamond" w:hAnsi="Garamond" w:cs="Garamond"/>
          <w:b/>
          <w:color w:val="000000"/>
          <w:sz w:val="22"/>
          <w:szCs w:val="22"/>
        </w:rPr>
        <w:t>Key Terms</w:t>
      </w:r>
    </w:p>
    <w:p w14:paraId="00000019" w14:textId="77777777" w:rsidR="00770242" w:rsidRDefault="00D028A4">
      <w:pPr>
        <w:rPr>
          <w:rFonts w:ascii="Garamond" w:eastAsia="Garamond" w:hAnsi="Garamond" w:cs="Garamond"/>
          <w:color w:val="000000"/>
          <w:sz w:val="22"/>
          <w:szCs w:val="22"/>
        </w:rPr>
      </w:pPr>
      <w:r>
        <w:rPr>
          <w:rFonts w:ascii="Garamond" w:eastAsia="Garamond" w:hAnsi="Garamond" w:cs="Garamond"/>
          <w:color w:val="000000"/>
          <w:sz w:val="22"/>
          <w:szCs w:val="22"/>
        </w:rPr>
        <w:t>remote sensing, Landsat, ecological forecasting, invasive insect, Lymantria dispar, Google Earth Engine</w:t>
      </w:r>
    </w:p>
    <w:p w14:paraId="0000001A" w14:textId="77777777" w:rsidR="00770242" w:rsidRDefault="00770242">
      <w:pPr>
        <w:rPr>
          <w:rFonts w:ascii="Garamond" w:eastAsia="Garamond" w:hAnsi="Garamond" w:cs="Garamond"/>
          <w:color w:val="000000"/>
          <w:sz w:val="22"/>
          <w:szCs w:val="22"/>
        </w:rPr>
      </w:pPr>
      <w:bookmarkStart w:id="0" w:name="_heading=h.gjdgxs" w:colFirst="0" w:colLast="0"/>
      <w:bookmarkEnd w:id="0"/>
    </w:p>
    <w:p w14:paraId="0000001B" w14:textId="77777777" w:rsidR="00770242" w:rsidRDefault="00D028A4">
      <w:pPr>
        <w:pStyle w:val="Heading1"/>
        <w:spacing w:before="0"/>
        <w:rPr>
          <w:rFonts w:ascii="Garamond" w:eastAsia="Garamond" w:hAnsi="Garamond" w:cs="Garamond"/>
        </w:rPr>
      </w:pPr>
      <w:r>
        <w:rPr>
          <w:rFonts w:ascii="Garamond" w:eastAsia="Garamond" w:hAnsi="Garamond" w:cs="Garamond"/>
        </w:rPr>
        <w:t>2. Introduction</w:t>
      </w:r>
    </w:p>
    <w:p w14:paraId="0000001C" w14:textId="77777777" w:rsidR="00770242" w:rsidRDefault="00D028A4">
      <w:pPr>
        <w:rPr>
          <w:rFonts w:ascii="Garamond" w:eastAsia="Garamond" w:hAnsi="Garamond" w:cs="Garamond"/>
          <w:b/>
          <w:i/>
        </w:rPr>
      </w:pPr>
      <w:r>
        <w:rPr>
          <w:rFonts w:ascii="Garamond" w:eastAsia="Garamond" w:hAnsi="Garamond" w:cs="Garamond"/>
          <w:b/>
          <w:i/>
        </w:rPr>
        <w:t>2.1 Background</w:t>
      </w:r>
    </w:p>
    <w:p w14:paraId="0000001D" w14:textId="677FE59B" w:rsidR="00770242" w:rsidRDefault="00D028A4">
      <w:pPr>
        <w:pBdr>
          <w:top w:val="nil"/>
          <w:left w:val="nil"/>
          <w:bottom w:val="nil"/>
          <w:right w:val="nil"/>
          <w:between w:val="nil"/>
        </w:pBdr>
        <w:rPr>
          <w:rFonts w:ascii="Garamond" w:eastAsia="Garamond" w:hAnsi="Garamond" w:cs="Garamond"/>
          <w:color w:val="0E101A"/>
          <w:sz w:val="22"/>
          <w:szCs w:val="22"/>
        </w:rPr>
      </w:pPr>
      <w:r>
        <w:rPr>
          <w:rFonts w:ascii="Garamond" w:eastAsia="Garamond" w:hAnsi="Garamond" w:cs="Garamond"/>
          <w:i/>
          <w:color w:val="0E101A"/>
          <w:sz w:val="22"/>
          <w:szCs w:val="22"/>
        </w:rPr>
        <w:t>Lymantria dispar</w:t>
      </w:r>
      <w:r>
        <w:rPr>
          <w:rFonts w:ascii="Garamond" w:eastAsia="Garamond" w:hAnsi="Garamond" w:cs="Garamond"/>
          <w:color w:val="0E101A"/>
          <w:sz w:val="22"/>
          <w:szCs w:val="22"/>
        </w:rPr>
        <w:t xml:space="preserve">, commonly known as the spongy moth, is an insect native to Europe and Asia that was introduced to the Northeast United States in the late 1860s. </w:t>
      </w:r>
      <w:r>
        <w:rPr>
          <w:rFonts w:ascii="Garamond" w:eastAsia="Garamond" w:hAnsi="Garamond" w:cs="Garamond"/>
          <w:i/>
          <w:color w:val="0E101A"/>
          <w:sz w:val="22"/>
          <w:szCs w:val="22"/>
        </w:rPr>
        <w:t>Lymantria dispar</w:t>
      </w:r>
      <w:r>
        <w:rPr>
          <w:rFonts w:ascii="Garamond" w:eastAsia="Garamond" w:hAnsi="Garamond" w:cs="Garamond"/>
          <w:color w:val="0E101A"/>
          <w:sz w:val="22"/>
          <w:szCs w:val="22"/>
        </w:rPr>
        <w:t xml:space="preserve"> is a generalist herbivorous feeder that prefers hardwood trees but feeds on other plant species if their preferred hosts are defoliated (Swier et al., 2016). Due to the slow spread of </w:t>
      </w:r>
      <w:r>
        <w:rPr>
          <w:rFonts w:ascii="Garamond" w:eastAsia="Garamond" w:hAnsi="Garamond" w:cs="Garamond"/>
          <w:i/>
          <w:color w:val="0E101A"/>
          <w:sz w:val="22"/>
          <w:szCs w:val="22"/>
        </w:rPr>
        <w:t>L. dispar</w:t>
      </w:r>
      <w:r>
        <w:rPr>
          <w:rFonts w:ascii="Garamond" w:eastAsia="Garamond" w:hAnsi="Garamond" w:cs="Garamond"/>
          <w:color w:val="0E101A"/>
          <w:sz w:val="22"/>
          <w:szCs w:val="22"/>
        </w:rPr>
        <w:t xml:space="preserve">, which occurs across large distances primarily through wind dispersal of larvae suspended on silk threads, only 40 percent of the potential range of </w:t>
      </w:r>
      <w:r>
        <w:rPr>
          <w:rFonts w:ascii="Garamond" w:eastAsia="Garamond" w:hAnsi="Garamond" w:cs="Garamond"/>
          <w:i/>
          <w:color w:val="0E101A"/>
          <w:sz w:val="22"/>
          <w:szCs w:val="22"/>
        </w:rPr>
        <w:t xml:space="preserve">L. dispar </w:t>
      </w:r>
      <w:r>
        <w:rPr>
          <w:rFonts w:ascii="Garamond" w:eastAsia="Garamond" w:hAnsi="Garamond" w:cs="Garamond"/>
          <w:color w:val="0E101A"/>
          <w:sz w:val="22"/>
          <w:szCs w:val="22"/>
        </w:rPr>
        <w:t>in the U.S. has experienced defoliation events. (</w:t>
      </w:r>
      <w:proofErr w:type="spellStart"/>
      <w:r>
        <w:rPr>
          <w:rFonts w:ascii="Garamond" w:eastAsia="Garamond" w:hAnsi="Garamond" w:cs="Garamond"/>
          <w:color w:val="0E101A"/>
          <w:sz w:val="22"/>
          <w:szCs w:val="22"/>
        </w:rPr>
        <w:t>Elkinton</w:t>
      </w:r>
      <w:proofErr w:type="spellEnd"/>
      <w:r>
        <w:rPr>
          <w:rFonts w:ascii="Garamond" w:eastAsia="Garamond" w:hAnsi="Garamond" w:cs="Garamond"/>
          <w:color w:val="0E101A"/>
          <w:sz w:val="22"/>
          <w:szCs w:val="22"/>
        </w:rPr>
        <w:t xml:space="preserve"> &amp; </w:t>
      </w:r>
      <w:proofErr w:type="spellStart"/>
      <w:r>
        <w:rPr>
          <w:rFonts w:ascii="Garamond" w:eastAsia="Garamond" w:hAnsi="Garamond" w:cs="Garamond"/>
          <w:color w:val="0E101A"/>
          <w:sz w:val="22"/>
          <w:szCs w:val="22"/>
        </w:rPr>
        <w:t>L</w:t>
      </w:r>
      <w:r w:rsidR="005C4431">
        <w:rPr>
          <w:rFonts w:ascii="Garamond" w:eastAsia="Garamond" w:hAnsi="Garamond" w:cs="Garamond"/>
          <w:color w:val="0E101A"/>
          <w:sz w:val="22"/>
          <w:szCs w:val="22"/>
        </w:rPr>
        <w:t>ie</w:t>
      </w:r>
      <w:r>
        <w:rPr>
          <w:rFonts w:ascii="Garamond" w:eastAsia="Garamond" w:hAnsi="Garamond" w:cs="Garamond"/>
          <w:color w:val="0E101A"/>
          <w:sz w:val="22"/>
          <w:szCs w:val="22"/>
        </w:rPr>
        <w:t>bhold</w:t>
      </w:r>
      <w:proofErr w:type="spellEnd"/>
      <w:r>
        <w:rPr>
          <w:rFonts w:ascii="Garamond" w:eastAsia="Garamond" w:hAnsi="Garamond" w:cs="Garamond"/>
          <w:color w:val="0E101A"/>
          <w:sz w:val="22"/>
          <w:szCs w:val="22"/>
        </w:rPr>
        <w:t xml:space="preserve">, 1990; </w:t>
      </w:r>
      <w:proofErr w:type="spellStart"/>
      <w:r>
        <w:rPr>
          <w:rFonts w:ascii="Garamond" w:eastAsia="Garamond" w:hAnsi="Garamond" w:cs="Garamond"/>
          <w:color w:val="0E101A"/>
          <w:sz w:val="22"/>
          <w:szCs w:val="22"/>
        </w:rPr>
        <w:t>Liebhold</w:t>
      </w:r>
      <w:proofErr w:type="spellEnd"/>
      <w:r>
        <w:rPr>
          <w:rFonts w:ascii="Garamond" w:eastAsia="Garamond" w:hAnsi="Garamond" w:cs="Garamond"/>
          <w:color w:val="0E101A"/>
          <w:sz w:val="22"/>
          <w:szCs w:val="22"/>
        </w:rPr>
        <w:t xml:space="preserve"> et al., 2000). </w:t>
      </w:r>
      <w:r>
        <w:rPr>
          <w:rFonts w:ascii="Garamond" w:eastAsia="Garamond" w:hAnsi="Garamond" w:cs="Garamond"/>
          <w:i/>
          <w:color w:val="0E101A"/>
          <w:sz w:val="22"/>
          <w:szCs w:val="22"/>
        </w:rPr>
        <w:t xml:space="preserve">Lymantria dispar </w:t>
      </w:r>
      <w:r>
        <w:rPr>
          <w:rFonts w:ascii="Garamond" w:eastAsia="Garamond" w:hAnsi="Garamond" w:cs="Garamond"/>
          <w:color w:val="0E101A"/>
          <w:sz w:val="22"/>
          <w:szCs w:val="22"/>
        </w:rPr>
        <w:t>populations are held in check by various factors. One primary control is a non-native fungus </w:t>
      </w:r>
      <w:r>
        <w:rPr>
          <w:rFonts w:ascii="Garamond" w:eastAsia="Garamond" w:hAnsi="Garamond" w:cs="Garamond"/>
          <w:i/>
          <w:color w:val="0E101A"/>
          <w:sz w:val="22"/>
          <w:szCs w:val="22"/>
        </w:rPr>
        <w:t>Entomophaga maimaiga</w:t>
      </w:r>
      <w:r>
        <w:rPr>
          <w:rFonts w:ascii="Garamond" w:eastAsia="Garamond" w:hAnsi="Garamond" w:cs="Garamond"/>
          <w:color w:val="0E101A"/>
          <w:sz w:val="22"/>
          <w:szCs w:val="22"/>
        </w:rPr>
        <w:t>, which attacks moth larvae. Other factors include forest predators such as small mammals, other fungi, and parasites that infect moths (Hajek et al., 1995). In recent years, Vermont (VT) and New Hampshire (NH) have experienced multiple events of extreme defoliation. In New Hampshire, state officials estimated 2021 total defoliation in the range of 50,000 acres (Cherry, 2021). </w:t>
      </w:r>
    </w:p>
    <w:p w14:paraId="0000001E" w14:textId="77777777" w:rsidR="00770242" w:rsidRDefault="00770242">
      <w:pPr>
        <w:pBdr>
          <w:top w:val="nil"/>
          <w:left w:val="nil"/>
          <w:bottom w:val="nil"/>
          <w:right w:val="nil"/>
          <w:between w:val="nil"/>
        </w:pBdr>
        <w:rPr>
          <w:color w:val="0E101A"/>
        </w:rPr>
      </w:pPr>
    </w:p>
    <w:p w14:paraId="0000001F" w14:textId="77777777" w:rsidR="00770242" w:rsidRDefault="00D028A4">
      <w:pPr>
        <w:pBdr>
          <w:top w:val="nil"/>
          <w:left w:val="nil"/>
          <w:bottom w:val="nil"/>
          <w:right w:val="nil"/>
          <w:between w:val="nil"/>
        </w:pBdr>
        <w:rPr>
          <w:rFonts w:ascii="Garamond" w:eastAsia="Garamond" w:hAnsi="Garamond" w:cs="Garamond"/>
          <w:color w:val="0E101A"/>
          <w:sz w:val="22"/>
          <w:szCs w:val="22"/>
        </w:rPr>
      </w:pPr>
      <w:r>
        <w:rPr>
          <w:rFonts w:ascii="Garamond" w:eastAsia="Garamond" w:hAnsi="Garamond" w:cs="Garamond"/>
          <w:color w:val="0E101A"/>
          <w:sz w:val="22"/>
          <w:szCs w:val="22"/>
        </w:rPr>
        <w:t xml:space="preserve">Outbreak events occur in periodic cycles. The reasons behind outbreak events are studied but are relatively difficult to track because pre-outbreak populations can remain at low levels for years. An outbreak is defined as over 5000 egg masses of </w:t>
      </w:r>
      <w:r>
        <w:rPr>
          <w:rFonts w:ascii="Garamond" w:eastAsia="Garamond" w:hAnsi="Garamond" w:cs="Garamond"/>
          <w:i/>
          <w:color w:val="0E101A"/>
          <w:sz w:val="22"/>
          <w:szCs w:val="22"/>
        </w:rPr>
        <w:t>L. dispar</w:t>
      </w:r>
      <w:r>
        <w:rPr>
          <w:rFonts w:ascii="Garamond" w:eastAsia="Garamond" w:hAnsi="Garamond" w:cs="Garamond"/>
          <w:color w:val="0E101A"/>
          <w:sz w:val="22"/>
          <w:szCs w:val="22"/>
        </w:rPr>
        <w:t xml:space="preserve"> per hectare (Liebhold et al., 2000). The concern in VT and NH is that outbreaks reduce annual tree growth, lower timber values, decrease fruit production, and decrease habitat (Liebhold et al., 2000). Consecutive years of outbreaks, particularly when combined with unsuitable weather, poor soil, and low tree vigor, may cause tree mortality. Mast failure and tree mortality lead to cascading mortality within the ecosystem.</w:t>
      </w:r>
    </w:p>
    <w:p w14:paraId="00000020" w14:textId="77777777" w:rsidR="00770242" w:rsidRDefault="00770242">
      <w:pPr>
        <w:rPr>
          <w:rFonts w:ascii="Garamond" w:eastAsia="Garamond" w:hAnsi="Garamond" w:cs="Garamond"/>
          <w:b/>
        </w:rPr>
      </w:pPr>
    </w:p>
    <w:p w14:paraId="00000021" w14:textId="77777777" w:rsidR="00770242" w:rsidRDefault="00D028A4">
      <w:pPr>
        <w:pBdr>
          <w:top w:val="nil"/>
          <w:left w:val="nil"/>
          <w:bottom w:val="nil"/>
          <w:right w:val="nil"/>
          <w:between w:val="nil"/>
        </w:pBdr>
        <w:rPr>
          <w:rFonts w:ascii="Garamond" w:eastAsia="Garamond" w:hAnsi="Garamond" w:cs="Garamond"/>
          <w:color w:val="0E101A"/>
          <w:sz w:val="22"/>
          <w:szCs w:val="22"/>
        </w:rPr>
      </w:pPr>
      <w:r>
        <w:rPr>
          <w:rFonts w:ascii="Garamond" w:eastAsia="Garamond" w:hAnsi="Garamond" w:cs="Garamond"/>
          <w:color w:val="0E101A"/>
          <w:sz w:val="22"/>
          <w:szCs w:val="22"/>
        </w:rPr>
        <w:t xml:space="preserve">The ephemeral character of these disturbance events, combined with difficulties of accurately surveying </w:t>
      </w:r>
      <w:r>
        <w:rPr>
          <w:rFonts w:ascii="Garamond" w:eastAsia="Garamond" w:hAnsi="Garamond" w:cs="Garamond"/>
          <w:i/>
          <w:color w:val="0E101A"/>
          <w:sz w:val="22"/>
          <w:szCs w:val="22"/>
        </w:rPr>
        <w:t>L</w:t>
      </w:r>
      <w:r>
        <w:rPr>
          <w:rFonts w:ascii="Garamond" w:eastAsia="Garamond" w:hAnsi="Garamond" w:cs="Garamond"/>
          <w:color w:val="0E101A"/>
          <w:sz w:val="22"/>
          <w:szCs w:val="22"/>
        </w:rPr>
        <w:t>.</w:t>
      </w:r>
      <w:r>
        <w:rPr>
          <w:rFonts w:ascii="Garamond" w:eastAsia="Garamond" w:hAnsi="Garamond" w:cs="Garamond"/>
          <w:i/>
          <w:color w:val="0E101A"/>
          <w:sz w:val="22"/>
          <w:szCs w:val="22"/>
        </w:rPr>
        <w:t xml:space="preserve"> dispar </w:t>
      </w:r>
      <w:r>
        <w:rPr>
          <w:rFonts w:ascii="Garamond" w:eastAsia="Garamond" w:hAnsi="Garamond" w:cs="Garamond"/>
          <w:color w:val="0E101A"/>
          <w:sz w:val="22"/>
          <w:szCs w:val="22"/>
        </w:rPr>
        <w:t xml:space="preserve">populations, poses challenges to monitoring defoliation caused by </w:t>
      </w:r>
      <w:r>
        <w:rPr>
          <w:rFonts w:ascii="Garamond" w:eastAsia="Garamond" w:hAnsi="Garamond" w:cs="Garamond"/>
          <w:i/>
          <w:color w:val="0E101A"/>
          <w:sz w:val="22"/>
          <w:szCs w:val="22"/>
        </w:rPr>
        <w:t xml:space="preserve">L. dispar </w:t>
      </w:r>
      <w:r>
        <w:rPr>
          <w:rFonts w:ascii="Garamond" w:eastAsia="Garamond" w:hAnsi="Garamond" w:cs="Garamond"/>
          <w:color w:val="0E101A"/>
          <w:sz w:val="22"/>
          <w:szCs w:val="22"/>
        </w:rPr>
        <w:t xml:space="preserve">outbreaks. Remote sensing is a cost-effective tool with the potential to improve monitoring efforts in VT and NH forests. Monitoring </w:t>
      </w:r>
      <w:r>
        <w:rPr>
          <w:rFonts w:ascii="Garamond" w:eastAsia="Garamond" w:hAnsi="Garamond" w:cs="Garamond"/>
          <w:i/>
          <w:color w:val="0E101A"/>
          <w:sz w:val="22"/>
          <w:szCs w:val="22"/>
        </w:rPr>
        <w:t xml:space="preserve">L. dispar </w:t>
      </w:r>
      <w:r>
        <w:rPr>
          <w:rFonts w:ascii="Garamond" w:eastAsia="Garamond" w:hAnsi="Garamond" w:cs="Garamond"/>
          <w:color w:val="0E101A"/>
          <w:sz w:val="22"/>
          <w:szCs w:val="22"/>
        </w:rPr>
        <w:t xml:space="preserve">outbreaks using remote sensing can support invasive species management efforts by revealing outbreak dynamics and improving predictive models of defoliator abundance and risk to forests (Pasquarella et al., 2021). However, a limitation of previous remote sensing models is their reliance on a single index to measure and monitor defoliation events. Prior remote sensing models rely on measuring change in greenness to </w:t>
      </w:r>
      <w:r>
        <w:rPr>
          <w:rFonts w:ascii="Garamond" w:eastAsia="Garamond" w:hAnsi="Garamond" w:cs="Garamond"/>
          <w:color w:val="0E101A"/>
          <w:sz w:val="22"/>
          <w:szCs w:val="22"/>
        </w:rPr>
        <w:lastRenderedPageBreak/>
        <w:t>identify potential defoliation. The goal of this project was to improve defoliation identification by using a Random Forest model, a supervised classification method, that allows the input of multiple predictor variables to classify potential defoliation events.</w:t>
      </w:r>
    </w:p>
    <w:p w14:paraId="00000022" w14:textId="77777777" w:rsidR="00770242" w:rsidRDefault="00770242">
      <w:pPr>
        <w:pBdr>
          <w:top w:val="nil"/>
          <w:left w:val="nil"/>
          <w:bottom w:val="nil"/>
          <w:right w:val="nil"/>
          <w:between w:val="nil"/>
        </w:pBdr>
        <w:rPr>
          <w:rFonts w:ascii="Garamond" w:eastAsia="Garamond" w:hAnsi="Garamond" w:cs="Garamond"/>
          <w:color w:val="0E101A"/>
          <w:sz w:val="22"/>
          <w:szCs w:val="22"/>
        </w:rPr>
      </w:pPr>
    </w:p>
    <w:p w14:paraId="00000023" w14:textId="38FC542D" w:rsidR="00770242" w:rsidRDefault="00D028A4">
      <w:pPr>
        <w:rPr>
          <w:rFonts w:ascii="Garamond" w:eastAsia="Garamond" w:hAnsi="Garamond" w:cs="Garamond"/>
          <w:color w:val="0E101A"/>
          <w:sz w:val="22"/>
          <w:szCs w:val="22"/>
        </w:rPr>
      </w:pPr>
      <w:r>
        <w:rPr>
          <w:rFonts w:ascii="Garamond" w:eastAsia="Garamond" w:hAnsi="Garamond" w:cs="Garamond"/>
          <w:color w:val="0E101A"/>
          <w:sz w:val="22"/>
          <w:szCs w:val="22"/>
        </w:rPr>
        <w:t>For this feasibility project, the study area was limited to VT and NH (Figure 1). This region is defined by its mixed forests of broadleaf, deciduous, and boreal tree species. Mixed hardwood forests of maple, birch, and beech, as well as northeastern spruce-fir forests, dominate VT and NH forests. We worked with partners to reveal trends before, during, and after large defoliation events during the selected 2012 to 2021 study period.</w:t>
      </w:r>
    </w:p>
    <w:p w14:paraId="00000026" w14:textId="5B03B9D0" w:rsidR="00770242" w:rsidRDefault="00770242" w:rsidP="008125E8">
      <w:pPr>
        <w:rPr>
          <w:rFonts w:ascii="Garamond" w:eastAsia="Garamond" w:hAnsi="Garamond" w:cs="Garamond"/>
          <w:sz w:val="22"/>
          <w:szCs w:val="22"/>
        </w:rPr>
      </w:pPr>
    </w:p>
    <w:p w14:paraId="6D5D64F6" w14:textId="73A661A3" w:rsidR="008125E8" w:rsidRDefault="008125E8">
      <w:pPr>
        <w:jc w:val="center"/>
        <w:rPr>
          <w:rFonts w:ascii="Garamond" w:eastAsia="Garamond" w:hAnsi="Garamond" w:cs="Garamond"/>
          <w:sz w:val="22"/>
          <w:szCs w:val="22"/>
        </w:rPr>
      </w:pPr>
      <w:r>
        <w:rPr>
          <w:rFonts w:ascii="Garamond" w:eastAsia="Garamond" w:hAnsi="Garamond" w:cs="Garamond"/>
          <w:noProof/>
          <w:sz w:val="22"/>
          <w:szCs w:val="22"/>
        </w:rPr>
        <w:drawing>
          <wp:inline distT="0" distB="0" distL="0" distR="0" wp14:anchorId="33B8645F" wp14:editId="65C1D4ED">
            <wp:extent cx="4572000" cy="4169995"/>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4169995"/>
                    </a:xfrm>
                    <a:prstGeom prst="rect">
                      <a:avLst/>
                    </a:prstGeom>
                    <a:noFill/>
                    <a:ln>
                      <a:noFill/>
                    </a:ln>
                  </pic:spPr>
                </pic:pic>
              </a:graphicData>
            </a:graphic>
          </wp:inline>
        </w:drawing>
      </w:r>
    </w:p>
    <w:p w14:paraId="502CE019" w14:textId="77777777" w:rsidR="008125E8" w:rsidRDefault="008125E8">
      <w:pPr>
        <w:jc w:val="center"/>
        <w:rPr>
          <w:rFonts w:ascii="Garamond" w:eastAsia="Garamond" w:hAnsi="Garamond" w:cs="Garamond"/>
          <w:sz w:val="22"/>
          <w:szCs w:val="22"/>
        </w:rPr>
      </w:pPr>
    </w:p>
    <w:p w14:paraId="00000027" w14:textId="77777777" w:rsidR="00770242" w:rsidRDefault="00D028A4">
      <w:pPr>
        <w:jc w:val="center"/>
        <w:rPr>
          <w:rFonts w:ascii="Garamond" w:eastAsia="Garamond" w:hAnsi="Garamond" w:cs="Garamond"/>
          <w:sz w:val="22"/>
          <w:szCs w:val="22"/>
        </w:rPr>
      </w:pPr>
      <w:r>
        <w:rPr>
          <w:rFonts w:ascii="Garamond" w:eastAsia="Garamond" w:hAnsi="Garamond" w:cs="Garamond"/>
          <w:i/>
          <w:sz w:val="22"/>
          <w:szCs w:val="22"/>
        </w:rPr>
        <w:t>Figure 1.</w:t>
      </w:r>
      <w:r>
        <w:rPr>
          <w:rFonts w:ascii="Garamond" w:eastAsia="Garamond" w:hAnsi="Garamond" w:cs="Garamond"/>
          <w:sz w:val="22"/>
          <w:szCs w:val="22"/>
        </w:rPr>
        <w:t xml:space="preserve"> Vermont and New Hampshire deciduous forests, mixed deciduous-evergreen forests, scrubland, and woody wetlands.</w:t>
      </w:r>
    </w:p>
    <w:p w14:paraId="00000028" w14:textId="77777777" w:rsidR="00770242" w:rsidRDefault="00770242">
      <w:pPr>
        <w:rPr>
          <w:rFonts w:ascii="Garamond" w:eastAsia="Garamond" w:hAnsi="Garamond" w:cs="Garamond"/>
          <w:sz w:val="22"/>
          <w:szCs w:val="22"/>
        </w:rPr>
      </w:pPr>
    </w:p>
    <w:p w14:paraId="00000029" w14:textId="77777777" w:rsidR="00770242" w:rsidRDefault="00D028A4">
      <w:pPr>
        <w:rPr>
          <w:rFonts w:ascii="Garamond" w:eastAsia="Garamond" w:hAnsi="Garamond" w:cs="Garamond"/>
          <w:b/>
          <w:i/>
          <w:sz w:val="22"/>
          <w:szCs w:val="22"/>
        </w:rPr>
      </w:pPr>
      <w:r>
        <w:rPr>
          <w:rFonts w:ascii="Garamond" w:eastAsia="Garamond" w:hAnsi="Garamond" w:cs="Garamond"/>
          <w:b/>
          <w:i/>
          <w:sz w:val="22"/>
          <w:szCs w:val="22"/>
        </w:rPr>
        <w:t>2.2 Project Partners &amp; Objectives</w:t>
      </w:r>
    </w:p>
    <w:p w14:paraId="0000002A" w14:textId="77777777" w:rsidR="00770242" w:rsidRDefault="00D028A4">
      <w:pPr>
        <w:rPr>
          <w:rFonts w:ascii="Garamond" w:eastAsia="Garamond" w:hAnsi="Garamond" w:cs="Garamond"/>
          <w:sz w:val="22"/>
          <w:szCs w:val="22"/>
        </w:rPr>
      </w:pPr>
      <w:r>
        <w:rPr>
          <w:rFonts w:ascii="Garamond" w:eastAsia="Garamond" w:hAnsi="Garamond" w:cs="Garamond"/>
          <w:sz w:val="22"/>
          <w:szCs w:val="22"/>
        </w:rPr>
        <w:t xml:space="preserve">Our DEVELOP team partnered with the Forest Ecosystem Monitoring Cooperative (FEMC), the Vermont Agency of Agriculture, Food and Markets (VAAFM), the University of New Hampshire Cooperative Extension (UNH Extension), and the New Hampshire Division of Forests and Lands, Forest Health Program in our effort to monitor trends in defoliation by </w:t>
      </w:r>
      <w:r>
        <w:rPr>
          <w:rFonts w:ascii="Garamond" w:eastAsia="Garamond" w:hAnsi="Garamond" w:cs="Garamond"/>
          <w:i/>
          <w:sz w:val="22"/>
          <w:szCs w:val="22"/>
        </w:rPr>
        <w:t xml:space="preserve">L. dispar </w:t>
      </w:r>
      <w:r>
        <w:rPr>
          <w:rFonts w:ascii="Garamond" w:eastAsia="Garamond" w:hAnsi="Garamond" w:cs="Garamond"/>
          <w:sz w:val="22"/>
          <w:szCs w:val="22"/>
        </w:rPr>
        <w:t xml:space="preserve">in VT and NH. FEMC monitors northeastern temperate forest regions to track long-term trends in ecosystem health. VAAFM is involved with protecting VT’s agriculture from threats including invasive insects like </w:t>
      </w:r>
      <w:r>
        <w:rPr>
          <w:rFonts w:ascii="Garamond" w:eastAsia="Garamond" w:hAnsi="Garamond" w:cs="Garamond"/>
          <w:i/>
          <w:sz w:val="22"/>
          <w:szCs w:val="22"/>
        </w:rPr>
        <w:t>L. dispar</w:t>
      </w:r>
      <w:r>
        <w:rPr>
          <w:rFonts w:ascii="Garamond" w:eastAsia="Garamond" w:hAnsi="Garamond" w:cs="Garamond"/>
          <w:sz w:val="22"/>
          <w:szCs w:val="22"/>
        </w:rPr>
        <w:t>. The UNH Extension protects NH’s natural resources by providing communities with education on forest health and invasive pest management. The Forest Health Program with the NH Division of Forests and Lands addresses forest pest challenges by monitoring damage using aerial surveys and ground observations as well as working alongside landowners.</w:t>
      </w:r>
    </w:p>
    <w:p w14:paraId="0000002B" w14:textId="77777777" w:rsidR="00770242" w:rsidRDefault="00770242">
      <w:pPr>
        <w:rPr>
          <w:rFonts w:ascii="Garamond" w:eastAsia="Garamond" w:hAnsi="Garamond" w:cs="Garamond"/>
          <w:sz w:val="22"/>
          <w:szCs w:val="22"/>
        </w:rPr>
      </w:pPr>
    </w:p>
    <w:p w14:paraId="0000002C" w14:textId="77777777" w:rsidR="00770242" w:rsidRDefault="00D028A4">
      <w:pPr>
        <w:rPr>
          <w:rFonts w:ascii="Garamond" w:eastAsia="Garamond" w:hAnsi="Garamond" w:cs="Garamond"/>
          <w:sz w:val="22"/>
          <w:szCs w:val="22"/>
        </w:rPr>
      </w:pPr>
      <w:r>
        <w:rPr>
          <w:rFonts w:ascii="Garamond" w:eastAsia="Garamond" w:hAnsi="Garamond" w:cs="Garamond"/>
          <w:sz w:val="22"/>
          <w:szCs w:val="22"/>
        </w:rPr>
        <w:t xml:space="preserve">The partner organizations have used aerial surveys to locate </w:t>
      </w:r>
      <w:r>
        <w:rPr>
          <w:rFonts w:ascii="Garamond" w:eastAsia="Garamond" w:hAnsi="Garamond" w:cs="Garamond"/>
          <w:i/>
          <w:sz w:val="22"/>
          <w:szCs w:val="22"/>
        </w:rPr>
        <w:t xml:space="preserve">L. dispar </w:t>
      </w:r>
      <w:r>
        <w:rPr>
          <w:rFonts w:ascii="Garamond" w:eastAsia="Garamond" w:hAnsi="Garamond" w:cs="Garamond"/>
          <w:sz w:val="22"/>
          <w:szCs w:val="22"/>
        </w:rPr>
        <w:t>outbreaks and subsequent defoliation. However, they are interested in other forms of modeling that accurately identify defoliation extent in VT and NH, particularly following low-severity defoliation events which are less likely to be captured using aerial survey methods. Quantitative assessments of annual change in defoliation over this period can support partners in understanding defoliation trends as well as the environmental and geographical factors that may be correlated with outbreak events. The objectives of this project were to provide partners with potential defoliation extent maps for 2012–2021 and a Google Earth Engine (GEE) tool for comparing defoliation extent across the ten-year study period. We also created an ArcGIS StoryMap to communicate the project’s results to the partner organizations and the general public in support of project partners’ outreach and education efforts.</w:t>
      </w:r>
    </w:p>
    <w:p w14:paraId="0000002D" w14:textId="77777777" w:rsidR="00770242" w:rsidRDefault="00770242">
      <w:pPr>
        <w:rPr>
          <w:rFonts w:ascii="Garamond" w:eastAsia="Garamond" w:hAnsi="Garamond" w:cs="Garamond"/>
          <w:sz w:val="22"/>
          <w:szCs w:val="22"/>
        </w:rPr>
      </w:pPr>
    </w:p>
    <w:p w14:paraId="0000002E" w14:textId="77777777" w:rsidR="00770242" w:rsidRDefault="00D028A4">
      <w:pPr>
        <w:pStyle w:val="Heading1"/>
        <w:spacing w:before="0"/>
        <w:rPr>
          <w:rFonts w:ascii="Garamond" w:eastAsia="Garamond" w:hAnsi="Garamond" w:cs="Garamond"/>
          <w:sz w:val="22"/>
          <w:szCs w:val="22"/>
        </w:rPr>
      </w:pPr>
      <w:bookmarkStart w:id="1" w:name="_heading=h.30j0zll" w:colFirst="0" w:colLast="0"/>
      <w:bookmarkEnd w:id="1"/>
      <w:r>
        <w:rPr>
          <w:rFonts w:ascii="Garamond" w:eastAsia="Garamond" w:hAnsi="Garamond" w:cs="Garamond"/>
          <w:sz w:val="22"/>
          <w:szCs w:val="22"/>
        </w:rPr>
        <w:t>3. Methodology</w:t>
      </w:r>
    </w:p>
    <w:p w14:paraId="0000002F" w14:textId="77777777" w:rsidR="00770242" w:rsidRDefault="00D028A4">
      <w:pPr>
        <w:rPr>
          <w:rFonts w:ascii="Garamond" w:eastAsia="Garamond" w:hAnsi="Garamond" w:cs="Garamond"/>
          <w:b/>
          <w:i/>
          <w:sz w:val="22"/>
          <w:szCs w:val="22"/>
          <w:highlight w:val="yellow"/>
        </w:rPr>
      </w:pPr>
      <w:r>
        <w:rPr>
          <w:rFonts w:ascii="Garamond" w:eastAsia="Garamond" w:hAnsi="Garamond" w:cs="Garamond"/>
          <w:b/>
          <w:i/>
          <w:sz w:val="22"/>
          <w:szCs w:val="22"/>
        </w:rPr>
        <w:t>3.1 Data Acquisition</w:t>
      </w:r>
    </w:p>
    <w:p w14:paraId="00000030" w14:textId="77777777" w:rsidR="00770242" w:rsidRDefault="00D028A4">
      <w:pPr>
        <w:rPr>
          <w:rFonts w:ascii="Garamond" w:eastAsia="Garamond" w:hAnsi="Garamond" w:cs="Garamond"/>
          <w:sz w:val="22"/>
          <w:szCs w:val="22"/>
        </w:rPr>
      </w:pPr>
      <w:r>
        <w:rPr>
          <w:rFonts w:ascii="Garamond" w:eastAsia="Garamond" w:hAnsi="Garamond" w:cs="Garamond"/>
          <w:sz w:val="22"/>
          <w:szCs w:val="22"/>
        </w:rPr>
        <w:t xml:space="preserve">To generate annual defoliation extent maps for 2012–2021, we classified defoliation severity across the VT and NH study area using Random Forest classification in GEE. The Topographically Integrated Geographic Encoding and Referencing (TIGER) U.S. Census States 2018 dataset was used to delineate the VT and NH study area geometry in GEE. Next, in the absence of ground data on </w:t>
      </w:r>
      <w:r>
        <w:rPr>
          <w:rFonts w:ascii="Garamond" w:eastAsia="Garamond" w:hAnsi="Garamond" w:cs="Garamond"/>
          <w:i/>
          <w:sz w:val="22"/>
          <w:szCs w:val="22"/>
        </w:rPr>
        <w:t xml:space="preserve">L. dispar </w:t>
      </w:r>
      <w:r>
        <w:rPr>
          <w:rFonts w:ascii="Garamond" w:eastAsia="Garamond" w:hAnsi="Garamond" w:cs="Garamond"/>
          <w:sz w:val="22"/>
          <w:szCs w:val="22"/>
        </w:rPr>
        <w:t xml:space="preserve">defoliation events during our study period, we gathered the following datasets to generate 7337 points of defoliation events that occurred in our study area and period to train our Random Forest model to identify defoliation. First, we utilized aerial surveys conducted in 2017, 2018, and 2021 by the Forest Health Program with the NH Division of Forests and Lands to measure defoliation caused by </w:t>
      </w:r>
      <w:r>
        <w:rPr>
          <w:rFonts w:ascii="Garamond" w:eastAsia="Garamond" w:hAnsi="Garamond" w:cs="Garamond"/>
          <w:i/>
          <w:sz w:val="22"/>
          <w:szCs w:val="22"/>
        </w:rPr>
        <w:t xml:space="preserve">L. dispar, </w:t>
      </w:r>
      <w:r>
        <w:rPr>
          <w:rFonts w:ascii="Garamond" w:eastAsia="Garamond" w:hAnsi="Garamond" w:cs="Garamond"/>
          <w:sz w:val="22"/>
          <w:szCs w:val="22"/>
        </w:rPr>
        <w:t xml:space="preserve">which were contained in shapefiles with geometries indicating observed defoliation and their associated severity rating (light, moderate, or severe defoliation). The landcover band of the 2016 National Land Cover Database (NLCD) was used to mask out regions of our study area that were not deciduous forests, mixed deciduous-evergreen forests, scrubland, and woody wetlands and, therefore, unlikely to experience defoliation during </w:t>
      </w:r>
      <w:r>
        <w:rPr>
          <w:rFonts w:ascii="Garamond" w:eastAsia="Garamond" w:hAnsi="Garamond" w:cs="Garamond"/>
          <w:i/>
          <w:sz w:val="22"/>
          <w:szCs w:val="22"/>
        </w:rPr>
        <w:t xml:space="preserve">L. dispar </w:t>
      </w:r>
      <w:r>
        <w:rPr>
          <w:rFonts w:ascii="Garamond" w:eastAsia="Garamond" w:hAnsi="Garamond" w:cs="Garamond"/>
          <w:sz w:val="22"/>
          <w:szCs w:val="22"/>
        </w:rPr>
        <w:t xml:space="preserve">outbreaks. For the survey years, we used harmonic condition-monitoring scripts authored by Dr. Valerie Pasquarella to create layers that identified decreases in greenness in our study area, which indicate additional areas of potential defoliation due to </w:t>
      </w:r>
      <w:r>
        <w:rPr>
          <w:rFonts w:ascii="Garamond" w:eastAsia="Garamond" w:hAnsi="Garamond" w:cs="Garamond"/>
          <w:i/>
          <w:sz w:val="22"/>
          <w:szCs w:val="22"/>
        </w:rPr>
        <w:t>L. dispar</w:t>
      </w:r>
      <w:r>
        <w:rPr>
          <w:rFonts w:ascii="Garamond" w:eastAsia="Garamond" w:hAnsi="Garamond" w:cs="Garamond"/>
          <w:sz w:val="22"/>
          <w:szCs w:val="22"/>
        </w:rPr>
        <w:t>.</w:t>
      </w:r>
    </w:p>
    <w:p w14:paraId="00000031" w14:textId="77777777" w:rsidR="00770242" w:rsidRDefault="00770242">
      <w:pPr>
        <w:rPr>
          <w:rFonts w:ascii="Garamond" w:eastAsia="Garamond" w:hAnsi="Garamond" w:cs="Garamond"/>
          <w:sz w:val="22"/>
          <w:szCs w:val="22"/>
        </w:rPr>
      </w:pPr>
    </w:p>
    <w:p w14:paraId="00000032" w14:textId="078363C9" w:rsidR="00770242" w:rsidRDefault="00D028A4">
      <w:pPr>
        <w:rPr>
          <w:rFonts w:ascii="Garamond" w:eastAsia="Garamond" w:hAnsi="Garamond" w:cs="Garamond"/>
          <w:sz w:val="22"/>
          <w:szCs w:val="22"/>
        </w:rPr>
      </w:pPr>
      <w:r>
        <w:rPr>
          <w:rFonts w:ascii="Garamond" w:eastAsia="Garamond" w:hAnsi="Garamond" w:cs="Garamond"/>
          <w:sz w:val="22"/>
          <w:szCs w:val="22"/>
        </w:rPr>
        <w:t xml:space="preserve">Once we generated the training points necessary to create a training dataset, we gathered environmental predictor variables that may contribute to </w:t>
      </w:r>
      <w:r>
        <w:rPr>
          <w:rFonts w:ascii="Garamond" w:eastAsia="Garamond" w:hAnsi="Garamond" w:cs="Garamond"/>
          <w:i/>
          <w:sz w:val="22"/>
          <w:szCs w:val="22"/>
        </w:rPr>
        <w:t xml:space="preserve">L. dispar </w:t>
      </w:r>
      <w:r>
        <w:rPr>
          <w:rFonts w:ascii="Garamond" w:eastAsia="Garamond" w:hAnsi="Garamond" w:cs="Garamond"/>
          <w:sz w:val="22"/>
          <w:szCs w:val="22"/>
        </w:rPr>
        <w:t xml:space="preserve">outbreaks for every year from 2012 to 2021 to improve the accuracy of the Random Forest defoliation classifier. The vegetation indices that functioned as predictor variables were derived from imagery collected by the Landsat 8 Operational Land Imager (OLI) and Landsat 7 Enhanced Thematic Mapper Plus (ETM+). We refined the time period during which we measured summer indices </w:t>
      </w:r>
      <w:r w:rsidR="00D667E3">
        <w:rPr>
          <w:rFonts w:ascii="Garamond" w:eastAsia="Garamond" w:hAnsi="Garamond" w:cs="Garamond"/>
          <w:sz w:val="22"/>
          <w:szCs w:val="22"/>
        </w:rPr>
        <w:t>from</w:t>
      </w:r>
      <w:r>
        <w:rPr>
          <w:rFonts w:ascii="Garamond" w:eastAsia="Garamond" w:hAnsi="Garamond" w:cs="Garamond"/>
          <w:sz w:val="22"/>
          <w:szCs w:val="22"/>
        </w:rPr>
        <w:t xml:space="preserve"> June 1 to September 1 to improve the likelihood of capturing defoliation caused by </w:t>
      </w:r>
      <w:r>
        <w:rPr>
          <w:rFonts w:ascii="Garamond" w:eastAsia="Garamond" w:hAnsi="Garamond" w:cs="Garamond"/>
          <w:i/>
          <w:sz w:val="22"/>
          <w:szCs w:val="22"/>
        </w:rPr>
        <w:t>L. dispar</w:t>
      </w:r>
      <w:r>
        <w:rPr>
          <w:rFonts w:ascii="Garamond" w:eastAsia="Garamond" w:hAnsi="Garamond" w:cs="Garamond"/>
          <w:sz w:val="22"/>
          <w:szCs w:val="22"/>
        </w:rPr>
        <w:t xml:space="preserve">, which peaks mid-June through late July, while generating enough images to cover our study area after cloud filtering and masking. Spring indices from April 1 to June 1 were also collected to help the classifier differentiate winter logging from summer defoliation. Surface temperature data, which were acquired from the Landsat 8 Thermal Infrared Sensor (TIRS) and Landsat 7 ETM+, may play a role in limiting the extent of </w:t>
      </w:r>
      <w:r>
        <w:rPr>
          <w:rFonts w:ascii="Garamond" w:eastAsia="Garamond" w:hAnsi="Garamond" w:cs="Garamond"/>
          <w:i/>
          <w:sz w:val="22"/>
          <w:szCs w:val="22"/>
        </w:rPr>
        <w:t>L. dispar</w:t>
      </w:r>
      <w:r>
        <w:rPr>
          <w:rFonts w:ascii="Garamond" w:eastAsia="Garamond" w:hAnsi="Garamond" w:cs="Garamond"/>
          <w:sz w:val="22"/>
          <w:szCs w:val="22"/>
        </w:rPr>
        <w:t xml:space="preserve"> and, therefore, defoliation (</w:t>
      </w:r>
      <w:r w:rsidR="00185219">
        <w:rPr>
          <w:rFonts w:ascii="Garamond" w:eastAsia="Garamond" w:hAnsi="Garamond" w:cs="Garamond"/>
          <w:color w:val="000000"/>
          <w:sz w:val="22"/>
          <w:szCs w:val="22"/>
        </w:rPr>
        <w:t>Reilly</w:t>
      </w:r>
      <w:r w:rsidR="00185219">
        <w:rPr>
          <w:rFonts w:ascii="Garamond" w:eastAsia="Garamond" w:hAnsi="Garamond" w:cs="Garamond"/>
          <w:sz w:val="22"/>
          <w:szCs w:val="22"/>
        </w:rPr>
        <w:t xml:space="preserve"> </w:t>
      </w:r>
      <w:r>
        <w:rPr>
          <w:rFonts w:ascii="Garamond" w:eastAsia="Garamond" w:hAnsi="Garamond" w:cs="Garamond"/>
          <w:sz w:val="22"/>
          <w:szCs w:val="22"/>
        </w:rPr>
        <w:t xml:space="preserve">et al., 2014). Elevation, slope, and aspect impact </w:t>
      </w:r>
      <w:r>
        <w:rPr>
          <w:rFonts w:ascii="Garamond" w:eastAsia="Garamond" w:hAnsi="Garamond" w:cs="Garamond"/>
          <w:i/>
          <w:sz w:val="22"/>
          <w:szCs w:val="22"/>
        </w:rPr>
        <w:t xml:space="preserve">L. dispar </w:t>
      </w:r>
      <w:r>
        <w:rPr>
          <w:rFonts w:ascii="Garamond" w:eastAsia="Garamond" w:hAnsi="Garamond" w:cs="Garamond"/>
          <w:sz w:val="22"/>
          <w:szCs w:val="22"/>
        </w:rPr>
        <w:t xml:space="preserve">population growth (Walter et al., 2015) and were gathered from Version 4 of the Shuttle Radar Topography Mission (SRTM) dataset. Spring precipitation, drought severity, humidity, and soil moisture all have implications for </w:t>
      </w:r>
      <w:r>
        <w:rPr>
          <w:rFonts w:ascii="Garamond" w:eastAsia="Garamond" w:hAnsi="Garamond" w:cs="Garamond"/>
          <w:i/>
          <w:sz w:val="22"/>
          <w:szCs w:val="22"/>
        </w:rPr>
        <w:t>E. maimaiga</w:t>
      </w:r>
      <w:r>
        <w:rPr>
          <w:rFonts w:ascii="Garamond" w:eastAsia="Garamond" w:hAnsi="Garamond" w:cs="Garamond"/>
          <w:sz w:val="22"/>
          <w:szCs w:val="22"/>
        </w:rPr>
        <w:t xml:space="preserve">, a fungal agent that prefers a moist environment and regulates populations of </w:t>
      </w:r>
      <w:r>
        <w:rPr>
          <w:rFonts w:ascii="Garamond" w:eastAsia="Garamond" w:hAnsi="Garamond" w:cs="Garamond"/>
          <w:i/>
          <w:sz w:val="22"/>
          <w:szCs w:val="22"/>
        </w:rPr>
        <w:t xml:space="preserve">L. dispar </w:t>
      </w:r>
      <w:r>
        <w:rPr>
          <w:rFonts w:ascii="Garamond" w:eastAsia="Garamond" w:hAnsi="Garamond" w:cs="Garamond"/>
          <w:sz w:val="22"/>
          <w:szCs w:val="22"/>
        </w:rPr>
        <w:t xml:space="preserve">(Pasquarella et al., 2017; Reilly et al., 2014). We obtained precipitation data from the Climate Hazards Group InfraRed Precipitation with Station (CHIRPS) and the Global Precipitation Measurement (GPM) Integrated Multi-satellitE Retrievals for GPM (IMERG). We sourced the Palmer Drought Severity Index (PDSI) and specific humidity from the University of Idaho’s Gridded Surface Meteorological (gridMET) dataset, and soil moisture measurements from the Soil Moisture Active Passive (SMAP) mission. Data on snow cover, which insulates egg masses from low temperature and thereby increases winter survival of egg masses at ground level (Andresen et al., 2001), were retrieved from the Terra Moderate Resolution Imaging </w:t>
      </w:r>
      <w:r>
        <w:rPr>
          <w:rFonts w:ascii="Garamond" w:eastAsia="Garamond" w:hAnsi="Garamond" w:cs="Garamond"/>
          <w:sz w:val="22"/>
          <w:szCs w:val="22"/>
        </w:rPr>
        <w:lastRenderedPageBreak/>
        <w:t xml:space="preserve">Spectroradiometer (MODIS). The aforementioned Earth observations of precipitation, drought severity, snow cover, and humidity are available in Google Earth Engine. </w:t>
      </w:r>
      <w:r w:rsidR="000A69C9" w:rsidRPr="000A69C9">
        <w:rPr>
          <w:rFonts w:ascii="Garamond" w:eastAsia="Garamond" w:hAnsi="Garamond" w:cs="Garamond"/>
          <w:sz w:val="22"/>
          <w:szCs w:val="22"/>
        </w:rPr>
        <w:t>Soil nitrogen concentrations are also negatively correlated with</w:t>
      </w:r>
      <w:r w:rsidR="000A69C9">
        <w:rPr>
          <w:rFonts w:ascii="Garamond" w:eastAsia="Garamond" w:hAnsi="Garamond" w:cs="Garamond"/>
          <w:sz w:val="22"/>
          <w:szCs w:val="22"/>
        </w:rPr>
        <w:t xml:space="preserve"> </w:t>
      </w:r>
      <w:r w:rsidR="000A69C9" w:rsidRPr="000A69C9">
        <w:rPr>
          <w:rFonts w:ascii="Garamond" w:eastAsia="Garamond" w:hAnsi="Garamond" w:cs="Garamond"/>
          <w:i/>
          <w:iCs/>
          <w:sz w:val="22"/>
          <w:szCs w:val="22"/>
        </w:rPr>
        <w:t>L. dispar</w:t>
      </w:r>
      <w:r w:rsidR="000A69C9" w:rsidRPr="000A69C9">
        <w:rPr>
          <w:rFonts w:ascii="Garamond" w:eastAsia="Garamond" w:hAnsi="Garamond" w:cs="Garamond"/>
          <w:sz w:val="22"/>
          <w:szCs w:val="22"/>
        </w:rPr>
        <w:t xml:space="preserve"> defoliation and potential tree mortality (Conrad-Rooney et al., 2021). </w:t>
      </w:r>
      <w:r w:rsidR="000A69C9">
        <w:rPr>
          <w:rFonts w:ascii="Garamond" w:eastAsia="Garamond" w:hAnsi="Garamond" w:cs="Garamond"/>
          <w:sz w:val="22"/>
          <w:szCs w:val="22"/>
        </w:rPr>
        <w:t xml:space="preserve">As </w:t>
      </w:r>
      <w:r>
        <w:rPr>
          <w:rFonts w:ascii="Garamond" w:eastAsia="Garamond" w:hAnsi="Garamond" w:cs="Garamond"/>
          <w:sz w:val="22"/>
          <w:szCs w:val="22"/>
        </w:rPr>
        <w:t xml:space="preserve">the prediction precision of soil nitrogen content decreases with soil depth (Wang et al., 2017), we selected mean nitrogen content at a depth of 5-15cm from the International Soil Reference and Information Centre (ISRIC) World Soil Information dataset. </w:t>
      </w:r>
    </w:p>
    <w:p w14:paraId="00000033" w14:textId="77777777" w:rsidR="00770242" w:rsidRDefault="00770242">
      <w:pPr>
        <w:rPr>
          <w:rFonts w:ascii="Garamond" w:eastAsia="Garamond" w:hAnsi="Garamond" w:cs="Garamond"/>
          <w:sz w:val="22"/>
          <w:szCs w:val="22"/>
        </w:rPr>
      </w:pPr>
    </w:p>
    <w:p w14:paraId="00000034" w14:textId="5DCC8706" w:rsidR="00770242" w:rsidRDefault="00D028A4">
      <w:pPr>
        <w:rPr>
          <w:rFonts w:ascii="Garamond" w:eastAsia="Garamond" w:hAnsi="Garamond" w:cs="Garamond"/>
          <w:sz w:val="22"/>
          <w:szCs w:val="22"/>
        </w:rPr>
      </w:pPr>
      <w:r>
        <w:rPr>
          <w:rFonts w:ascii="Garamond" w:eastAsia="Garamond" w:hAnsi="Garamond" w:cs="Garamond"/>
          <w:sz w:val="22"/>
          <w:szCs w:val="22"/>
        </w:rPr>
        <w:t>Next, we gathered all predictor variables by year</w:t>
      </w:r>
      <w:r w:rsidR="002F5FF3">
        <w:rPr>
          <w:rFonts w:ascii="Garamond" w:eastAsia="Garamond" w:hAnsi="Garamond" w:cs="Garamond"/>
          <w:sz w:val="22"/>
          <w:szCs w:val="22"/>
        </w:rPr>
        <w:t>, creating one set</w:t>
      </w:r>
      <w:r>
        <w:rPr>
          <w:rFonts w:ascii="Garamond" w:eastAsia="Garamond" w:hAnsi="Garamond" w:cs="Garamond"/>
          <w:sz w:val="22"/>
          <w:szCs w:val="22"/>
        </w:rPr>
        <w:t xml:space="preserve"> to describ</w:t>
      </w:r>
      <w:r w:rsidR="002F5FF3">
        <w:rPr>
          <w:rFonts w:ascii="Garamond" w:eastAsia="Garamond" w:hAnsi="Garamond" w:cs="Garamond"/>
          <w:sz w:val="22"/>
          <w:szCs w:val="22"/>
        </w:rPr>
        <w:t>e</w:t>
      </w:r>
      <w:r>
        <w:rPr>
          <w:rFonts w:ascii="Garamond" w:eastAsia="Garamond" w:hAnsi="Garamond" w:cs="Garamond"/>
          <w:sz w:val="22"/>
          <w:szCs w:val="22"/>
        </w:rPr>
        <w:t xml:space="preserve"> conditions for each of the 10 years</w:t>
      </w:r>
      <w:r w:rsidR="002F5FF3" w:rsidRPr="002F5FF3">
        <w:rPr>
          <w:rFonts w:eastAsia="Garamond"/>
          <w:sz w:val="22"/>
          <w:szCs w:val="22"/>
        </w:rPr>
        <w:t>⁠</w:t>
      </w:r>
      <w:r w:rsidR="002F5FF3" w:rsidRPr="002F5FF3">
        <w:rPr>
          <w:rFonts w:ascii="Garamond" w:eastAsia="Garamond" w:hAnsi="Garamond" w:cs="Garamond"/>
          <w:sz w:val="22"/>
          <w:szCs w:val="22"/>
        </w:rPr>
        <w:t>—</w:t>
      </w:r>
      <w:r w:rsidR="002F5FF3">
        <w:rPr>
          <w:rFonts w:ascii="Garamond" w:eastAsia="Garamond" w:hAnsi="Garamond" w:cs="Garamond"/>
          <w:sz w:val="22"/>
          <w:szCs w:val="22"/>
        </w:rPr>
        <w:t>so, 10 sets in total</w:t>
      </w:r>
      <w:r>
        <w:rPr>
          <w:rFonts w:ascii="Garamond" w:eastAsia="Garamond" w:hAnsi="Garamond" w:cs="Garamond"/>
          <w:sz w:val="22"/>
          <w:szCs w:val="22"/>
        </w:rPr>
        <w:t xml:space="preserve">. Climate data including precipitation, drought severity, humidity, and soil moisture were filtered annually </w:t>
      </w:r>
      <w:r w:rsidR="00D667E3">
        <w:rPr>
          <w:rFonts w:ascii="Garamond" w:eastAsia="Garamond" w:hAnsi="Garamond" w:cs="Garamond"/>
          <w:sz w:val="22"/>
          <w:szCs w:val="22"/>
        </w:rPr>
        <w:t>from</w:t>
      </w:r>
      <w:r>
        <w:rPr>
          <w:rFonts w:ascii="Garamond" w:eastAsia="Garamond" w:hAnsi="Garamond" w:cs="Garamond"/>
          <w:sz w:val="22"/>
          <w:szCs w:val="22"/>
        </w:rPr>
        <w:t xml:space="preserve"> May 1 to August 1 to capture the spring season, a period when moisture affects the survival and summer abundance of </w:t>
      </w:r>
      <w:r>
        <w:rPr>
          <w:rFonts w:ascii="Garamond" w:eastAsia="Garamond" w:hAnsi="Garamond" w:cs="Garamond"/>
          <w:i/>
          <w:sz w:val="22"/>
          <w:szCs w:val="22"/>
        </w:rPr>
        <w:t xml:space="preserve">E. maimaiga </w:t>
      </w:r>
      <w:r>
        <w:rPr>
          <w:rFonts w:ascii="Garamond" w:eastAsia="Garamond" w:hAnsi="Garamond" w:cs="Garamond"/>
          <w:sz w:val="22"/>
          <w:szCs w:val="22"/>
        </w:rPr>
        <w:t xml:space="preserve">(Pasquarella et al., 2017; Reilly et al., 2014). Snow cover was filtered annually to winter months from December 1 to March 1, when snow and cold temperatures typically occur throughout the two states. The Existing Vegetation Type (EVT) classification from the U.S. Geological Survey provided a detailed distinction between vegetation types in our study area, which may correlate to defoliation due to </w:t>
      </w:r>
      <w:r>
        <w:rPr>
          <w:rFonts w:ascii="Garamond" w:eastAsia="Garamond" w:hAnsi="Garamond" w:cs="Garamond"/>
          <w:i/>
          <w:sz w:val="22"/>
          <w:szCs w:val="22"/>
        </w:rPr>
        <w:t>L. dispar</w:t>
      </w:r>
      <w:r>
        <w:rPr>
          <w:rFonts w:ascii="Garamond" w:eastAsia="Garamond" w:hAnsi="Garamond" w:cs="Garamond"/>
          <w:sz w:val="22"/>
          <w:szCs w:val="22"/>
        </w:rPr>
        <w:t xml:space="preserve">’s host preferences. Finally, the mean Tasseled Cap Greenness (TCG) change scores derived from Dr. Valerie Pasquarella’s harmonic condition monitoring scripts were brought in as a predictor variable because greenness decrease is very closely tied to defoliation. </w:t>
      </w:r>
    </w:p>
    <w:p w14:paraId="00000035" w14:textId="77777777" w:rsidR="00770242" w:rsidRDefault="00770242">
      <w:pPr>
        <w:spacing w:line="276" w:lineRule="auto"/>
        <w:rPr>
          <w:rFonts w:ascii="Garamond" w:eastAsia="Garamond" w:hAnsi="Garamond" w:cs="Garamond"/>
          <w:color w:val="000000"/>
          <w:sz w:val="22"/>
          <w:szCs w:val="22"/>
        </w:rPr>
      </w:pPr>
    </w:p>
    <w:p w14:paraId="00000036" w14:textId="77777777" w:rsidR="00770242" w:rsidRDefault="00D028A4">
      <w:pPr>
        <w:rPr>
          <w:rFonts w:ascii="Garamond" w:eastAsia="Garamond" w:hAnsi="Garamond" w:cs="Garamond"/>
          <w:color w:val="000000"/>
          <w:sz w:val="22"/>
          <w:szCs w:val="22"/>
        </w:rPr>
      </w:pPr>
      <w:r>
        <w:rPr>
          <w:rFonts w:ascii="Garamond" w:eastAsia="Garamond" w:hAnsi="Garamond" w:cs="Garamond"/>
          <w:color w:val="000000"/>
          <w:sz w:val="22"/>
          <w:szCs w:val="22"/>
        </w:rPr>
        <w:t>Table 1</w:t>
      </w:r>
    </w:p>
    <w:p w14:paraId="00000037" w14:textId="77777777" w:rsidR="00770242" w:rsidRDefault="00D028A4">
      <w:pPr>
        <w:rPr>
          <w:rFonts w:ascii="Garamond" w:eastAsia="Garamond" w:hAnsi="Garamond" w:cs="Garamond"/>
          <w:color w:val="000000"/>
          <w:sz w:val="22"/>
          <w:szCs w:val="22"/>
        </w:rPr>
      </w:pPr>
      <w:r>
        <w:rPr>
          <w:rFonts w:ascii="Garamond" w:eastAsia="Garamond" w:hAnsi="Garamond" w:cs="Garamond"/>
          <w:i/>
          <w:color w:val="000000"/>
          <w:sz w:val="22"/>
          <w:szCs w:val="22"/>
        </w:rPr>
        <w:t>Predictor variables acquired for classifying defoliation</w:t>
      </w:r>
    </w:p>
    <w:tbl>
      <w:tblPr>
        <w:tblStyle w:val="a"/>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5"/>
        <w:gridCol w:w="2145"/>
        <w:gridCol w:w="2705"/>
        <w:gridCol w:w="1303"/>
        <w:gridCol w:w="2264"/>
      </w:tblGrid>
      <w:tr w:rsidR="00770242" w14:paraId="5A94D6AD" w14:textId="77777777">
        <w:trPr>
          <w:trHeight w:val="611"/>
        </w:trPr>
        <w:tc>
          <w:tcPr>
            <w:tcW w:w="825" w:type="dxa"/>
            <w:vAlign w:val="center"/>
          </w:tcPr>
          <w:p w14:paraId="00000038" w14:textId="77777777" w:rsidR="00770242" w:rsidRDefault="00D028A4">
            <w:pPr>
              <w:jc w:val="center"/>
              <w:rPr>
                <w:rFonts w:ascii="Garamond" w:eastAsia="Garamond" w:hAnsi="Garamond" w:cs="Garamond"/>
                <w:b/>
                <w:color w:val="000000"/>
                <w:sz w:val="22"/>
                <w:szCs w:val="22"/>
              </w:rPr>
            </w:pPr>
            <w:r>
              <w:rPr>
                <w:rFonts w:ascii="Garamond" w:eastAsia="Garamond" w:hAnsi="Garamond" w:cs="Garamond"/>
                <w:b/>
                <w:color w:val="000000"/>
                <w:sz w:val="22"/>
                <w:szCs w:val="22"/>
              </w:rPr>
              <w:t>Index</w:t>
            </w:r>
          </w:p>
        </w:tc>
        <w:tc>
          <w:tcPr>
            <w:tcW w:w="2145" w:type="dxa"/>
            <w:vAlign w:val="center"/>
          </w:tcPr>
          <w:p w14:paraId="00000039" w14:textId="77777777" w:rsidR="00770242" w:rsidRDefault="00D028A4">
            <w:pPr>
              <w:jc w:val="center"/>
              <w:rPr>
                <w:rFonts w:ascii="Garamond" w:eastAsia="Garamond" w:hAnsi="Garamond" w:cs="Garamond"/>
                <w:color w:val="000000"/>
                <w:sz w:val="22"/>
                <w:szCs w:val="22"/>
              </w:rPr>
            </w:pPr>
            <w:r>
              <w:rPr>
                <w:rFonts w:ascii="Garamond" w:eastAsia="Garamond" w:hAnsi="Garamond" w:cs="Garamond"/>
                <w:b/>
                <w:color w:val="000000"/>
                <w:sz w:val="22"/>
                <w:szCs w:val="22"/>
              </w:rPr>
              <w:t>Predictor Variable</w:t>
            </w:r>
          </w:p>
        </w:tc>
        <w:tc>
          <w:tcPr>
            <w:tcW w:w="2705" w:type="dxa"/>
            <w:vAlign w:val="center"/>
          </w:tcPr>
          <w:p w14:paraId="0000003A" w14:textId="77777777" w:rsidR="00770242" w:rsidRDefault="00D028A4">
            <w:pPr>
              <w:jc w:val="center"/>
              <w:rPr>
                <w:rFonts w:ascii="Garamond" w:eastAsia="Garamond" w:hAnsi="Garamond" w:cs="Garamond"/>
                <w:color w:val="000000"/>
                <w:sz w:val="22"/>
                <w:szCs w:val="22"/>
              </w:rPr>
            </w:pPr>
            <w:r>
              <w:rPr>
                <w:rFonts w:ascii="Garamond" w:eastAsia="Garamond" w:hAnsi="Garamond" w:cs="Garamond"/>
                <w:b/>
                <w:color w:val="000000"/>
                <w:sz w:val="22"/>
                <w:szCs w:val="22"/>
              </w:rPr>
              <w:t>Source</w:t>
            </w:r>
          </w:p>
        </w:tc>
        <w:tc>
          <w:tcPr>
            <w:tcW w:w="1303" w:type="dxa"/>
            <w:vAlign w:val="center"/>
          </w:tcPr>
          <w:p w14:paraId="0000003B" w14:textId="77777777" w:rsidR="00770242" w:rsidRDefault="00D028A4">
            <w:pPr>
              <w:jc w:val="center"/>
              <w:rPr>
                <w:rFonts w:ascii="Garamond" w:eastAsia="Garamond" w:hAnsi="Garamond" w:cs="Garamond"/>
                <w:color w:val="000000"/>
                <w:sz w:val="22"/>
                <w:szCs w:val="22"/>
              </w:rPr>
            </w:pPr>
            <w:r>
              <w:rPr>
                <w:rFonts w:ascii="Garamond" w:eastAsia="Garamond" w:hAnsi="Garamond" w:cs="Garamond"/>
                <w:b/>
                <w:color w:val="000000"/>
                <w:sz w:val="22"/>
                <w:szCs w:val="22"/>
              </w:rPr>
              <w:t>Native Resolution</w:t>
            </w:r>
          </w:p>
        </w:tc>
        <w:tc>
          <w:tcPr>
            <w:tcW w:w="2264" w:type="dxa"/>
            <w:vAlign w:val="center"/>
          </w:tcPr>
          <w:p w14:paraId="0000003C" w14:textId="77777777" w:rsidR="00770242" w:rsidRDefault="00D028A4">
            <w:pPr>
              <w:jc w:val="center"/>
              <w:rPr>
                <w:rFonts w:ascii="Garamond" w:eastAsia="Garamond" w:hAnsi="Garamond" w:cs="Garamond"/>
                <w:color w:val="000000"/>
                <w:sz w:val="22"/>
                <w:szCs w:val="22"/>
              </w:rPr>
            </w:pPr>
            <w:r>
              <w:rPr>
                <w:rFonts w:ascii="Garamond" w:eastAsia="Garamond" w:hAnsi="Garamond" w:cs="Garamond"/>
                <w:b/>
                <w:color w:val="000000"/>
                <w:sz w:val="22"/>
                <w:szCs w:val="22"/>
              </w:rPr>
              <w:t>Image Dates</w:t>
            </w:r>
          </w:p>
        </w:tc>
      </w:tr>
      <w:tr w:rsidR="00770242" w14:paraId="1AFC819E" w14:textId="77777777">
        <w:trPr>
          <w:trHeight w:val="359"/>
        </w:trPr>
        <w:tc>
          <w:tcPr>
            <w:tcW w:w="825" w:type="dxa"/>
            <w:vAlign w:val="center"/>
          </w:tcPr>
          <w:p w14:paraId="0000003D"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1</w:t>
            </w:r>
          </w:p>
        </w:tc>
        <w:tc>
          <w:tcPr>
            <w:tcW w:w="2145" w:type="dxa"/>
            <w:vMerge w:val="restart"/>
            <w:vAlign w:val="center"/>
          </w:tcPr>
          <w:p w14:paraId="0000003E"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Tasseled Cap Greenness (TCG)</w:t>
            </w:r>
          </w:p>
        </w:tc>
        <w:tc>
          <w:tcPr>
            <w:tcW w:w="2705" w:type="dxa"/>
            <w:vMerge w:val="restart"/>
            <w:vAlign w:val="center"/>
          </w:tcPr>
          <w:p w14:paraId="0000003F"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Landsat 8 OLI</w:t>
            </w:r>
          </w:p>
          <w:p w14:paraId="00000040" w14:textId="77777777" w:rsidR="00770242" w:rsidRDefault="00D028A4">
            <w:pPr>
              <w:jc w:val="center"/>
              <w:rPr>
                <w:rFonts w:ascii="Garamond" w:eastAsia="Garamond" w:hAnsi="Garamond" w:cs="Garamond"/>
                <w:color w:val="000000"/>
                <w:sz w:val="22"/>
                <w:szCs w:val="22"/>
              </w:rPr>
            </w:pPr>
            <w:r>
              <w:rPr>
                <w:rFonts w:ascii="Garamond" w:eastAsia="Garamond" w:hAnsi="Garamond" w:cs="Garamond"/>
                <w:color w:val="000000"/>
                <w:sz w:val="22"/>
                <w:szCs w:val="22"/>
              </w:rPr>
              <w:t>Landsat 7 ETM+</w:t>
            </w:r>
          </w:p>
        </w:tc>
        <w:tc>
          <w:tcPr>
            <w:tcW w:w="1303" w:type="dxa"/>
            <w:vMerge w:val="restart"/>
            <w:vAlign w:val="center"/>
          </w:tcPr>
          <w:p w14:paraId="00000041"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30m</w:t>
            </w:r>
          </w:p>
        </w:tc>
        <w:tc>
          <w:tcPr>
            <w:tcW w:w="2264" w:type="dxa"/>
            <w:vAlign w:val="center"/>
          </w:tcPr>
          <w:p w14:paraId="00000042"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4/1–6/1 (2012–2021)</w:t>
            </w:r>
          </w:p>
        </w:tc>
      </w:tr>
      <w:tr w:rsidR="00770242" w14:paraId="64054AE9" w14:textId="77777777">
        <w:trPr>
          <w:trHeight w:val="345"/>
        </w:trPr>
        <w:tc>
          <w:tcPr>
            <w:tcW w:w="825" w:type="dxa"/>
            <w:vAlign w:val="center"/>
          </w:tcPr>
          <w:p w14:paraId="00000043" w14:textId="77777777" w:rsidR="00770242" w:rsidRDefault="00D028A4">
            <w:pPr>
              <w:jc w:val="center"/>
              <w:rPr>
                <w:rFonts w:ascii="Garamond" w:eastAsia="Garamond" w:hAnsi="Garamond" w:cs="Garamond"/>
                <w:color w:val="000000"/>
                <w:sz w:val="22"/>
                <w:szCs w:val="22"/>
              </w:rPr>
            </w:pPr>
            <w:r>
              <w:rPr>
                <w:rFonts w:ascii="Garamond" w:eastAsia="Garamond" w:hAnsi="Garamond" w:cs="Garamond"/>
                <w:color w:val="000000"/>
                <w:sz w:val="22"/>
                <w:szCs w:val="22"/>
              </w:rPr>
              <w:t>2</w:t>
            </w:r>
          </w:p>
        </w:tc>
        <w:tc>
          <w:tcPr>
            <w:tcW w:w="2145" w:type="dxa"/>
            <w:vMerge/>
            <w:vAlign w:val="center"/>
          </w:tcPr>
          <w:p w14:paraId="00000044" w14:textId="77777777" w:rsidR="00770242" w:rsidRDefault="00770242">
            <w:pPr>
              <w:widowControl w:val="0"/>
              <w:pBdr>
                <w:top w:val="nil"/>
                <w:left w:val="nil"/>
                <w:bottom w:val="nil"/>
                <w:right w:val="nil"/>
                <w:between w:val="nil"/>
              </w:pBdr>
              <w:spacing w:line="276" w:lineRule="auto"/>
              <w:rPr>
                <w:rFonts w:ascii="Garamond" w:eastAsia="Garamond" w:hAnsi="Garamond" w:cs="Garamond"/>
                <w:color w:val="000000"/>
                <w:sz w:val="22"/>
                <w:szCs w:val="22"/>
              </w:rPr>
            </w:pPr>
          </w:p>
        </w:tc>
        <w:tc>
          <w:tcPr>
            <w:tcW w:w="2705" w:type="dxa"/>
            <w:vMerge/>
            <w:vAlign w:val="center"/>
          </w:tcPr>
          <w:p w14:paraId="00000045" w14:textId="77777777" w:rsidR="00770242" w:rsidRDefault="00770242">
            <w:pPr>
              <w:widowControl w:val="0"/>
              <w:pBdr>
                <w:top w:val="nil"/>
                <w:left w:val="nil"/>
                <w:bottom w:val="nil"/>
                <w:right w:val="nil"/>
                <w:between w:val="nil"/>
              </w:pBdr>
              <w:spacing w:line="276" w:lineRule="auto"/>
              <w:rPr>
                <w:rFonts w:ascii="Garamond" w:eastAsia="Garamond" w:hAnsi="Garamond" w:cs="Garamond"/>
                <w:color w:val="000000"/>
                <w:sz w:val="22"/>
                <w:szCs w:val="22"/>
              </w:rPr>
            </w:pPr>
          </w:p>
        </w:tc>
        <w:tc>
          <w:tcPr>
            <w:tcW w:w="1303" w:type="dxa"/>
            <w:vMerge/>
            <w:vAlign w:val="center"/>
          </w:tcPr>
          <w:p w14:paraId="00000046" w14:textId="77777777" w:rsidR="00770242" w:rsidRDefault="00770242">
            <w:pPr>
              <w:widowControl w:val="0"/>
              <w:pBdr>
                <w:top w:val="nil"/>
                <w:left w:val="nil"/>
                <w:bottom w:val="nil"/>
                <w:right w:val="nil"/>
                <w:between w:val="nil"/>
              </w:pBdr>
              <w:spacing w:line="276" w:lineRule="auto"/>
              <w:rPr>
                <w:rFonts w:ascii="Garamond" w:eastAsia="Garamond" w:hAnsi="Garamond" w:cs="Garamond"/>
                <w:color w:val="000000"/>
                <w:sz w:val="22"/>
                <w:szCs w:val="22"/>
              </w:rPr>
            </w:pPr>
          </w:p>
        </w:tc>
        <w:tc>
          <w:tcPr>
            <w:tcW w:w="2264" w:type="dxa"/>
            <w:vAlign w:val="center"/>
          </w:tcPr>
          <w:p w14:paraId="00000047"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6/1–9/1 (2012–2021)</w:t>
            </w:r>
          </w:p>
        </w:tc>
      </w:tr>
      <w:tr w:rsidR="00770242" w14:paraId="3A17B58B" w14:textId="77777777">
        <w:trPr>
          <w:trHeight w:val="420"/>
        </w:trPr>
        <w:tc>
          <w:tcPr>
            <w:tcW w:w="825" w:type="dxa"/>
            <w:vAlign w:val="center"/>
          </w:tcPr>
          <w:p w14:paraId="00000048"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3</w:t>
            </w:r>
          </w:p>
        </w:tc>
        <w:tc>
          <w:tcPr>
            <w:tcW w:w="2145" w:type="dxa"/>
            <w:vMerge w:val="restart"/>
            <w:vAlign w:val="center"/>
          </w:tcPr>
          <w:p w14:paraId="00000049"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Normalized Difference Vegetation Index (NDVI)</w:t>
            </w:r>
          </w:p>
        </w:tc>
        <w:tc>
          <w:tcPr>
            <w:tcW w:w="2705" w:type="dxa"/>
            <w:vMerge w:val="restart"/>
            <w:vAlign w:val="center"/>
          </w:tcPr>
          <w:p w14:paraId="0000004A"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Landsat 8 OLI</w:t>
            </w:r>
          </w:p>
          <w:p w14:paraId="0000004B" w14:textId="77777777" w:rsidR="00770242" w:rsidRDefault="00D028A4">
            <w:pPr>
              <w:jc w:val="center"/>
              <w:rPr>
                <w:rFonts w:ascii="Garamond" w:eastAsia="Garamond" w:hAnsi="Garamond" w:cs="Garamond"/>
                <w:color w:val="000000"/>
                <w:sz w:val="22"/>
                <w:szCs w:val="22"/>
              </w:rPr>
            </w:pPr>
            <w:r>
              <w:rPr>
                <w:rFonts w:ascii="Garamond" w:eastAsia="Garamond" w:hAnsi="Garamond" w:cs="Garamond"/>
                <w:color w:val="000000"/>
                <w:sz w:val="22"/>
                <w:szCs w:val="22"/>
              </w:rPr>
              <w:t>Landsat 7 ETM+</w:t>
            </w:r>
          </w:p>
        </w:tc>
        <w:tc>
          <w:tcPr>
            <w:tcW w:w="1303" w:type="dxa"/>
            <w:vMerge w:val="restart"/>
            <w:vAlign w:val="center"/>
          </w:tcPr>
          <w:p w14:paraId="0000004C"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30m</w:t>
            </w:r>
          </w:p>
        </w:tc>
        <w:tc>
          <w:tcPr>
            <w:tcW w:w="2264" w:type="dxa"/>
            <w:vAlign w:val="center"/>
          </w:tcPr>
          <w:p w14:paraId="0000004D"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 xml:space="preserve">4/1–6/1 (2012–2021) </w:t>
            </w:r>
          </w:p>
        </w:tc>
      </w:tr>
      <w:tr w:rsidR="00770242" w14:paraId="3A9C7ABA" w14:textId="77777777">
        <w:trPr>
          <w:trHeight w:val="354"/>
        </w:trPr>
        <w:tc>
          <w:tcPr>
            <w:tcW w:w="825" w:type="dxa"/>
            <w:vAlign w:val="center"/>
          </w:tcPr>
          <w:p w14:paraId="0000004E" w14:textId="77777777" w:rsidR="00770242" w:rsidRDefault="00D028A4">
            <w:pPr>
              <w:jc w:val="center"/>
              <w:rPr>
                <w:rFonts w:ascii="Garamond" w:eastAsia="Garamond" w:hAnsi="Garamond" w:cs="Garamond"/>
                <w:color w:val="000000"/>
                <w:sz w:val="22"/>
                <w:szCs w:val="22"/>
              </w:rPr>
            </w:pPr>
            <w:r>
              <w:rPr>
                <w:rFonts w:ascii="Garamond" w:eastAsia="Garamond" w:hAnsi="Garamond" w:cs="Garamond"/>
                <w:color w:val="000000"/>
                <w:sz w:val="22"/>
                <w:szCs w:val="22"/>
              </w:rPr>
              <w:t>4</w:t>
            </w:r>
          </w:p>
        </w:tc>
        <w:tc>
          <w:tcPr>
            <w:tcW w:w="2145" w:type="dxa"/>
            <w:vMerge/>
            <w:vAlign w:val="center"/>
          </w:tcPr>
          <w:p w14:paraId="0000004F" w14:textId="77777777" w:rsidR="00770242" w:rsidRDefault="00770242">
            <w:pPr>
              <w:widowControl w:val="0"/>
              <w:pBdr>
                <w:top w:val="nil"/>
                <w:left w:val="nil"/>
                <w:bottom w:val="nil"/>
                <w:right w:val="nil"/>
                <w:between w:val="nil"/>
              </w:pBdr>
              <w:spacing w:line="276" w:lineRule="auto"/>
              <w:rPr>
                <w:rFonts w:ascii="Garamond" w:eastAsia="Garamond" w:hAnsi="Garamond" w:cs="Garamond"/>
                <w:color w:val="000000"/>
                <w:sz w:val="22"/>
                <w:szCs w:val="22"/>
              </w:rPr>
            </w:pPr>
          </w:p>
        </w:tc>
        <w:tc>
          <w:tcPr>
            <w:tcW w:w="2705" w:type="dxa"/>
            <w:vMerge/>
            <w:vAlign w:val="center"/>
          </w:tcPr>
          <w:p w14:paraId="00000050" w14:textId="77777777" w:rsidR="00770242" w:rsidRDefault="00770242">
            <w:pPr>
              <w:widowControl w:val="0"/>
              <w:pBdr>
                <w:top w:val="nil"/>
                <w:left w:val="nil"/>
                <w:bottom w:val="nil"/>
                <w:right w:val="nil"/>
                <w:between w:val="nil"/>
              </w:pBdr>
              <w:spacing w:line="276" w:lineRule="auto"/>
              <w:rPr>
                <w:rFonts w:ascii="Garamond" w:eastAsia="Garamond" w:hAnsi="Garamond" w:cs="Garamond"/>
                <w:color w:val="000000"/>
                <w:sz w:val="22"/>
                <w:szCs w:val="22"/>
              </w:rPr>
            </w:pPr>
          </w:p>
        </w:tc>
        <w:tc>
          <w:tcPr>
            <w:tcW w:w="1303" w:type="dxa"/>
            <w:vMerge/>
            <w:vAlign w:val="center"/>
          </w:tcPr>
          <w:p w14:paraId="00000051" w14:textId="77777777" w:rsidR="00770242" w:rsidRDefault="00770242">
            <w:pPr>
              <w:widowControl w:val="0"/>
              <w:pBdr>
                <w:top w:val="nil"/>
                <w:left w:val="nil"/>
                <w:bottom w:val="nil"/>
                <w:right w:val="nil"/>
                <w:between w:val="nil"/>
              </w:pBdr>
              <w:spacing w:line="276" w:lineRule="auto"/>
              <w:rPr>
                <w:rFonts w:ascii="Garamond" w:eastAsia="Garamond" w:hAnsi="Garamond" w:cs="Garamond"/>
                <w:color w:val="000000"/>
                <w:sz w:val="22"/>
                <w:szCs w:val="22"/>
              </w:rPr>
            </w:pPr>
          </w:p>
        </w:tc>
        <w:tc>
          <w:tcPr>
            <w:tcW w:w="2264" w:type="dxa"/>
            <w:vAlign w:val="center"/>
          </w:tcPr>
          <w:p w14:paraId="00000052"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6/1–9/1 (2012–2021)</w:t>
            </w:r>
          </w:p>
        </w:tc>
      </w:tr>
      <w:tr w:rsidR="00770242" w14:paraId="5FB5FD51" w14:textId="77777777">
        <w:trPr>
          <w:trHeight w:val="585"/>
        </w:trPr>
        <w:tc>
          <w:tcPr>
            <w:tcW w:w="825" w:type="dxa"/>
            <w:vAlign w:val="center"/>
          </w:tcPr>
          <w:p w14:paraId="00000053"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5</w:t>
            </w:r>
          </w:p>
        </w:tc>
        <w:tc>
          <w:tcPr>
            <w:tcW w:w="2145" w:type="dxa"/>
            <w:vAlign w:val="center"/>
          </w:tcPr>
          <w:p w14:paraId="00000054"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NDVI Spring to Summer Difference</w:t>
            </w:r>
          </w:p>
        </w:tc>
        <w:tc>
          <w:tcPr>
            <w:tcW w:w="2705" w:type="dxa"/>
            <w:vAlign w:val="center"/>
          </w:tcPr>
          <w:p w14:paraId="00000055"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Landsat 8 OLI</w:t>
            </w:r>
          </w:p>
          <w:p w14:paraId="00000056"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Landsat 7 ETM+</w:t>
            </w:r>
          </w:p>
        </w:tc>
        <w:tc>
          <w:tcPr>
            <w:tcW w:w="1303" w:type="dxa"/>
            <w:vAlign w:val="center"/>
          </w:tcPr>
          <w:p w14:paraId="00000057"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30m</w:t>
            </w:r>
          </w:p>
        </w:tc>
        <w:tc>
          <w:tcPr>
            <w:tcW w:w="2264" w:type="dxa"/>
            <w:vAlign w:val="center"/>
          </w:tcPr>
          <w:p w14:paraId="00000058" w14:textId="77777777" w:rsidR="00770242" w:rsidRDefault="00462E20">
            <w:pPr>
              <w:spacing w:line="276" w:lineRule="auto"/>
              <w:jc w:val="center"/>
              <w:rPr>
                <w:rFonts w:ascii="Garamond" w:eastAsia="Garamond" w:hAnsi="Garamond" w:cs="Garamond"/>
                <w:color w:val="000000"/>
                <w:sz w:val="22"/>
                <w:szCs w:val="22"/>
              </w:rPr>
            </w:pPr>
            <w:sdt>
              <w:sdtPr>
                <w:tag w:val="goog_rdk_14"/>
                <w:id w:val="1077486502"/>
              </w:sdtPr>
              <w:sdtContent/>
            </w:sdt>
            <w:sdt>
              <w:sdtPr>
                <w:tag w:val="goog_rdk_15"/>
                <w:id w:val="-422641619"/>
              </w:sdtPr>
              <w:sdtContent/>
            </w:sdt>
            <w:r w:rsidR="00D028A4">
              <w:rPr>
                <w:rFonts w:ascii="Garamond" w:eastAsia="Garamond" w:hAnsi="Garamond" w:cs="Garamond"/>
                <w:color w:val="000000"/>
                <w:sz w:val="22"/>
                <w:szCs w:val="22"/>
              </w:rPr>
              <w:t>4/1–6/1 (2012–2021)</w:t>
            </w:r>
          </w:p>
          <w:p w14:paraId="00000059"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6/1–9/1 (2012–2021)</w:t>
            </w:r>
          </w:p>
        </w:tc>
      </w:tr>
      <w:tr w:rsidR="00770242" w14:paraId="63C3F001" w14:textId="77777777">
        <w:trPr>
          <w:trHeight w:val="585"/>
        </w:trPr>
        <w:tc>
          <w:tcPr>
            <w:tcW w:w="825" w:type="dxa"/>
            <w:vAlign w:val="center"/>
          </w:tcPr>
          <w:p w14:paraId="0000005A"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6</w:t>
            </w:r>
          </w:p>
        </w:tc>
        <w:tc>
          <w:tcPr>
            <w:tcW w:w="2145" w:type="dxa"/>
            <w:vAlign w:val="center"/>
          </w:tcPr>
          <w:p w14:paraId="0000005B"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NIR/Red</w:t>
            </w:r>
          </w:p>
          <w:p w14:paraId="0000005C"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(Simple Ratio)</w:t>
            </w:r>
          </w:p>
        </w:tc>
        <w:tc>
          <w:tcPr>
            <w:tcW w:w="2705" w:type="dxa"/>
            <w:vAlign w:val="center"/>
          </w:tcPr>
          <w:p w14:paraId="0000005D"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Landsat 8 OLI</w:t>
            </w:r>
          </w:p>
          <w:p w14:paraId="0000005E"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Landsat 7 ETM+</w:t>
            </w:r>
          </w:p>
        </w:tc>
        <w:tc>
          <w:tcPr>
            <w:tcW w:w="1303" w:type="dxa"/>
            <w:vAlign w:val="center"/>
          </w:tcPr>
          <w:p w14:paraId="0000005F"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30m</w:t>
            </w:r>
          </w:p>
        </w:tc>
        <w:tc>
          <w:tcPr>
            <w:tcW w:w="2264" w:type="dxa"/>
            <w:vAlign w:val="center"/>
          </w:tcPr>
          <w:p w14:paraId="00000060"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6/1–9/1 (2012–2021)</w:t>
            </w:r>
          </w:p>
        </w:tc>
      </w:tr>
      <w:tr w:rsidR="00770242" w14:paraId="6EDB3F8F" w14:textId="77777777">
        <w:trPr>
          <w:trHeight w:val="585"/>
        </w:trPr>
        <w:tc>
          <w:tcPr>
            <w:tcW w:w="825" w:type="dxa"/>
            <w:vAlign w:val="center"/>
          </w:tcPr>
          <w:p w14:paraId="00000061"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7</w:t>
            </w:r>
          </w:p>
        </w:tc>
        <w:tc>
          <w:tcPr>
            <w:tcW w:w="2145" w:type="dxa"/>
            <w:vAlign w:val="center"/>
          </w:tcPr>
          <w:p w14:paraId="00000062"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Enhanced Vegetation Index (EVI)</w:t>
            </w:r>
          </w:p>
        </w:tc>
        <w:tc>
          <w:tcPr>
            <w:tcW w:w="2705" w:type="dxa"/>
            <w:vAlign w:val="center"/>
          </w:tcPr>
          <w:p w14:paraId="00000063"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Landsat 8 OLI</w:t>
            </w:r>
          </w:p>
          <w:p w14:paraId="00000064"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Landsat 7 ETM+</w:t>
            </w:r>
          </w:p>
        </w:tc>
        <w:tc>
          <w:tcPr>
            <w:tcW w:w="1303" w:type="dxa"/>
            <w:vAlign w:val="center"/>
          </w:tcPr>
          <w:p w14:paraId="00000065"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30m</w:t>
            </w:r>
          </w:p>
        </w:tc>
        <w:tc>
          <w:tcPr>
            <w:tcW w:w="2264" w:type="dxa"/>
            <w:vAlign w:val="center"/>
          </w:tcPr>
          <w:p w14:paraId="00000066"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6/1–9/1 (2012–2021)</w:t>
            </w:r>
          </w:p>
        </w:tc>
      </w:tr>
      <w:tr w:rsidR="00770242" w14:paraId="6C22520C" w14:textId="77777777">
        <w:trPr>
          <w:trHeight w:val="585"/>
        </w:trPr>
        <w:tc>
          <w:tcPr>
            <w:tcW w:w="825" w:type="dxa"/>
            <w:vAlign w:val="center"/>
          </w:tcPr>
          <w:p w14:paraId="00000067"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8</w:t>
            </w:r>
          </w:p>
        </w:tc>
        <w:tc>
          <w:tcPr>
            <w:tcW w:w="2145" w:type="dxa"/>
            <w:vAlign w:val="center"/>
          </w:tcPr>
          <w:p w14:paraId="00000068"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Surface Temperature</w:t>
            </w:r>
          </w:p>
        </w:tc>
        <w:tc>
          <w:tcPr>
            <w:tcW w:w="2705" w:type="dxa"/>
            <w:vAlign w:val="center"/>
          </w:tcPr>
          <w:p w14:paraId="00000069"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Landsat 8 OLI</w:t>
            </w:r>
          </w:p>
          <w:p w14:paraId="0000006A"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Landsat 7 ETM+</w:t>
            </w:r>
          </w:p>
        </w:tc>
        <w:tc>
          <w:tcPr>
            <w:tcW w:w="1303" w:type="dxa"/>
            <w:vAlign w:val="center"/>
          </w:tcPr>
          <w:p w14:paraId="0000006B"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30m</w:t>
            </w:r>
          </w:p>
        </w:tc>
        <w:tc>
          <w:tcPr>
            <w:tcW w:w="2264" w:type="dxa"/>
            <w:vAlign w:val="center"/>
          </w:tcPr>
          <w:p w14:paraId="0000006C"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6/1–9/1 (2012–2021)</w:t>
            </w:r>
          </w:p>
        </w:tc>
      </w:tr>
      <w:tr w:rsidR="00770242" w14:paraId="7BB2955C" w14:textId="77777777">
        <w:trPr>
          <w:trHeight w:val="300"/>
        </w:trPr>
        <w:tc>
          <w:tcPr>
            <w:tcW w:w="825" w:type="dxa"/>
            <w:vAlign w:val="center"/>
          </w:tcPr>
          <w:p w14:paraId="0000006D"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9</w:t>
            </w:r>
          </w:p>
        </w:tc>
        <w:tc>
          <w:tcPr>
            <w:tcW w:w="2145" w:type="dxa"/>
            <w:vAlign w:val="center"/>
          </w:tcPr>
          <w:p w14:paraId="0000006E"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Elevation</w:t>
            </w:r>
          </w:p>
        </w:tc>
        <w:tc>
          <w:tcPr>
            <w:tcW w:w="2705" w:type="dxa"/>
            <w:vAlign w:val="center"/>
          </w:tcPr>
          <w:p w14:paraId="0000006F"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SRTM</w:t>
            </w:r>
          </w:p>
        </w:tc>
        <w:tc>
          <w:tcPr>
            <w:tcW w:w="1303" w:type="dxa"/>
            <w:vAlign w:val="center"/>
          </w:tcPr>
          <w:p w14:paraId="00000070"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30m</w:t>
            </w:r>
          </w:p>
        </w:tc>
        <w:tc>
          <w:tcPr>
            <w:tcW w:w="2264" w:type="dxa"/>
            <w:vAlign w:val="center"/>
          </w:tcPr>
          <w:p w14:paraId="00000071"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N/A</w:t>
            </w:r>
          </w:p>
        </w:tc>
      </w:tr>
      <w:tr w:rsidR="00770242" w14:paraId="0D18E622" w14:textId="77777777">
        <w:trPr>
          <w:trHeight w:val="300"/>
        </w:trPr>
        <w:tc>
          <w:tcPr>
            <w:tcW w:w="825" w:type="dxa"/>
            <w:vAlign w:val="center"/>
          </w:tcPr>
          <w:p w14:paraId="00000072"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10</w:t>
            </w:r>
          </w:p>
        </w:tc>
        <w:tc>
          <w:tcPr>
            <w:tcW w:w="2145" w:type="dxa"/>
            <w:vAlign w:val="center"/>
          </w:tcPr>
          <w:p w14:paraId="00000073"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Slope</w:t>
            </w:r>
          </w:p>
        </w:tc>
        <w:tc>
          <w:tcPr>
            <w:tcW w:w="2705" w:type="dxa"/>
            <w:vAlign w:val="center"/>
          </w:tcPr>
          <w:p w14:paraId="00000074"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SRTM</w:t>
            </w:r>
          </w:p>
        </w:tc>
        <w:tc>
          <w:tcPr>
            <w:tcW w:w="1303" w:type="dxa"/>
            <w:vAlign w:val="center"/>
          </w:tcPr>
          <w:p w14:paraId="00000075"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30m</w:t>
            </w:r>
          </w:p>
        </w:tc>
        <w:tc>
          <w:tcPr>
            <w:tcW w:w="2264" w:type="dxa"/>
            <w:vAlign w:val="center"/>
          </w:tcPr>
          <w:p w14:paraId="00000076"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N/A</w:t>
            </w:r>
          </w:p>
        </w:tc>
      </w:tr>
      <w:tr w:rsidR="00770242" w14:paraId="0F4155A2" w14:textId="77777777">
        <w:trPr>
          <w:trHeight w:val="300"/>
        </w:trPr>
        <w:tc>
          <w:tcPr>
            <w:tcW w:w="825" w:type="dxa"/>
            <w:vAlign w:val="center"/>
          </w:tcPr>
          <w:p w14:paraId="00000077"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11</w:t>
            </w:r>
          </w:p>
        </w:tc>
        <w:tc>
          <w:tcPr>
            <w:tcW w:w="2145" w:type="dxa"/>
            <w:vAlign w:val="center"/>
          </w:tcPr>
          <w:p w14:paraId="00000078"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Aspect</w:t>
            </w:r>
          </w:p>
        </w:tc>
        <w:tc>
          <w:tcPr>
            <w:tcW w:w="2705" w:type="dxa"/>
            <w:vAlign w:val="center"/>
          </w:tcPr>
          <w:p w14:paraId="00000079"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SRTM</w:t>
            </w:r>
          </w:p>
        </w:tc>
        <w:tc>
          <w:tcPr>
            <w:tcW w:w="1303" w:type="dxa"/>
            <w:vAlign w:val="center"/>
          </w:tcPr>
          <w:p w14:paraId="0000007A"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30m</w:t>
            </w:r>
          </w:p>
        </w:tc>
        <w:tc>
          <w:tcPr>
            <w:tcW w:w="2264" w:type="dxa"/>
            <w:vAlign w:val="center"/>
          </w:tcPr>
          <w:p w14:paraId="0000007B"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N/A</w:t>
            </w:r>
          </w:p>
        </w:tc>
      </w:tr>
      <w:tr w:rsidR="00770242" w14:paraId="587EF2EE" w14:textId="77777777">
        <w:trPr>
          <w:trHeight w:val="300"/>
        </w:trPr>
        <w:tc>
          <w:tcPr>
            <w:tcW w:w="825" w:type="dxa"/>
            <w:vAlign w:val="center"/>
          </w:tcPr>
          <w:p w14:paraId="0000007C"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12</w:t>
            </w:r>
          </w:p>
        </w:tc>
        <w:tc>
          <w:tcPr>
            <w:tcW w:w="2145" w:type="dxa"/>
            <w:vAlign w:val="center"/>
          </w:tcPr>
          <w:p w14:paraId="0000007D"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Precipitation</w:t>
            </w:r>
          </w:p>
        </w:tc>
        <w:tc>
          <w:tcPr>
            <w:tcW w:w="2705" w:type="dxa"/>
            <w:vAlign w:val="center"/>
          </w:tcPr>
          <w:p w14:paraId="0000007E"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CHIRPS</w:t>
            </w:r>
          </w:p>
        </w:tc>
        <w:tc>
          <w:tcPr>
            <w:tcW w:w="1303" w:type="dxa"/>
            <w:vAlign w:val="center"/>
          </w:tcPr>
          <w:p w14:paraId="0000007F"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5566m</w:t>
            </w:r>
          </w:p>
        </w:tc>
        <w:tc>
          <w:tcPr>
            <w:tcW w:w="2264" w:type="dxa"/>
            <w:vAlign w:val="center"/>
          </w:tcPr>
          <w:p w14:paraId="00000080"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5/1–8/1 (2012–2021)</w:t>
            </w:r>
          </w:p>
        </w:tc>
      </w:tr>
      <w:tr w:rsidR="00770242" w14:paraId="193A6E74" w14:textId="77777777">
        <w:trPr>
          <w:trHeight w:val="300"/>
        </w:trPr>
        <w:tc>
          <w:tcPr>
            <w:tcW w:w="825" w:type="dxa"/>
            <w:vAlign w:val="center"/>
          </w:tcPr>
          <w:p w14:paraId="00000081"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13</w:t>
            </w:r>
          </w:p>
        </w:tc>
        <w:tc>
          <w:tcPr>
            <w:tcW w:w="2145" w:type="dxa"/>
            <w:vAlign w:val="center"/>
          </w:tcPr>
          <w:p w14:paraId="00000082"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PDSI</w:t>
            </w:r>
          </w:p>
        </w:tc>
        <w:tc>
          <w:tcPr>
            <w:tcW w:w="2705" w:type="dxa"/>
            <w:vAlign w:val="center"/>
          </w:tcPr>
          <w:p w14:paraId="00000083"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gridMET</w:t>
            </w:r>
          </w:p>
        </w:tc>
        <w:tc>
          <w:tcPr>
            <w:tcW w:w="1303" w:type="dxa"/>
            <w:vAlign w:val="center"/>
          </w:tcPr>
          <w:p w14:paraId="00000084"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4638.3m</w:t>
            </w:r>
          </w:p>
        </w:tc>
        <w:tc>
          <w:tcPr>
            <w:tcW w:w="2264" w:type="dxa"/>
            <w:vAlign w:val="center"/>
          </w:tcPr>
          <w:p w14:paraId="00000085"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5/1–8/1 (2012–2021)</w:t>
            </w:r>
          </w:p>
        </w:tc>
      </w:tr>
      <w:tr w:rsidR="00770242" w14:paraId="71AC1162" w14:textId="77777777">
        <w:trPr>
          <w:trHeight w:val="300"/>
        </w:trPr>
        <w:tc>
          <w:tcPr>
            <w:tcW w:w="825" w:type="dxa"/>
            <w:vAlign w:val="center"/>
          </w:tcPr>
          <w:p w14:paraId="00000086"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14</w:t>
            </w:r>
          </w:p>
        </w:tc>
        <w:tc>
          <w:tcPr>
            <w:tcW w:w="2145" w:type="dxa"/>
            <w:vAlign w:val="center"/>
          </w:tcPr>
          <w:p w14:paraId="00000087"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Specific Humidity</w:t>
            </w:r>
          </w:p>
        </w:tc>
        <w:tc>
          <w:tcPr>
            <w:tcW w:w="2705" w:type="dxa"/>
            <w:vAlign w:val="center"/>
          </w:tcPr>
          <w:p w14:paraId="00000088"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gridMET</w:t>
            </w:r>
          </w:p>
        </w:tc>
        <w:tc>
          <w:tcPr>
            <w:tcW w:w="1303" w:type="dxa"/>
            <w:vAlign w:val="center"/>
          </w:tcPr>
          <w:p w14:paraId="00000089"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4638.3m</w:t>
            </w:r>
          </w:p>
        </w:tc>
        <w:tc>
          <w:tcPr>
            <w:tcW w:w="2264" w:type="dxa"/>
            <w:vAlign w:val="center"/>
          </w:tcPr>
          <w:p w14:paraId="0000008A"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5/1–8/1 (2012–2021)</w:t>
            </w:r>
          </w:p>
        </w:tc>
      </w:tr>
      <w:tr w:rsidR="00770242" w14:paraId="7123D41C" w14:textId="77777777">
        <w:trPr>
          <w:trHeight w:val="300"/>
        </w:trPr>
        <w:tc>
          <w:tcPr>
            <w:tcW w:w="825" w:type="dxa"/>
            <w:vAlign w:val="center"/>
          </w:tcPr>
          <w:p w14:paraId="0000008B"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15</w:t>
            </w:r>
          </w:p>
        </w:tc>
        <w:tc>
          <w:tcPr>
            <w:tcW w:w="2145" w:type="dxa"/>
            <w:vAlign w:val="center"/>
          </w:tcPr>
          <w:p w14:paraId="0000008C"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Snow Cover</w:t>
            </w:r>
          </w:p>
        </w:tc>
        <w:tc>
          <w:tcPr>
            <w:tcW w:w="2705" w:type="dxa"/>
            <w:vAlign w:val="center"/>
          </w:tcPr>
          <w:p w14:paraId="0000008D"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Terra MODIS</w:t>
            </w:r>
          </w:p>
        </w:tc>
        <w:tc>
          <w:tcPr>
            <w:tcW w:w="1303" w:type="dxa"/>
            <w:vAlign w:val="center"/>
          </w:tcPr>
          <w:p w14:paraId="0000008E"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250m</w:t>
            </w:r>
          </w:p>
        </w:tc>
        <w:tc>
          <w:tcPr>
            <w:tcW w:w="2264" w:type="dxa"/>
            <w:vAlign w:val="center"/>
          </w:tcPr>
          <w:p w14:paraId="0000008F"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12/1–3/1 (2011–2021)</w:t>
            </w:r>
          </w:p>
        </w:tc>
      </w:tr>
      <w:tr w:rsidR="00770242" w14:paraId="068D2B97" w14:textId="77777777">
        <w:trPr>
          <w:trHeight w:val="300"/>
        </w:trPr>
        <w:tc>
          <w:tcPr>
            <w:tcW w:w="825" w:type="dxa"/>
            <w:vAlign w:val="center"/>
          </w:tcPr>
          <w:p w14:paraId="00000090"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16</w:t>
            </w:r>
          </w:p>
        </w:tc>
        <w:tc>
          <w:tcPr>
            <w:tcW w:w="2145" w:type="dxa"/>
            <w:vAlign w:val="center"/>
          </w:tcPr>
          <w:p w14:paraId="00000091"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Surface Soil Moisture</w:t>
            </w:r>
          </w:p>
        </w:tc>
        <w:tc>
          <w:tcPr>
            <w:tcW w:w="2705" w:type="dxa"/>
            <w:vAlign w:val="center"/>
          </w:tcPr>
          <w:p w14:paraId="00000092"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SMAP</w:t>
            </w:r>
          </w:p>
        </w:tc>
        <w:tc>
          <w:tcPr>
            <w:tcW w:w="1303" w:type="dxa"/>
            <w:vAlign w:val="center"/>
          </w:tcPr>
          <w:p w14:paraId="00000093"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10000m</w:t>
            </w:r>
          </w:p>
        </w:tc>
        <w:tc>
          <w:tcPr>
            <w:tcW w:w="2264" w:type="dxa"/>
            <w:vAlign w:val="center"/>
          </w:tcPr>
          <w:p w14:paraId="00000094"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5/1–8/1 (2012–2021)</w:t>
            </w:r>
          </w:p>
        </w:tc>
      </w:tr>
      <w:tr w:rsidR="00770242" w14:paraId="70CDE53E" w14:textId="77777777">
        <w:trPr>
          <w:trHeight w:val="359"/>
        </w:trPr>
        <w:tc>
          <w:tcPr>
            <w:tcW w:w="825" w:type="dxa"/>
            <w:vAlign w:val="center"/>
          </w:tcPr>
          <w:p w14:paraId="00000095"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17</w:t>
            </w:r>
          </w:p>
        </w:tc>
        <w:tc>
          <w:tcPr>
            <w:tcW w:w="2145" w:type="dxa"/>
            <w:vAlign w:val="center"/>
          </w:tcPr>
          <w:p w14:paraId="00000096"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Nitrogen Content</w:t>
            </w:r>
          </w:p>
        </w:tc>
        <w:tc>
          <w:tcPr>
            <w:tcW w:w="2705" w:type="dxa"/>
            <w:vAlign w:val="center"/>
          </w:tcPr>
          <w:p w14:paraId="00000097"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ISRIC World Soil Information</w:t>
            </w:r>
          </w:p>
        </w:tc>
        <w:tc>
          <w:tcPr>
            <w:tcW w:w="1303" w:type="dxa"/>
            <w:vAlign w:val="center"/>
          </w:tcPr>
          <w:p w14:paraId="00000098"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250m</w:t>
            </w:r>
          </w:p>
        </w:tc>
        <w:tc>
          <w:tcPr>
            <w:tcW w:w="2264" w:type="dxa"/>
            <w:vAlign w:val="center"/>
          </w:tcPr>
          <w:p w14:paraId="00000099"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N/A</w:t>
            </w:r>
          </w:p>
        </w:tc>
      </w:tr>
      <w:tr w:rsidR="00770242" w14:paraId="25E06DDE" w14:textId="77777777">
        <w:trPr>
          <w:trHeight w:val="300"/>
        </w:trPr>
        <w:tc>
          <w:tcPr>
            <w:tcW w:w="825" w:type="dxa"/>
            <w:vAlign w:val="center"/>
          </w:tcPr>
          <w:p w14:paraId="0000009A"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lastRenderedPageBreak/>
              <w:t>18</w:t>
            </w:r>
          </w:p>
        </w:tc>
        <w:tc>
          <w:tcPr>
            <w:tcW w:w="2145" w:type="dxa"/>
            <w:vAlign w:val="center"/>
          </w:tcPr>
          <w:p w14:paraId="0000009B"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Existing Vegetation Type</w:t>
            </w:r>
          </w:p>
        </w:tc>
        <w:tc>
          <w:tcPr>
            <w:tcW w:w="2705" w:type="dxa"/>
            <w:vAlign w:val="center"/>
          </w:tcPr>
          <w:p w14:paraId="0000009C"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USGS</w:t>
            </w:r>
          </w:p>
        </w:tc>
        <w:tc>
          <w:tcPr>
            <w:tcW w:w="1303" w:type="dxa"/>
            <w:vAlign w:val="center"/>
          </w:tcPr>
          <w:p w14:paraId="0000009D"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30m</w:t>
            </w:r>
          </w:p>
        </w:tc>
        <w:tc>
          <w:tcPr>
            <w:tcW w:w="2264" w:type="dxa"/>
            <w:vAlign w:val="center"/>
          </w:tcPr>
          <w:p w14:paraId="0000009E"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N/A</w:t>
            </w:r>
          </w:p>
        </w:tc>
      </w:tr>
      <w:tr w:rsidR="00770242" w14:paraId="2DE39852" w14:textId="77777777">
        <w:trPr>
          <w:trHeight w:val="611"/>
        </w:trPr>
        <w:tc>
          <w:tcPr>
            <w:tcW w:w="825" w:type="dxa"/>
            <w:vAlign w:val="center"/>
          </w:tcPr>
          <w:p w14:paraId="0000009F"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19</w:t>
            </w:r>
          </w:p>
        </w:tc>
        <w:tc>
          <w:tcPr>
            <w:tcW w:w="2145" w:type="dxa"/>
            <w:vAlign w:val="center"/>
          </w:tcPr>
          <w:p w14:paraId="000000A0"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Mean TCG Change Score</w:t>
            </w:r>
          </w:p>
        </w:tc>
        <w:tc>
          <w:tcPr>
            <w:tcW w:w="2705" w:type="dxa"/>
            <w:vAlign w:val="center"/>
          </w:tcPr>
          <w:p w14:paraId="000000A1"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Harmonic Condition Monitoring Project (Contact: Valerie Pasquarella)</w:t>
            </w:r>
          </w:p>
        </w:tc>
        <w:tc>
          <w:tcPr>
            <w:tcW w:w="1303" w:type="dxa"/>
            <w:vAlign w:val="center"/>
          </w:tcPr>
          <w:p w14:paraId="000000A2"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30m</w:t>
            </w:r>
          </w:p>
        </w:tc>
        <w:tc>
          <w:tcPr>
            <w:tcW w:w="2264" w:type="dxa"/>
            <w:vAlign w:val="center"/>
          </w:tcPr>
          <w:p w14:paraId="000000A3" w14:textId="77777777" w:rsidR="00770242" w:rsidRDefault="00D028A4">
            <w:pPr>
              <w:spacing w:line="276" w:lineRule="auto"/>
              <w:jc w:val="center"/>
              <w:rPr>
                <w:rFonts w:ascii="Garamond" w:eastAsia="Garamond" w:hAnsi="Garamond" w:cs="Garamond"/>
                <w:color w:val="000000"/>
                <w:sz w:val="22"/>
                <w:szCs w:val="22"/>
              </w:rPr>
            </w:pPr>
            <w:r>
              <w:rPr>
                <w:rFonts w:ascii="Garamond" w:eastAsia="Garamond" w:hAnsi="Garamond" w:cs="Garamond"/>
                <w:color w:val="000000"/>
                <w:sz w:val="22"/>
                <w:szCs w:val="22"/>
              </w:rPr>
              <w:t>6/1–9/1 (2012–2021)</w:t>
            </w:r>
          </w:p>
        </w:tc>
      </w:tr>
    </w:tbl>
    <w:p w14:paraId="000000A4" w14:textId="77777777" w:rsidR="00770242" w:rsidRDefault="00770242">
      <w:pPr>
        <w:rPr>
          <w:rFonts w:ascii="Garamond" w:eastAsia="Garamond" w:hAnsi="Garamond" w:cs="Garamond"/>
        </w:rPr>
      </w:pPr>
    </w:p>
    <w:p w14:paraId="000000A5" w14:textId="77777777" w:rsidR="00770242" w:rsidRDefault="00D028A4">
      <w:pPr>
        <w:rPr>
          <w:rFonts w:ascii="Garamond" w:eastAsia="Garamond" w:hAnsi="Garamond" w:cs="Garamond"/>
          <w:b/>
          <w:i/>
          <w:sz w:val="22"/>
          <w:szCs w:val="22"/>
        </w:rPr>
      </w:pPr>
      <w:r>
        <w:rPr>
          <w:rFonts w:ascii="Garamond" w:eastAsia="Garamond" w:hAnsi="Garamond" w:cs="Garamond"/>
          <w:b/>
          <w:i/>
          <w:sz w:val="22"/>
          <w:szCs w:val="22"/>
        </w:rPr>
        <w:t>3.2 Data Processing</w:t>
      </w:r>
    </w:p>
    <w:p w14:paraId="000000A6" w14:textId="77777777" w:rsidR="00770242" w:rsidRDefault="00D028A4">
      <w:pPr>
        <w:rPr>
          <w:rFonts w:ascii="Garamond" w:eastAsia="Garamond" w:hAnsi="Garamond" w:cs="Garamond"/>
          <w:sz w:val="22"/>
          <w:szCs w:val="22"/>
        </w:rPr>
      </w:pPr>
      <w:r>
        <w:rPr>
          <w:rFonts w:ascii="Garamond" w:eastAsia="Garamond" w:hAnsi="Garamond" w:cs="Garamond"/>
          <w:sz w:val="22"/>
          <w:szCs w:val="22"/>
        </w:rPr>
        <w:t xml:space="preserve">To process vegetation indices for each year, we began by removing images with greater than 80 percent cloud cover and applied a bitmask to mask out clouds, cloud shadows, and snow from images that remained. Using data contained in spectral bands, we calculated vegetation indices to incorporate them into the Random Forest model. Due to cloud cover in this area, we had to create mosaics for each of the indices described in Table 2. </w:t>
      </w:r>
    </w:p>
    <w:p w14:paraId="000000A7" w14:textId="77777777" w:rsidR="00770242" w:rsidRDefault="00770242">
      <w:pPr>
        <w:rPr>
          <w:rFonts w:ascii="Garamond" w:eastAsia="Garamond" w:hAnsi="Garamond" w:cs="Garamond"/>
          <w:sz w:val="22"/>
          <w:szCs w:val="22"/>
        </w:rPr>
      </w:pPr>
    </w:p>
    <w:p w14:paraId="000000A8" w14:textId="747E024C" w:rsidR="00770242" w:rsidRDefault="00D028A4">
      <w:pPr>
        <w:rPr>
          <w:rFonts w:ascii="Garamond" w:eastAsia="Garamond" w:hAnsi="Garamond" w:cs="Garamond"/>
          <w:sz w:val="22"/>
          <w:szCs w:val="22"/>
        </w:rPr>
      </w:pPr>
      <w:r>
        <w:rPr>
          <w:rFonts w:ascii="Garamond" w:eastAsia="Garamond" w:hAnsi="Garamond" w:cs="Garamond"/>
          <w:sz w:val="22"/>
          <w:szCs w:val="22"/>
        </w:rPr>
        <w:t xml:space="preserve">To determine the health of vegetation in the study area, the Normalized Difference Vegetation Index (NDVI) was calculated in GEE as the ratio of the difference between portions of the red and near-infrared spectrum over the sum of portions of the red and near-infrared spectrum (Table 2, </w:t>
      </w:r>
      <w:r>
        <w:rPr>
          <w:rFonts w:ascii="Garamond" w:eastAsia="Garamond" w:hAnsi="Garamond" w:cs="Garamond"/>
          <w:color w:val="000000"/>
          <w:sz w:val="22"/>
          <w:szCs w:val="22"/>
        </w:rPr>
        <w:t>Vermote et al., 2016</w:t>
      </w:r>
      <w:r>
        <w:rPr>
          <w:rFonts w:ascii="Garamond" w:eastAsia="Garamond" w:hAnsi="Garamond" w:cs="Garamond"/>
          <w:sz w:val="22"/>
          <w:szCs w:val="22"/>
        </w:rPr>
        <w:t xml:space="preserve">). We further evaluated the properties of green vegetation by calculating Tasseled Cap Greenness (TCG; Table 2; Baig et al., 2014). Changes in vegetation water content were calculated with the Normalized Difference Water Index (NDWI; Table </w:t>
      </w:r>
      <w:r w:rsidR="00462E20">
        <w:rPr>
          <w:rFonts w:ascii="Garamond" w:eastAsia="Garamond" w:hAnsi="Garamond" w:cs="Garamond"/>
          <w:sz w:val="22"/>
          <w:szCs w:val="22"/>
        </w:rPr>
        <w:t>2</w:t>
      </w:r>
      <w:r>
        <w:rPr>
          <w:rFonts w:ascii="Garamond" w:eastAsia="Garamond" w:hAnsi="Garamond" w:cs="Garamond"/>
          <w:sz w:val="22"/>
          <w:szCs w:val="22"/>
        </w:rPr>
        <w:t xml:space="preserve">; Gao, 1996). We also calculated the Enhanced Vegetation Index (EVI) and Simple Ratio, two other vegetation indices (Pasquarella et al., 2021; </w:t>
      </w:r>
      <w:r>
        <w:rPr>
          <w:rFonts w:ascii="Garamond" w:eastAsia="Garamond" w:hAnsi="Garamond" w:cs="Garamond"/>
          <w:color w:val="000000"/>
          <w:sz w:val="22"/>
          <w:szCs w:val="22"/>
        </w:rPr>
        <w:t>Vermote et al., 2016</w:t>
      </w:r>
      <w:r>
        <w:rPr>
          <w:rFonts w:ascii="Garamond" w:eastAsia="Garamond" w:hAnsi="Garamond" w:cs="Garamond"/>
          <w:sz w:val="22"/>
          <w:szCs w:val="22"/>
        </w:rPr>
        <w:t xml:space="preserve">). To reduce the likelihood that the Random Forest model would attribute changes in greenness to logging rather than defoliation, we calculated the difference between spring and summer NDVI for each year (Table 2; Choi et al., 2021). </w:t>
      </w:r>
    </w:p>
    <w:p w14:paraId="000000A9" w14:textId="77777777" w:rsidR="00770242" w:rsidRDefault="00770242">
      <w:pPr>
        <w:rPr>
          <w:rFonts w:ascii="Garamond" w:eastAsia="Garamond" w:hAnsi="Garamond" w:cs="Garamond"/>
          <w:sz w:val="22"/>
          <w:szCs w:val="22"/>
        </w:rPr>
      </w:pPr>
    </w:p>
    <w:p w14:paraId="000000AA" w14:textId="77777777" w:rsidR="00770242" w:rsidRDefault="00D028A4">
      <w:pPr>
        <w:rPr>
          <w:rFonts w:ascii="Garamond" w:eastAsia="Garamond" w:hAnsi="Garamond" w:cs="Garamond"/>
          <w:color w:val="000000"/>
          <w:sz w:val="22"/>
          <w:szCs w:val="22"/>
        </w:rPr>
      </w:pPr>
      <w:r>
        <w:rPr>
          <w:rFonts w:ascii="Garamond" w:eastAsia="Garamond" w:hAnsi="Garamond" w:cs="Garamond"/>
          <w:color w:val="000000"/>
          <w:sz w:val="22"/>
          <w:szCs w:val="22"/>
        </w:rPr>
        <w:t>Table 2</w:t>
      </w:r>
    </w:p>
    <w:p w14:paraId="000000AB" w14:textId="77777777" w:rsidR="00770242" w:rsidRDefault="00D028A4">
      <w:pPr>
        <w:rPr>
          <w:rFonts w:ascii="Garamond" w:eastAsia="Garamond" w:hAnsi="Garamond" w:cs="Garamond"/>
          <w:color w:val="000000"/>
          <w:sz w:val="22"/>
          <w:szCs w:val="22"/>
        </w:rPr>
      </w:pPr>
      <w:r>
        <w:rPr>
          <w:rFonts w:ascii="Garamond" w:eastAsia="Garamond" w:hAnsi="Garamond" w:cs="Garamond"/>
          <w:i/>
          <w:color w:val="000000"/>
          <w:sz w:val="22"/>
          <w:szCs w:val="22"/>
        </w:rPr>
        <w:t>Equations for deriving indices used as predictor variables for Random Forest classification.</w:t>
      </w:r>
    </w:p>
    <w:tbl>
      <w:tblPr>
        <w:tblStyle w:val="a0"/>
        <w:tblW w:w="9780" w:type="dxa"/>
        <w:tblInd w:w="82" w:type="dxa"/>
        <w:tblLayout w:type="fixed"/>
        <w:tblLook w:val="0600" w:firstRow="0" w:lastRow="0" w:firstColumn="0" w:lastColumn="0" w:noHBand="1" w:noVBand="1"/>
      </w:tblPr>
      <w:tblGrid>
        <w:gridCol w:w="2790"/>
        <w:gridCol w:w="6990"/>
      </w:tblGrid>
      <w:tr w:rsidR="00770242" w14:paraId="0F573DE3" w14:textId="77777777">
        <w:trPr>
          <w:trHeight w:val="525"/>
        </w:trPr>
        <w:tc>
          <w:tcPr>
            <w:tcW w:w="2790" w:type="dxa"/>
            <w:tcBorders>
              <w:top w:val="single" w:sz="6" w:space="0" w:color="666666"/>
              <w:left w:val="single" w:sz="6" w:space="0" w:color="666666"/>
              <w:bottom w:val="single" w:sz="6" w:space="0" w:color="666666"/>
              <w:right w:val="single" w:sz="6" w:space="0" w:color="666666"/>
            </w:tcBorders>
            <w:vAlign w:val="center"/>
          </w:tcPr>
          <w:p w14:paraId="000000AC" w14:textId="77777777" w:rsidR="00770242" w:rsidRDefault="00D028A4">
            <w:pPr>
              <w:rPr>
                <w:rFonts w:ascii="Garamond" w:eastAsia="Garamond" w:hAnsi="Garamond" w:cs="Garamond"/>
                <w:color w:val="000000"/>
                <w:sz w:val="22"/>
                <w:szCs w:val="22"/>
              </w:rPr>
            </w:pPr>
            <w:r>
              <w:rPr>
                <w:rFonts w:ascii="Garamond" w:eastAsia="Garamond" w:hAnsi="Garamond" w:cs="Garamond"/>
                <w:b/>
                <w:color w:val="000000"/>
                <w:sz w:val="22"/>
                <w:szCs w:val="22"/>
              </w:rPr>
              <w:t>Predictor Variable</w:t>
            </w:r>
          </w:p>
        </w:tc>
        <w:tc>
          <w:tcPr>
            <w:tcW w:w="6990" w:type="dxa"/>
            <w:tcBorders>
              <w:top w:val="single" w:sz="6" w:space="0" w:color="666666"/>
              <w:left w:val="single" w:sz="6" w:space="0" w:color="666666"/>
              <w:bottom w:val="single" w:sz="6" w:space="0" w:color="666666"/>
              <w:right w:val="single" w:sz="6" w:space="0" w:color="666666"/>
            </w:tcBorders>
            <w:vAlign w:val="center"/>
          </w:tcPr>
          <w:p w14:paraId="000000AD" w14:textId="77777777" w:rsidR="00770242" w:rsidRDefault="00D028A4">
            <w:pPr>
              <w:jc w:val="center"/>
              <w:rPr>
                <w:rFonts w:ascii="Garamond" w:eastAsia="Garamond" w:hAnsi="Garamond" w:cs="Garamond"/>
                <w:color w:val="000000"/>
                <w:sz w:val="22"/>
                <w:szCs w:val="22"/>
              </w:rPr>
            </w:pPr>
            <w:r>
              <w:rPr>
                <w:rFonts w:ascii="Garamond" w:eastAsia="Garamond" w:hAnsi="Garamond" w:cs="Garamond"/>
                <w:b/>
                <w:color w:val="000000"/>
                <w:sz w:val="22"/>
                <w:szCs w:val="22"/>
              </w:rPr>
              <w:t>Equation</w:t>
            </w:r>
          </w:p>
        </w:tc>
      </w:tr>
      <w:tr w:rsidR="00770242" w14:paraId="20EDD481" w14:textId="77777777" w:rsidTr="00462E20">
        <w:trPr>
          <w:trHeight w:val="605"/>
        </w:trPr>
        <w:tc>
          <w:tcPr>
            <w:tcW w:w="2790" w:type="dxa"/>
            <w:tcBorders>
              <w:top w:val="single" w:sz="6" w:space="0" w:color="666666"/>
              <w:left w:val="single" w:sz="6" w:space="0" w:color="666666"/>
              <w:bottom w:val="single" w:sz="6" w:space="0" w:color="666666"/>
              <w:right w:val="single" w:sz="6" w:space="0" w:color="666666"/>
            </w:tcBorders>
            <w:vAlign w:val="center"/>
          </w:tcPr>
          <w:p w14:paraId="000000AE" w14:textId="0A64EA58" w:rsidR="00770242" w:rsidRDefault="00D028A4">
            <w:pPr>
              <w:rPr>
                <w:rFonts w:ascii="Garamond" w:eastAsia="Garamond" w:hAnsi="Garamond" w:cs="Garamond"/>
                <w:color w:val="000000"/>
                <w:sz w:val="22"/>
                <w:szCs w:val="22"/>
                <w:vertAlign w:val="superscript"/>
              </w:rPr>
            </w:pPr>
            <w:r>
              <w:rPr>
                <w:rFonts w:ascii="Garamond" w:eastAsia="Garamond" w:hAnsi="Garamond" w:cs="Garamond"/>
                <w:color w:val="000000"/>
                <w:sz w:val="22"/>
                <w:szCs w:val="22"/>
              </w:rPr>
              <w:t>Tasseled Cap Greenness (TCG</w:t>
            </w:r>
            <w:r w:rsidR="00FF0180">
              <w:rPr>
                <w:rFonts w:ascii="Garamond" w:eastAsia="Garamond" w:hAnsi="Garamond" w:cs="Garamond"/>
                <w:color w:val="000000"/>
                <w:sz w:val="22"/>
                <w:szCs w:val="22"/>
              </w:rPr>
              <w:t xml:space="preserve">; </w:t>
            </w:r>
            <w:proofErr w:type="spellStart"/>
            <w:r>
              <w:rPr>
                <w:rFonts w:ascii="Garamond" w:eastAsia="Garamond" w:hAnsi="Garamond" w:cs="Garamond"/>
                <w:sz w:val="22"/>
                <w:szCs w:val="22"/>
              </w:rPr>
              <w:t>Baig</w:t>
            </w:r>
            <w:proofErr w:type="spellEnd"/>
            <w:r>
              <w:rPr>
                <w:rFonts w:ascii="Garamond" w:eastAsia="Garamond" w:hAnsi="Garamond" w:cs="Garamond"/>
                <w:sz w:val="22"/>
                <w:szCs w:val="22"/>
              </w:rPr>
              <w:t xml:space="preserve"> et al., 2014)</w:t>
            </w:r>
          </w:p>
        </w:tc>
        <w:tc>
          <w:tcPr>
            <w:tcW w:w="6990" w:type="dxa"/>
            <w:tcBorders>
              <w:top w:val="single" w:sz="6" w:space="0" w:color="666666"/>
              <w:left w:val="single" w:sz="6" w:space="0" w:color="666666"/>
              <w:bottom w:val="single" w:sz="6" w:space="0" w:color="666666"/>
              <w:right w:val="single" w:sz="6" w:space="0" w:color="666666"/>
            </w:tcBorders>
            <w:vAlign w:val="center"/>
          </w:tcPr>
          <w:p w14:paraId="000000AF" w14:textId="77777777" w:rsidR="00770242" w:rsidRDefault="00D028A4">
            <w:pPr>
              <w:jc w:val="center"/>
              <w:rPr>
                <w:rFonts w:ascii="Cambria Math" w:eastAsia="Cambria Math" w:hAnsi="Cambria Math" w:cs="Cambria Math"/>
                <w:color w:val="000000"/>
                <w:sz w:val="22"/>
                <w:szCs w:val="22"/>
              </w:rPr>
            </w:pPr>
            <m:oMathPara>
              <m:oMath>
                <m:r>
                  <w:rPr>
                    <w:rFonts w:ascii="Cambria Math" w:eastAsia="Cambria Math" w:hAnsi="Cambria Math" w:cs="Cambria Math"/>
                    <w:color w:val="000000"/>
                    <w:sz w:val="22"/>
                    <w:szCs w:val="22"/>
                  </w:rPr>
                  <m:t>(-0.2848 ×BLUE) - (0.2435 × GREEN) - (0.5436 × RED) +</m:t>
                </m:r>
              </m:oMath>
            </m:oMathPara>
          </w:p>
          <w:p w14:paraId="000000B0" w14:textId="77777777" w:rsidR="00770242" w:rsidRDefault="00D028A4">
            <w:pPr>
              <w:jc w:val="center"/>
              <w:rPr>
                <w:rFonts w:ascii="Cambria Math" w:eastAsia="Cambria Math" w:hAnsi="Cambria Math" w:cs="Cambria Math"/>
                <w:color w:val="000000"/>
                <w:sz w:val="22"/>
                <w:szCs w:val="22"/>
              </w:rPr>
            </w:pPr>
            <m:oMathPara>
              <m:oMath>
                <m:r>
                  <w:rPr>
                    <w:rFonts w:ascii="Cambria Math" w:eastAsia="Cambria Math" w:hAnsi="Cambria Math" w:cs="Cambria Math"/>
                    <w:color w:val="000000"/>
                    <w:sz w:val="22"/>
                    <w:szCs w:val="22"/>
                  </w:rPr>
                  <m:t xml:space="preserve"> (0.7243 × NIR) + (0.0840 × SWIR1) - (0.1800 × SWIR2)</m:t>
                </m:r>
              </m:oMath>
            </m:oMathPara>
          </w:p>
        </w:tc>
      </w:tr>
      <w:tr w:rsidR="00770242" w14:paraId="5B33DEF0" w14:textId="77777777" w:rsidTr="00462E20">
        <w:trPr>
          <w:trHeight w:val="835"/>
        </w:trPr>
        <w:tc>
          <w:tcPr>
            <w:tcW w:w="2790" w:type="dxa"/>
            <w:tcBorders>
              <w:top w:val="single" w:sz="6" w:space="0" w:color="666666"/>
              <w:left w:val="single" w:sz="6" w:space="0" w:color="666666"/>
              <w:bottom w:val="single" w:sz="6" w:space="0" w:color="666666"/>
              <w:right w:val="single" w:sz="6" w:space="0" w:color="666666"/>
            </w:tcBorders>
            <w:vAlign w:val="center"/>
          </w:tcPr>
          <w:p w14:paraId="000000B1" w14:textId="6918ECF6" w:rsidR="00770242" w:rsidRDefault="00D028A4">
            <w:pPr>
              <w:rPr>
                <w:rFonts w:ascii="Garamond" w:eastAsia="Garamond" w:hAnsi="Garamond" w:cs="Garamond"/>
                <w:color w:val="000000"/>
                <w:sz w:val="22"/>
                <w:szCs w:val="22"/>
              </w:rPr>
            </w:pPr>
            <w:r>
              <w:rPr>
                <w:rFonts w:ascii="Garamond" w:eastAsia="Garamond" w:hAnsi="Garamond" w:cs="Garamond"/>
                <w:color w:val="000000"/>
                <w:sz w:val="22"/>
                <w:szCs w:val="22"/>
              </w:rPr>
              <w:t>Normalized Differenced Vegetation Index (NDVI</w:t>
            </w:r>
            <w:r w:rsidR="00FF0180">
              <w:rPr>
                <w:rFonts w:ascii="Garamond" w:eastAsia="Garamond" w:hAnsi="Garamond" w:cs="Garamond"/>
                <w:color w:val="000000"/>
                <w:sz w:val="22"/>
                <w:szCs w:val="22"/>
              </w:rPr>
              <w:t xml:space="preserve">; </w:t>
            </w:r>
            <w:proofErr w:type="spellStart"/>
            <w:r>
              <w:rPr>
                <w:rFonts w:ascii="Garamond" w:eastAsia="Garamond" w:hAnsi="Garamond" w:cs="Garamond"/>
                <w:color w:val="000000"/>
                <w:sz w:val="22"/>
                <w:szCs w:val="22"/>
              </w:rPr>
              <w:t>Vermote</w:t>
            </w:r>
            <w:proofErr w:type="spellEnd"/>
            <w:r>
              <w:rPr>
                <w:rFonts w:ascii="Garamond" w:eastAsia="Garamond" w:hAnsi="Garamond" w:cs="Garamond"/>
                <w:color w:val="000000"/>
                <w:sz w:val="22"/>
                <w:szCs w:val="22"/>
              </w:rPr>
              <w:t xml:space="preserve"> et al., 2016)</w:t>
            </w:r>
          </w:p>
        </w:tc>
        <w:tc>
          <w:tcPr>
            <w:tcW w:w="6990" w:type="dxa"/>
            <w:tcBorders>
              <w:top w:val="single" w:sz="6" w:space="0" w:color="666666"/>
              <w:left w:val="single" w:sz="6" w:space="0" w:color="666666"/>
              <w:bottom w:val="single" w:sz="6" w:space="0" w:color="666666"/>
              <w:right w:val="single" w:sz="6" w:space="0" w:color="666666"/>
            </w:tcBorders>
            <w:vAlign w:val="center"/>
          </w:tcPr>
          <w:p w14:paraId="000000B2" w14:textId="77777777" w:rsidR="00770242" w:rsidRDefault="00462E20">
            <w:pPr>
              <w:jc w:val="center"/>
              <w:rPr>
                <w:rFonts w:ascii="Cambria Math" w:eastAsia="Cambria Math" w:hAnsi="Cambria Math" w:cs="Cambria Math"/>
                <w:sz w:val="22"/>
                <w:szCs w:val="22"/>
              </w:rPr>
            </w:pPr>
            <m:oMathPara>
              <m:oMath>
                <m:f>
                  <m:fPr>
                    <m:ctrlPr>
                      <w:rPr>
                        <w:rFonts w:ascii="Cambria Math" w:eastAsia="Cambria Math" w:hAnsi="Cambria Math" w:cs="Cambria Math"/>
                        <w:sz w:val="22"/>
                        <w:szCs w:val="22"/>
                      </w:rPr>
                    </m:ctrlPr>
                  </m:fPr>
                  <m:num>
                    <m:r>
                      <w:rPr>
                        <w:rFonts w:ascii="Cambria Math" w:eastAsia="Cambria Math" w:hAnsi="Cambria Math" w:cs="Cambria Math"/>
                        <w:sz w:val="22"/>
                        <w:szCs w:val="22"/>
                      </w:rPr>
                      <m:t>NIR-RED</m:t>
                    </m:r>
                  </m:num>
                  <m:den>
                    <m:r>
                      <w:rPr>
                        <w:rFonts w:ascii="Cambria Math" w:eastAsia="Cambria Math" w:hAnsi="Cambria Math" w:cs="Cambria Math"/>
                        <w:sz w:val="22"/>
                        <w:szCs w:val="22"/>
                      </w:rPr>
                      <m:t>NIR+RED</m:t>
                    </m:r>
                  </m:den>
                </m:f>
                <m:r>
                  <w:rPr>
                    <w:rFonts w:ascii="Cambria Math" w:eastAsia="Cambria Math" w:hAnsi="Cambria Math" w:cs="Cambria Math"/>
                    <w:sz w:val="22"/>
                    <w:szCs w:val="22"/>
                  </w:rPr>
                  <m:t xml:space="preserve"> </m:t>
                </m:r>
              </m:oMath>
            </m:oMathPara>
          </w:p>
        </w:tc>
      </w:tr>
      <w:tr w:rsidR="00770242" w14:paraId="4B244C42" w14:textId="77777777" w:rsidTr="00462E20">
        <w:trPr>
          <w:trHeight w:val="840"/>
        </w:trPr>
        <w:tc>
          <w:tcPr>
            <w:tcW w:w="2790" w:type="dxa"/>
            <w:tcBorders>
              <w:top w:val="single" w:sz="6" w:space="0" w:color="666666"/>
              <w:left w:val="single" w:sz="6" w:space="0" w:color="666666"/>
              <w:bottom w:val="single" w:sz="6" w:space="0" w:color="666666"/>
              <w:right w:val="single" w:sz="6" w:space="0" w:color="666666"/>
            </w:tcBorders>
            <w:vAlign w:val="center"/>
          </w:tcPr>
          <w:p w14:paraId="000000B3" w14:textId="77777777" w:rsidR="00770242" w:rsidRDefault="00D028A4">
            <w:pPr>
              <w:rPr>
                <w:rFonts w:ascii="Garamond" w:eastAsia="Garamond" w:hAnsi="Garamond" w:cs="Garamond"/>
                <w:color w:val="000000"/>
                <w:sz w:val="22"/>
                <w:szCs w:val="22"/>
              </w:rPr>
            </w:pPr>
            <w:r>
              <w:rPr>
                <w:rFonts w:ascii="Garamond" w:eastAsia="Garamond" w:hAnsi="Garamond" w:cs="Garamond"/>
                <w:color w:val="000000"/>
                <w:sz w:val="22"/>
                <w:szCs w:val="22"/>
              </w:rPr>
              <w:t>NDVI Spring to Summer Difference (Choi et al., 2021)</w:t>
            </w:r>
          </w:p>
        </w:tc>
        <w:tc>
          <w:tcPr>
            <w:tcW w:w="6990" w:type="dxa"/>
            <w:tcBorders>
              <w:top w:val="single" w:sz="6" w:space="0" w:color="666666"/>
              <w:left w:val="single" w:sz="6" w:space="0" w:color="666666"/>
              <w:bottom w:val="single" w:sz="6" w:space="0" w:color="666666"/>
              <w:right w:val="single" w:sz="6" w:space="0" w:color="666666"/>
            </w:tcBorders>
            <w:vAlign w:val="center"/>
          </w:tcPr>
          <w:p w14:paraId="000000B4" w14:textId="77777777" w:rsidR="00770242" w:rsidRDefault="00462E20">
            <w:pPr>
              <w:jc w:val="center"/>
              <w:rPr>
                <w:rFonts w:ascii="Cambria Math" w:eastAsia="Cambria Math" w:hAnsi="Cambria Math" w:cs="Cambria Math"/>
                <w:sz w:val="22"/>
                <w:szCs w:val="22"/>
              </w:rPr>
            </w:pPr>
            <m:oMathPara>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R</m:t>
                    </m:r>
                  </m:e>
                  <m:sub>
                    <m:r>
                      <w:rPr>
                        <w:rFonts w:ascii="Cambria Math" w:eastAsia="Cambria Math" w:hAnsi="Cambria Math" w:cs="Cambria Math"/>
                        <w:sz w:val="22"/>
                        <w:szCs w:val="22"/>
                      </w:rPr>
                      <m:t>i</m:t>
                    </m:r>
                  </m:sub>
                </m:sSub>
                <m:r>
                  <w:rPr>
                    <w:rFonts w:ascii="Cambria Math" w:eastAsia="Cambria Math" w:hAnsi="Cambria Math" w:cs="Cambria Math"/>
                    <w:sz w:val="22"/>
                    <w:szCs w:val="22"/>
                  </w:rPr>
                  <m:t>-</m:t>
                </m:r>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G</m:t>
                    </m:r>
                  </m:e>
                  <m:sub>
                    <m:r>
                      <w:rPr>
                        <w:rFonts w:ascii="Cambria Math" w:eastAsia="Cambria Math" w:hAnsi="Cambria Math" w:cs="Cambria Math"/>
                        <w:sz w:val="22"/>
                        <w:szCs w:val="22"/>
                      </w:rPr>
                      <m:t>i</m:t>
                    </m:r>
                  </m:sub>
                </m:sSub>
                <m:r>
                  <w:rPr>
                    <w:rFonts w:ascii="Cambria Math" w:eastAsia="Cambria Math" w:hAnsi="Cambria Math" w:cs="Cambria Math"/>
                    <w:sz w:val="22"/>
                    <w:szCs w:val="22"/>
                  </w:rPr>
                  <m:t xml:space="preserve"> </m:t>
                </m:r>
              </m:oMath>
            </m:oMathPara>
          </w:p>
          <w:p w14:paraId="000000B5" w14:textId="77777777" w:rsidR="00770242" w:rsidRDefault="00D028A4">
            <w:pPr>
              <w:jc w:val="center"/>
              <w:rPr>
                <w:rFonts w:ascii="Garamond" w:eastAsia="Garamond" w:hAnsi="Garamond" w:cs="Garamond"/>
                <w:i/>
                <w:sz w:val="22"/>
                <w:szCs w:val="22"/>
              </w:rPr>
            </w:pPr>
            <w:r>
              <w:rPr>
                <w:rFonts w:ascii="Garamond" w:eastAsia="Garamond" w:hAnsi="Garamond" w:cs="Garamond"/>
                <w:i/>
                <w:sz w:val="22"/>
                <w:szCs w:val="22"/>
              </w:rPr>
              <w:t xml:space="preserve">Where R is the mean NDVI value of pixel i in the summer, </w:t>
            </w:r>
          </w:p>
          <w:p w14:paraId="000000B6" w14:textId="77777777" w:rsidR="00770242" w:rsidRDefault="00D028A4">
            <w:pPr>
              <w:jc w:val="center"/>
              <w:rPr>
                <w:rFonts w:ascii="Garamond" w:eastAsia="Garamond" w:hAnsi="Garamond" w:cs="Garamond"/>
                <w:b/>
                <w:i/>
                <w:sz w:val="22"/>
                <w:szCs w:val="22"/>
              </w:rPr>
            </w:pPr>
            <w:r>
              <w:rPr>
                <w:rFonts w:ascii="Garamond" w:eastAsia="Garamond" w:hAnsi="Garamond" w:cs="Garamond"/>
                <w:i/>
                <w:sz w:val="22"/>
                <w:szCs w:val="22"/>
              </w:rPr>
              <w:t>And G is the mean NDVI value of pixel i in the spring</w:t>
            </w:r>
          </w:p>
        </w:tc>
      </w:tr>
      <w:tr w:rsidR="008335F3" w14:paraId="38625DE4" w14:textId="77777777" w:rsidTr="00462E20">
        <w:trPr>
          <w:trHeight w:val="605"/>
        </w:trPr>
        <w:tc>
          <w:tcPr>
            <w:tcW w:w="2790" w:type="dxa"/>
            <w:tcBorders>
              <w:top w:val="single" w:sz="6" w:space="0" w:color="666666"/>
              <w:left w:val="single" w:sz="6" w:space="0" w:color="666666"/>
              <w:bottom w:val="single" w:sz="6" w:space="0" w:color="666666"/>
              <w:right w:val="single" w:sz="6" w:space="0" w:color="666666"/>
            </w:tcBorders>
            <w:vAlign w:val="center"/>
          </w:tcPr>
          <w:p w14:paraId="34BBC45F" w14:textId="656B1704" w:rsidR="008335F3" w:rsidRDefault="008335F3">
            <w:pPr>
              <w:rPr>
                <w:rFonts w:ascii="Garamond" w:eastAsia="Garamond" w:hAnsi="Garamond" w:cs="Garamond"/>
                <w:color w:val="000000"/>
                <w:sz w:val="22"/>
                <w:szCs w:val="22"/>
              </w:rPr>
            </w:pPr>
            <w:r>
              <w:rPr>
                <w:rFonts w:ascii="Garamond" w:eastAsia="Garamond" w:hAnsi="Garamond" w:cs="Garamond"/>
                <w:color w:val="000000"/>
                <w:sz w:val="22"/>
                <w:szCs w:val="22"/>
              </w:rPr>
              <w:t>N</w:t>
            </w:r>
            <w:r w:rsidR="00462E20">
              <w:rPr>
                <w:rFonts w:ascii="Garamond" w:eastAsia="Garamond" w:hAnsi="Garamond" w:cs="Garamond"/>
                <w:color w:val="000000"/>
                <w:sz w:val="22"/>
                <w:szCs w:val="22"/>
              </w:rPr>
              <w:t>ormalized Difference Water Index (N</w:t>
            </w:r>
            <w:r>
              <w:rPr>
                <w:rFonts w:ascii="Garamond" w:eastAsia="Garamond" w:hAnsi="Garamond" w:cs="Garamond"/>
                <w:color w:val="000000"/>
                <w:sz w:val="22"/>
                <w:szCs w:val="22"/>
              </w:rPr>
              <w:t>DWI</w:t>
            </w:r>
            <w:r w:rsidR="00462E20">
              <w:rPr>
                <w:rFonts w:ascii="Garamond" w:eastAsia="Garamond" w:hAnsi="Garamond" w:cs="Garamond"/>
                <w:color w:val="000000"/>
                <w:sz w:val="22"/>
                <w:szCs w:val="22"/>
              </w:rPr>
              <w:t xml:space="preserve">; </w:t>
            </w:r>
            <w:r>
              <w:rPr>
                <w:rFonts w:ascii="Garamond" w:eastAsia="Garamond" w:hAnsi="Garamond" w:cs="Garamond"/>
                <w:sz w:val="22"/>
                <w:szCs w:val="22"/>
              </w:rPr>
              <w:t>Gao, 1996)</w:t>
            </w:r>
          </w:p>
        </w:tc>
        <w:tc>
          <w:tcPr>
            <w:tcW w:w="6990" w:type="dxa"/>
            <w:tcBorders>
              <w:top w:val="single" w:sz="6" w:space="0" w:color="666666"/>
              <w:left w:val="single" w:sz="6" w:space="0" w:color="666666"/>
              <w:bottom w:val="single" w:sz="6" w:space="0" w:color="666666"/>
              <w:right w:val="single" w:sz="6" w:space="0" w:color="666666"/>
            </w:tcBorders>
            <w:vAlign w:val="center"/>
          </w:tcPr>
          <w:p w14:paraId="22692FFA" w14:textId="74154431" w:rsidR="008335F3" w:rsidRPr="00FB6984" w:rsidRDefault="00FB6984" w:rsidP="008A05C5">
            <w:pPr>
              <w:jc w:val="center"/>
              <w:rPr>
                <w:rFonts w:ascii="Garamond" w:eastAsia="Garamond" w:hAnsi="Garamond" w:cs="Garamond"/>
                <w:sz w:val="22"/>
                <w:szCs w:val="22"/>
              </w:rPr>
            </w:pPr>
            <m:oMathPara>
              <m:oMath>
                <m:f>
                  <m:fPr>
                    <m:ctrlPr>
                      <w:rPr>
                        <w:rFonts w:ascii="Cambria Math" w:hAnsi="Cambria Math" w:cs="Arial"/>
                        <w:color w:val="202124"/>
                        <w:sz w:val="22"/>
                        <w:szCs w:val="22"/>
                      </w:rPr>
                    </m:ctrlPr>
                  </m:fPr>
                  <m:num>
                    <m:r>
                      <w:rPr>
                        <w:rFonts w:ascii="Cambria Math" w:hAnsi="Cambria Math" w:cs="Arial"/>
                        <w:color w:val="202124"/>
                        <w:sz w:val="22"/>
                        <w:szCs w:val="22"/>
                      </w:rPr>
                      <m:t>GREEN</m:t>
                    </m:r>
                    <m:r>
                      <m:rPr>
                        <m:sty m:val="p"/>
                      </m:rPr>
                      <w:rPr>
                        <w:rFonts w:ascii="Cambria Math" w:hAnsi="Cambria Math" w:cs="Arial"/>
                        <w:color w:val="202124"/>
                        <w:sz w:val="22"/>
                        <w:szCs w:val="22"/>
                      </w:rPr>
                      <m:t>-</m:t>
                    </m:r>
                    <m:r>
                      <w:rPr>
                        <w:rFonts w:ascii="Cambria Math" w:hAnsi="Cambria Math" w:cs="Arial"/>
                        <w:color w:val="202124"/>
                        <w:sz w:val="22"/>
                        <w:szCs w:val="22"/>
                      </w:rPr>
                      <m:t>NIR</m:t>
                    </m:r>
                  </m:num>
                  <m:den>
                    <m:r>
                      <w:rPr>
                        <w:rFonts w:ascii="Cambria Math" w:hAnsi="Cambria Math" w:cs="Arial"/>
                        <w:color w:val="202124"/>
                        <w:sz w:val="22"/>
                        <w:szCs w:val="22"/>
                      </w:rPr>
                      <m:t>GREEN</m:t>
                    </m:r>
                    <m:r>
                      <m:rPr>
                        <m:sty m:val="p"/>
                      </m:rPr>
                      <w:rPr>
                        <w:rFonts w:ascii="Cambria Math" w:hAnsi="Cambria Math" w:cs="Arial"/>
                        <w:color w:val="202124"/>
                        <w:sz w:val="22"/>
                        <w:szCs w:val="22"/>
                      </w:rPr>
                      <m:t>+</m:t>
                    </m:r>
                    <m:r>
                      <w:rPr>
                        <w:rFonts w:ascii="Cambria Math" w:hAnsi="Cambria Math" w:cs="Arial"/>
                        <w:color w:val="202124"/>
                        <w:sz w:val="22"/>
                        <w:szCs w:val="22"/>
                      </w:rPr>
                      <m:t>NIR</m:t>
                    </m:r>
                  </m:den>
                </m:f>
              </m:oMath>
            </m:oMathPara>
          </w:p>
        </w:tc>
      </w:tr>
      <w:tr w:rsidR="00770242" w14:paraId="0A806414" w14:textId="77777777" w:rsidTr="00462E20">
        <w:trPr>
          <w:trHeight w:val="597"/>
        </w:trPr>
        <w:tc>
          <w:tcPr>
            <w:tcW w:w="2790" w:type="dxa"/>
            <w:tcBorders>
              <w:top w:val="single" w:sz="6" w:space="0" w:color="666666"/>
              <w:left w:val="single" w:sz="6" w:space="0" w:color="666666"/>
              <w:bottom w:val="single" w:sz="6" w:space="0" w:color="666666"/>
              <w:right w:val="single" w:sz="6" w:space="0" w:color="666666"/>
            </w:tcBorders>
            <w:vAlign w:val="center"/>
          </w:tcPr>
          <w:p w14:paraId="000000B7" w14:textId="7373E015" w:rsidR="00770242" w:rsidRDefault="00D028A4">
            <w:pPr>
              <w:rPr>
                <w:rFonts w:ascii="Garamond" w:eastAsia="Garamond" w:hAnsi="Garamond" w:cs="Garamond"/>
                <w:color w:val="000000"/>
                <w:sz w:val="22"/>
                <w:szCs w:val="22"/>
                <w:vertAlign w:val="superscript"/>
              </w:rPr>
            </w:pPr>
            <w:r>
              <w:rPr>
                <w:rFonts w:ascii="Garamond" w:eastAsia="Garamond" w:hAnsi="Garamond" w:cs="Garamond"/>
                <w:color w:val="000000"/>
                <w:sz w:val="22"/>
                <w:szCs w:val="22"/>
              </w:rPr>
              <w:t>Simple Ratio (NIR/Red) (</w:t>
            </w:r>
            <w:proofErr w:type="spellStart"/>
            <w:r>
              <w:rPr>
                <w:rFonts w:ascii="Garamond" w:eastAsia="Garamond" w:hAnsi="Garamond" w:cs="Garamond"/>
                <w:color w:val="000000"/>
                <w:sz w:val="22"/>
                <w:szCs w:val="22"/>
              </w:rPr>
              <w:t>Pasquarella</w:t>
            </w:r>
            <w:proofErr w:type="spellEnd"/>
            <w:r>
              <w:rPr>
                <w:rFonts w:ascii="Garamond" w:eastAsia="Garamond" w:hAnsi="Garamond" w:cs="Garamond"/>
                <w:color w:val="000000"/>
                <w:sz w:val="22"/>
                <w:szCs w:val="22"/>
              </w:rPr>
              <w:t xml:space="preserve"> et al.</w:t>
            </w:r>
            <w:r w:rsidR="00693A49">
              <w:rPr>
                <w:rFonts w:ascii="Garamond" w:eastAsia="Garamond" w:hAnsi="Garamond" w:cs="Garamond"/>
                <w:color w:val="000000"/>
                <w:sz w:val="22"/>
                <w:szCs w:val="22"/>
              </w:rPr>
              <w:t>,</w:t>
            </w:r>
            <w:r>
              <w:rPr>
                <w:rFonts w:ascii="Garamond" w:eastAsia="Garamond" w:hAnsi="Garamond" w:cs="Garamond"/>
                <w:color w:val="000000"/>
                <w:sz w:val="22"/>
                <w:szCs w:val="22"/>
              </w:rPr>
              <w:t xml:space="preserve"> 2021)</w:t>
            </w:r>
          </w:p>
        </w:tc>
        <w:tc>
          <w:tcPr>
            <w:tcW w:w="6990" w:type="dxa"/>
            <w:tcBorders>
              <w:top w:val="single" w:sz="6" w:space="0" w:color="666666"/>
              <w:left w:val="single" w:sz="6" w:space="0" w:color="666666"/>
              <w:bottom w:val="single" w:sz="6" w:space="0" w:color="666666"/>
              <w:right w:val="single" w:sz="6" w:space="0" w:color="666666"/>
            </w:tcBorders>
            <w:vAlign w:val="center"/>
          </w:tcPr>
          <w:p w14:paraId="000000B8" w14:textId="77777777" w:rsidR="00770242" w:rsidRDefault="00462E20">
            <w:pPr>
              <w:jc w:val="center"/>
              <w:rPr>
                <w:rFonts w:ascii="Cambria Math" w:eastAsia="Cambria Math" w:hAnsi="Cambria Math" w:cs="Cambria Math"/>
                <w:sz w:val="22"/>
                <w:szCs w:val="22"/>
              </w:rPr>
            </w:pPr>
            <m:oMathPara>
              <m:oMath>
                <m:f>
                  <m:fPr>
                    <m:ctrlPr>
                      <w:rPr>
                        <w:rFonts w:ascii="Cambria Math" w:eastAsia="Cambria Math" w:hAnsi="Cambria Math" w:cs="Cambria Math"/>
                        <w:sz w:val="22"/>
                        <w:szCs w:val="22"/>
                      </w:rPr>
                    </m:ctrlPr>
                  </m:fPr>
                  <m:num>
                    <m:r>
                      <w:rPr>
                        <w:rFonts w:ascii="Cambria Math" w:eastAsia="Cambria Math" w:hAnsi="Cambria Math" w:cs="Cambria Math"/>
                        <w:sz w:val="22"/>
                        <w:szCs w:val="22"/>
                      </w:rPr>
                      <m:t>NIR</m:t>
                    </m:r>
                  </m:num>
                  <m:den>
                    <m:r>
                      <w:rPr>
                        <w:rFonts w:ascii="Cambria Math" w:eastAsia="Cambria Math" w:hAnsi="Cambria Math" w:cs="Cambria Math"/>
                        <w:sz w:val="22"/>
                        <w:szCs w:val="22"/>
                      </w:rPr>
                      <m:t>RED</m:t>
                    </m:r>
                  </m:den>
                </m:f>
              </m:oMath>
            </m:oMathPara>
          </w:p>
        </w:tc>
      </w:tr>
      <w:tr w:rsidR="00770242" w14:paraId="2A46C170" w14:textId="77777777" w:rsidTr="00462E20">
        <w:trPr>
          <w:trHeight w:val="605"/>
        </w:trPr>
        <w:tc>
          <w:tcPr>
            <w:tcW w:w="2790" w:type="dxa"/>
            <w:tcBorders>
              <w:top w:val="single" w:sz="6" w:space="0" w:color="666666"/>
              <w:left w:val="single" w:sz="6" w:space="0" w:color="666666"/>
              <w:bottom w:val="single" w:sz="6" w:space="0" w:color="666666"/>
              <w:right w:val="single" w:sz="6" w:space="0" w:color="666666"/>
            </w:tcBorders>
            <w:vAlign w:val="center"/>
          </w:tcPr>
          <w:p w14:paraId="000000B9" w14:textId="7C478BA1" w:rsidR="00770242" w:rsidRDefault="00D028A4">
            <w:pPr>
              <w:rPr>
                <w:color w:val="000000"/>
              </w:rPr>
            </w:pPr>
            <w:r>
              <w:rPr>
                <w:rFonts w:ascii="Garamond" w:eastAsia="Garamond" w:hAnsi="Garamond" w:cs="Garamond"/>
                <w:color w:val="000000"/>
                <w:sz w:val="22"/>
                <w:szCs w:val="22"/>
              </w:rPr>
              <w:t>Enhanced Vegetation Index (EVI</w:t>
            </w:r>
            <w:r w:rsidR="00FF0180">
              <w:rPr>
                <w:rFonts w:ascii="Garamond" w:eastAsia="Garamond" w:hAnsi="Garamond" w:cs="Garamond"/>
                <w:color w:val="000000"/>
                <w:sz w:val="22"/>
                <w:szCs w:val="22"/>
              </w:rPr>
              <w:t xml:space="preserve">; </w:t>
            </w:r>
            <w:proofErr w:type="spellStart"/>
            <w:r>
              <w:rPr>
                <w:rFonts w:ascii="Garamond" w:eastAsia="Garamond" w:hAnsi="Garamond" w:cs="Garamond"/>
                <w:color w:val="000000"/>
                <w:sz w:val="22"/>
                <w:szCs w:val="22"/>
              </w:rPr>
              <w:t>Vermote</w:t>
            </w:r>
            <w:proofErr w:type="spellEnd"/>
            <w:r>
              <w:rPr>
                <w:rFonts w:ascii="Garamond" w:eastAsia="Garamond" w:hAnsi="Garamond" w:cs="Garamond"/>
                <w:color w:val="000000"/>
                <w:sz w:val="22"/>
                <w:szCs w:val="22"/>
              </w:rPr>
              <w:t xml:space="preserve"> et al., 2016)</w:t>
            </w:r>
          </w:p>
        </w:tc>
        <w:tc>
          <w:tcPr>
            <w:tcW w:w="6990" w:type="dxa"/>
            <w:tcBorders>
              <w:top w:val="single" w:sz="6" w:space="0" w:color="666666"/>
              <w:left w:val="single" w:sz="6" w:space="0" w:color="666666"/>
              <w:bottom w:val="single" w:sz="6" w:space="0" w:color="666666"/>
              <w:right w:val="single" w:sz="6" w:space="0" w:color="666666"/>
            </w:tcBorders>
            <w:vAlign w:val="center"/>
          </w:tcPr>
          <w:p w14:paraId="000000BA" w14:textId="767136FB" w:rsidR="00770242" w:rsidRDefault="00D028A4">
            <w:pPr>
              <w:jc w:val="center"/>
              <w:rPr>
                <w:rFonts w:ascii="Cambria Math" w:eastAsia="Cambria Math" w:hAnsi="Cambria Math" w:cs="Cambria Math"/>
                <w:sz w:val="22"/>
                <w:szCs w:val="22"/>
              </w:rPr>
            </w:pPr>
            <m:oMathPara>
              <m:oMath>
                <m:r>
                  <w:rPr>
                    <w:rFonts w:ascii="Cambria Math" w:eastAsia="Cambria Math" w:hAnsi="Cambria Math" w:cs="Cambria Math"/>
                    <w:sz w:val="22"/>
                    <w:szCs w:val="22"/>
                  </w:rPr>
                  <m:t>2.5</m:t>
                </m:r>
                <m:r>
                  <w:rPr>
                    <w:rFonts w:ascii="Cambria Math" w:eastAsia="Cambria Math" w:hAnsi="Cambria Math" w:cs="Cambria Math"/>
                    <w:sz w:val="22"/>
                    <w:szCs w:val="22"/>
                  </w:rPr>
                  <m:t>×</m:t>
                </m:r>
                <m:f>
                  <m:fPr>
                    <m:ctrlPr>
                      <w:rPr>
                        <w:rFonts w:ascii="Cambria Math" w:eastAsia="Cambria Math" w:hAnsi="Cambria Math" w:cs="Cambria Math"/>
                        <w:sz w:val="22"/>
                        <w:szCs w:val="22"/>
                      </w:rPr>
                    </m:ctrlPr>
                  </m:fPr>
                  <m:num>
                    <m:r>
                      <w:rPr>
                        <w:rFonts w:ascii="Cambria Math" w:eastAsia="Cambria Math" w:hAnsi="Cambria Math" w:cs="Cambria Math"/>
                        <w:sz w:val="22"/>
                        <w:szCs w:val="22"/>
                      </w:rPr>
                      <m:t>NIR-RED</m:t>
                    </m:r>
                  </m:num>
                  <m:den>
                    <m:r>
                      <w:rPr>
                        <w:rFonts w:ascii="Cambria Math" w:eastAsia="Cambria Math" w:hAnsi="Cambria Math" w:cs="Cambria Math"/>
                        <w:sz w:val="22"/>
                        <w:szCs w:val="22"/>
                      </w:rPr>
                      <m:t>NIR+6</m:t>
                    </m:r>
                    <m:r>
                      <w:rPr>
                        <w:rFonts w:ascii="Cambria Math" w:eastAsia="Cambria Math" w:hAnsi="Cambria Math" w:cs="Cambria Math"/>
                        <w:sz w:val="22"/>
                        <w:szCs w:val="22"/>
                      </w:rPr>
                      <m:t>×</m:t>
                    </m:r>
                    <m:r>
                      <w:rPr>
                        <w:rFonts w:ascii="Cambria Math" w:eastAsia="Cambria Math" w:hAnsi="Cambria Math" w:cs="Cambria Math"/>
                        <w:sz w:val="22"/>
                        <w:szCs w:val="22"/>
                      </w:rPr>
                      <m:t>RED-7.5</m:t>
                    </m:r>
                    <m:r>
                      <w:rPr>
                        <w:rFonts w:ascii="Cambria Math" w:eastAsia="Cambria Math" w:hAnsi="Cambria Math" w:cs="Cambria Math"/>
                        <w:sz w:val="22"/>
                        <w:szCs w:val="22"/>
                      </w:rPr>
                      <m:t>×</m:t>
                    </m:r>
                    <m:r>
                      <w:rPr>
                        <w:rFonts w:ascii="Cambria Math" w:eastAsia="Cambria Math" w:hAnsi="Cambria Math" w:cs="Cambria Math"/>
                        <w:sz w:val="22"/>
                        <w:szCs w:val="22"/>
                      </w:rPr>
                      <m:t>BLUE+1</m:t>
                    </m:r>
                  </m:den>
                </m:f>
              </m:oMath>
            </m:oMathPara>
          </w:p>
        </w:tc>
      </w:tr>
    </w:tbl>
    <w:p w14:paraId="000000BB" w14:textId="77777777" w:rsidR="00770242" w:rsidRDefault="00770242">
      <w:pPr>
        <w:rPr>
          <w:rFonts w:ascii="Garamond" w:eastAsia="Garamond" w:hAnsi="Garamond" w:cs="Garamond"/>
          <w:sz w:val="22"/>
          <w:szCs w:val="22"/>
        </w:rPr>
      </w:pPr>
    </w:p>
    <w:p w14:paraId="000000BC" w14:textId="77777777" w:rsidR="00770242" w:rsidRDefault="00D028A4">
      <w:pPr>
        <w:rPr>
          <w:rFonts w:ascii="Garamond" w:eastAsia="Garamond" w:hAnsi="Garamond" w:cs="Garamond"/>
          <w:sz w:val="22"/>
          <w:szCs w:val="22"/>
        </w:rPr>
      </w:pPr>
      <w:r>
        <w:rPr>
          <w:rFonts w:ascii="Garamond" w:eastAsia="Garamond" w:hAnsi="Garamond" w:cs="Garamond"/>
          <w:sz w:val="22"/>
          <w:szCs w:val="22"/>
        </w:rPr>
        <w:t xml:space="preserve">Calculations were required for the environmental condition variables such as nitrogen content, soil moisture, snow cover, specific humidity, PDSI, precipitation, surface temperature, and mean TCG. Relatively stable topography variables such as existing vegetation type, slope, aspect, and elevation did not require processing because of minimal variation from year to year.  </w:t>
      </w:r>
    </w:p>
    <w:p w14:paraId="000000BD" w14:textId="77777777" w:rsidR="00770242" w:rsidRDefault="00D028A4">
      <w:pPr>
        <w:rPr>
          <w:rFonts w:ascii="Garamond" w:eastAsia="Garamond" w:hAnsi="Garamond" w:cs="Garamond"/>
          <w:sz w:val="22"/>
          <w:szCs w:val="22"/>
        </w:rPr>
      </w:pPr>
      <w:r>
        <w:rPr>
          <w:rFonts w:ascii="Garamond" w:eastAsia="Garamond" w:hAnsi="Garamond" w:cs="Garamond"/>
          <w:sz w:val="22"/>
          <w:szCs w:val="22"/>
        </w:rPr>
        <w:t xml:space="preserve"> </w:t>
      </w:r>
    </w:p>
    <w:p w14:paraId="000000BE" w14:textId="77777777" w:rsidR="00770242" w:rsidRDefault="00D028A4">
      <w:pPr>
        <w:rPr>
          <w:rFonts w:ascii="Garamond" w:eastAsia="Garamond" w:hAnsi="Garamond" w:cs="Garamond"/>
          <w:sz w:val="22"/>
          <w:szCs w:val="22"/>
        </w:rPr>
      </w:pPr>
      <w:r>
        <w:rPr>
          <w:rFonts w:ascii="Garamond" w:eastAsia="Garamond" w:hAnsi="Garamond" w:cs="Garamond"/>
          <w:sz w:val="22"/>
          <w:szCs w:val="22"/>
        </w:rPr>
        <w:lastRenderedPageBreak/>
        <w:t xml:space="preserve">To create the training set used to classify defoliation in the Random Forest model, we generated random points within the intersections of the aerial survey geometries and deciduous masked areas for each year from 2012 to 2021. We defined classes of defoliation severity by mean TCG change scores where a lower, more negative value corresponds to less greenness or more defoliation. ‘Severe’ was between -4500 and -3500, ‘Moderate’ was between -3500 and -2500, and 'Light’ was between -2500 and -1500. Points in deciduous areas with scores outside of these ranges were defined as ‘No Defoliation’ points. Logging areas from 2017, 2018, and 2021 were located using June 1 through September 1 true color imagery from the Sentinel-2 MultiSpectral Instrument (MSI). Random points from these areas were also included as points to train the classifier to differentiate between defoliation and logging. The training dataset from all three years totaled 7337 points throughout the two states. </w:t>
      </w:r>
    </w:p>
    <w:p w14:paraId="000000BF" w14:textId="77777777" w:rsidR="00770242" w:rsidRDefault="00D028A4">
      <w:pPr>
        <w:rPr>
          <w:rFonts w:ascii="Garamond" w:eastAsia="Garamond" w:hAnsi="Garamond" w:cs="Garamond"/>
          <w:sz w:val="22"/>
          <w:szCs w:val="22"/>
        </w:rPr>
      </w:pPr>
      <w:r>
        <w:rPr>
          <w:rFonts w:ascii="Garamond" w:eastAsia="Garamond" w:hAnsi="Garamond" w:cs="Garamond"/>
          <w:sz w:val="22"/>
          <w:szCs w:val="22"/>
        </w:rPr>
        <w:t xml:space="preserve"> </w:t>
      </w:r>
    </w:p>
    <w:p w14:paraId="000000C0" w14:textId="77777777" w:rsidR="00770242" w:rsidRDefault="00D028A4">
      <w:pPr>
        <w:rPr>
          <w:rFonts w:ascii="Garamond" w:eastAsia="Garamond" w:hAnsi="Garamond" w:cs="Garamond"/>
          <w:sz w:val="22"/>
          <w:szCs w:val="22"/>
        </w:rPr>
      </w:pPr>
      <w:r>
        <w:rPr>
          <w:rFonts w:ascii="Garamond" w:eastAsia="Garamond" w:hAnsi="Garamond" w:cs="Garamond"/>
          <w:sz w:val="22"/>
          <w:szCs w:val="22"/>
        </w:rPr>
        <w:t>Predictor variables from 2017, 2018, and 2021 were assigned to corresponding points from our training set so that each point in each year included information on predictor variables values for that specific location and year. These points were then used to train the Random Forest classifier.</w:t>
      </w:r>
    </w:p>
    <w:p w14:paraId="000000C1" w14:textId="77777777" w:rsidR="00770242" w:rsidRDefault="00770242">
      <w:pPr>
        <w:rPr>
          <w:sz w:val="22"/>
          <w:szCs w:val="22"/>
        </w:rPr>
      </w:pPr>
    </w:p>
    <w:p w14:paraId="000000C2" w14:textId="77777777" w:rsidR="00770242" w:rsidRDefault="00D028A4">
      <w:pPr>
        <w:rPr>
          <w:rFonts w:ascii="Garamond" w:eastAsia="Garamond" w:hAnsi="Garamond" w:cs="Garamond"/>
          <w:b/>
          <w:i/>
          <w:sz w:val="22"/>
          <w:szCs w:val="22"/>
        </w:rPr>
      </w:pPr>
      <w:r>
        <w:rPr>
          <w:rFonts w:ascii="Garamond" w:eastAsia="Garamond" w:hAnsi="Garamond" w:cs="Garamond"/>
          <w:b/>
          <w:i/>
          <w:sz w:val="22"/>
          <w:szCs w:val="22"/>
        </w:rPr>
        <w:t>3.3 Data Analysis</w:t>
      </w:r>
    </w:p>
    <w:p w14:paraId="000000C3" w14:textId="77777777" w:rsidR="00770242" w:rsidRDefault="00D028A4">
      <w:pPr>
        <w:rPr>
          <w:rFonts w:ascii="Garamond" w:eastAsia="Garamond" w:hAnsi="Garamond" w:cs="Garamond"/>
          <w:i/>
          <w:sz w:val="22"/>
          <w:szCs w:val="22"/>
        </w:rPr>
      </w:pPr>
      <w:r>
        <w:rPr>
          <w:rFonts w:ascii="Garamond" w:eastAsia="Garamond" w:hAnsi="Garamond" w:cs="Garamond"/>
          <w:i/>
          <w:sz w:val="22"/>
          <w:szCs w:val="22"/>
        </w:rPr>
        <w:t>3.3.1 Random Forest Classification</w:t>
      </w:r>
    </w:p>
    <w:p w14:paraId="000000C4" w14:textId="119DB719" w:rsidR="00770242" w:rsidRDefault="00D028A4">
      <w:pPr>
        <w:rPr>
          <w:rFonts w:ascii="Garamond" w:eastAsia="Garamond" w:hAnsi="Garamond" w:cs="Garamond"/>
          <w:sz w:val="22"/>
          <w:szCs w:val="22"/>
        </w:rPr>
      </w:pPr>
      <w:r>
        <w:rPr>
          <w:rFonts w:ascii="Garamond" w:eastAsia="Garamond" w:hAnsi="Garamond" w:cs="Garamond"/>
          <w:sz w:val="22"/>
          <w:szCs w:val="22"/>
        </w:rPr>
        <w:t xml:space="preserve">To classify defoliation severity over our study area, we assigned corresponding predictor variable values to all our training points by year. Then, we trained a Random Forest classifier with ten trees on our training sample data. We then applied the classification model to the images containing the predictor variables for each year from 2012 to 2021 to generate the final annual defoliation extent maps. In the absence of ground-truth data on observed defoliation during our study years, we were not able to conduct a formal validation process to test the accuracy of our predicted defoliation classifications. Instead, we produced a confusion matrix representing performance in classifying our training points correctly (Table 3). We generated an accuracy score of 0.989 based on the number of correctly classified points over the total. The Random Forest classification function within Google Earth Engine also calculates scores representing the predictor </w:t>
      </w:r>
      <w:r w:rsidR="003144AC">
        <w:rPr>
          <w:rFonts w:ascii="Garamond" w:eastAsia="Garamond" w:hAnsi="Garamond" w:cs="Garamond"/>
          <w:sz w:val="22"/>
          <w:szCs w:val="22"/>
        </w:rPr>
        <w:t>variable importance</w:t>
      </w:r>
      <w:r w:rsidR="003144AC" w:rsidRPr="003144AC">
        <w:rPr>
          <w:rFonts w:ascii="Garamond" w:eastAsia="Garamond" w:hAnsi="Garamond" w:cs="Garamond"/>
          <w:sz w:val="22"/>
          <w:szCs w:val="22"/>
          <w:vertAlign w:val="superscript"/>
        </w:rPr>
        <w:t>1</w:t>
      </w:r>
      <w:r w:rsidR="003144AC">
        <w:rPr>
          <w:rFonts w:ascii="Garamond" w:eastAsia="Garamond" w:hAnsi="Garamond" w:cs="Garamond"/>
          <w:sz w:val="22"/>
          <w:szCs w:val="22"/>
        </w:rPr>
        <w:t xml:space="preserve">. </w:t>
      </w:r>
      <w:r w:rsidR="002F5FF3" w:rsidRPr="002F5FF3">
        <w:rPr>
          <w:rFonts w:ascii="Garamond" w:eastAsia="Garamond" w:hAnsi="Garamond" w:cs="Garamond"/>
          <w:sz w:val="22"/>
          <w:szCs w:val="22"/>
        </w:rPr>
        <w:t>Our predictor variables in order of importance for classification</w:t>
      </w:r>
      <w:r w:rsidR="002F5FF3">
        <w:rPr>
          <w:rFonts w:ascii="Garamond" w:eastAsia="Garamond" w:hAnsi="Garamond" w:cs="Garamond"/>
          <w:sz w:val="22"/>
          <w:szCs w:val="22"/>
        </w:rPr>
        <w:t xml:space="preserve"> </w:t>
      </w:r>
      <w:r w:rsidR="002F5FF3" w:rsidRPr="002F5FF3">
        <w:rPr>
          <w:rFonts w:ascii="Garamond" w:eastAsia="Garamond" w:hAnsi="Garamond" w:cs="Garamond"/>
          <w:sz w:val="22"/>
          <w:szCs w:val="22"/>
        </w:rPr>
        <w:t>were the mean TCG change score</w:t>
      </w:r>
      <w:r>
        <w:rPr>
          <w:rFonts w:ascii="Garamond" w:eastAsia="Garamond" w:hAnsi="Garamond" w:cs="Garamond"/>
          <w:sz w:val="22"/>
          <w:szCs w:val="22"/>
        </w:rPr>
        <w:t xml:space="preserve">, spring NDVI, spring TCG, summer NDVI, slope, surface temperature, spring to summer NDVI difference, elevation, nitrogen content, EVI, aspect, Simple Ratio, summer TCG, precipitation, snow cover, specific humidity, PDSI, soil moisture, and EVI. </w:t>
      </w:r>
    </w:p>
    <w:p w14:paraId="000000C5" w14:textId="77777777" w:rsidR="00770242" w:rsidRDefault="00770242">
      <w:pPr>
        <w:rPr>
          <w:rFonts w:ascii="Garamond" w:eastAsia="Garamond" w:hAnsi="Garamond" w:cs="Garamond"/>
          <w:sz w:val="22"/>
          <w:szCs w:val="22"/>
        </w:rPr>
      </w:pPr>
    </w:p>
    <w:p w14:paraId="000000C6" w14:textId="77777777" w:rsidR="00770242" w:rsidRDefault="00D028A4">
      <w:pPr>
        <w:rPr>
          <w:rFonts w:ascii="Garamond" w:eastAsia="Garamond" w:hAnsi="Garamond" w:cs="Garamond"/>
          <w:sz w:val="22"/>
          <w:szCs w:val="22"/>
        </w:rPr>
      </w:pPr>
      <w:r>
        <w:rPr>
          <w:rFonts w:ascii="Garamond" w:eastAsia="Garamond" w:hAnsi="Garamond" w:cs="Garamond"/>
          <w:sz w:val="22"/>
          <w:szCs w:val="22"/>
        </w:rPr>
        <w:t>Table 3</w:t>
      </w:r>
    </w:p>
    <w:p w14:paraId="000000C7" w14:textId="77777777" w:rsidR="00770242" w:rsidRDefault="00D028A4">
      <w:pPr>
        <w:rPr>
          <w:rFonts w:ascii="Garamond" w:eastAsia="Garamond" w:hAnsi="Garamond" w:cs="Garamond"/>
          <w:sz w:val="22"/>
          <w:szCs w:val="22"/>
        </w:rPr>
      </w:pPr>
      <w:r>
        <w:rPr>
          <w:rFonts w:ascii="Garamond" w:eastAsia="Garamond" w:hAnsi="Garamond" w:cs="Garamond"/>
          <w:i/>
          <w:sz w:val="22"/>
          <w:szCs w:val="22"/>
        </w:rPr>
        <w:t>Random Forest Classification Confusion Matrix</w:t>
      </w:r>
    </w:p>
    <w:tbl>
      <w:tblPr>
        <w:tblStyle w:val="a1"/>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90"/>
        <w:gridCol w:w="1854"/>
        <w:gridCol w:w="1872"/>
        <w:gridCol w:w="1872"/>
        <w:gridCol w:w="1872"/>
      </w:tblGrid>
      <w:tr w:rsidR="00770242" w14:paraId="7308AEB0" w14:textId="77777777">
        <w:tc>
          <w:tcPr>
            <w:tcW w:w="1890" w:type="dxa"/>
            <w:vAlign w:val="center"/>
          </w:tcPr>
          <w:p w14:paraId="000000C8" w14:textId="77777777" w:rsidR="00770242" w:rsidRDefault="00D028A4">
            <w:pPr>
              <w:jc w:val="center"/>
              <w:rPr>
                <w:rFonts w:ascii="Garamond" w:eastAsia="Garamond" w:hAnsi="Garamond" w:cs="Garamond"/>
                <w:sz w:val="22"/>
                <w:szCs w:val="22"/>
              </w:rPr>
            </w:pPr>
            <w:r>
              <w:rPr>
                <w:rFonts w:ascii="Garamond" w:eastAsia="Garamond" w:hAnsi="Garamond" w:cs="Garamond"/>
                <w:sz w:val="22"/>
                <w:szCs w:val="22"/>
              </w:rPr>
              <w:t>Actual \ Classified</w:t>
            </w:r>
          </w:p>
        </w:tc>
        <w:tc>
          <w:tcPr>
            <w:tcW w:w="1854" w:type="dxa"/>
            <w:vAlign w:val="center"/>
          </w:tcPr>
          <w:p w14:paraId="000000C9" w14:textId="77777777" w:rsidR="00770242" w:rsidRDefault="00D028A4">
            <w:pPr>
              <w:jc w:val="center"/>
              <w:rPr>
                <w:rFonts w:ascii="Garamond" w:eastAsia="Garamond" w:hAnsi="Garamond" w:cs="Garamond"/>
                <w:b/>
                <w:sz w:val="22"/>
                <w:szCs w:val="22"/>
              </w:rPr>
            </w:pPr>
            <w:r>
              <w:rPr>
                <w:rFonts w:ascii="Garamond" w:eastAsia="Garamond" w:hAnsi="Garamond" w:cs="Garamond"/>
                <w:b/>
                <w:sz w:val="22"/>
                <w:szCs w:val="22"/>
              </w:rPr>
              <w:t>No Defoliation</w:t>
            </w:r>
          </w:p>
        </w:tc>
        <w:tc>
          <w:tcPr>
            <w:tcW w:w="1872" w:type="dxa"/>
            <w:vAlign w:val="center"/>
          </w:tcPr>
          <w:p w14:paraId="000000CA" w14:textId="77777777" w:rsidR="00770242" w:rsidRDefault="00D028A4">
            <w:pPr>
              <w:jc w:val="center"/>
              <w:rPr>
                <w:rFonts w:ascii="Garamond" w:eastAsia="Garamond" w:hAnsi="Garamond" w:cs="Garamond"/>
                <w:b/>
                <w:sz w:val="22"/>
                <w:szCs w:val="22"/>
              </w:rPr>
            </w:pPr>
            <w:r>
              <w:rPr>
                <w:rFonts w:ascii="Garamond" w:eastAsia="Garamond" w:hAnsi="Garamond" w:cs="Garamond"/>
                <w:b/>
                <w:sz w:val="22"/>
                <w:szCs w:val="22"/>
              </w:rPr>
              <w:t>Light</w:t>
            </w:r>
          </w:p>
        </w:tc>
        <w:tc>
          <w:tcPr>
            <w:tcW w:w="1872" w:type="dxa"/>
            <w:vAlign w:val="center"/>
          </w:tcPr>
          <w:p w14:paraId="000000CB" w14:textId="77777777" w:rsidR="00770242" w:rsidRDefault="00D028A4">
            <w:pPr>
              <w:jc w:val="center"/>
              <w:rPr>
                <w:rFonts w:ascii="Garamond" w:eastAsia="Garamond" w:hAnsi="Garamond" w:cs="Garamond"/>
                <w:b/>
                <w:sz w:val="22"/>
                <w:szCs w:val="22"/>
              </w:rPr>
            </w:pPr>
            <w:r>
              <w:rPr>
                <w:rFonts w:ascii="Garamond" w:eastAsia="Garamond" w:hAnsi="Garamond" w:cs="Garamond"/>
                <w:b/>
                <w:sz w:val="22"/>
                <w:szCs w:val="22"/>
              </w:rPr>
              <w:t>Moderate</w:t>
            </w:r>
          </w:p>
        </w:tc>
        <w:tc>
          <w:tcPr>
            <w:tcW w:w="1872" w:type="dxa"/>
            <w:vAlign w:val="center"/>
          </w:tcPr>
          <w:p w14:paraId="000000CC" w14:textId="77777777" w:rsidR="00770242" w:rsidRDefault="00D028A4">
            <w:pPr>
              <w:jc w:val="center"/>
              <w:rPr>
                <w:rFonts w:ascii="Garamond" w:eastAsia="Garamond" w:hAnsi="Garamond" w:cs="Garamond"/>
                <w:b/>
                <w:sz w:val="22"/>
                <w:szCs w:val="22"/>
              </w:rPr>
            </w:pPr>
            <w:r>
              <w:rPr>
                <w:rFonts w:ascii="Garamond" w:eastAsia="Garamond" w:hAnsi="Garamond" w:cs="Garamond"/>
                <w:b/>
                <w:sz w:val="22"/>
                <w:szCs w:val="22"/>
              </w:rPr>
              <w:t>Severe</w:t>
            </w:r>
          </w:p>
        </w:tc>
      </w:tr>
      <w:tr w:rsidR="00770242" w14:paraId="2F22855B" w14:textId="77777777">
        <w:tc>
          <w:tcPr>
            <w:tcW w:w="1890" w:type="dxa"/>
            <w:vAlign w:val="center"/>
          </w:tcPr>
          <w:p w14:paraId="000000CD" w14:textId="77777777" w:rsidR="00770242" w:rsidRDefault="00D028A4">
            <w:pPr>
              <w:jc w:val="center"/>
              <w:rPr>
                <w:rFonts w:ascii="Garamond" w:eastAsia="Garamond" w:hAnsi="Garamond" w:cs="Garamond"/>
                <w:b/>
                <w:sz w:val="22"/>
                <w:szCs w:val="22"/>
              </w:rPr>
            </w:pPr>
            <w:r>
              <w:rPr>
                <w:rFonts w:ascii="Garamond" w:eastAsia="Garamond" w:hAnsi="Garamond" w:cs="Garamond"/>
                <w:b/>
                <w:sz w:val="22"/>
                <w:szCs w:val="22"/>
              </w:rPr>
              <w:t>No Defoliation</w:t>
            </w:r>
          </w:p>
        </w:tc>
        <w:tc>
          <w:tcPr>
            <w:tcW w:w="1854" w:type="dxa"/>
            <w:shd w:val="clear" w:color="auto" w:fill="82DEFF"/>
            <w:vAlign w:val="center"/>
          </w:tcPr>
          <w:p w14:paraId="000000CE" w14:textId="77777777" w:rsidR="00770242" w:rsidRDefault="00D028A4">
            <w:pPr>
              <w:jc w:val="center"/>
              <w:rPr>
                <w:rFonts w:ascii="Garamond" w:eastAsia="Garamond" w:hAnsi="Garamond" w:cs="Garamond"/>
                <w:sz w:val="22"/>
                <w:szCs w:val="22"/>
              </w:rPr>
            </w:pPr>
            <w:r>
              <w:rPr>
                <w:rFonts w:ascii="Garamond" w:eastAsia="Garamond" w:hAnsi="Garamond" w:cs="Garamond"/>
                <w:sz w:val="22"/>
                <w:szCs w:val="22"/>
              </w:rPr>
              <w:t>4254</w:t>
            </w:r>
          </w:p>
        </w:tc>
        <w:tc>
          <w:tcPr>
            <w:tcW w:w="1872" w:type="dxa"/>
            <w:shd w:val="clear" w:color="auto" w:fill="FFFFE1"/>
            <w:vAlign w:val="center"/>
          </w:tcPr>
          <w:p w14:paraId="000000CF" w14:textId="77777777" w:rsidR="00770242" w:rsidRDefault="00D028A4">
            <w:pPr>
              <w:jc w:val="center"/>
              <w:rPr>
                <w:rFonts w:ascii="Garamond" w:eastAsia="Garamond" w:hAnsi="Garamond" w:cs="Garamond"/>
                <w:sz w:val="22"/>
                <w:szCs w:val="22"/>
              </w:rPr>
            </w:pPr>
            <w:r>
              <w:rPr>
                <w:rFonts w:ascii="Garamond" w:eastAsia="Garamond" w:hAnsi="Garamond" w:cs="Garamond"/>
                <w:sz w:val="22"/>
                <w:szCs w:val="22"/>
              </w:rPr>
              <w:t>6</w:t>
            </w:r>
          </w:p>
        </w:tc>
        <w:tc>
          <w:tcPr>
            <w:tcW w:w="1872" w:type="dxa"/>
            <w:shd w:val="clear" w:color="auto" w:fill="FFFFE1"/>
            <w:vAlign w:val="center"/>
          </w:tcPr>
          <w:p w14:paraId="000000D0" w14:textId="77777777" w:rsidR="00770242" w:rsidRDefault="00D028A4">
            <w:pPr>
              <w:jc w:val="center"/>
              <w:rPr>
                <w:rFonts w:ascii="Garamond" w:eastAsia="Garamond" w:hAnsi="Garamond" w:cs="Garamond"/>
                <w:sz w:val="22"/>
                <w:szCs w:val="22"/>
              </w:rPr>
            </w:pPr>
            <w:r>
              <w:rPr>
                <w:rFonts w:ascii="Garamond" w:eastAsia="Garamond" w:hAnsi="Garamond" w:cs="Garamond"/>
                <w:sz w:val="22"/>
                <w:szCs w:val="22"/>
              </w:rPr>
              <w:t>1</w:t>
            </w:r>
          </w:p>
        </w:tc>
        <w:tc>
          <w:tcPr>
            <w:tcW w:w="1872" w:type="dxa"/>
            <w:vAlign w:val="center"/>
          </w:tcPr>
          <w:p w14:paraId="000000D1" w14:textId="77777777" w:rsidR="00770242" w:rsidRDefault="00D028A4">
            <w:pPr>
              <w:jc w:val="center"/>
              <w:rPr>
                <w:rFonts w:ascii="Garamond" w:eastAsia="Garamond" w:hAnsi="Garamond" w:cs="Garamond"/>
                <w:sz w:val="22"/>
                <w:szCs w:val="22"/>
              </w:rPr>
            </w:pPr>
            <w:r>
              <w:rPr>
                <w:rFonts w:ascii="Garamond" w:eastAsia="Garamond" w:hAnsi="Garamond" w:cs="Garamond"/>
                <w:sz w:val="22"/>
                <w:szCs w:val="22"/>
              </w:rPr>
              <w:t>0</w:t>
            </w:r>
          </w:p>
        </w:tc>
      </w:tr>
      <w:tr w:rsidR="00770242" w14:paraId="5A62D1CB" w14:textId="77777777">
        <w:trPr>
          <w:trHeight w:val="300"/>
        </w:trPr>
        <w:tc>
          <w:tcPr>
            <w:tcW w:w="1890" w:type="dxa"/>
            <w:vAlign w:val="center"/>
          </w:tcPr>
          <w:p w14:paraId="000000D2" w14:textId="77777777" w:rsidR="00770242" w:rsidRDefault="00D028A4">
            <w:pPr>
              <w:jc w:val="center"/>
              <w:rPr>
                <w:rFonts w:ascii="Garamond" w:eastAsia="Garamond" w:hAnsi="Garamond" w:cs="Garamond"/>
                <w:b/>
                <w:sz w:val="22"/>
                <w:szCs w:val="22"/>
              </w:rPr>
            </w:pPr>
            <w:r>
              <w:rPr>
                <w:rFonts w:ascii="Garamond" w:eastAsia="Garamond" w:hAnsi="Garamond" w:cs="Garamond"/>
                <w:b/>
                <w:sz w:val="22"/>
                <w:szCs w:val="22"/>
              </w:rPr>
              <w:t>Light</w:t>
            </w:r>
          </w:p>
        </w:tc>
        <w:tc>
          <w:tcPr>
            <w:tcW w:w="1854" w:type="dxa"/>
            <w:shd w:val="clear" w:color="auto" w:fill="FFFFE1"/>
            <w:vAlign w:val="center"/>
          </w:tcPr>
          <w:p w14:paraId="000000D3" w14:textId="77777777" w:rsidR="00770242" w:rsidRDefault="00D028A4">
            <w:pPr>
              <w:jc w:val="center"/>
              <w:rPr>
                <w:rFonts w:ascii="Garamond" w:eastAsia="Garamond" w:hAnsi="Garamond" w:cs="Garamond"/>
                <w:sz w:val="22"/>
                <w:szCs w:val="22"/>
              </w:rPr>
            </w:pPr>
            <w:r>
              <w:rPr>
                <w:rFonts w:ascii="Garamond" w:eastAsia="Garamond" w:hAnsi="Garamond" w:cs="Garamond"/>
                <w:sz w:val="22"/>
                <w:szCs w:val="22"/>
              </w:rPr>
              <w:t>16</w:t>
            </w:r>
          </w:p>
        </w:tc>
        <w:tc>
          <w:tcPr>
            <w:tcW w:w="1872" w:type="dxa"/>
            <w:shd w:val="clear" w:color="auto" w:fill="82DEFF"/>
            <w:vAlign w:val="center"/>
          </w:tcPr>
          <w:p w14:paraId="000000D4" w14:textId="77777777" w:rsidR="00770242" w:rsidRDefault="00D028A4">
            <w:pPr>
              <w:spacing w:line="276" w:lineRule="auto"/>
              <w:jc w:val="center"/>
              <w:rPr>
                <w:rFonts w:ascii="Garamond" w:eastAsia="Garamond" w:hAnsi="Garamond" w:cs="Garamond"/>
                <w:sz w:val="22"/>
                <w:szCs w:val="22"/>
              </w:rPr>
            </w:pPr>
            <w:r>
              <w:rPr>
                <w:rFonts w:ascii="Garamond" w:eastAsia="Garamond" w:hAnsi="Garamond" w:cs="Garamond"/>
                <w:sz w:val="22"/>
                <w:szCs w:val="22"/>
              </w:rPr>
              <w:t>601</w:t>
            </w:r>
          </w:p>
        </w:tc>
        <w:tc>
          <w:tcPr>
            <w:tcW w:w="1872" w:type="dxa"/>
            <w:shd w:val="clear" w:color="auto" w:fill="FFEBE1"/>
            <w:vAlign w:val="center"/>
          </w:tcPr>
          <w:p w14:paraId="000000D5" w14:textId="77777777" w:rsidR="00770242" w:rsidRDefault="00D028A4">
            <w:pPr>
              <w:jc w:val="center"/>
              <w:rPr>
                <w:rFonts w:ascii="Garamond" w:eastAsia="Garamond" w:hAnsi="Garamond" w:cs="Garamond"/>
                <w:sz w:val="22"/>
                <w:szCs w:val="22"/>
              </w:rPr>
            </w:pPr>
            <w:r>
              <w:rPr>
                <w:rFonts w:ascii="Garamond" w:eastAsia="Garamond" w:hAnsi="Garamond" w:cs="Garamond"/>
                <w:sz w:val="22"/>
                <w:szCs w:val="22"/>
              </w:rPr>
              <w:t>22</w:t>
            </w:r>
          </w:p>
        </w:tc>
        <w:tc>
          <w:tcPr>
            <w:tcW w:w="1872" w:type="dxa"/>
            <w:vAlign w:val="center"/>
          </w:tcPr>
          <w:p w14:paraId="000000D6" w14:textId="77777777" w:rsidR="00770242" w:rsidRDefault="00D028A4">
            <w:pPr>
              <w:jc w:val="center"/>
              <w:rPr>
                <w:rFonts w:ascii="Garamond" w:eastAsia="Garamond" w:hAnsi="Garamond" w:cs="Garamond"/>
                <w:sz w:val="22"/>
                <w:szCs w:val="22"/>
              </w:rPr>
            </w:pPr>
            <w:r>
              <w:rPr>
                <w:rFonts w:ascii="Garamond" w:eastAsia="Garamond" w:hAnsi="Garamond" w:cs="Garamond"/>
                <w:sz w:val="22"/>
                <w:szCs w:val="22"/>
              </w:rPr>
              <w:t>0</w:t>
            </w:r>
          </w:p>
        </w:tc>
      </w:tr>
      <w:tr w:rsidR="00770242" w14:paraId="1C173B81" w14:textId="77777777">
        <w:trPr>
          <w:trHeight w:val="315"/>
        </w:trPr>
        <w:tc>
          <w:tcPr>
            <w:tcW w:w="1890" w:type="dxa"/>
            <w:vAlign w:val="center"/>
          </w:tcPr>
          <w:p w14:paraId="000000D7" w14:textId="77777777" w:rsidR="00770242" w:rsidRDefault="00D028A4">
            <w:pPr>
              <w:jc w:val="center"/>
              <w:rPr>
                <w:rFonts w:ascii="Garamond" w:eastAsia="Garamond" w:hAnsi="Garamond" w:cs="Garamond"/>
                <w:b/>
                <w:sz w:val="22"/>
                <w:szCs w:val="22"/>
              </w:rPr>
            </w:pPr>
            <w:r>
              <w:rPr>
                <w:rFonts w:ascii="Garamond" w:eastAsia="Garamond" w:hAnsi="Garamond" w:cs="Garamond"/>
                <w:b/>
                <w:sz w:val="22"/>
                <w:szCs w:val="22"/>
              </w:rPr>
              <w:t>Moderate</w:t>
            </w:r>
          </w:p>
        </w:tc>
        <w:tc>
          <w:tcPr>
            <w:tcW w:w="1854" w:type="dxa"/>
            <w:shd w:val="clear" w:color="auto" w:fill="FFFFE1"/>
            <w:vAlign w:val="center"/>
          </w:tcPr>
          <w:p w14:paraId="000000D8" w14:textId="77777777" w:rsidR="00770242" w:rsidRDefault="00D028A4">
            <w:pPr>
              <w:jc w:val="center"/>
              <w:rPr>
                <w:rFonts w:ascii="Garamond" w:eastAsia="Garamond" w:hAnsi="Garamond" w:cs="Garamond"/>
                <w:sz w:val="22"/>
                <w:szCs w:val="22"/>
              </w:rPr>
            </w:pPr>
            <w:r>
              <w:rPr>
                <w:rFonts w:ascii="Garamond" w:eastAsia="Garamond" w:hAnsi="Garamond" w:cs="Garamond"/>
                <w:sz w:val="22"/>
                <w:szCs w:val="22"/>
              </w:rPr>
              <w:t>2</w:t>
            </w:r>
          </w:p>
        </w:tc>
        <w:tc>
          <w:tcPr>
            <w:tcW w:w="1872" w:type="dxa"/>
            <w:shd w:val="clear" w:color="auto" w:fill="FFF5E0"/>
            <w:vAlign w:val="center"/>
          </w:tcPr>
          <w:p w14:paraId="000000D9" w14:textId="77777777" w:rsidR="00770242" w:rsidRDefault="00D028A4">
            <w:pPr>
              <w:jc w:val="center"/>
              <w:rPr>
                <w:rFonts w:ascii="Garamond" w:eastAsia="Garamond" w:hAnsi="Garamond" w:cs="Garamond"/>
                <w:sz w:val="22"/>
                <w:szCs w:val="22"/>
              </w:rPr>
            </w:pPr>
            <w:r>
              <w:rPr>
                <w:rFonts w:ascii="Garamond" w:eastAsia="Garamond" w:hAnsi="Garamond" w:cs="Garamond"/>
                <w:sz w:val="22"/>
                <w:szCs w:val="22"/>
              </w:rPr>
              <w:t>12</w:t>
            </w:r>
          </w:p>
        </w:tc>
        <w:tc>
          <w:tcPr>
            <w:tcW w:w="1872" w:type="dxa"/>
            <w:shd w:val="clear" w:color="auto" w:fill="82DEFF"/>
            <w:vAlign w:val="center"/>
          </w:tcPr>
          <w:p w14:paraId="000000DA" w14:textId="77777777" w:rsidR="00770242" w:rsidRDefault="00D028A4">
            <w:pPr>
              <w:spacing w:line="276" w:lineRule="auto"/>
              <w:jc w:val="center"/>
              <w:rPr>
                <w:rFonts w:ascii="Garamond" w:eastAsia="Garamond" w:hAnsi="Garamond" w:cs="Garamond"/>
                <w:sz w:val="22"/>
                <w:szCs w:val="22"/>
              </w:rPr>
            </w:pPr>
            <w:r>
              <w:rPr>
                <w:rFonts w:ascii="Garamond" w:eastAsia="Garamond" w:hAnsi="Garamond" w:cs="Garamond"/>
                <w:sz w:val="22"/>
                <w:szCs w:val="22"/>
              </w:rPr>
              <w:t>953</w:t>
            </w:r>
          </w:p>
        </w:tc>
        <w:tc>
          <w:tcPr>
            <w:tcW w:w="1872" w:type="dxa"/>
            <w:vAlign w:val="center"/>
          </w:tcPr>
          <w:p w14:paraId="000000DB" w14:textId="77777777" w:rsidR="00770242" w:rsidRDefault="00D028A4">
            <w:pPr>
              <w:jc w:val="center"/>
              <w:rPr>
                <w:rFonts w:ascii="Garamond" w:eastAsia="Garamond" w:hAnsi="Garamond" w:cs="Garamond"/>
                <w:sz w:val="22"/>
                <w:szCs w:val="22"/>
              </w:rPr>
            </w:pPr>
            <w:r>
              <w:rPr>
                <w:rFonts w:ascii="Garamond" w:eastAsia="Garamond" w:hAnsi="Garamond" w:cs="Garamond"/>
                <w:sz w:val="22"/>
                <w:szCs w:val="22"/>
              </w:rPr>
              <w:t>0</w:t>
            </w:r>
          </w:p>
        </w:tc>
      </w:tr>
      <w:tr w:rsidR="00770242" w14:paraId="425286C6" w14:textId="77777777">
        <w:tc>
          <w:tcPr>
            <w:tcW w:w="1890" w:type="dxa"/>
            <w:vAlign w:val="center"/>
          </w:tcPr>
          <w:p w14:paraId="000000DC" w14:textId="77777777" w:rsidR="00770242" w:rsidRDefault="00D028A4">
            <w:pPr>
              <w:jc w:val="center"/>
              <w:rPr>
                <w:rFonts w:ascii="Garamond" w:eastAsia="Garamond" w:hAnsi="Garamond" w:cs="Garamond"/>
                <w:b/>
                <w:sz w:val="22"/>
                <w:szCs w:val="22"/>
              </w:rPr>
            </w:pPr>
            <w:r>
              <w:rPr>
                <w:rFonts w:ascii="Garamond" w:eastAsia="Garamond" w:hAnsi="Garamond" w:cs="Garamond"/>
                <w:b/>
                <w:sz w:val="22"/>
                <w:szCs w:val="22"/>
              </w:rPr>
              <w:t>Severe</w:t>
            </w:r>
          </w:p>
        </w:tc>
        <w:tc>
          <w:tcPr>
            <w:tcW w:w="1854" w:type="dxa"/>
            <w:shd w:val="clear" w:color="auto" w:fill="FFFFE1"/>
            <w:vAlign w:val="center"/>
          </w:tcPr>
          <w:p w14:paraId="000000DD" w14:textId="77777777" w:rsidR="00770242" w:rsidRDefault="00D028A4">
            <w:pPr>
              <w:jc w:val="center"/>
              <w:rPr>
                <w:rFonts w:ascii="Garamond" w:eastAsia="Garamond" w:hAnsi="Garamond" w:cs="Garamond"/>
                <w:sz w:val="22"/>
                <w:szCs w:val="22"/>
              </w:rPr>
            </w:pPr>
            <w:r>
              <w:rPr>
                <w:rFonts w:ascii="Garamond" w:eastAsia="Garamond" w:hAnsi="Garamond" w:cs="Garamond"/>
                <w:sz w:val="22"/>
                <w:szCs w:val="22"/>
              </w:rPr>
              <w:t>1</w:t>
            </w:r>
          </w:p>
        </w:tc>
        <w:tc>
          <w:tcPr>
            <w:tcW w:w="1872" w:type="dxa"/>
            <w:vAlign w:val="center"/>
          </w:tcPr>
          <w:p w14:paraId="000000DE" w14:textId="77777777" w:rsidR="00770242" w:rsidRDefault="00D028A4">
            <w:pPr>
              <w:jc w:val="center"/>
              <w:rPr>
                <w:rFonts w:ascii="Garamond" w:eastAsia="Garamond" w:hAnsi="Garamond" w:cs="Garamond"/>
                <w:sz w:val="22"/>
                <w:szCs w:val="22"/>
              </w:rPr>
            </w:pPr>
            <w:r>
              <w:rPr>
                <w:rFonts w:ascii="Garamond" w:eastAsia="Garamond" w:hAnsi="Garamond" w:cs="Garamond"/>
                <w:sz w:val="22"/>
                <w:szCs w:val="22"/>
              </w:rPr>
              <w:t>0</w:t>
            </w:r>
          </w:p>
        </w:tc>
        <w:tc>
          <w:tcPr>
            <w:tcW w:w="1872" w:type="dxa"/>
            <w:shd w:val="clear" w:color="auto" w:fill="FFFFE1"/>
            <w:vAlign w:val="center"/>
          </w:tcPr>
          <w:p w14:paraId="000000DF" w14:textId="77777777" w:rsidR="00770242" w:rsidRDefault="00D028A4">
            <w:pPr>
              <w:jc w:val="center"/>
              <w:rPr>
                <w:rFonts w:ascii="Garamond" w:eastAsia="Garamond" w:hAnsi="Garamond" w:cs="Garamond"/>
                <w:sz w:val="22"/>
                <w:szCs w:val="22"/>
              </w:rPr>
            </w:pPr>
            <w:r>
              <w:rPr>
                <w:rFonts w:ascii="Garamond" w:eastAsia="Garamond" w:hAnsi="Garamond" w:cs="Garamond"/>
                <w:sz w:val="22"/>
                <w:szCs w:val="22"/>
              </w:rPr>
              <w:t>4</w:t>
            </w:r>
          </w:p>
        </w:tc>
        <w:tc>
          <w:tcPr>
            <w:tcW w:w="1872" w:type="dxa"/>
            <w:shd w:val="clear" w:color="auto" w:fill="82DEFF"/>
            <w:vAlign w:val="center"/>
          </w:tcPr>
          <w:p w14:paraId="000000E0" w14:textId="77777777" w:rsidR="00770242" w:rsidRDefault="00D028A4">
            <w:pPr>
              <w:jc w:val="center"/>
              <w:rPr>
                <w:rFonts w:ascii="Garamond" w:eastAsia="Garamond" w:hAnsi="Garamond" w:cs="Garamond"/>
                <w:sz w:val="22"/>
                <w:szCs w:val="22"/>
              </w:rPr>
            </w:pPr>
            <w:r>
              <w:rPr>
                <w:rFonts w:ascii="Garamond" w:eastAsia="Garamond" w:hAnsi="Garamond" w:cs="Garamond"/>
                <w:sz w:val="22"/>
                <w:szCs w:val="22"/>
              </w:rPr>
              <w:t>42</w:t>
            </w:r>
          </w:p>
        </w:tc>
      </w:tr>
    </w:tbl>
    <w:p w14:paraId="000000E1" w14:textId="77777777" w:rsidR="00770242" w:rsidRDefault="00770242">
      <w:pPr>
        <w:rPr>
          <w:rFonts w:ascii="Garamond" w:eastAsia="Garamond" w:hAnsi="Garamond" w:cs="Garamond"/>
        </w:rPr>
      </w:pPr>
    </w:p>
    <w:p w14:paraId="000000E2" w14:textId="77777777" w:rsidR="00770242" w:rsidRDefault="00D028A4">
      <w:pPr>
        <w:rPr>
          <w:rFonts w:ascii="Garamond" w:eastAsia="Garamond" w:hAnsi="Garamond" w:cs="Garamond"/>
          <w:sz w:val="22"/>
          <w:szCs w:val="22"/>
        </w:rPr>
      </w:pPr>
      <w:r>
        <w:rPr>
          <w:rFonts w:ascii="Garamond" w:eastAsia="Garamond" w:hAnsi="Garamond" w:cs="Garamond"/>
          <w:i/>
          <w:sz w:val="22"/>
          <w:szCs w:val="22"/>
        </w:rPr>
        <w:t xml:space="preserve">3.3.2 Condition Assessment Tool to Estimate Patterns of the Invasive </w:t>
      </w:r>
      <w:r w:rsidRPr="00665950">
        <w:rPr>
          <w:rFonts w:ascii="Garamond" w:eastAsia="Garamond" w:hAnsi="Garamond" w:cs="Garamond"/>
          <w:i/>
          <w:iCs/>
          <w:sz w:val="22"/>
          <w:szCs w:val="22"/>
        </w:rPr>
        <w:t>Lymantria dispaR</w:t>
      </w:r>
    </w:p>
    <w:p w14:paraId="000000E3" w14:textId="77777777" w:rsidR="00770242" w:rsidRDefault="00D028A4">
      <w:pPr>
        <w:rPr>
          <w:rFonts w:ascii="Garamond" w:eastAsia="Garamond" w:hAnsi="Garamond" w:cs="Garamond"/>
          <w:sz w:val="22"/>
          <w:szCs w:val="22"/>
        </w:rPr>
      </w:pPr>
      <w:r>
        <w:rPr>
          <w:rFonts w:ascii="Garamond" w:eastAsia="Garamond" w:hAnsi="Garamond" w:cs="Garamond"/>
          <w:sz w:val="22"/>
          <w:szCs w:val="22"/>
        </w:rPr>
        <w:t xml:space="preserve">To improve defoliation monitoring in VT and NH, our NASA DEVELOP team created the Condition Assessment Tool to Estimate Patterns of the Invasive </w:t>
      </w:r>
      <w:r w:rsidRPr="00665950">
        <w:rPr>
          <w:rFonts w:ascii="Garamond" w:eastAsia="Garamond" w:hAnsi="Garamond" w:cs="Garamond"/>
          <w:iCs/>
          <w:sz w:val="22"/>
          <w:szCs w:val="22"/>
        </w:rPr>
        <w:t>Lymantria dispaR</w:t>
      </w:r>
      <w:r>
        <w:rPr>
          <w:rFonts w:ascii="Garamond" w:eastAsia="Garamond" w:hAnsi="Garamond" w:cs="Garamond"/>
          <w:i/>
          <w:sz w:val="22"/>
          <w:szCs w:val="22"/>
        </w:rPr>
        <w:t xml:space="preserve"> </w:t>
      </w:r>
      <w:r>
        <w:rPr>
          <w:rFonts w:ascii="Garamond" w:eastAsia="Garamond" w:hAnsi="Garamond" w:cs="Garamond"/>
          <w:sz w:val="22"/>
          <w:szCs w:val="22"/>
        </w:rPr>
        <w:t xml:space="preserve">(CATEPILR) on the GEE Interface API. CATEPILR consists of an interactive graphical user interface (GUI) that enables users to view and compare changes in forest conditions between any two years of the study period. Within CATEPILR, users can create Random Forest prediction maps based on a selection by year. Further functionality enables the user to look at the differences in Random Forest predictor variables over time. </w:t>
      </w:r>
    </w:p>
    <w:p w14:paraId="000000E4" w14:textId="77777777" w:rsidR="00770242" w:rsidRDefault="00770242">
      <w:pPr>
        <w:rPr>
          <w:rFonts w:ascii="Garamond" w:eastAsia="Garamond" w:hAnsi="Garamond" w:cs="Garamond"/>
          <w:sz w:val="22"/>
          <w:szCs w:val="22"/>
        </w:rPr>
      </w:pPr>
    </w:p>
    <w:p w14:paraId="000000E5" w14:textId="77777777" w:rsidR="00770242" w:rsidRDefault="00D028A4">
      <w:pPr>
        <w:pStyle w:val="Heading1"/>
        <w:spacing w:before="0"/>
        <w:rPr>
          <w:rFonts w:ascii="Garamond" w:eastAsia="Garamond" w:hAnsi="Garamond" w:cs="Garamond"/>
          <w:sz w:val="22"/>
          <w:szCs w:val="22"/>
        </w:rPr>
      </w:pPr>
      <w:bookmarkStart w:id="2" w:name="_heading=h.1fob9te" w:colFirst="0" w:colLast="0"/>
      <w:bookmarkEnd w:id="2"/>
      <w:r>
        <w:rPr>
          <w:rFonts w:ascii="Garamond" w:eastAsia="Garamond" w:hAnsi="Garamond" w:cs="Garamond"/>
          <w:sz w:val="22"/>
          <w:szCs w:val="22"/>
        </w:rPr>
        <w:t>4. Results &amp; Discussion</w:t>
      </w:r>
    </w:p>
    <w:p w14:paraId="000000E6" w14:textId="77777777" w:rsidR="00770242" w:rsidRDefault="00D028A4">
      <w:pPr>
        <w:rPr>
          <w:rFonts w:ascii="Garamond" w:eastAsia="Garamond" w:hAnsi="Garamond" w:cs="Garamond"/>
          <w:b/>
          <w:i/>
          <w:sz w:val="22"/>
          <w:szCs w:val="22"/>
        </w:rPr>
      </w:pPr>
      <w:r>
        <w:rPr>
          <w:rFonts w:ascii="Garamond" w:eastAsia="Garamond" w:hAnsi="Garamond" w:cs="Garamond"/>
          <w:b/>
          <w:i/>
          <w:sz w:val="22"/>
          <w:szCs w:val="22"/>
        </w:rPr>
        <w:t>4.1 Analysis of Results</w:t>
      </w:r>
    </w:p>
    <w:p w14:paraId="000000E7" w14:textId="4EB4BA9B" w:rsidR="00770242" w:rsidRDefault="00D028A4">
      <w:pPr>
        <w:rPr>
          <w:rFonts w:ascii="Garamond" w:eastAsia="Garamond" w:hAnsi="Garamond" w:cs="Garamond"/>
          <w:sz w:val="22"/>
          <w:szCs w:val="22"/>
        </w:rPr>
      </w:pPr>
      <w:r>
        <w:rPr>
          <w:rFonts w:ascii="Garamond" w:eastAsia="Garamond" w:hAnsi="Garamond" w:cs="Garamond"/>
          <w:sz w:val="22"/>
          <w:szCs w:val="22"/>
        </w:rPr>
        <w:lastRenderedPageBreak/>
        <w:t xml:space="preserve">To measure trends in potential defoliation due to </w:t>
      </w:r>
      <w:r>
        <w:rPr>
          <w:rFonts w:ascii="Garamond" w:eastAsia="Garamond" w:hAnsi="Garamond" w:cs="Garamond"/>
          <w:i/>
          <w:sz w:val="22"/>
          <w:szCs w:val="22"/>
        </w:rPr>
        <w:t xml:space="preserve">L. dispar </w:t>
      </w:r>
      <w:r>
        <w:rPr>
          <w:rFonts w:ascii="Garamond" w:eastAsia="Garamond" w:hAnsi="Garamond" w:cs="Garamond"/>
          <w:sz w:val="22"/>
          <w:szCs w:val="22"/>
        </w:rPr>
        <w:t>across VT and NH, we mapped the total extent of potential defoliation from 2012 to 2021 (Figure 2) as well as the annual extent of defoliation across the ten-year study</w:t>
      </w:r>
      <w:r w:rsidR="003144AC">
        <w:rPr>
          <w:rFonts w:ascii="Garamond" w:eastAsia="Garamond" w:hAnsi="Garamond" w:cs="Garamond"/>
          <w:sz w:val="22"/>
          <w:szCs w:val="22"/>
        </w:rPr>
        <w:t xml:space="preserve"> period.</w:t>
      </w:r>
    </w:p>
    <w:p w14:paraId="000000E8" w14:textId="77777777" w:rsidR="00770242" w:rsidRDefault="00770242">
      <w:pPr>
        <w:rPr>
          <w:rFonts w:ascii="Garamond" w:eastAsia="Garamond" w:hAnsi="Garamond" w:cs="Garamond"/>
          <w:sz w:val="22"/>
          <w:szCs w:val="22"/>
        </w:rPr>
      </w:pPr>
    </w:p>
    <w:p w14:paraId="000000E9" w14:textId="77777777" w:rsidR="00770242" w:rsidRDefault="00D028A4">
      <w:pPr>
        <w:tabs>
          <w:tab w:val="left" w:pos="1058"/>
        </w:tabs>
        <w:jc w:val="center"/>
        <w:rPr>
          <w:sz w:val="22"/>
          <w:szCs w:val="22"/>
        </w:rPr>
      </w:pPr>
      <w:r>
        <w:rPr>
          <w:noProof/>
          <w:sz w:val="22"/>
          <w:szCs w:val="22"/>
        </w:rPr>
        <w:drawing>
          <wp:inline distT="0" distB="0" distL="0" distR="0" wp14:anchorId="2D4F5EFE" wp14:editId="58FBF151">
            <wp:extent cx="4045585" cy="3422015"/>
            <wp:effectExtent l="0" t="0" r="0" b="0"/>
            <wp:docPr id="1929472267" name="image8.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text&#10;&#10;Description automatically generated"/>
                    <pic:cNvPicPr preferRelativeResize="0"/>
                  </pic:nvPicPr>
                  <pic:blipFill>
                    <a:blip r:embed="rId9"/>
                    <a:srcRect t="7727"/>
                    <a:stretch>
                      <a:fillRect/>
                    </a:stretch>
                  </pic:blipFill>
                  <pic:spPr>
                    <a:xfrm>
                      <a:off x="0" y="0"/>
                      <a:ext cx="4045585" cy="3422015"/>
                    </a:xfrm>
                    <a:prstGeom prst="rect">
                      <a:avLst/>
                    </a:prstGeom>
                    <a:ln/>
                  </pic:spPr>
                </pic:pic>
              </a:graphicData>
            </a:graphic>
          </wp:inline>
        </w:drawing>
      </w:r>
      <w:r>
        <w:rPr>
          <w:noProof/>
        </w:rPr>
        <w:drawing>
          <wp:anchor distT="0" distB="0" distL="114300" distR="114300" simplePos="0" relativeHeight="251659264" behindDoc="0" locked="0" layoutInCell="1" hidden="0" allowOverlap="1" wp14:anchorId="54658F5C" wp14:editId="57399B94">
            <wp:simplePos x="0" y="0"/>
            <wp:positionH relativeFrom="column">
              <wp:posOffset>3941007</wp:posOffset>
            </wp:positionH>
            <wp:positionV relativeFrom="paragraph">
              <wp:posOffset>181873</wp:posOffset>
            </wp:positionV>
            <wp:extent cx="666750" cy="390525"/>
            <wp:effectExtent l="0" t="0" r="0" b="0"/>
            <wp:wrapNone/>
            <wp:docPr id="19294722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66750" cy="39052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81270D4" wp14:editId="567F5CB7">
            <wp:simplePos x="0" y="0"/>
            <wp:positionH relativeFrom="column">
              <wp:posOffset>3417395</wp:posOffset>
            </wp:positionH>
            <wp:positionV relativeFrom="paragraph">
              <wp:posOffset>131927</wp:posOffset>
            </wp:positionV>
            <wp:extent cx="283210" cy="476250"/>
            <wp:effectExtent l="0" t="0" r="0" b="0"/>
            <wp:wrapNone/>
            <wp:docPr id="192947225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283210" cy="47625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6F14C14D" wp14:editId="0A48AB99">
            <wp:simplePos x="0" y="0"/>
            <wp:positionH relativeFrom="column">
              <wp:posOffset>3556372</wp:posOffset>
            </wp:positionH>
            <wp:positionV relativeFrom="paragraph">
              <wp:posOffset>3114083</wp:posOffset>
            </wp:positionV>
            <wp:extent cx="613955" cy="151167"/>
            <wp:effectExtent l="0" t="0" r="0" b="0"/>
            <wp:wrapNone/>
            <wp:docPr id="192947226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613955" cy="151167"/>
                    </a:xfrm>
                    <a:prstGeom prst="rect">
                      <a:avLst/>
                    </a:prstGeom>
                    <a:ln/>
                  </pic:spPr>
                </pic:pic>
              </a:graphicData>
            </a:graphic>
          </wp:anchor>
        </w:drawing>
      </w:r>
    </w:p>
    <w:p w14:paraId="000000EA" w14:textId="77777777" w:rsidR="00770242" w:rsidRDefault="00D028A4">
      <w:pPr>
        <w:jc w:val="center"/>
        <w:rPr>
          <w:rFonts w:ascii="Garamond" w:eastAsia="Garamond" w:hAnsi="Garamond" w:cs="Garamond"/>
          <w:sz w:val="20"/>
          <w:szCs w:val="20"/>
        </w:rPr>
      </w:pPr>
      <w:r>
        <w:rPr>
          <w:rFonts w:ascii="Garamond" w:eastAsia="Garamond" w:hAnsi="Garamond" w:cs="Garamond"/>
          <w:i/>
          <w:sz w:val="20"/>
          <w:szCs w:val="20"/>
        </w:rPr>
        <w:t>Figure 2</w:t>
      </w:r>
      <w:r>
        <w:rPr>
          <w:rFonts w:ascii="Garamond" w:eastAsia="Garamond" w:hAnsi="Garamond" w:cs="Garamond"/>
          <w:sz w:val="20"/>
          <w:szCs w:val="20"/>
        </w:rPr>
        <w:t>. Total potential defoliation extent from 2012 to 2021 across the VT and NH study area, binned into three severity classes.</w:t>
      </w:r>
    </w:p>
    <w:p w14:paraId="6C227FA3" w14:textId="77777777" w:rsidR="003144AC" w:rsidRDefault="003144AC">
      <w:pPr>
        <w:rPr>
          <w:rFonts w:ascii="Garamond" w:eastAsia="Garamond" w:hAnsi="Garamond" w:cs="Garamond"/>
          <w:sz w:val="22"/>
          <w:szCs w:val="22"/>
        </w:rPr>
      </w:pPr>
    </w:p>
    <w:p w14:paraId="000000EC" w14:textId="2FAF72A2" w:rsidR="00770242" w:rsidRDefault="003144AC">
      <w:pPr>
        <w:rPr>
          <w:rFonts w:ascii="Garamond" w:eastAsia="Garamond" w:hAnsi="Garamond" w:cs="Garamond"/>
          <w:sz w:val="22"/>
          <w:szCs w:val="22"/>
        </w:rPr>
      </w:pPr>
      <w:r w:rsidRPr="003144AC">
        <w:rPr>
          <w:rFonts w:ascii="Garamond" w:eastAsia="Garamond" w:hAnsi="Garamond" w:cs="Garamond"/>
          <w:sz w:val="22"/>
          <w:szCs w:val="22"/>
        </w:rPr>
        <w:t>Most of the areas (69.5</w:t>
      </w:r>
      <w:r w:rsidR="0097705E">
        <w:rPr>
          <w:rFonts w:ascii="Garamond" w:eastAsia="Garamond" w:hAnsi="Garamond" w:cs="Garamond"/>
          <w:sz w:val="22"/>
          <w:szCs w:val="22"/>
        </w:rPr>
        <w:t>7</w:t>
      </w:r>
      <w:r>
        <w:rPr>
          <w:rFonts w:ascii="Garamond" w:eastAsia="Garamond" w:hAnsi="Garamond" w:cs="Garamond"/>
          <w:sz w:val="22"/>
          <w:szCs w:val="22"/>
        </w:rPr>
        <w:t xml:space="preserve"> </w:t>
      </w:r>
      <w:r w:rsidRPr="003144AC">
        <w:rPr>
          <w:rFonts w:ascii="Garamond" w:eastAsia="Garamond" w:hAnsi="Garamond" w:cs="Garamond"/>
          <w:sz w:val="22"/>
          <w:szCs w:val="22"/>
        </w:rPr>
        <w:t>percent) where potential defoliation occurred from 2012 to 2021 were categorized as light severity. In contrast, a minority of areas (&lt;1 percent)</w:t>
      </w:r>
      <w:r>
        <w:rPr>
          <w:rFonts w:ascii="Garamond" w:eastAsia="Garamond" w:hAnsi="Garamond" w:cs="Garamond"/>
          <w:sz w:val="22"/>
          <w:szCs w:val="22"/>
        </w:rPr>
        <w:t xml:space="preserve"> </w:t>
      </w:r>
      <w:r w:rsidRPr="003144AC">
        <w:rPr>
          <w:rFonts w:ascii="Garamond" w:eastAsia="Garamond" w:hAnsi="Garamond" w:cs="Garamond"/>
          <w:sz w:val="22"/>
          <w:szCs w:val="22"/>
        </w:rPr>
        <w:t>of</w:t>
      </w:r>
      <w:r>
        <w:rPr>
          <w:rFonts w:ascii="Garamond" w:eastAsia="Garamond" w:hAnsi="Garamond" w:cs="Garamond"/>
          <w:sz w:val="22"/>
          <w:szCs w:val="22"/>
        </w:rPr>
        <w:t xml:space="preserve"> t</w:t>
      </w:r>
      <w:r w:rsidRPr="003144AC">
        <w:rPr>
          <w:rFonts w:ascii="Garamond" w:eastAsia="Garamond" w:hAnsi="Garamond" w:cs="Garamond"/>
          <w:sz w:val="22"/>
          <w:szCs w:val="22"/>
        </w:rPr>
        <w:t>he total extent of defoliation experienced severe potential defoliation</w:t>
      </w:r>
      <w:r>
        <w:rPr>
          <w:rFonts w:ascii="Garamond" w:eastAsia="Garamond" w:hAnsi="Garamond" w:cs="Garamond"/>
          <w:sz w:val="22"/>
          <w:szCs w:val="22"/>
        </w:rPr>
        <w:t xml:space="preserve"> </w:t>
      </w:r>
      <w:r w:rsidRPr="003144AC">
        <w:rPr>
          <w:rFonts w:ascii="Garamond" w:eastAsia="Garamond" w:hAnsi="Garamond" w:cs="Garamond"/>
          <w:sz w:val="22"/>
          <w:szCs w:val="22"/>
        </w:rPr>
        <w:t>(</w:t>
      </w:r>
      <w:r w:rsidR="0097705E">
        <w:rPr>
          <w:rFonts w:ascii="Garamond" w:eastAsia="Garamond" w:hAnsi="Garamond" w:cs="Garamond"/>
          <w:sz w:val="22"/>
          <w:szCs w:val="22"/>
        </w:rPr>
        <w:t>Table A1</w:t>
      </w:r>
      <w:r w:rsidRPr="003144AC">
        <w:rPr>
          <w:rFonts w:ascii="Garamond" w:eastAsia="Garamond" w:hAnsi="Garamond" w:cs="Garamond"/>
          <w:sz w:val="22"/>
          <w:szCs w:val="22"/>
        </w:rPr>
        <w:t>).</w:t>
      </w:r>
      <w:r>
        <w:rPr>
          <w:rFonts w:ascii="Garamond" w:eastAsia="Garamond" w:hAnsi="Garamond" w:cs="Garamond"/>
          <w:sz w:val="22"/>
          <w:szCs w:val="22"/>
        </w:rPr>
        <w:t xml:space="preserve"> </w:t>
      </w:r>
      <w:r w:rsidR="00D028A4">
        <w:rPr>
          <w:rFonts w:ascii="Garamond" w:eastAsia="Garamond" w:hAnsi="Garamond" w:cs="Garamond"/>
          <w:sz w:val="22"/>
          <w:szCs w:val="22"/>
        </w:rPr>
        <w:t>Among the years where potential defoliation was measured, 2021 experienced the greatest extent of potential defoliation, with nearly 800 km² affected across the total 49,114 km² VT and NH study area</w:t>
      </w:r>
      <w:r w:rsidR="0097705E">
        <w:rPr>
          <w:rFonts w:ascii="Garamond" w:eastAsia="Garamond" w:hAnsi="Garamond" w:cs="Garamond"/>
          <w:sz w:val="22"/>
          <w:szCs w:val="22"/>
        </w:rPr>
        <w:t xml:space="preserve"> (Table 4)</w:t>
      </w:r>
      <w:r w:rsidR="00D028A4">
        <w:rPr>
          <w:rFonts w:ascii="Garamond" w:eastAsia="Garamond" w:hAnsi="Garamond" w:cs="Garamond"/>
          <w:sz w:val="22"/>
          <w:szCs w:val="22"/>
        </w:rPr>
        <w:t>.</w:t>
      </w:r>
    </w:p>
    <w:p w14:paraId="000000ED" w14:textId="77777777" w:rsidR="00770242" w:rsidRDefault="00770242">
      <w:pPr>
        <w:jc w:val="center"/>
        <w:rPr>
          <w:rFonts w:ascii="Garamond" w:eastAsia="Garamond" w:hAnsi="Garamond" w:cs="Garamond"/>
          <w:sz w:val="22"/>
          <w:szCs w:val="22"/>
        </w:rPr>
      </w:pPr>
    </w:p>
    <w:p w14:paraId="000000EE" w14:textId="77777777" w:rsidR="00770242" w:rsidRDefault="00D028A4">
      <w:pPr>
        <w:rPr>
          <w:rFonts w:ascii="Quattrocento Sans" w:eastAsia="Quattrocento Sans" w:hAnsi="Quattrocento Sans" w:cs="Quattrocento Sans"/>
          <w:sz w:val="22"/>
          <w:szCs w:val="22"/>
        </w:rPr>
      </w:pPr>
      <w:r>
        <w:rPr>
          <w:rFonts w:ascii="Garamond" w:eastAsia="Garamond" w:hAnsi="Garamond" w:cs="Garamond"/>
          <w:color w:val="000000"/>
          <w:sz w:val="22"/>
          <w:szCs w:val="22"/>
        </w:rPr>
        <w:t>Table 4 </w:t>
      </w:r>
    </w:p>
    <w:p w14:paraId="000000EF" w14:textId="5FC49FC4" w:rsidR="00770242" w:rsidRDefault="00D028A4">
      <w:pPr>
        <w:rPr>
          <w:rFonts w:ascii="Garamond" w:eastAsia="Garamond" w:hAnsi="Garamond" w:cs="Garamond"/>
          <w:color w:val="000000"/>
          <w:sz w:val="22"/>
          <w:szCs w:val="22"/>
        </w:rPr>
      </w:pPr>
      <w:r>
        <w:rPr>
          <w:rFonts w:ascii="Garamond" w:eastAsia="Garamond" w:hAnsi="Garamond" w:cs="Garamond"/>
          <w:i/>
          <w:color w:val="000000"/>
          <w:sz w:val="22"/>
          <w:szCs w:val="22"/>
        </w:rPr>
        <w:t>Annual historical potential defoliation extent between 2012</w:t>
      </w:r>
      <w:r w:rsidR="00AA2FF2">
        <w:rPr>
          <w:rFonts w:ascii="Garamond" w:eastAsia="Garamond" w:hAnsi="Garamond" w:cs="Garamond"/>
          <w:i/>
          <w:color w:val="000000"/>
          <w:sz w:val="22"/>
          <w:szCs w:val="22"/>
        </w:rPr>
        <w:t>–</w:t>
      </w:r>
      <w:r>
        <w:rPr>
          <w:rFonts w:ascii="Garamond" w:eastAsia="Garamond" w:hAnsi="Garamond" w:cs="Garamond"/>
          <w:i/>
          <w:color w:val="000000"/>
          <w:sz w:val="22"/>
          <w:szCs w:val="22"/>
        </w:rPr>
        <w:t>2021.</w:t>
      </w:r>
    </w:p>
    <w:tbl>
      <w:tblPr>
        <w:tblStyle w:val="a2"/>
        <w:tblW w:w="9075" w:type="dxa"/>
        <w:tblInd w:w="7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35"/>
        <w:gridCol w:w="1590"/>
        <w:gridCol w:w="1710"/>
        <w:gridCol w:w="1725"/>
        <w:gridCol w:w="2415"/>
      </w:tblGrid>
      <w:tr w:rsidR="00770242" w14:paraId="4E8ACB83" w14:textId="77777777">
        <w:tc>
          <w:tcPr>
            <w:tcW w:w="163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000000F0" w14:textId="77777777" w:rsidR="00770242" w:rsidRDefault="00D028A4">
            <w:pPr>
              <w:jc w:val="center"/>
              <w:rPr>
                <w:sz w:val="22"/>
                <w:szCs w:val="22"/>
              </w:rPr>
            </w:pPr>
            <w:r>
              <w:rPr>
                <w:rFonts w:ascii="Garamond" w:eastAsia="Garamond" w:hAnsi="Garamond" w:cs="Garamond"/>
                <w:b/>
                <w:color w:val="000000"/>
                <w:sz w:val="22"/>
                <w:szCs w:val="22"/>
              </w:rPr>
              <w:t>Time Period</w:t>
            </w:r>
            <w:r>
              <w:rPr>
                <w:rFonts w:ascii="Garamond" w:eastAsia="Garamond" w:hAnsi="Garamond" w:cs="Garamond"/>
                <w:color w:val="000000"/>
                <w:sz w:val="22"/>
                <w:szCs w:val="22"/>
              </w:rPr>
              <w:t> </w:t>
            </w:r>
          </w:p>
        </w:tc>
        <w:tc>
          <w:tcPr>
            <w:tcW w:w="5025"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000000F1" w14:textId="77777777" w:rsidR="00770242" w:rsidRDefault="00D028A4">
            <w:pPr>
              <w:jc w:val="center"/>
              <w:rPr>
                <w:sz w:val="22"/>
                <w:szCs w:val="22"/>
              </w:rPr>
            </w:pPr>
            <w:r>
              <w:rPr>
                <w:rFonts w:ascii="Garamond" w:eastAsia="Garamond" w:hAnsi="Garamond" w:cs="Garamond"/>
                <w:b/>
                <w:color w:val="000000"/>
                <w:sz w:val="22"/>
                <w:szCs w:val="22"/>
              </w:rPr>
              <w:t>Defoliation Extent by Severity Class (km²)</w:t>
            </w:r>
            <w:r>
              <w:rPr>
                <w:rFonts w:ascii="Garamond" w:eastAsia="Garamond" w:hAnsi="Garamond" w:cs="Garamond"/>
                <w:color w:val="000000"/>
                <w:sz w:val="22"/>
                <w:szCs w:val="22"/>
              </w:rPr>
              <w:t> </w:t>
            </w:r>
          </w:p>
        </w:tc>
        <w:tc>
          <w:tcPr>
            <w:tcW w:w="241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000000F4" w14:textId="77777777" w:rsidR="00770242" w:rsidRDefault="00D028A4">
            <w:pPr>
              <w:jc w:val="center"/>
              <w:rPr>
                <w:sz w:val="22"/>
                <w:szCs w:val="22"/>
              </w:rPr>
            </w:pPr>
            <w:r>
              <w:rPr>
                <w:rFonts w:ascii="Garamond" w:eastAsia="Garamond" w:hAnsi="Garamond" w:cs="Garamond"/>
                <w:b/>
                <w:color w:val="000000"/>
                <w:sz w:val="22"/>
                <w:szCs w:val="22"/>
              </w:rPr>
              <w:t>Total Defoliation (km²)</w:t>
            </w:r>
            <w:r>
              <w:rPr>
                <w:rFonts w:ascii="Garamond" w:eastAsia="Garamond" w:hAnsi="Garamond" w:cs="Garamond"/>
                <w:color w:val="000000"/>
                <w:sz w:val="22"/>
                <w:szCs w:val="22"/>
              </w:rPr>
              <w:t> </w:t>
            </w:r>
          </w:p>
        </w:tc>
      </w:tr>
      <w:tr w:rsidR="00770242" w14:paraId="3DAE3961" w14:textId="77777777">
        <w:tc>
          <w:tcPr>
            <w:tcW w:w="163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000000F5" w14:textId="77777777" w:rsidR="00770242" w:rsidRDefault="00770242">
            <w:pPr>
              <w:widowControl w:val="0"/>
              <w:pBdr>
                <w:top w:val="nil"/>
                <w:left w:val="nil"/>
                <w:bottom w:val="nil"/>
                <w:right w:val="nil"/>
                <w:between w:val="nil"/>
              </w:pBdr>
              <w:spacing w:line="276" w:lineRule="auto"/>
              <w:rPr>
                <w:sz w:val="22"/>
                <w:szCs w:val="22"/>
              </w:rPr>
            </w:pPr>
          </w:p>
        </w:tc>
        <w:tc>
          <w:tcPr>
            <w:tcW w:w="15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F6" w14:textId="77777777" w:rsidR="00770242" w:rsidRDefault="00D028A4">
            <w:pPr>
              <w:jc w:val="center"/>
              <w:rPr>
                <w:sz w:val="22"/>
                <w:szCs w:val="22"/>
              </w:rPr>
            </w:pPr>
            <w:r>
              <w:rPr>
                <w:rFonts w:ascii="Garamond" w:eastAsia="Garamond" w:hAnsi="Garamond" w:cs="Garamond"/>
                <w:i/>
                <w:color w:val="000000"/>
                <w:sz w:val="22"/>
                <w:szCs w:val="22"/>
              </w:rPr>
              <w:t>Light</w:t>
            </w:r>
            <w:r>
              <w:rPr>
                <w:rFonts w:ascii="Garamond" w:eastAsia="Garamond" w:hAnsi="Garamond" w:cs="Garamond"/>
                <w:color w:val="000000"/>
                <w:sz w:val="22"/>
                <w:szCs w:val="22"/>
              </w:rPr>
              <w:t> </w:t>
            </w:r>
          </w:p>
        </w:tc>
        <w:tc>
          <w:tcPr>
            <w:tcW w:w="1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F7" w14:textId="77777777" w:rsidR="00770242" w:rsidRDefault="00D028A4">
            <w:pPr>
              <w:jc w:val="center"/>
              <w:rPr>
                <w:sz w:val="22"/>
                <w:szCs w:val="22"/>
              </w:rPr>
            </w:pPr>
            <w:r>
              <w:rPr>
                <w:rFonts w:ascii="Garamond" w:eastAsia="Garamond" w:hAnsi="Garamond" w:cs="Garamond"/>
                <w:i/>
                <w:color w:val="000000"/>
                <w:sz w:val="22"/>
                <w:szCs w:val="22"/>
              </w:rPr>
              <w:t>Moderate</w:t>
            </w:r>
            <w:r>
              <w:rPr>
                <w:rFonts w:ascii="Garamond" w:eastAsia="Garamond" w:hAnsi="Garamond" w:cs="Garamond"/>
                <w:color w:val="000000"/>
                <w:sz w:val="22"/>
                <w:szCs w:val="22"/>
              </w:rPr>
              <w:t> </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F8" w14:textId="77777777" w:rsidR="00770242" w:rsidRDefault="00D028A4">
            <w:pPr>
              <w:jc w:val="center"/>
              <w:rPr>
                <w:sz w:val="22"/>
                <w:szCs w:val="22"/>
              </w:rPr>
            </w:pPr>
            <w:r>
              <w:rPr>
                <w:rFonts w:ascii="Garamond" w:eastAsia="Garamond" w:hAnsi="Garamond" w:cs="Garamond"/>
                <w:i/>
                <w:color w:val="000000"/>
                <w:sz w:val="22"/>
                <w:szCs w:val="22"/>
              </w:rPr>
              <w:t>Severe</w:t>
            </w:r>
            <w:r>
              <w:rPr>
                <w:rFonts w:ascii="Garamond" w:eastAsia="Garamond" w:hAnsi="Garamond" w:cs="Garamond"/>
                <w:color w:val="000000"/>
                <w:sz w:val="22"/>
                <w:szCs w:val="22"/>
              </w:rPr>
              <w:t> </w:t>
            </w:r>
          </w:p>
        </w:tc>
        <w:tc>
          <w:tcPr>
            <w:tcW w:w="241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14:paraId="000000F9" w14:textId="77777777" w:rsidR="00770242" w:rsidRDefault="00770242">
            <w:pPr>
              <w:widowControl w:val="0"/>
              <w:pBdr>
                <w:top w:val="nil"/>
                <w:left w:val="nil"/>
                <w:bottom w:val="nil"/>
                <w:right w:val="nil"/>
                <w:between w:val="nil"/>
              </w:pBdr>
              <w:spacing w:line="276" w:lineRule="auto"/>
              <w:rPr>
                <w:sz w:val="22"/>
                <w:szCs w:val="22"/>
              </w:rPr>
            </w:pPr>
          </w:p>
        </w:tc>
      </w:tr>
      <w:tr w:rsidR="00770242" w14:paraId="5FDC2171" w14:textId="77777777">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FA" w14:textId="77777777" w:rsidR="00770242" w:rsidRDefault="00D028A4">
            <w:pPr>
              <w:jc w:val="center"/>
              <w:rPr>
                <w:sz w:val="22"/>
                <w:szCs w:val="22"/>
              </w:rPr>
            </w:pPr>
            <w:r>
              <w:rPr>
                <w:rFonts w:ascii="Garamond" w:eastAsia="Garamond" w:hAnsi="Garamond" w:cs="Garamond"/>
                <w:color w:val="000000"/>
                <w:sz w:val="22"/>
                <w:szCs w:val="22"/>
              </w:rPr>
              <w:t>2012</w:t>
            </w:r>
          </w:p>
        </w:tc>
        <w:tc>
          <w:tcPr>
            <w:tcW w:w="15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FB" w14:textId="77777777" w:rsidR="00770242" w:rsidRDefault="00D028A4">
            <w:pPr>
              <w:jc w:val="center"/>
              <w:rPr>
                <w:sz w:val="22"/>
                <w:szCs w:val="22"/>
              </w:rPr>
            </w:pPr>
            <w:r>
              <w:rPr>
                <w:rFonts w:ascii="Garamond" w:eastAsia="Garamond" w:hAnsi="Garamond" w:cs="Garamond"/>
                <w:color w:val="000000"/>
                <w:sz w:val="22"/>
                <w:szCs w:val="22"/>
              </w:rPr>
              <w:t>279 </w:t>
            </w:r>
          </w:p>
        </w:tc>
        <w:tc>
          <w:tcPr>
            <w:tcW w:w="1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FC" w14:textId="77777777" w:rsidR="00770242" w:rsidRDefault="00D028A4">
            <w:pPr>
              <w:jc w:val="center"/>
              <w:rPr>
                <w:sz w:val="22"/>
                <w:szCs w:val="22"/>
              </w:rPr>
            </w:pPr>
            <w:r>
              <w:rPr>
                <w:rFonts w:ascii="Garamond" w:eastAsia="Garamond" w:hAnsi="Garamond" w:cs="Garamond"/>
                <w:color w:val="000000"/>
                <w:sz w:val="22"/>
                <w:szCs w:val="22"/>
              </w:rPr>
              <w:t>95 </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FD" w14:textId="77777777" w:rsidR="00770242" w:rsidRDefault="00D028A4">
            <w:pPr>
              <w:jc w:val="center"/>
              <w:rPr>
                <w:sz w:val="22"/>
                <w:szCs w:val="22"/>
              </w:rPr>
            </w:pPr>
            <w:r>
              <w:rPr>
                <w:rFonts w:ascii="Garamond" w:eastAsia="Garamond" w:hAnsi="Garamond" w:cs="Garamond"/>
                <w:color w:val="000000"/>
                <w:sz w:val="22"/>
                <w:szCs w:val="22"/>
              </w:rPr>
              <w:t>0.08 </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00000FE" w14:textId="77777777" w:rsidR="00770242" w:rsidRDefault="00D028A4">
            <w:pPr>
              <w:jc w:val="center"/>
              <w:rPr>
                <w:sz w:val="22"/>
                <w:szCs w:val="22"/>
              </w:rPr>
            </w:pPr>
            <w:r>
              <w:rPr>
                <w:rFonts w:ascii="Garamond" w:eastAsia="Garamond" w:hAnsi="Garamond" w:cs="Garamond"/>
                <w:color w:val="000000"/>
                <w:sz w:val="22"/>
                <w:szCs w:val="22"/>
              </w:rPr>
              <w:t>375 </w:t>
            </w:r>
          </w:p>
        </w:tc>
      </w:tr>
      <w:tr w:rsidR="00770242" w14:paraId="1AFBD8C6" w14:textId="77777777">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FF" w14:textId="77777777" w:rsidR="00770242" w:rsidRDefault="00D028A4">
            <w:pPr>
              <w:jc w:val="center"/>
              <w:rPr>
                <w:sz w:val="22"/>
                <w:szCs w:val="22"/>
              </w:rPr>
            </w:pPr>
            <w:r>
              <w:rPr>
                <w:rFonts w:ascii="Garamond" w:eastAsia="Garamond" w:hAnsi="Garamond" w:cs="Garamond"/>
                <w:color w:val="000000"/>
                <w:sz w:val="22"/>
                <w:szCs w:val="22"/>
              </w:rPr>
              <w:t>2013</w:t>
            </w:r>
          </w:p>
        </w:tc>
        <w:tc>
          <w:tcPr>
            <w:tcW w:w="15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00" w14:textId="77777777" w:rsidR="00770242" w:rsidRDefault="00D028A4">
            <w:pPr>
              <w:jc w:val="center"/>
              <w:rPr>
                <w:sz w:val="22"/>
                <w:szCs w:val="22"/>
              </w:rPr>
            </w:pPr>
            <w:r>
              <w:rPr>
                <w:rFonts w:ascii="Garamond" w:eastAsia="Garamond" w:hAnsi="Garamond" w:cs="Garamond"/>
                <w:color w:val="000000"/>
                <w:sz w:val="22"/>
                <w:szCs w:val="22"/>
              </w:rPr>
              <w:t>217 </w:t>
            </w:r>
          </w:p>
        </w:tc>
        <w:tc>
          <w:tcPr>
            <w:tcW w:w="1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01" w14:textId="77777777" w:rsidR="00770242" w:rsidRDefault="00D028A4">
            <w:pPr>
              <w:jc w:val="center"/>
              <w:rPr>
                <w:sz w:val="22"/>
                <w:szCs w:val="22"/>
              </w:rPr>
            </w:pPr>
            <w:r>
              <w:rPr>
                <w:rFonts w:ascii="Garamond" w:eastAsia="Garamond" w:hAnsi="Garamond" w:cs="Garamond"/>
                <w:color w:val="000000"/>
                <w:sz w:val="22"/>
                <w:szCs w:val="22"/>
              </w:rPr>
              <w:t>187 </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02" w14:textId="77777777" w:rsidR="00770242" w:rsidRDefault="00D028A4">
            <w:pPr>
              <w:jc w:val="center"/>
              <w:rPr>
                <w:sz w:val="22"/>
                <w:szCs w:val="22"/>
              </w:rPr>
            </w:pPr>
            <w:r>
              <w:rPr>
                <w:rFonts w:ascii="Garamond" w:eastAsia="Garamond" w:hAnsi="Garamond" w:cs="Garamond"/>
                <w:color w:val="000000"/>
                <w:sz w:val="22"/>
                <w:szCs w:val="22"/>
              </w:rPr>
              <w:t>0.09 </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0000103" w14:textId="77777777" w:rsidR="00770242" w:rsidRDefault="00D028A4">
            <w:pPr>
              <w:jc w:val="center"/>
              <w:rPr>
                <w:sz w:val="22"/>
                <w:szCs w:val="22"/>
              </w:rPr>
            </w:pPr>
            <w:r>
              <w:rPr>
                <w:rFonts w:ascii="Garamond" w:eastAsia="Garamond" w:hAnsi="Garamond" w:cs="Garamond"/>
                <w:color w:val="000000"/>
                <w:sz w:val="22"/>
                <w:szCs w:val="22"/>
              </w:rPr>
              <w:t>405 </w:t>
            </w:r>
          </w:p>
        </w:tc>
      </w:tr>
      <w:tr w:rsidR="00770242" w14:paraId="4AB7ECE9" w14:textId="77777777">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04" w14:textId="77777777" w:rsidR="00770242" w:rsidRDefault="00D028A4">
            <w:pPr>
              <w:jc w:val="center"/>
              <w:rPr>
                <w:sz w:val="22"/>
                <w:szCs w:val="22"/>
              </w:rPr>
            </w:pPr>
            <w:r>
              <w:rPr>
                <w:rFonts w:ascii="Garamond" w:eastAsia="Garamond" w:hAnsi="Garamond" w:cs="Garamond"/>
                <w:color w:val="000000"/>
                <w:sz w:val="22"/>
                <w:szCs w:val="22"/>
              </w:rPr>
              <w:t>2014</w:t>
            </w:r>
          </w:p>
        </w:tc>
        <w:tc>
          <w:tcPr>
            <w:tcW w:w="15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05" w14:textId="77777777" w:rsidR="00770242" w:rsidRDefault="00D028A4">
            <w:pPr>
              <w:jc w:val="center"/>
              <w:rPr>
                <w:sz w:val="22"/>
                <w:szCs w:val="22"/>
              </w:rPr>
            </w:pPr>
            <w:r>
              <w:rPr>
                <w:rFonts w:ascii="Garamond" w:eastAsia="Garamond" w:hAnsi="Garamond" w:cs="Garamond"/>
                <w:color w:val="000000"/>
                <w:sz w:val="22"/>
                <w:szCs w:val="22"/>
              </w:rPr>
              <w:t>42 </w:t>
            </w:r>
          </w:p>
        </w:tc>
        <w:tc>
          <w:tcPr>
            <w:tcW w:w="1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06" w14:textId="77777777" w:rsidR="00770242" w:rsidRDefault="00D028A4">
            <w:pPr>
              <w:jc w:val="center"/>
              <w:rPr>
                <w:sz w:val="22"/>
                <w:szCs w:val="22"/>
              </w:rPr>
            </w:pPr>
            <w:r>
              <w:rPr>
                <w:rFonts w:ascii="Garamond" w:eastAsia="Garamond" w:hAnsi="Garamond" w:cs="Garamond"/>
                <w:color w:val="000000"/>
                <w:sz w:val="22"/>
                <w:szCs w:val="22"/>
              </w:rPr>
              <w:t>47 </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07" w14:textId="77777777" w:rsidR="00770242" w:rsidRDefault="00D028A4">
            <w:pPr>
              <w:jc w:val="center"/>
              <w:rPr>
                <w:sz w:val="22"/>
                <w:szCs w:val="22"/>
              </w:rPr>
            </w:pPr>
            <w:r>
              <w:rPr>
                <w:rFonts w:ascii="Garamond" w:eastAsia="Garamond" w:hAnsi="Garamond" w:cs="Garamond"/>
                <w:color w:val="000000"/>
                <w:sz w:val="22"/>
                <w:szCs w:val="22"/>
              </w:rPr>
              <w:t>13 </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0000108" w14:textId="77777777" w:rsidR="00770242" w:rsidRDefault="00D028A4">
            <w:pPr>
              <w:jc w:val="center"/>
              <w:rPr>
                <w:sz w:val="22"/>
                <w:szCs w:val="22"/>
              </w:rPr>
            </w:pPr>
            <w:r>
              <w:rPr>
                <w:rFonts w:ascii="Garamond" w:eastAsia="Garamond" w:hAnsi="Garamond" w:cs="Garamond"/>
                <w:color w:val="000000"/>
                <w:sz w:val="22"/>
                <w:szCs w:val="22"/>
              </w:rPr>
              <w:t>102 </w:t>
            </w:r>
          </w:p>
        </w:tc>
      </w:tr>
      <w:tr w:rsidR="00770242" w14:paraId="0D087D57" w14:textId="77777777">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09" w14:textId="77777777" w:rsidR="00770242" w:rsidRDefault="00D028A4">
            <w:pPr>
              <w:jc w:val="center"/>
              <w:rPr>
                <w:sz w:val="22"/>
                <w:szCs w:val="22"/>
              </w:rPr>
            </w:pPr>
            <w:r>
              <w:rPr>
                <w:rFonts w:ascii="Garamond" w:eastAsia="Garamond" w:hAnsi="Garamond" w:cs="Garamond"/>
                <w:color w:val="000000"/>
                <w:sz w:val="22"/>
                <w:szCs w:val="22"/>
              </w:rPr>
              <w:t>2015</w:t>
            </w:r>
          </w:p>
        </w:tc>
        <w:tc>
          <w:tcPr>
            <w:tcW w:w="15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0A" w14:textId="77777777" w:rsidR="00770242" w:rsidRDefault="00D028A4">
            <w:pPr>
              <w:jc w:val="center"/>
              <w:rPr>
                <w:sz w:val="22"/>
                <w:szCs w:val="22"/>
              </w:rPr>
            </w:pPr>
            <w:r>
              <w:rPr>
                <w:rFonts w:ascii="Garamond" w:eastAsia="Garamond" w:hAnsi="Garamond" w:cs="Garamond"/>
                <w:color w:val="000000"/>
                <w:sz w:val="22"/>
                <w:szCs w:val="22"/>
              </w:rPr>
              <w:t>147 </w:t>
            </w:r>
          </w:p>
        </w:tc>
        <w:tc>
          <w:tcPr>
            <w:tcW w:w="1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0B" w14:textId="77777777" w:rsidR="00770242" w:rsidRDefault="00D028A4">
            <w:pPr>
              <w:jc w:val="center"/>
              <w:rPr>
                <w:sz w:val="22"/>
                <w:szCs w:val="22"/>
              </w:rPr>
            </w:pPr>
            <w:r>
              <w:rPr>
                <w:rFonts w:ascii="Garamond" w:eastAsia="Garamond" w:hAnsi="Garamond" w:cs="Garamond"/>
                <w:color w:val="000000"/>
                <w:sz w:val="22"/>
                <w:szCs w:val="22"/>
              </w:rPr>
              <w:t>52 </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0C" w14:textId="77777777" w:rsidR="00770242" w:rsidRDefault="00D028A4">
            <w:pPr>
              <w:jc w:val="center"/>
              <w:rPr>
                <w:sz w:val="22"/>
                <w:szCs w:val="22"/>
              </w:rPr>
            </w:pPr>
            <w:r>
              <w:rPr>
                <w:rFonts w:ascii="Garamond" w:eastAsia="Garamond" w:hAnsi="Garamond" w:cs="Garamond"/>
                <w:color w:val="000000"/>
                <w:sz w:val="22"/>
                <w:szCs w:val="22"/>
              </w:rPr>
              <w:t>0.3 </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000010D" w14:textId="77777777" w:rsidR="00770242" w:rsidRDefault="00D028A4">
            <w:pPr>
              <w:jc w:val="center"/>
              <w:rPr>
                <w:sz w:val="22"/>
                <w:szCs w:val="22"/>
              </w:rPr>
            </w:pPr>
            <w:r>
              <w:rPr>
                <w:rFonts w:ascii="Garamond" w:eastAsia="Garamond" w:hAnsi="Garamond" w:cs="Garamond"/>
                <w:color w:val="000000"/>
                <w:sz w:val="22"/>
                <w:szCs w:val="22"/>
              </w:rPr>
              <w:t>199 </w:t>
            </w:r>
          </w:p>
        </w:tc>
      </w:tr>
      <w:tr w:rsidR="00770242" w14:paraId="19BD2C27" w14:textId="77777777">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0E" w14:textId="77777777" w:rsidR="00770242" w:rsidRDefault="00D028A4">
            <w:pPr>
              <w:jc w:val="center"/>
              <w:rPr>
                <w:sz w:val="22"/>
                <w:szCs w:val="22"/>
              </w:rPr>
            </w:pPr>
            <w:r>
              <w:rPr>
                <w:rFonts w:ascii="Garamond" w:eastAsia="Garamond" w:hAnsi="Garamond" w:cs="Garamond"/>
                <w:color w:val="000000"/>
                <w:sz w:val="22"/>
                <w:szCs w:val="22"/>
              </w:rPr>
              <w:t>2016</w:t>
            </w:r>
          </w:p>
        </w:tc>
        <w:tc>
          <w:tcPr>
            <w:tcW w:w="15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0F" w14:textId="77777777" w:rsidR="00770242" w:rsidRDefault="00D028A4">
            <w:pPr>
              <w:jc w:val="center"/>
              <w:rPr>
                <w:sz w:val="22"/>
                <w:szCs w:val="22"/>
              </w:rPr>
            </w:pPr>
            <w:r>
              <w:rPr>
                <w:rFonts w:ascii="Garamond" w:eastAsia="Garamond" w:hAnsi="Garamond" w:cs="Garamond"/>
                <w:color w:val="000000"/>
                <w:sz w:val="22"/>
                <w:szCs w:val="22"/>
              </w:rPr>
              <w:t>143 </w:t>
            </w:r>
          </w:p>
        </w:tc>
        <w:tc>
          <w:tcPr>
            <w:tcW w:w="1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10" w14:textId="77777777" w:rsidR="00770242" w:rsidRDefault="00D028A4">
            <w:pPr>
              <w:jc w:val="center"/>
              <w:rPr>
                <w:sz w:val="22"/>
                <w:szCs w:val="22"/>
              </w:rPr>
            </w:pPr>
            <w:r>
              <w:rPr>
                <w:rFonts w:ascii="Garamond" w:eastAsia="Garamond" w:hAnsi="Garamond" w:cs="Garamond"/>
                <w:color w:val="000000"/>
                <w:sz w:val="22"/>
                <w:szCs w:val="22"/>
              </w:rPr>
              <w:t>33 </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11" w14:textId="77777777" w:rsidR="00770242" w:rsidRDefault="00D028A4">
            <w:pPr>
              <w:jc w:val="center"/>
              <w:rPr>
                <w:sz w:val="22"/>
                <w:szCs w:val="22"/>
              </w:rPr>
            </w:pPr>
            <w:r>
              <w:rPr>
                <w:rFonts w:ascii="Garamond" w:eastAsia="Garamond" w:hAnsi="Garamond" w:cs="Garamond"/>
                <w:color w:val="000000"/>
                <w:sz w:val="22"/>
                <w:szCs w:val="22"/>
              </w:rPr>
              <w:t>0.2 </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0000112" w14:textId="77777777" w:rsidR="00770242" w:rsidRDefault="00D028A4">
            <w:pPr>
              <w:jc w:val="center"/>
              <w:rPr>
                <w:sz w:val="22"/>
                <w:szCs w:val="22"/>
              </w:rPr>
            </w:pPr>
            <w:r>
              <w:rPr>
                <w:rFonts w:ascii="Garamond" w:eastAsia="Garamond" w:hAnsi="Garamond" w:cs="Garamond"/>
                <w:color w:val="000000"/>
                <w:sz w:val="22"/>
                <w:szCs w:val="22"/>
              </w:rPr>
              <w:t>176 </w:t>
            </w:r>
          </w:p>
        </w:tc>
      </w:tr>
      <w:tr w:rsidR="00770242" w14:paraId="09539AD4" w14:textId="77777777">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13" w14:textId="77777777" w:rsidR="00770242" w:rsidRDefault="00D028A4">
            <w:pPr>
              <w:jc w:val="center"/>
              <w:rPr>
                <w:sz w:val="22"/>
                <w:szCs w:val="22"/>
              </w:rPr>
            </w:pPr>
            <w:r>
              <w:rPr>
                <w:rFonts w:ascii="Garamond" w:eastAsia="Garamond" w:hAnsi="Garamond" w:cs="Garamond"/>
                <w:color w:val="000000"/>
                <w:sz w:val="22"/>
                <w:szCs w:val="22"/>
              </w:rPr>
              <w:t>2017</w:t>
            </w:r>
          </w:p>
        </w:tc>
        <w:tc>
          <w:tcPr>
            <w:tcW w:w="15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14" w14:textId="77777777" w:rsidR="00770242" w:rsidRDefault="00D028A4">
            <w:pPr>
              <w:jc w:val="center"/>
              <w:rPr>
                <w:sz w:val="22"/>
                <w:szCs w:val="22"/>
              </w:rPr>
            </w:pPr>
            <w:r>
              <w:rPr>
                <w:rFonts w:ascii="Garamond" w:eastAsia="Garamond" w:hAnsi="Garamond" w:cs="Garamond"/>
                <w:color w:val="000000"/>
                <w:sz w:val="22"/>
                <w:szCs w:val="22"/>
              </w:rPr>
              <w:t>16 </w:t>
            </w:r>
          </w:p>
        </w:tc>
        <w:tc>
          <w:tcPr>
            <w:tcW w:w="1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15" w14:textId="77777777" w:rsidR="00770242" w:rsidRDefault="00D028A4">
            <w:pPr>
              <w:jc w:val="center"/>
              <w:rPr>
                <w:sz w:val="22"/>
                <w:szCs w:val="22"/>
              </w:rPr>
            </w:pPr>
            <w:r>
              <w:rPr>
                <w:rFonts w:ascii="Garamond" w:eastAsia="Garamond" w:hAnsi="Garamond" w:cs="Garamond"/>
                <w:color w:val="000000"/>
                <w:sz w:val="22"/>
                <w:szCs w:val="22"/>
              </w:rPr>
              <w:t>21 </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16" w14:textId="77777777" w:rsidR="00770242" w:rsidRDefault="00D028A4">
            <w:pPr>
              <w:jc w:val="center"/>
              <w:rPr>
                <w:sz w:val="22"/>
                <w:szCs w:val="22"/>
              </w:rPr>
            </w:pPr>
            <w:r>
              <w:rPr>
                <w:rFonts w:ascii="Garamond" w:eastAsia="Garamond" w:hAnsi="Garamond" w:cs="Garamond"/>
                <w:color w:val="000000"/>
                <w:sz w:val="22"/>
                <w:szCs w:val="22"/>
              </w:rPr>
              <w:t>6.3 </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0000117" w14:textId="77777777" w:rsidR="00770242" w:rsidRDefault="00D028A4">
            <w:pPr>
              <w:jc w:val="center"/>
              <w:rPr>
                <w:sz w:val="22"/>
                <w:szCs w:val="22"/>
              </w:rPr>
            </w:pPr>
            <w:r>
              <w:rPr>
                <w:rFonts w:ascii="Garamond" w:eastAsia="Garamond" w:hAnsi="Garamond" w:cs="Garamond"/>
                <w:color w:val="000000"/>
                <w:sz w:val="22"/>
                <w:szCs w:val="22"/>
              </w:rPr>
              <w:t>43 </w:t>
            </w:r>
          </w:p>
        </w:tc>
      </w:tr>
      <w:tr w:rsidR="00770242" w14:paraId="67677581" w14:textId="77777777">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18" w14:textId="77777777" w:rsidR="00770242" w:rsidRDefault="00D028A4">
            <w:pPr>
              <w:jc w:val="center"/>
              <w:rPr>
                <w:sz w:val="22"/>
                <w:szCs w:val="22"/>
              </w:rPr>
            </w:pPr>
            <w:r>
              <w:rPr>
                <w:rFonts w:ascii="Garamond" w:eastAsia="Garamond" w:hAnsi="Garamond" w:cs="Garamond"/>
                <w:color w:val="000000"/>
                <w:sz w:val="22"/>
                <w:szCs w:val="22"/>
              </w:rPr>
              <w:t>2018</w:t>
            </w:r>
          </w:p>
        </w:tc>
        <w:tc>
          <w:tcPr>
            <w:tcW w:w="15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19" w14:textId="77777777" w:rsidR="00770242" w:rsidRDefault="00D028A4">
            <w:pPr>
              <w:jc w:val="center"/>
              <w:rPr>
                <w:sz w:val="22"/>
                <w:szCs w:val="22"/>
              </w:rPr>
            </w:pPr>
            <w:r>
              <w:rPr>
                <w:rFonts w:ascii="Garamond" w:eastAsia="Garamond" w:hAnsi="Garamond" w:cs="Garamond"/>
                <w:color w:val="000000"/>
                <w:sz w:val="22"/>
                <w:szCs w:val="22"/>
              </w:rPr>
              <w:t>230 </w:t>
            </w:r>
          </w:p>
        </w:tc>
        <w:tc>
          <w:tcPr>
            <w:tcW w:w="1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1A" w14:textId="77777777" w:rsidR="00770242" w:rsidRDefault="00D028A4">
            <w:pPr>
              <w:jc w:val="center"/>
              <w:rPr>
                <w:sz w:val="22"/>
                <w:szCs w:val="22"/>
              </w:rPr>
            </w:pPr>
            <w:r>
              <w:rPr>
                <w:rFonts w:ascii="Garamond" w:eastAsia="Garamond" w:hAnsi="Garamond" w:cs="Garamond"/>
                <w:color w:val="000000"/>
                <w:sz w:val="22"/>
                <w:szCs w:val="22"/>
              </w:rPr>
              <w:t>45 </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1B" w14:textId="77777777" w:rsidR="00770242" w:rsidRDefault="00D028A4">
            <w:pPr>
              <w:jc w:val="center"/>
              <w:rPr>
                <w:sz w:val="22"/>
                <w:szCs w:val="22"/>
              </w:rPr>
            </w:pPr>
            <w:r>
              <w:rPr>
                <w:rFonts w:ascii="Garamond" w:eastAsia="Garamond" w:hAnsi="Garamond" w:cs="Garamond"/>
                <w:color w:val="000000"/>
                <w:sz w:val="22"/>
                <w:szCs w:val="22"/>
              </w:rPr>
              <w:t>0.2 </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000011C" w14:textId="77777777" w:rsidR="00770242" w:rsidRDefault="00D028A4">
            <w:pPr>
              <w:jc w:val="center"/>
              <w:rPr>
                <w:sz w:val="22"/>
                <w:szCs w:val="22"/>
              </w:rPr>
            </w:pPr>
            <w:r>
              <w:rPr>
                <w:rFonts w:ascii="Garamond" w:eastAsia="Garamond" w:hAnsi="Garamond" w:cs="Garamond"/>
                <w:color w:val="000000"/>
                <w:sz w:val="22"/>
                <w:szCs w:val="22"/>
              </w:rPr>
              <w:t>275 </w:t>
            </w:r>
          </w:p>
        </w:tc>
      </w:tr>
      <w:tr w:rsidR="00770242" w14:paraId="0713C270" w14:textId="77777777">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1D" w14:textId="77777777" w:rsidR="00770242" w:rsidRDefault="00D028A4">
            <w:pPr>
              <w:jc w:val="center"/>
              <w:rPr>
                <w:sz w:val="22"/>
                <w:szCs w:val="22"/>
              </w:rPr>
            </w:pPr>
            <w:r>
              <w:rPr>
                <w:rFonts w:ascii="Garamond" w:eastAsia="Garamond" w:hAnsi="Garamond" w:cs="Garamond"/>
                <w:color w:val="000000"/>
                <w:sz w:val="22"/>
                <w:szCs w:val="22"/>
              </w:rPr>
              <w:t>2019</w:t>
            </w:r>
          </w:p>
        </w:tc>
        <w:tc>
          <w:tcPr>
            <w:tcW w:w="15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1E" w14:textId="77777777" w:rsidR="00770242" w:rsidRDefault="00D028A4">
            <w:pPr>
              <w:jc w:val="center"/>
              <w:rPr>
                <w:sz w:val="22"/>
                <w:szCs w:val="22"/>
              </w:rPr>
            </w:pPr>
            <w:r>
              <w:rPr>
                <w:rFonts w:ascii="Garamond" w:eastAsia="Garamond" w:hAnsi="Garamond" w:cs="Garamond"/>
                <w:color w:val="000000"/>
                <w:sz w:val="22"/>
                <w:szCs w:val="22"/>
              </w:rPr>
              <w:t>155 </w:t>
            </w:r>
          </w:p>
        </w:tc>
        <w:tc>
          <w:tcPr>
            <w:tcW w:w="1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1F" w14:textId="77777777" w:rsidR="00770242" w:rsidRDefault="00D028A4">
            <w:pPr>
              <w:jc w:val="center"/>
              <w:rPr>
                <w:sz w:val="22"/>
                <w:szCs w:val="22"/>
              </w:rPr>
            </w:pPr>
            <w:r>
              <w:rPr>
                <w:rFonts w:ascii="Garamond" w:eastAsia="Garamond" w:hAnsi="Garamond" w:cs="Garamond"/>
                <w:color w:val="000000"/>
                <w:sz w:val="22"/>
                <w:szCs w:val="22"/>
              </w:rPr>
              <w:t>61 </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20" w14:textId="77777777" w:rsidR="00770242" w:rsidRDefault="00D028A4">
            <w:pPr>
              <w:jc w:val="center"/>
              <w:rPr>
                <w:sz w:val="22"/>
                <w:szCs w:val="22"/>
              </w:rPr>
            </w:pPr>
            <w:r>
              <w:rPr>
                <w:rFonts w:ascii="Garamond" w:eastAsia="Garamond" w:hAnsi="Garamond" w:cs="Garamond"/>
                <w:color w:val="000000"/>
                <w:sz w:val="22"/>
                <w:szCs w:val="22"/>
              </w:rPr>
              <w:t>0.02 </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0000121" w14:textId="77777777" w:rsidR="00770242" w:rsidRDefault="00D028A4">
            <w:pPr>
              <w:jc w:val="center"/>
              <w:rPr>
                <w:sz w:val="22"/>
                <w:szCs w:val="22"/>
              </w:rPr>
            </w:pPr>
            <w:r>
              <w:rPr>
                <w:rFonts w:ascii="Garamond" w:eastAsia="Garamond" w:hAnsi="Garamond" w:cs="Garamond"/>
                <w:color w:val="000000"/>
                <w:sz w:val="22"/>
                <w:szCs w:val="22"/>
              </w:rPr>
              <w:t>216 </w:t>
            </w:r>
          </w:p>
        </w:tc>
      </w:tr>
      <w:tr w:rsidR="00770242" w14:paraId="1C16FDBC" w14:textId="77777777">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22" w14:textId="77777777" w:rsidR="00770242" w:rsidRDefault="00D028A4">
            <w:pPr>
              <w:jc w:val="center"/>
              <w:rPr>
                <w:sz w:val="22"/>
                <w:szCs w:val="22"/>
              </w:rPr>
            </w:pPr>
            <w:r>
              <w:rPr>
                <w:rFonts w:ascii="Garamond" w:eastAsia="Garamond" w:hAnsi="Garamond" w:cs="Garamond"/>
                <w:color w:val="000000"/>
                <w:sz w:val="22"/>
                <w:szCs w:val="22"/>
              </w:rPr>
              <w:t>2020</w:t>
            </w:r>
          </w:p>
        </w:tc>
        <w:tc>
          <w:tcPr>
            <w:tcW w:w="15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23" w14:textId="77777777" w:rsidR="00770242" w:rsidRDefault="00D028A4">
            <w:pPr>
              <w:jc w:val="center"/>
              <w:rPr>
                <w:sz w:val="22"/>
                <w:szCs w:val="22"/>
              </w:rPr>
            </w:pPr>
            <w:r>
              <w:rPr>
                <w:rFonts w:ascii="Garamond" w:eastAsia="Garamond" w:hAnsi="Garamond" w:cs="Garamond"/>
                <w:color w:val="000000"/>
                <w:sz w:val="22"/>
                <w:szCs w:val="22"/>
              </w:rPr>
              <w:t>408 </w:t>
            </w:r>
          </w:p>
        </w:tc>
        <w:tc>
          <w:tcPr>
            <w:tcW w:w="1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24" w14:textId="77777777" w:rsidR="00770242" w:rsidRDefault="00D028A4">
            <w:pPr>
              <w:jc w:val="center"/>
              <w:rPr>
                <w:sz w:val="22"/>
                <w:szCs w:val="22"/>
              </w:rPr>
            </w:pPr>
            <w:r>
              <w:rPr>
                <w:rFonts w:ascii="Garamond" w:eastAsia="Garamond" w:hAnsi="Garamond" w:cs="Garamond"/>
                <w:color w:val="000000"/>
                <w:sz w:val="22"/>
                <w:szCs w:val="22"/>
              </w:rPr>
              <w:t>142 </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25" w14:textId="77777777" w:rsidR="00770242" w:rsidRDefault="00D028A4">
            <w:pPr>
              <w:jc w:val="center"/>
              <w:rPr>
                <w:sz w:val="22"/>
                <w:szCs w:val="22"/>
              </w:rPr>
            </w:pPr>
            <w:r>
              <w:rPr>
                <w:rFonts w:ascii="Garamond" w:eastAsia="Garamond" w:hAnsi="Garamond" w:cs="Garamond"/>
                <w:color w:val="000000"/>
                <w:sz w:val="22"/>
                <w:szCs w:val="22"/>
              </w:rPr>
              <w:t>0.6 </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0000126" w14:textId="77777777" w:rsidR="00770242" w:rsidRDefault="00D028A4">
            <w:pPr>
              <w:jc w:val="center"/>
              <w:rPr>
                <w:sz w:val="22"/>
                <w:szCs w:val="22"/>
              </w:rPr>
            </w:pPr>
            <w:r>
              <w:rPr>
                <w:rFonts w:ascii="Garamond" w:eastAsia="Garamond" w:hAnsi="Garamond" w:cs="Garamond"/>
                <w:color w:val="000000"/>
                <w:sz w:val="22"/>
                <w:szCs w:val="22"/>
              </w:rPr>
              <w:t>551 </w:t>
            </w:r>
          </w:p>
        </w:tc>
      </w:tr>
      <w:tr w:rsidR="00770242" w14:paraId="3910CDDE" w14:textId="77777777">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27" w14:textId="77777777" w:rsidR="00770242" w:rsidRDefault="00D028A4">
            <w:pPr>
              <w:jc w:val="center"/>
              <w:rPr>
                <w:sz w:val="22"/>
                <w:szCs w:val="22"/>
              </w:rPr>
            </w:pPr>
            <w:r>
              <w:rPr>
                <w:rFonts w:ascii="Garamond" w:eastAsia="Garamond" w:hAnsi="Garamond" w:cs="Garamond"/>
                <w:color w:val="000000"/>
                <w:sz w:val="22"/>
                <w:szCs w:val="22"/>
              </w:rPr>
              <w:t>2021</w:t>
            </w:r>
          </w:p>
        </w:tc>
        <w:tc>
          <w:tcPr>
            <w:tcW w:w="15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28" w14:textId="77777777" w:rsidR="00770242" w:rsidRDefault="00D028A4">
            <w:pPr>
              <w:jc w:val="center"/>
              <w:rPr>
                <w:sz w:val="22"/>
                <w:szCs w:val="22"/>
              </w:rPr>
            </w:pPr>
            <w:r>
              <w:rPr>
                <w:rFonts w:ascii="Garamond" w:eastAsia="Garamond" w:hAnsi="Garamond" w:cs="Garamond"/>
                <w:color w:val="000000"/>
                <w:sz w:val="22"/>
                <w:szCs w:val="22"/>
              </w:rPr>
              <w:t>548 </w:t>
            </w:r>
          </w:p>
        </w:tc>
        <w:tc>
          <w:tcPr>
            <w:tcW w:w="1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29" w14:textId="77777777" w:rsidR="00770242" w:rsidRDefault="00D028A4">
            <w:pPr>
              <w:jc w:val="center"/>
              <w:rPr>
                <w:sz w:val="22"/>
                <w:szCs w:val="22"/>
              </w:rPr>
            </w:pPr>
            <w:r>
              <w:rPr>
                <w:rFonts w:ascii="Garamond" w:eastAsia="Garamond" w:hAnsi="Garamond" w:cs="Garamond"/>
                <w:color w:val="000000"/>
                <w:sz w:val="22"/>
                <w:szCs w:val="22"/>
              </w:rPr>
              <w:t>249 </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2A" w14:textId="77777777" w:rsidR="00770242" w:rsidRDefault="00D028A4">
            <w:pPr>
              <w:jc w:val="center"/>
              <w:rPr>
                <w:sz w:val="22"/>
                <w:szCs w:val="22"/>
              </w:rPr>
            </w:pPr>
            <w:r>
              <w:rPr>
                <w:rFonts w:ascii="Garamond" w:eastAsia="Garamond" w:hAnsi="Garamond" w:cs="Garamond"/>
                <w:color w:val="000000"/>
                <w:sz w:val="22"/>
                <w:szCs w:val="22"/>
              </w:rPr>
              <w:t>1.3 </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000012B" w14:textId="77777777" w:rsidR="00770242" w:rsidRDefault="00D028A4">
            <w:pPr>
              <w:jc w:val="center"/>
              <w:rPr>
                <w:sz w:val="22"/>
                <w:szCs w:val="22"/>
              </w:rPr>
            </w:pPr>
            <w:r>
              <w:rPr>
                <w:rFonts w:ascii="Garamond" w:eastAsia="Garamond" w:hAnsi="Garamond" w:cs="Garamond"/>
                <w:color w:val="000000"/>
                <w:sz w:val="22"/>
                <w:szCs w:val="22"/>
              </w:rPr>
              <w:t>799 </w:t>
            </w:r>
          </w:p>
        </w:tc>
      </w:tr>
    </w:tbl>
    <w:p w14:paraId="0000012C" w14:textId="77777777" w:rsidR="00770242" w:rsidRDefault="00770242">
      <w:pPr>
        <w:tabs>
          <w:tab w:val="left" w:pos="1058"/>
        </w:tabs>
      </w:pPr>
    </w:p>
    <w:p w14:paraId="0000012D" w14:textId="77777777" w:rsidR="00770242" w:rsidRDefault="00D028A4">
      <w:pPr>
        <w:rPr>
          <w:rFonts w:ascii="Garamond" w:eastAsia="Garamond" w:hAnsi="Garamond" w:cs="Garamond"/>
          <w:color w:val="000000"/>
          <w:sz w:val="22"/>
          <w:szCs w:val="22"/>
        </w:rPr>
      </w:pPr>
      <w:r>
        <w:rPr>
          <w:rFonts w:ascii="Garamond" w:eastAsia="Garamond" w:hAnsi="Garamond" w:cs="Garamond"/>
          <w:color w:val="000000"/>
          <w:sz w:val="22"/>
          <w:szCs w:val="22"/>
        </w:rPr>
        <w:lastRenderedPageBreak/>
        <w:t>We also calculated total defoliation on state and federal protected lands in 2021. These layers were sourced from the USGS Protected Areas Database of the United States (PAD-US; Gap Analysis Project Status Codes 1-3). We found that in Vermont, 12.8 km</w:t>
      </w:r>
      <w:r>
        <w:rPr>
          <w:rFonts w:ascii="Garamond" w:eastAsia="Garamond" w:hAnsi="Garamond" w:cs="Garamond"/>
          <w:color w:val="000000"/>
          <w:sz w:val="22"/>
          <w:szCs w:val="22"/>
          <w:vertAlign w:val="superscript"/>
        </w:rPr>
        <w:t>2</w:t>
      </w:r>
      <w:r>
        <w:rPr>
          <w:rFonts w:ascii="Garamond" w:eastAsia="Garamond" w:hAnsi="Garamond" w:cs="Garamond"/>
          <w:color w:val="000000"/>
          <w:sz w:val="22"/>
          <w:szCs w:val="22"/>
        </w:rPr>
        <w:t xml:space="preserve"> of the total 165.5 km</w:t>
      </w:r>
      <w:r>
        <w:rPr>
          <w:rFonts w:ascii="Garamond" w:eastAsia="Garamond" w:hAnsi="Garamond" w:cs="Garamond"/>
          <w:color w:val="000000"/>
          <w:sz w:val="22"/>
          <w:szCs w:val="22"/>
          <w:vertAlign w:val="superscript"/>
        </w:rPr>
        <w:t>2</w:t>
      </w:r>
      <w:r>
        <w:rPr>
          <w:rFonts w:ascii="Garamond" w:eastAsia="Garamond" w:hAnsi="Garamond" w:cs="Garamond"/>
          <w:color w:val="000000"/>
          <w:sz w:val="22"/>
          <w:szCs w:val="22"/>
        </w:rPr>
        <w:t xml:space="preserve"> potential tree cover defoliation occurred on protected lands, consisting of 7.73 percent of total potential defoliation in the state. In New Hampshire, 47.3 km</w:t>
      </w:r>
      <w:r>
        <w:rPr>
          <w:rFonts w:ascii="Garamond" w:eastAsia="Garamond" w:hAnsi="Garamond" w:cs="Garamond"/>
          <w:color w:val="000000"/>
          <w:sz w:val="22"/>
          <w:szCs w:val="22"/>
          <w:vertAlign w:val="superscript"/>
        </w:rPr>
        <w:t>2</w:t>
      </w:r>
      <w:r>
        <w:rPr>
          <w:rFonts w:ascii="Garamond" w:eastAsia="Garamond" w:hAnsi="Garamond" w:cs="Garamond"/>
          <w:color w:val="000000"/>
          <w:sz w:val="22"/>
          <w:szCs w:val="22"/>
        </w:rPr>
        <w:t xml:space="preserve"> of the total 633.0 km</w:t>
      </w:r>
      <w:r>
        <w:rPr>
          <w:rFonts w:ascii="Garamond" w:eastAsia="Garamond" w:hAnsi="Garamond" w:cs="Garamond"/>
          <w:color w:val="000000"/>
          <w:sz w:val="22"/>
          <w:szCs w:val="22"/>
          <w:vertAlign w:val="superscript"/>
        </w:rPr>
        <w:t>2</w:t>
      </w:r>
      <w:r>
        <w:rPr>
          <w:rFonts w:ascii="Garamond" w:eastAsia="Garamond" w:hAnsi="Garamond" w:cs="Garamond"/>
          <w:color w:val="000000"/>
          <w:sz w:val="22"/>
          <w:szCs w:val="22"/>
        </w:rPr>
        <w:t xml:space="preserve"> potential defoliation fell within protected lands, constituting 7.47 percent of total defoliation in the state. Total defoliation on protected lands for both states totaled 60.1 km</w:t>
      </w:r>
      <w:r>
        <w:rPr>
          <w:rFonts w:ascii="Garamond" w:eastAsia="Garamond" w:hAnsi="Garamond" w:cs="Garamond"/>
          <w:color w:val="000000"/>
          <w:sz w:val="22"/>
          <w:szCs w:val="22"/>
          <w:vertAlign w:val="superscript"/>
        </w:rPr>
        <w:t>2</w:t>
      </w:r>
      <w:r>
        <w:rPr>
          <w:rFonts w:ascii="Garamond" w:eastAsia="Garamond" w:hAnsi="Garamond" w:cs="Garamond"/>
          <w:color w:val="000000"/>
          <w:sz w:val="22"/>
          <w:szCs w:val="22"/>
        </w:rPr>
        <w:t xml:space="preserve"> or 7.52 percent of total potential defoliation in the two states (Table 5).</w:t>
      </w:r>
    </w:p>
    <w:p w14:paraId="0000012E" w14:textId="77777777" w:rsidR="00770242" w:rsidRDefault="00770242">
      <w:pPr>
        <w:rPr>
          <w:color w:val="000000"/>
          <w:sz w:val="22"/>
          <w:szCs w:val="22"/>
        </w:rPr>
      </w:pPr>
    </w:p>
    <w:p w14:paraId="0000012F" w14:textId="77777777" w:rsidR="00770242" w:rsidRDefault="00D028A4">
      <w:pPr>
        <w:rPr>
          <w:rFonts w:ascii="Garamond" w:eastAsia="Garamond" w:hAnsi="Garamond" w:cs="Garamond"/>
          <w:sz w:val="22"/>
          <w:szCs w:val="22"/>
        </w:rPr>
      </w:pPr>
      <w:r>
        <w:rPr>
          <w:rFonts w:ascii="Garamond" w:eastAsia="Garamond" w:hAnsi="Garamond" w:cs="Garamond"/>
          <w:sz w:val="22"/>
          <w:szCs w:val="22"/>
        </w:rPr>
        <w:t>Table 5</w:t>
      </w:r>
    </w:p>
    <w:p w14:paraId="00000130" w14:textId="77777777" w:rsidR="00770242" w:rsidRDefault="00D028A4">
      <w:pPr>
        <w:rPr>
          <w:rFonts w:ascii="Garamond" w:eastAsia="Garamond" w:hAnsi="Garamond" w:cs="Garamond"/>
          <w:i/>
          <w:sz w:val="22"/>
          <w:szCs w:val="22"/>
        </w:rPr>
      </w:pPr>
      <w:r>
        <w:rPr>
          <w:rFonts w:ascii="Garamond" w:eastAsia="Garamond" w:hAnsi="Garamond" w:cs="Garamond"/>
          <w:i/>
          <w:sz w:val="22"/>
          <w:szCs w:val="22"/>
        </w:rPr>
        <w:t>Total potential defoliation on state and federal protected lands in 2021</w:t>
      </w:r>
    </w:p>
    <w:tbl>
      <w:tblPr>
        <w:tblStyle w:val="a3"/>
        <w:tblW w:w="9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977"/>
        <w:gridCol w:w="1778"/>
        <w:gridCol w:w="2340"/>
        <w:gridCol w:w="1737"/>
      </w:tblGrid>
      <w:tr w:rsidR="00770242" w14:paraId="54B69CCE" w14:textId="77777777">
        <w:tc>
          <w:tcPr>
            <w:tcW w:w="3977" w:type="dxa"/>
            <w:tcBorders>
              <w:top w:val="single" w:sz="4" w:space="0" w:color="000000"/>
              <w:left w:val="single" w:sz="4" w:space="0" w:color="000000"/>
            </w:tcBorders>
            <w:vAlign w:val="center"/>
          </w:tcPr>
          <w:p w14:paraId="00000131" w14:textId="77777777" w:rsidR="00770242" w:rsidRDefault="00D028A4">
            <w:pPr>
              <w:jc w:val="center"/>
              <w:rPr>
                <w:rFonts w:ascii="Garamond" w:eastAsia="Garamond" w:hAnsi="Garamond" w:cs="Garamond"/>
                <w:b/>
                <w:color w:val="000000"/>
                <w:sz w:val="22"/>
                <w:szCs w:val="22"/>
              </w:rPr>
            </w:pPr>
            <w:r>
              <w:rPr>
                <w:rFonts w:ascii="Garamond" w:eastAsia="Garamond" w:hAnsi="Garamond" w:cs="Garamond"/>
                <w:b/>
                <w:color w:val="000000"/>
                <w:sz w:val="22"/>
                <w:szCs w:val="22"/>
              </w:rPr>
              <w:t>Potential Defoliation Extent</w:t>
            </w:r>
          </w:p>
        </w:tc>
        <w:tc>
          <w:tcPr>
            <w:tcW w:w="1778" w:type="dxa"/>
            <w:vAlign w:val="center"/>
          </w:tcPr>
          <w:p w14:paraId="00000132" w14:textId="77777777" w:rsidR="00770242" w:rsidRDefault="00D028A4">
            <w:pPr>
              <w:jc w:val="center"/>
              <w:rPr>
                <w:rFonts w:ascii="Garamond" w:eastAsia="Garamond" w:hAnsi="Garamond" w:cs="Garamond"/>
                <w:b/>
                <w:color w:val="000000"/>
                <w:sz w:val="22"/>
                <w:szCs w:val="22"/>
              </w:rPr>
            </w:pPr>
            <w:r>
              <w:rPr>
                <w:rFonts w:ascii="Garamond" w:eastAsia="Garamond" w:hAnsi="Garamond" w:cs="Garamond"/>
                <w:b/>
                <w:color w:val="000000"/>
                <w:sz w:val="22"/>
                <w:szCs w:val="22"/>
              </w:rPr>
              <w:t>Vermont</w:t>
            </w:r>
          </w:p>
        </w:tc>
        <w:tc>
          <w:tcPr>
            <w:tcW w:w="2340" w:type="dxa"/>
            <w:vAlign w:val="center"/>
          </w:tcPr>
          <w:p w14:paraId="00000133" w14:textId="77777777" w:rsidR="00770242" w:rsidRDefault="00D028A4">
            <w:pPr>
              <w:jc w:val="center"/>
              <w:rPr>
                <w:rFonts w:ascii="Garamond" w:eastAsia="Garamond" w:hAnsi="Garamond" w:cs="Garamond"/>
                <w:b/>
                <w:color w:val="000000"/>
                <w:sz w:val="22"/>
                <w:szCs w:val="22"/>
              </w:rPr>
            </w:pPr>
            <w:r>
              <w:rPr>
                <w:rFonts w:ascii="Garamond" w:eastAsia="Garamond" w:hAnsi="Garamond" w:cs="Garamond"/>
                <w:b/>
                <w:color w:val="000000"/>
                <w:sz w:val="22"/>
                <w:szCs w:val="22"/>
              </w:rPr>
              <w:t>New Hampshire</w:t>
            </w:r>
          </w:p>
        </w:tc>
        <w:tc>
          <w:tcPr>
            <w:tcW w:w="1737" w:type="dxa"/>
            <w:vAlign w:val="center"/>
          </w:tcPr>
          <w:p w14:paraId="00000134" w14:textId="77777777" w:rsidR="00770242" w:rsidRDefault="00D028A4">
            <w:pPr>
              <w:jc w:val="center"/>
              <w:rPr>
                <w:rFonts w:ascii="Garamond" w:eastAsia="Garamond" w:hAnsi="Garamond" w:cs="Garamond"/>
                <w:b/>
                <w:color w:val="000000"/>
                <w:sz w:val="22"/>
                <w:szCs w:val="22"/>
              </w:rPr>
            </w:pPr>
            <w:r>
              <w:rPr>
                <w:rFonts w:ascii="Garamond" w:eastAsia="Garamond" w:hAnsi="Garamond" w:cs="Garamond"/>
                <w:b/>
                <w:color w:val="000000"/>
                <w:sz w:val="22"/>
                <w:szCs w:val="22"/>
              </w:rPr>
              <w:t>Both States</w:t>
            </w:r>
          </w:p>
        </w:tc>
      </w:tr>
      <w:tr w:rsidR="00770242" w14:paraId="7CAA7EE5" w14:textId="77777777">
        <w:tc>
          <w:tcPr>
            <w:tcW w:w="3977" w:type="dxa"/>
            <w:vAlign w:val="center"/>
          </w:tcPr>
          <w:p w14:paraId="00000135" w14:textId="77777777" w:rsidR="00770242" w:rsidRDefault="00D028A4">
            <w:pPr>
              <w:jc w:val="center"/>
              <w:rPr>
                <w:rFonts w:ascii="Garamond" w:eastAsia="Garamond" w:hAnsi="Garamond" w:cs="Garamond"/>
                <w:i/>
                <w:color w:val="000000"/>
                <w:sz w:val="22"/>
                <w:szCs w:val="22"/>
              </w:rPr>
            </w:pPr>
            <w:r>
              <w:rPr>
                <w:rFonts w:ascii="Garamond" w:eastAsia="Garamond" w:hAnsi="Garamond" w:cs="Garamond"/>
                <w:i/>
                <w:color w:val="000000"/>
                <w:sz w:val="22"/>
                <w:szCs w:val="22"/>
              </w:rPr>
              <w:t>Total defoliation extent (km²)</w:t>
            </w:r>
          </w:p>
        </w:tc>
        <w:tc>
          <w:tcPr>
            <w:tcW w:w="1778" w:type="dxa"/>
            <w:vAlign w:val="center"/>
          </w:tcPr>
          <w:p w14:paraId="00000136" w14:textId="77777777" w:rsidR="00770242" w:rsidRDefault="00D028A4">
            <w:pPr>
              <w:jc w:val="center"/>
              <w:rPr>
                <w:rFonts w:ascii="Garamond" w:eastAsia="Garamond" w:hAnsi="Garamond" w:cs="Garamond"/>
                <w:color w:val="000000"/>
                <w:sz w:val="22"/>
                <w:szCs w:val="22"/>
                <w:vertAlign w:val="superscript"/>
              </w:rPr>
            </w:pPr>
            <w:r>
              <w:rPr>
                <w:rFonts w:ascii="Garamond" w:eastAsia="Garamond" w:hAnsi="Garamond" w:cs="Garamond"/>
                <w:color w:val="000000"/>
                <w:sz w:val="22"/>
                <w:szCs w:val="22"/>
              </w:rPr>
              <w:t>165.5</w:t>
            </w:r>
          </w:p>
        </w:tc>
        <w:tc>
          <w:tcPr>
            <w:tcW w:w="2340" w:type="dxa"/>
            <w:vAlign w:val="center"/>
          </w:tcPr>
          <w:p w14:paraId="00000137" w14:textId="77777777" w:rsidR="00770242" w:rsidRDefault="00D028A4">
            <w:pPr>
              <w:jc w:val="center"/>
              <w:rPr>
                <w:rFonts w:ascii="Garamond" w:eastAsia="Garamond" w:hAnsi="Garamond" w:cs="Garamond"/>
                <w:color w:val="000000"/>
                <w:sz w:val="22"/>
                <w:szCs w:val="22"/>
                <w:vertAlign w:val="superscript"/>
              </w:rPr>
            </w:pPr>
            <w:r>
              <w:rPr>
                <w:rFonts w:ascii="Garamond" w:eastAsia="Garamond" w:hAnsi="Garamond" w:cs="Garamond"/>
                <w:color w:val="000000"/>
                <w:sz w:val="22"/>
                <w:szCs w:val="22"/>
              </w:rPr>
              <w:t>633.0</w:t>
            </w:r>
          </w:p>
        </w:tc>
        <w:tc>
          <w:tcPr>
            <w:tcW w:w="1737" w:type="dxa"/>
            <w:vAlign w:val="center"/>
          </w:tcPr>
          <w:p w14:paraId="00000138" w14:textId="77777777" w:rsidR="00770242" w:rsidRDefault="00D028A4">
            <w:pPr>
              <w:jc w:val="center"/>
              <w:rPr>
                <w:rFonts w:ascii="Garamond" w:eastAsia="Garamond" w:hAnsi="Garamond" w:cs="Garamond"/>
                <w:color w:val="000000"/>
                <w:sz w:val="22"/>
                <w:szCs w:val="22"/>
                <w:vertAlign w:val="superscript"/>
              </w:rPr>
            </w:pPr>
            <w:r>
              <w:rPr>
                <w:rFonts w:ascii="Garamond" w:eastAsia="Garamond" w:hAnsi="Garamond" w:cs="Garamond"/>
                <w:color w:val="000000"/>
                <w:sz w:val="22"/>
                <w:szCs w:val="22"/>
              </w:rPr>
              <w:t>798.5</w:t>
            </w:r>
          </w:p>
        </w:tc>
      </w:tr>
      <w:tr w:rsidR="00770242" w14:paraId="33D32542" w14:textId="77777777">
        <w:tc>
          <w:tcPr>
            <w:tcW w:w="3977" w:type="dxa"/>
            <w:vAlign w:val="center"/>
          </w:tcPr>
          <w:p w14:paraId="00000139" w14:textId="77777777" w:rsidR="00770242" w:rsidRDefault="00D028A4">
            <w:pPr>
              <w:jc w:val="center"/>
              <w:rPr>
                <w:rFonts w:ascii="Garamond" w:eastAsia="Garamond" w:hAnsi="Garamond" w:cs="Garamond"/>
                <w:i/>
                <w:color w:val="000000"/>
                <w:sz w:val="22"/>
                <w:szCs w:val="22"/>
              </w:rPr>
            </w:pPr>
            <w:r>
              <w:rPr>
                <w:rFonts w:ascii="Garamond" w:eastAsia="Garamond" w:hAnsi="Garamond" w:cs="Garamond"/>
                <w:i/>
                <w:color w:val="000000"/>
                <w:sz w:val="22"/>
                <w:szCs w:val="22"/>
              </w:rPr>
              <w:t>Overlap with protected lands (km²)</w:t>
            </w:r>
          </w:p>
        </w:tc>
        <w:tc>
          <w:tcPr>
            <w:tcW w:w="1778" w:type="dxa"/>
            <w:vAlign w:val="center"/>
          </w:tcPr>
          <w:p w14:paraId="0000013A" w14:textId="77777777" w:rsidR="00770242" w:rsidRDefault="00D028A4">
            <w:pPr>
              <w:jc w:val="center"/>
              <w:rPr>
                <w:rFonts w:ascii="Garamond" w:eastAsia="Garamond" w:hAnsi="Garamond" w:cs="Garamond"/>
                <w:color w:val="000000"/>
                <w:sz w:val="22"/>
                <w:szCs w:val="22"/>
                <w:vertAlign w:val="superscript"/>
              </w:rPr>
            </w:pPr>
            <w:r>
              <w:rPr>
                <w:rFonts w:ascii="Garamond" w:eastAsia="Garamond" w:hAnsi="Garamond" w:cs="Garamond"/>
                <w:color w:val="000000"/>
                <w:sz w:val="22"/>
                <w:szCs w:val="22"/>
              </w:rPr>
              <w:t>12.8</w:t>
            </w:r>
          </w:p>
        </w:tc>
        <w:tc>
          <w:tcPr>
            <w:tcW w:w="2340" w:type="dxa"/>
            <w:vAlign w:val="center"/>
          </w:tcPr>
          <w:p w14:paraId="0000013B" w14:textId="77777777" w:rsidR="00770242" w:rsidRDefault="00D028A4">
            <w:pPr>
              <w:jc w:val="center"/>
              <w:rPr>
                <w:rFonts w:ascii="Garamond" w:eastAsia="Garamond" w:hAnsi="Garamond" w:cs="Garamond"/>
                <w:color w:val="000000"/>
                <w:sz w:val="22"/>
                <w:szCs w:val="22"/>
                <w:vertAlign w:val="superscript"/>
              </w:rPr>
            </w:pPr>
            <w:r>
              <w:rPr>
                <w:rFonts w:ascii="Garamond" w:eastAsia="Garamond" w:hAnsi="Garamond" w:cs="Garamond"/>
                <w:color w:val="000000"/>
                <w:sz w:val="22"/>
                <w:szCs w:val="22"/>
              </w:rPr>
              <w:t>47.3</w:t>
            </w:r>
          </w:p>
        </w:tc>
        <w:tc>
          <w:tcPr>
            <w:tcW w:w="1737" w:type="dxa"/>
            <w:vAlign w:val="center"/>
          </w:tcPr>
          <w:p w14:paraId="0000013C" w14:textId="77777777" w:rsidR="00770242" w:rsidRDefault="00D028A4">
            <w:pPr>
              <w:jc w:val="center"/>
              <w:rPr>
                <w:rFonts w:ascii="Garamond" w:eastAsia="Garamond" w:hAnsi="Garamond" w:cs="Garamond"/>
                <w:color w:val="000000"/>
                <w:sz w:val="22"/>
                <w:szCs w:val="22"/>
                <w:vertAlign w:val="superscript"/>
              </w:rPr>
            </w:pPr>
            <w:r>
              <w:rPr>
                <w:rFonts w:ascii="Garamond" w:eastAsia="Garamond" w:hAnsi="Garamond" w:cs="Garamond"/>
                <w:color w:val="000000"/>
                <w:sz w:val="22"/>
                <w:szCs w:val="22"/>
              </w:rPr>
              <w:t>60.1</w:t>
            </w:r>
          </w:p>
        </w:tc>
      </w:tr>
      <w:tr w:rsidR="00770242" w14:paraId="46491770" w14:textId="77777777">
        <w:tc>
          <w:tcPr>
            <w:tcW w:w="3977" w:type="dxa"/>
            <w:vAlign w:val="center"/>
          </w:tcPr>
          <w:p w14:paraId="0000013D" w14:textId="77777777" w:rsidR="00770242" w:rsidRDefault="00D028A4">
            <w:pPr>
              <w:jc w:val="center"/>
              <w:rPr>
                <w:rFonts w:ascii="Garamond" w:eastAsia="Garamond" w:hAnsi="Garamond" w:cs="Garamond"/>
                <w:i/>
                <w:color w:val="000000"/>
                <w:sz w:val="22"/>
                <w:szCs w:val="22"/>
              </w:rPr>
            </w:pPr>
            <w:r>
              <w:rPr>
                <w:rFonts w:ascii="Garamond" w:eastAsia="Garamond" w:hAnsi="Garamond" w:cs="Garamond"/>
                <w:i/>
                <w:color w:val="000000"/>
                <w:sz w:val="22"/>
                <w:szCs w:val="22"/>
              </w:rPr>
              <w:t>Overlap with protected lands (%)</w:t>
            </w:r>
          </w:p>
        </w:tc>
        <w:tc>
          <w:tcPr>
            <w:tcW w:w="1778" w:type="dxa"/>
            <w:vAlign w:val="center"/>
          </w:tcPr>
          <w:p w14:paraId="0000013E" w14:textId="77777777" w:rsidR="00770242" w:rsidRDefault="00D028A4">
            <w:pPr>
              <w:jc w:val="center"/>
              <w:rPr>
                <w:rFonts w:ascii="Garamond" w:eastAsia="Garamond" w:hAnsi="Garamond" w:cs="Garamond"/>
                <w:color w:val="000000"/>
                <w:sz w:val="22"/>
                <w:szCs w:val="22"/>
              </w:rPr>
            </w:pPr>
            <w:r>
              <w:rPr>
                <w:rFonts w:ascii="Garamond" w:eastAsia="Garamond" w:hAnsi="Garamond" w:cs="Garamond"/>
                <w:color w:val="000000"/>
                <w:sz w:val="22"/>
                <w:szCs w:val="22"/>
              </w:rPr>
              <w:t>7.73</w:t>
            </w:r>
          </w:p>
        </w:tc>
        <w:tc>
          <w:tcPr>
            <w:tcW w:w="2340" w:type="dxa"/>
            <w:vAlign w:val="center"/>
          </w:tcPr>
          <w:p w14:paraId="0000013F" w14:textId="77777777" w:rsidR="00770242" w:rsidRDefault="00D028A4">
            <w:pPr>
              <w:jc w:val="center"/>
              <w:rPr>
                <w:rFonts w:ascii="Garamond" w:eastAsia="Garamond" w:hAnsi="Garamond" w:cs="Garamond"/>
                <w:color w:val="000000"/>
                <w:sz w:val="22"/>
                <w:szCs w:val="22"/>
              </w:rPr>
            </w:pPr>
            <w:r>
              <w:rPr>
                <w:rFonts w:ascii="Garamond" w:eastAsia="Garamond" w:hAnsi="Garamond" w:cs="Garamond"/>
                <w:color w:val="000000"/>
                <w:sz w:val="22"/>
                <w:szCs w:val="22"/>
              </w:rPr>
              <w:t>7.47</w:t>
            </w:r>
          </w:p>
        </w:tc>
        <w:tc>
          <w:tcPr>
            <w:tcW w:w="1737" w:type="dxa"/>
            <w:vAlign w:val="center"/>
          </w:tcPr>
          <w:p w14:paraId="00000140" w14:textId="77777777" w:rsidR="00770242" w:rsidRDefault="00D028A4">
            <w:pPr>
              <w:jc w:val="center"/>
              <w:rPr>
                <w:rFonts w:ascii="Garamond" w:eastAsia="Garamond" w:hAnsi="Garamond" w:cs="Garamond"/>
                <w:color w:val="000000"/>
                <w:sz w:val="22"/>
                <w:szCs w:val="22"/>
              </w:rPr>
            </w:pPr>
            <w:r>
              <w:rPr>
                <w:rFonts w:ascii="Garamond" w:eastAsia="Garamond" w:hAnsi="Garamond" w:cs="Garamond"/>
                <w:color w:val="000000"/>
                <w:sz w:val="22"/>
                <w:szCs w:val="22"/>
              </w:rPr>
              <w:t>7.52</w:t>
            </w:r>
          </w:p>
        </w:tc>
      </w:tr>
    </w:tbl>
    <w:p w14:paraId="00000141" w14:textId="77777777" w:rsidR="00770242" w:rsidRDefault="00770242">
      <w:pPr>
        <w:rPr>
          <w:rFonts w:ascii="Garamond" w:eastAsia="Garamond" w:hAnsi="Garamond" w:cs="Garamond"/>
          <w:color w:val="000000"/>
          <w:sz w:val="22"/>
          <w:szCs w:val="22"/>
        </w:rPr>
      </w:pPr>
    </w:p>
    <w:p w14:paraId="00000143" w14:textId="1B79E1B4" w:rsidR="00770242" w:rsidRDefault="00D028A4">
      <w:pPr>
        <w:rPr>
          <w:color w:val="000000"/>
          <w:sz w:val="22"/>
          <w:szCs w:val="22"/>
        </w:rPr>
      </w:pPr>
      <w:r>
        <w:rPr>
          <w:rFonts w:ascii="Garamond" w:eastAsia="Garamond" w:hAnsi="Garamond" w:cs="Garamond"/>
          <w:color w:val="000000"/>
          <w:sz w:val="22"/>
          <w:szCs w:val="22"/>
        </w:rPr>
        <w:t xml:space="preserve">These areas represent protected land in danger of degradation due to defoliation. Repeat outbreaks may threaten the health and viability of deciduous trees in these areas and have repercussions for the entire ecosystem. As some of these protected lands are managed for limited multiple uses including logging, </w:t>
      </w:r>
      <w:r>
        <w:rPr>
          <w:rFonts w:ascii="Garamond" w:eastAsia="Garamond" w:hAnsi="Garamond" w:cs="Garamond"/>
          <w:i/>
          <w:color w:val="000000"/>
          <w:sz w:val="22"/>
          <w:szCs w:val="22"/>
        </w:rPr>
        <w:t>L. dispar</w:t>
      </w:r>
      <w:r>
        <w:rPr>
          <w:rFonts w:ascii="Garamond" w:eastAsia="Garamond" w:hAnsi="Garamond" w:cs="Garamond"/>
          <w:color w:val="000000"/>
          <w:sz w:val="22"/>
          <w:szCs w:val="22"/>
        </w:rPr>
        <w:t xml:space="preserve"> damage may decrease the quality and abundance of lumber, which could lead to negative economic impacts</w:t>
      </w:r>
      <w:r w:rsidR="003144AC">
        <w:rPr>
          <w:rFonts w:ascii="Garamond" w:eastAsia="Garamond" w:hAnsi="Garamond" w:cs="Garamond"/>
          <w:color w:val="000000"/>
          <w:sz w:val="22"/>
          <w:szCs w:val="22"/>
        </w:rPr>
        <w:t xml:space="preserve">. </w:t>
      </w:r>
      <w:r w:rsidR="003144AC" w:rsidRPr="003144AC">
        <w:rPr>
          <w:rFonts w:ascii="Garamond" w:eastAsia="Garamond" w:hAnsi="Garamond" w:cs="Garamond"/>
          <w:color w:val="000000"/>
          <w:sz w:val="22"/>
          <w:szCs w:val="22"/>
        </w:rPr>
        <w:t>Viewing the 2021 potential defoliation map may help in the assessment of management strategies      on protected lands.</w:t>
      </w:r>
    </w:p>
    <w:p w14:paraId="4412B7E6" w14:textId="77777777" w:rsidR="003144AC" w:rsidRDefault="003144AC">
      <w:pPr>
        <w:rPr>
          <w:color w:val="000000"/>
          <w:sz w:val="22"/>
          <w:szCs w:val="22"/>
        </w:rPr>
      </w:pPr>
    </w:p>
    <w:p w14:paraId="00000144" w14:textId="77777777" w:rsidR="00770242" w:rsidRDefault="00D028A4">
      <w:pPr>
        <w:rPr>
          <w:rFonts w:ascii="Garamond" w:eastAsia="Garamond" w:hAnsi="Garamond" w:cs="Garamond"/>
          <w:sz w:val="22"/>
          <w:szCs w:val="22"/>
          <w:vertAlign w:val="superscript"/>
        </w:rPr>
      </w:pPr>
      <w:r>
        <w:rPr>
          <w:rFonts w:ascii="Garamond" w:eastAsia="Garamond" w:hAnsi="Garamond" w:cs="Garamond"/>
          <w:sz w:val="22"/>
          <w:szCs w:val="22"/>
        </w:rPr>
        <w:t xml:space="preserve">One of the community concerns is forest health. Tree mortality may occur after multiple defoliation events or an intensive defoliation event in combination with other stressors. To understand the dynamics of forest health, we performed analysis of repeated defoliation to identify patterns of </w:t>
      </w:r>
      <w:r>
        <w:rPr>
          <w:rFonts w:ascii="Garamond" w:eastAsia="Garamond" w:hAnsi="Garamond" w:cs="Garamond"/>
          <w:i/>
          <w:sz w:val="22"/>
          <w:szCs w:val="22"/>
        </w:rPr>
        <w:t>L. dispar</w:t>
      </w:r>
      <w:r>
        <w:rPr>
          <w:rFonts w:ascii="Garamond" w:eastAsia="Garamond" w:hAnsi="Garamond" w:cs="Garamond"/>
          <w:sz w:val="22"/>
          <w:szCs w:val="22"/>
        </w:rPr>
        <w:t xml:space="preserve"> outbreaks in VT and NH. We calculated the sum of potential defoliation events per pixel to gain a sense of overall defoliation frequency in the past decade (Figure 3).</w:t>
      </w:r>
    </w:p>
    <w:p w14:paraId="00000145" w14:textId="77777777" w:rsidR="00770242" w:rsidRDefault="00D028A4">
      <w:pPr>
        <w:jc w:val="center"/>
      </w:pPr>
      <w:r>
        <w:rPr>
          <w:noProof/>
        </w:rPr>
        <w:drawing>
          <wp:inline distT="0" distB="0" distL="0" distR="0" wp14:anchorId="20EBD38B" wp14:editId="121F2F80">
            <wp:extent cx="3374557" cy="3434281"/>
            <wp:effectExtent l="0" t="0" r="0" b="0"/>
            <wp:docPr id="19294722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t="8830"/>
                    <a:stretch>
                      <a:fillRect/>
                    </a:stretch>
                  </pic:blipFill>
                  <pic:spPr>
                    <a:xfrm>
                      <a:off x="0" y="0"/>
                      <a:ext cx="3374557" cy="3434281"/>
                    </a:xfrm>
                    <a:prstGeom prst="rect">
                      <a:avLst/>
                    </a:prstGeom>
                    <a:ln/>
                  </pic:spPr>
                </pic:pic>
              </a:graphicData>
            </a:graphic>
          </wp:inline>
        </w:drawing>
      </w:r>
      <w:r>
        <w:rPr>
          <w:noProof/>
        </w:rPr>
        <w:drawing>
          <wp:anchor distT="0" distB="0" distL="114300" distR="114300" simplePos="0" relativeHeight="251662336" behindDoc="0" locked="0" layoutInCell="1" hidden="0" allowOverlap="1" wp14:anchorId="516DF739" wp14:editId="02B2289E">
            <wp:simplePos x="0" y="0"/>
            <wp:positionH relativeFrom="column">
              <wp:posOffset>4018462</wp:posOffset>
            </wp:positionH>
            <wp:positionV relativeFrom="paragraph">
              <wp:posOffset>3126015</wp:posOffset>
            </wp:positionV>
            <wp:extent cx="613955" cy="151167"/>
            <wp:effectExtent l="0" t="0" r="0" b="0"/>
            <wp:wrapNone/>
            <wp:docPr id="192947225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613955" cy="151167"/>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07CCDFE3" wp14:editId="59B5BA91">
            <wp:simplePos x="0" y="0"/>
            <wp:positionH relativeFrom="column">
              <wp:posOffset>4211138</wp:posOffset>
            </wp:positionH>
            <wp:positionV relativeFrom="paragraph">
              <wp:posOffset>227330</wp:posOffset>
            </wp:positionV>
            <wp:extent cx="1348740" cy="1171575"/>
            <wp:effectExtent l="0" t="0" r="0" b="0"/>
            <wp:wrapNone/>
            <wp:docPr id="19294722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348740" cy="117157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2BC338DD" wp14:editId="7B694BED">
            <wp:simplePos x="0" y="0"/>
            <wp:positionH relativeFrom="column">
              <wp:posOffset>3713571</wp:posOffset>
            </wp:positionH>
            <wp:positionV relativeFrom="paragraph">
              <wp:posOffset>87993</wp:posOffset>
            </wp:positionV>
            <wp:extent cx="368527" cy="619125"/>
            <wp:effectExtent l="0" t="0" r="0" b="0"/>
            <wp:wrapNone/>
            <wp:docPr id="192947227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368527" cy="619125"/>
                    </a:xfrm>
                    <a:prstGeom prst="rect">
                      <a:avLst/>
                    </a:prstGeom>
                    <a:ln/>
                  </pic:spPr>
                </pic:pic>
              </a:graphicData>
            </a:graphic>
          </wp:anchor>
        </w:drawing>
      </w:r>
    </w:p>
    <w:p w14:paraId="00000146" w14:textId="11F86D8D" w:rsidR="00770242" w:rsidRDefault="00D028A4">
      <w:pPr>
        <w:jc w:val="center"/>
        <w:rPr>
          <w:rFonts w:ascii="Garamond" w:eastAsia="Garamond" w:hAnsi="Garamond" w:cs="Garamond"/>
          <w:sz w:val="20"/>
          <w:szCs w:val="20"/>
        </w:rPr>
      </w:pPr>
      <w:r>
        <w:rPr>
          <w:rFonts w:ascii="Garamond" w:eastAsia="Garamond" w:hAnsi="Garamond" w:cs="Garamond"/>
          <w:i/>
          <w:sz w:val="20"/>
          <w:szCs w:val="20"/>
        </w:rPr>
        <w:t xml:space="preserve">Figure 3. </w:t>
      </w:r>
      <w:r>
        <w:rPr>
          <w:rFonts w:ascii="Garamond" w:eastAsia="Garamond" w:hAnsi="Garamond" w:cs="Garamond"/>
          <w:sz w:val="20"/>
          <w:szCs w:val="20"/>
        </w:rPr>
        <w:t xml:space="preserve">Total potential </w:t>
      </w:r>
      <w:r w:rsidR="00757F43">
        <w:rPr>
          <w:rFonts w:ascii="Garamond" w:eastAsia="Garamond" w:hAnsi="Garamond" w:cs="Garamond"/>
          <w:sz w:val="20"/>
          <w:szCs w:val="20"/>
        </w:rPr>
        <w:t xml:space="preserve">defoliation years per pixel across </w:t>
      </w:r>
      <w:r>
        <w:rPr>
          <w:rFonts w:ascii="Garamond" w:eastAsia="Garamond" w:hAnsi="Garamond" w:cs="Garamond"/>
          <w:sz w:val="20"/>
          <w:szCs w:val="20"/>
        </w:rPr>
        <w:t>the study period.</w:t>
      </w:r>
    </w:p>
    <w:p w14:paraId="00000147" w14:textId="77777777" w:rsidR="00770242" w:rsidRDefault="00770242">
      <w:pPr>
        <w:rPr>
          <w:rFonts w:ascii="Garamond" w:eastAsia="Garamond" w:hAnsi="Garamond" w:cs="Garamond"/>
          <w:sz w:val="22"/>
          <w:szCs w:val="22"/>
        </w:rPr>
      </w:pPr>
    </w:p>
    <w:p w14:paraId="00000148" w14:textId="76F3C134" w:rsidR="00770242" w:rsidRDefault="00D028A4">
      <w:pPr>
        <w:rPr>
          <w:rFonts w:ascii="Garamond" w:eastAsia="Garamond" w:hAnsi="Garamond" w:cs="Garamond"/>
          <w:color w:val="000000"/>
          <w:sz w:val="22"/>
          <w:szCs w:val="22"/>
        </w:rPr>
      </w:pPr>
      <w:r>
        <w:rPr>
          <w:rFonts w:ascii="Garamond" w:eastAsia="Garamond" w:hAnsi="Garamond" w:cs="Garamond"/>
          <w:sz w:val="22"/>
          <w:szCs w:val="22"/>
        </w:rPr>
        <w:lastRenderedPageBreak/>
        <w:t>We can identify that the spongy moth spreads over time. 1615.911 km</w:t>
      </w:r>
      <w:r>
        <w:rPr>
          <w:rFonts w:ascii="Garamond" w:eastAsia="Garamond" w:hAnsi="Garamond" w:cs="Garamond"/>
          <w:sz w:val="22"/>
          <w:szCs w:val="22"/>
          <w:vertAlign w:val="superscript"/>
        </w:rPr>
        <w:t>2</w:t>
      </w:r>
      <w:r>
        <w:rPr>
          <w:rFonts w:ascii="Garamond" w:eastAsia="Garamond" w:hAnsi="Garamond" w:cs="Garamond"/>
          <w:sz w:val="22"/>
          <w:szCs w:val="22"/>
        </w:rPr>
        <w:t xml:space="preserve"> were affected by potential defoliation between 2012 and 2021. This corresponds to just under 400,000 acres. Figure 3 helps to illustrate the vast area that </w:t>
      </w:r>
      <w:r>
        <w:rPr>
          <w:rFonts w:ascii="Garamond" w:eastAsia="Garamond" w:hAnsi="Garamond" w:cs="Garamond"/>
          <w:i/>
          <w:sz w:val="22"/>
          <w:szCs w:val="22"/>
        </w:rPr>
        <w:t>L. dispar</w:t>
      </w:r>
      <w:r>
        <w:rPr>
          <w:rFonts w:ascii="Garamond" w:eastAsia="Garamond" w:hAnsi="Garamond" w:cs="Garamond"/>
          <w:sz w:val="22"/>
          <w:szCs w:val="22"/>
        </w:rPr>
        <w:t xml:space="preserve"> outbreaks can affect within a 10-year time frame. There are areas of repeated defoliation events, which occupy less than 250 km</w:t>
      </w:r>
      <w:r>
        <w:rPr>
          <w:rFonts w:ascii="Garamond" w:eastAsia="Garamond" w:hAnsi="Garamond" w:cs="Garamond"/>
          <w:sz w:val="22"/>
          <w:szCs w:val="22"/>
          <w:vertAlign w:val="superscript"/>
        </w:rPr>
        <w:t>2</w:t>
      </w:r>
      <w:r w:rsidR="00A45A07">
        <w:rPr>
          <w:rFonts w:ascii="Garamond" w:eastAsia="Garamond" w:hAnsi="Garamond" w:cs="Garamond"/>
          <w:sz w:val="22"/>
          <w:szCs w:val="22"/>
        </w:rPr>
        <w:t xml:space="preserve">, or roughly </w:t>
      </w:r>
      <w:r>
        <w:rPr>
          <w:rFonts w:ascii="Garamond" w:eastAsia="Garamond" w:hAnsi="Garamond" w:cs="Garamond"/>
          <w:sz w:val="22"/>
          <w:szCs w:val="22"/>
        </w:rPr>
        <w:t>62,000 acres</w:t>
      </w:r>
      <w:r w:rsidR="00A45A07">
        <w:rPr>
          <w:rFonts w:ascii="Garamond" w:eastAsia="Garamond" w:hAnsi="Garamond" w:cs="Garamond"/>
          <w:sz w:val="22"/>
          <w:szCs w:val="22"/>
        </w:rPr>
        <w:t xml:space="preserve"> (Figure A1</w:t>
      </w:r>
      <w:r>
        <w:rPr>
          <w:rFonts w:ascii="Garamond" w:eastAsia="Garamond" w:hAnsi="Garamond" w:cs="Garamond"/>
          <w:sz w:val="22"/>
          <w:szCs w:val="22"/>
        </w:rPr>
        <w:t xml:space="preserve">). Figure 3 and Table 6 help to illustrate the repetition of </w:t>
      </w:r>
      <w:r>
        <w:rPr>
          <w:rFonts w:ascii="Garamond" w:eastAsia="Garamond" w:hAnsi="Garamond" w:cs="Garamond"/>
          <w:i/>
          <w:sz w:val="22"/>
          <w:szCs w:val="22"/>
        </w:rPr>
        <w:t xml:space="preserve">L. dispar </w:t>
      </w:r>
      <w:r>
        <w:rPr>
          <w:rFonts w:ascii="Garamond" w:eastAsia="Garamond" w:hAnsi="Garamond" w:cs="Garamond"/>
          <w:sz w:val="22"/>
          <w:szCs w:val="22"/>
        </w:rPr>
        <w:t xml:space="preserve">outbreaks. </w:t>
      </w:r>
    </w:p>
    <w:p w14:paraId="00000149" w14:textId="77777777" w:rsidR="00770242" w:rsidRDefault="00770242">
      <w:pPr>
        <w:rPr>
          <w:rFonts w:ascii="Garamond" w:eastAsia="Garamond" w:hAnsi="Garamond" w:cs="Garamond"/>
          <w:color w:val="000000"/>
          <w:sz w:val="22"/>
          <w:szCs w:val="22"/>
        </w:rPr>
      </w:pPr>
    </w:p>
    <w:p w14:paraId="0000014A" w14:textId="77777777" w:rsidR="00770242" w:rsidRDefault="00D028A4">
      <w:pPr>
        <w:rPr>
          <w:rFonts w:ascii="Garamond" w:eastAsia="Garamond" w:hAnsi="Garamond" w:cs="Garamond"/>
          <w:color w:val="000000"/>
          <w:sz w:val="22"/>
          <w:szCs w:val="22"/>
        </w:rPr>
      </w:pPr>
      <w:r>
        <w:rPr>
          <w:rFonts w:ascii="Garamond" w:eastAsia="Garamond" w:hAnsi="Garamond" w:cs="Garamond"/>
          <w:color w:val="000000"/>
          <w:sz w:val="22"/>
          <w:szCs w:val="22"/>
        </w:rPr>
        <w:t>Table 6</w:t>
      </w:r>
    </w:p>
    <w:p w14:paraId="0000014B" w14:textId="77777777" w:rsidR="00770242" w:rsidRDefault="00D028A4">
      <w:pPr>
        <w:rPr>
          <w:rFonts w:ascii="Garamond" w:eastAsia="Garamond" w:hAnsi="Garamond" w:cs="Garamond"/>
          <w:i/>
          <w:color w:val="000000"/>
          <w:sz w:val="22"/>
          <w:szCs w:val="22"/>
        </w:rPr>
      </w:pPr>
      <w:r>
        <w:rPr>
          <w:rFonts w:ascii="Garamond" w:eastAsia="Garamond" w:hAnsi="Garamond" w:cs="Garamond"/>
          <w:i/>
          <w:sz w:val="22"/>
          <w:szCs w:val="22"/>
        </w:rPr>
        <w:t>Extent of repeated historical potential outbreaks in the same area</w:t>
      </w:r>
    </w:p>
    <w:tbl>
      <w:tblPr>
        <w:tblStyle w:val="a4"/>
        <w:tblW w:w="5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2520"/>
      </w:tblGrid>
      <w:tr w:rsidR="00770242" w14:paraId="27D2A0BF" w14:textId="77777777">
        <w:tc>
          <w:tcPr>
            <w:tcW w:w="2605" w:type="dxa"/>
          </w:tcPr>
          <w:p w14:paraId="0000014C" w14:textId="77777777" w:rsidR="00770242" w:rsidRDefault="00D028A4">
            <w:pPr>
              <w:spacing w:line="276" w:lineRule="auto"/>
              <w:rPr>
                <w:rFonts w:ascii="Garamond" w:eastAsia="Garamond" w:hAnsi="Garamond" w:cs="Garamond"/>
                <w:b/>
                <w:color w:val="000000"/>
                <w:sz w:val="18"/>
                <w:szCs w:val="18"/>
              </w:rPr>
            </w:pPr>
            <w:r>
              <w:rPr>
                <w:rFonts w:ascii="Garamond" w:eastAsia="Garamond" w:hAnsi="Garamond" w:cs="Garamond"/>
                <w:b/>
                <w:color w:val="000000"/>
                <w:sz w:val="18"/>
                <w:szCs w:val="18"/>
              </w:rPr>
              <w:t>Number of Outbreaks</w:t>
            </w:r>
          </w:p>
        </w:tc>
        <w:tc>
          <w:tcPr>
            <w:tcW w:w="2520" w:type="dxa"/>
            <w:tcBorders>
              <w:top w:val="single" w:sz="4" w:space="0" w:color="000000"/>
              <w:left w:val="single" w:sz="4" w:space="0" w:color="000000"/>
              <w:bottom w:val="single" w:sz="4" w:space="0" w:color="000000"/>
              <w:right w:val="single" w:sz="4" w:space="0" w:color="000000"/>
            </w:tcBorders>
          </w:tcPr>
          <w:p w14:paraId="0000014D" w14:textId="77777777" w:rsidR="00770242" w:rsidRDefault="00D028A4">
            <w:pPr>
              <w:spacing w:line="276" w:lineRule="auto"/>
              <w:jc w:val="center"/>
              <w:rPr>
                <w:rFonts w:ascii="Garamond" w:eastAsia="Garamond" w:hAnsi="Garamond" w:cs="Garamond"/>
                <w:b/>
                <w:color w:val="000000"/>
                <w:sz w:val="18"/>
                <w:szCs w:val="18"/>
              </w:rPr>
            </w:pPr>
            <w:r>
              <w:rPr>
                <w:rFonts w:ascii="Garamond" w:eastAsia="Garamond" w:hAnsi="Garamond" w:cs="Garamond"/>
                <w:b/>
                <w:color w:val="000000"/>
                <w:sz w:val="18"/>
                <w:szCs w:val="18"/>
              </w:rPr>
              <w:t>Area Affected (km²)</w:t>
            </w:r>
          </w:p>
        </w:tc>
      </w:tr>
      <w:tr w:rsidR="00770242" w14:paraId="566D7509" w14:textId="77777777">
        <w:tc>
          <w:tcPr>
            <w:tcW w:w="2605" w:type="dxa"/>
            <w:tcBorders>
              <w:top w:val="single" w:sz="4" w:space="0" w:color="000000"/>
              <w:left w:val="single" w:sz="4" w:space="0" w:color="000000"/>
              <w:bottom w:val="single" w:sz="4" w:space="0" w:color="000000"/>
              <w:right w:val="single" w:sz="4" w:space="0" w:color="000000"/>
            </w:tcBorders>
          </w:tcPr>
          <w:p w14:paraId="0000014E" w14:textId="77777777" w:rsidR="00770242" w:rsidRDefault="00D028A4">
            <w:pPr>
              <w:rPr>
                <w:rFonts w:ascii="Garamond" w:eastAsia="Garamond" w:hAnsi="Garamond" w:cs="Garamond"/>
                <w:color w:val="000000"/>
                <w:sz w:val="18"/>
                <w:szCs w:val="18"/>
              </w:rPr>
            </w:pPr>
            <w:r>
              <w:rPr>
                <w:rFonts w:ascii="Garamond" w:eastAsia="Garamond" w:hAnsi="Garamond" w:cs="Garamond"/>
                <w:color w:val="000000"/>
                <w:sz w:val="18"/>
                <w:szCs w:val="18"/>
              </w:rPr>
              <w:t>One</w:t>
            </w:r>
          </w:p>
        </w:tc>
        <w:tc>
          <w:tcPr>
            <w:tcW w:w="2520" w:type="dxa"/>
            <w:tcBorders>
              <w:top w:val="single" w:sz="4" w:space="0" w:color="000000"/>
              <w:left w:val="single" w:sz="4" w:space="0" w:color="000000"/>
              <w:bottom w:val="single" w:sz="4" w:space="0" w:color="000000"/>
              <w:right w:val="single" w:sz="4" w:space="0" w:color="000000"/>
            </w:tcBorders>
          </w:tcPr>
          <w:p w14:paraId="0000014F" w14:textId="77777777" w:rsidR="00770242" w:rsidRDefault="00D028A4">
            <w:pPr>
              <w:jc w:val="center"/>
              <w:rPr>
                <w:rFonts w:ascii="Garamond" w:eastAsia="Garamond" w:hAnsi="Garamond" w:cs="Garamond"/>
                <w:color w:val="000000"/>
                <w:sz w:val="18"/>
                <w:szCs w:val="18"/>
              </w:rPr>
            </w:pPr>
            <w:r>
              <w:rPr>
                <w:rFonts w:ascii="Garamond" w:eastAsia="Garamond" w:hAnsi="Garamond" w:cs="Garamond"/>
                <w:color w:val="000000"/>
                <w:sz w:val="18"/>
                <w:szCs w:val="18"/>
              </w:rPr>
              <w:t>2616</w:t>
            </w:r>
          </w:p>
        </w:tc>
      </w:tr>
      <w:tr w:rsidR="00770242" w14:paraId="402FB635" w14:textId="77777777">
        <w:tc>
          <w:tcPr>
            <w:tcW w:w="2605" w:type="dxa"/>
            <w:tcBorders>
              <w:top w:val="single" w:sz="4" w:space="0" w:color="000000"/>
              <w:left w:val="single" w:sz="4" w:space="0" w:color="000000"/>
              <w:bottom w:val="single" w:sz="4" w:space="0" w:color="000000"/>
              <w:right w:val="single" w:sz="4" w:space="0" w:color="000000"/>
            </w:tcBorders>
          </w:tcPr>
          <w:p w14:paraId="00000150" w14:textId="77777777" w:rsidR="00770242" w:rsidRDefault="00D028A4">
            <w:pPr>
              <w:spacing w:line="276" w:lineRule="auto"/>
              <w:rPr>
                <w:rFonts w:ascii="Garamond" w:eastAsia="Garamond" w:hAnsi="Garamond" w:cs="Garamond"/>
                <w:b/>
                <w:color w:val="000000"/>
                <w:sz w:val="18"/>
                <w:szCs w:val="18"/>
              </w:rPr>
            </w:pPr>
            <w:r>
              <w:rPr>
                <w:rFonts w:ascii="Garamond" w:eastAsia="Garamond" w:hAnsi="Garamond" w:cs="Garamond"/>
                <w:color w:val="000000"/>
                <w:sz w:val="18"/>
                <w:szCs w:val="18"/>
              </w:rPr>
              <w:t>Two</w:t>
            </w:r>
          </w:p>
        </w:tc>
        <w:tc>
          <w:tcPr>
            <w:tcW w:w="2520" w:type="dxa"/>
            <w:tcBorders>
              <w:top w:val="single" w:sz="4" w:space="0" w:color="000000"/>
              <w:left w:val="single" w:sz="4" w:space="0" w:color="000000"/>
              <w:bottom w:val="single" w:sz="4" w:space="0" w:color="000000"/>
              <w:right w:val="single" w:sz="4" w:space="0" w:color="000000"/>
            </w:tcBorders>
          </w:tcPr>
          <w:p w14:paraId="00000151" w14:textId="77777777" w:rsidR="00770242" w:rsidRDefault="00D028A4">
            <w:pPr>
              <w:spacing w:line="276" w:lineRule="auto"/>
              <w:jc w:val="center"/>
              <w:rPr>
                <w:rFonts w:ascii="Garamond" w:eastAsia="Garamond" w:hAnsi="Garamond" w:cs="Garamond"/>
                <w:i/>
                <w:color w:val="000000"/>
                <w:sz w:val="18"/>
                <w:szCs w:val="18"/>
              </w:rPr>
            </w:pPr>
            <w:r>
              <w:rPr>
                <w:rFonts w:ascii="Garamond" w:eastAsia="Garamond" w:hAnsi="Garamond" w:cs="Garamond"/>
                <w:color w:val="000000"/>
                <w:sz w:val="18"/>
                <w:szCs w:val="18"/>
              </w:rPr>
              <w:t>220</w:t>
            </w:r>
          </w:p>
        </w:tc>
      </w:tr>
      <w:tr w:rsidR="00770242" w14:paraId="016DE43A" w14:textId="77777777">
        <w:tc>
          <w:tcPr>
            <w:tcW w:w="2605" w:type="dxa"/>
            <w:tcBorders>
              <w:top w:val="single" w:sz="4" w:space="0" w:color="000000"/>
              <w:left w:val="single" w:sz="4" w:space="0" w:color="000000"/>
              <w:bottom w:val="single" w:sz="4" w:space="0" w:color="000000"/>
              <w:right w:val="single" w:sz="4" w:space="0" w:color="000000"/>
            </w:tcBorders>
          </w:tcPr>
          <w:p w14:paraId="00000152" w14:textId="77777777" w:rsidR="00770242" w:rsidRDefault="00D028A4">
            <w:pPr>
              <w:spacing w:line="276" w:lineRule="auto"/>
              <w:rPr>
                <w:rFonts w:ascii="Garamond" w:eastAsia="Garamond" w:hAnsi="Garamond" w:cs="Garamond"/>
                <w:color w:val="000000"/>
                <w:sz w:val="18"/>
                <w:szCs w:val="18"/>
              </w:rPr>
            </w:pPr>
            <w:r>
              <w:rPr>
                <w:rFonts w:ascii="Garamond" w:eastAsia="Garamond" w:hAnsi="Garamond" w:cs="Garamond"/>
                <w:color w:val="000000"/>
                <w:sz w:val="18"/>
                <w:szCs w:val="18"/>
              </w:rPr>
              <w:t>Three</w:t>
            </w:r>
          </w:p>
        </w:tc>
        <w:tc>
          <w:tcPr>
            <w:tcW w:w="2520" w:type="dxa"/>
            <w:tcBorders>
              <w:top w:val="single" w:sz="4" w:space="0" w:color="000000"/>
              <w:left w:val="single" w:sz="4" w:space="0" w:color="000000"/>
              <w:bottom w:val="single" w:sz="4" w:space="0" w:color="000000"/>
              <w:right w:val="single" w:sz="4" w:space="0" w:color="000000"/>
            </w:tcBorders>
          </w:tcPr>
          <w:p w14:paraId="00000153" w14:textId="77777777" w:rsidR="00770242" w:rsidRDefault="00D028A4">
            <w:pPr>
              <w:spacing w:line="276" w:lineRule="auto"/>
              <w:jc w:val="center"/>
              <w:rPr>
                <w:rFonts w:ascii="Garamond" w:eastAsia="Garamond" w:hAnsi="Garamond" w:cs="Garamond"/>
                <w:color w:val="000000"/>
                <w:sz w:val="18"/>
                <w:szCs w:val="18"/>
                <w:highlight w:val="yellow"/>
              </w:rPr>
            </w:pPr>
            <w:r>
              <w:rPr>
                <w:rFonts w:ascii="Garamond" w:eastAsia="Garamond" w:hAnsi="Garamond" w:cs="Garamond"/>
                <w:color w:val="000000"/>
                <w:sz w:val="18"/>
                <w:szCs w:val="18"/>
              </w:rPr>
              <w:t>25</w:t>
            </w:r>
          </w:p>
        </w:tc>
      </w:tr>
      <w:tr w:rsidR="00770242" w14:paraId="6FD937CB" w14:textId="77777777">
        <w:tc>
          <w:tcPr>
            <w:tcW w:w="2605" w:type="dxa"/>
            <w:tcBorders>
              <w:top w:val="single" w:sz="4" w:space="0" w:color="000000"/>
              <w:left w:val="single" w:sz="4" w:space="0" w:color="000000"/>
              <w:bottom w:val="single" w:sz="4" w:space="0" w:color="000000"/>
              <w:right w:val="single" w:sz="4" w:space="0" w:color="000000"/>
            </w:tcBorders>
          </w:tcPr>
          <w:p w14:paraId="00000154" w14:textId="77777777" w:rsidR="00770242" w:rsidRDefault="00D028A4">
            <w:pPr>
              <w:spacing w:line="276" w:lineRule="auto"/>
              <w:rPr>
                <w:rFonts w:ascii="Garamond" w:eastAsia="Garamond" w:hAnsi="Garamond" w:cs="Garamond"/>
                <w:color w:val="000000"/>
                <w:sz w:val="18"/>
                <w:szCs w:val="18"/>
              </w:rPr>
            </w:pPr>
            <w:r>
              <w:rPr>
                <w:rFonts w:ascii="Garamond" w:eastAsia="Garamond" w:hAnsi="Garamond" w:cs="Garamond"/>
                <w:color w:val="000000"/>
                <w:sz w:val="18"/>
                <w:szCs w:val="18"/>
              </w:rPr>
              <w:t>Four</w:t>
            </w:r>
          </w:p>
        </w:tc>
        <w:tc>
          <w:tcPr>
            <w:tcW w:w="2520" w:type="dxa"/>
            <w:tcBorders>
              <w:top w:val="single" w:sz="4" w:space="0" w:color="000000"/>
              <w:left w:val="single" w:sz="4" w:space="0" w:color="000000"/>
              <w:bottom w:val="single" w:sz="4" w:space="0" w:color="000000"/>
              <w:right w:val="single" w:sz="4" w:space="0" w:color="000000"/>
            </w:tcBorders>
          </w:tcPr>
          <w:p w14:paraId="00000155" w14:textId="77777777" w:rsidR="00770242" w:rsidRDefault="00D028A4">
            <w:pPr>
              <w:spacing w:line="276" w:lineRule="auto"/>
              <w:jc w:val="center"/>
              <w:rPr>
                <w:rFonts w:ascii="Garamond" w:eastAsia="Garamond" w:hAnsi="Garamond" w:cs="Garamond"/>
                <w:color w:val="000000"/>
                <w:sz w:val="18"/>
                <w:szCs w:val="18"/>
                <w:highlight w:val="yellow"/>
              </w:rPr>
            </w:pPr>
            <w:r>
              <w:rPr>
                <w:rFonts w:ascii="Garamond" w:eastAsia="Garamond" w:hAnsi="Garamond" w:cs="Garamond"/>
                <w:color w:val="000000"/>
                <w:sz w:val="18"/>
                <w:szCs w:val="18"/>
              </w:rPr>
              <w:t>3.1</w:t>
            </w:r>
          </w:p>
        </w:tc>
      </w:tr>
      <w:tr w:rsidR="00770242" w14:paraId="7B3E65D3" w14:textId="77777777">
        <w:tc>
          <w:tcPr>
            <w:tcW w:w="2605" w:type="dxa"/>
            <w:tcBorders>
              <w:top w:val="single" w:sz="4" w:space="0" w:color="000000"/>
              <w:left w:val="single" w:sz="4" w:space="0" w:color="000000"/>
              <w:bottom w:val="single" w:sz="4" w:space="0" w:color="000000"/>
              <w:right w:val="single" w:sz="4" w:space="0" w:color="000000"/>
            </w:tcBorders>
          </w:tcPr>
          <w:p w14:paraId="00000156" w14:textId="77777777" w:rsidR="00770242" w:rsidRDefault="00D028A4">
            <w:pPr>
              <w:spacing w:line="276" w:lineRule="auto"/>
              <w:rPr>
                <w:rFonts w:ascii="Garamond" w:eastAsia="Garamond" w:hAnsi="Garamond" w:cs="Garamond"/>
                <w:color w:val="000000"/>
                <w:sz w:val="18"/>
                <w:szCs w:val="18"/>
              </w:rPr>
            </w:pPr>
            <w:r>
              <w:rPr>
                <w:rFonts w:ascii="Garamond" w:eastAsia="Garamond" w:hAnsi="Garamond" w:cs="Garamond"/>
                <w:color w:val="000000"/>
                <w:sz w:val="18"/>
                <w:szCs w:val="18"/>
              </w:rPr>
              <w:t>Five</w:t>
            </w:r>
          </w:p>
        </w:tc>
        <w:tc>
          <w:tcPr>
            <w:tcW w:w="2520" w:type="dxa"/>
            <w:tcBorders>
              <w:top w:val="single" w:sz="4" w:space="0" w:color="000000"/>
              <w:left w:val="single" w:sz="4" w:space="0" w:color="000000"/>
              <w:bottom w:val="single" w:sz="4" w:space="0" w:color="000000"/>
              <w:right w:val="single" w:sz="4" w:space="0" w:color="000000"/>
            </w:tcBorders>
          </w:tcPr>
          <w:p w14:paraId="00000157" w14:textId="77777777" w:rsidR="00770242" w:rsidRDefault="00D028A4">
            <w:pPr>
              <w:spacing w:line="276" w:lineRule="auto"/>
              <w:jc w:val="center"/>
              <w:rPr>
                <w:rFonts w:ascii="Garamond" w:eastAsia="Garamond" w:hAnsi="Garamond" w:cs="Garamond"/>
                <w:color w:val="000000"/>
                <w:sz w:val="18"/>
                <w:szCs w:val="18"/>
                <w:highlight w:val="yellow"/>
              </w:rPr>
            </w:pPr>
            <w:r>
              <w:rPr>
                <w:rFonts w:ascii="Garamond" w:eastAsia="Garamond" w:hAnsi="Garamond" w:cs="Garamond"/>
                <w:color w:val="000000"/>
                <w:sz w:val="18"/>
                <w:szCs w:val="18"/>
              </w:rPr>
              <w:t>0.31</w:t>
            </w:r>
          </w:p>
        </w:tc>
      </w:tr>
      <w:tr w:rsidR="00770242" w14:paraId="23D5376E" w14:textId="77777777">
        <w:tc>
          <w:tcPr>
            <w:tcW w:w="2605" w:type="dxa"/>
            <w:tcBorders>
              <w:top w:val="single" w:sz="4" w:space="0" w:color="000000"/>
              <w:left w:val="single" w:sz="4" w:space="0" w:color="000000"/>
              <w:bottom w:val="single" w:sz="4" w:space="0" w:color="000000"/>
              <w:right w:val="single" w:sz="4" w:space="0" w:color="000000"/>
            </w:tcBorders>
          </w:tcPr>
          <w:p w14:paraId="00000158" w14:textId="77777777" w:rsidR="00770242" w:rsidRDefault="00D028A4">
            <w:pPr>
              <w:spacing w:line="276" w:lineRule="auto"/>
              <w:rPr>
                <w:rFonts w:ascii="Garamond" w:eastAsia="Garamond" w:hAnsi="Garamond" w:cs="Garamond"/>
                <w:color w:val="000000"/>
                <w:sz w:val="18"/>
                <w:szCs w:val="18"/>
              </w:rPr>
            </w:pPr>
            <w:r>
              <w:rPr>
                <w:rFonts w:ascii="Garamond" w:eastAsia="Garamond" w:hAnsi="Garamond" w:cs="Garamond"/>
                <w:color w:val="000000"/>
                <w:sz w:val="18"/>
                <w:szCs w:val="18"/>
              </w:rPr>
              <w:t>Six</w:t>
            </w:r>
          </w:p>
        </w:tc>
        <w:tc>
          <w:tcPr>
            <w:tcW w:w="2520" w:type="dxa"/>
            <w:tcBorders>
              <w:top w:val="single" w:sz="4" w:space="0" w:color="000000"/>
              <w:left w:val="single" w:sz="4" w:space="0" w:color="000000"/>
              <w:bottom w:val="single" w:sz="4" w:space="0" w:color="000000"/>
              <w:right w:val="single" w:sz="4" w:space="0" w:color="000000"/>
            </w:tcBorders>
          </w:tcPr>
          <w:p w14:paraId="00000159" w14:textId="77777777" w:rsidR="00770242" w:rsidRDefault="00D028A4">
            <w:pPr>
              <w:spacing w:line="276" w:lineRule="auto"/>
              <w:jc w:val="center"/>
              <w:rPr>
                <w:rFonts w:ascii="Garamond" w:eastAsia="Garamond" w:hAnsi="Garamond" w:cs="Garamond"/>
                <w:color w:val="000000"/>
                <w:sz w:val="18"/>
                <w:szCs w:val="18"/>
                <w:highlight w:val="yellow"/>
              </w:rPr>
            </w:pPr>
            <w:r>
              <w:rPr>
                <w:rFonts w:ascii="Garamond" w:eastAsia="Garamond" w:hAnsi="Garamond" w:cs="Garamond"/>
                <w:color w:val="000000"/>
                <w:sz w:val="18"/>
                <w:szCs w:val="18"/>
              </w:rPr>
              <w:t>0.017</w:t>
            </w:r>
          </w:p>
        </w:tc>
      </w:tr>
    </w:tbl>
    <w:p w14:paraId="0000015A" w14:textId="77777777" w:rsidR="00770242" w:rsidRDefault="00770242">
      <w:pPr>
        <w:rPr>
          <w:color w:val="000000"/>
        </w:rPr>
      </w:pPr>
    </w:p>
    <w:p w14:paraId="0000015B" w14:textId="77777777" w:rsidR="00770242" w:rsidRDefault="00D028A4">
      <w:pPr>
        <w:rPr>
          <w:rFonts w:ascii="Garamond" w:eastAsia="Garamond" w:hAnsi="Garamond" w:cs="Garamond"/>
          <w:sz w:val="22"/>
          <w:szCs w:val="22"/>
        </w:rPr>
      </w:pPr>
      <w:r>
        <w:rPr>
          <w:rFonts w:ascii="Garamond" w:eastAsia="Garamond" w:hAnsi="Garamond" w:cs="Garamond"/>
          <w:sz w:val="22"/>
          <w:szCs w:val="22"/>
        </w:rPr>
        <w:t xml:space="preserve">We also identified the extent to which outbreaks impact particular areas. This analysis was conducted by summing severity across our study area and period to identify areas impacted heavily by defoliation. In VT and NH from 2012 to 2021, most areas experienced a single light-severity defoliation event, but some areas experienced heavy repeated defoliation. Severity scores are some combination of defoliation events. For example, a severity score of one corresponds to one light defoliation event where a severity score of two could either be one moderate defoliation event or two light defoliation events. A severity score of ten is a combination of multiple defoliation events at different severities; this could be 10 years of light defoliation, 3 years of severe defoliation and one year of light defoliation, or another combination of yearly severity scores. </w:t>
      </w:r>
    </w:p>
    <w:p w14:paraId="0000015C" w14:textId="77777777" w:rsidR="00770242" w:rsidRDefault="00D028A4">
      <w:pPr>
        <w:jc w:val="center"/>
        <w:rPr>
          <w:sz w:val="22"/>
          <w:szCs w:val="22"/>
        </w:rPr>
      </w:pPr>
      <w:r>
        <w:rPr>
          <w:noProof/>
          <w:sz w:val="22"/>
          <w:szCs w:val="22"/>
        </w:rPr>
        <w:drawing>
          <wp:inline distT="0" distB="0" distL="0" distR="0" wp14:anchorId="1192B48B" wp14:editId="4424EC46">
            <wp:extent cx="3232133" cy="3416716"/>
            <wp:effectExtent l="0" t="0" r="0" b="0"/>
            <wp:docPr id="1929472269" name="image13.png" descr="A picture containing text, st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picture containing text, stone&#10;&#10;Description automatically generated"/>
                    <pic:cNvPicPr preferRelativeResize="0"/>
                  </pic:nvPicPr>
                  <pic:blipFill>
                    <a:blip r:embed="rId15"/>
                    <a:srcRect t="8181"/>
                    <a:stretch>
                      <a:fillRect/>
                    </a:stretch>
                  </pic:blipFill>
                  <pic:spPr>
                    <a:xfrm>
                      <a:off x="0" y="0"/>
                      <a:ext cx="3232133" cy="3416716"/>
                    </a:xfrm>
                    <a:prstGeom prst="rect">
                      <a:avLst/>
                    </a:prstGeom>
                    <a:ln/>
                  </pic:spPr>
                </pic:pic>
              </a:graphicData>
            </a:graphic>
          </wp:inline>
        </w:drawing>
      </w:r>
      <w:r>
        <w:rPr>
          <w:noProof/>
        </w:rPr>
        <w:drawing>
          <wp:anchor distT="0" distB="0" distL="114300" distR="114300" simplePos="0" relativeHeight="251665408" behindDoc="0" locked="0" layoutInCell="1" hidden="0" allowOverlap="1" wp14:anchorId="5789009C" wp14:editId="3DE94FF1">
            <wp:simplePos x="0" y="0"/>
            <wp:positionH relativeFrom="column">
              <wp:posOffset>4767273</wp:posOffset>
            </wp:positionH>
            <wp:positionV relativeFrom="paragraph">
              <wp:posOffset>87849</wp:posOffset>
            </wp:positionV>
            <wp:extent cx="983615" cy="1714500"/>
            <wp:effectExtent l="0" t="0" r="0" b="0"/>
            <wp:wrapNone/>
            <wp:docPr id="1929472257" name="image1.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Chart, bar chart&#10;&#10;Description automatically generated"/>
                    <pic:cNvPicPr preferRelativeResize="0"/>
                  </pic:nvPicPr>
                  <pic:blipFill>
                    <a:blip r:embed="rId16"/>
                    <a:srcRect/>
                    <a:stretch>
                      <a:fillRect/>
                    </a:stretch>
                  </pic:blipFill>
                  <pic:spPr>
                    <a:xfrm>
                      <a:off x="0" y="0"/>
                      <a:ext cx="983615" cy="1714500"/>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3AACA046" wp14:editId="0B8D8176">
            <wp:simplePos x="0" y="0"/>
            <wp:positionH relativeFrom="column">
              <wp:posOffset>3697977</wp:posOffset>
            </wp:positionH>
            <wp:positionV relativeFrom="paragraph">
              <wp:posOffset>89097</wp:posOffset>
            </wp:positionV>
            <wp:extent cx="368300" cy="619125"/>
            <wp:effectExtent l="0" t="0" r="0" b="0"/>
            <wp:wrapNone/>
            <wp:docPr id="1929472260" name="image14.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Shape&#10;&#10;Description automatically generated"/>
                    <pic:cNvPicPr preferRelativeResize="0"/>
                  </pic:nvPicPr>
                  <pic:blipFill>
                    <a:blip r:embed="rId11"/>
                    <a:srcRect/>
                    <a:stretch>
                      <a:fillRect/>
                    </a:stretch>
                  </pic:blipFill>
                  <pic:spPr>
                    <a:xfrm>
                      <a:off x="0" y="0"/>
                      <a:ext cx="368300" cy="619125"/>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4EAC5226" wp14:editId="43D8642E">
            <wp:simplePos x="0" y="0"/>
            <wp:positionH relativeFrom="column">
              <wp:posOffset>4063211</wp:posOffset>
            </wp:positionH>
            <wp:positionV relativeFrom="paragraph">
              <wp:posOffset>3064532</wp:posOffset>
            </wp:positionV>
            <wp:extent cx="613955" cy="151167"/>
            <wp:effectExtent l="0" t="0" r="0" b="0"/>
            <wp:wrapNone/>
            <wp:docPr id="192947226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613955" cy="151167"/>
                    </a:xfrm>
                    <a:prstGeom prst="rect">
                      <a:avLst/>
                    </a:prstGeom>
                    <a:ln/>
                  </pic:spPr>
                </pic:pic>
              </a:graphicData>
            </a:graphic>
          </wp:anchor>
        </w:drawing>
      </w:r>
    </w:p>
    <w:p w14:paraId="0000015D" w14:textId="77777777" w:rsidR="00770242" w:rsidRDefault="00D028A4">
      <w:pPr>
        <w:jc w:val="center"/>
        <w:rPr>
          <w:rFonts w:ascii="Garamond" w:eastAsia="Garamond" w:hAnsi="Garamond" w:cs="Garamond"/>
          <w:i/>
          <w:sz w:val="20"/>
          <w:szCs w:val="20"/>
        </w:rPr>
      </w:pPr>
      <w:r>
        <w:rPr>
          <w:rFonts w:ascii="Garamond" w:eastAsia="Garamond" w:hAnsi="Garamond" w:cs="Garamond"/>
          <w:i/>
          <w:sz w:val="20"/>
          <w:szCs w:val="20"/>
        </w:rPr>
        <w:t xml:space="preserve">Figure 4. </w:t>
      </w:r>
      <w:r>
        <w:rPr>
          <w:rFonts w:ascii="Garamond" w:eastAsia="Garamond" w:hAnsi="Garamond" w:cs="Garamond"/>
          <w:sz w:val="20"/>
          <w:szCs w:val="20"/>
        </w:rPr>
        <w:t>Sum of potential defoliation severity from 2012 to 2021.</w:t>
      </w:r>
    </w:p>
    <w:p w14:paraId="0000015E" w14:textId="77777777" w:rsidR="00770242" w:rsidRDefault="00770242">
      <w:pPr>
        <w:rPr>
          <w:rFonts w:ascii="Garamond" w:eastAsia="Garamond" w:hAnsi="Garamond" w:cs="Garamond"/>
          <w:sz w:val="22"/>
          <w:szCs w:val="22"/>
        </w:rPr>
      </w:pPr>
    </w:p>
    <w:p w14:paraId="0000015F" w14:textId="77777777" w:rsidR="00770242" w:rsidRDefault="00D028A4">
      <w:pPr>
        <w:rPr>
          <w:rFonts w:ascii="Garamond" w:eastAsia="Garamond" w:hAnsi="Garamond" w:cs="Garamond"/>
          <w:sz w:val="22"/>
          <w:szCs w:val="22"/>
        </w:rPr>
      </w:pPr>
      <w:r>
        <w:rPr>
          <w:rFonts w:ascii="Garamond" w:eastAsia="Garamond" w:hAnsi="Garamond" w:cs="Garamond"/>
          <w:sz w:val="22"/>
          <w:szCs w:val="22"/>
        </w:rPr>
        <w:t>We found that 1371.27 km</w:t>
      </w:r>
      <w:r>
        <w:rPr>
          <w:rFonts w:ascii="Garamond" w:eastAsia="Garamond" w:hAnsi="Garamond" w:cs="Garamond"/>
          <w:sz w:val="22"/>
          <w:szCs w:val="22"/>
          <w:vertAlign w:val="superscript"/>
        </w:rPr>
        <w:t>2</w:t>
      </w:r>
      <w:r>
        <w:rPr>
          <w:rFonts w:ascii="Garamond" w:eastAsia="Garamond" w:hAnsi="Garamond" w:cs="Garamond"/>
          <w:sz w:val="22"/>
          <w:szCs w:val="22"/>
        </w:rPr>
        <w:t xml:space="preserve"> of the VT and NH study area experienced defoliation at a 10-year severity level of 1 (Figures 5 &amp; 6). This corresponds to around 34,0000 acres affected in the past decade by a single light defoliation event. Further, we calculated that 223.81 km</w:t>
      </w:r>
      <w:r>
        <w:rPr>
          <w:rFonts w:ascii="Garamond" w:eastAsia="Garamond" w:hAnsi="Garamond" w:cs="Garamond"/>
          <w:sz w:val="22"/>
          <w:szCs w:val="22"/>
          <w:vertAlign w:val="superscript"/>
        </w:rPr>
        <w:t>2</w:t>
      </w:r>
      <w:r>
        <w:rPr>
          <w:rFonts w:ascii="Garamond" w:eastAsia="Garamond" w:hAnsi="Garamond" w:cs="Garamond"/>
          <w:sz w:val="22"/>
          <w:szCs w:val="22"/>
        </w:rPr>
        <w:t xml:space="preserve"> were affected by defoliation with a severity ranking </w:t>
      </w:r>
      <w:r>
        <w:rPr>
          <w:rFonts w:ascii="Garamond" w:eastAsia="Garamond" w:hAnsi="Garamond" w:cs="Garamond"/>
          <w:sz w:val="22"/>
          <w:szCs w:val="22"/>
        </w:rPr>
        <w:lastRenderedPageBreak/>
        <w:t>of 4 or more. This correlates to either multiple years of severity of 1 or a combination of more intense severity seen in fewer years. We found 75 km</w:t>
      </w:r>
      <w:r>
        <w:rPr>
          <w:rFonts w:ascii="Garamond" w:eastAsia="Garamond" w:hAnsi="Garamond" w:cs="Garamond"/>
          <w:sz w:val="22"/>
          <w:szCs w:val="22"/>
          <w:vertAlign w:val="superscript"/>
        </w:rPr>
        <w:t>2</w:t>
      </w:r>
      <w:r>
        <w:rPr>
          <w:rFonts w:ascii="Garamond" w:eastAsia="Garamond" w:hAnsi="Garamond" w:cs="Garamond"/>
          <w:sz w:val="22"/>
          <w:szCs w:val="22"/>
        </w:rPr>
        <w:t xml:space="preserve"> was impacted at a combined severity of over 6 in the past decade. The analysis behind this number is that areas impacted experienced multiple years of intense defoliation, a minimum of 2 years of severe defoliation or up to 6 plus years of light defoliation. </w:t>
      </w:r>
    </w:p>
    <w:p w14:paraId="00000161" w14:textId="32A5D104" w:rsidR="00770242" w:rsidRDefault="00770242" w:rsidP="008125E8">
      <w:pPr>
        <w:rPr>
          <w:rFonts w:ascii="Garamond" w:eastAsia="Garamond" w:hAnsi="Garamond" w:cs="Garamond"/>
          <w:sz w:val="22"/>
          <w:szCs w:val="22"/>
        </w:rPr>
      </w:pPr>
    </w:p>
    <w:p w14:paraId="1E50464B" w14:textId="020EF8BC" w:rsidR="008125E8" w:rsidRDefault="00D865BF" w:rsidP="00D865BF">
      <w:pPr>
        <w:jc w:val="center"/>
        <w:rPr>
          <w:sz w:val="22"/>
          <w:szCs w:val="22"/>
        </w:rPr>
      </w:pPr>
      <w:r>
        <w:rPr>
          <w:rFonts w:ascii="Garamond" w:eastAsia="Garamond" w:hAnsi="Garamond" w:cs="Garamond"/>
          <w:noProof/>
          <w:sz w:val="22"/>
          <w:szCs w:val="22"/>
        </w:rPr>
        <w:drawing>
          <wp:inline distT="0" distB="0" distL="0" distR="0" wp14:anchorId="44912CD6" wp14:editId="47319EF4">
            <wp:extent cx="4023360" cy="205595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3360" cy="2055956"/>
                    </a:xfrm>
                    <a:prstGeom prst="rect">
                      <a:avLst/>
                    </a:prstGeom>
                    <a:noFill/>
                    <a:ln>
                      <a:noFill/>
                    </a:ln>
                  </pic:spPr>
                </pic:pic>
              </a:graphicData>
            </a:graphic>
          </wp:inline>
        </w:drawing>
      </w:r>
    </w:p>
    <w:p w14:paraId="00000162" w14:textId="77777777" w:rsidR="00770242" w:rsidRDefault="00D028A4">
      <w:pPr>
        <w:jc w:val="center"/>
        <w:rPr>
          <w:rFonts w:ascii="Garamond" w:eastAsia="Garamond" w:hAnsi="Garamond" w:cs="Garamond"/>
          <w:sz w:val="20"/>
          <w:szCs w:val="20"/>
        </w:rPr>
      </w:pPr>
      <w:r>
        <w:rPr>
          <w:rFonts w:ascii="Garamond" w:eastAsia="Garamond" w:hAnsi="Garamond" w:cs="Garamond"/>
          <w:i/>
          <w:sz w:val="20"/>
          <w:szCs w:val="20"/>
        </w:rPr>
        <w:t xml:space="preserve">Figure 5. </w:t>
      </w:r>
      <w:r>
        <w:rPr>
          <w:rFonts w:ascii="Garamond" w:eastAsia="Garamond" w:hAnsi="Garamond" w:cs="Garamond"/>
          <w:sz w:val="20"/>
          <w:szCs w:val="20"/>
        </w:rPr>
        <w:t>Sum of kilometers affected by each 10-year severity score.</w:t>
      </w:r>
    </w:p>
    <w:p w14:paraId="00000163" w14:textId="77777777" w:rsidR="00770242" w:rsidRDefault="00770242">
      <w:pPr>
        <w:rPr>
          <w:rFonts w:ascii="Garamond" w:eastAsia="Garamond" w:hAnsi="Garamond" w:cs="Garamond"/>
          <w:color w:val="000000"/>
          <w:sz w:val="22"/>
          <w:szCs w:val="22"/>
        </w:rPr>
      </w:pPr>
    </w:p>
    <w:p w14:paraId="00000165" w14:textId="6432D920" w:rsidR="00770242" w:rsidRDefault="00D028A4">
      <w:pPr>
        <w:rPr>
          <w:rFonts w:ascii="Garamond" w:eastAsia="Garamond" w:hAnsi="Garamond" w:cs="Garamond"/>
          <w:color w:val="000000"/>
          <w:sz w:val="22"/>
          <w:szCs w:val="22"/>
        </w:rPr>
      </w:pPr>
      <w:r>
        <w:rPr>
          <w:rFonts w:ascii="Garamond" w:eastAsia="Garamond" w:hAnsi="Garamond" w:cs="Garamond"/>
          <w:color w:val="000000"/>
          <w:sz w:val="22"/>
          <w:szCs w:val="22"/>
        </w:rPr>
        <w:t xml:space="preserve">One source of error in this analysis may be the misrepresentation of data. If an area receives a score of 6, that could mean six years of light severity or two years of heavy severity. While these receive the same objective score, the impact is vastly different, and management is different as well. However, when we combine Figures 3 and 4, we can see patterns arise. Areas with 4, 5, and </w:t>
      </w:r>
      <w:sdt>
        <w:sdtPr>
          <w:tag w:val="goog_rdk_41"/>
          <w:id w:val="196438160"/>
        </w:sdtPr>
        <w:sdtContent/>
      </w:sdt>
      <w:sdt>
        <w:sdtPr>
          <w:tag w:val="goog_rdk_42"/>
          <w:id w:val="-1541970913"/>
        </w:sdtPr>
        <w:sdtContent/>
      </w:sdt>
      <w:r>
        <w:rPr>
          <w:rFonts w:ascii="Garamond" w:eastAsia="Garamond" w:hAnsi="Garamond" w:cs="Garamond"/>
          <w:color w:val="000000"/>
          <w:sz w:val="22"/>
          <w:szCs w:val="22"/>
        </w:rPr>
        <w:t>6 years of outbreaks are also areas with combined severity scores of 6 to 10.</w:t>
      </w:r>
    </w:p>
    <w:p w14:paraId="0DC07B4B" w14:textId="77777777" w:rsidR="004B7A15" w:rsidRDefault="004B7A15">
      <w:pPr>
        <w:rPr>
          <w:rFonts w:ascii="Garamond" w:eastAsia="Garamond" w:hAnsi="Garamond" w:cs="Garamond"/>
          <w:color w:val="000000"/>
          <w:sz w:val="22"/>
          <w:szCs w:val="22"/>
        </w:rPr>
      </w:pPr>
    </w:p>
    <w:p w14:paraId="00000166" w14:textId="53509F1F" w:rsidR="00770242" w:rsidRDefault="00D028A4">
      <w:pPr>
        <w:rPr>
          <w:rFonts w:ascii="Garamond" w:eastAsia="Garamond" w:hAnsi="Garamond" w:cs="Garamond"/>
          <w:color w:val="000000"/>
          <w:sz w:val="22"/>
          <w:szCs w:val="22"/>
        </w:rPr>
      </w:pPr>
      <w:r>
        <w:rPr>
          <w:rFonts w:ascii="Garamond" w:eastAsia="Garamond" w:hAnsi="Garamond" w:cs="Garamond"/>
          <w:color w:val="000000"/>
          <w:sz w:val="22"/>
          <w:szCs w:val="22"/>
        </w:rPr>
        <w:t>To understand this, we zoomed into an area in southern New Hampshire. This area experienced repeated potential defoliation events in the years 2012, 2017, 2018, and 2019 with ranging intensities. The map in the middle is the project study area with the inset on the left being a cut out of the southern region of interest. To examine each year, the maps on the right and bottom show the sum scores and the stated year score.</w:t>
      </w:r>
    </w:p>
    <w:p w14:paraId="00000167" w14:textId="77777777" w:rsidR="00770242" w:rsidRDefault="00770242">
      <w:pPr>
        <w:rPr>
          <w:rFonts w:ascii="Garamond" w:eastAsia="Garamond" w:hAnsi="Garamond" w:cs="Garamond"/>
          <w:color w:val="000000"/>
        </w:rPr>
      </w:pPr>
    </w:p>
    <w:p w14:paraId="00000168" w14:textId="77777777" w:rsidR="00770242" w:rsidRDefault="00462E20">
      <w:pPr>
        <w:jc w:val="center"/>
      </w:pPr>
      <w:sdt>
        <w:sdtPr>
          <w:tag w:val="goog_rdk_45"/>
          <w:id w:val="1457753683"/>
        </w:sdtPr>
        <w:sdtContent/>
      </w:sdt>
      <w:r w:rsidR="00D028A4">
        <w:rPr>
          <w:noProof/>
        </w:rPr>
        <w:drawing>
          <wp:inline distT="0" distB="0" distL="114300" distR="114300" wp14:anchorId="7F239728" wp14:editId="30B64E56">
            <wp:extent cx="4206240" cy="3255628"/>
            <wp:effectExtent l="0" t="0" r="3810" b="2540"/>
            <wp:docPr id="192947227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4206240" cy="3255628"/>
                    </a:xfrm>
                    <a:prstGeom prst="rect">
                      <a:avLst/>
                    </a:prstGeom>
                    <a:ln/>
                  </pic:spPr>
                </pic:pic>
              </a:graphicData>
            </a:graphic>
          </wp:inline>
        </w:drawing>
      </w:r>
    </w:p>
    <w:p w14:paraId="00000169" w14:textId="77777777" w:rsidR="00770242" w:rsidRDefault="00D028A4">
      <w:pPr>
        <w:jc w:val="center"/>
        <w:rPr>
          <w:sz w:val="20"/>
          <w:szCs w:val="20"/>
        </w:rPr>
      </w:pPr>
      <w:r>
        <w:rPr>
          <w:rFonts w:ascii="Garamond" w:eastAsia="Garamond" w:hAnsi="Garamond" w:cs="Garamond"/>
          <w:i/>
          <w:sz w:val="20"/>
          <w:szCs w:val="20"/>
        </w:rPr>
        <w:t xml:space="preserve">Figure 6. </w:t>
      </w:r>
      <w:r>
        <w:rPr>
          <w:rFonts w:ascii="Garamond" w:eastAsia="Garamond" w:hAnsi="Garamond" w:cs="Garamond"/>
          <w:sz w:val="20"/>
          <w:szCs w:val="20"/>
        </w:rPr>
        <w:t>Defoliation repetition in southern New Hampshire.</w:t>
      </w:r>
    </w:p>
    <w:p w14:paraId="0000016A" w14:textId="77777777" w:rsidR="00770242" w:rsidRDefault="00770242">
      <w:pPr>
        <w:jc w:val="center"/>
        <w:rPr>
          <w:rFonts w:ascii="Garamond" w:eastAsia="Garamond" w:hAnsi="Garamond" w:cs="Garamond"/>
          <w:sz w:val="22"/>
          <w:szCs w:val="22"/>
        </w:rPr>
      </w:pPr>
    </w:p>
    <w:p w14:paraId="0000016B" w14:textId="77777777" w:rsidR="00770242" w:rsidRDefault="00D028A4">
      <w:pPr>
        <w:rPr>
          <w:rFonts w:ascii="Garamond" w:eastAsia="Garamond" w:hAnsi="Garamond" w:cs="Garamond"/>
          <w:color w:val="000000"/>
          <w:sz w:val="22"/>
          <w:szCs w:val="22"/>
        </w:rPr>
      </w:pPr>
      <w:r>
        <w:rPr>
          <w:rFonts w:ascii="Garamond" w:eastAsia="Garamond" w:hAnsi="Garamond" w:cs="Garamond"/>
          <w:color w:val="000000"/>
          <w:sz w:val="22"/>
          <w:szCs w:val="22"/>
        </w:rPr>
        <w:t xml:space="preserve">This map shows that in 2012, a potential defoliation event occurred in this area of interest. Next, looking on the top-right we can see that in 2017 this area flared up again with defoliation events affecting the forest. Not only does this support the idea that </w:t>
      </w:r>
      <w:r>
        <w:rPr>
          <w:rFonts w:ascii="Garamond" w:eastAsia="Garamond" w:hAnsi="Garamond" w:cs="Garamond"/>
          <w:i/>
          <w:color w:val="000000"/>
          <w:sz w:val="22"/>
          <w:szCs w:val="22"/>
        </w:rPr>
        <w:t xml:space="preserve">L. dispar </w:t>
      </w:r>
      <w:r>
        <w:rPr>
          <w:rFonts w:ascii="Garamond" w:eastAsia="Garamond" w:hAnsi="Garamond" w:cs="Garamond"/>
          <w:color w:val="000000"/>
          <w:sz w:val="22"/>
          <w:szCs w:val="22"/>
        </w:rPr>
        <w:t xml:space="preserve">experience outbreak events but also that they can remain undetected in an area for many years prior to outbreak events. The importance of reviewing the repetition of defoliation lies in the implication of these analyses for land management practices. These areas that are highlighted, which experienced multiple years of impact, could be studied in greater depth to understand the effects of outbreak events on forest health. </w:t>
      </w:r>
    </w:p>
    <w:p w14:paraId="0000016C" w14:textId="77777777" w:rsidR="00770242" w:rsidRDefault="00770242">
      <w:pPr>
        <w:pBdr>
          <w:top w:val="nil"/>
          <w:left w:val="nil"/>
          <w:bottom w:val="nil"/>
          <w:right w:val="nil"/>
          <w:between w:val="nil"/>
        </w:pBdr>
        <w:rPr>
          <w:rFonts w:ascii="Garamond" w:eastAsia="Garamond" w:hAnsi="Garamond" w:cs="Garamond"/>
          <w:b/>
          <w:i/>
          <w:color w:val="000000"/>
          <w:sz w:val="22"/>
          <w:szCs w:val="22"/>
        </w:rPr>
      </w:pPr>
      <w:bookmarkStart w:id="3" w:name="_heading=h.3znysh7" w:colFirst="0" w:colLast="0"/>
      <w:bookmarkEnd w:id="3"/>
    </w:p>
    <w:p w14:paraId="0000016D" w14:textId="77777777" w:rsidR="00770242" w:rsidRDefault="00D028A4">
      <w:pPr>
        <w:pBdr>
          <w:top w:val="nil"/>
          <w:left w:val="nil"/>
          <w:bottom w:val="nil"/>
          <w:right w:val="nil"/>
          <w:between w:val="nil"/>
        </w:pBdr>
        <w:rPr>
          <w:rFonts w:ascii="Garamond" w:eastAsia="Garamond" w:hAnsi="Garamond" w:cs="Garamond"/>
          <w:color w:val="000000"/>
          <w:sz w:val="22"/>
          <w:szCs w:val="22"/>
        </w:rPr>
      </w:pPr>
      <w:r>
        <w:rPr>
          <w:rFonts w:ascii="Garamond" w:eastAsia="Garamond" w:hAnsi="Garamond" w:cs="Garamond"/>
          <w:b/>
          <w:i/>
          <w:color w:val="000000"/>
          <w:sz w:val="22"/>
          <w:szCs w:val="22"/>
        </w:rPr>
        <w:t xml:space="preserve">4.2 Future Work </w:t>
      </w:r>
    </w:p>
    <w:p w14:paraId="0000016E" w14:textId="2CC2A8DF" w:rsidR="00770242" w:rsidRDefault="00D028A4">
      <w:pPr>
        <w:pBdr>
          <w:top w:val="nil"/>
          <w:left w:val="nil"/>
          <w:bottom w:val="nil"/>
          <w:right w:val="nil"/>
          <w:between w:val="nil"/>
        </w:pBdr>
        <w:rPr>
          <w:rFonts w:ascii="Garamond" w:eastAsia="Garamond" w:hAnsi="Garamond" w:cs="Garamond"/>
          <w:color w:val="000000"/>
          <w:sz w:val="22"/>
          <w:szCs w:val="22"/>
        </w:rPr>
      </w:pPr>
      <w:r>
        <w:rPr>
          <w:rFonts w:ascii="Garamond" w:eastAsia="Garamond" w:hAnsi="Garamond" w:cs="Garamond"/>
          <w:color w:val="000000"/>
          <w:sz w:val="22"/>
          <w:szCs w:val="22"/>
        </w:rPr>
        <w:t xml:space="preserve">While our Random Forest classification may be predictive of future </w:t>
      </w:r>
      <w:r>
        <w:rPr>
          <w:rFonts w:ascii="Garamond" w:eastAsia="Garamond" w:hAnsi="Garamond" w:cs="Garamond"/>
          <w:i/>
          <w:color w:val="000000"/>
          <w:sz w:val="22"/>
          <w:szCs w:val="22"/>
        </w:rPr>
        <w:t>L. dispar</w:t>
      </w:r>
      <w:r>
        <w:rPr>
          <w:rFonts w:ascii="Garamond" w:eastAsia="Garamond" w:hAnsi="Garamond" w:cs="Garamond"/>
          <w:color w:val="000000"/>
          <w:sz w:val="22"/>
          <w:szCs w:val="22"/>
        </w:rPr>
        <w:t xml:space="preserve"> driven tree defoliation and mortality, the lack of ground-based observations makes it difficult to quantify the accuracy of our algorithm. Validation was restricted to three years (2017, 2018, and 2021) of data randomly sampled in areas classified by tree </w:t>
      </w:r>
      <w:r w:rsidR="00757F43">
        <w:rPr>
          <w:rFonts w:ascii="Garamond" w:eastAsia="Garamond" w:hAnsi="Garamond" w:cs="Garamond"/>
          <w:color w:val="000000"/>
          <w:sz w:val="22"/>
          <w:szCs w:val="22"/>
        </w:rPr>
        <w:t>cover type.</w:t>
      </w:r>
      <w:r>
        <w:rPr>
          <w:rFonts w:ascii="Garamond" w:eastAsia="Garamond" w:hAnsi="Garamond" w:cs="Garamond"/>
          <w:color w:val="000000"/>
          <w:sz w:val="22"/>
          <w:szCs w:val="22"/>
        </w:rPr>
        <w:t xml:space="preserve"> We derived our accuracy metrics from these samples, and the most immediate future work should be focused on conducting fieldwork to obtain ground truth samples for comprehensive model validation.</w:t>
      </w:r>
    </w:p>
    <w:p w14:paraId="0000016F" w14:textId="77777777" w:rsidR="00770242" w:rsidRDefault="00770242">
      <w:pPr>
        <w:pBdr>
          <w:top w:val="nil"/>
          <w:left w:val="nil"/>
          <w:bottom w:val="nil"/>
          <w:right w:val="nil"/>
          <w:between w:val="nil"/>
        </w:pBdr>
        <w:rPr>
          <w:rFonts w:ascii="Garamond" w:eastAsia="Garamond" w:hAnsi="Garamond" w:cs="Garamond"/>
          <w:color w:val="000000"/>
          <w:sz w:val="22"/>
          <w:szCs w:val="22"/>
        </w:rPr>
      </w:pPr>
    </w:p>
    <w:p w14:paraId="00000170" w14:textId="77777777" w:rsidR="00770242" w:rsidRDefault="00D028A4">
      <w:pPr>
        <w:pBdr>
          <w:top w:val="nil"/>
          <w:left w:val="nil"/>
          <w:bottom w:val="nil"/>
          <w:right w:val="nil"/>
          <w:between w:val="nil"/>
        </w:pBdr>
        <w:rPr>
          <w:rFonts w:ascii="Garamond" w:eastAsia="Garamond" w:hAnsi="Garamond" w:cs="Garamond"/>
          <w:color w:val="000000"/>
          <w:sz w:val="22"/>
          <w:szCs w:val="22"/>
        </w:rPr>
      </w:pPr>
      <w:r>
        <w:rPr>
          <w:rFonts w:ascii="Garamond" w:eastAsia="Garamond" w:hAnsi="Garamond" w:cs="Garamond"/>
          <w:color w:val="000000"/>
          <w:sz w:val="22"/>
          <w:szCs w:val="22"/>
        </w:rPr>
        <w:t xml:space="preserve">Using our methodology, the future incorporation of remotely sensed imagery with higher spatial, spectral, and temporal resolution can provide more accurate classifications of defoliation severity. These data are also necessary for forecasting tree mortality given that the drivers of tree health are scale-dependent and time-dependent (Swier et al., 2016). </w:t>
      </w:r>
      <w:r>
        <w:rPr>
          <w:rFonts w:ascii="Garamond" w:eastAsia="Garamond" w:hAnsi="Garamond" w:cs="Garamond"/>
          <w:color w:val="0E101A"/>
          <w:sz w:val="22"/>
          <w:szCs w:val="22"/>
        </w:rPr>
        <w:t xml:space="preserve">While defoliation events occur across the Northeast United States and into Canada, the study area in this project was limited to Vermont and New Hampshire; thus, future research can expand on this study area. </w:t>
      </w:r>
      <w:r>
        <w:rPr>
          <w:rFonts w:ascii="Garamond" w:eastAsia="Garamond" w:hAnsi="Garamond" w:cs="Garamond"/>
          <w:color w:val="000000"/>
          <w:sz w:val="22"/>
          <w:szCs w:val="22"/>
        </w:rPr>
        <w:t>Altogether, the inclusion of higher resolution data within our model may yield accurate, near real time results that can better inform the decision making of land managers.</w:t>
      </w:r>
    </w:p>
    <w:p w14:paraId="00000171" w14:textId="77777777" w:rsidR="00770242" w:rsidRDefault="00770242">
      <w:pPr>
        <w:pStyle w:val="Heading1"/>
        <w:spacing w:before="0"/>
        <w:rPr>
          <w:rFonts w:ascii="Garamond" w:eastAsia="Garamond" w:hAnsi="Garamond" w:cs="Garamond"/>
          <w:sz w:val="22"/>
          <w:szCs w:val="22"/>
        </w:rPr>
      </w:pPr>
      <w:bookmarkStart w:id="4" w:name="_heading=h.2et92p0" w:colFirst="0" w:colLast="0"/>
      <w:bookmarkEnd w:id="4"/>
    </w:p>
    <w:p w14:paraId="00000172" w14:textId="77777777" w:rsidR="00770242" w:rsidRDefault="00D028A4">
      <w:pPr>
        <w:pStyle w:val="Heading1"/>
        <w:spacing w:before="0"/>
        <w:rPr>
          <w:rFonts w:ascii="Garamond" w:eastAsia="Garamond" w:hAnsi="Garamond" w:cs="Garamond"/>
          <w:highlight w:val="yellow"/>
        </w:rPr>
      </w:pPr>
      <w:r>
        <w:rPr>
          <w:rFonts w:ascii="Garamond" w:eastAsia="Garamond" w:hAnsi="Garamond" w:cs="Garamond"/>
        </w:rPr>
        <w:t xml:space="preserve">5. Conclusions </w:t>
      </w:r>
    </w:p>
    <w:p w14:paraId="00000173" w14:textId="77777777" w:rsidR="00770242" w:rsidRDefault="00D028A4">
      <w:pPr>
        <w:rPr>
          <w:rFonts w:ascii="Garamond" w:eastAsia="Garamond" w:hAnsi="Garamond" w:cs="Garamond"/>
          <w:sz w:val="22"/>
          <w:szCs w:val="22"/>
        </w:rPr>
      </w:pPr>
      <w:r>
        <w:rPr>
          <w:rFonts w:ascii="Garamond" w:eastAsia="Garamond" w:hAnsi="Garamond" w:cs="Garamond"/>
          <w:sz w:val="22"/>
          <w:szCs w:val="22"/>
        </w:rPr>
        <w:t xml:space="preserve">In this study, we modeled the extent of potential defoliation due to </w:t>
      </w:r>
      <w:r>
        <w:rPr>
          <w:rFonts w:ascii="Garamond" w:eastAsia="Garamond" w:hAnsi="Garamond" w:cs="Garamond"/>
          <w:i/>
          <w:sz w:val="22"/>
          <w:szCs w:val="22"/>
        </w:rPr>
        <w:t>L. dispar</w:t>
      </w:r>
      <w:r>
        <w:rPr>
          <w:rFonts w:ascii="Garamond" w:eastAsia="Garamond" w:hAnsi="Garamond" w:cs="Garamond"/>
          <w:sz w:val="22"/>
          <w:szCs w:val="22"/>
        </w:rPr>
        <w:t xml:space="preserve"> across VT and NH from 2012 to 2021. Of the years we modeled, the potential defoliation extent in 2021 was the greatest; that year accounted for 25 percent of the total extent of defoliation across the 10-year study period. This finding agrees with the </w:t>
      </w:r>
      <w:r>
        <w:rPr>
          <w:rFonts w:ascii="Garamond" w:eastAsia="Garamond" w:hAnsi="Garamond" w:cs="Garamond"/>
          <w:sz w:val="22"/>
          <w:szCs w:val="22"/>
        </w:rPr>
        <w:lastRenderedPageBreak/>
        <w:t xml:space="preserve">project partners’ field observations of defoliation (J. Rosovsky, personal communication, March 28, 2022). Since there is a large area where defoliation events may occur, efforts that increase monitoring extent can improve management practices that mitigate damage caused by </w:t>
      </w:r>
      <w:r>
        <w:rPr>
          <w:rFonts w:ascii="Garamond" w:eastAsia="Garamond" w:hAnsi="Garamond" w:cs="Garamond"/>
          <w:i/>
          <w:sz w:val="22"/>
          <w:szCs w:val="22"/>
        </w:rPr>
        <w:t>L. dispar</w:t>
      </w:r>
      <w:r>
        <w:rPr>
          <w:rFonts w:ascii="Garamond" w:eastAsia="Garamond" w:hAnsi="Garamond" w:cs="Garamond"/>
          <w:sz w:val="22"/>
          <w:szCs w:val="22"/>
        </w:rPr>
        <w:t xml:space="preserve">. This project can support land management efforts by highlighting areas of potential historical defoliation and providing a tool that helps land managers understand the mechanics and patterns of outbreak events. </w:t>
      </w:r>
    </w:p>
    <w:p w14:paraId="00000174" w14:textId="77777777" w:rsidR="00770242" w:rsidRDefault="00770242">
      <w:pPr>
        <w:rPr>
          <w:rFonts w:ascii="Garamond" w:eastAsia="Garamond" w:hAnsi="Garamond" w:cs="Garamond"/>
          <w:sz w:val="22"/>
          <w:szCs w:val="22"/>
        </w:rPr>
      </w:pPr>
    </w:p>
    <w:p w14:paraId="00000175" w14:textId="1531FAD9" w:rsidR="00770242" w:rsidRDefault="00757F43">
      <w:pPr>
        <w:rPr>
          <w:rFonts w:ascii="Garamond" w:eastAsia="Garamond" w:hAnsi="Garamond" w:cs="Garamond"/>
          <w:sz w:val="22"/>
          <w:szCs w:val="22"/>
        </w:rPr>
      </w:pPr>
      <w:r w:rsidRPr="00757F43">
        <w:rPr>
          <w:rFonts w:ascii="Garamond" w:eastAsia="Garamond" w:hAnsi="Garamond" w:cs="Garamond"/>
          <w:sz w:val="22"/>
          <w:szCs w:val="22"/>
        </w:rPr>
        <w:t>Mortality typically occurs among healthy hardwood trees after two or more years of heavy defoliation</w:t>
      </w:r>
      <w:r>
        <w:rPr>
          <w:rFonts w:ascii="Garamond" w:eastAsia="Garamond" w:hAnsi="Garamond" w:cs="Garamond"/>
          <w:sz w:val="22"/>
          <w:szCs w:val="22"/>
        </w:rPr>
        <w:t xml:space="preserve"> </w:t>
      </w:r>
      <w:r w:rsidRPr="00757F43">
        <w:rPr>
          <w:rFonts w:ascii="Garamond" w:eastAsia="Garamond" w:hAnsi="Garamond" w:cs="Garamond"/>
          <w:sz w:val="22"/>
          <w:szCs w:val="22"/>
        </w:rPr>
        <w:t>and can lead to a loss of ecosystem services (Swier et al., 2016)</w:t>
      </w:r>
      <w:r>
        <w:rPr>
          <w:rFonts w:ascii="Garamond" w:eastAsia="Garamond" w:hAnsi="Garamond" w:cs="Garamond"/>
          <w:sz w:val="22"/>
          <w:szCs w:val="22"/>
        </w:rPr>
        <w:t xml:space="preserve">. </w:t>
      </w:r>
      <w:r w:rsidR="00D028A4">
        <w:rPr>
          <w:rFonts w:ascii="Garamond" w:eastAsia="Garamond" w:hAnsi="Garamond" w:cs="Garamond"/>
          <w:sz w:val="22"/>
          <w:szCs w:val="22"/>
        </w:rPr>
        <w:t>We measured where and how often outbreaks were repeated during the study period to identify areas where trees may have greater risk of mortality. Mos</w:t>
      </w:r>
      <w:r>
        <w:rPr>
          <w:rFonts w:ascii="Garamond" w:eastAsia="Garamond" w:hAnsi="Garamond" w:cs="Garamond"/>
          <w:sz w:val="22"/>
          <w:szCs w:val="22"/>
        </w:rPr>
        <w:t xml:space="preserve">t areas of </w:t>
      </w:r>
      <w:r w:rsidR="00D028A4">
        <w:rPr>
          <w:rFonts w:ascii="Garamond" w:eastAsia="Garamond" w:hAnsi="Garamond" w:cs="Garamond"/>
          <w:sz w:val="22"/>
          <w:szCs w:val="22"/>
        </w:rPr>
        <w:t xml:space="preserve">potential defoliation (91 percent, 2616 km²) were limited to a single year, and most defoliation events were of low severity (Figures 2 &amp; 4). The majority (88 percent, 220 km²) of the areas where repeated potential defoliation occurred experienced only two outbreaks. Therefore, mortality is unlikely to have occurred among host trees in </w:t>
      </w:r>
      <w:r w:rsidR="0075063F">
        <w:rPr>
          <w:rFonts w:ascii="Garamond" w:eastAsia="Garamond" w:hAnsi="Garamond" w:cs="Garamond"/>
          <w:sz w:val="22"/>
          <w:szCs w:val="22"/>
        </w:rPr>
        <w:t>most of</w:t>
      </w:r>
      <w:r w:rsidR="00D028A4">
        <w:rPr>
          <w:rFonts w:ascii="Garamond" w:eastAsia="Garamond" w:hAnsi="Garamond" w:cs="Garamond"/>
          <w:sz w:val="22"/>
          <w:szCs w:val="22"/>
        </w:rPr>
        <w:t xml:space="preserve"> the areas that experienced potential defoliation unless those defoliation events were combined with another stressor of tree health such as drought.</w:t>
      </w:r>
      <w:r w:rsidR="00D028A4">
        <w:rPr>
          <w:sz w:val="22"/>
          <w:szCs w:val="22"/>
        </w:rPr>
        <w:t>​</w:t>
      </w:r>
    </w:p>
    <w:p w14:paraId="00000176" w14:textId="77777777" w:rsidR="00770242" w:rsidRDefault="00770242">
      <w:pPr>
        <w:rPr>
          <w:rFonts w:ascii="Garamond" w:eastAsia="Garamond" w:hAnsi="Garamond" w:cs="Garamond"/>
          <w:sz w:val="22"/>
          <w:szCs w:val="22"/>
        </w:rPr>
      </w:pPr>
    </w:p>
    <w:p w14:paraId="00000177" w14:textId="397105BD" w:rsidR="00770242" w:rsidRDefault="00D028A4">
      <w:pPr>
        <w:rPr>
          <w:rFonts w:ascii="Garamond" w:eastAsia="Garamond" w:hAnsi="Garamond" w:cs="Garamond"/>
          <w:sz w:val="22"/>
          <w:szCs w:val="22"/>
        </w:rPr>
      </w:pPr>
      <w:r>
        <w:rPr>
          <w:rFonts w:ascii="Garamond" w:eastAsia="Garamond" w:hAnsi="Garamond" w:cs="Garamond"/>
          <w:sz w:val="22"/>
          <w:szCs w:val="22"/>
        </w:rPr>
        <w:t xml:space="preserve">This project is centered around the communities that are affected by </w:t>
      </w:r>
      <w:r>
        <w:rPr>
          <w:rFonts w:ascii="Garamond" w:eastAsia="Garamond" w:hAnsi="Garamond" w:cs="Garamond"/>
          <w:i/>
          <w:sz w:val="22"/>
          <w:szCs w:val="22"/>
        </w:rPr>
        <w:t xml:space="preserve">L. dispar </w:t>
      </w:r>
      <w:r>
        <w:rPr>
          <w:rFonts w:ascii="Garamond" w:eastAsia="Garamond" w:hAnsi="Garamond" w:cs="Garamond"/>
          <w:sz w:val="22"/>
          <w:szCs w:val="22"/>
        </w:rPr>
        <w:t xml:space="preserve">outbreaks. Thus, we prioritized our partners’ concerns in this research. First, our partners described evidence of the resilience of forests following </w:t>
      </w:r>
      <w:r>
        <w:rPr>
          <w:rFonts w:ascii="Garamond" w:eastAsia="Garamond" w:hAnsi="Garamond" w:cs="Garamond"/>
          <w:i/>
          <w:sz w:val="22"/>
          <w:szCs w:val="22"/>
        </w:rPr>
        <w:t>L. dispar</w:t>
      </w:r>
      <w:r>
        <w:rPr>
          <w:rFonts w:ascii="Garamond" w:eastAsia="Garamond" w:hAnsi="Garamond" w:cs="Garamond"/>
          <w:sz w:val="22"/>
          <w:szCs w:val="22"/>
        </w:rPr>
        <w:t xml:space="preserve"> outbreaks. Most areas where we identified historical defoliation only experienced one defoliation event, and trees have shown resilience to single defoliation events. Further, our partners highlighted the need for a cost-effective monitoring tool. Defoliation monitoring based on remote sensing data has been found to more accurately estimate retrospective </w:t>
      </w:r>
      <w:r>
        <w:rPr>
          <w:rFonts w:ascii="Garamond" w:eastAsia="Garamond" w:hAnsi="Garamond" w:cs="Garamond"/>
          <w:i/>
          <w:sz w:val="22"/>
          <w:szCs w:val="22"/>
        </w:rPr>
        <w:t xml:space="preserve">L. dispar </w:t>
      </w:r>
      <w:r>
        <w:rPr>
          <w:rFonts w:ascii="Garamond" w:eastAsia="Garamond" w:hAnsi="Garamond" w:cs="Garamond"/>
          <w:sz w:val="22"/>
          <w:szCs w:val="22"/>
        </w:rPr>
        <w:t xml:space="preserve">abundance than some ground-based abundance assessment methods can (Pasquarella et al., 2021). Thus, we created the graphical user interface CATEPILR hosted in GEE to increase project partners’ defoliation monitoring capacity. Through the creation of CATEPILR, our DEVELOP team provided partners with a tool that identifies potential defoliation events as new Landsat scenes become available. This tool highlights variables correlated to outbreak events that can direct management efforts and may be used in future research. Finally, our project partners requested an outreach tool for the public. Through the creation of an Esri StoryMap, research and results were effectively communicated to the public to assist in education and the understanding of </w:t>
      </w:r>
      <w:r>
        <w:rPr>
          <w:rFonts w:ascii="Garamond" w:eastAsia="Garamond" w:hAnsi="Garamond" w:cs="Garamond"/>
          <w:i/>
          <w:sz w:val="22"/>
          <w:szCs w:val="22"/>
        </w:rPr>
        <w:t>L. dispar’</w:t>
      </w:r>
      <w:r>
        <w:rPr>
          <w:rFonts w:ascii="Garamond" w:eastAsia="Garamond" w:hAnsi="Garamond" w:cs="Garamond"/>
          <w:sz w:val="22"/>
          <w:szCs w:val="22"/>
        </w:rPr>
        <w:t>s habits in Vermont and New Hampshire.</w:t>
      </w:r>
    </w:p>
    <w:p w14:paraId="00000178" w14:textId="77777777" w:rsidR="00770242" w:rsidRDefault="00770242"/>
    <w:p w14:paraId="00000179" w14:textId="77777777" w:rsidR="00770242" w:rsidRDefault="00D028A4">
      <w:pPr>
        <w:pStyle w:val="Heading1"/>
        <w:spacing w:before="0"/>
        <w:rPr>
          <w:rFonts w:ascii="Garamond" w:eastAsia="Garamond" w:hAnsi="Garamond" w:cs="Garamond"/>
        </w:rPr>
      </w:pPr>
      <w:bookmarkStart w:id="5" w:name="_heading=h.tyjcwt" w:colFirst="0" w:colLast="0"/>
      <w:bookmarkEnd w:id="5"/>
      <w:r>
        <w:rPr>
          <w:rFonts w:ascii="Garamond" w:eastAsia="Garamond" w:hAnsi="Garamond" w:cs="Garamond"/>
        </w:rPr>
        <w:t>6. Acknowledgments</w:t>
      </w:r>
    </w:p>
    <w:p w14:paraId="0000017A" w14:textId="77777777" w:rsidR="00770242" w:rsidRDefault="00D028A4">
      <w:pPr>
        <w:rPr>
          <w:rFonts w:ascii="Garamond" w:eastAsia="Garamond" w:hAnsi="Garamond" w:cs="Garamond"/>
          <w:sz w:val="22"/>
          <w:szCs w:val="22"/>
        </w:rPr>
      </w:pPr>
      <w:r>
        <w:rPr>
          <w:rFonts w:ascii="Garamond" w:eastAsia="Garamond" w:hAnsi="Garamond" w:cs="Garamond"/>
          <w:sz w:val="22"/>
          <w:szCs w:val="22"/>
        </w:rPr>
        <w:t>The Vermont and New Hampshire Ecological Forecasting Team thanks our project partners from the Forest Ecosystem Monitoring Cooperative (FEMC), the Vermont Agency of Agriculture, Food and Markets (VAAFM), the University of New Hampshire Cooperative Extension (UNH Extension), and the New Hampshire Division of Forests and Lands, Forest Health Program. We are grateful to Drs. Juan Torres-Pérez and Valerie Pasquarella for advising this study, Britnay Beaudry for offering guidance, support, and feedback throughout this project, and Hayley Pippin, Dr. Kenton Ross, and Tasos Tentoglou for providing technical assistance.</w:t>
      </w:r>
    </w:p>
    <w:p w14:paraId="0000017B" w14:textId="77777777" w:rsidR="00770242" w:rsidRDefault="00770242">
      <w:pPr>
        <w:rPr>
          <w:rFonts w:ascii="Garamond" w:eastAsia="Garamond" w:hAnsi="Garamond" w:cs="Garamond"/>
          <w:sz w:val="22"/>
          <w:szCs w:val="22"/>
        </w:rPr>
      </w:pPr>
    </w:p>
    <w:p w14:paraId="0000017C" w14:textId="77777777" w:rsidR="00770242" w:rsidRDefault="00D028A4">
      <w:pPr>
        <w:rPr>
          <w:rFonts w:ascii="Garamond" w:eastAsia="Garamond" w:hAnsi="Garamond" w:cs="Garamond"/>
          <w:sz w:val="22"/>
          <w:szCs w:val="22"/>
        </w:rPr>
      </w:pPr>
      <w:r>
        <w:rPr>
          <w:rFonts w:ascii="Garamond" w:eastAsia="Garamond" w:hAnsi="Garamond" w:cs="Garamond"/>
          <w:sz w:val="22"/>
          <w:szCs w:val="22"/>
        </w:rPr>
        <w:t>This material contains modified Copernicus Sentinel data (2017, 2018, and 2021), processed by ESA. </w:t>
      </w:r>
      <w:r>
        <w:rPr>
          <w:sz w:val="22"/>
          <w:szCs w:val="22"/>
        </w:rPr>
        <w:t>​</w:t>
      </w:r>
    </w:p>
    <w:p w14:paraId="0000017D" w14:textId="77777777" w:rsidR="00770242" w:rsidRDefault="00770242">
      <w:pPr>
        <w:rPr>
          <w:rFonts w:ascii="Garamond" w:eastAsia="Garamond" w:hAnsi="Garamond" w:cs="Garamond"/>
          <w:color w:val="000000"/>
          <w:sz w:val="22"/>
          <w:szCs w:val="22"/>
        </w:rPr>
      </w:pPr>
    </w:p>
    <w:p w14:paraId="0000017E" w14:textId="77777777" w:rsidR="00770242" w:rsidRDefault="00D028A4">
      <w:pPr>
        <w:rPr>
          <w:rFonts w:ascii="Garamond" w:eastAsia="Garamond" w:hAnsi="Garamond" w:cs="Garamond"/>
          <w:color w:val="000000"/>
          <w:sz w:val="22"/>
          <w:szCs w:val="22"/>
        </w:rPr>
      </w:pPr>
      <w:r>
        <w:rPr>
          <w:rFonts w:ascii="Garamond" w:eastAsia="Garamond" w:hAnsi="Garamond" w:cs="Garamond"/>
          <w:color w:val="000000"/>
          <w:sz w:val="22"/>
          <w:szCs w:val="22"/>
        </w:rPr>
        <w:t>Any opinions, findings, and conclusions or recommendations expressed in this material are those of the author(s) and do not necessarily reflect the views of the National Aeronautics and Space Administration.</w:t>
      </w:r>
    </w:p>
    <w:p w14:paraId="0000017F" w14:textId="77777777" w:rsidR="00770242" w:rsidRDefault="00770242">
      <w:pPr>
        <w:rPr>
          <w:rFonts w:ascii="Garamond" w:eastAsia="Garamond" w:hAnsi="Garamond" w:cs="Garamond"/>
          <w:sz w:val="22"/>
          <w:szCs w:val="22"/>
        </w:rPr>
      </w:pPr>
    </w:p>
    <w:p w14:paraId="00000180" w14:textId="77777777" w:rsidR="00770242" w:rsidRDefault="00D028A4">
      <w:pPr>
        <w:rPr>
          <w:rFonts w:ascii="Garamond" w:eastAsia="Garamond" w:hAnsi="Garamond" w:cs="Garamond"/>
          <w:sz w:val="22"/>
          <w:szCs w:val="22"/>
        </w:rPr>
      </w:pPr>
      <w:r>
        <w:rPr>
          <w:rFonts w:ascii="Garamond" w:eastAsia="Garamond" w:hAnsi="Garamond" w:cs="Garamond"/>
          <w:sz w:val="22"/>
          <w:szCs w:val="22"/>
        </w:rPr>
        <w:t>This material is based upon work supported by NASA through contract NNL16AA05C.</w:t>
      </w:r>
    </w:p>
    <w:p w14:paraId="00000181" w14:textId="77777777" w:rsidR="00770242" w:rsidRDefault="00770242">
      <w:pPr>
        <w:pStyle w:val="Heading1"/>
        <w:spacing w:before="0"/>
        <w:rPr>
          <w:rFonts w:ascii="Garamond" w:eastAsia="Garamond" w:hAnsi="Garamond" w:cs="Garamond"/>
          <w:sz w:val="22"/>
          <w:szCs w:val="22"/>
        </w:rPr>
      </w:pPr>
      <w:bookmarkStart w:id="6" w:name="_heading=h.3dy6vkm" w:colFirst="0" w:colLast="0"/>
      <w:bookmarkEnd w:id="6"/>
    </w:p>
    <w:p w14:paraId="00000182" w14:textId="77777777" w:rsidR="00770242" w:rsidRDefault="00D028A4">
      <w:pPr>
        <w:pStyle w:val="Heading1"/>
        <w:spacing w:before="0"/>
        <w:rPr>
          <w:rFonts w:ascii="Garamond" w:eastAsia="Garamond" w:hAnsi="Garamond" w:cs="Garamond"/>
        </w:rPr>
      </w:pPr>
      <w:r>
        <w:rPr>
          <w:rFonts w:ascii="Garamond" w:eastAsia="Garamond" w:hAnsi="Garamond" w:cs="Garamond"/>
        </w:rPr>
        <w:t>7. Glossary</w:t>
      </w:r>
    </w:p>
    <w:p w14:paraId="00000183" w14:textId="77777777" w:rsidR="00770242" w:rsidRDefault="00D028A4">
      <w:pPr>
        <w:rPr>
          <w:rFonts w:ascii="Garamond" w:eastAsia="Garamond" w:hAnsi="Garamond" w:cs="Garamond"/>
          <w:sz w:val="22"/>
          <w:szCs w:val="22"/>
        </w:rPr>
      </w:pPr>
      <w:r>
        <w:rPr>
          <w:rFonts w:ascii="Garamond" w:eastAsia="Garamond" w:hAnsi="Garamond" w:cs="Garamond"/>
          <w:b/>
          <w:sz w:val="22"/>
          <w:szCs w:val="22"/>
        </w:rPr>
        <w:t>CATEPILR</w:t>
      </w:r>
      <w:r>
        <w:rPr>
          <w:rFonts w:ascii="Garamond" w:eastAsia="Garamond" w:hAnsi="Garamond" w:cs="Garamond"/>
          <w:sz w:val="22"/>
          <w:szCs w:val="22"/>
        </w:rPr>
        <w:t xml:space="preserve"> – Condition Assessment Tool to Estimate Patterns of the Invasion of </w:t>
      </w:r>
      <w:r w:rsidRPr="00665950">
        <w:rPr>
          <w:rFonts w:ascii="Garamond" w:eastAsia="Garamond" w:hAnsi="Garamond" w:cs="Garamond"/>
          <w:iCs/>
          <w:sz w:val="22"/>
          <w:szCs w:val="22"/>
        </w:rPr>
        <w:t>Lymantria dispaR</w:t>
      </w:r>
      <w:r>
        <w:rPr>
          <w:rFonts w:ascii="Garamond" w:eastAsia="Garamond" w:hAnsi="Garamond" w:cs="Garamond"/>
          <w:i/>
          <w:sz w:val="22"/>
          <w:szCs w:val="22"/>
        </w:rPr>
        <w:t>.</w:t>
      </w:r>
      <w:r>
        <w:rPr>
          <w:rFonts w:ascii="Garamond" w:eastAsia="Garamond" w:hAnsi="Garamond" w:cs="Garamond"/>
          <w:sz w:val="22"/>
          <w:szCs w:val="22"/>
        </w:rPr>
        <w:t xml:space="preserve"> A Google Earth Engine tool to estimate defoliation due to </w:t>
      </w:r>
      <w:r>
        <w:rPr>
          <w:rFonts w:ascii="Garamond" w:eastAsia="Garamond" w:hAnsi="Garamond" w:cs="Garamond"/>
          <w:i/>
          <w:sz w:val="22"/>
          <w:szCs w:val="22"/>
        </w:rPr>
        <w:t>L. dispar</w:t>
      </w:r>
      <w:r>
        <w:rPr>
          <w:rFonts w:ascii="Garamond" w:eastAsia="Garamond" w:hAnsi="Garamond" w:cs="Garamond"/>
          <w:sz w:val="22"/>
          <w:szCs w:val="22"/>
        </w:rPr>
        <w:t xml:space="preserve"> that updates with newly ingested satellite imagery.</w:t>
      </w:r>
    </w:p>
    <w:p w14:paraId="00000184" w14:textId="77777777" w:rsidR="00770242" w:rsidRDefault="00D028A4">
      <w:pPr>
        <w:rPr>
          <w:rFonts w:ascii="Garamond" w:eastAsia="Garamond" w:hAnsi="Garamond" w:cs="Garamond"/>
          <w:sz w:val="22"/>
          <w:szCs w:val="22"/>
        </w:rPr>
      </w:pPr>
      <w:r>
        <w:rPr>
          <w:rFonts w:ascii="Garamond" w:eastAsia="Garamond" w:hAnsi="Garamond" w:cs="Garamond"/>
          <w:b/>
          <w:sz w:val="22"/>
          <w:szCs w:val="22"/>
        </w:rPr>
        <w:lastRenderedPageBreak/>
        <w:t xml:space="preserve">Defoliation </w:t>
      </w:r>
      <w:r>
        <w:rPr>
          <w:rFonts w:ascii="Garamond" w:eastAsia="Garamond" w:hAnsi="Garamond" w:cs="Garamond"/>
          <w:sz w:val="22"/>
          <w:szCs w:val="22"/>
        </w:rPr>
        <w:t>– The loss of leaves on a plant. The severity of leaf loss be detected through remotely sensed imagery.</w:t>
      </w:r>
    </w:p>
    <w:p w14:paraId="00000185" w14:textId="77777777" w:rsidR="00770242" w:rsidRDefault="00D028A4">
      <w:pPr>
        <w:rPr>
          <w:rFonts w:ascii="Garamond" w:eastAsia="Garamond" w:hAnsi="Garamond" w:cs="Garamond"/>
          <w:sz w:val="22"/>
          <w:szCs w:val="22"/>
        </w:rPr>
      </w:pPr>
      <w:r>
        <w:rPr>
          <w:rFonts w:ascii="Garamond" w:eastAsia="Garamond" w:hAnsi="Garamond" w:cs="Garamond"/>
          <w:b/>
          <w:sz w:val="22"/>
          <w:szCs w:val="22"/>
        </w:rPr>
        <w:t>Earth observations</w:t>
      </w:r>
      <w:r>
        <w:rPr>
          <w:rFonts w:ascii="Garamond" w:eastAsia="Garamond" w:hAnsi="Garamond" w:cs="Garamond"/>
          <w:sz w:val="22"/>
          <w:szCs w:val="22"/>
        </w:rPr>
        <w:t xml:space="preserve"> – Satellites and sensors that collect information about the Earth’s physical, chemical, and biological systems over space and time.</w:t>
      </w:r>
    </w:p>
    <w:p w14:paraId="00000186" w14:textId="77777777" w:rsidR="00770242" w:rsidRDefault="00D028A4">
      <w:pPr>
        <w:rPr>
          <w:rFonts w:ascii="Garamond" w:eastAsia="Garamond" w:hAnsi="Garamond" w:cs="Garamond"/>
          <w:sz w:val="22"/>
          <w:szCs w:val="22"/>
        </w:rPr>
      </w:pPr>
      <w:r>
        <w:rPr>
          <w:rFonts w:ascii="Garamond" w:eastAsia="Garamond" w:hAnsi="Garamond" w:cs="Garamond"/>
          <w:b/>
          <w:sz w:val="22"/>
          <w:szCs w:val="22"/>
        </w:rPr>
        <w:t xml:space="preserve">EVI </w:t>
      </w:r>
      <w:r>
        <w:rPr>
          <w:rFonts w:ascii="Garamond" w:eastAsia="Garamond" w:hAnsi="Garamond" w:cs="Garamond"/>
          <w:sz w:val="22"/>
          <w:szCs w:val="22"/>
        </w:rPr>
        <w:t>– Enhanced Vegetation Index. A metric of vegetation greenness using atmospheric corrected surface reflectance.</w:t>
      </w:r>
    </w:p>
    <w:p w14:paraId="00000187" w14:textId="77777777" w:rsidR="00770242" w:rsidRDefault="00D028A4">
      <w:pPr>
        <w:rPr>
          <w:rFonts w:ascii="Garamond" w:eastAsia="Garamond" w:hAnsi="Garamond" w:cs="Garamond"/>
          <w:sz w:val="22"/>
          <w:szCs w:val="22"/>
        </w:rPr>
      </w:pPr>
      <w:r>
        <w:rPr>
          <w:rFonts w:ascii="Garamond" w:eastAsia="Garamond" w:hAnsi="Garamond" w:cs="Garamond"/>
          <w:b/>
          <w:sz w:val="22"/>
          <w:szCs w:val="22"/>
        </w:rPr>
        <w:t>MODIS</w:t>
      </w:r>
      <w:r>
        <w:rPr>
          <w:rFonts w:ascii="Garamond" w:eastAsia="Garamond" w:hAnsi="Garamond" w:cs="Garamond"/>
          <w:sz w:val="22"/>
          <w:szCs w:val="22"/>
        </w:rPr>
        <w:t xml:space="preserve"> – Moderate Resolution Imaging Spectroradiometer. Hyperspectral satellite-based sensor with 36 bands.</w:t>
      </w:r>
    </w:p>
    <w:p w14:paraId="00000188" w14:textId="77777777" w:rsidR="00770242" w:rsidRDefault="00D028A4">
      <w:pPr>
        <w:rPr>
          <w:rFonts w:ascii="Garamond" w:eastAsia="Garamond" w:hAnsi="Garamond" w:cs="Garamond"/>
          <w:sz w:val="22"/>
          <w:szCs w:val="22"/>
        </w:rPr>
      </w:pPr>
      <w:r>
        <w:rPr>
          <w:rFonts w:ascii="Garamond" w:eastAsia="Garamond" w:hAnsi="Garamond" w:cs="Garamond"/>
          <w:b/>
          <w:sz w:val="22"/>
          <w:szCs w:val="22"/>
        </w:rPr>
        <w:t>NDVI</w:t>
      </w:r>
      <w:r>
        <w:rPr>
          <w:rFonts w:ascii="Garamond" w:eastAsia="Garamond" w:hAnsi="Garamond" w:cs="Garamond"/>
          <w:sz w:val="22"/>
          <w:szCs w:val="22"/>
        </w:rPr>
        <w:t xml:space="preserve"> – Normalized Difference Vegetation Index. Measures the difference between near-infrared and red light as a quantifier of vegetation greenness.</w:t>
      </w:r>
    </w:p>
    <w:p w14:paraId="00000189" w14:textId="77777777" w:rsidR="00770242" w:rsidRDefault="00D028A4">
      <w:pPr>
        <w:rPr>
          <w:rFonts w:ascii="Garamond" w:eastAsia="Garamond" w:hAnsi="Garamond" w:cs="Garamond"/>
          <w:sz w:val="22"/>
          <w:szCs w:val="22"/>
        </w:rPr>
      </w:pPr>
      <w:r>
        <w:rPr>
          <w:rFonts w:ascii="Garamond" w:eastAsia="Garamond" w:hAnsi="Garamond" w:cs="Garamond"/>
          <w:b/>
          <w:sz w:val="22"/>
          <w:szCs w:val="22"/>
        </w:rPr>
        <w:t>Random Forest</w:t>
      </w:r>
      <w:r>
        <w:rPr>
          <w:rFonts w:ascii="Garamond" w:eastAsia="Garamond" w:hAnsi="Garamond" w:cs="Garamond"/>
          <w:sz w:val="22"/>
          <w:szCs w:val="22"/>
        </w:rPr>
        <w:t xml:space="preserve"> – A supervised machine learning classification algorithm. This algorithm uses training data as inputs in a multitude of decision-trees that each assign a prediction. These predictions are then averaged for the final classification.</w:t>
      </w:r>
    </w:p>
    <w:p w14:paraId="0000018A" w14:textId="3975D2E8" w:rsidR="00770242" w:rsidRDefault="00D028A4">
      <w:pPr>
        <w:rPr>
          <w:rFonts w:ascii="Garamond" w:eastAsia="Garamond" w:hAnsi="Garamond" w:cs="Garamond"/>
          <w:sz w:val="22"/>
          <w:szCs w:val="22"/>
        </w:rPr>
      </w:pPr>
      <w:r>
        <w:rPr>
          <w:rFonts w:ascii="Garamond" w:eastAsia="Garamond" w:hAnsi="Garamond" w:cs="Garamond"/>
          <w:b/>
          <w:sz w:val="22"/>
          <w:szCs w:val="22"/>
        </w:rPr>
        <w:t xml:space="preserve">TCG </w:t>
      </w:r>
      <w:r>
        <w:rPr>
          <w:rFonts w:ascii="Garamond" w:eastAsia="Garamond" w:hAnsi="Garamond" w:cs="Garamond"/>
          <w:sz w:val="22"/>
          <w:szCs w:val="22"/>
        </w:rPr>
        <w:t xml:space="preserve">– </w:t>
      </w:r>
      <w:r w:rsidR="00757F43" w:rsidRPr="00757F43">
        <w:rPr>
          <w:rFonts w:ascii="Garamond" w:eastAsia="Garamond" w:hAnsi="Garamond" w:cs="Garamond"/>
          <w:sz w:val="22"/>
          <w:szCs w:val="22"/>
        </w:rPr>
        <w:t>Tasseled Cap Greenness. A weighted sum of bands</w:t>
      </w:r>
      <w:r w:rsidR="00757F43">
        <w:rPr>
          <w:rFonts w:ascii="Garamond" w:eastAsia="Garamond" w:hAnsi="Garamond" w:cs="Garamond"/>
          <w:sz w:val="22"/>
          <w:szCs w:val="22"/>
        </w:rPr>
        <w:t xml:space="preserve"> </w:t>
      </w:r>
      <w:r w:rsidR="00757F43" w:rsidRPr="00757F43">
        <w:rPr>
          <w:rFonts w:ascii="Garamond" w:eastAsia="Garamond" w:hAnsi="Garamond" w:cs="Garamond"/>
          <w:sz w:val="22"/>
          <w:szCs w:val="22"/>
        </w:rPr>
        <w:t>representing the degree of greenness of a pixel.</w:t>
      </w:r>
    </w:p>
    <w:p w14:paraId="0000018B" w14:textId="77777777" w:rsidR="00770242" w:rsidRDefault="00770242">
      <w:pPr>
        <w:rPr>
          <w:rFonts w:ascii="Garamond" w:eastAsia="Garamond" w:hAnsi="Garamond" w:cs="Garamond"/>
        </w:rPr>
      </w:pPr>
    </w:p>
    <w:p w14:paraId="4C2BFB41" w14:textId="77777777" w:rsidR="007B02C6" w:rsidRDefault="007B02C6">
      <w:pPr>
        <w:rPr>
          <w:rFonts w:ascii="Garamond" w:eastAsia="Garamond" w:hAnsi="Garamond" w:cs="Garamond"/>
          <w:b/>
          <w:bCs/>
          <w:color w:val="365F91" w:themeColor="accent1" w:themeShade="BF"/>
          <w:sz w:val="28"/>
          <w:szCs w:val="28"/>
        </w:rPr>
      </w:pPr>
      <w:r>
        <w:rPr>
          <w:rFonts w:ascii="Garamond" w:eastAsia="Garamond" w:hAnsi="Garamond" w:cs="Garamond"/>
        </w:rPr>
        <w:br w:type="page"/>
      </w:r>
    </w:p>
    <w:p w14:paraId="0000018C" w14:textId="30E13E9E" w:rsidR="00770242" w:rsidRDefault="00D028A4">
      <w:pPr>
        <w:pStyle w:val="Heading1"/>
        <w:spacing w:before="0"/>
        <w:rPr>
          <w:rFonts w:ascii="Garamond" w:eastAsia="Garamond" w:hAnsi="Garamond" w:cs="Garamond"/>
        </w:rPr>
      </w:pPr>
      <w:r>
        <w:rPr>
          <w:rFonts w:ascii="Garamond" w:eastAsia="Garamond" w:hAnsi="Garamond" w:cs="Garamond"/>
        </w:rPr>
        <w:lastRenderedPageBreak/>
        <w:t>8. References</w:t>
      </w:r>
    </w:p>
    <w:p w14:paraId="18E48B87" w14:textId="77777777" w:rsidR="00122ADC" w:rsidRDefault="00122ADC" w:rsidP="00122ADC">
      <w:pPr>
        <w:ind w:left="720" w:hanging="720"/>
        <w:rPr>
          <w:color w:val="000000"/>
          <w:sz w:val="22"/>
          <w:szCs w:val="22"/>
        </w:rPr>
      </w:pPr>
      <w:r>
        <w:rPr>
          <w:rFonts w:ascii="Garamond" w:eastAsia="Garamond" w:hAnsi="Garamond" w:cs="Garamond"/>
          <w:color w:val="000000"/>
          <w:sz w:val="22"/>
          <w:szCs w:val="22"/>
        </w:rPr>
        <w:t>Abatzoglou, J. (1979).</w:t>
      </w:r>
      <w:r>
        <w:rPr>
          <w:rFonts w:ascii="Garamond" w:eastAsia="Garamond" w:hAnsi="Garamond" w:cs="Garamond"/>
          <w:i/>
          <w:color w:val="000000"/>
          <w:sz w:val="22"/>
          <w:szCs w:val="22"/>
        </w:rPr>
        <w:t xml:space="preserve"> GRIDMET: University of Idaho Gridded Surface Meteorological Dataset</w:t>
      </w:r>
      <w:r>
        <w:rPr>
          <w:rFonts w:ascii="Garamond" w:eastAsia="Garamond" w:hAnsi="Garamond" w:cs="Garamond"/>
          <w:color w:val="000000"/>
          <w:sz w:val="22"/>
          <w:szCs w:val="22"/>
        </w:rPr>
        <w:t xml:space="preserve">. University of California Merced. </w:t>
      </w:r>
      <w:hyperlink r:id="rId19">
        <w:r>
          <w:rPr>
            <w:rFonts w:ascii="Garamond" w:eastAsia="Garamond" w:hAnsi="Garamond" w:cs="Garamond"/>
            <w:color w:val="0000FF"/>
            <w:sz w:val="22"/>
            <w:szCs w:val="22"/>
            <w:u w:val="single"/>
          </w:rPr>
          <w:t>https://www.climatologylab.org/gridmet.html</w:t>
        </w:r>
      </w:hyperlink>
    </w:p>
    <w:p w14:paraId="554D2F8C" w14:textId="77777777" w:rsidR="00122ADC" w:rsidRDefault="00122ADC">
      <w:pPr>
        <w:ind w:left="720" w:hanging="720"/>
        <w:rPr>
          <w:rFonts w:ascii="Garamond" w:eastAsia="Garamond" w:hAnsi="Garamond" w:cs="Garamond"/>
          <w:color w:val="000000"/>
          <w:sz w:val="22"/>
          <w:szCs w:val="22"/>
        </w:rPr>
      </w:pPr>
    </w:p>
    <w:p w14:paraId="0000018D" w14:textId="12C972FE" w:rsidR="00770242" w:rsidRDefault="00D028A4">
      <w:pPr>
        <w:ind w:left="720" w:hanging="720"/>
        <w:rPr>
          <w:rFonts w:ascii="Garamond" w:eastAsia="Garamond" w:hAnsi="Garamond" w:cs="Garamond"/>
          <w:color w:val="000000"/>
          <w:sz w:val="22"/>
          <w:szCs w:val="22"/>
        </w:rPr>
      </w:pPr>
      <w:r>
        <w:rPr>
          <w:rFonts w:ascii="Garamond" w:eastAsia="Garamond" w:hAnsi="Garamond" w:cs="Garamond"/>
          <w:color w:val="000000"/>
          <w:sz w:val="22"/>
          <w:szCs w:val="22"/>
        </w:rPr>
        <w:t>Abatzoglou, J. (1980).</w:t>
      </w:r>
      <w:r>
        <w:rPr>
          <w:rFonts w:ascii="Garamond" w:eastAsia="Garamond" w:hAnsi="Garamond" w:cs="Garamond"/>
          <w:i/>
          <w:color w:val="000000"/>
          <w:sz w:val="22"/>
          <w:szCs w:val="22"/>
        </w:rPr>
        <w:t xml:space="preserve"> GRIDMET DROUGHT: CONUS Drought Indices</w:t>
      </w:r>
      <w:r>
        <w:rPr>
          <w:rFonts w:ascii="Garamond" w:eastAsia="Garamond" w:hAnsi="Garamond" w:cs="Garamond"/>
          <w:color w:val="000000"/>
          <w:sz w:val="22"/>
          <w:szCs w:val="22"/>
        </w:rPr>
        <w:t xml:space="preserve">. University of California Merced. </w:t>
      </w:r>
      <w:hyperlink r:id="rId20">
        <w:r>
          <w:rPr>
            <w:rFonts w:ascii="Garamond" w:eastAsia="Garamond" w:hAnsi="Garamond" w:cs="Garamond"/>
            <w:color w:val="0000FF"/>
            <w:sz w:val="22"/>
            <w:szCs w:val="22"/>
            <w:u w:val="single"/>
          </w:rPr>
          <w:t>https://www.climatologylab.org/gridmet.html</w:t>
        </w:r>
      </w:hyperlink>
      <w:r>
        <w:rPr>
          <w:rFonts w:ascii="Garamond" w:eastAsia="Garamond" w:hAnsi="Garamond" w:cs="Garamond"/>
          <w:color w:val="000000"/>
          <w:sz w:val="22"/>
          <w:szCs w:val="22"/>
        </w:rPr>
        <w:t xml:space="preserve"> </w:t>
      </w:r>
    </w:p>
    <w:p w14:paraId="00000190" w14:textId="77777777" w:rsidR="00770242" w:rsidRDefault="00770242">
      <w:pPr>
        <w:ind w:left="720" w:hanging="720"/>
        <w:rPr>
          <w:color w:val="000000"/>
          <w:sz w:val="22"/>
          <w:szCs w:val="22"/>
        </w:rPr>
      </w:pPr>
    </w:p>
    <w:p w14:paraId="00000191" w14:textId="77777777" w:rsidR="00770242" w:rsidRDefault="00D028A4">
      <w:pPr>
        <w:ind w:left="720" w:hanging="720"/>
        <w:rPr>
          <w:rFonts w:ascii="Garamond" w:eastAsia="Garamond" w:hAnsi="Garamond" w:cs="Garamond"/>
          <w:color w:val="0000FF"/>
          <w:sz w:val="22"/>
          <w:szCs w:val="22"/>
          <w:u w:val="single"/>
        </w:rPr>
      </w:pPr>
      <w:r>
        <w:rPr>
          <w:rFonts w:ascii="Garamond" w:eastAsia="Garamond" w:hAnsi="Garamond" w:cs="Garamond"/>
          <w:color w:val="000000"/>
          <w:sz w:val="22"/>
          <w:szCs w:val="22"/>
        </w:rPr>
        <w:t xml:space="preserve">Andresen, J. A., McCullough, D. G., Potter, B. E., Koller, C. N., Bauer, L. S., Lusch, D. P., &amp; Ramm, C. W. (2001). Effects of winter temperatures on gypsy moth egg masses in the Great Lakes region of the United States. </w:t>
      </w:r>
      <w:r>
        <w:rPr>
          <w:rFonts w:ascii="Garamond" w:eastAsia="Garamond" w:hAnsi="Garamond" w:cs="Garamond"/>
          <w:i/>
          <w:color w:val="000000"/>
          <w:sz w:val="22"/>
          <w:szCs w:val="22"/>
        </w:rPr>
        <w:t>Agricultural and Forest Meteorology</w:t>
      </w:r>
      <w:r>
        <w:rPr>
          <w:rFonts w:ascii="Garamond" w:eastAsia="Garamond" w:hAnsi="Garamond" w:cs="Garamond"/>
          <w:color w:val="000000"/>
          <w:sz w:val="22"/>
          <w:szCs w:val="22"/>
        </w:rPr>
        <w:t xml:space="preserve">, </w:t>
      </w:r>
      <w:r>
        <w:rPr>
          <w:rFonts w:ascii="Garamond" w:eastAsia="Garamond" w:hAnsi="Garamond" w:cs="Garamond"/>
          <w:i/>
          <w:color w:val="000000"/>
          <w:sz w:val="22"/>
          <w:szCs w:val="22"/>
        </w:rPr>
        <w:t>100</w:t>
      </w:r>
      <w:r>
        <w:rPr>
          <w:rFonts w:ascii="Garamond" w:eastAsia="Garamond" w:hAnsi="Garamond" w:cs="Garamond"/>
          <w:color w:val="000000"/>
          <w:sz w:val="22"/>
          <w:szCs w:val="22"/>
        </w:rPr>
        <w:t xml:space="preserve">, 85–100. </w:t>
      </w:r>
      <w:hyperlink r:id="rId21">
        <w:r>
          <w:rPr>
            <w:rFonts w:ascii="Garamond" w:eastAsia="Garamond" w:hAnsi="Garamond" w:cs="Garamond"/>
            <w:color w:val="0000FF"/>
            <w:sz w:val="22"/>
            <w:szCs w:val="22"/>
            <w:u w:val="single"/>
          </w:rPr>
          <w:t>http://doi.org/10.1016/S0168-1923(01)00282-9</w:t>
        </w:r>
      </w:hyperlink>
    </w:p>
    <w:p w14:paraId="00000192" w14:textId="77777777" w:rsidR="00770242" w:rsidRDefault="00770242">
      <w:pPr>
        <w:ind w:left="720" w:hanging="720"/>
        <w:rPr>
          <w:rFonts w:ascii="Garamond" w:eastAsia="Garamond" w:hAnsi="Garamond" w:cs="Garamond"/>
          <w:color w:val="000000"/>
          <w:sz w:val="22"/>
          <w:szCs w:val="22"/>
        </w:rPr>
      </w:pPr>
    </w:p>
    <w:p w14:paraId="00000193" w14:textId="77777777" w:rsidR="00770242" w:rsidRDefault="00D028A4">
      <w:pPr>
        <w:ind w:left="720" w:hanging="720"/>
        <w:rPr>
          <w:rFonts w:ascii="Garamond" w:eastAsia="Garamond" w:hAnsi="Garamond" w:cs="Garamond"/>
          <w:color w:val="0000FF"/>
          <w:sz w:val="22"/>
          <w:szCs w:val="22"/>
          <w:u w:val="single"/>
        </w:rPr>
      </w:pPr>
      <w:r>
        <w:rPr>
          <w:rFonts w:ascii="Garamond" w:eastAsia="Garamond" w:hAnsi="Garamond" w:cs="Garamond"/>
          <w:sz w:val="22"/>
          <w:szCs w:val="22"/>
        </w:rPr>
        <w:t xml:space="preserve">Baig, M. H. A., Zhang, L., Shuai, T., &amp; Tong, Q. (2014). Derivation of a tasseled cap transformation based on Landsat 8 at-satellite reflectance. </w:t>
      </w:r>
      <w:r>
        <w:rPr>
          <w:rFonts w:ascii="Garamond" w:eastAsia="Garamond" w:hAnsi="Garamond" w:cs="Garamond"/>
          <w:i/>
          <w:sz w:val="22"/>
          <w:szCs w:val="22"/>
        </w:rPr>
        <w:t>Remote Sensing Letters</w:t>
      </w:r>
      <w:r>
        <w:rPr>
          <w:rFonts w:ascii="Garamond" w:eastAsia="Garamond" w:hAnsi="Garamond" w:cs="Garamond"/>
          <w:sz w:val="22"/>
          <w:szCs w:val="22"/>
        </w:rPr>
        <w:t xml:space="preserve">, </w:t>
      </w:r>
      <w:r>
        <w:rPr>
          <w:rFonts w:ascii="Garamond" w:eastAsia="Garamond" w:hAnsi="Garamond" w:cs="Garamond"/>
          <w:i/>
          <w:sz w:val="22"/>
          <w:szCs w:val="22"/>
        </w:rPr>
        <w:t>5</w:t>
      </w:r>
      <w:r>
        <w:rPr>
          <w:rFonts w:ascii="Garamond" w:eastAsia="Garamond" w:hAnsi="Garamond" w:cs="Garamond"/>
          <w:sz w:val="22"/>
          <w:szCs w:val="22"/>
        </w:rPr>
        <w:t>(5), 423</w:t>
      </w:r>
      <w:r>
        <w:rPr>
          <w:rFonts w:ascii="Garamond" w:eastAsia="Garamond" w:hAnsi="Garamond" w:cs="Garamond"/>
          <w:color w:val="000000"/>
          <w:sz w:val="22"/>
          <w:szCs w:val="22"/>
        </w:rPr>
        <w:t>–</w:t>
      </w:r>
      <w:r>
        <w:rPr>
          <w:rFonts w:ascii="Garamond" w:eastAsia="Garamond" w:hAnsi="Garamond" w:cs="Garamond"/>
          <w:sz w:val="22"/>
          <w:szCs w:val="22"/>
        </w:rPr>
        <w:t xml:space="preserve">431. </w:t>
      </w:r>
      <w:hyperlink r:id="rId22">
        <w:r>
          <w:rPr>
            <w:rFonts w:ascii="Garamond" w:eastAsia="Garamond" w:hAnsi="Garamond" w:cs="Garamond"/>
            <w:color w:val="0000FF"/>
            <w:sz w:val="22"/>
            <w:szCs w:val="22"/>
            <w:u w:val="single"/>
          </w:rPr>
          <w:t>https://doi/full/10.1080/2150704X.2014.915434</w:t>
        </w:r>
      </w:hyperlink>
    </w:p>
    <w:p w14:paraId="00000194" w14:textId="77777777" w:rsidR="00770242" w:rsidRDefault="00770242">
      <w:pPr>
        <w:ind w:left="720" w:hanging="720"/>
        <w:rPr>
          <w:rFonts w:ascii="Garamond" w:eastAsia="Garamond" w:hAnsi="Garamond" w:cs="Garamond"/>
          <w:color w:val="0000FF"/>
          <w:sz w:val="22"/>
          <w:szCs w:val="22"/>
          <w:u w:val="single"/>
        </w:rPr>
      </w:pPr>
    </w:p>
    <w:p w14:paraId="00000195" w14:textId="77777777" w:rsidR="00770242" w:rsidRDefault="00D028A4">
      <w:pPr>
        <w:ind w:left="720" w:hanging="720"/>
        <w:rPr>
          <w:rFonts w:ascii="Garamond" w:eastAsia="Garamond" w:hAnsi="Garamond" w:cs="Garamond"/>
          <w:color w:val="000000"/>
          <w:sz w:val="22"/>
          <w:szCs w:val="22"/>
        </w:rPr>
      </w:pPr>
      <w:r>
        <w:rPr>
          <w:rFonts w:ascii="Garamond" w:eastAsia="Garamond" w:hAnsi="Garamond" w:cs="Garamond"/>
          <w:sz w:val="22"/>
          <w:szCs w:val="22"/>
        </w:rPr>
        <w:t xml:space="preserve">Dewitz, J. (2019). </w:t>
      </w:r>
      <w:r>
        <w:rPr>
          <w:rFonts w:ascii="Garamond" w:eastAsia="Garamond" w:hAnsi="Garamond" w:cs="Garamond"/>
          <w:i/>
          <w:sz w:val="22"/>
          <w:szCs w:val="22"/>
        </w:rPr>
        <w:t>National Land Cover Database (NLCD) 2016 Products</w:t>
      </w:r>
      <w:r>
        <w:rPr>
          <w:rFonts w:ascii="Garamond" w:eastAsia="Garamond" w:hAnsi="Garamond" w:cs="Garamond"/>
          <w:sz w:val="22"/>
          <w:szCs w:val="22"/>
        </w:rPr>
        <w:t xml:space="preserve"> (ver. 2.0, July 2020) </w:t>
      </w:r>
      <w:r>
        <w:rPr>
          <w:rFonts w:ascii="Garamond" w:eastAsia="Garamond" w:hAnsi="Garamond" w:cs="Garamond"/>
          <w:color w:val="000000"/>
          <w:sz w:val="22"/>
          <w:szCs w:val="22"/>
        </w:rPr>
        <w:t>[Data set]</w:t>
      </w:r>
      <w:r>
        <w:rPr>
          <w:rFonts w:ascii="Garamond" w:eastAsia="Garamond" w:hAnsi="Garamond" w:cs="Garamond"/>
          <w:sz w:val="22"/>
          <w:szCs w:val="22"/>
        </w:rPr>
        <w:t xml:space="preserve">. U.S. Geological Survey data release. </w:t>
      </w:r>
      <w:r>
        <w:rPr>
          <w:rFonts w:ascii="Garamond" w:eastAsia="Garamond" w:hAnsi="Garamond" w:cs="Garamond"/>
          <w:i/>
          <w:color w:val="000000"/>
          <w:sz w:val="22"/>
          <w:szCs w:val="22"/>
        </w:rPr>
        <w:t>US Geological Survey</w:t>
      </w:r>
      <w:r>
        <w:rPr>
          <w:rFonts w:ascii="Garamond" w:eastAsia="Garamond" w:hAnsi="Garamond" w:cs="Garamond"/>
          <w:sz w:val="22"/>
          <w:szCs w:val="22"/>
        </w:rPr>
        <w:t xml:space="preserve">. </w:t>
      </w:r>
      <w:hyperlink r:id="rId23">
        <w:r>
          <w:rPr>
            <w:rFonts w:ascii="Garamond" w:eastAsia="Garamond" w:hAnsi="Garamond" w:cs="Garamond"/>
            <w:color w:val="0000FF"/>
            <w:sz w:val="22"/>
            <w:szCs w:val="22"/>
            <w:u w:val="single"/>
          </w:rPr>
          <w:t>https://doi.org/10.5066/P96HHBIE</w:t>
        </w:r>
      </w:hyperlink>
      <w:r>
        <w:rPr>
          <w:rFonts w:ascii="Garamond" w:eastAsia="Garamond" w:hAnsi="Garamond" w:cs="Garamond"/>
          <w:sz w:val="22"/>
          <w:szCs w:val="22"/>
        </w:rPr>
        <w:t xml:space="preserve"> </w:t>
      </w:r>
    </w:p>
    <w:p w14:paraId="00000198" w14:textId="77777777" w:rsidR="00770242" w:rsidRDefault="00770242" w:rsidP="00645C35">
      <w:pPr>
        <w:rPr>
          <w:sz w:val="22"/>
          <w:szCs w:val="22"/>
        </w:rPr>
      </w:pPr>
    </w:p>
    <w:p w14:paraId="00000199" w14:textId="77777777" w:rsidR="00770242" w:rsidRDefault="00D028A4">
      <w:pPr>
        <w:ind w:left="720" w:hanging="720"/>
        <w:rPr>
          <w:rFonts w:ascii="Garamond" w:eastAsia="Garamond" w:hAnsi="Garamond" w:cs="Garamond"/>
          <w:color w:val="0000FF"/>
          <w:sz w:val="22"/>
          <w:szCs w:val="22"/>
          <w:u w:val="single"/>
        </w:rPr>
      </w:pPr>
      <w:r>
        <w:rPr>
          <w:rFonts w:ascii="Garamond" w:eastAsia="Garamond" w:hAnsi="Garamond" w:cs="Garamond"/>
          <w:sz w:val="22"/>
          <w:szCs w:val="22"/>
        </w:rPr>
        <w:t xml:space="preserve">Cherry, M. (2021, June 21). </w:t>
      </w:r>
      <w:r>
        <w:rPr>
          <w:rFonts w:ascii="Garamond" w:eastAsia="Garamond" w:hAnsi="Garamond" w:cs="Garamond"/>
          <w:i/>
          <w:sz w:val="22"/>
          <w:szCs w:val="22"/>
        </w:rPr>
        <w:t>Outbreak of gypsy moth caterpillars in north central New Hampshire</w:t>
      </w:r>
      <w:r>
        <w:rPr>
          <w:rFonts w:ascii="Garamond" w:eastAsia="Garamond" w:hAnsi="Garamond" w:cs="Garamond"/>
          <w:sz w:val="22"/>
          <w:szCs w:val="22"/>
        </w:rPr>
        <w:t xml:space="preserve">. WMUR. </w:t>
      </w:r>
      <w:hyperlink r:id="rId24">
        <w:r>
          <w:rPr>
            <w:rFonts w:ascii="Garamond" w:eastAsia="Garamond" w:hAnsi="Garamond" w:cs="Garamond"/>
            <w:color w:val="0000FF"/>
            <w:sz w:val="22"/>
            <w:szCs w:val="22"/>
            <w:u w:val="single"/>
          </w:rPr>
          <w:t>https://www.wmur.com/article/gypsy-moth-caterpillar-outbreak-nh/36793109</w:t>
        </w:r>
      </w:hyperlink>
    </w:p>
    <w:p w14:paraId="0000019A" w14:textId="77777777" w:rsidR="00770242" w:rsidRDefault="00770242">
      <w:pPr>
        <w:ind w:left="720" w:hanging="720"/>
        <w:rPr>
          <w:rFonts w:ascii="Garamond" w:eastAsia="Garamond" w:hAnsi="Garamond" w:cs="Garamond"/>
          <w:sz w:val="22"/>
          <w:szCs w:val="22"/>
        </w:rPr>
      </w:pPr>
    </w:p>
    <w:p w14:paraId="0000019B" w14:textId="77777777" w:rsidR="00770242" w:rsidRDefault="00D028A4">
      <w:pPr>
        <w:ind w:left="720" w:hanging="720"/>
        <w:rPr>
          <w:rFonts w:ascii="Garamond" w:eastAsia="Garamond" w:hAnsi="Garamond" w:cs="Garamond"/>
          <w:i/>
          <w:sz w:val="22"/>
          <w:szCs w:val="22"/>
        </w:rPr>
      </w:pPr>
      <w:r>
        <w:rPr>
          <w:rFonts w:ascii="Garamond" w:eastAsia="Garamond" w:hAnsi="Garamond" w:cs="Garamond"/>
          <w:sz w:val="22"/>
          <w:szCs w:val="22"/>
        </w:rPr>
        <w:t>Choi, C. T. H., Bakke, A., Posen, A., Rock, M., &amp; Vannest, N. (2021). Colorado Ecological Forecasting: Monitoring post-fire cheatgrass (</w:t>
      </w:r>
      <w:r>
        <w:rPr>
          <w:rFonts w:ascii="Garamond" w:eastAsia="Garamond" w:hAnsi="Garamond" w:cs="Garamond"/>
          <w:i/>
          <w:sz w:val="22"/>
          <w:szCs w:val="22"/>
        </w:rPr>
        <w:t>Bromus tectorum</w:t>
      </w:r>
      <w:r>
        <w:rPr>
          <w:rFonts w:ascii="Garamond" w:eastAsia="Garamond" w:hAnsi="Garamond" w:cs="Garamond"/>
          <w:sz w:val="22"/>
          <w:szCs w:val="22"/>
        </w:rPr>
        <w:t>) distribution to inform management planning. [Unpublished manuscript]. NASA DEVELOP National Program, Colorado – Fort Collins.</w:t>
      </w:r>
    </w:p>
    <w:p w14:paraId="0000019C" w14:textId="77777777" w:rsidR="00770242" w:rsidRDefault="00770242">
      <w:pPr>
        <w:ind w:left="720" w:hanging="720"/>
        <w:rPr>
          <w:rFonts w:ascii="Garamond" w:eastAsia="Garamond" w:hAnsi="Garamond" w:cs="Garamond"/>
          <w:sz w:val="22"/>
          <w:szCs w:val="22"/>
        </w:rPr>
      </w:pPr>
    </w:p>
    <w:p w14:paraId="0000019D" w14:textId="77777777" w:rsidR="00770242" w:rsidRDefault="00D028A4">
      <w:pPr>
        <w:ind w:left="720" w:hanging="720"/>
        <w:rPr>
          <w:rFonts w:ascii="Garamond" w:eastAsia="Garamond" w:hAnsi="Garamond" w:cs="Garamond"/>
          <w:color w:val="0000FF"/>
          <w:sz w:val="22"/>
          <w:szCs w:val="22"/>
          <w:u w:val="single"/>
        </w:rPr>
      </w:pPr>
      <w:r>
        <w:rPr>
          <w:rFonts w:ascii="Garamond" w:eastAsia="Garamond" w:hAnsi="Garamond" w:cs="Garamond"/>
          <w:sz w:val="22"/>
          <w:szCs w:val="22"/>
        </w:rPr>
        <w:t xml:space="preserve">Conrad-Rooney, E., Barker Plotkin, A., Pasquarella, V. J., Elkinton, J., Chandler, J. L., &amp; Matthes, J. H. (2021). Defoliation severity is positively related to soil solution nitrogen availability and negatively related to soil nitrogen concentrations following a multi-year invasive insect interruption. </w:t>
      </w:r>
      <w:r>
        <w:rPr>
          <w:rFonts w:ascii="Garamond" w:eastAsia="Garamond" w:hAnsi="Garamond" w:cs="Garamond"/>
          <w:i/>
          <w:sz w:val="22"/>
          <w:szCs w:val="22"/>
        </w:rPr>
        <w:t>AoB PLANTS</w:t>
      </w:r>
      <w:r>
        <w:rPr>
          <w:rFonts w:ascii="Garamond" w:eastAsia="Garamond" w:hAnsi="Garamond" w:cs="Garamond"/>
          <w:sz w:val="22"/>
          <w:szCs w:val="22"/>
        </w:rPr>
        <w:t>,</w:t>
      </w:r>
      <w:r>
        <w:rPr>
          <w:rFonts w:ascii="Garamond" w:eastAsia="Garamond" w:hAnsi="Garamond" w:cs="Garamond"/>
          <w:i/>
          <w:sz w:val="22"/>
          <w:szCs w:val="22"/>
        </w:rPr>
        <w:t xml:space="preserve"> 12</w:t>
      </w:r>
      <w:r>
        <w:rPr>
          <w:rFonts w:ascii="Garamond" w:eastAsia="Garamond" w:hAnsi="Garamond" w:cs="Garamond"/>
          <w:sz w:val="22"/>
          <w:szCs w:val="22"/>
        </w:rPr>
        <w:t xml:space="preserve">(6). </w:t>
      </w:r>
      <w:hyperlink r:id="rId25">
        <w:r>
          <w:rPr>
            <w:rFonts w:ascii="Garamond" w:eastAsia="Garamond" w:hAnsi="Garamond" w:cs="Garamond"/>
            <w:color w:val="0000FF"/>
            <w:sz w:val="22"/>
            <w:szCs w:val="22"/>
            <w:u w:val="single"/>
          </w:rPr>
          <w:t>https://doi.org/10.1093/aobpla/plaa059</w:t>
        </w:r>
      </w:hyperlink>
    </w:p>
    <w:p w14:paraId="0000019E" w14:textId="77777777" w:rsidR="00770242" w:rsidRDefault="00770242">
      <w:pPr>
        <w:ind w:left="720" w:hanging="720"/>
        <w:rPr>
          <w:rFonts w:ascii="Garamond" w:eastAsia="Garamond" w:hAnsi="Garamond" w:cs="Garamond"/>
          <w:sz w:val="22"/>
          <w:szCs w:val="22"/>
          <w:u w:val="single"/>
        </w:rPr>
      </w:pPr>
    </w:p>
    <w:p w14:paraId="0000019F" w14:textId="1B56708B" w:rsidR="00770242" w:rsidRDefault="00D028A4">
      <w:pPr>
        <w:ind w:left="720" w:hanging="720"/>
        <w:rPr>
          <w:rFonts w:ascii="Garamond" w:eastAsia="Garamond" w:hAnsi="Garamond" w:cs="Garamond"/>
          <w:color w:val="0000FF"/>
          <w:sz w:val="22"/>
          <w:szCs w:val="22"/>
          <w:u w:val="single"/>
        </w:rPr>
      </w:pPr>
      <w:r>
        <w:rPr>
          <w:rFonts w:ascii="Garamond" w:eastAsia="Garamond" w:hAnsi="Garamond" w:cs="Garamond"/>
          <w:color w:val="000000"/>
          <w:sz w:val="22"/>
          <w:szCs w:val="22"/>
        </w:rPr>
        <w:t xml:space="preserve">Elkinton, J. S., &amp; </w:t>
      </w:r>
      <w:proofErr w:type="spellStart"/>
      <w:r>
        <w:rPr>
          <w:rFonts w:ascii="Garamond" w:eastAsia="Garamond" w:hAnsi="Garamond" w:cs="Garamond"/>
          <w:color w:val="000000"/>
          <w:sz w:val="22"/>
          <w:szCs w:val="22"/>
        </w:rPr>
        <w:t>L</w:t>
      </w:r>
      <w:r w:rsidR="005C4431">
        <w:rPr>
          <w:rFonts w:ascii="Garamond" w:eastAsia="Garamond" w:hAnsi="Garamond" w:cs="Garamond"/>
          <w:color w:val="000000"/>
          <w:sz w:val="22"/>
          <w:szCs w:val="22"/>
        </w:rPr>
        <w:t>ie</w:t>
      </w:r>
      <w:r>
        <w:rPr>
          <w:rFonts w:ascii="Garamond" w:eastAsia="Garamond" w:hAnsi="Garamond" w:cs="Garamond"/>
          <w:color w:val="000000"/>
          <w:sz w:val="22"/>
          <w:szCs w:val="22"/>
        </w:rPr>
        <w:t>bhold</w:t>
      </w:r>
      <w:proofErr w:type="spellEnd"/>
      <w:r>
        <w:rPr>
          <w:rFonts w:ascii="Garamond" w:eastAsia="Garamond" w:hAnsi="Garamond" w:cs="Garamond"/>
          <w:color w:val="000000"/>
          <w:sz w:val="22"/>
          <w:szCs w:val="22"/>
        </w:rPr>
        <w:t xml:space="preserve">, A. M. (1990). Population dynamics of gypsy moth in North America. </w:t>
      </w:r>
      <w:r>
        <w:rPr>
          <w:rFonts w:ascii="Garamond" w:eastAsia="Garamond" w:hAnsi="Garamond" w:cs="Garamond"/>
          <w:i/>
          <w:color w:val="000000"/>
          <w:sz w:val="22"/>
          <w:szCs w:val="22"/>
        </w:rPr>
        <w:t>Annual Review of Entomology</w:t>
      </w:r>
      <w:r>
        <w:rPr>
          <w:rFonts w:ascii="Garamond" w:eastAsia="Garamond" w:hAnsi="Garamond" w:cs="Garamond"/>
          <w:color w:val="000000"/>
          <w:sz w:val="22"/>
          <w:szCs w:val="22"/>
        </w:rPr>
        <w:t xml:space="preserve">, </w:t>
      </w:r>
      <w:r>
        <w:rPr>
          <w:rFonts w:ascii="Garamond" w:eastAsia="Garamond" w:hAnsi="Garamond" w:cs="Garamond"/>
          <w:i/>
          <w:color w:val="000000"/>
          <w:sz w:val="22"/>
          <w:szCs w:val="22"/>
        </w:rPr>
        <w:t>35</w:t>
      </w:r>
      <w:r>
        <w:rPr>
          <w:rFonts w:ascii="Garamond" w:eastAsia="Garamond" w:hAnsi="Garamond" w:cs="Garamond"/>
          <w:color w:val="000000"/>
          <w:sz w:val="22"/>
          <w:szCs w:val="22"/>
        </w:rPr>
        <w:t xml:space="preserve">, 571–596. </w:t>
      </w:r>
      <w:hyperlink r:id="rId26">
        <w:r>
          <w:rPr>
            <w:rFonts w:ascii="Garamond" w:eastAsia="Garamond" w:hAnsi="Garamond" w:cs="Garamond"/>
            <w:color w:val="0000FF"/>
            <w:sz w:val="22"/>
            <w:szCs w:val="22"/>
            <w:u w:val="single"/>
          </w:rPr>
          <w:t>https://doi.org/10.1146/annurev.en.35.010190.003035</w:t>
        </w:r>
      </w:hyperlink>
    </w:p>
    <w:p w14:paraId="000001A0" w14:textId="77777777" w:rsidR="00770242" w:rsidRDefault="00770242">
      <w:pPr>
        <w:ind w:left="720" w:hanging="720"/>
        <w:rPr>
          <w:rFonts w:ascii="Garamond" w:eastAsia="Garamond" w:hAnsi="Garamond" w:cs="Garamond"/>
          <w:color w:val="000000"/>
          <w:sz w:val="22"/>
          <w:szCs w:val="22"/>
        </w:rPr>
      </w:pPr>
    </w:p>
    <w:p w14:paraId="000001A3" w14:textId="2C538EA9" w:rsidR="00770242" w:rsidRDefault="00D028A4" w:rsidP="00185219">
      <w:pPr>
        <w:ind w:left="720" w:hanging="720"/>
        <w:rPr>
          <w:rFonts w:ascii="Garamond" w:eastAsia="Garamond" w:hAnsi="Garamond" w:cs="Garamond"/>
          <w:sz w:val="22"/>
          <w:szCs w:val="22"/>
        </w:rPr>
      </w:pPr>
      <w:r>
        <w:rPr>
          <w:rFonts w:ascii="Garamond" w:eastAsia="Garamond" w:hAnsi="Garamond" w:cs="Garamond"/>
          <w:sz w:val="22"/>
          <w:szCs w:val="22"/>
        </w:rPr>
        <w:t xml:space="preserve">Funk, C. (2015). </w:t>
      </w:r>
      <w:r>
        <w:rPr>
          <w:rFonts w:ascii="Garamond" w:eastAsia="Garamond" w:hAnsi="Garamond" w:cs="Garamond"/>
          <w:i/>
          <w:sz w:val="22"/>
          <w:szCs w:val="22"/>
        </w:rPr>
        <w:t xml:space="preserve">CHIRPS Daily: Climate Hazards Group InfraRed Precipitation With Station Data </w:t>
      </w:r>
      <w:r>
        <w:rPr>
          <w:rFonts w:ascii="Garamond" w:eastAsia="Garamond" w:hAnsi="Garamond" w:cs="Garamond"/>
          <w:sz w:val="22"/>
          <w:szCs w:val="22"/>
        </w:rPr>
        <w:t xml:space="preserve">(Version 2.0 Final). Climate Hazards Group. </w:t>
      </w:r>
      <w:hyperlink r:id="rId27">
        <w:r>
          <w:rPr>
            <w:rFonts w:ascii="Garamond" w:eastAsia="Garamond" w:hAnsi="Garamond" w:cs="Garamond"/>
            <w:color w:val="0000FF"/>
            <w:sz w:val="22"/>
            <w:szCs w:val="22"/>
            <w:u w:val="single"/>
          </w:rPr>
          <w:t>https://doi.org/10.15780/G2RP4Q</w:t>
        </w:r>
      </w:hyperlink>
      <w:r>
        <w:rPr>
          <w:rFonts w:ascii="Garamond" w:eastAsia="Garamond" w:hAnsi="Garamond" w:cs="Garamond"/>
          <w:sz w:val="22"/>
          <w:szCs w:val="22"/>
        </w:rPr>
        <w:t xml:space="preserve"> </w:t>
      </w:r>
    </w:p>
    <w:p w14:paraId="000001A4" w14:textId="77777777" w:rsidR="00770242" w:rsidRDefault="00770242">
      <w:pPr>
        <w:ind w:left="720" w:hanging="720"/>
        <w:rPr>
          <w:rFonts w:ascii="Garamond" w:eastAsia="Garamond" w:hAnsi="Garamond" w:cs="Garamond"/>
          <w:sz w:val="22"/>
          <w:szCs w:val="22"/>
        </w:rPr>
      </w:pPr>
    </w:p>
    <w:p w14:paraId="510317A7" w14:textId="72849271" w:rsidR="008335F3" w:rsidRDefault="008335F3" w:rsidP="00E91E72">
      <w:pPr>
        <w:ind w:left="720" w:hanging="720"/>
        <w:rPr>
          <w:rFonts w:ascii="Garamond" w:eastAsia="Garamond" w:hAnsi="Garamond" w:cs="Garamond"/>
          <w:sz w:val="22"/>
          <w:szCs w:val="22"/>
        </w:rPr>
      </w:pPr>
      <w:r>
        <w:rPr>
          <w:rFonts w:ascii="Garamond" w:eastAsia="Garamond" w:hAnsi="Garamond" w:cs="Garamond"/>
          <w:sz w:val="22"/>
          <w:szCs w:val="22"/>
        </w:rPr>
        <w:t xml:space="preserve">Gao, B. (1996). </w:t>
      </w:r>
      <w:r w:rsidRPr="008335F3">
        <w:rPr>
          <w:rFonts w:ascii="Garamond" w:eastAsia="Garamond" w:hAnsi="Garamond" w:cs="Garamond"/>
          <w:sz w:val="22"/>
          <w:szCs w:val="22"/>
        </w:rPr>
        <w:t>NDWI—A normalized difference water index for remote sensing of vegetation liquid water from space</w:t>
      </w:r>
      <w:r>
        <w:rPr>
          <w:rFonts w:ascii="Garamond" w:eastAsia="Garamond" w:hAnsi="Garamond" w:cs="Garamond"/>
          <w:sz w:val="22"/>
          <w:szCs w:val="22"/>
        </w:rPr>
        <w:t xml:space="preserve">. </w:t>
      </w:r>
      <w:r w:rsidRPr="008335F3">
        <w:rPr>
          <w:rFonts w:ascii="Garamond" w:eastAsia="Garamond" w:hAnsi="Garamond" w:cs="Garamond"/>
          <w:i/>
          <w:iCs/>
          <w:sz w:val="22"/>
          <w:szCs w:val="22"/>
        </w:rPr>
        <w:t>Remote Sensing of Environment</w:t>
      </w:r>
      <w:r>
        <w:rPr>
          <w:rFonts w:ascii="Garamond" w:eastAsia="Garamond" w:hAnsi="Garamond" w:cs="Garamond"/>
          <w:sz w:val="22"/>
          <w:szCs w:val="22"/>
        </w:rPr>
        <w:t xml:space="preserve">, </w:t>
      </w:r>
      <w:r>
        <w:rPr>
          <w:rFonts w:ascii="Garamond" w:eastAsia="Garamond" w:hAnsi="Garamond" w:cs="Garamond"/>
          <w:i/>
          <w:sz w:val="22"/>
          <w:szCs w:val="22"/>
        </w:rPr>
        <w:t>58</w:t>
      </w:r>
      <w:r>
        <w:rPr>
          <w:rFonts w:ascii="Garamond" w:eastAsia="Garamond" w:hAnsi="Garamond" w:cs="Garamond"/>
          <w:sz w:val="22"/>
          <w:szCs w:val="22"/>
        </w:rPr>
        <w:t xml:space="preserve">(3), </w:t>
      </w:r>
      <w:r w:rsidRPr="008335F3">
        <w:rPr>
          <w:rFonts w:ascii="Garamond" w:eastAsia="Garamond" w:hAnsi="Garamond" w:cs="Garamond"/>
          <w:sz w:val="22"/>
          <w:szCs w:val="22"/>
        </w:rPr>
        <w:t>257</w:t>
      </w:r>
      <w:r>
        <w:rPr>
          <w:rFonts w:ascii="Garamond" w:eastAsia="Garamond" w:hAnsi="Garamond" w:cs="Garamond"/>
          <w:sz w:val="22"/>
          <w:szCs w:val="22"/>
        </w:rPr>
        <w:t>–</w:t>
      </w:r>
      <w:r w:rsidRPr="008335F3">
        <w:rPr>
          <w:rFonts w:ascii="Garamond" w:eastAsia="Garamond" w:hAnsi="Garamond" w:cs="Garamond"/>
          <w:sz w:val="22"/>
          <w:szCs w:val="22"/>
        </w:rPr>
        <w:t>266</w:t>
      </w:r>
      <w:r>
        <w:rPr>
          <w:rFonts w:ascii="Garamond" w:eastAsia="Garamond" w:hAnsi="Garamond" w:cs="Garamond"/>
          <w:sz w:val="22"/>
          <w:szCs w:val="22"/>
        </w:rPr>
        <w:t>.</w:t>
      </w:r>
      <w:r w:rsidR="00E91E72">
        <w:rPr>
          <w:rFonts w:ascii="Garamond" w:eastAsia="Garamond" w:hAnsi="Garamond" w:cs="Garamond"/>
          <w:sz w:val="22"/>
          <w:szCs w:val="22"/>
        </w:rPr>
        <w:t xml:space="preserve"> </w:t>
      </w:r>
      <w:hyperlink r:id="rId28" w:history="1">
        <w:r w:rsidR="008A05C5" w:rsidRPr="008335F3">
          <w:rPr>
            <w:rStyle w:val="Hyperlink"/>
            <w:rFonts w:ascii="Garamond" w:eastAsia="Garamond" w:hAnsi="Garamond" w:cs="Garamond"/>
            <w:sz w:val="22"/>
            <w:szCs w:val="22"/>
          </w:rPr>
          <w:t>https://doi.org/10.1016/S0034-4257(96)00067-3</w:t>
        </w:r>
      </w:hyperlink>
    </w:p>
    <w:p w14:paraId="2DA4C0E8" w14:textId="77777777" w:rsidR="008335F3" w:rsidRDefault="008335F3">
      <w:pPr>
        <w:ind w:left="720" w:hanging="720"/>
        <w:rPr>
          <w:rFonts w:ascii="Garamond" w:eastAsia="Garamond" w:hAnsi="Garamond" w:cs="Garamond"/>
          <w:sz w:val="22"/>
          <w:szCs w:val="22"/>
        </w:rPr>
      </w:pPr>
    </w:p>
    <w:p w14:paraId="000001A5" w14:textId="23CB96E8" w:rsidR="00770242" w:rsidRDefault="00D028A4">
      <w:pPr>
        <w:ind w:left="720" w:hanging="720"/>
        <w:rPr>
          <w:rFonts w:ascii="Garamond" w:eastAsia="Garamond" w:hAnsi="Garamond" w:cs="Garamond"/>
          <w:sz w:val="22"/>
          <w:szCs w:val="22"/>
        </w:rPr>
      </w:pPr>
      <w:r>
        <w:rPr>
          <w:rFonts w:ascii="Garamond" w:eastAsia="Garamond" w:hAnsi="Garamond" w:cs="Garamond"/>
          <w:sz w:val="22"/>
          <w:szCs w:val="22"/>
        </w:rPr>
        <w:t xml:space="preserve">Hall, D. K. and G. A. Riggs. (2016). </w:t>
      </w:r>
      <w:r>
        <w:rPr>
          <w:rFonts w:ascii="Garamond" w:eastAsia="Garamond" w:hAnsi="Garamond" w:cs="Garamond"/>
          <w:i/>
          <w:sz w:val="22"/>
          <w:szCs w:val="22"/>
        </w:rPr>
        <w:t>MODIS/Terra Snow Cover Daily L3 Global 500m SIN Grid</w:t>
      </w:r>
      <w:r>
        <w:rPr>
          <w:rFonts w:ascii="Garamond" w:eastAsia="Garamond" w:hAnsi="Garamond" w:cs="Garamond"/>
          <w:sz w:val="22"/>
          <w:szCs w:val="22"/>
        </w:rPr>
        <w:t xml:space="preserve"> (Version 6). NASA National Snow and Ice Data Center Distributed Active Archive Center. </w:t>
      </w:r>
      <w:hyperlink r:id="rId29">
        <w:r>
          <w:rPr>
            <w:rFonts w:ascii="Garamond" w:eastAsia="Garamond" w:hAnsi="Garamond" w:cs="Garamond"/>
            <w:color w:val="0000FF"/>
            <w:sz w:val="22"/>
            <w:szCs w:val="22"/>
            <w:u w:val="single"/>
          </w:rPr>
          <w:t>https://doi.org/10.5067/MODIS/MOD10A1.006</w:t>
        </w:r>
      </w:hyperlink>
    </w:p>
    <w:p w14:paraId="000001A8" w14:textId="77777777" w:rsidR="00770242" w:rsidRDefault="00770242" w:rsidP="00645C35">
      <w:pPr>
        <w:rPr>
          <w:rFonts w:ascii="Garamond" w:eastAsia="Garamond" w:hAnsi="Garamond" w:cs="Garamond"/>
          <w:sz w:val="22"/>
          <w:szCs w:val="22"/>
        </w:rPr>
      </w:pPr>
    </w:p>
    <w:p w14:paraId="000001A9" w14:textId="77777777" w:rsidR="00770242" w:rsidRDefault="00D028A4">
      <w:pPr>
        <w:ind w:left="720" w:hanging="720"/>
        <w:rPr>
          <w:rFonts w:ascii="Garamond" w:eastAsia="Garamond" w:hAnsi="Garamond" w:cs="Garamond"/>
          <w:sz w:val="22"/>
          <w:szCs w:val="22"/>
        </w:rPr>
      </w:pPr>
      <w:r>
        <w:rPr>
          <w:rFonts w:ascii="Garamond" w:eastAsia="Garamond" w:hAnsi="Garamond" w:cs="Garamond"/>
          <w:sz w:val="22"/>
          <w:szCs w:val="22"/>
        </w:rPr>
        <w:t xml:space="preserve">LANDFIRE. (2014). </w:t>
      </w:r>
      <w:r>
        <w:rPr>
          <w:rFonts w:ascii="Garamond" w:eastAsia="Garamond" w:hAnsi="Garamond" w:cs="Garamond"/>
          <w:i/>
          <w:sz w:val="22"/>
          <w:szCs w:val="22"/>
        </w:rPr>
        <w:t>LANDFIRE EVT (Existing Vegetation Type)</w:t>
      </w:r>
      <w:r>
        <w:rPr>
          <w:rFonts w:ascii="Garamond" w:eastAsia="Garamond" w:hAnsi="Garamond" w:cs="Garamond"/>
          <w:sz w:val="22"/>
          <w:szCs w:val="22"/>
        </w:rPr>
        <w:t xml:space="preserve"> (v1.4.0). U.S. Department of Agriculture, Forest Service, U.S. Department of the Interior, U.S. Geological Survey, and The Nature Conservancy. </w:t>
      </w:r>
      <w:hyperlink r:id="rId30">
        <w:r>
          <w:rPr>
            <w:rFonts w:ascii="Garamond" w:eastAsia="Garamond" w:hAnsi="Garamond" w:cs="Garamond"/>
            <w:color w:val="0000FF"/>
            <w:sz w:val="22"/>
            <w:szCs w:val="22"/>
            <w:u w:val="single"/>
          </w:rPr>
          <w:t>https://landfire.gov/evt.php</w:t>
        </w:r>
      </w:hyperlink>
      <w:r>
        <w:rPr>
          <w:rFonts w:ascii="Garamond" w:eastAsia="Garamond" w:hAnsi="Garamond" w:cs="Garamond"/>
          <w:sz w:val="22"/>
          <w:szCs w:val="22"/>
        </w:rPr>
        <w:t xml:space="preserve"> </w:t>
      </w:r>
    </w:p>
    <w:p w14:paraId="000001AA" w14:textId="77777777" w:rsidR="00770242" w:rsidRDefault="00770242">
      <w:pPr>
        <w:ind w:left="567" w:hanging="567"/>
      </w:pPr>
    </w:p>
    <w:p w14:paraId="7224E24C" w14:textId="77777777" w:rsidR="00122ADC" w:rsidRDefault="00122ADC" w:rsidP="00122ADC">
      <w:pPr>
        <w:ind w:left="720" w:hanging="720"/>
        <w:rPr>
          <w:rFonts w:ascii="Garamond" w:eastAsia="Garamond" w:hAnsi="Garamond" w:cs="Garamond"/>
          <w:color w:val="0000FF"/>
          <w:sz w:val="22"/>
          <w:szCs w:val="22"/>
          <w:u w:val="single"/>
        </w:rPr>
      </w:pPr>
      <w:r>
        <w:rPr>
          <w:rFonts w:ascii="Garamond" w:eastAsia="Garamond" w:hAnsi="Garamond" w:cs="Garamond"/>
          <w:sz w:val="22"/>
          <w:szCs w:val="22"/>
        </w:rPr>
        <w:lastRenderedPageBreak/>
        <w:t xml:space="preserve">Liebhold, A., Elkinton, J., Williams, D., &amp; Muzika, R. (2000). What causes outbreaks of the gypsy moth in North America? </w:t>
      </w:r>
      <w:r>
        <w:rPr>
          <w:rFonts w:ascii="Garamond" w:eastAsia="Garamond" w:hAnsi="Garamond" w:cs="Garamond"/>
          <w:i/>
          <w:sz w:val="22"/>
          <w:szCs w:val="22"/>
        </w:rPr>
        <w:t>Population Ecology</w:t>
      </w:r>
      <w:r>
        <w:rPr>
          <w:rFonts w:ascii="Garamond" w:eastAsia="Garamond" w:hAnsi="Garamond" w:cs="Garamond"/>
          <w:sz w:val="22"/>
          <w:szCs w:val="22"/>
        </w:rPr>
        <w:t>,</w:t>
      </w:r>
      <w:r>
        <w:rPr>
          <w:rFonts w:ascii="Garamond" w:eastAsia="Garamond" w:hAnsi="Garamond" w:cs="Garamond"/>
          <w:i/>
          <w:sz w:val="22"/>
          <w:szCs w:val="22"/>
        </w:rPr>
        <w:t xml:space="preserve"> 42</w:t>
      </w:r>
      <w:r>
        <w:rPr>
          <w:rFonts w:ascii="Garamond" w:eastAsia="Garamond" w:hAnsi="Garamond" w:cs="Garamond"/>
          <w:sz w:val="22"/>
          <w:szCs w:val="22"/>
        </w:rPr>
        <w:t xml:space="preserve">(3), 257–266. </w:t>
      </w:r>
      <w:hyperlink r:id="rId31">
        <w:r>
          <w:rPr>
            <w:rFonts w:ascii="Garamond" w:eastAsia="Garamond" w:hAnsi="Garamond" w:cs="Garamond"/>
            <w:color w:val="0000FF"/>
            <w:sz w:val="22"/>
            <w:szCs w:val="22"/>
            <w:u w:val="single"/>
          </w:rPr>
          <w:t>https://doi.org/10.1007/PL00012004</w:t>
        </w:r>
      </w:hyperlink>
    </w:p>
    <w:p w14:paraId="09612820" w14:textId="77777777" w:rsidR="00122ADC" w:rsidRDefault="00122ADC">
      <w:pPr>
        <w:ind w:left="720" w:hanging="720"/>
        <w:rPr>
          <w:rFonts w:ascii="Garamond" w:eastAsia="Garamond" w:hAnsi="Garamond" w:cs="Garamond"/>
          <w:color w:val="000000"/>
          <w:sz w:val="22"/>
          <w:szCs w:val="22"/>
        </w:rPr>
      </w:pPr>
    </w:p>
    <w:p w14:paraId="000001AB" w14:textId="0C0A7CC4" w:rsidR="00770242" w:rsidRDefault="00D028A4">
      <w:pPr>
        <w:ind w:left="720" w:hanging="720"/>
        <w:rPr>
          <w:rFonts w:ascii="Garamond" w:eastAsia="Garamond" w:hAnsi="Garamond" w:cs="Garamond"/>
          <w:color w:val="000000"/>
          <w:sz w:val="22"/>
          <w:szCs w:val="22"/>
        </w:rPr>
      </w:pPr>
      <w:r>
        <w:rPr>
          <w:rFonts w:ascii="Garamond" w:eastAsia="Garamond" w:hAnsi="Garamond" w:cs="Garamond"/>
          <w:color w:val="000000"/>
          <w:sz w:val="22"/>
          <w:szCs w:val="22"/>
        </w:rPr>
        <w:t xml:space="preserve">O'Neill, P. E., Chan, S., Njoku, E. G., Jackson, T., &amp; Bindlish, </w:t>
      </w:r>
      <w:proofErr w:type="gramStart"/>
      <w:r>
        <w:rPr>
          <w:rFonts w:ascii="Garamond" w:eastAsia="Garamond" w:hAnsi="Garamond" w:cs="Garamond"/>
          <w:color w:val="000000"/>
          <w:sz w:val="22"/>
          <w:szCs w:val="22"/>
        </w:rPr>
        <w:t>R..</w:t>
      </w:r>
      <w:proofErr w:type="gramEnd"/>
      <w:r>
        <w:rPr>
          <w:rFonts w:ascii="Garamond" w:eastAsia="Garamond" w:hAnsi="Garamond" w:cs="Garamond"/>
          <w:color w:val="000000"/>
          <w:sz w:val="22"/>
          <w:szCs w:val="22"/>
        </w:rPr>
        <w:t xml:space="preserve"> (2018). </w:t>
      </w:r>
      <w:r>
        <w:rPr>
          <w:rFonts w:ascii="Garamond" w:eastAsia="Garamond" w:hAnsi="Garamond" w:cs="Garamond"/>
          <w:i/>
          <w:color w:val="000000"/>
          <w:sz w:val="22"/>
          <w:szCs w:val="22"/>
        </w:rPr>
        <w:t>SMAP L3 Radiometer Global Daily 36 km EASE-Grid Soil Moisture</w:t>
      </w:r>
      <w:r>
        <w:rPr>
          <w:rFonts w:ascii="Garamond" w:eastAsia="Garamond" w:hAnsi="Garamond" w:cs="Garamond"/>
          <w:color w:val="000000"/>
          <w:sz w:val="22"/>
          <w:szCs w:val="22"/>
        </w:rPr>
        <w:t xml:space="preserve"> (Version 5). NASA National Snow and Ice Data Center Distributed Active Archive Center. </w:t>
      </w:r>
      <w:hyperlink r:id="rId32">
        <w:r>
          <w:rPr>
            <w:rFonts w:ascii="Garamond" w:eastAsia="Garamond" w:hAnsi="Garamond" w:cs="Garamond"/>
            <w:color w:val="0000FF"/>
            <w:sz w:val="22"/>
            <w:szCs w:val="22"/>
            <w:u w:val="single"/>
          </w:rPr>
          <w:t>https://doi.org/10.5067/ZX7YX2Y2LHEB</w:t>
        </w:r>
      </w:hyperlink>
    </w:p>
    <w:p w14:paraId="000001AC" w14:textId="77777777" w:rsidR="00770242" w:rsidRDefault="00770242">
      <w:pPr>
        <w:ind w:left="720" w:hanging="720"/>
        <w:rPr>
          <w:rFonts w:ascii="Garamond" w:eastAsia="Garamond" w:hAnsi="Garamond" w:cs="Garamond"/>
          <w:color w:val="000000"/>
          <w:sz w:val="22"/>
          <w:szCs w:val="22"/>
        </w:rPr>
      </w:pPr>
    </w:p>
    <w:p w14:paraId="1739631A" w14:textId="77777777" w:rsidR="00122ADC" w:rsidRDefault="00122ADC" w:rsidP="00122ADC">
      <w:pPr>
        <w:ind w:left="720" w:hanging="720"/>
        <w:rPr>
          <w:rFonts w:ascii="Garamond" w:eastAsia="Garamond" w:hAnsi="Garamond" w:cs="Garamond"/>
          <w:sz w:val="22"/>
          <w:szCs w:val="22"/>
        </w:rPr>
      </w:pPr>
      <w:r>
        <w:rPr>
          <w:rFonts w:ascii="Garamond" w:eastAsia="Garamond" w:hAnsi="Garamond" w:cs="Garamond"/>
          <w:color w:val="000000"/>
          <w:sz w:val="22"/>
          <w:szCs w:val="22"/>
        </w:rPr>
        <w:t xml:space="preserve">Pasquarella, V. P., Bradley, B. A., &amp; Woodstock, C. E. (2017). Near-real-time monitoring of insect defoliation using Landsat time series. </w:t>
      </w:r>
      <w:r>
        <w:rPr>
          <w:rFonts w:ascii="Garamond" w:eastAsia="Garamond" w:hAnsi="Garamond" w:cs="Garamond"/>
          <w:i/>
          <w:color w:val="000000"/>
          <w:sz w:val="22"/>
          <w:szCs w:val="22"/>
        </w:rPr>
        <w:t>Forests</w:t>
      </w:r>
      <w:r>
        <w:rPr>
          <w:rFonts w:ascii="Garamond" w:eastAsia="Garamond" w:hAnsi="Garamond" w:cs="Garamond"/>
          <w:color w:val="000000"/>
          <w:sz w:val="22"/>
          <w:szCs w:val="22"/>
        </w:rPr>
        <w:t xml:space="preserve">, </w:t>
      </w:r>
      <w:r>
        <w:rPr>
          <w:rFonts w:ascii="Garamond" w:eastAsia="Garamond" w:hAnsi="Garamond" w:cs="Garamond"/>
          <w:i/>
          <w:color w:val="000000"/>
          <w:sz w:val="22"/>
          <w:szCs w:val="22"/>
        </w:rPr>
        <w:t>8</w:t>
      </w:r>
      <w:r>
        <w:rPr>
          <w:rFonts w:ascii="Garamond" w:eastAsia="Garamond" w:hAnsi="Garamond" w:cs="Garamond"/>
          <w:color w:val="000000"/>
          <w:sz w:val="22"/>
          <w:szCs w:val="22"/>
        </w:rPr>
        <w:t>(8), 275</w:t>
      </w:r>
      <w:r>
        <w:rPr>
          <w:rFonts w:ascii="Garamond" w:eastAsia="Garamond" w:hAnsi="Garamond" w:cs="Garamond"/>
          <w:sz w:val="22"/>
          <w:szCs w:val="22"/>
        </w:rPr>
        <w:t>–</w:t>
      </w:r>
      <w:r>
        <w:rPr>
          <w:rFonts w:ascii="Garamond" w:eastAsia="Garamond" w:hAnsi="Garamond" w:cs="Garamond"/>
          <w:color w:val="000000"/>
          <w:sz w:val="22"/>
          <w:szCs w:val="22"/>
        </w:rPr>
        <w:t xml:space="preserve">292. </w:t>
      </w:r>
      <w:hyperlink r:id="rId33">
        <w:r>
          <w:rPr>
            <w:rFonts w:ascii="Garamond" w:eastAsia="Garamond" w:hAnsi="Garamond" w:cs="Garamond"/>
            <w:color w:val="0000FF"/>
            <w:sz w:val="22"/>
            <w:szCs w:val="22"/>
            <w:u w:val="single"/>
          </w:rPr>
          <w:t>https://doi.org/10.3390/f8080275</w:t>
        </w:r>
      </w:hyperlink>
      <w:r>
        <w:rPr>
          <w:rFonts w:ascii="Garamond" w:eastAsia="Garamond" w:hAnsi="Garamond" w:cs="Garamond"/>
          <w:sz w:val="22"/>
          <w:szCs w:val="22"/>
        </w:rPr>
        <w:t xml:space="preserve"> </w:t>
      </w:r>
    </w:p>
    <w:p w14:paraId="600C69F6" w14:textId="77777777" w:rsidR="00122ADC" w:rsidRDefault="00122ADC">
      <w:pPr>
        <w:ind w:left="720" w:hanging="720"/>
        <w:rPr>
          <w:rFonts w:ascii="Garamond" w:eastAsia="Garamond" w:hAnsi="Garamond" w:cs="Garamond"/>
          <w:color w:val="000000"/>
          <w:sz w:val="22"/>
          <w:szCs w:val="22"/>
        </w:rPr>
      </w:pPr>
    </w:p>
    <w:p w14:paraId="000001AD" w14:textId="0F9B9E16" w:rsidR="00770242" w:rsidRDefault="00D028A4">
      <w:pPr>
        <w:ind w:left="720" w:hanging="720"/>
        <w:rPr>
          <w:rFonts w:ascii="Garamond" w:eastAsia="Garamond" w:hAnsi="Garamond" w:cs="Garamond"/>
          <w:color w:val="000000"/>
          <w:sz w:val="22"/>
          <w:szCs w:val="22"/>
        </w:rPr>
      </w:pPr>
      <w:r>
        <w:rPr>
          <w:rFonts w:ascii="Garamond" w:eastAsia="Garamond" w:hAnsi="Garamond" w:cs="Garamond"/>
          <w:color w:val="000000"/>
          <w:sz w:val="22"/>
          <w:szCs w:val="22"/>
        </w:rPr>
        <w:t xml:space="preserve">Pasquarella, V. (2021). </w:t>
      </w:r>
      <w:r>
        <w:rPr>
          <w:rFonts w:ascii="Garamond" w:eastAsia="Garamond" w:hAnsi="Garamond" w:cs="Garamond"/>
          <w:i/>
          <w:color w:val="000000"/>
          <w:sz w:val="22"/>
          <w:szCs w:val="22"/>
        </w:rPr>
        <w:t>valpasq/condition_monitoring: v0.2-alpha</w:t>
      </w:r>
      <w:r>
        <w:rPr>
          <w:rFonts w:ascii="Garamond" w:eastAsia="Garamond" w:hAnsi="Garamond" w:cs="Garamond"/>
          <w:color w:val="000000"/>
          <w:sz w:val="22"/>
          <w:szCs w:val="22"/>
        </w:rPr>
        <w:t xml:space="preserve"> (v0.2-alpha). Zenodo. </w:t>
      </w:r>
      <w:hyperlink r:id="rId34">
        <w:r>
          <w:rPr>
            <w:rFonts w:ascii="Garamond" w:eastAsia="Garamond" w:hAnsi="Garamond" w:cs="Garamond"/>
            <w:color w:val="0000FF"/>
            <w:sz w:val="22"/>
            <w:szCs w:val="22"/>
            <w:u w:val="single"/>
          </w:rPr>
          <w:t>https://doi.org/10.5281/zenodo.4565535</w:t>
        </w:r>
      </w:hyperlink>
      <w:r>
        <w:rPr>
          <w:rFonts w:ascii="Garamond" w:eastAsia="Garamond" w:hAnsi="Garamond" w:cs="Garamond"/>
          <w:color w:val="000000"/>
          <w:sz w:val="22"/>
          <w:szCs w:val="22"/>
        </w:rPr>
        <w:t xml:space="preserve"> </w:t>
      </w:r>
    </w:p>
    <w:p w14:paraId="000001B0" w14:textId="77777777" w:rsidR="00770242" w:rsidRDefault="00770242" w:rsidP="00665950">
      <w:pPr>
        <w:rPr>
          <w:rFonts w:ascii="Garamond" w:eastAsia="Garamond" w:hAnsi="Garamond" w:cs="Garamond"/>
          <w:color w:val="000000"/>
          <w:sz w:val="22"/>
          <w:szCs w:val="22"/>
        </w:rPr>
      </w:pPr>
    </w:p>
    <w:p w14:paraId="000001B1" w14:textId="77777777" w:rsidR="00770242" w:rsidRDefault="00D028A4">
      <w:pPr>
        <w:ind w:left="720" w:hanging="720"/>
        <w:rPr>
          <w:rFonts w:ascii="Garamond" w:eastAsia="Garamond" w:hAnsi="Garamond" w:cs="Garamond"/>
          <w:color w:val="0000FF"/>
          <w:sz w:val="22"/>
          <w:szCs w:val="22"/>
          <w:u w:val="single"/>
        </w:rPr>
      </w:pPr>
      <w:r>
        <w:rPr>
          <w:rFonts w:ascii="Garamond" w:eastAsia="Garamond" w:hAnsi="Garamond" w:cs="Garamond"/>
          <w:color w:val="000000"/>
          <w:sz w:val="22"/>
          <w:szCs w:val="22"/>
        </w:rPr>
        <w:t xml:space="preserve">Pasquarella, V. P., Mickley, J. G., Plotkin, A. B., MacLean, R. G., Anderson, R. M., Brown, L. M., Wagner, D. L., Singer, M. S., &amp; Bagchi, R. (2021). Predicting defoliator abundance and defoliation measurements using Landsat-based condition scores. </w:t>
      </w:r>
      <w:r>
        <w:rPr>
          <w:rFonts w:ascii="Garamond" w:eastAsia="Garamond" w:hAnsi="Garamond" w:cs="Garamond"/>
          <w:i/>
          <w:color w:val="000000"/>
          <w:sz w:val="22"/>
          <w:szCs w:val="22"/>
        </w:rPr>
        <w:t>Remote Sensing in Ecology and Conservation</w:t>
      </w:r>
      <w:r>
        <w:rPr>
          <w:rFonts w:ascii="Garamond" w:eastAsia="Garamond" w:hAnsi="Garamond" w:cs="Garamond"/>
          <w:color w:val="000000"/>
          <w:sz w:val="22"/>
          <w:szCs w:val="22"/>
        </w:rPr>
        <w:t>,</w:t>
      </w:r>
      <w:r>
        <w:rPr>
          <w:rFonts w:ascii="Garamond" w:eastAsia="Garamond" w:hAnsi="Garamond" w:cs="Garamond"/>
          <w:i/>
          <w:color w:val="000000"/>
          <w:sz w:val="22"/>
          <w:szCs w:val="22"/>
        </w:rPr>
        <w:t xml:space="preserve"> 7</w:t>
      </w:r>
      <w:r>
        <w:rPr>
          <w:rFonts w:ascii="Garamond" w:eastAsia="Garamond" w:hAnsi="Garamond" w:cs="Garamond"/>
          <w:color w:val="000000"/>
          <w:sz w:val="22"/>
          <w:szCs w:val="22"/>
        </w:rPr>
        <w:t>(4), 592</w:t>
      </w:r>
      <w:r>
        <w:rPr>
          <w:rFonts w:ascii="Garamond" w:eastAsia="Garamond" w:hAnsi="Garamond" w:cs="Garamond"/>
          <w:sz w:val="22"/>
          <w:szCs w:val="22"/>
        </w:rPr>
        <w:t>–</w:t>
      </w:r>
      <w:r>
        <w:rPr>
          <w:rFonts w:ascii="Garamond" w:eastAsia="Garamond" w:hAnsi="Garamond" w:cs="Garamond"/>
          <w:color w:val="000000"/>
          <w:sz w:val="22"/>
          <w:szCs w:val="22"/>
        </w:rPr>
        <w:t xml:space="preserve">609. </w:t>
      </w:r>
      <w:hyperlink r:id="rId35">
        <w:r>
          <w:rPr>
            <w:rFonts w:ascii="Garamond" w:eastAsia="Garamond" w:hAnsi="Garamond" w:cs="Garamond"/>
            <w:color w:val="0000FF"/>
            <w:sz w:val="22"/>
            <w:szCs w:val="22"/>
            <w:u w:val="single"/>
          </w:rPr>
          <w:t>https://doi.org/10.1002/rse2.211</w:t>
        </w:r>
      </w:hyperlink>
    </w:p>
    <w:p w14:paraId="000001B2" w14:textId="77777777" w:rsidR="00770242" w:rsidRDefault="00770242">
      <w:pPr>
        <w:ind w:left="720" w:hanging="720"/>
        <w:rPr>
          <w:rFonts w:ascii="Garamond" w:eastAsia="Garamond" w:hAnsi="Garamond" w:cs="Garamond"/>
          <w:color w:val="000000"/>
          <w:sz w:val="22"/>
          <w:szCs w:val="22"/>
        </w:rPr>
      </w:pPr>
    </w:p>
    <w:p w14:paraId="5E190E42" w14:textId="77777777" w:rsidR="00122ADC" w:rsidRDefault="00122ADC" w:rsidP="00122ADC">
      <w:pPr>
        <w:ind w:left="720" w:hanging="720"/>
        <w:rPr>
          <w:rFonts w:ascii="Garamond" w:eastAsia="Garamond" w:hAnsi="Garamond" w:cs="Garamond"/>
          <w:sz w:val="22"/>
          <w:szCs w:val="22"/>
        </w:rPr>
      </w:pPr>
      <w:r>
        <w:rPr>
          <w:rFonts w:ascii="Garamond" w:eastAsia="Garamond" w:hAnsi="Garamond" w:cs="Garamond"/>
          <w:sz w:val="22"/>
          <w:szCs w:val="22"/>
        </w:rPr>
        <w:t xml:space="preserve">Poggio, L. (2020). </w:t>
      </w:r>
      <w:r>
        <w:rPr>
          <w:rFonts w:ascii="Garamond" w:eastAsia="Garamond" w:hAnsi="Garamond" w:cs="Garamond"/>
          <w:i/>
          <w:sz w:val="22"/>
          <w:szCs w:val="22"/>
        </w:rPr>
        <w:t>SoilGrids250m 2.0 - Total nitrogen</w:t>
      </w:r>
      <w:r>
        <w:rPr>
          <w:rFonts w:ascii="Garamond" w:eastAsia="Garamond" w:hAnsi="Garamond" w:cs="Garamond"/>
          <w:sz w:val="22"/>
          <w:szCs w:val="22"/>
        </w:rPr>
        <w:t xml:space="preserve">. ISRIC - World Soil Information. </w:t>
      </w:r>
      <w:hyperlink r:id="rId36">
        <w:r>
          <w:rPr>
            <w:rFonts w:ascii="Garamond" w:eastAsia="Garamond" w:hAnsi="Garamond" w:cs="Garamond"/>
            <w:color w:val="0000FF"/>
            <w:sz w:val="22"/>
            <w:szCs w:val="22"/>
            <w:u w:val="single"/>
          </w:rPr>
          <w:t>https://doi.org/10.17027/isric-soilgrids.f0797a68-1692-11ea-a7c0-a0481ca9e724</w:t>
        </w:r>
      </w:hyperlink>
      <w:r>
        <w:rPr>
          <w:rFonts w:ascii="Garamond" w:eastAsia="Garamond" w:hAnsi="Garamond" w:cs="Garamond"/>
          <w:sz w:val="22"/>
          <w:szCs w:val="22"/>
        </w:rPr>
        <w:t xml:space="preserve"> </w:t>
      </w:r>
    </w:p>
    <w:p w14:paraId="24F4D0CF" w14:textId="77777777" w:rsidR="00122ADC" w:rsidRDefault="00122ADC">
      <w:pPr>
        <w:ind w:left="720" w:hanging="720"/>
        <w:rPr>
          <w:rFonts w:ascii="Garamond" w:eastAsia="Garamond" w:hAnsi="Garamond" w:cs="Garamond"/>
          <w:color w:val="000000"/>
          <w:sz w:val="22"/>
          <w:szCs w:val="22"/>
        </w:rPr>
      </w:pPr>
    </w:p>
    <w:p w14:paraId="000001B3" w14:textId="0244D039" w:rsidR="00770242" w:rsidRDefault="00D028A4">
      <w:pPr>
        <w:ind w:left="720" w:hanging="720"/>
        <w:rPr>
          <w:rFonts w:ascii="Garamond" w:eastAsia="Garamond" w:hAnsi="Garamond" w:cs="Garamond"/>
          <w:color w:val="0000FF"/>
          <w:sz w:val="22"/>
          <w:szCs w:val="22"/>
          <w:u w:val="single"/>
        </w:rPr>
      </w:pPr>
      <w:r>
        <w:rPr>
          <w:rFonts w:ascii="Garamond" w:eastAsia="Garamond" w:hAnsi="Garamond" w:cs="Garamond"/>
          <w:color w:val="000000"/>
          <w:sz w:val="22"/>
          <w:szCs w:val="22"/>
        </w:rPr>
        <w:t xml:space="preserve">Reilly, J. R., Hajek, A. E., Liebhold, A. M., &amp; Plymale, R. (2014). Impact of </w:t>
      </w:r>
      <w:r>
        <w:rPr>
          <w:rFonts w:ascii="Garamond" w:eastAsia="Garamond" w:hAnsi="Garamond" w:cs="Garamond"/>
          <w:i/>
          <w:color w:val="000000"/>
          <w:sz w:val="22"/>
          <w:szCs w:val="22"/>
        </w:rPr>
        <w:t>Entomophaga maimaiga</w:t>
      </w:r>
      <w:r>
        <w:rPr>
          <w:rFonts w:ascii="Garamond" w:eastAsia="Garamond" w:hAnsi="Garamond" w:cs="Garamond"/>
          <w:color w:val="000000"/>
          <w:sz w:val="22"/>
          <w:szCs w:val="22"/>
        </w:rPr>
        <w:t xml:space="preserve"> (Entomophthorales: Entomophthoraceae) on cutbreak gypsy moth populations (Lepidoptera: Erebidae): The role of weather. </w:t>
      </w:r>
      <w:r>
        <w:rPr>
          <w:rFonts w:ascii="Garamond" w:eastAsia="Garamond" w:hAnsi="Garamond" w:cs="Garamond"/>
          <w:i/>
          <w:color w:val="000000"/>
          <w:sz w:val="22"/>
          <w:szCs w:val="22"/>
        </w:rPr>
        <w:t>Environmental Entomology</w:t>
      </w:r>
      <w:r>
        <w:rPr>
          <w:rFonts w:ascii="Garamond" w:eastAsia="Garamond" w:hAnsi="Garamond" w:cs="Garamond"/>
          <w:color w:val="000000"/>
          <w:sz w:val="22"/>
          <w:szCs w:val="22"/>
        </w:rPr>
        <w:t>,</w:t>
      </w:r>
      <w:r>
        <w:rPr>
          <w:rFonts w:ascii="Garamond" w:eastAsia="Garamond" w:hAnsi="Garamond" w:cs="Garamond"/>
          <w:i/>
          <w:color w:val="000000"/>
          <w:sz w:val="22"/>
          <w:szCs w:val="22"/>
        </w:rPr>
        <w:t xml:space="preserve"> 43</w:t>
      </w:r>
      <w:r>
        <w:rPr>
          <w:rFonts w:ascii="Garamond" w:eastAsia="Garamond" w:hAnsi="Garamond" w:cs="Garamond"/>
          <w:color w:val="000000"/>
          <w:sz w:val="22"/>
          <w:szCs w:val="22"/>
        </w:rPr>
        <w:t>(3), 632</w:t>
      </w:r>
      <w:r>
        <w:rPr>
          <w:rFonts w:ascii="Garamond" w:eastAsia="Garamond" w:hAnsi="Garamond" w:cs="Garamond"/>
          <w:sz w:val="22"/>
          <w:szCs w:val="22"/>
        </w:rPr>
        <w:t>–</w:t>
      </w:r>
      <w:r>
        <w:rPr>
          <w:rFonts w:ascii="Garamond" w:eastAsia="Garamond" w:hAnsi="Garamond" w:cs="Garamond"/>
          <w:color w:val="000000"/>
          <w:sz w:val="22"/>
          <w:szCs w:val="22"/>
        </w:rPr>
        <w:t xml:space="preserve">641. </w:t>
      </w:r>
      <w:hyperlink r:id="rId37">
        <w:r>
          <w:rPr>
            <w:rFonts w:ascii="Garamond" w:eastAsia="Garamond" w:hAnsi="Garamond" w:cs="Garamond"/>
            <w:color w:val="0000FF"/>
            <w:sz w:val="22"/>
            <w:szCs w:val="22"/>
            <w:u w:val="single"/>
          </w:rPr>
          <w:t>https://doi.org/10.1603/EN13194</w:t>
        </w:r>
      </w:hyperlink>
    </w:p>
    <w:p w14:paraId="000001B4" w14:textId="77777777" w:rsidR="00770242" w:rsidRDefault="00770242">
      <w:pPr>
        <w:ind w:left="720" w:hanging="720"/>
        <w:rPr>
          <w:rFonts w:ascii="Garamond" w:eastAsia="Garamond" w:hAnsi="Garamond" w:cs="Garamond"/>
          <w:color w:val="000000"/>
          <w:sz w:val="22"/>
          <w:szCs w:val="22"/>
        </w:rPr>
      </w:pPr>
    </w:p>
    <w:p w14:paraId="085654AD" w14:textId="77777777" w:rsidR="00122ADC" w:rsidRDefault="00122ADC" w:rsidP="00122ADC">
      <w:pPr>
        <w:ind w:left="720" w:hanging="720"/>
        <w:rPr>
          <w:rFonts w:ascii="Garamond" w:eastAsia="Garamond" w:hAnsi="Garamond" w:cs="Garamond"/>
          <w:color w:val="000000"/>
          <w:sz w:val="22"/>
          <w:szCs w:val="22"/>
        </w:rPr>
      </w:pPr>
      <w:r>
        <w:rPr>
          <w:rFonts w:ascii="Garamond" w:eastAsia="Garamond" w:hAnsi="Garamond" w:cs="Garamond"/>
          <w:color w:val="000000"/>
          <w:sz w:val="22"/>
          <w:szCs w:val="22"/>
        </w:rPr>
        <w:t xml:space="preserve">State of New Hampshire Division of Forests &amp; Lands Forest Health Program (2021). Forests and Lands Maps [Data Set]. New Hampshire Division of Forests &amp; Lands. </w:t>
      </w:r>
      <w:hyperlink r:id="rId38">
        <w:r>
          <w:rPr>
            <w:rFonts w:ascii="Garamond" w:eastAsia="Garamond" w:hAnsi="Garamond" w:cs="Garamond"/>
            <w:color w:val="0000FF"/>
            <w:sz w:val="22"/>
            <w:szCs w:val="22"/>
            <w:u w:val="single"/>
          </w:rPr>
          <w:t>https://www.nh.gov/nhdfl/reports/maps.htm</w:t>
        </w:r>
      </w:hyperlink>
    </w:p>
    <w:p w14:paraId="26180810" w14:textId="77777777" w:rsidR="00122ADC" w:rsidRDefault="00122ADC">
      <w:pPr>
        <w:ind w:left="720" w:hanging="720"/>
        <w:rPr>
          <w:rFonts w:ascii="Garamond" w:eastAsia="Garamond" w:hAnsi="Garamond" w:cs="Garamond"/>
          <w:color w:val="000000"/>
          <w:sz w:val="22"/>
          <w:szCs w:val="22"/>
        </w:rPr>
      </w:pPr>
    </w:p>
    <w:p w14:paraId="000001B5" w14:textId="72FB19C1" w:rsidR="00770242" w:rsidRDefault="00D028A4">
      <w:pPr>
        <w:ind w:left="720" w:hanging="720"/>
        <w:rPr>
          <w:rFonts w:ascii="Garamond" w:eastAsia="Garamond" w:hAnsi="Garamond" w:cs="Garamond"/>
          <w:sz w:val="22"/>
          <w:szCs w:val="22"/>
        </w:rPr>
      </w:pPr>
      <w:r>
        <w:rPr>
          <w:rFonts w:ascii="Garamond" w:eastAsia="Garamond" w:hAnsi="Garamond" w:cs="Garamond"/>
          <w:color w:val="000000"/>
          <w:sz w:val="22"/>
          <w:szCs w:val="22"/>
        </w:rPr>
        <w:t xml:space="preserve">Swier, S. R., Eaton, A. T., Maccini, R., Gladders, D., &amp; Bennett, K. (2016). </w:t>
      </w:r>
      <w:r>
        <w:rPr>
          <w:rFonts w:ascii="Garamond" w:eastAsia="Garamond" w:hAnsi="Garamond" w:cs="Garamond"/>
          <w:i/>
          <w:color w:val="000000"/>
          <w:sz w:val="22"/>
          <w:szCs w:val="22"/>
        </w:rPr>
        <w:t>Gypsy Moth, Pest Fact Sheet 70</w:t>
      </w:r>
      <w:r>
        <w:rPr>
          <w:rFonts w:ascii="Garamond" w:eastAsia="Garamond" w:hAnsi="Garamond" w:cs="Garamond"/>
          <w:color w:val="000000"/>
          <w:sz w:val="22"/>
          <w:szCs w:val="22"/>
        </w:rPr>
        <w:t xml:space="preserve">. University of New Hampshire Cooperative Extension. </w:t>
      </w:r>
      <w:hyperlink r:id="rId39">
        <w:r>
          <w:rPr>
            <w:rFonts w:ascii="Garamond" w:eastAsia="Garamond" w:hAnsi="Garamond" w:cs="Garamond"/>
            <w:color w:val="0000FF"/>
            <w:sz w:val="22"/>
            <w:szCs w:val="22"/>
            <w:u w:val="single"/>
          </w:rPr>
          <w:t>https://extension.unh.edu/resource/gypsy-moth-fact-sheet</w:t>
        </w:r>
      </w:hyperlink>
      <w:r>
        <w:rPr>
          <w:rFonts w:ascii="Garamond" w:eastAsia="Garamond" w:hAnsi="Garamond" w:cs="Garamond"/>
          <w:sz w:val="22"/>
          <w:szCs w:val="22"/>
        </w:rPr>
        <w:t xml:space="preserve"> </w:t>
      </w:r>
    </w:p>
    <w:p w14:paraId="000001B6" w14:textId="77777777" w:rsidR="00770242" w:rsidRDefault="00770242">
      <w:pPr>
        <w:ind w:left="720" w:hanging="720"/>
      </w:pPr>
    </w:p>
    <w:p w14:paraId="000001B7" w14:textId="77777777" w:rsidR="00770242" w:rsidRDefault="00D028A4">
      <w:pPr>
        <w:ind w:left="720" w:hanging="720"/>
        <w:rPr>
          <w:rFonts w:ascii="Garamond" w:eastAsia="Garamond" w:hAnsi="Garamond" w:cs="Garamond"/>
          <w:i/>
          <w:color w:val="000000"/>
          <w:sz w:val="22"/>
          <w:szCs w:val="22"/>
        </w:rPr>
      </w:pPr>
      <w:r>
        <w:rPr>
          <w:rFonts w:ascii="Garamond" w:eastAsia="Garamond" w:hAnsi="Garamond" w:cs="Garamond"/>
          <w:color w:val="000000"/>
          <w:sz w:val="22"/>
          <w:szCs w:val="22"/>
        </w:rPr>
        <w:t xml:space="preserve">US Census Bureau. (2018). </w:t>
      </w:r>
      <w:r>
        <w:rPr>
          <w:rFonts w:ascii="Garamond" w:eastAsia="Garamond" w:hAnsi="Garamond" w:cs="Garamond"/>
          <w:i/>
          <w:color w:val="000000"/>
          <w:sz w:val="22"/>
          <w:szCs w:val="22"/>
        </w:rPr>
        <w:t>TIGER: US Census States 2018.</w:t>
      </w:r>
      <w:r>
        <w:rPr>
          <w:rFonts w:ascii="Garamond" w:eastAsia="Garamond" w:hAnsi="Garamond" w:cs="Garamond"/>
          <w:color w:val="000000"/>
          <w:sz w:val="22"/>
          <w:szCs w:val="22"/>
        </w:rPr>
        <w:t xml:space="preserve"> US Census Bureau. </w:t>
      </w:r>
      <w:hyperlink r:id="rId40">
        <w:r>
          <w:rPr>
            <w:rFonts w:ascii="Garamond" w:eastAsia="Garamond" w:hAnsi="Garamond" w:cs="Garamond"/>
            <w:color w:val="0000FF"/>
            <w:sz w:val="22"/>
            <w:szCs w:val="22"/>
            <w:u w:val="single"/>
          </w:rPr>
          <w:t>https://www.census.gov/geographies/mapping-files/time-series/geo/tiger-line-file.2018.html</w:t>
        </w:r>
      </w:hyperlink>
      <w:r>
        <w:rPr>
          <w:rFonts w:ascii="Garamond" w:eastAsia="Garamond" w:hAnsi="Garamond" w:cs="Garamond"/>
          <w:color w:val="000000"/>
          <w:sz w:val="22"/>
          <w:szCs w:val="22"/>
        </w:rPr>
        <w:t xml:space="preserve"> </w:t>
      </w:r>
    </w:p>
    <w:p w14:paraId="000001BA" w14:textId="77777777" w:rsidR="00770242" w:rsidRDefault="00770242" w:rsidP="00645C35">
      <w:pPr>
        <w:rPr>
          <w:rFonts w:ascii="Garamond" w:eastAsia="Garamond" w:hAnsi="Garamond" w:cs="Garamond"/>
          <w:sz w:val="22"/>
          <w:szCs w:val="22"/>
        </w:rPr>
      </w:pPr>
    </w:p>
    <w:p w14:paraId="000001BB" w14:textId="77777777" w:rsidR="00770242" w:rsidRDefault="00D028A4">
      <w:pPr>
        <w:pStyle w:val="Heading1"/>
        <w:spacing w:before="0"/>
        <w:ind w:left="720" w:hanging="720"/>
        <w:rPr>
          <w:rFonts w:ascii="Garamond" w:eastAsia="Garamond" w:hAnsi="Garamond" w:cs="Garamond"/>
          <w:b w:val="0"/>
          <w:color w:val="000000"/>
          <w:sz w:val="22"/>
          <w:szCs w:val="22"/>
        </w:rPr>
      </w:pPr>
      <w:r>
        <w:rPr>
          <w:rFonts w:ascii="Garamond" w:eastAsia="Garamond" w:hAnsi="Garamond" w:cs="Garamond"/>
          <w:b w:val="0"/>
          <w:color w:val="000000"/>
          <w:sz w:val="22"/>
          <w:szCs w:val="22"/>
        </w:rPr>
        <w:t xml:space="preserve">U.S. Geological Survey Earth Resources Observation and Science Center. (2018). </w:t>
      </w:r>
      <w:r>
        <w:rPr>
          <w:rFonts w:ascii="Garamond" w:eastAsia="Garamond" w:hAnsi="Garamond" w:cs="Garamond"/>
          <w:b w:val="0"/>
          <w:i/>
          <w:color w:val="000000"/>
          <w:sz w:val="22"/>
          <w:szCs w:val="22"/>
        </w:rPr>
        <w:t>Digital Elevation - Shuttle Radar Topography Mission (SRTM) Void Filled</w:t>
      </w:r>
      <w:r>
        <w:rPr>
          <w:rFonts w:ascii="Garamond" w:eastAsia="Garamond" w:hAnsi="Garamond" w:cs="Garamond"/>
          <w:b w:val="0"/>
          <w:color w:val="000000"/>
          <w:sz w:val="22"/>
          <w:szCs w:val="22"/>
        </w:rPr>
        <w:t xml:space="preserve"> [Data set]. US Geological Survey. </w:t>
      </w:r>
      <w:hyperlink r:id="rId41">
        <w:r>
          <w:rPr>
            <w:rFonts w:ascii="Garamond" w:eastAsia="Garamond" w:hAnsi="Garamond" w:cs="Garamond"/>
            <w:b w:val="0"/>
            <w:color w:val="0000FF"/>
            <w:sz w:val="22"/>
            <w:szCs w:val="22"/>
            <w:u w:val="single"/>
          </w:rPr>
          <w:t>https://doi.org/10.5066/F7F76B1X</w:t>
        </w:r>
      </w:hyperlink>
      <w:r>
        <w:rPr>
          <w:rFonts w:ascii="Garamond" w:eastAsia="Garamond" w:hAnsi="Garamond" w:cs="Garamond"/>
          <w:b w:val="0"/>
          <w:color w:val="000000"/>
          <w:sz w:val="22"/>
          <w:szCs w:val="22"/>
        </w:rPr>
        <w:t xml:space="preserve"> </w:t>
      </w:r>
    </w:p>
    <w:p w14:paraId="000001BC" w14:textId="77777777" w:rsidR="00770242" w:rsidRDefault="00770242">
      <w:pPr>
        <w:ind w:left="810" w:hanging="810"/>
        <w:rPr>
          <w:rFonts w:ascii="Garamond" w:eastAsia="Garamond" w:hAnsi="Garamond" w:cs="Garamond"/>
          <w:color w:val="000000"/>
          <w:sz w:val="22"/>
          <w:szCs w:val="22"/>
        </w:rPr>
      </w:pPr>
    </w:p>
    <w:p w14:paraId="000001BD" w14:textId="77777777" w:rsidR="00770242" w:rsidRDefault="00D028A4">
      <w:pPr>
        <w:ind w:left="720" w:hanging="720"/>
        <w:rPr>
          <w:color w:val="000000"/>
          <w:sz w:val="22"/>
          <w:szCs w:val="22"/>
        </w:rPr>
      </w:pPr>
      <w:r>
        <w:rPr>
          <w:rFonts w:ascii="Garamond" w:eastAsia="Garamond" w:hAnsi="Garamond" w:cs="Garamond"/>
          <w:color w:val="000000"/>
          <w:sz w:val="22"/>
          <w:szCs w:val="22"/>
        </w:rPr>
        <w:t xml:space="preserve">U.S. Geological Survey Earth Resources Observation and Science Center. (2020). </w:t>
      </w:r>
      <w:r>
        <w:rPr>
          <w:rFonts w:ascii="Garamond" w:eastAsia="Garamond" w:hAnsi="Garamond" w:cs="Garamond"/>
          <w:i/>
          <w:color w:val="000000"/>
          <w:sz w:val="22"/>
          <w:szCs w:val="22"/>
        </w:rPr>
        <w:t>Landsat 7 ETM+</w:t>
      </w:r>
      <w:r>
        <w:rPr>
          <w:rFonts w:ascii="Garamond" w:eastAsia="Garamond" w:hAnsi="Garamond" w:cs="Garamond"/>
          <w:color w:val="000000"/>
          <w:sz w:val="22"/>
          <w:szCs w:val="22"/>
        </w:rPr>
        <w:t xml:space="preserve"> [Data set]. US Geological Survey. </w:t>
      </w:r>
      <w:hyperlink r:id="rId42">
        <w:r>
          <w:rPr>
            <w:rFonts w:ascii="Garamond" w:eastAsia="Garamond" w:hAnsi="Garamond" w:cs="Garamond"/>
            <w:color w:val="0000FF"/>
            <w:sz w:val="22"/>
            <w:szCs w:val="22"/>
            <w:u w:val="single"/>
          </w:rPr>
          <w:t>https://doi.org/10.5066/P9C7I13B</w:t>
        </w:r>
      </w:hyperlink>
      <w:r>
        <w:rPr>
          <w:rFonts w:ascii="Garamond" w:eastAsia="Garamond" w:hAnsi="Garamond" w:cs="Garamond"/>
          <w:sz w:val="22"/>
          <w:szCs w:val="22"/>
        </w:rPr>
        <w:t xml:space="preserve"> </w:t>
      </w:r>
    </w:p>
    <w:p w14:paraId="000001BE" w14:textId="77777777" w:rsidR="00770242" w:rsidRDefault="00770242">
      <w:pPr>
        <w:ind w:left="720" w:hanging="720"/>
        <w:rPr>
          <w:sz w:val="22"/>
          <w:szCs w:val="22"/>
        </w:rPr>
      </w:pPr>
    </w:p>
    <w:p w14:paraId="000001BF" w14:textId="77777777" w:rsidR="00770242" w:rsidRDefault="00D028A4">
      <w:pPr>
        <w:ind w:left="720" w:hanging="720"/>
        <w:rPr>
          <w:rFonts w:ascii="Garamond" w:eastAsia="Garamond" w:hAnsi="Garamond" w:cs="Garamond"/>
          <w:color w:val="0000FF"/>
          <w:sz w:val="22"/>
          <w:szCs w:val="22"/>
          <w:u w:val="single"/>
        </w:rPr>
      </w:pPr>
      <w:r>
        <w:rPr>
          <w:rFonts w:ascii="Garamond" w:eastAsia="Garamond" w:hAnsi="Garamond" w:cs="Garamond"/>
          <w:color w:val="000000"/>
          <w:sz w:val="22"/>
          <w:szCs w:val="22"/>
        </w:rPr>
        <w:t xml:space="preserve">U.S. Geological Survey Earth Resources Observation and Science Center. (2020). </w:t>
      </w:r>
      <w:r>
        <w:rPr>
          <w:rFonts w:ascii="Garamond" w:eastAsia="Garamond" w:hAnsi="Garamond" w:cs="Garamond"/>
          <w:i/>
          <w:color w:val="000000"/>
          <w:sz w:val="22"/>
          <w:szCs w:val="22"/>
        </w:rPr>
        <w:t>Landsat 8 OLI/TIRS</w:t>
      </w:r>
      <w:r>
        <w:rPr>
          <w:rFonts w:ascii="Garamond" w:eastAsia="Garamond" w:hAnsi="Garamond" w:cs="Garamond"/>
          <w:color w:val="000000"/>
          <w:sz w:val="22"/>
          <w:szCs w:val="22"/>
        </w:rPr>
        <w:t xml:space="preserve"> [Data set]. US Geological Survey. </w:t>
      </w:r>
      <w:hyperlink r:id="rId43">
        <w:r>
          <w:rPr>
            <w:rFonts w:ascii="Garamond" w:eastAsia="Garamond" w:hAnsi="Garamond" w:cs="Garamond"/>
            <w:color w:val="0000FF"/>
            <w:sz w:val="22"/>
            <w:szCs w:val="22"/>
            <w:u w:val="single"/>
          </w:rPr>
          <w:t>https://doi.org/10.5066/f78s4mzj</w:t>
        </w:r>
      </w:hyperlink>
    </w:p>
    <w:p w14:paraId="000001C0" w14:textId="77777777" w:rsidR="00770242" w:rsidRDefault="00770242">
      <w:pPr>
        <w:ind w:left="720" w:hanging="720"/>
        <w:rPr>
          <w:rFonts w:ascii="Garamond" w:eastAsia="Garamond" w:hAnsi="Garamond" w:cs="Garamond"/>
          <w:color w:val="0000FF"/>
          <w:sz w:val="22"/>
          <w:szCs w:val="22"/>
          <w:u w:val="single"/>
        </w:rPr>
      </w:pPr>
    </w:p>
    <w:p w14:paraId="000001C1" w14:textId="5F4E1B32" w:rsidR="00770242" w:rsidRDefault="00D028A4">
      <w:pPr>
        <w:ind w:left="720" w:hanging="720"/>
        <w:rPr>
          <w:rFonts w:ascii="Garamond" w:eastAsia="Garamond" w:hAnsi="Garamond" w:cs="Garamond"/>
          <w:color w:val="0000FF"/>
          <w:sz w:val="22"/>
          <w:szCs w:val="22"/>
        </w:rPr>
      </w:pPr>
      <w:r>
        <w:rPr>
          <w:rFonts w:ascii="Garamond" w:eastAsia="Garamond" w:hAnsi="Garamond" w:cs="Garamond"/>
          <w:color w:val="000000"/>
          <w:sz w:val="22"/>
          <w:szCs w:val="22"/>
        </w:rPr>
        <w:t xml:space="preserve">U.S. Geological Survey Gap Analysis Project (GAP). (2020). Protected Areas Database of the United States (PAD-US) 2.1 [Data set]. </w:t>
      </w:r>
      <w:r>
        <w:rPr>
          <w:rFonts w:ascii="Garamond" w:eastAsia="Garamond" w:hAnsi="Garamond" w:cs="Garamond"/>
          <w:i/>
          <w:color w:val="000000"/>
          <w:sz w:val="22"/>
          <w:szCs w:val="22"/>
        </w:rPr>
        <w:t>U.S. Geological Survey</w:t>
      </w:r>
      <w:r>
        <w:rPr>
          <w:rFonts w:ascii="Garamond" w:eastAsia="Garamond" w:hAnsi="Garamond" w:cs="Garamond"/>
          <w:color w:val="000000"/>
          <w:sz w:val="22"/>
          <w:szCs w:val="22"/>
        </w:rPr>
        <w:t xml:space="preserve">. </w:t>
      </w:r>
      <w:hyperlink r:id="rId44" w:history="1">
        <w:r w:rsidRPr="008125E8">
          <w:rPr>
            <w:rStyle w:val="Hyperlink"/>
            <w:rFonts w:ascii="Garamond" w:eastAsia="Garamond" w:hAnsi="Garamond" w:cs="Garamond"/>
            <w:sz w:val="22"/>
            <w:szCs w:val="22"/>
          </w:rPr>
          <w:t>https://doi.org/10.5066/P92QM3NT</w:t>
        </w:r>
      </w:hyperlink>
    </w:p>
    <w:p w14:paraId="000001C2" w14:textId="77777777" w:rsidR="00770242" w:rsidRDefault="00770242">
      <w:pPr>
        <w:ind w:left="810" w:hanging="810"/>
        <w:rPr>
          <w:color w:val="000000"/>
          <w:sz w:val="22"/>
          <w:szCs w:val="22"/>
        </w:rPr>
      </w:pPr>
    </w:p>
    <w:p w14:paraId="000001C3" w14:textId="15555513" w:rsidR="00770242" w:rsidRDefault="00D028A4">
      <w:pPr>
        <w:ind w:left="720" w:hanging="720"/>
        <w:rPr>
          <w:rFonts w:ascii="Garamond" w:eastAsia="Garamond" w:hAnsi="Garamond" w:cs="Garamond"/>
          <w:sz w:val="22"/>
          <w:szCs w:val="22"/>
        </w:rPr>
      </w:pPr>
      <w:r>
        <w:rPr>
          <w:rFonts w:ascii="Garamond" w:eastAsia="Garamond" w:hAnsi="Garamond" w:cs="Garamond"/>
          <w:color w:val="000000"/>
          <w:sz w:val="22"/>
          <w:szCs w:val="22"/>
        </w:rPr>
        <w:lastRenderedPageBreak/>
        <w:t xml:space="preserve">Vermote, E., Justice, C., Claverie, M., &amp; Franch, B. (2016). Preliminary analysis of the performance of the Landsat 8/OLI land surface reflectance product. </w:t>
      </w:r>
      <w:r>
        <w:rPr>
          <w:rFonts w:ascii="Garamond" w:eastAsia="Garamond" w:hAnsi="Garamond" w:cs="Garamond"/>
          <w:i/>
          <w:color w:val="000000"/>
          <w:sz w:val="22"/>
          <w:szCs w:val="22"/>
        </w:rPr>
        <w:t>Remote Sensing of Environment</w:t>
      </w:r>
      <w:r>
        <w:rPr>
          <w:rFonts w:ascii="Garamond" w:eastAsia="Garamond" w:hAnsi="Garamond" w:cs="Garamond"/>
          <w:color w:val="000000"/>
          <w:sz w:val="22"/>
          <w:szCs w:val="22"/>
        </w:rPr>
        <w:t xml:space="preserve">, </w:t>
      </w:r>
      <w:r>
        <w:rPr>
          <w:rFonts w:ascii="Garamond" w:eastAsia="Garamond" w:hAnsi="Garamond" w:cs="Garamond"/>
          <w:i/>
          <w:color w:val="000000"/>
          <w:sz w:val="22"/>
          <w:szCs w:val="22"/>
        </w:rPr>
        <w:t>185</w:t>
      </w:r>
      <w:r>
        <w:rPr>
          <w:rFonts w:ascii="Garamond" w:eastAsia="Garamond" w:hAnsi="Garamond" w:cs="Garamond"/>
          <w:color w:val="000000"/>
          <w:sz w:val="22"/>
          <w:szCs w:val="22"/>
        </w:rPr>
        <w:t xml:space="preserve">(2), 46–56. </w:t>
      </w:r>
      <w:hyperlink r:id="rId45" w:history="1">
        <w:r w:rsidRPr="008125E8">
          <w:rPr>
            <w:rStyle w:val="Hyperlink"/>
            <w:rFonts w:ascii="Garamond" w:eastAsia="Garamond" w:hAnsi="Garamond" w:cs="Garamond"/>
            <w:sz w:val="22"/>
            <w:szCs w:val="22"/>
          </w:rPr>
          <w:t>https://doi.org/10.1016/j.rse.2016.04.008</w:t>
        </w:r>
      </w:hyperlink>
    </w:p>
    <w:p w14:paraId="000001C4" w14:textId="77777777" w:rsidR="00770242" w:rsidRDefault="00770242">
      <w:pPr>
        <w:ind w:left="810" w:hanging="810"/>
        <w:rPr>
          <w:color w:val="000000"/>
        </w:rPr>
      </w:pPr>
    </w:p>
    <w:p w14:paraId="000001C5" w14:textId="77777777" w:rsidR="00770242" w:rsidRDefault="00D028A4">
      <w:pPr>
        <w:ind w:left="720" w:hanging="720"/>
        <w:rPr>
          <w:rFonts w:ascii="Garamond" w:eastAsia="Garamond" w:hAnsi="Garamond" w:cs="Garamond"/>
          <w:color w:val="0000FF"/>
          <w:sz w:val="22"/>
          <w:szCs w:val="22"/>
          <w:u w:val="single"/>
        </w:rPr>
      </w:pPr>
      <w:r>
        <w:rPr>
          <w:rFonts w:ascii="Garamond" w:eastAsia="Garamond" w:hAnsi="Garamond" w:cs="Garamond"/>
          <w:color w:val="000000"/>
          <w:sz w:val="22"/>
          <w:szCs w:val="22"/>
        </w:rPr>
        <w:t xml:space="preserve">Walter, J. A., Meixler, M. S., Mueller, T., Fagan, W. F., Tobin, P. C., &amp; Haynes, K. J. (2015). How topography induces reproductive asynchrony and alters gypsy moth invasion dynamics. </w:t>
      </w:r>
      <w:r>
        <w:rPr>
          <w:rFonts w:ascii="Garamond" w:eastAsia="Garamond" w:hAnsi="Garamond" w:cs="Garamond"/>
          <w:i/>
          <w:color w:val="000000"/>
          <w:sz w:val="22"/>
          <w:szCs w:val="22"/>
        </w:rPr>
        <w:t>Journal of Animal Ecology</w:t>
      </w:r>
      <w:r>
        <w:rPr>
          <w:rFonts w:ascii="Garamond" w:eastAsia="Garamond" w:hAnsi="Garamond" w:cs="Garamond"/>
          <w:color w:val="000000"/>
          <w:sz w:val="22"/>
          <w:szCs w:val="22"/>
        </w:rPr>
        <w:t>,</w:t>
      </w:r>
      <w:r>
        <w:rPr>
          <w:rFonts w:ascii="Garamond" w:eastAsia="Garamond" w:hAnsi="Garamond" w:cs="Garamond"/>
          <w:i/>
          <w:color w:val="000000"/>
          <w:sz w:val="22"/>
          <w:szCs w:val="22"/>
        </w:rPr>
        <w:t xml:space="preserve"> 84</w:t>
      </w:r>
      <w:r>
        <w:rPr>
          <w:rFonts w:ascii="Garamond" w:eastAsia="Garamond" w:hAnsi="Garamond" w:cs="Garamond"/>
          <w:color w:val="000000"/>
          <w:sz w:val="22"/>
          <w:szCs w:val="22"/>
        </w:rPr>
        <w:t>(1), 188</w:t>
      </w:r>
      <w:r>
        <w:rPr>
          <w:rFonts w:ascii="Garamond" w:eastAsia="Garamond" w:hAnsi="Garamond" w:cs="Garamond"/>
          <w:sz w:val="22"/>
          <w:szCs w:val="22"/>
        </w:rPr>
        <w:t>–</w:t>
      </w:r>
      <w:r>
        <w:rPr>
          <w:rFonts w:ascii="Garamond" w:eastAsia="Garamond" w:hAnsi="Garamond" w:cs="Garamond"/>
          <w:color w:val="000000"/>
          <w:sz w:val="22"/>
          <w:szCs w:val="22"/>
        </w:rPr>
        <w:t xml:space="preserve">198. </w:t>
      </w:r>
      <w:hyperlink r:id="rId46">
        <w:r>
          <w:rPr>
            <w:rFonts w:ascii="Garamond" w:eastAsia="Garamond" w:hAnsi="Garamond" w:cs="Garamond"/>
            <w:color w:val="0000FF"/>
            <w:sz w:val="22"/>
            <w:szCs w:val="22"/>
            <w:u w:val="single"/>
          </w:rPr>
          <w:t>https://doi.org/10.1111/1365-2656.12272</w:t>
        </w:r>
      </w:hyperlink>
    </w:p>
    <w:p w14:paraId="000001C6" w14:textId="77777777" w:rsidR="00770242" w:rsidRDefault="00770242">
      <w:pPr>
        <w:ind w:left="720" w:hanging="720"/>
        <w:rPr>
          <w:rFonts w:ascii="Garamond" w:eastAsia="Garamond" w:hAnsi="Garamond" w:cs="Garamond"/>
          <w:color w:val="000000"/>
          <w:sz w:val="22"/>
          <w:szCs w:val="22"/>
        </w:rPr>
      </w:pPr>
    </w:p>
    <w:p w14:paraId="000001C7" w14:textId="78CD6A78" w:rsidR="00770242" w:rsidRDefault="00D028A4">
      <w:pPr>
        <w:ind w:left="720" w:hanging="720"/>
        <w:rPr>
          <w:sz w:val="22"/>
          <w:szCs w:val="22"/>
        </w:rPr>
      </w:pPr>
      <w:r>
        <w:rPr>
          <w:rFonts w:ascii="Garamond" w:eastAsia="Garamond" w:hAnsi="Garamond" w:cs="Garamond"/>
          <w:sz w:val="22"/>
          <w:szCs w:val="22"/>
        </w:rPr>
        <w:t xml:space="preserve">Wang, S., Zhuang, Q., Wang, Q., Jin, X., &amp; Han, C. (2017). Mapping stocks of soil organic carbon and soil total nitrogen in Liaoning Province of China. </w:t>
      </w:r>
      <w:r>
        <w:rPr>
          <w:rFonts w:ascii="Garamond" w:eastAsia="Garamond" w:hAnsi="Garamond" w:cs="Garamond"/>
          <w:i/>
          <w:sz w:val="22"/>
          <w:szCs w:val="22"/>
        </w:rPr>
        <w:t>Geoderma</w:t>
      </w:r>
      <w:r>
        <w:rPr>
          <w:rFonts w:ascii="Garamond" w:eastAsia="Garamond" w:hAnsi="Garamond" w:cs="Garamond"/>
          <w:sz w:val="22"/>
          <w:szCs w:val="22"/>
        </w:rPr>
        <w:t xml:space="preserve">, </w:t>
      </w:r>
      <w:r>
        <w:rPr>
          <w:rFonts w:ascii="Garamond" w:eastAsia="Garamond" w:hAnsi="Garamond" w:cs="Garamond"/>
          <w:i/>
          <w:sz w:val="22"/>
          <w:szCs w:val="22"/>
        </w:rPr>
        <w:t>305</w:t>
      </w:r>
      <w:r>
        <w:rPr>
          <w:rFonts w:ascii="Garamond" w:eastAsia="Garamond" w:hAnsi="Garamond" w:cs="Garamond"/>
          <w:sz w:val="22"/>
          <w:szCs w:val="22"/>
        </w:rPr>
        <w:t xml:space="preserve">, 250–263. </w:t>
      </w:r>
      <w:hyperlink r:id="rId47">
        <w:r>
          <w:rPr>
            <w:rFonts w:ascii="Garamond" w:eastAsia="Garamond" w:hAnsi="Garamond" w:cs="Garamond"/>
            <w:color w:val="0000FF"/>
            <w:sz w:val="22"/>
            <w:szCs w:val="22"/>
            <w:u w:val="single"/>
          </w:rPr>
          <w:t>https://doi.org/10.1016/j.geoderma.2017.05.048</w:t>
        </w:r>
      </w:hyperlink>
    </w:p>
    <w:p w14:paraId="000001C8" w14:textId="77777777" w:rsidR="00770242" w:rsidRDefault="00770242">
      <w:pPr>
        <w:rPr>
          <w:rFonts w:ascii="Garamond" w:eastAsia="Garamond" w:hAnsi="Garamond" w:cs="Garamond"/>
          <w:color w:val="000000"/>
        </w:rPr>
      </w:pPr>
    </w:p>
    <w:p w14:paraId="58B4F329" w14:textId="77777777" w:rsidR="007B02C6" w:rsidRDefault="007B02C6">
      <w:pPr>
        <w:rPr>
          <w:rFonts w:ascii="Garamond" w:eastAsia="Garamond" w:hAnsi="Garamond" w:cs="Garamond"/>
          <w:b/>
          <w:bCs/>
          <w:color w:val="365F91" w:themeColor="accent1" w:themeShade="BF"/>
          <w:sz w:val="28"/>
          <w:szCs w:val="28"/>
        </w:rPr>
      </w:pPr>
      <w:r>
        <w:rPr>
          <w:rFonts w:ascii="Garamond" w:eastAsia="Garamond" w:hAnsi="Garamond" w:cs="Garamond"/>
        </w:rPr>
        <w:br w:type="page"/>
      </w:r>
    </w:p>
    <w:p w14:paraId="000001C9" w14:textId="5F0833B8" w:rsidR="00770242" w:rsidRDefault="00D028A4">
      <w:pPr>
        <w:pStyle w:val="Heading1"/>
        <w:spacing w:before="0"/>
        <w:rPr>
          <w:rFonts w:ascii="Garamond" w:eastAsia="Garamond" w:hAnsi="Garamond" w:cs="Garamond"/>
        </w:rPr>
      </w:pPr>
      <w:r>
        <w:rPr>
          <w:rFonts w:ascii="Garamond" w:eastAsia="Garamond" w:hAnsi="Garamond" w:cs="Garamond"/>
        </w:rPr>
        <w:lastRenderedPageBreak/>
        <w:t>9. Appendices</w:t>
      </w:r>
    </w:p>
    <w:p w14:paraId="000001CA" w14:textId="77777777" w:rsidR="00770242" w:rsidRDefault="00D028A4">
      <w:pPr>
        <w:jc w:val="center"/>
        <w:rPr>
          <w:rFonts w:ascii="Garamond" w:eastAsia="Garamond" w:hAnsi="Garamond" w:cs="Garamond"/>
          <w:sz w:val="22"/>
          <w:szCs w:val="22"/>
        </w:rPr>
      </w:pPr>
      <w:r>
        <w:rPr>
          <w:rFonts w:ascii="Garamond" w:eastAsia="Garamond" w:hAnsi="Garamond" w:cs="Garamond"/>
          <w:sz w:val="22"/>
          <w:szCs w:val="22"/>
        </w:rPr>
        <w:t>Appendix A</w:t>
      </w:r>
    </w:p>
    <w:p w14:paraId="000001CB" w14:textId="77777777" w:rsidR="00770242" w:rsidRDefault="00770242">
      <w:pPr>
        <w:jc w:val="center"/>
      </w:pPr>
    </w:p>
    <w:p w14:paraId="000001CC" w14:textId="77777777" w:rsidR="00770242" w:rsidRDefault="00462E20">
      <w:pPr>
        <w:rPr>
          <w:rFonts w:ascii="Garamond" w:eastAsia="Garamond" w:hAnsi="Garamond" w:cs="Garamond"/>
          <w:sz w:val="22"/>
          <w:szCs w:val="22"/>
        </w:rPr>
      </w:pPr>
      <w:sdt>
        <w:sdtPr>
          <w:tag w:val="goog_rdk_57"/>
          <w:id w:val="-1422333921"/>
        </w:sdtPr>
        <w:sdtContent/>
      </w:sdt>
      <w:r w:rsidR="00D028A4">
        <w:rPr>
          <w:rFonts w:ascii="Garamond" w:eastAsia="Garamond" w:hAnsi="Garamond" w:cs="Garamond"/>
          <w:sz w:val="22"/>
          <w:szCs w:val="22"/>
        </w:rPr>
        <w:t>Table A1</w:t>
      </w:r>
    </w:p>
    <w:p w14:paraId="000001CD" w14:textId="77777777" w:rsidR="00770242" w:rsidRDefault="00D028A4">
      <w:pPr>
        <w:rPr>
          <w:rFonts w:ascii="Garamond" w:eastAsia="Garamond" w:hAnsi="Garamond" w:cs="Garamond"/>
          <w:i/>
          <w:color w:val="000000"/>
          <w:sz w:val="22"/>
          <w:szCs w:val="22"/>
        </w:rPr>
      </w:pPr>
      <w:r>
        <w:rPr>
          <w:rFonts w:ascii="Garamond" w:eastAsia="Garamond" w:hAnsi="Garamond" w:cs="Garamond"/>
          <w:i/>
          <w:sz w:val="22"/>
          <w:szCs w:val="22"/>
        </w:rPr>
        <w:t>Total historical potential defoliation extent</w:t>
      </w:r>
      <w:r>
        <w:rPr>
          <w:rFonts w:ascii="Garamond" w:eastAsia="Garamond" w:hAnsi="Garamond" w:cs="Garamond"/>
          <w:sz w:val="22"/>
          <w:szCs w:val="22"/>
        </w:rPr>
        <w:t xml:space="preserve"> </w:t>
      </w:r>
    </w:p>
    <w:p w14:paraId="000001CE" w14:textId="77777777" w:rsidR="00770242" w:rsidRDefault="00770242"/>
    <w:tbl>
      <w:tblPr>
        <w:tblStyle w:val="a5"/>
        <w:tblW w:w="918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5"/>
        <w:gridCol w:w="1485"/>
        <w:gridCol w:w="1710"/>
        <w:gridCol w:w="1710"/>
        <w:gridCol w:w="1800"/>
      </w:tblGrid>
      <w:tr w:rsidR="00770242" w14:paraId="28F43BF7" w14:textId="77777777">
        <w:tc>
          <w:tcPr>
            <w:tcW w:w="2475" w:type="dxa"/>
            <w:tcBorders>
              <w:top w:val="single" w:sz="4" w:space="0" w:color="FFFFFF"/>
              <w:left w:val="single" w:sz="4" w:space="0" w:color="FFFFFF"/>
              <w:bottom w:val="single" w:sz="4" w:space="0" w:color="FFFFFF"/>
              <w:right w:val="single" w:sz="4" w:space="0" w:color="000000"/>
            </w:tcBorders>
            <w:vAlign w:val="center"/>
          </w:tcPr>
          <w:p w14:paraId="000001CF" w14:textId="77777777" w:rsidR="00770242" w:rsidRDefault="00770242">
            <w:pPr>
              <w:rPr>
                <w:rFonts w:ascii="Garamond" w:eastAsia="Garamond" w:hAnsi="Garamond" w:cs="Garamond"/>
                <w:i/>
                <w:color w:val="000000"/>
                <w:sz w:val="22"/>
                <w:szCs w:val="22"/>
              </w:rPr>
            </w:pPr>
          </w:p>
        </w:tc>
        <w:tc>
          <w:tcPr>
            <w:tcW w:w="6705" w:type="dxa"/>
            <w:gridSpan w:val="4"/>
            <w:tcBorders>
              <w:top w:val="single" w:sz="4" w:space="0" w:color="000000"/>
              <w:left w:val="single" w:sz="4" w:space="0" w:color="000000"/>
              <w:bottom w:val="single" w:sz="4" w:space="0" w:color="000000"/>
              <w:right w:val="single" w:sz="4" w:space="0" w:color="000000"/>
            </w:tcBorders>
            <w:vAlign w:val="center"/>
          </w:tcPr>
          <w:p w14:paraId="000001D0" w14:textId="77777777" w:rsidR="00770242" w:rsidRDefault="00D028A4">
            <w:pPr>
              <w:jc w:val="center"/>
              <w:rPr>
                <w:rFonts w:ascii="Garamond" w:eastAsia="Garamond" w:hAnsi="Garamond" w:cs="Garamond"/>
                <w:b/>
                <w:color w:val="000000"/>
                <w:sz w:val="22"/>
                <w:szCs w:val="22"/>
              </w:rPr>
            </w:pPr>
            <w:r>
              <w:rPr>
                <w:rFonts w:ascii="Garamond" w:eastAsia="Garamond" w:hAnsi="Garamond" w:cs="Garamond"/>
                <w:b/>
                <w:color w:val="000000"/>
                <w:sz w:val="22"/>
                <w:szCs w:val="22"/>
              </w:rPr>
              <w:t>Defoliation Extent</w:t>
            </w:r>
          </w:p>
        </w:tc>
      </w:tr>
      <w:tr w:rsidR="00770242" w14:paraId="3CAD3B1D" w14:textId="77777777">
        <w:tc>
          <w:tcPr>
            <w:tcW w:w="2475" w:type="dxa"/>
            <w:tcBorders>
              <w:top w:val="single" w:sz="4" w:space="0" w:color="FFFFFF"/>
              <w:left w:val="single" w:sz="4" w:space="0" w:color="FFFFFF"/>
              <w:bottom w:val="single" w:sz="4" w:space="0" w:color="000000"/>
              <w:right w:val="single" w:sz="4" w:space="0" w:color="000000"/>
            </w:tcBorders>
            <w:vAlign w:val="center"/>
          </w:tcPr>
          <w:p w14:paraId="000001D4" w14:textId="77777777" w:rsidR="00770242" w:rsidRDefault="00770242">
            <w:pPr>
              <w:rPr>
                <w:rFonts w:ascii="Garamond" w:eastAsia="Garamond" w:hAnsi="Garamond" w:cs="Garamond"/>
                <w:i/>
                <w:color w:val="000000"/>
                <w:sz w:val="22"/>
                <w:szCs w:val="22"/>
              </w:rPr>
            </w:pPr>
          </w:p>
        </w:tc>
        <w:tc>
          <w:tcPr>
            <w:tcW w:w="1485" w:type="dxa"/>
            <w:tcBorders>
              <w:top w:val="single" w:sz="4" w:space="0" w:color="000000"/>
              <w:left w:val="single" w:sz="4" w:space="0" w:color="000000"/>
              <w:bottom w:val="single" w:sz="4" w:space="0" w:color="000000"/>
              <w:right w:val="single" w:sz="4" w:space="0" w:color="000000"/>
            </w:tcBorders>
            <w:vAlign w:val="center"/>
          </w:tcPr>
          <w:p w14:paraId="000001D5" w14:textId="77777777" w:rsidR="00770242" w:rsidRDefault="00D028A4">
            <w:pPr>
              <w:jc w:val="center"/>
              <w:rPr>
                <w:rFonts w:ascii="Garamond" w:eastAsia="Garamond" w:hAnsi="Garamond" w:cs="Garamond"/>
                <w:color w:val="000000"/>
                <w:sz w:val="22"/>
                <w:szCs w:val="22"/>
              </w:rPr>
            </w:pPr>
            <w:r>
              <w:rPr>
                <w:rFonts w:ascii="Garamond" w:eastAsia="Garamond" w:hAnsi="Garamond" w:cs="Garamond"/>
                <w:i/>
                <w:color w:val="000000"/>
                <w:sz w:val="22"/>
                <w:szCs w:val="22"/>
              </w:rPr>
              <w:t>Light</w:t>
            </w:r>
          </w:p>
        </w:tc>
        <w:tc>
          <w:tcPr>
            <w:tcW w:w="1710" w:type="dxa"/>
            <w:tcBorders>
              <w:top w:val="single" w:sz="4" w:space="0" w:color="000000"/>
              <w:left w:val="single" w:sz="4" w:space="0" w:color="000000"/>
              <w:bottom w:val="single" w:sz="4" w:space="0" w:color="000000"/>
              <w:right w:val="single" w:sz="4" w:space="0" w:color="000000"/>
            </w:tcBorders>
            <w:vAlign w:val="center"/>
          </w:tcPr>
          <w:p w14:paraId="000001D6" w14:textId="77777777" w:rsidR="00770242" w:rsidRDefault="00D028A4">
            <w:pPr>
              <w:jc w:val="center"/>
              <w:rPr>
                <w:rFonts w:ascii="Garamond" w:eastAsia="Garamond" w:hAnsi="Garamond" w:cs="Garamond"/>
                <w:color w:val="000000"/>
                <w:sz w:val="22"/>
                <w:szCs w:val="22"/>
              </w:rPr>
            </w:pPr>
            <w:r>
              <w:rPr>
                <w:rFonts w:ascii="Garamond" w:eastAsia="Garamond" w:hAnsi="Garamond" w:cs="Garamond"/>
                <w:i/>
                <w:color w:val="000000"/>
                <w:sz w:val="22"/>
                <w:szCs w:val="22"/>
              </w:rPr>
              <w:t>Moderate</w:t>
            </w:r>
          </w:p>
        </w:tc>
        <w:tc>
          <w:tcPr>
            <w:tcW w:w="1710" w:type="dxa"/>
            <w:tcBorders>
              <w:top w:val="single" w:sz="4" w:space="0" w:color="000000"/>
              <w:left w:val="single" w:sz="4" w:space="0" w:color="000000"/>
              <w:bottom w:val="single" w:sz="4" w:space="0" w:color="000000"/>
              <w:right w:val="single" w:sz="4" w:space="0" w:color="000000"/>
            </w:tcBorders>
            <w:vAlign w:val="center"/>
          </w:tcPr>
          <w:p w14:paraId="000001D7" w14:textId="77777777" w:rsidR="00770242" w:rsidRDefault="00D028A4">
            <w:pPr>
              <w:jc w:val="center"/>
              <w:rPr>
                <w:rFonts w:ascii="Garamond" w:eastAsia="Garamond" w:hAnsi="Garamond" w:cs="Garamond"/>
                <w:color w:val="000000"/>
                <w:sz w:val="22"/>
                <w:szCs w:val="22"/>
              </w:rPr>
            </w:pPr>
            <w:r>
              <w:rPr>
                <w:rFonts w:ascii="Garamond" w:eastAsia="Garamond" w:hAnsi="Garamond" w:cs="Garamond"/>
                <w:i/>
                <w:color w:val="000000"/>
                <w:sz w:val="22"/>
                <w:szCs w:val="22"/>
              </w:rPr>
              <w:t>Severe</w:t>
            </w:r>
          </w:p>
        </w:tc>
        <w:tc>
          <w:tcPr>
            <w:tcW w:w="1800" w:type="dxa"/>
            <w:tcBorders>
              <w:top w:val="single" w:sz="4" w:space="0" w:color="000000"/>
              <w:left w:val="single" w:sz="4" w:space="0" w:color="000000"/>
              <w:bottom w:val="single" w:sz="4" w:space="0" w:color="000000"/>
              <w:right w:val="single" w:sz="4" w:space="0" w:color="000000"/>
            </w:tcBorders>
          </w:tcPr>
          <w:p w14:paraId="000001D8" w14:textId="77777777" w:rsidR="00770242" w:rsidRDefault="00D028A4">
            <w:pPr>
              <w:jc w:val="center"/>
              <w:rPr>
                <w:rFonts w:ascii="Garamond" w:eastAsia="Garamond" w:hAnsi="Garamond" w:cs="Garamond"/>
                <w:i/>
                <w:color w:val="000000"/>
                <w:sz w:val="22"/>
                <w:szCs w:val="22"/>
              </w:rPr>
            </w:pPr>
            <w:r>
              <w:rPr>
                <w:rFonts w:ascii="Garamond" w:eastAsia="Garamond" w:hAnsi="Garamond" w:cs="Garamond"/>
                <w:i/>
                <w:color w:val="000000"/>
                <w:sz w:val="22"/>
                <w:szCs w:val="22"/>
              </w:rPr>
              <w:t>Total</w:t>
            </w:r>
          </w:p>
        </w:tc>
      </w:tr>
      <w:tr w:rsidR="00770242" w14:paraId="5CC18CD8" w14:textId="77777777">
        <w:tc>
          <w:tcPr>
            <w:tcW w:w="2475" w:type="dxa"/>
            <w:tcBorders>
              <w:top w:val="single" w:sz="4" w:space="0" w:color="000000"/>
              <w:left w:val="single" w:sz="4" w:space="0" w:color="000000"/>
              <w:bottom w:val="single" w:sz="4" w:space="0" w:color="000000"/>
              <w:right w:val="single" w:sz="4" w:space="0" w:color="000000"/>
            </w:tcBorders>
            <w:vAlign w:val="center"/>
          </w:tcPr>
          <w:p w14:paraId="000001D9" w14:textId="77777777" w:rsidR="00770242" w:rsidRDefault="00D028A4">
            <w:pPr>
              <w:rPr>
                <w:rFonts w:ascii="Garamond" w:eastAsia="Garamond" w:hAnsi="Garamond" w:cs="Garamond"/>
                <w:i/>
                <w:color w:val="000000"/>
                <w:sz w:val="22"/>
                <w:szCs w:val="22"/>
              </w:rPr>
            </w:pPr>
            <w:r>
              <w:rPr>
                <w:rFonts w:ascii="Garamond" w:eastAsia="Garamond" w:hAnsi="Garamond" w:cs="Garamond"/>
                <w:i/>
                <w:color w:val="000000"/>
                <w:sz w:val="22"/>
                <w:szCs w:val="22"/>
              </w:rPr>
              <w:t>Total defoliation (km²)</w:t>
            </w:r>
          </w:p>
        </w:tc>
        <w:tc>
          <w:tcPr>
            <w:tcW w:w="1485" w:type="dxa"/>
            <w:tcBorders>
              <w:top w:val="single" w:sz="4" w:space="0" w:color="000000"/>
              <w:left w:val="single" w:sz="4" w:space="0" w:color="000000"/>
              <w:bottom w:val="single" w:sz="4" w:space="0" w:color="000000"/>
              <w:right w:val="single" w:sz="4" w:space="0" w:color="000000"/>
            </w:tcBorders>
            <w:vAlign w:val="bottom"/>
          </w:tcPr>
          <w:p w14:paraId="000001DA" w14:textId="77777777" w:rsidR="00770242" w:rsidRDefault="00D028A4">
            <w:pPr>
              <w:jc w:val="center"/>
              <w:rPr>
                <w:rFonts w:ascii="Garamond" w:eastAsia="Garamond" w:hAnsi="Garamond" w:cs="Garamond"/>
                <w:color w:val="000000"/>
                <w:sz w:val="22"/>
                <w:szCs w:val="22"/>
              </w:rPr>
            </w:pPr>
            <w:r>
              <w:rPr>
                <w:rFonts w:ascii="Garamond" w:eastAsia="Garamond" w:hAnsi="Garamond" w:cs="Garamond"/>
                <w:color w:val="000000"/>
                <w:sz w:val="22"/>
                <w:szCs w:val="22"/>
              </w:rPr>
              <w:t>2185.08</w:t>
            </w:r>
          </w:p>
        </w:tc>
        <w:tc>
          <w:tcPr>
            <w:tcW w:w="1710" w:type="dxa"/>
            <w:tcBorders>
              <w:top w:val="single" w:sz="4" w:space="0" w:color="000000"/>
              <w:left w:val="single" w:sz="4" w:space="0" w:color="000000"/>
              <w:bottom w:val="single" w:sz="4" w:space="0" w:color="000000"/>
              <w:right w:val="single" w:sz="4" w:space="0" w:color="000000"/>
            </w:tcBorders>
            <w:vAlign w:val="bottom"/>
          </w:tcPr>
          <w:p w14:paraId="000001DB" w14:textId="77777777" w:rsidR="00770242" w:rsidRDefault="00D028A4">
            <w:pPr>
              <w:jc w:val="center"/>
              <w:rPr>
                <w:rFonts w:ascii="Garamond" w:eastAsia="Garamond" w:hAnsi="Garamond" w:cs="Garamond"/>
                <w:color w:val="000000"/>
                <w:sz w:val="22"/>
                <w:szCs w:val="22"/>
              </w:rPr>
            </w:pPr>
            <w:r>
              <w:rPr>
                <w:rFonts w:ascii="Garamond" w:eastAsia="Garamond" w:hAnsi="Garamond" w:cs="Garamond"/>
                <w:color w:val="000000"/>
                <w:sz w:val="22"/>
                <w:szCs w:val="22"/>
              </w:rPr>
              <w:t>933.12</w:t>
            </w:r>
          </w:p>
        </w:tc>
        <w:tc>
          <w:tcPr>
            <w:tcW w:w="1710" w:type="dxa"/>
            <w:tcBorders>
              <w:top w:val="single" w:sz="4" w:space="0" w:color="000000"/>
              <w:left w:val="single" w:sz="4" w:space="0" w:color="000000"/>
              <w:bottom w:val="single" w:sz="4" w:space="0" w:color="000000"/>
              <w:right w:val="single" w:sz="4" w:space="0" w:color="000000"/>
            </w:tcBorders>
            <w:vAlign w:val="bottom"/>
          </w:tcPr>
          <w:p w14:paraId="000001DC" w14:textId="77777777" w:rsidR="00770242" w:rsidRDefault="00D028A4">
            <w:pPr>
              <w:jc w:val="center"/>
              <w:rPr>
                <w:rFonts w:ascii="Garamond" w:eastAsia="Garamond" w:hAnsi="Garamond" w:cs="Garamond"/>
                <w:color w:val="000000"/>
                <w:sz w:val="22"/>
                <w:szCs w:val="22"/>
              </w:rPr>
            </w:pPr>
            <w:r>
              <w:rPr>
                <w:rFonts w:ascii="Garamond" w:eastAsia="Garamond" w:hAnsi="Garamond" w:cs="Garamond"/>
                <w:color w:val="000000"/>
                <w:sz w:val="22"/>
                <w:szCs w:val="22"/>
              </w:rPr>
              <w:t>22.55</w:t>
            </w:r>
          </w:p>
        </w:tc>
        <w:tc>
          <w:tcPr>
            <w:tcW w:w="1800" w:type="dxa"/>
            <w:tcBorders>
              <w:top w:val="single" w:sz="4" w:space="0" w:color="000000"/>
              <w:left w:val="single" w:sz="4" w:space="0" w:color="000000"/>
              <w:bottom w:val="single" w:sz="4" w:space="0" w:color="000000"/>
              <w:right w:val="single" w:sz="4" w:space="0" w:color="000000"/>
            </w:tcBorders>
          </w:tcPr>
          <w:p w14:paraId="000001DD" w14:textId="77777777" w:rsidR="00770242" w:rsidRDefault="00D028A4">
            <w:pPr>
              <w:jc w:val="center"/>
              <w:rPr>
                <w:rFonts w:ascii="Garamond" w:eastAsia="Garamond" w:hAnsi="Garamond" w:cs="Garamond"/>
                <w:color w:val="000000"/>
                <w:sz w:val="22"/>
                <w:szCs w:val="22"/>
              </w:rPr>
            </w:pPr>
            <w:r>
              <w:rPr>
                <w:rFonts w:ascii="Garamond" w:eastAsia="Garamond" w:hAnsi="Garamond" w:cs="Garamond"/>
                <w:color w:val="000000"/>
                <w:sz w:val="22"/>
                <w:szCs w:val="22"/>
              </w:rPr>
              <w:t>3140.74</w:t>
            </w:r>
          </w:p>
        </w:tc>
      </w:tr>
      <w:tr w:rsidR="00770242" w14:paraId="084514FC" w14:textId="77777777">
        <w:tc>
          <w:tcPr>
            <w:tcW w:w="2475" w:type="dxa"/>
            <w:tcBorders>
              <w:top w:val="single" w:sz="4" w:space="0" w:color="000000"/>
              <w:left w:val="single" w:sz="4" w:space="0" w:color="000000"/>
              <w:bottom w:val="single" w:sz="4" w:space="0" w:color="000000"/>
              <w:right w:val="single" w:sz="4" w:space="0" w:color="000000"/>
            </w:tcBorders>
            <w:vAlign w:val="center"/>
          </w:tcPr>
          <w:p w14:paraId="000001DE" w14:textId="77777777" w:rsidR="00770242" w:rsidRDefault="00D028A4">
            <w:pPr>
              <w:rPr>
                <w:rFonts w:ascii="Garamond" w:eastAsia="Garamond" w:hAnsi="Garamond" w:cs="Garamond"/>
                <w:i/>
                <w:color w:val="000000"/>
                <w:sz w:val="22"/>
                <w:szCs w:val="22"/>
              </w:rPr>
            </w:pPr>
            <w:r>
              <w:rPr>
                <w:rFonts w:ascii="Garamond" w:eastAsia="Garamond" w:hAnsi="Garamond" w:cs="Garamond"/>
                <w:i/>
                <w:color w:val="000000"/>
                <w:sz w:val="22"/>
                <w:szCs w:val="22"/>
              </w:rPr>
              <w:t>Percentage of total defoliation</w:t>
            </w:r>
          </w:p>
        </w:tc>
        <w:tc>
          <w:tcPr>
            <w:tcW w:w="1485" w:type="dxa"/>
            <w:tcBorders>
              <w:top w:val="single" w:sz="4" w:space="0" w:color="000000"/>
              <w:left w:val="single" w:sz="4" w:space="0" w:color="000000"/>
              <w:bottom w:val="single" w:sz="4" w:space="0" w:color="000000"/>
              <w:right w:val="single" w:sz="4" w:space="0" w:color="000000"/>
            </w:tcBorders>
            <w:vAlign w:val="bottom"/>
          </w:tcPr>
          <w:p w14:paraId="000001DF" w14:textId="77777777" w:rsidR="00770242" w:rsidRDefault="00D028A4">
            <w:pPr>
              <w:jc w:val="center"/>
              <w:rPr>
                <w:rFonts w:ascii="Garamond" w:eastAsia="Garamond" w:hAnsi="Garamond" w:cs="Garamond"/>
                <w:color w:val="000000"/>
                <w:sz w:val="22"/>
                <w:szCs w:val="22"/>
              </w:rPr>
            </w:pPr>
            <w:r>
              <w:rPr>
                <w:rFonts w:ascii="Garamond" w:eastAsia="Garamond" w:hAnsi="Garamond" w:cs="Garamond"/>
                <w:color w:val="000000"/>
                <w:sz w:val="22"/>
                <w:szCs w:val="22"/>
              </w:rPr>
              <w:t>69.57</w:t>
            </w:r>
          </w:p>
        </w:tc>
        <w:tc>
          <w:tcPr>
            <w:tcW w:w="1710" w:type="dxa"/>
            <w:tcBorders>
              <w:top w:val="single" w:sz="4" w:space="0" w:color="000000"/>
              <w:left w:val="single" w:sz="4" w:space="0" w:color="000000"/>
              <w:bottom w:val="single" w:sz="4" w:space="0" w:color="000000"/>
              <w:right w:val="single" w:sz="4" w:space="0" w:color="000000"/>
            </w:tcBorders>
            <w:vAlign w:val="bottom"/>
          </w:tcPr>
          <w:p w14:paraId="000001E0" w14:textId="77777777" w:rsidR="00770242" w:rsidRDefault="00D028A4">
            <w:pPr>
              <w:jc w:val="center"/>
              <w:rPr>
                <w:rFonts w:ascii="Garamond" w:eastAsia="Garamond" w:hAnsi="Garamond" w:cs="Garamond"/>
                <w:color w:val="000000"/>
                <w:sz w:val="22"/>
                <w:szCs w:val="22"/>
              </w:rPr>
            </w:pPr>
            <w:r>
              <w:rPr>
                <w:rFonts w:ascii="Garamond" w:eastAsia="Garamond" w:hAnsi="Garamond" w:cs="Garamond"/>
                <w:color w:val="000000"/>
                <w:sz w:val="22"/>
                <w:szCs w:val="22"/>
              </w:rPr>
              <w:t>29.71</w:t>
            </w:r>
          </w:p>
        </w:tc>
        <w:tc>
          <w:tcPr>
            <w:tcW w:w="1710" w:type="dxa"/>
            <w:tcBorders>
              <w:top w:val="single" w:sz="4" w:space="0" w:color="000000"/>
              <w:left w:val="single" w:sz="4" w:space="0" w:color="000000"/>
              <w:bottom w:val="single" w:sz="4" w:space="0" w:color="000000"/>
              <w:right w:val="single" w:sz="4" w:space="0" w:color="000000"/>
            </w:tcBorders>
            <w:vAlign w:val="bottom"/>
          </w:tcPr>
          <w:p w14:paraId="000001E1" w14:textId="77777777" w:rsidR="00770242" w:rsidRDefault="00D028A4">
            <w:pPr>
              <w:jc w:val="center"/>
              <w:rPr>
                <w:rFonts w:ascii="Garamond" w:eastAsia="Garamond" w:hAnsi="Garamond" w:cs="Garamond"/>
                <w:color w:val="000000"/>
                <w:sz w:val="22"/>
                <w:szCs w:val="22"/>
              </w:rPr>
            </w:pPr>
            <w:r>
              <w:rPr>
                <w:rFonts w:ascii="Garamond" w:eastAsia="Garamond" w:hAnsi="Garamond" w:cs="Garamond"/>
                <w:color w:val="000000"/>
                <w:sz w:val="22"/>
                <w:szCs w:val="22"/>
              </w:rPr>
              <w:t>0.72</w:t>
            </w:r>
          </w:p>
        </w:tc>
        <w:tc>
          <w:tcPr>
            <w:tcW w:w="1800" w:type="dxa"/>
            <w:tcBorders>
              <w:top w:val="single" w:sz="4" w:space="0" w:color="000000"/>
              <w:left w:val="single" w:sz="4" w:space="0" w:color="000000"/>
              <w:bottom w:val="single" w:sz="4" w:space="0" w:color="000000"/>
              <w:right w:val="single" w:sz="4" w:space="0" w:color="000000"/>
            </w:tcBorders>
          </w:tcPr>
          <w:p w14:paraId="000001E2" w14:textId="77777777" w:rsidR="00770242" w:rsidRDefault="00D028A4">
            <w:pPr>
              <w:jc w:val="center"/>
              <w:rPr>
                <w:rFonts w:ascii="Garamond" w:eastAsia="Garamond" w:hAnsi="Garamond" w:cs="Garamond"/>
                <w:color w:val="000000"/>
                <w:sz w:val="22"/>
                <w:szCs w:val="22"/>
              </w:rPr>
            </w:pPr>
            <w:r>
              <w:rPr>
                <w:rFonts w:ascii="Garamond" w:eastAsia="Garamond" w:hAnsi="Garamond" w:cs="Garamond"/>
                <w:color w:val="000000"/>
                <w:sz w:val="22"/>
                <w:szCs w:val="22"/>
              </w:rPr>
              <w:t>100</w:t>
            </w:r>
          </w:p>
        </w:tc>
      </w:tr>
    </w:tbl>
    <w:p w14:paraId="000001E3" w14:textId="77777777" w:rsidR="00770242" w:rsidRDefault="00770242">
      <w:pPr>
        <w:rPr>
          <w:rFonts w:ascii="Garamond" w:eastAsia="Garamond" w:hAnsi="Garamond" w:cs="Garamond"/>
          <w:sz w:val="22"/>
          <w:szCs w:val="22"/>
        </w:rPr>
      </w:pPr>
    </w:p>
    <w:p w14:paraId="000001E4" w14:textId="77777777" w:rsidR="00770242" w:rsidRDefault="00770242"/>
    <w:p w14:paraId="000001E5" w14:textId="6EBE6532" w:rsidR="00770242" w:rsidRDefault="00D028A4">
      <w:pPr>
        <w:jc w:val="center"/>
        <w:rPr>
          <w:sz w:val="22"/>
          <w:szCs w:val="22"/>
        </w:rPr>
      </w:pPr>
      <w:r>
        <w:rPr>
          <w:noProof/>
        </w:rPr>
        <w:drawing>
          <wp:inline distT="0" distB="0" distL="114300" distR="114300" wp14:anchorId="042D359D" wp14:editId="556E8B9F">
            <wp:extent cx="4486275" cy="2933700"/>
            <wp:effectExtent l="0" t="0" r="0" b="0"/>
            <wp:docPr id="19294722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8"/>
                    <a:srcRect l="1875"/>
                    <a:stretch>
                      <a:fillRect/>
                    </a:stretch>
                  </pic:blipFill>
                  <pic:spPr>
                    <a:xfrm>
                      <a:off x="0" y="0"/>
                      <a:ext cx="4486275" cy="2933700"/>
                    </a:xfrm>
                    <a:prstGeom prst="rect">
                      <a:avLst/>
                    </a:prstGeom>
                    <a:ln/>
                  </pic:spPr>
                </pic:pic>
              </a:graphicData>
            </a:graphic>
          </wp:inline>
        </w:drawing>
      </w:r>
    </w:p>
    <w:p w14:paraId="193D2FBE" w14:textId="77777777" w:rsidR="00A45A07" w:rsidRDefault="00A45A07">
      <w:pPr>
        <w:jc w:val="center"/>
        <w:rPr>
          <w:sz w:val="22"/>
          <w:szCs w:val="22"/>
        </w:rPr>
      </w:pPr>
    </w:p>
    <w:p w14:paraId="000001E6" w14:textId="24582974" w:rsidR="00770242" w:rsidRDefault="00D028A4" w:rsidP="00A45A07">
      <w:pPr>
        <w:jc w:val="center"/>
        <w:rPr>
          <w:rFonts w:ascii="Garamond" w:eastAsia="Garamond" w:hAnsi="Garamond" w:cs="Garamond"/>
          <w:i/>
          <w:sz w:val="22"/>
          <w:szCs w:val="22"/>
        </w:rPr>
      </w:pPr>
      <w:r>
        <w:rPr>
          <w:rFonts w:ascii="Garamond" w:eastAsia="Garamond" w:hAnsi="Garamond" w:cs="Garamond"/>
          <w:i/>
          <w:sz w:val="22"/>
          <w:szCs w:val="22"/>
        </w:rPr>
        <w:t xml:space="preserve">Figure A1. </w:t>
      </w:r>
      <w:r>
        <w:rPr>
          <w:rFonts w:ascii="Garamond" w:eastAsia="Garamond" w:hAnsi="Garamond" w:cs="Garamond"/>
          <w:sz w:val="22"/>
          <w:szCs w:val="22"/>
        </w:rPr>
        <w:t>Repeated potential defoliation events between 2012 and 2021</w:t>
      </w:r>
      <w:r w:rsidR="00A45A07">
        <w:rPr>
          <w:rFonts w:ascii="Garamond" w:eastAsia="Garamond" w:hAnsi="Garamond" w:cs="Garamond"/>
          <w:sz w:val="22"/>
          <w:szCs w:val="22"/>
        </w:rPr>
        <w:t>, ranging from two events (lightest yellow) to six (purple).</w:t>
      </w:r>
    </w:p>
    <w:sectPr w:rsidR="00770242">
      <w:headerReference w:type="default" r:id="rId49"/>
      <w:footerReference w:type="even" r:id="rId50"/>
      <w:footerReference w:type="default" r:id="rId51"/>
      <w:headerReference w:type="first" r:id="rId52"/>
      <w:footerReference w:type="first" r:id="rId5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A4B3CA" w14:textId="77777777" w:rsidR="0045506D" w:rsidRDefault="0045506D">
      <w:r>
        <w:separator/>
      </w:r>
    </w:p>
  </w:endnote>
  <w:endnote w:type="continuationSeparator" w:id="0">
    <w:p w14:paraId="6AB26559" w14:textId="77777777" w:rsidR="0045506D" w:rsidRDefault="00455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Quattrocento Sans">
    <w:altName w:val="Calibri"/>
    <w:charset w:val="00"/>
    <w:family w:val="swiss"/>
    <w:pitch w:val="variable"/>
    <w:sig w:usb0="800000BF" w:usb1="4000005B"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F3" w14:textId="77777777" w:rsidR="00462E20" w:rsidRDefault="00462E2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000001F4" w14:textId="77777777" w:rsidR="00462E20" w:rsidRDefault="00462E20">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F1" w14:textId="61D30378" w:rsidR="00462E20" w:rsidRDefault="00462E2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1F2" w14:textId="77777777" w:rsidR="00462E20" w:rsidRDefault="00462E20">
    <w:pPr>
      <w:pBdr>
        <w:top w:val="nil"/>
        <w:left w:val="nil"/>
        <w:bottom w:val="nil"/>
        <w:right w:val="nil"/>
        <w:between w:val="nil"/>
      </w:pBdr>
      <w:tabs>
        <w:tab w:val="center" w:pos="4680"/>
        <w:tab w:val="right" w:pos="936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F5" w14:textId="77777777" w:rsidR="00462E20" w:rsidRDefault="00462E20">
    <w:pPr>
      <w:pBdr>
        <w:top w:val="nil"/>
        <w:left w:val="nil"/>
        <w:bottom w:val="nil"/>
        <w:right w:val="nil"/>
        <w:between w:val="nil"/>
      </w:pBdr>
      <w:tabs>
        <w:tab w:val="center" w:pos="4680"/>
        <w:tab w:val="right" w:pos="936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1ADD45" w14:textId="77777777" w:rsidR="0045506D" w:rsidRDefault="0045506D">
      <w:r>
        <w:separator/>
      </w:r>
    </w:p>
  </w:footnote>
  <w:footnote w:type="continuationSeparator" w:id="0">
    <w:p w14:paraId="4D953B1E" w14:textId="77777777" w:rsidR="0045506D" w:rsidRDefault="00455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EC" w14:textId="77777777" w:rsidR="00462E20" w:rsidRDefault="00462E20">
    <w:pPr>
      <w:widowControl w:val="0"/>
      <w:pBdr>
        <w:top w:val="nil"/>
        <w:left w:val="nil"/>
        <w:bottom w:val="nil"/>
        <w:right w:val="nil"/>
        <w:between w:val="nil"/>
      </w:pBdr>
      <w:spacing w:line="276" w:lineRule="auto"/>
      <w:rPr>
        <w:rFonts w:ascii="Garamond" w:eastAsia="Garamond" w:hAnsi="Garamond" w:cs="Garamond"/>
        <w:b/>
        <w:color w:val="000000"/>
        <w:sz w:val="32"/>
        <w:szCs w:val="32"/>
      </w:rPr>
    </w:pPr>
  </w:p>
  <w:tbl>
    <w:tblPr>
      <w:tblStyle w:val="a6"/>
      <w:tblW w:w="9360" w:type="dxa"/>
      <w:tblLayout w:type="fixed"/>
      <w:tblLook w:val="0600" w:firstRow="0" w:lastRow="0" w:firstColumn="0" w:lastColumn="0" w:noHBand="1" w:noVBand="1"/>
    </w:tblPr>
    <w:tblGrid>
      <w:gridCol w:w="3120"/>
      <w:gridCol w:w="3120"/>
      <w:gridCol w:w="3120"/>
    </w:tblGrid>
    <w:tr w:rsidR="00462E20" w14:paraId="0EBF1D9B" w14:textId="77777777">
      <w:tc>
        <w:tcPr>
          <w:tcW w:w="3120" w:type="dxa"/>
        </w:tcPr>
        <w:p w14:paraId="000001ED" w14:textId="77777777" w:rsidR="00462E20" w:rsidRDefault="00462E20">
          <w:pPr>
            <w:pBdr>
              <w:top w:val="nil"/>
              <w:left w:val="nil"/>
              <w:bottom w:val="nil"/>
              <w:right w:val="nil"/>
              <w:between w:val="nil"/>
            </w:pBdr>
            <w:tabs>
              <w:tab w:val="center" w:pos="4680"/>
              <w:tab w:val="right" w:pos="9360"/>
            </w:tabs>
            <w:ind w:left="-115"/>
            <w:rPr>
              <w:color w:val="000000"/>
            </w:rPr>
          </w:pPr>
        </w:p>
      </w:tc>
      <w:tc>
        <w:tcPr>
          <w:tcW w:w="3120" w:type="dxa"/>
        </w:tcPr>
        <w:p w14:paraId="000001EE" w14:textId="77777777" w:rsidR="00462E20" w:rsidRDefault="00462E20">
          <w:pPr>
            <w:pBdr>
              <w:top w:val="nil"/>
              <w:left w:val="nil"/>
              <w:bottom w:val="nil"/>
              <w:right w:val="nil"/>
              <w:between w:val="nil"/>
            </w:pBdr>
            <w:tabs>
              <w:tab w:val="center" w:pos="4680"/>
              <w:tab w:val="right" w:pos="9360"/>
            </w:tabs>
            <w:jc w:val="center"/>
            <w:rPr>
              <w:color w:val="000000"/>
            </w:rPr>
          </w:pPr>
        </w:p>
      </w:tc>
      <w:tc>
        <w:tcPr>
          <w:tcW w:w="3120" w:type="dxa"/>
        </w:tcPr>
        <w:p w14:paraId="000001EF" w14:textId="77777777" w:rsidR="00462E20" w:rsidRDefault="00462E20">
          <w:pPr>
            <w:pBdr>
              <w:top w:val="nil"/>
              <w:left w:val="nil"/>
              <w:bottom w:val="nil"/>
              <w:right w:val="nil"/>
              <w:between w:val="nil"/>
            </w:pBdr>
            <w:tabs>
              <w:tab w:val="center" w:pos="4680"/>
              <w:tab w:val="right" w:pos="9360"/>
            </w:tabs>
            <w:ind w:right="-115"/>
            <w:jc w:val="right"/>
            <w:rPr>
              <w:color w:val="000000"/>
            </w:rPr>
          </w:pPr>
        </w:p>
      </w:tc>
    </w:tr>
  </w:tbl>
  <w:p w14:paraId="000001F0" w14:textId="77777777" w:rsidR="00462E20" w:rsidRDefault="00462E2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7DFEB" w14:textId="77777777" w:rsidR="00462E20" w:rsidRPr="000B6E68" w:rsidRDefault="00462E20" w:rsidP="00D028A4">
    <w:pPr>
      <w:jc w:val="right"/>
      <w:rPr>
        <w:rFonts w:ascii="Garamond" w:hAnsi="Garamond"/>
        <w:b/>
        <w:sz w:val="32"/>
        <w:szCs w:val="32"/>
      </w:rPr>
    </w:pPr>
    <w:r w:rsidRPr="000B6E68">
      <w:rPr>
        <w:rFonts w:ascii="Garamond" w:hAnsi="Garamond"/>
        <w:b/>
        <w:sz w:val="32"/>
        <w:szCs w:val="32"/>
      </w:rPr>
      <w:t>NASA DEVELOP National Program</w:t>
    </w:r>
  </w:p>
  <w:p w14:paraId="2815FB56" w14:textId="77777777" w:rsidR="00462E20" w:rsidRPr="000B6E68" w:rsidRDefault="00462E20" w:rsidP="00D028A4">
    <w:pPr>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9264" behindDoc="0" locked="0" layoutInCell="1" allowOverlap="1" wp14:anchorId="47EFCD69" wp14:editId="55A81A2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46EF7935">
      <w:rPr>
        <w:rFonts w:ascii="Garamond" w:hAnsi="Garamond"/>
        <w:b/>
        <w:bCs/>
        <w:sz w:val="32"/>
        <w:szCs w:val="32"/>
      </w:rPr>
      <w:t>California – Ames</w:t>
    </w:r>
  </w:p>
  <w:p w14:paraId="6E57D839" w14:textId="77777777" w:rsidR="00462E20" w:rsidRDefault="00462E20" w:rsidP="00D028A4">
    <w:pPr>
      <w:pStyle w:val="Header"/>
      <w:jc w:val="right"/>
      <w:rPr>
        <w:rFonts w:ascii="Garamond" w:hAnsi="Garamond"/>
        <w:i/>
        <w:iCs/>
        <w:sz w:val="32"/>
        <w:szCs w:val="32"/>
      </w:rPr>
    </w:pPr>
    <w:r w:rsidRPr="0717EEBB">
      <w:rPr>
        <w:rFonts w:ascii="Garamond" w:hAnsi="Garamond"/>
        <w:i/>
        <w:iCs/>
        <w:sz w:val="32"/>
        <w:szCs w:val="32"/>
      </w:rPr>
      <w:t xml:space="preserve"> Spring 2022</w:t>
    </w:r>
  </w:p>
  <w:p w14:paraId="000001EB" w14:textId="77777777" w:rsidR="00462E20" w:rsidRPr="00D028A4" w:rsidRDefault="00462E20" w:rsidP="00D028A4">
    <w:pPr>
      <w:pStyle w:val="Header"/>
      <w:rPr>
        <w:rFonts w:eastAsia="Garamond"/>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242"/>
    <w:rsid w:val="000A69C9"/>
    <w:rsid w:val="000E4017"/>
    <w:rsid w:val="00122ADC"/>
    <w:rsid w:val="00185219"/>
    <w:rsid w:val="00187772"/>
    <w:rsid w:val="00213161"/>
    <w:rsid w:val="002F5FF3"/>
    <w:rsid w:val="003144AC"/>
    <w:rsid w:val="0043546A"/>
    <w:rsid w:val="0045506D"/>
    <w:rsid w:val="00462E20"/>
    <w:rsid w:val="004B7A15"/>
    <w:rsid w:val="004B7D8A"/>
    <w:rsid w:val="00533295"/>
    <w:rsid w:val="005A4D39"/>
    <w:rsid w:val="005A76B1"/>
    <w:rsid w:val="005C4431"/>
    <w:rsid w:val="00645C35"/>
    <w:rsid w:val="00665950"/>
    <w:rsid w:val="00693A49"/>
    <w:rsid w:val="006D7021"/>
    <w:rsid w:val="0075063F"/>
    <w:rsid w:val="00757F43"/>
    <w:rsid w:val="00770242"/>
    <w:rsid w:val="00796353"/>
    <w:rsid w:val="007B02C6"/>
    <w:rsid w:val="008125E8"/>
    <w:rsid w:val="008335F3"/>
    <w:rsid w:val="008A05C5"/>
    <w:rsid w:val="0097705E"/>
    <w:rsid w:val="00A16C73"/>
    <w:rsid w:val="00A45A07"/>
    <w:rsid w:val="00AA2FF2"/>
    <w:rsid w:val="00B90A2A"/>
    <w:rsid w:val="00BF4F51"/>
    <w:rsid w:val="00C7244C"/>
    <w:rsid w:val="00D028A4"/>
    <w:rsid w:val="00D667E3"/>
    <w:rsid w:val="00D865BF"/>
    <w:rsid w:val="00D91DFE"/>
    <w:rsid w:val="00DA2E5D"/>
    <w:rsid w:val="00E91E72"/>
    <w:rsid w:val="00EF6AA9"/>
    <w:rsid w:val="00F12C5D"/>
    <w:rsid w:val="00F90783"/>
    <w:rsid w:val="00FB6984"/>
    <w:rsid w:val="00FE56A3"/>
    <w:rsid w:val="00FF0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203D8"/>
  <w15:docId w15:val="{D5C1C706-E463-4875-BBB0-4F91DE925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540"/>
  </w:style>
  <w:style w:type="paragraph" w:styleId="Heading1">
    <w:name w:val="heading 1"/>
    <w:basedOn w:val="Normal"/>
    <w:next w:val="Normal"/>
    <w:link w:val="Heading1Char"/>
    <w:uiPriority w:val="9"/>
    <w:qFormat/>
    <w:rsid w:val="00FB58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4132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PlaceholderText">
    <w:name w:val="Placeholder Text"/>
    <w:basedOn w:val="DefaultParagraphFont"/>
    <w:uiPriority w:val="99"/>
    <w:semiHidden/>
    <w:rsid w:val="000A7E56"/>
    <w:rPr>
      <w:color w:val="808080"/>
    </w:rPr>
  </w:style>
  <w:style w:type="paragraph" w:styleId="NormalWeb">
    <w:name w:val="Normal (Web)"/>
    <w:basedOn w:val="Normal"/>
    <w:uiPriority w:val="99"/>
    <w:semiHidden/>
    <w:unhideWhenUsed/>
    <w:rsid w:val="00B045F1"/>
    <w:pPr>
      <w:spacing w:before="100" w:beforeAutospacing="1" w:after="100" w:afterAutospacing="1"/>
    </w:pPr>
  </w:style>
  <w:style w:type="character" w:styleId="Emphasis">
    <w:name w:val="Emphasis"/>
    <w:basedOn w:val="DefaultParagraphFont"/>
    <w:uiPriority w:val="20"/>
    <w:qFormat/>
    <w:rsid w:val="00B045F1"/>
    <w:rPr>
      <w:i/>
      <w:iCs/>
    </w:rPr>
  </w:style>
  <w:style w:type="character" w:styleId="Strong">
    <w:name w:val="Strong"/>
    <w:basedOn w:val="DefaultParagraphFont"/>
    <w:uiPriority w:val="22"/>
    <w:qFormat/>
    <w:rsid w:val="00B045F1"/>
    <w:rPr>
      <w:b/>
      <w:bCs/>
    </w:rPr>
  </w:style>
  <w:style w:type="paragraph" w:styleId="Revision">
    <w:name w:val="Revision"/>
    <w:hidden/>
    <w:uiPriority w:val="99"/>
    <w:semiHidden/>
    <w:rsid w:val="007E555B"/>
  </w:style>
  <w:style w:type="character" w:styleId="UnresolvedMention">
    <w:name w:val="Unresolved Mention"/>
    <w:basedOn w:val="DefaultParagraphFont"/>
    <w:uiPriority w:val="99"/>
    <w:unhideWhenUsed/>
    <w:rsid w:val="002A7576"/>
    <w:rPr>
      <w:color w:val="605E5C"/>
      <w:shd w:val="clear" w:color="auto" w:fill="E1DFDD"/>
    </w:rPr>
  </w:style>
  <w:style w:type="paragraph" w:customStyle="1" w:styleId="paragraph">
    <w:name w:val="paragraph"/>
    <w:basedOn w:val="Normal"/>
    <w:rsid w:val="001134BE"/>
    <w:pPr>
      <w:spacing w:before="100" w:beforeAutospacing="1" w:after="100" w:afterAutospacing="1"/>
    </w:pPr>
  </w:style>
  <w:style w:type="character" w:customStyle="1" w:styleId="spellingerror">
    <w:name w:val="spellingerror"/>
    <w:basedOn w:val="DefaultParagraphFont"/>
    <w:rsid w:val="001134BE"/>
  </w:style>
  <w:style w:type="character" w:customStyle="1" w:styleId="normaltextrun">
    <w:name w:val="normaltextrun"/>
    <w:basedOn w:val="DefaultParagraphFont"/>
    <w:rsid w:val="001134BE"/>
  </w:style>
  <w:style w:type="character" w:customStyle="1" w:styleId="eop">
    <w:name w:val="eop"/>
    <w:basedOn w:val="DefaultParagraphFont"/>
    <w:rsid w:val="001134BE"/>
  </w:style>
  <w:style w:type="character" w:styleId="PageNumber">
    <w:name w:val="page number"/>
    <w:basedOn w:val="DefaultParagraphFont"/>
    <w:uiPriority w:val="99"/>
    <w:semiHidden/>
    <w:unhideWhenUsed/>
    <w:rsid w:val="00213D4E"/>
  </w:style>
  <w:style w:type="paragraph" w:styleId="FootnoteText">
    <w:name w:val="footnote text"/>
    <w:basedOn w:val="Normal"/>
    <w:link w:val="FootnoteTextChar"/>
    <w:uiPriority w:val="99"/>
    <w:semiHidden/>
    <w:unhideWhenUsed/>
    <w:rsid w:val="00250722"/>
    <w:rPr>
      <w:sz w:val="20"/>
      <w:szCs w:val="20"/>
    </w:rPr>
  </w:style>
  <w:style w:type="character" w:customStyle="1" w:styleId="FootnoteTextChar">
    <w:name w:val="Footnote Text Char"/>
    <w:basedOn w:val="DefaultParagraphFont"/>
    <w:link w:val="FootnoteText"/>
    <w:uiPriority w:val="99"/>
    <w:semiHidden/>
    <w:rsid w:val="00250722"/>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250722"/>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018212">
      <w:bodyDiv w:val="1"/>
      <w:marLeft w:val="0"/>
      <w:marRight w:val="0"/>
      <w:marTop w:val="0"/>
      <w:marBottom w:val="0"/>
      <w:divBdr>
        <w:top w:val="none" w:sz="0" w:space="0" w:color="auto"/>
        <w:left w:val="none" w:sz="0" w:space="0" w:color="auto"/>
        <w:bottom w:val="none" w:sz="0" w:space="0" w:color="auto"/>
        <w:right w:val="none" w:sz="0" w:space="0" w:color="auto"/>
      </w:divBdr>
    </w:div>
    <w:div w:id="167604632">
      <w:bodyDiv w:val="1"/>
      <w:marLeft w:val="0"/>
      <w:marRight w:val="0"/>
      <w:marTop w:val="0"/>
      <w:marBottom w:val="0"/>
      <w:divBdr>
        <w:top w:val="none" w:sz="0" w:space="0" w:color="auto"/>
        <w:left w:val="none" w:sz="0" w:space="0" w:color="auto"/>
        <w:bottom w:val="none" w:sz="0" w:space="0" w:color="auto"/>
        <w:right w:val="none" w:sz="0" w:space="0" w:color="auto"/>
      </w:divBdr>
    </w:div>
    <w:div w:id="473837600">
      <w:bodyDiv w:val="1"/>
      <w:marLeft w:val="0"/>
      <w:marRight w:val="0"/>
      <w:marTop w:val="0"/>
      <w:marBottom w:val="0"/>
      <w:divBdr>
        <w:top w:val="none" w:sz="0" w:space="0" w:color="auto"/>
        <w:left w:val="none" w:sz="0" w:space="0" w:color="auto"/>
        <w:bottom w:val="none" w:sz="0" w:space="0" w:color="auto"/>
        <w:right w:val="none" w:sz="0" w:space="0" w:color="auto"/>
      </w:divBdr>
    </w:div>
    <w:div w:id="874535966">
      <w:bodyDiv w:val="1"/>
      <w:marLeft w:val="0"/>
      <w:marRight w:val="0"/>
      <w:marTop w:val="0"/>
      <w:marBottom w:val="0"/>
      <w:divBdr>
        <w:top w:val="none" w:sz="0" w:space="0" w:color="auto"/>
        <w:left w:val="none" w:sz="0" w:space="0" w:color="auto"/>
        <w:bottom w:val="none" w:sz="0" w:space="0" w:color="auto"/>
        <w:right w:val="none" w:sz="0" w:space="0" w:color="auto"/>
      </w:divBdr>
    </w:div>
    <w:div w:id="1369602557">
      <w:bodyDiv w:val="1"/>
      <w:marLeft w:val="0"/>
      <w:marRight w:val="0"/>
      <w:marTop w:val="0"/>
      <w:marBottom w:val="0"/>
      <w:divBdr>
        <w:top w:val="none" w:sz="0" w:space="0" w:color="auto"/>
        <w:left w:val="none" w:sz="0" w:space="0" w:color="auto"/>
        <w:bottom w:val="none" w:sz="0" w:space="0" w:color="auto"/>
        <w:right w:val="none" w:sz="0" w:space="0" w:color="auto"/>
      </w:divBdr>
    </w:div>
    <w:div w:id="21114699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1146/annurev.en.35.010190.003035" TargetMode="External"/><Relationship Id="rId39" Type="http://schemas.openxmlformats.org/officeDocument/2006/relationships/hyperlink" Target="https://extension.unh.edu/resource/gypsy-moth-fact-sheet" TargetMode="External"/><Relationship Id="rId21" Type="http://schemas.openxmlformats.org/officeDocument/2006/relationships/hyperlink" Target="http://doi.org/10.1016/S0168-1923(01)00282-9" TargetMode="External"/><Relationship Id="rId34" Type="http://schemas.openxmlformats.org/officeDocument/2006/relationships/hyperlink" Target="https://doi.org/10.5281/zenodo.4565535" TargetMode="External"/><Relationship Id="rId42" Type="http://schemas.openxmlformats.org/officeDocument/2006/relationships/hyperlink" Target="https://doi.org/10.5066/P9C7I13B" TargetMode="External"/><Relationship Id="rId47" Type="http://schemas.openxmlformats.org/officeDocument/2006/relationships/hyperlink" Target="https://doi.org/10.1016/j.geoderma.2017.05.048"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5067/MODIS/MOD10A1.006" TargetMode="External"/><Relationship Id="rId11" Type="http://schemas.openxmlformats.org/officeDocument/2006/relationships/image" Target="media/image5.png"/><Relationship Id="rId24" Type="http://schemas.openxmlformats.org/officeDocument/2006/relationships/hyperlink" Target="https://www.wmur.com/article/gypsy-moth-caterpillar-outbreak-nh/36793109" TargetMode="External"/><Relationship Id="rId32" Type="http://schemas.openxmlformats.org/officeDocument/2006/relationships/hyperlink" Target="https://doi.org/10.5067/ZX7YX2Y2LHEB" TargetMode="External"/><Relationship Id="rId37" Type="http://schemas.openxmlformats.org/officeDocument/2006/relationships/hyperlink" Target="https://doi.org/10.1603/EN13194" TargetMode="External"/><Relationship Id="rId40" Type="http://schemas.openxmlformats.org/officeDocument/2006/relationships/hyperlink" Target="https://www.census.gov/geographies/mapping-files/time-series/geo/tiger-line-file.2018.html" TargetMode="External"/><Relationship Id="rId45" Type="http://schemas.openxmlformats.org/officeDocument/2006/relationships/hyperlink" Target="https://doi.org/10.1016/j.rse.2016.04.008" TargetMode="External"/><Relationship Id="rId53"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yperlink" Target="https://www.climatologylab.org/gridmet.html" TargetMode="External"/><Relationship Id="rId31" Type="http://schemas.openxmlformats.org/officeDocument/2006/relationships/hyperlink" Target="https://doi.org/10.1007/PL00012004" TargetMode="External"/><Relationship Id="rId44" Type="http://schemas.openxmlformats.org/officeDocument/2006/relationships/hyperlink" Target="https://doi.org/10.5066/P92QM3NT" TargetMode="External"/><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full/10.1080/2150704X.2014.915434" TargetMode="External"/><Relationship Id="rId27" Type="http://schemas.openxmlformats.org/officeDocument/2006/relationships/hyperlink" Target="https://doi.org/10.15780/G2RP4Q" TargetMode="External"/><Relationship Id="rId30" Type="http://schemas.openxmlformats.org/officeDocument/2006/relationships/hyperlink" Target="https://landfire.gov/evt.php" TargetMode="External"/><Relationship Id="rId35" Type="http://schemas.openxmlformats.org/officeDocument/2006/relationships/hyperlink" Target="https://doi.org/10.1002/rse2.211" TargetMode="External"/><Relationship Id="rId43" Type="http://schemas.openxmlformats.org/officeDocument/2006/relationships/hyperlink" Target="https://doi.org/10.5066/f78s4mzj" TargetMode="External"/><Relationship Id="rId48" Type="http://schemas.openxmlformats.org/officeDocument/2006/relationships/image" Target="media/image13.png"/><Relationship Id="rId8" Type="http://schemas.openxmlformats.org/officeDocument/2006/relationships/image" Target="media/image2.pn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hyperlink" Target="https://doi.org/10.1093/aobpla/plaa059" TargetMode="External"/><Relationship Id="rId33" Type="http://schemas.openxmlformats.org/officeDocument/2006/relationships/hyperlink" Target="https://doi.org/10.3390/f8080275" TargetMode="External"/><Relationship Id="rId38" Type="http://schemas.openxmlformats.org/officeDocument/2006/relationships/hyperlink" Target="https://www.nh.gov/nhdfl/reports/maps.htm" TargetMode="External"/><Relationship Id="rId46" Type="http://schemas.openxmlformats.org/officeDocument/2006/relationships/hyperlink" Target="https://doi.org/10.1111/1365-2656.12272" TargetMode="External"/><Relationship Id="rId20" Type="http://schemas.openxmlformats.org/officeDocument/2006/relationships/hyperlink" Target="https://www.climatologylab.org/gridmet.html" TargetMode="External"/><Relationship Id="rId41" Type="http://schemas.openxmlformats.org/officeDocument/2006/relationships/hyperlink" Target="https://doi.org/10.5066/F7F76B1X"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oi.org/10.5066/P96HHBIE" TargetMode="External"/><Relationship Id="rId28" Type="http://schemas.openxmlformats.org/officeDocument/2006/relationships/hyperlink" Target="https://doi.org/10.1016/S0034-4257(96)00067-3" TargetMode="External"/><Relationship Id="rId36" Type="http://schemas.openxmlformats.org/officeDocument/2006/relationships/hyperlink" Target="https://doi.org/10.17027/isric-soilgrids.f0797a68-1692-11ea-a7c0-a0481ca9e724" TargetMode="External"/><Relationship Id="rId4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liwwIqIh+SYcJQ/6OvB15rHemg==">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18</Pages>
  <Words>6464</Words>
  <Characters>36851</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 Byles</dc:creator>
  <cp:lastModifiedBy>Sophia Skoglund</cp:lastModifiedBy>
  <cp:revision>3</cp:revision>
  <dcterms:created xsi:type="dcterms:W3CDTF">2022-05-17T17:55:00Z</dcterms:created>
  <dcterms:modified xsi:type="dcterms:W3CDTF">2022-05-17T20:48:00Z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