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6CC7" w:rsidRDefault="00457177">
      <w:pPr>
        <w:tabs>
          <w:tab w:val="left" w:pos="7329"/>
        </w:tabs>
        <w:spacing w:after="0" w:line="240" w:lineRule="auto"/>
        <w:jc w:val="right"/>
        <w:rPr>
          <w:rFonts w:ascii="Garamond" w:eastAsia="Garamond" w:hAnsi="Garamond" w:cs="Garamond"/>
          <w:i/>
          <w:sz w:val="40"/>
          <w:szCs w:val="40"/>
        </w:rPr>
      </w:pPr>
      <w:bookmarkStart w:id="0" w:name="_heading=h.gjdgxs" w:colFirst="0" w:colLast="0"/>
      <w:bookmarkEnd w:id="0"/>
      <w:r>
        <w:rPr>
          <w:rFonts w:ascii="Garamond" w:eastAsia="Garamond" w:hAnsi="Garamond" w:cs="Garamond"/>
          <w:sz w:val="40"/>
          <w:szCs w:val="40"/>
        </w:rPr>
        <w:t>Panama Water Resources</w:t>
      </w:r>
    </w:p>
    <w:p w:rsidR="00886CC7" w:rsidRDefault="00457177">
      <w:pPr>
        <w:spacing w:after="0" w:line="240" w:lineRule="auto"/>
        <w:jc w:val="right"/>
        <w:rPr>
          <w:rFonts w:ascii="Garamond" w:eastAsia="Garamond" w:hAnsi="Garamond" w:cs="Garamond"/>
          <w:sz w:val="28"/>
          <w:szCs w:val="28"/>
        </w:rPr>
      </w:pPr>
      <w:r>
        <w:rPr>
          <w:rFonts w:ascii="Garamond" w:eastAsia="Garamond" w:hAnsi="Garamond" w:cs="Garamond"/>
          <w:sz w:val="28"/>
          <w:szCs w:val="28"/>
        </w:rPr>
        <w:t>Characterizing Vegetation Water Use in the Panama Canal Watershed to Inform Water Management in the Panama Canal</w:t>
      </w:r>
    </w:p>
    <w:p w:rsidR="00886CC7" w:rsidRDefault="00886CC7">
      <w:pPr>
        <w:spacing w:after="0" w:line="240" w:lineRule="auto"/>
        <w:rPr>
          <w:rFonts w:ascii="Garamond" w:eastAsia="Garamond" w:hAnsi="Garamond" w:cs="Garamond"/>
          <w:sz w:val="32"/>
          <w:szCs w:val="32"/>
        </w:rPr>
      </w:pPr>
    </w:p>
    <w:p w:rsidR="00886CC7" w:rsidRDefault="00886CC7">
      <w:pPr>
        <w:spacing w:after="0" w:line="240" w:lineRule="auto"/>
        <w:rPr>
          <w:rFonts w:ascii="Garamond" w:eastAsia="Garamond" w:hAnsi="Garamond" w:cs="Garamond"/>
          <w:sz w:val="32"/>
          <w:szCs w:val="32"/>
        </w:rPr>
      </w:pPr>
    </w:p>
    <w:p w:rsidR="00886CC7" w:rsidRDefault="00886CC7">
      <w:pPr>
        <w:spacing w:after="0" w:line="240" w:lineRule="auto"/>
        <w:rPr>
          <w:rFonts w:ascii="Garamond" w:eastAsia="Garamond" w:hAnsi="Garamond" w:cs="Garamond"/>
          <w:sz w:val="32"/>
          <w:szCs w:val="32"/>
        </w:rPr>
      </w:pPr>
    </w:p>
    <w:p w:rsidR="00886CC7" w:rsidRDefault="00886CC7">
      <w:pPr>
        <w:spacing w:after="0" w:line="240" w:lineRule="auto"/>
        <w:rPr>
          <w:rFonts w:ascii="Garamond" w:eastAsia="Garamond" w:hAnsi="Garamond" w:cs="Garamond"/>
          <w:sz w:val="32"/>
          <w:szCs w:val="32"/>
        </w:rPr>
      </w:pPr>
    </w:p>
    <w:p w:rsidR="00886CC7" w:rsidRDefault="00886CC7">
      <w:pPr>
        <w:spacing w:after="0" w:line="240" w:lineRule="auto"/>
        <w:jc w:val="center"/>
        <w:rPr>
          <w:rFonts w:ascii="Garamond" w:eastAsia="Garamond" w:hAnsi="Garamond" w:cs="Garamond"/>
          <w:b/>
          <w:sz w:val="32"/>
          <w:szCs w:val="32"/>
        </w:rPr>
      </w:pPr>
    </w:p>
    <w:p w:rsidR="00886CC7" w:rsidRDefault="00886CC7">
      <w:pPr>
        <w:spacing w:after="0" w:line="240" w:lineRule="auto"/>
        <w:jc w:val="center"/>
        <w:rPr>
          <w:rFonts w:ascii="Garamond" w:eastAsia="Garamond" w:hAnsi="Garamond" w:cs="Garamond"/>
          <w:b/>
          <w:sz w:val="32"/>
          <w:szCs w:val="32"/>
        </w:rPr>
      </w:pPr>
    </w:p>
    <w:p w:rsidR="00886CC7" w:rsidRDefault="00457177">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simplePos x="0" y="0"/>
            <wp:positionH relativeFrom="column">
              <wp:posOffset>1628140</wp:posOffset>
            </wp:positionH>
            <wp:positionV relativeFrom="paragraph">
              <wp:posOffset>56432</wp:posOffset>
            </wp:positionV>
            <wp:extent cx="968735" cy="182880"/>
            <wp:effectExtent l="0" t="0" r="0" b="0"/>
            <wp:wrapNone/>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886CC7" w:rsidRDefault="00457177">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November 21</w:t>
      </w:r>
      <w:r>
        <w:rPr>
          <w:rFonts w:ascii="Garamond" w:eastAsia="Garamond" w:hAnsi="Garamond" w:cs="Garamond"/>
          <w:sz w:val="28"/>
          <w:szCs w:val="28"/>
          <w:vertAlign w:val="superscript"/>
        </w:rPr>
        <w:t>st</w:t>
      </w:r>
      <w:r>
        <w:rPr>
          <w:rFonts w:ascii="Garamond" w:eastAsia="Garamond" w:hAnsi="Garamond" w:cs="Garamond"/>
          <w:sz w:val="28"/>
          <w:szCs w:val="28"/>
        </w:rPr>
        <w:t>, 2019</w:t>
      </w:r>
    </w:p>
    <w:p w:rsidR="00886CC7" w:rsidRDefault="00886CC7">
      <w:pPr>
        <w:spacing w:after="0" w:line="240" w:lineRule="auto"/>
        <w:jc w:val="center"/>
        <w:rPr>
          <w:rFonts w:ascii="Garamond" w:eastAsia="Garamond" w:hAnsi="Garamond" w:cs="Garamond"/>
          <w:sz w:val="20"/>
          <w:szCs w:val="20"/>
        </w:rPr>
      </w:pPr>
    </w:p>
    <w:p w:rsidR="00886CC7" w:rsidRDefault="00457177">
      <w:pPr>
        <w:spacing w:after="0" w:line="240" w:lineRule="auto"/>
        <w:jc w:val="center"/>
        <w:rPr>
          <w:rFonts w:ascii="Garamond" w:eastAsia="Garamond" w:hAnsi="Garamond" w:cs="Garamond"/>
          <w:sz w:val="20"/>
          <w:szCs w:val="20"/>
        </w:rPr>
      </w:pPr>
      <w:r>
        <w:rPr>
          <w:rFonts w:ascii="Garamond" w:eastAsia="Garamond" w:hAnsi="Garamond" w:cs="Garamond"/>
          <w:sz w:val="20"/>
          <w:szCs w:val="20"/>
        </w:rPr>
        <w:t>Roger Ly (Project Lead)</w:t>
      </w:r>
    </w:p>
    <w:p w:rsidR="00886CC7" w:rsidRDefault="00457177">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Erica </w:t>
      </w:r>
      <w:proofErr w:type="spellStart"/>
      <w:r>
        <w:rPr>
          <w:rFonts w:ascii="Garamond" w:eastAsia="Garamond" w:hAnsi="Garamond" w:cs="Garamond"/>
          <w:sz w:val="20"/>
          <w:szCs w:val="20"/>
        </w:rPr>
        <w:t>Carcelén</w:t>
      </w:r>
      <w:proofErr w:type="spellEnd"/>
    </w:p>
    <w:p w:rsidR="00886CC7" w:rsidRDefault="00457177">
      <w:pPr>
        <w:spacing w:after="0" w:line="240" w:lineRule="auto"/>
        <w:jc w:val="center"/>
        <w:rPr>
          <w:rFonts w:ascii="Garamond" w:eastAsia="Garamond" w:hAnsi="Garamond" w:cs="Garamond"/>
          <w:sz w:val="20"/>
          <w:szCs w:val="20"/>
        </w:rPr>
      </w:pPr>
      <w:r>
        <w:rPr>
          <w:rFonts w:ascii="Garamond" w:eastAsia="Garamond" w:hAnsi="Garamond" w:cs="Garamond"/>
          <w:sz w:val="20"/>
          <w:szCs w:val="20"/>
        </w:rPr>
        <w:t>Max Dunsker</w:t>
      </w:r>
    </w:p>
    <w:p w:rsidR="00886CC7" w:rsidRDefault="00457177">
      <w:pPr>
        <w:spacing w:after="0" w:line="240" w:lineRule="auto"/>
        <w:jc w:val="center"/>
        <w:rPr>
          <w:rFonts w:ascii="Garamond" w:eastAsia="Garamond" w:hAnsi="Garamond" w:cs="Garamond"/>
          <w:sz w:val="20"/>
          <w:szCs w:val="20"/>
        </w:rPr>
      </w:pPr>
      <w:r>
        <w:rPr>
          <w:rFonts w:ascii="Garamond" w:eastAsia="Garamond" w:hAnsi="Garamond" w:cs="Garamond"/>
          <w:sz w:val="20"/>
          <w:szCs w:val="20"/>
        </w:rPr>
        <w:t>Camille Pawlak</w:t>
      </w:r>
    </w:p>
    <w:p w:rsidR="00886CC7" w:rsidRDefault="00886CC7">
      <w:pPr>
        <w:spacing w:after="0" w:line="240" w:lineRule="auto"/>
        <w:jc w:val="center"/>
        <w:rPr>
          <w:rFonts w:ascii="Garamond" w:eastAsia="Garamond" w:hAnsi="Garamond" w:cs="Garamond"/>
          <w:sz w:val="20"/>
          <w:szCs w:val="20"/>
        </w:rPr>
      </w:pPr>
    </w:p>
    <w:p w:rsidR="00886CC7" w:rsidRDefault="00457177">
      <w:pPr>
        <w:spacing w:after="0" w:line="240" w:lineRule="auto"/>
        <w:jc w:val="center"/>
        <w:rPr>
          <w:rFonts w:ascii="Garamond" w:eastAsia="Garamond" w:hAnsi="Garamond" w:cs="Garamond"/>
          <w:sz w:val="20"/>
          <w:szCs w:val="20"/>
        </w:rPr>
      </w:pPr>
      <w:r>
        <w:rPr>
          <w:rFonts w:ascii="Garamond" w:eastAsia="Garamond" w:hAnsi="Garamond" w:cs="Garamond"/>
          <w:sz w:val="20"/>
          <w:szCs w:val="20"/>
        </w:rPr>
        <w:t>Dr. Erika Podest, Jet Propulsion Laboratory, California Institute of Technology (Science Advisor)</w:t>
      </w:r>
    </w:p>
    <w:p w:rsidR="00886CC7" w:rsidRDefault="00457177">
      <w:pPr>
        <w:spacing w:after="0" w:line="240" w:lineRule="auto"/>
        <w:jc w:val="center"/>
        <w:rPr>
          <w:rFonts w:ascii="Garamond" w:eastAsia="Garamond" w:hAnsi="Garamond" w:cs="Garamond"/>
          <w:sz w:val="20"/>
          <w:szCs w:val="20"/>
        </w:rPr>
      </w:pPr>
      <w:r>
        <w:rPr>
          <w:rFonts w:ascii="Garamond" w:eastAsia="Garamond" w:hAnsi="Garamond" w:cs="Garamond"/>
          <w:sz w:val="20"/>
          <w:szCs w:val="20"/>
        </w:rPr>
        <w:t>Dr. Kyle McDonald, City College of New York and Jet Propulsion Laboratory, California Institute of Technology</w:t>
      </w:r>
      <w:r w:rsidR="00FC366C">
        <w:rPr>
          <w:rFonts w:ascii="Garamond" w:eastAsia="Garamond" w:hAnsi="Garamond" w:cs="Garamond"/>
          <w:sz w:val="20"/>
          <w:szCs w:val="20"/>
        </w:rPr>
        <w:t xml:space="preserve"> </w:t>
      </w:r>
      <w:r>
        <w:rPr>
          <w:rFonts w:ascii="Garamond" w:eastAsia="Garamond" w:hAnsi="Garamond" w:cs="Garamond"/>
          <w:sz w:val="20"/>
          <w:szCs w:val="20"/>
        </w:rPr>
        <w:t>(Science Advisor)</w:t>
      </w:r>
    </w:p>
    <w:p w:rsidR="00886CC7" w:rsidRDefault="00886CC7">
      <w:pPr>
        <w:spacing w:after="0" w:line="240" w:lineRule="auto"/>
        <w:jc w:val="center"/>
        <w:rPr>
          <w:rFonts w:ascii="Garamond" w:eastAsia="Garamond" w:hAnsi="Garamond" w:cs="Garamond"/>
          <w:sz w:val="20"/>
          <w:szCs w:val="20"/>
        </w:rPr>
      </w:pPr>
    </w:p>
    <w:p w:rsidR="00886CC7" w:rsidRDefault="00886CC7">
      <w:pPr>
        <w:spacing w:after="0" w:line="240" w:lineRule="auto"/>
        <w:jc w:val="center"/>
        <w:rPr>
          <w:rFonts w:ascii="Garamond" w:eastAsia="Garamond" w:hAnsi="Garamond" w:cs="Garamond"/>
          <w:sz w:val="20"/>
          <w:szCs w:val="20"/>
        </w:rPr>
      </w:pPr>
    </w:p>
    <w:p w:rsidR="00886CC7" w:rsidRDefault="00886CC7">
      <w:pPr>
        <w:spacing w:after="0" w:line="240" w:lineRule="auto"/>
        <w:jc w:val="center"/>
        <w:rPr>
          <w:rFonts w:ascii="Garamond" w:eastAsia="Garamond" w:hAnsi="Garamond" w:cs="Garamond"/>
          <w:sz w:val="20"/>
          <w:szCs w:val="20"/>
        </w:rPr>
      </w:pPr>
    </w:p>
    <w:p w:rsidR="00886CC7" w:rsidRDefault="00886CC7">
      <w:pPr>
        <w:spacing w:after="0" w:line="240" w:lineRule="auto"/>
        <w:jc w:val="center"/>
        <w:rPr>
          <w:rFonts w:ascii="Garamond" w:eastAsia="Garamond" w:hAnsi="Garamond" w:cs="Garamond"/>
          <w:sz w:val="20"/>
          <w:szCs w:val="20"/>
        </w:rPr>
      </w:pPr>
    </w:p>
    <w:p w:rsidR="00886CC7" w:rsidRDefault="00457177">
      <w:pPr>
        <w:spacing w:after="0" w:line="240" w:lineRule="auto"/>
        <w:rPr>
          <w:rFonts w:ascii="Garamond" w:eastAsia="Garamond" w:hAnsi="Garamond" w:cs="Garamond"/>
          <w:sz w:val="20"/>
          <w:szCs w:val="20"/>
        </w:rPr>
      </w:pPr>
      <w:r>
        <w:br w:type="page"/>
      </w:r>
    </w:p>
    <w:p w:rsidR="00886CC7" w:rsidRDefault="00457177">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rsidR="00886CC7" w:rsidRDefault="00457177">
      <w:pPr>
        <w:spacing w:after="0" w:line="240" w:lineRule="auto"/>
        <w:rPr>
          <w:rFonts w:ascii="Garamond" w:eastAsia="Garamond" w:hAnsi="Garamond" w:cs="Garamond"/>
        </w:rPr>
      </w:pPr>
      <w:r>
        <w:rPr>
          <w:rFonts w:ascii="Garamond" w:eastAsia="Garamond" w:hAnsi="Garamond" w:cs="Garamond"/>
        </w:rPr>
        <w:t xml:space="preserve">The Panama Canal is major socioeconomic resource for the region. Surrounding cities such as Panama City, Colón, and San Miguelito rely on the </w:t>
      </w:r>
      <w:r w:rsidR="00FC366C">
        <w:rPr>
          <w:rFonts w:ascii="Garamond" w:eastAsia="Garamond" w:hAnsi="Garamond" w:cs="Garamond"/>
        </w:rPr>
        <w:t>Panama Canal Watershed (</w:t>
      </w:r>
      <w:r>
        <w:rPr>
          <w:rFonts w:ascii="Garamond" w:eastAsia="Garamond" w:hAnsi="Garamond" w:cs="Garamond"/>
        </w:rPr>
        <w:t>PCW</w:t>
      </w:r>
      <w:r w:rsidR="00FC366C">
        <w:rPr>
          <w:rFonts w:ascii="Garamond" w:eastAsia="Garamond" w:hAnsi="Garamond" w:cs="Garamond"/>
        </w:rPr>
        <w:t xml:space="preserve">) </w:t>
      </w:r>
      <w:r>
        <w:rPr>
          <w:rFonts w:ascii="Garamond" w:eastAsia="Garamond" w:hAnsi="Garamond" w:cs="Garamond"/>
        </w:rPr>
        <w:t xml:space="preserve">for electricity and potable water. The canal connects the Atlantic Ocean to the Pacific making it the most crucial piece of infrastructure supporting the flow of shipping in the Western Hemisphere (Wang 2017). The PCW’s water resources must be carefully managed to maintain community water needs alongside the operation of the Panama Canal as a shipping path during the dry season. To help inform decision-makers about the future effects on the watershed’s resources, this project was conducted to explore the feasibility of using remotely sensed data to observe the impacts of land cover on water availability in the PCW. The team observed </w:t>
      </w:r>
      <w:r w:rsidR="00FC366C">
        <w:rPr>
          <w:rFonts w:ascii="Garamond" w:eastAsia="Garamond" w:hAnsi="Garamond" w:cs="Garamond"/>
        </w:rPr>
        <w:t>evapotranspiration</w:t>
      </w:r>
      <w:r>
        <w:rPr>
          <w:rFonts w:ascii="Garamond" w:eastAsia="Garamond" w:hAnsi="Garamond" w:cs="Garamond"/>
        </w:rPr>
        <w:t xml:space="preserve"> (ET) in the PCW using data from </w:t>
      </w:r>
      <w:r w:rsidR="00914AA3">
        <w:rPr>
          <w:rFonts w:ascii="Garamond" w:eastAsia="Garamond" w:hAnsi="Garamond" w:cs="Garamond"/>
        </w:rPr>
        <w:t>Terra</w:t>
      </w:r>
      <w:r>
        <w:rPr>
          <w:rFonts w:ascii="Garamond" w:eastAsia="Garamond" w:hAnsi="Garamond" w:cs="Garamond"/>
        </w:rPr>
        <w:t xml:space="preserve"> Moderate Resolution Imaging Spectroradiometer (MODIS). </w:t>
      </w:r>
      <w:r w:rsidR="00914AA3">
        <w:rPr>
          <w:rFonts w:ascii="Garamond" w:eastAsia="Garamond" w:hAnsi="Garamond" w:cs="Garamond"/>
        </w:rPr>
        <w:t>NASA Gulfstream III</w:t>
      </w:r>
      <w:r>
        <w:rPr>
          <w:rFonts w:ascii="Garamond" w:eastAsia="Garamond" w:hAnsi="Garamond" w:cs="Garamond"/>
        </w:rPr>
        <w:t xml:space="preserve"> Uninhabited Aerial Vehicle Synthetic Aperture Radar (UAVSAR),</w:t>
      </w:r>
      <w:r w:rsidR="00914AA3">
        <w:rPr>
          <w:rFonts w:ascii="Garamond" w:eastAsia="Garamond" w:hAnsi="Garamond" w:cs="Garamond"/>
        </w:rPr>
        <w:t xml:space="preserve"> Advanced Land Observing Satellite (ALOS)</w:t>
      </w:r>
      <w:r>
        <w:rPr>
          <w:rFonts w:ascii="Garamond" w:eastAsia="Garamond" w:hAnsi="Garamond" w:cs="Garamond"/>
        </w:rPr>
        <w:t xml:space="preserve"> Phased Array L-band Synthetic Aperture Radar (PALSAR), and Sentinel-1 C-band Synthetic Aperture Radar (Sentinel-1 C-SAR) were utilized to create land cover classifications and compare the classification capabilities of different sensors. PALSAR imagery provided the most successful classifications with an overall accuracy of 85.8%. The MODIS data values differed from </w:t>
      </w:r>
      <w:r>
        <w:rPr>
          <w:rFonts w:ascii="Garamond" w:eastAsia="Garamond" w:hAnsi="Garamond" w:cs="Garamond"/>
          <w:i/>
        </w:rPr>
        <w:t>in situ</w:t>
      </w:r>
      <w:r>
        <w:rPr>
          <w:rFonts w:ascii="Garamond" w:eastAsia="Garamond" w:hAnsi="Garamond" w:cs="Garamond"/>
        </w:rPr>
        <w:t xml:space="preserve"> ET measurements</w:t>
      </w:r>
      <w:r w:rsidR="00914AA3">
        <w:rPr>
          <w:rFonts w:ascii="Garamond" w:eastAsia="Garamond" w:hAnsi="Garamond" w:cs="Garamond"/>
        </w:rPr>
        <w:t>,</w:t>
      </w:r>
      <w:r>
        <w:rPr>
          <w:rFonts w:ascii="Garamond" w:eastAsia="Garamond" w:hAnsi="Garamond" w:cs="Garamond"/>
        </w:rPr>
        <w:t xml:space="preserve"> but were </w:t>
      </w:r>
      <w:r w:rsidR="00914AA3">
        <w:rPr>
          <w:rFonts w:ascii="Garamond" w:eastAsia="Garamond" w:hAnsi="Garamond" w:cs="Garamond"/>
        </w:rPr>
        <w:t>significantly</w:t>
      </w:r>
      <w:r>
        <w:rPr>
          <w:rFonts w:ascii="Garamond" w:eastAsia="Garamond" w:hAnsi="Garamond" w:cs="Garamond"/>
        </w:rPr>
        <w:t xml:space="preserve"> correlated. Through a sensitivity test involving land cover and MODIS ET, it was concluded that MODIS ET values were not particularly sensitive to changes in land cover.</w:t>
      </w:r>
    </w:p>
    <w:p w:rsidR="00886CC7" w:rsidRDefault="00886CC7">
      <w:pPr>
        <w:spacing w:after="0" w:line="240" w:lineRule="auto"/>
        <w:rPr>
          <w:rFonts w:ascii="Garamond" w:eastAsia="Garamond" w:hAnsi="Garamond" w:cs="Garamond"/>
          <w:b/>
        </w:rPr>
      </w:pPr>
    </w:p>
    <w:p w:rsidR="00886CC7" w:rsidRDefault="00457177">
      <w:pPr>
        <w:spacing w:after="0" w:line="240" w:lineRule="auto"/>
        <w:rPr>
          <w:rFonts w:ascii="Garamond" w:eastAsia="Garamond" w:hAnsi="Garamond" w:cs="Garamond"/>
          <w:b/>
        </w:rPr>
      </w:pPr>
      <w:r>
        <w:rPr>
          <w:rFonts w:ascii="Garamond" w:eastAsia="Garamond" w:hAnsi="Garamond" w:cs="Garamond"/>
          <w:b/>
        </w:rPr>
        <w:t>Keywords</w:t>
      </w:r>
    </w:p>
    <w:p w:rsidR="00886CC7" w:rsidRDefault="00457177">
      <w:pPr>
        <w:spacing w:after="0" w:line="240" w:lineRule="auto"/>
        <w:rPr>
          <w:rFonts w:ascii="Garamond" w:eastAsia="Garamond" w:hAnsi="Garamond" w:cs="Garamond"/>
        </w:rPr>
      </w:pPr>
      <w:bookmarkStart w:id="1" w:name="_heading=h.30j0zll" w:colFirst="0" w:colLast="0"/>
      <w:bookmarkEnd w:id="1"/>
      <w:r>
        <w:rPr>
          <w:rFonts w:ascii="Garamond" w:eastAsia="Garamond" w:hAnsi="Garamond" w:cs="Garamond"/>
        </w:rPr>
        <w:t xml:space="preserve">remote sensing, hydrology, Synthetic Aperture Radar, </w:t>
      </w:r>
      <w:proofErr w:type="spellStart"/>
      <w:r w:rsidR="00914AA3">
        <w:rPr>
          <w:rFonts w:ascii="Garamond" w:eastAsia="Garamond" w:hAnsi="Garamond" w:cs="Garamond"/>
        </w:rPr>
        <w:t>evapotranspirtation</w:t>
      </w:r>
      <w:proofErr w:type="spellEnd"/>
    </w:p>
    <w:p w:rsidR="00886CC7" w:rsidRDefault="00886CC7">
      <w:pPr>
        <w:spacing w:after="0" w:line="240" w:lineRule="auto"/>
        <w:rPr>
          <w:rFonts w:ascii="Garamond" w:eastAsia="Garamond" w:hAnsi="Garamond" w:cs="Garamond"/>
        </w:rPr>
      </w:pPr>
    </w:p>
    <w:p w:rsidR="00886CC7" w:rsidRDefault="00457177">
      <w:pPr>
        <w:pStyle w:val="Heading1"/>
        <w:spacing w:before="0" w:line="240" w:lineRule="auto"/>
      </w:pPr>
      <w:r>
        <w:rPr>
          <w:rFonts w:ascii="Garamond" w:eastAsia="Garamond" w:hAnsi="Garamond" w:cs="Garamond"/>
        </w:rPr>
        <w:t>2. Introduction</w:t>
      </w:r>
    </w:p>
    <w:p w:rsidR="00886CC7" w:rsidRDefault="00457177">
      <w:pPr>
        <w:numPr>
          <w:ilvl w:val="1"/>
          <w:numId w:val="2"/>
        </w:numPr>
        <w:pBdr>
          <w:top w:val="nil"/>
          <w:left w:val="nil"/>
          <w:bottom w:val="nil"/>
          <w:right w:val="nil"/>
          <w:between w:val="nil"/>
        </w:pBdr>
        <w:spacing w:after="0" w:line="240" w:lineRule="auto"/>
        <w:rPr>
          <w:rFonts w:ascii="Garamond" w:eastAsia="Garamond" w:hAnsi="Garamond" w:cs="Garamond"/>
          <w:b/>
          <w:i/>
          <w:color w:val="000000"/>
        </w:rPr>
      </w:pPr>
      <w:bookmarkStart w:id="2" w:name="_heading=h.1fob9te" w:colFirst="0" w:colLast="0"/>
      <w:bookmarkEnd w:id="2"/>
      <w:r>
        <w:rPr>
          <w:rFonts w:ascii="Garamond" w:eastAsia="Garamond" w:hAnsi="Garamond" w:cs="Garamond"/>
          <w:b/>
          <w:i/>
          <w:color w:val="000000"/>
        </w:rPr>
        <w:t>Background Information</w:t>
      </w:r>
    </w:p>
    <w:p w:rsidR="00886CC7" w:rsidRDefault="00457177">
      <w:pPr>
        <w:spacing w:after="0" w:line="240" w:lineRule="auto"/>
        <w:rPr>
          <w:rFonts w:ascii="Garamond" w:eastAsia="Garamond" w:hAnsi="Garamond" w:cs="Garamond"/>
        </w:rPr>
      </w:pPr>
      <w:r>
        <w:rPr>
          <w:rFonts w:ascii="Garamond" w:eastAsia="Garamond" w:hAnsi="Garamond" w:cs="Garamond"/>
        </w:rPr>
        <w:t>The Panama Canal Watershed (PCW) is home to the most important maritime commerce route in the Western Hemisphere, the Panama Canal. Approximately three percent of global maritime commerce passes through the manmade strait, shortening the passage from the Atlantic to the Pacific by 7,900 miles (National Association of Credit Men, 1913). The Canal is responsible for ten percent of Panama’s Gross Domestic Product, providing a domestic incentive for its continued operation.</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 xml:space="preserve">The principal limiting factor in the operation of the Canal is water scarcity in the PCW. For each passage, thirteen tons of water are required per ton of cargo (Stallard, Ogden, </w:t>
      </w:r>
      <w:proofErr w:type="spellStart"/>
      <w:r>
        <w:rPr>
          <w:rFonts w:ascii="Garamond" w:eastAsia="Garamond" w:hAnsi="Garamond" w:cs="Garamond"/>
        </w:rPr>
        <w:t>Elsenbeer</w:t>
      </w:r>
      <w:proofErr w:type="spellEnd"/>
      <w:r>
        <w:rPr>
          <w:rFonts w:ascii="Garamond" w:eastAsia="Garamond" w:hAnsi="Garamond" w:cs="Garamond"/>
        </w:rPr>
        <w:t xml:space="preserve">, &amp; Hall, 2010). In addition to operating the locks, the PCW is used for the generation of hydroelectricity and the supply of potable water to nearby Panama City, Colon, and San Miguelito. As urbanization and population growth increase the demand for freshwater, other forces decrease its supply. Deforestation and agricultural land degradation that follows are leading to increased sedimentation in the PCW and decreased groundwater recharge. Several agencies are committed to reforesting the PCW in order to regain the ecosystem services provided by forest land cover. The </w:t>
      </w:r>
      <w:proofErr w:type="spellStart"/>
      <w:r>
        <w:rPr>
          <w:rFonts w:ascii="Garamond" w:eastAsia="Garamond" w:hAnsi="Garamond" w:cs="Garamond"/>
        </w:rPr>
        <w:t>Ministerio</w:t>
      </w:r>
      <w:proofErr w:type="spellEnd"/>
      <w:r>
        <w:rPr>
          <w:rFonts w:ascii="Garamond" w:eastAsia="Garamond" w:hAnsi="Garamond" w:cs="Garamond"/>
        </w:rPr>
        <w:t xml:space="preserve"> de </w:t>
      </w:r>
      <w:proofErr w:type="spellStart"/>
      <w:r>
        <w:rPr>
          <w:rFonts w:ascii="Garamond" w:eastAsia="Garamond" w:hAnsi="Garamond" w:cs="Garamond"/>
        </w:rPr>
        <w:t>Ambiente</w:t>
      </w:r>
      <w:proofErr w:type="spellEnd"/>
      <w:r>
        <w:rPr>
          <w:rFonts w:ascii="Garamond" w:eastAsia="Garamond" w:hAnsi="Garamond" w:cs="Garamond"/>
        </w:rPr>
        <w:t xml:space="preserve"> de Panamá (</w:t>
      </w:r>
      <w:proofErr w:type="spellStart"/>
      <w:r>
        <w:rPr>
          <w:rFonts w:ascii="Garamond" w:eastAsia="Garamond" w:hAnsi="Garamond" w:cs="Garamond"/>
        </w:rPr>
        <w:t>MiAmbiente</w:t>
      </w:r>
      <w:proofErr w:type="spellEnd"/>
      <w:r>
        <w:rPr>
          <w:rFonts w:ascii="Garamond" w:eastAsia="Garamond" w:hAnsi="Garamond" w:cs="Garamond"/>
        </w:rPr>
        <w:t>) is one such organization, creating a national water safety plan prioritizing sustainable watershed management through reforestation (Goal 4, PNSH).</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 xml:space="preserve">Within the PCW, the Smithsonian Tropical Research Institute (STRI) operates the Agua </w:t>
      </w:r>
      <w:proofErr w:type="spellStart"/>
      <w:r>
        <w:rPr>
          <w:rFonts w:ascii="Garamond" w:eastAsia="Garamond" w:hAnsi="Garamond" w:cs="Garamond"/>
        </w:rPr>
        <w:t>Salud</w:t>
      </w:r>
      <w:proofErr w:type="spellEnd"/>
      <w:r>
        <w:rPr>
          <w:rFonts w:ascii="Garamond" w:eastAsia="Garamond" w:hAnsi="Garamond" w:cs="Garamond"/>
        </w:rPr>
        <w:t xml:space="preserve"> Project (ASP; Figure 1), which focuses on understanding the forestry, hydrology, and ecosystem services of the central Panama Basin. In addition to the ASP, STRI also operates another long-term research site on Barro Colorado Island (BCI; Figure 1). STRI established its environmental monitoring program in the PCW in 1996, partnering with United States Agency of International Development and the government of Panama. Over twenty years of forest management and meteorological observations by STRI have made ASP and BCI ideal sites to study the connection between water scarcity and land cover (Stallard, 1999).</w:t>
      </w:r>
      <w:r>
        <w:rPr>
          <w:rFonts w:ascii="Garamond" w:eastAsia="Garamond" w:hAnsi="Garamond" w:cs="Garamond"/>
        </w:rPr>
        <w:tab/>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 xml:space="preserve">One such study observed saturated hydraulic conductivity (Ks), the measure of a saturated soil’s ability to transmit water when subjected to a hydraulic gradient, of different land cover types in the Agua </w:t>
      </w:r>
      <w:proofErr w:type="spellStart"/>
      <w:r>
        <w:rPr>
          <w:rFonts w:ascii="Garamond" w:eastAsia="Garamond" w:hAnsi="Garamond" w:cs="Garamond"/>
        </w:rPr>
        <w:t>Salud</w:t>
      </w:r>
      <w:proofErr w:type="spellEnd"/>
      <w:r>
        <w:rPr>
          <w:rFonts w:ascii="Garamond" w:eastAsia="Garamond" w:hAnsi="Garamond" w:cs="Garamond"/>
        </w:rPr>
        <w:t xml:space="preserve"> study area. The findings show that the topsoil of older secondary forests is more effective at allowing water to pass through than young secondary forests and much more effective than pastures (Hassler, Zimmermann, van </w:t>
      </w:r>
      <w:proofErr w:type="spellStart"/>
      <w:r>
        <w:rPr>
          <w:rFonts w:ascii="Garamond" w:eastAsia="Garamond" w:hAnsi="Garamond" w:cs="Garamond"/>
        </w:rPr>
        <w:lastRenderedPageBreak/>
        <w:t>Breugel</w:t>
      </w:r>
      <w:proofErr w:type="spellEnd"/>
      <w:r>
        <w:rPr>
          <w:rFonts w:ascii="Garamond" w:eastAsia="Garamond" w:hAnsi="Garamond" w:cs="Garamond"/>
        </w:rPr>
        <w:t xml:space="preserve">, Hall, &amp; </w:t>
      </w:r>
      <w:proofErr w:type="spellStart"/>
      <w:r>
        <w:rPr>
          <w:rFonts w:ascii="Garamond" w:eastAsia="Garamond" w:hAnsi="Garamond" w:cs="Garamond"/>
        </w:rPr>
        <w:t>Elsenbeer</w:t>
      </w:r>
      <w:proofErr w:type="spellEnd"/>
      <w:r>
        <w:rPr>
          <w:rFonts w:ascii="Garamond" w:eastAsia="Garamond" w:hAnsi="Garamond" w:cs="Garamond"/>
        </w:rPr>
        <w:t>, 2011). Another study found that older forests need less water, indicating that these forests may be soaking up and storing much more</w:t>
      </w:r>
      <w:r w:rsidR="00473866">
        <w:rPr>
          <w:rFonts w:ascii="Garamond" w:eastAsia="Garamond" w:hAnsi="Garamond" w:cs="Garamond"/>
        </w:rPr>
        <w:t xml:space="preserve"> water</w:t>
      </w:r>
      <w:r>
        <w:rPr>
          <w:rFonts w:ascii="Garamond" w:eastAsia="Garamond" w:hAnsi="Garamond" w:cs="Garamond"/>
        </w:rPr>
        <w:t xml:space="preserve"> than their younger counterparts (</w:t>
      </w:r>
      <w:proofErr w:type="spellStart"/>
      <w:r>
        <w:rPr>
          <w:rFonts w:ascii="Garamond" w:eastAsia="Garamond" w:hAnsi="Garamond" w:cs="Garamond"/>
        </w:rPr>
        <w:t>Bretfeld</w:t>
      </w:r>
      <w:proofErr w:type="spellEnd"/>
      <w:r>
        <w:rPr>
          <w:rFonts w:ascii="Garamond" w:eastAsia="Garamond" w:hAnsi="Garamond" w:cs="Garamond"/>
        </w:rPr>
        <w:t>, Ewers, &amp; Hall, 2018).</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 xml:space="preserve">While </w:t>
      </w:r>
      <w:r>
        <w:rPr>
          <w:rFonts w:ascii="Garamond" w:eastAsia="Garamond" w:hAnsi="Garamond" w:cs="Garamond"/>
          <w:i/>
        </w:rPr>
        <w:t>in situ</w:t>
      </w:r>
      <w:r>
        <w:rPr>
          <w:rFonts w:ascii="Garamond" w:eastAsia="Garamond" w:hAnsi="Garamond" w:cs="Garamond"/>
        </w:rPr>
        <w:t xml:space="preserve"> studies give great insight, remote sensing provides the opportunity to upscale and capture variability across the landscape. E</w:t>
      </w:r>
      <w:r w:rsidR="00473866">
        <w:rPr>
          <w:rFonts w:ascii="Garamond" w:eastAsia="Garamond" w:hAnsi="Garamond" w:cs="Garamond"/>
        </w:rPr>
        <w:t>vapotranspiration (ET)</w:t>
      </w:r>
      <w:r>
        <w:rPr>
          <w:rFonts w:ascii="Garamond" w:eastAsia="Garamond" w:hAnsi="Garamond" w:cs="Garamond"/>
        </w:rPr>
        <w:t xml:space="preserve"> is a variable that is included in the water balance equation and will be used as a proxy for water availability. In order to further investigate how secondary </w:t>
      </w:r>
      <w:proofErr w:type="gramStart"/>
      <w:r>
        <w:rPr>
          <w:rFonts w:ascii="Garamond" w:eastAsia="Garamond" w:hAnsi="Garamond" w:cs="Garamond"/>
        </w:rPr>
        <w:t>forests</w:t>
      </w:r>
      <w:proofErr w:type="gramEnd"/>
      <w:r>
        <w:rPr>
          <w:rFonts w:ascii="Garamond" w:eastAsia="Garamond" w:hAnsi="Garamond" w:cs="Garamond"/>
        </w:rPr>
        <w:t xml:space="preserve"> behave during the dry season, this study used remotely sensed inputs, alongside </w:t>
      </w:r>
      <w:r>
        <w:rPr>
          <w:rFonts w:ascii="Garamond" w:eastAsia="Garamond" w:hAnsi="Garamond" w:cs="Garamond"/>
          <w:i/>
        </w:rPr>
        <w:t>in situ</w:t>
      </w:r>
      <w:r>
        <w:rPr>
          <w:rFonts w:ascii="Garamond" w:eastAsia="Garamond" w:hAnsi="Garamond" w:cs="Garamond"/>
        </w:rPr>
        <w:t xml:space="preserve"> data provided by STRI, to better understand the mechanisms behind the recharging of groundwater for secondary forests in ASP and BCI. This study used data from 2010 to 2018, with an emphasis on wet and dry seasons in 2010, an exceptionally wet year, and 2015, an El Niño year that produced exceptionally dry conditions. </w:t>
      </w:r>
    </w:p>
    <w:p w:rsidR="00886CC7" w:rsidRDefault="00457177">
      <w:pPr>
        <w:spacing w:after="0" w:line="240" w:lineRule="auto"/>
        <w:jc w:val="center"/>
        <w:rPr>
          <w:rFonts w:ascii="Garamond" w:eastAsia="Garamond" w:hAnsi="Garamond" w:cs="Garamond"/>
          <w:i/>
        </w:rPr>
      </w:pPr>
      <w:r>
        <w:rPr>
          <w:rFonts w:ascii="Garamond" w:eastAsia="Garamond" w:hAnsi="Garamond" w:cs="Garamond"/>
          <w:i/>
          <w:noProof/>
        </w:rPr>
        <w:drawing>
          <wp:inline distT="114300" distB="114300" distL="114300" distR="114300">
            <wp:extent cx="5943600" cy="355600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3556000"/>
                    </a:xfrm>
                    <a:prstGeom prst="rect">
                      <a:avLst/>
                    </a:prstGeom>
                    <a:ln/>
                  </pic:spPr>
                </pic:pic>
              </a:graphicData>
            </a:graphic>
          </wp:inline>
        </w:drawing>
      </w:r>
    </w:p>
    <w:p w:rsidR="00886CC7" w:rsidRDefault="00457177">
      <w:pPr>
        <w:spacing w:after="0" w:line="240" w:lineRule="auto"/>
        <w:jc w:val="center"/>
        <w:rPr>
          <w:rFonts w:ascii="Garamond" w:eastAsia="Garamond" w:hAnsi="Garamond" w:cs="Garamond"/>
        </w:rPr>
      </w:pPr>
      <w:r>
        <w:rPr>
          <w:rFonts w:ascii="Garamond" w:eastAsia="Garamond" w:hAnsi="Garamond" w:cs="Garamond"/>
          <w:i/>
        </w:rPr>
        <w:t>Figure 1</w:t>
      </w:r>
      <w:r w:rsidR="00473866">
        <w:rPr>
          <w:rFonts w:ascii="Garamond" w:eastAsia="Garamond" w:hAnsi="Garamond" w:cs="Garamond"/>
        </w:rPr>
        <w:t>.</w:t>
      </w:r>
      <w:r>
        <w:rPr>
          <w:rFonts w:ascii="Garamond" w:eastAsia="Garamond" w:hAnsi="Garamond" w:cs="Garamond"/>
        </w:rPr>
        <w:t xml:space="preserve"> The study area map includes a reference map of Panama in the top left, with the Panama Canal Watershed colorized in blue. Additionally, the inset map shows the locations of ASP and BCI, demarcated in white. </w:t>
      </w:r>
      <w:proofErr w:type="spellStart"/>
      <w:r>
        <w:rPr>
          <w:rFonts w:ascii="Garamond" w:eastAsia="Garamond" w:hAnsi="Garamond" w:cs="Garamond"/>
        </w:rPr>
        <w:t>Basemap</w:t>
      </w:r>
      <w:proofErr w:type="spellEnd"/>
      <w:r>
        <w:rPr>
          <w:rFonts w:ascii="Garamond" w:eastAsia="Garamond" w:hAnsi="Garamond" w:cs="Garamond"/>
        </w:rPr>
        <w:t xml:space="preserve"> imagery was provided by </w:t>
      </w:r>
      <w:proofErr w:type="spellStart"/>
      <w:r>
        <w:rPr>
          <w:rFonts w:ascii="Garamond" w:eastAsia="Garamond" w:hAnsi="Garamond" w:cs="Garamond"/>
        </w:rPr>
        <w:t>Esri</w:t>
      </w:r>
      <w:proofErr w:type="spellEnd"/>
      <w:r>
        <w:rPr>
          <w:rFonts w:ascii="Garamond" w:eastAsia="Garamond" w:hAnsi="Garamond" w:cs="Garamond"/>
        </w:rPr>
        <w:t>.</w:t>
      </w:r>
    </w:p>
    <w:p w:rsidR="00886CC7" w:rsidRDefault="00886CC7">
      <w:pPr>
        <w:spacing w:after="0" w:line="240" w:lineRule="auto"/>
        <w:jc w:val="center"/>
        <w:rPr>
          <w:rFonts w:ascii="Garamond" w:eastAsia="Garamond" w:hAnsi="Garamond" w:cs="Garamond"/>
        </w:rPr>
      </w:pPr>
    </w:p>
    <w:p w:rsidR="00886CC7" w:rsidRDefault="00457177">
      <w:pPr>
        <w:numPr>
          <w:ilvl w:val="1"/>
          <w:numId w:val="2"/>
        </w:num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Project Partners &amp; Objectives</w:t>
      </w:r>
    </w:p>
    <w:p w:rsidR="00886CC7" w:rsidRDefault="00457177">
      <w:pPr>
        <w:spacing w:after="0" w:line="240" w:lineRule="auto"/>
        <w:rPr>
          <w:rFonts w:ascii="Garamond" w:eastAsia="Garamond" w:hAnsi="Garamond" w:cs="Garamond"/>
        </w:rPr>
      </w:pPr>
      <w:r>
        <w:rPr>
          <w:rFonts w:ascii="Garamond" w:eastAsia="Garamond" w:hAnsi="Garamond" w:cs="Garamond"/>
        </w:rPr>
        <w:t>We partnered with the Republic of Panama’s Ministry of Environment (</w:t>
      </w:r>
      <w:proofErr w:type="spellStart"/>
      <w:r>
        <w:rPr>
          <w:rFonts w:ascii="Garamond" w:eastAsia="Garamond" w:hAnsi="Garamond" w:cs="Garamond"/>
        </w:rPr>
        <w:t>MiAmbiente</w:t>
      </w:r>
      <w:proofErr w:type="spellEnd"/>
      <w:r>
        <w:rPr>
          <w:rFonts w:ascii="Garamond" w:eastAsia="Garamond" w:hAnsi="Garamond" w:cs="Garamond"/>
        </w:rPr>
        <w:t xml:space="preserve">). Their agency is in charge of sustainably managing the water resources of the Panama Canal Watershed to continue the function of the Panama Canal as a major transportation route as well as prevent scarcity of potable drinking water to the residents that rely on the canal watershed. </w:t>
      </w:r>
      <w:proofErr w:type="spellStart"/>
      <w:r>
        <w:rPr>
          <w:rFonts w:ascii="Garamond" w:eastAsia="Garamond" w:hAnsi="Garamond" w:cs="Garamond"/>
        </w:rPr>
        <w:t>MiAmbiente</w:t>
      </w:r>
      <w:proofErr w:type="spellEnd"/>
      <w:r>
        <w:rPr>
          <w:rFonts w:ascii="Garamond" w:eastAsia="Garamond" w:hAnsi="Garamond" w:cs="Garamond"/>
        </w:rPr>
        <w:t xml:space="preserve"> stated that Goal Two of their National Plan for Water Security is the use of water for inclusive socioeconomic growth. Cities that rely on the watershed and would benefit from increased water security include Panama City, Colón, and San Miguelito. </w:t>
      </w:r>
      <w:proofErr w:type="spellStart"/>
      <w:r>
        <w:rPr>
          <w:rFonts w:ascii="Garamond" w:eastAsia="Garamond" w:hAnsi="Garamond" w:cs="Garamond"/>
        </w:rPr>
        <w:t>MiAmbiente</w:t>
      </w:r>
      <w:proofErr w:type="spellEnd"/>
      <w:r>
        <w:rPr>
          <w:rFonts w:ascii="Garamond" w:eastAsia="Garamond" w:hAnsi="Garamond" w:cs="Garamond"/>
        </w:rPr>
        <w:t xml:space="preserve"> hopes to use our findings to help determine the location and vegetation type that will help increase water availability during the dry season in the PCW.</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 xml:space="preserve">To help </w:t>
      </w:r>
      <w:proofErr w:type="spellStart"/>
      <w:r>
        <w:rPr>
          <w:rFonts w:ascii="Garamond" w:eastAsia="Garamond" w:hAnsi="Garamond" w:cs="Garamond"/>
        </w:rPr>
        <w:t>MiAmbiente</w:t>
      </w:r>
      <w:proofErr w:type="spellEnd"/>
      <w:r>
        <w:rPr>
          <w:rFonts w:ascii="Garamond" w:eastAsia="Garamond" w:hAnsi="Garamond" w:cs="Garamond"/>
        </w:rPr>
        <w:t xml:space="preserve"> with their water conservation goals, the team investigated the effect of vegetation type on ET. By analyzing the relationship between the two variables, water-saving vegetation could be identified and planted by </w:t>
      </w:r>
      <w:proofErr w:type="spellStart"/>
      <w:r>
        <w:rPr>
          <w:rFonts w:ascii="Garamond" w:eastAsia="Garamond" w:hAnsi="Garamond" w:cs="Garamond"/>
        </w:rPr>
        <w:t>MiAmbiente</w:t>
      </w:r>
      <w:proofErr w:type="spellEnd"/>
      <w:r>
        <w:rPr>
          <w:rFonts w:ascii="Garamond" w:eastAsia="Garamond" w:hAnsi="Garamond" w:cs="Garamond"/>
        </w:rPr>
        <w:t xml:space="preserve"> in the PCW to increase groundwater recharge. The main objective of this project </w:t>
      </w:r>
      <w:r>
        <w:rPr>
          <w:rFonts w:ascii="Garamond" w:eastAsia="Garamond" w:hAnsi="Garamond" w:cs="Garamond"/>
        </w:rPr>
        <w:lastRenderedPageBreak/>
        <w:t xml:space="preserve">was to create a replicable methodology of comparing land cover type and ET </w:t>
      </w:r>
      <w:r w:rsidR="00473866">
        <w:rPr>
          <w:rFonts w:ascii="Garamond" w:eastAsia="Garamond" w:hAnsi="Garamond" w:cs="Garamond"/>
        </w:rPr>
        <w:t>in</w:t>
      </w:r>
      <w:r>
        <w:rPr>
          <w:rFonts w:ascii="Garamond" w:eastAsia="Garamond" w:hAnsi="Garamond" w:cs="Garamond"/>
        </w:rPr>
        <w:t xml:space="preserve"> the AS</w:t>
      </w:r>
      <w:r w:rsidR="00473866">
        <w:rPr>
          <w:rFonts w:ascii="Garamond" w:eastAsia="Garamond" w:hAnsi="Garamond" w:cs="Garamond"/>
        </w:rPr>
        <w:t xml:space="preserve">P </w:t>
      </w:r>
      <w:r>
        <w:rPr>
          <w:rFonts w:ascii="Garamond" w:eastAsia="Garamond" w:hAnsi="Garamond" w:cs="Garamond"/>
        </w:rPr>
        <w:t>and BCI. The team created a standard operating procedure that the partners could use to replicate the study on the greater PCW.</w:t>
      </w:r>
    </w:p>
    <w:p w:rsidR="00886CC7" w:rsidRDefault="00886CC7">
      <w:pPr>
        <w:pStyle w:val="Heading1"/>
        <w:spacing w:before="0" w:line="240" w:lineRule="auto"/>
        <w:rPr>
          <w:rFonts w:ascii="Garamond" w:eastAsia="Garamond" w:hAnsi="Garamond" w:cs="Garamond"/>
        </w:rPr>
      </w:pPr>
    </w:p>
    <w:p w:rsidR="00886CC7" w:rsidRDefault="00457177">
      <w:pPr>
        <w:pStyle w:val="Heading1"/>
        <w:spacing w:before="0" w:line="240" w:lineRule="auto"/>
      </w:pPr>
      <w:r>
        <w:rPr>
          <w:rFonts w:ascii="Garamond" w:eastAsia="Garamond" w:hAnsi="Garamond" w:cs="Garamond"/>
        </w:rPr>
        <w:t>3. Methodology</w:t>
      </w:r>
    </w:p>
    <w:p w:rsidR="00886CC7" w:rsidRDefault="00457177">
      <w:pPr>
        <w:spacing w:after="0" w:line="240" w:lineRule="auto"/>
        <w:rPr>
          <w:rFonts w:ascii="Garamond" w:eastAsia="Garamond" w:hAnsi="Garamond" w:cs="Garamond"/>
          <w:b/>
          <w:i/>
        </w:rPr>
      </w:pPr>
      <w:r>
        <w:rPr>
          <w:rFonts w:ascii="Garamond" w:eastAsia="Garamond" w:hAnsi="Garamond" w:cs="Garamond"/>
          <w:b/>
          <w:i/>
        </w:rPr>
        <w:t xml:space="preserve">3.1 Data Acquisition </w:t>
      </w:r>
    </w:p>
    <w:p w:rsidR="00886CC7" w:rsidRDefault="00457177">
      <w:pPr>
        <w:spacing w:after="0" w:line="240" w:lineRule="auto"/>
        <w:rPr>
          <w:rFonts w:ascii="Garamond" w:eastAsia="Garamond" w:hAnsi="Garamond" w:cs="Garamond"/>
        </w:rPr>
      </w:pPr>
      <w:r>
        <w:rPr>
          <w:rFonts w:ascii="Garamond" w:eastAsia="Garamond" w:hAnsi="Garamond" w:cs="Garamond"/>
        </w:rPr>
        <w:t xml:space="preserve">The NASA Earth observations utilized in this study included data collected by Terra MODIS. The team acquired the MOD11A1 MODIS/Terra Land Surface Temperature/Emissivity Daily L3 Global 1km SIN Grid V006 product, referred to as MOD11A1. This dataset is a level 3 product that measures land surface temperature. (Wan, Hook, &amp; </w:t>
      </w:r>
      <w:proofErr w:type="spellStart"/>
      <w:r>
        <w:rPr>
          <w:rFonts w:ascii="Garamond" w:eastAsia="Garamond" w:hAnsi="Garamond" w:cs="Garamond"/>
        </w:rPr>
        <w:t>Hulley</w:t>
      </w:r>
      <w:proofErr w:type="spellEnd"/>
      <w:r>
        <w:rPr>
          <w:rFonts w:ascii="Garamond" w:eastAsia="Garamond" w:hAnsi="Garamond" w:cs="Garamond"/>
        </w:rPr>
        <w:t>, 2015). E</w:t>
      </w:r>
      <w:r w:rsidR="00473866">
        <w:rPr>
          <w:rFonts w:ascii="Garamond" w:eastAsia="Garamond" w:hAnsi="Garamond" w:cs="Garamond"/>
        </w:rPr>
        <w:t>T</w:t>
      </w:r>
      <w:r>
        <w:rPr>
          <w:rFonts w:ascii="Garamond" w:eastAsia="Garamond" w:hAnsi="Garamond" w:cs="Garamond"/>
        </w:rPr>
        <w:t xml:space="preserve"> to assess water availability was measured with the level 4 MOD16A2 MODIS/Terra Net Evapotranspiration 8-day L4 Global 500m SIN Grid V006 product, referred to as MOD16A2 (Running, Mu, &amp; Zhao, 2017).</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 xml:space="preserve"> Evapotranspiration is measured in actual or potential ET. Actual ET (AET) differs from potential ET (PET), AET depends on PET as well as additional factors such as water supply to evaporating surfaces, soil water content, and rainfall distribution (Kristensen</w:t>
      </w:r>
      <w:r w:rsidR="00473866">
        <w:rPr>
          <w:rFonts w:ascii="Garamond" w:eastAsia="Garamond" w:hAnsi="Garamond" w:cs="Garamond"/>
        </w:rPr>
        <w:t>,</w:t>
      </w:r>
      <w:r>
        <w:rPr>
          <w:rFonts w:ascii="Garamond" w:eastAsia="Garamond" w:hAnsi="Garamond" w:cs="Garamond"/>
        </w:rPr>
        <w:t xml:space="preserve"> 1975). The team used the Terra MODIS Global 8-day terrestrial ecosystem </w:t>
      </w:r>
      <w:r w:rsidR="00473866">
        <w:rPr>
          <w:rFonts w:ascii="Garamond" w:eastAsia="Garamond" w:hAnsi="Garamond" w:cs="Garamond"/>
        </w:rPr>
        <w:t>e</w:t>
      </w:r>
      <w:r>
        <w:rPr>
          <w:rFonts w:ascii="Garamond" w:eastAsia="Garamond" w:hAnsi="Garamond" w:cs="Garamond"/>
        </w:rPr>
        <w:t>vapotranspiration dataset for analysis. The Terra MODIS ET dataset is based on an improved version of the Penman-Monteith equation, which calculates ET based on solar radiation, air temperature, humidity, and wind speed and outputs reference ET (</w:t>
      </w:r>
      <w:proofErr w:type="spellStart"/>
      <w:r>
        <w:rPr>
          <w:rFonts w:ascii="Garamond" w:eastAsia="Garamond" w:hAnsi="Garamond" w:cs="Garamond"/>
        </w:rPr>
        <w:t>Zotarelli</w:t>
      </w:r>
      <w:proofErr w:type="spellEnd"/>
      <w:r w:rsidR="00473866">
        <w:rPr>
          <w:rFonts w:ascii="Garamond" w:eastAsia="Garamond" w:hAnsi="Garamond" w:cs="Garamond"/>
        </w:rPr>
        <w:t>,</w:t>
      </w:r>
      <w:r>
        <w:rPr>
          <w:rFonts w:ascii="Garamond" w:eastAsia="Garamond" w:hAnsi="Garamond" w:cs="Garamond"/>
        </w:rPr>
        <w:t xml:space="preserve"> 2013). The MODIS ET product differs from the reference ET derived from the Penman-Monteith equation because it includes remotely sensed inputs of leaf area index (LAI), land cover, albedo, and fraction of photosynthetically absorbed radiation (FPAR) which it derives from MODIS and Visible Infrared Imaging Radiometer Suite data in addition to daily meteorological data inputs (Mu</w:t>
      </w:r>
      <w:r w:rsidR="00473866">
        <w:rPr>
          <w:rFonts w:ascii="Garamond" w:eastAsia="Garamond" w:hAnsi="Garamond" w:cs="Garamond"/>
        </w:rPr>
        <w:t>,</w:t>
      </w:r>
      <w:r>
        <w:rPr>
          <w:rFonts w:ascii="Garamond" w:eastAsia="Garamond" w:hAnsi="Garamond" w:cs="Garamond"/>
        </w:rPr>
        <w:t xml:space="preserve"> 2013). The MODIS16A2 ET product gives us an adjusted reference ET estimate that we can use to relate to the fine resolution land cover type maps we created using SAR imagery.  All MODIS products were downloaded using the </w:t>
      </w:r>
      <w:proofErr w:type="spellStart"/>
      <w:r>
        <w:rPr>
          <w:rFonts w:ascii="Garamond" w:eastAsia="Garamond" w:hAnsi="Garamond" w:cs="Garamond"/>
        </w:rPr>
        <w:t>MODIStsp</w:t>
      </w:r>
      <w:proofErr w:type="spellEnd"/>
      <w:r>
        <w:rPr>
          <w:rFonts w:ascii="Garamond" w:eastAsia="Garamond" w:hAnsi="Garamond" w:cs="Garamond"/>
        </w:rPr>
        <w:t xml:space="preserve"> R Package (</w:t>
      </w:r>
      <w:proofErr w:type="spellStart"/>
      <w:r>
        <w:rPr>
          <w:rFonts w:ascii="Garamond" w:eastAsia="Garamond" w:hAnsi="Garamond" w:cs="Garamond"/>
        </w:rPr>
        <w:t>Busetto</w:t>
      </w:r>
      <w:proofErr w:type="spellEnd"/>
      <w:r>
        <w:rPr>
          <w:rFonts w:ascii="Garamond" w:eastAsia="Garamond" w:hAnsi="Garamond" w:cs="Garamond"/>
        </w:rPr>
        <w:t xml:space="preserve"> &amp; </w:t>
      </w:r>
      <w:proofErr w:type="spellStart"/>
      <w:r>
        <w:rPr>
          <w:rFonts w:ascii="Garamond" w:eastAsia="Garamond" w:hAnsi="Garamond" w:cs="Garamond"/>
        </w:rPr>
        <w:t>Ranghetti</w:t>
      </w:r>
      <w:proofErr w:type="spellEnd"/>
      <w:r>
        <w:rPr>
          <w:rFonts w:ascii="Garamond" w:eastAsia="Garamond" w:hAnsi="Garamond" w:cs="Garamond"/>
        </w:rPr>
        <w:t xml:space="preserve">, 2017). </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Land cover was characterized using synthetic aperture radar (SAR) data from three sensors: NASA</w:t>
      </w:r>
      <w:r w:rsidR="00473866">
        <w:rPr>
          <w:rFonts w:ascii="Garamond" w:eastAsia="Garamond" w:hAnsi="Garamond" w:cs="Garamond"/>
        </w:rPr>
        <w:t xml:space="preserve"> Gulfstream III </w:t>
      </w:r>
      <w:r>
        <w:rPr>
          <w:rFonts w:ascii="Garamond" w:eastAsia="Garamond" w:hAnsi="Garamond" w:cs="Garamond"/>
        </w:rPr>
        <w:t xml:space="preserve">Uninhabited Aerial Vehicle Synthetic Aperture Radar (UAVSAR), Sentinel-1 C-band Synthetic Aperture Radar (Sentinel-1 C-SAR), and Advanced Land Observing Satellite Phased Array </w:t>
      </w:r>
      <w:proofErr w:type="gramStart"/>
      <w:r>
        <w:rPr>
          <w:rFonts w:ascii="Garamond" w:eastAsia="Garamond" w:hAnsi="Garamond" w:cs="Garamond"/>
        </w:rPr>
        <w:t>type</w:t>
      </w:r>
      <w:proofErr w:type="gramEnd"/>
      <w:r>
        <w:rPr>
          <w:rFonts w:ascii="Garamond" w:eastAsia="Garamond" w:hAnsi="Garamond" w:cs="Garamond"/>
        </w:rPr>
        <w:t xml:space="preserve"> L-band Synthetic Aperture Radar (ALOS PALSAR). Imagery from these sensors was downloaded from the Alaska Satellite Facility Distributed Active Archive Center (ASF DAAC). We used the UAVSAR level 1 L-band polarimetric radar backscatter, the Sentinel-1 C-band dual-polarization radar backscatter, and ALOS PALSAR L-band dual-polarization radiometrically terrain corrected high-resolution radar backscatter product. SAR is an active imaging method that uses microwaves that penetrate clouds and partia</w:t>
      </w:r>
      <w:r w:rsidR="009C3C63">
        <w:rPr>
          <w:rFonts w:ascii="Garamond" w:eastAsia="Garamond" w:hAnsi="Garamond" w:cs="Garamond"/>
        </w:rPr>
        <w:t>l</w:t>
      </w:r>
      <w:r>
        <w:rPr>
          <w:rFonts w:ascii="Garamond" w:eastAsia="Garamond" w:hAnsi="Garamond" w:cs="Garamond"/>
        </w:rPr>
        <w:t xml:space="preserve"> canopy to obtain information on surface roughness (</w:t>
      </w:r>
      <w:proofErr w:type="spellStart"/>
      <w:r>
        <w:rPr>
          <w:rFonts w:ascii="Garamond" w:eastAsia="Garamond" w:hAnsi="Garamond" w:cs="Garamond"/>
        </w:rPr>
        <w:t>Bamler</w:t>
      </w:r>
      <w:proofErr w:type="spellEnd"/>
      <w:r w:rsidR="009C3C63">
        <w:rPr>
          <w:rFonts w:ascii="Garamond" w:eastAsia="Garamond" w:hAnsi="Garamond" w:cs="Garamond"/>
        </w:rPr>
        <w:t>,</w:t>
      </w:r>
      <w:r>
        <w:rPr>
          <w:rFonts w:ascii="Garamond" w:eastAsia="Garamond" w:hAnsi="Garamond" w:cs="Garamond"/>
        </w:rPr>
        <w:t xml:space="preserve"> 2000). For this reason, only SAR imagery was used for </w:t>
      </w:r>
      <w:r w:rsidR="009C3C63">
        <w:rPr>
          <w:rFonts w:ascii="Garamond" w:eastAsia="Garamond" w:hAnsi="Garamond" w:cs="Garamond"/>
        </w:rPr>
        <w:t>the</w:t>
      </w:r>
      <w:r>
        <w:rPr>
          <w:rFonts w:ascii="Garamond" w:eastAsia="Garamond" w:hAnsi="Garamond" w:cs="Garamond"/>
        </w:rPr>
        <w:t xml:space="preserve"> study area located in the tropics where clouds and forest canopy</w:t>
      </w:r>
      <w:r w:rsidR="009C3C63">
        <w:rPr>
          <w:rFonts w:ascii="Garamond" w:eastAsia="Garamond" w:hAnsi="Garamond" w:cs="Garamond"/>
        </w:rPr>
        <w:t xml:space="preserve"> are</w:t>
      </w:r>
      <w:r>
        <w:rPr>
          <w:rFonts w:ascii="Garamond" w:eastAsia="Garamond" w:hAnsi="Garamond" w:cs="Garamond"/>
        </w:rPr>
        <w:t xml:space="preserve"> common. C-band imagery (6 cm. wavelength) and L-band imagery (24 cm. wavelength) were used to explore the classification capabilities of both wavelengths in the tropics.</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i/>
        </w:rPr>
        <w:t>In situ</w:t>
      </w:r>
      <w:r>
        <w:rPr>
          <w:rFonts w:ascii="Garamond" w:eastAsia="Garamond" w:hAnsi="Garamond" w:cs="Garamond"/>
        </w:rPr>
        <w:t xml:space="preserve"> data was necessary to validate the satellite and airborne observations. STRI provided us with data the organization has been collecting from 1933 to the present. Ancillary data for calibration and validation purposes included</w:t>
      </w:r>
      <w:r>
        <w:rPr>
          <w:rFonts w:ascii="Garamond" w:eastAsia="Garamond" w:hAnsi="Garamond" w:cs="Garamond"/>
          <w:i/>
        </w:rPr>
        <w:t xml:space="preserve"> in situ</w:t>
      </w:r>
      <w:r>
        <w:rPr>
          <w:rFonts w:ascii="Garamond" w:eastAsia="Garamond" w:hAnsi="Garamond" w:cs="Garamond"/>
        </w:rPr>
        <w:t xml:space="preserve"> potential ET observations collected from STRI and </w:t>
      </w:r>
      <w:proofErr w:type="spellStart"/>
      <w:r>
        <w:rPr>
          <w:rFonts w:ascii="Garamond" w:eastAsia="Garamond" w:hAnsi="Garamond" w:cs="Garamond"/>
        </w:rPr>
        <w:t>Empresa</w:t>
      </w:r>
      <w:proofErr w:type="spellEnd"/>
      <w:r>
        <w:rPr>
          <w:rFonts w:ascii="Garamond" w:eastAsia="Garamond" w:hAnsi="Garamond" w:cs="Garamond"/>
        </w:rPr>
        <w:t xml:space="preserve"> de </w:t>
      </w:r>
      <w:proofErr w:type="spellStart"/>
      <w:r>
        <w:rPr>
          <w:rFonts w:ascii="Garamond" w:eastAsia="Garamond" w:hAnsi="Garamond" w:cs="Garamond"/>
        </w:rPr>
        <w:t>Transmision</w:t>
      </w:r>
      <w:proofErr w:type="spellEnd"/>
      <w:r>
        <w:rPr>
          <w:rFonts w:ascii="Garamond" w:eastAsia="Garamond" w:hAnsi="Garamond" w:cs="Garamond"/>
        </w:rPr>
        <w:t xml:space="preserve"> </w:t>
      </w:r>
      <w:proofErr w:type="spellStart"/>
      <w:r>
        <w:rPr>
          <w:rFonts w:ascii="Garamond" w:eastAsia="Garamond" w:hAnsi="Garamond" w:cs="Garamond"/>
        </w:rPr>
        <w:t>Electrica</w:t>
      </w:r>
      <w:proofErr w:type="spellEnd"/>
      <w:r>
        <w:rPr>
          <w:rFonts w:ascii="Garamond" w:eastAsia="Garamond" w:hAnsi="Garamond" w:cs="Garamond"/>
        </w:rPr>
        <w:t xml:space="preserve"> Sociedad </w:t>
      </w:r>
      <w:proofErr w:type="spellStart"/>
      <w:r>
        <w:rPr>
          <w:rFonts w:ascii="Garamond" w:eastAsia="Garamond" w:hAnsi="Garamond" w:cs="Garamond"/>
        </w:rPr>
        <w:t>Anónima</w:t>
      </w:r>
      <w:proofErr w:type="spellEnd"/>
      <w:r w:rsidR="009C3C63">
        <w:rPr>
          <w:rFonts w:ascii="Garamond" w:eastAsia="Garamond" w:hAnsi="Garamond" w:cs="Garamond"/>
        </w:rPr>
        <w:t xml:space="preserve"> </w:t>
      </w:r>
      <w:r>
        <w:rPr>
          <w:rFonts w:ascii="Garamond" w:eastAsia="Garamond" w:hAnsi="Garamond" w:cs="Garamond"/>
        </w:rPr>
        <w:t>(ETESA) meteorological stations. Information on land cover</w:t>
      </w:r>
      <w:r w:rsidR="009C3C63">
        <w:rPr>
          <w:rFonts w:ascii="Garamond" w:eastAsia="Garamond" w:hAnsi="Garamond" w:cs="Garamond"/>
        </w:rPr>
        <w:t>,</w:t>
      </w:r>
      <w:r>
        <w:rPr>
          <w:rFonts w:ascii="Garamond" w:eastAsia="Garamond" w:hAnsi="Garamond" w:cs="Garamond"/>
        </w:rPr>
        <w:t xml:space="preserve"> such as forested and pasture plots on both Agua </w:t>
      </w:r>
      <w:proofErr w:type="spellStart"/>
      <w:r>
        <w:rPr>
          <w:rFonts w:ascii="Garamond" w:eastAsia="Garamond" w:hAnsi="Garamond" w:cs="Garamond"/>
        </w:rPr>
        <w:t>Salud</w:t>
      </w:r>
      <w:proofErr w:type="spellEnd"/>
      <w:r>
        <w:rPr>
          <w:rFonts w:ascii="Garamond" w:eastAsia="Garamond" w:hAnsi="Garamond" w:cs="Garamond"/>
        </w:rPr>
        <w:t xml:space="preserve"> and BCI</w:t>
      </w:r>
      <w:r w:rsidR="009C3C63">
        <w:rPr>
          <w:rFonts w:ascii="Garamond" w:eastAsia="Garamond" w:hAnsi="Garamond" w:cs="Garamond"/>
        </w:rPr>
        <w:t>,</w:t>
      </w:r>
      <w:r>
        <w:rPr>
          <w:rFonts w:ascii="Garamond" w:eastAsia="Garamond" w:hAnsi="Garamond" w:cs="Garamond"/>
        </w:rPr>
        <w:t xml:space="preserve"> were provided</w:t>
      </w:r>
      <w:r w:rsidR="009C3C63">
        <w:rPr>
          <w:rFonts w:ascii="Garamond" w:eastAsia="Garamond" w:hAnsi="Garamond" w:cs="Garamond"/>
        </w:rPr>
        <w:t xml:space="preserve"> by</w:t>
      </w:r>
      <w:r>
        <w:rPr>
          <w:rFonts w:ascii="Garamond" w:eastAsia="Garamond" w:hAnsi="Garamond" w:cs="Garamond"/>
        </w:rPr>
        <w:t xml:space="preserve"> STRI and downloaded on STRI’s GIS Data Portal. Additional information about every dataset used is detailed in Appendix A. </w:t>
      </w:r>
    </w:p>
    <w:p w:rsidR="00886CC7" w:rsidRDefault="00886CC7">
      <w:pPr>
        <w:spacing w:after="0" w:line="240" w:lineRule="auto"/>
        <w:rPr>
          <w:rFonts w:ascii="Garamond" w:eastAsia="Garamond" w:hAnsi="Garamond" w:cs="Garamond"/>
          <w:b/>
          <w:i/>
        </w:rPr>
      </w:pPr>
      <w:bookmarkStart w:id="3" w:name="_heading=h.2s8eyo1" w:colFirst="0" w:colLast="0"/>
      <w:bookmarkEnd w:id="3"/>
    </w:p>
    <w:p w:rsidR="00886CC7" w:rsidRDefault="00457177">
      <w:pPr>
        <w:spacing w:after="0" w:line="240" w:lineRule="auto"/>
        <w:rPr>
          <w:rFonts w:ascii="Garamond" w:eastAsia="Garamond" w:hAnsi="Garamond" w:cs="Garamond"/>
        </w:rPr>
      </w:pPr>
      <w:bookmarkStart w:id="4" w:name="_heading=h.k5cq8cf0sl7o" w:colFirst="0" w:colLast="0"/>
      <w:bookmarkEnd w:id="4"/>
      <w:r>
        <w:rPr>
          <w:rFonts w:ascii="Garamond" w:eastAsia="Garamond" w:hAnsi="Garamond" w:cs="Garamond"/>
          <w:b/>
          <w:i/>
        </w:rPr>
        <w:t>3.2 Data Processing</w:t>
      </w:r>
    </w:p>
    <w:p w:rsidR="00886CC7" w:rsidRDefault="00457177">
      <w:pPr>
        <w:spacing w:after="0" w:line="240" w:lineRule="auto"/>
        <w:rPr>
          <w:rFonts w:ascii="Garamond" w:eastAsia="Garamond" w:hAnsi="Garamond" w:cs="Garamond"/>
        </w:rPr>
      </w:pPr>
      <w:r>
        <w:rPr>
          <w:rFonts w:ascii="Garamond" w:eastAsia="Garamond" w:hAnsi="Garamond" w:cs="Garamond"/>
        </w:rPr>
        <w:t>SAR data was processed using ENVI, ArcMap</w:t>
      </w:r>
      <w:r w:rsidR="009C3C63">
        <w:rPr>
          <w:rFonts w:ascii="Garamond" w:eastAsia="Garamond" w:hAnsi="Garamond" w:cs="Garamond"/>
        </w:rPr>
        <w:t>,</w:t>
      </w:r>
      <w:r>
        <w:rPr>
          <w:rFonts w:ascii="Garamond" w:eastAsia="Garamond" w:hAnsi="Garamond" w:cs="Garamond"/>
        </w:rPr>
        <w:t xml:space="preserve"> and the Sentinel Application Platform (SNAP). We used ENVI and ArcMap to mosaic SAR imagery as well as crop it to our study areas, A</w:t>
      </w:r>
      <w:r w:rsidR="009C3C63">
        <w:rPr>
          <w:rFonts w:ascii="Garamond" w:eastAsia="Garamond" w:hAnsi="Garamond" w:cs="Garamond"/>
        </w:rPr>
        <w:t>SP</w:t>
      </w:r>
      <w:r>
        <w:rPr>
          <w:rFonts w:ascii="Garamond" w:eastAsia="Garamond" w:hAnsi="Garamond" w:cs="Garamond"/>
        </w:rPr>
        <w:t xml:space="preserve"> and BCI in Panama. MODIS mosaics were created using the </w:t>
      </w:r>
      <w:proofErr w:type="spellStart"/>
      <w:r>
        <w:rPr>
          <w:rFonts w:ascii="Garamond" w:eastAsia="Garamond" w:hAnsi="Garamond" w:cs="Garamond"/>
        </w:rPr>
        <w:t>MODIStsp</w:t>
      </w:r>
      <w:proofErr w:type="spellEnd"/>
      <w:r>
        <w:rPr>
          <w:rFonts w:ascii="Garamond" w:eastAsia="Garamond" w:hAnsi="Garamond" w:cs="Garamond"/>
        </w:rPr>
        <w:t xml:space="preserve"> R package</w:t>
      </w:r>
      <w:r w:rsidR="009C3C63">
        <w:rPr>
          <w:rFonts w:ascii="Garamond" w:eastAsia="Garamond" w:hAnsi="Garamond" w:cs="Garamond"/>
        </w:rPr>
        <w:t>,</w:t>
      </w:r>
      <w:r>
        <w:rPr>
          <w:rFonts w:ascii="Garamond" w:eastAsia="Garamond" w:hAnsi="Garamond" w:cs="Garamond"/>
        </w:rPr>
        <w:t xml:space="preserve"> and fill values were reclassified to a “No Data” value of 9999 in R. Additionally, we created a time series of Boolean </w:t>
      </w:r>
      <w:proofErr w:type="spellStart"/>
      <w:r>
        <w:rPr>
          <w:rFonts w:ascii="Garamond" w:eastAsia="Garamond" w:hAnsi="Garamond" w:cs="Garamond"/>
        </w:rPr>
        <w:t>rasters</w:t>
      </w:r>
      <w:proofErr w:type="spellEnd"/>
      <w:r>
        <w:rPr>
          <w:rFonts w:ascii="Garamond" w:eastAsia="Garamond" w:hAnsi="Garamond" w:cs="Garamond"/>
        </w:rPr>
        <w:t xml:space="preserve"> to evaluate data coverage in our study area during the wet and dry seasons for our study period. To remove the impact of transitional </w:t>
      </w:r>
      <w:r>
        <w:rPr>
          <w:rFonts w:ascii="Garamond" w:eastAsia="Garamond" w:hAnsi="Garamond" w:cs="Garamond"/>
        </w:rPr>
        <w:lastRenderedPageBreak/>
        <w:t xml:space="preserve">periods between the wet and dry seasons, we focused on data in the core wet and dry seasons defined as June to November and mid-January to March, respectively. All SAR, MODIS, and ancillary data were projected in WGS 1984 UTM 17N. </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 xml:space="preserve">When factors such as clouds or limited reliable meteorological observations inhibit the algorithm from producing an ET value for a pixel in the MODIS data, the pixel is assigned a fill value. The fill values in the MODIS ET product range from 3276.1 to 3276.7 based on the land cover type of the pixel. We reclassified those fill values to a no data value, which left some gaps in our data. To make up for those gaps we aggregated the 8-day products to 16-day products by taking the sum to represent total net ET in mm of water lost over the 16 days. We also aggregated </w:t>
      </w:r>
      <w:r w:rsidR="009C3C63">
        <w:rPr>
          <w:rFonts w:ascii="Garamond" w:eastAsia="Garamond" w:hAnsi="Garamond" w:cs="Garamond"/>
        </w:rPr>
        <w:t xml:space="preserve">a </w:t>
      </w:r>
      <w:r>
        <w:rPr>
          <w:rFonts w:ascii="Garamond" w:eastAsia="Garamond" w:hAnsi="Garamond" w:cs="Garamond"/>
        </w:rPr>
        <w:t>total net ET product for each year</w:t>
      </w:r>
      <w:r w:rsidR="009C3C63">
        <w:rPr>
          <w:rFonts w:ascii="Garamond" w:eastAsia="Garamond" w:hAnsi="Garamond" w:cs="Garamond"/>
        </w:rPr>
        <w:t xml:space="preserve"> </w:t>
      </w:r>
      <w:r>
        <w:rPr>
          <w:rFonts w:ascii="Garamond" w:eastAsia="Garamond" w:hAnsi="Garamond" w:cs="Garamond"/>
        </w:rPr>
        <w:t>a</w:t>
      </w:r>
      <w:r w:rsidR="009C3C63">
        <w:rPr>
          <w:rFonts w:ascii="Garamond" w:eastAsia="Garamond" w:hAnsi="Garamond" w:cs="Garamond"/>
        </w:rPr>
        <w:t>nd</w:t>
      </w:r>
      <w:r>
        <w:rPr>
          <w:rFonts w:ascii="Garamond" w:eastAsia="Garamond" w:hAnsi="Garamond" w:cs="Garamond"/>
        </w:rPr>
        <w:t xml:space="preserve"> a yearly product representing annual total net ET</w:t>
      </w:r>
      <w:r w:rsidR="009C3C63">
        <w:rPr>
          <w:rFonts w:ascii="Garamond" w:eastAsia="Garamond" w:hAnsi="Garamond" w:cs="Garamond"/>
        </w:rPr>
        <w:t xml:space="preserve"> </w:t>
      </w:r>
      <w:r w:rsidR="009C3C63">
        <w:rPr>
          <w:rFonts w:ascii="Garamond" w:eastAsia="Garamond" w:hAnsi="Garamond" w:cs="Garamond"/>
        </w:rPr>
        <w:t xml:space="preserve">into a core dry season </w:t>
      </w:r>
      <w:r w:rsidR="009C3C63">
        <w:rPr>
          <w:rFonts w:ascii="Garamond" w:eastAsia="Garamond" w:hAnsi="Garamond" w:cs="Garamond"/>
        </w:rPr>
        <w:t>as well as a</w:t>
      </w:r>
      <w:r w:rsidR="009C3C63">
        <w:rPr>
          <w:rFonts w:ascii="Garamond" w:eastAsia="Garamond" w:hAnsi="Garamond" w:cs="Garamond"/>
        </w:rPr>
        <w:t xml:space="preserve"> core wet season</w:t>
      </w:r>
      <w:r>
        <w:rPr>
          <w:rFonts w:ascii="Garamond" w:eastAsia="Garamond" w:hAnsi="Garamond" w:cs="Garamond"/>
        </w:rPr>
        <w:t xml:space="preserve">. </w:t>
      </w:r>
      <w:r>
        <w:rPr>
          <w:rFonts w:ascii="Garamond" w:eastAsia="Garamond" w:hAnsi="Garamond" w:cs="Garamond"/>
        </w:rPr>
        <w:br/>
      </w:r>
      <w:r>
        <w:rPr>
          <w:rFonts w:ascii="Garamond" w:eastAsia="Garamond" w:hAnsi="Garamond" w:cs="Garamond"/>
        </w:rPr>
        <w:br/>
        <w:t>Normalization of SAR imagery is required for meaningful multi-sensor comparisons, accurate backscatter values, and robust land cover classifications (Small et al. 2011). Terrain topography affects position and backscatter values across all sensors and is responsible for most radiometric variation in radar imagery (Simard et al.</w:t>
      </w:r>
      <w:r w:rsidR="009C3C63">
        <w:rPr>
          <w:rFonts w:ascii="Garamond" w:eastAsia="Garamond" w:hAnsi="Garamond" w:cs="Garamond"/>
        </w:rPr>
        <w:t>,</w:t>
      </w:r>
      <w:r>
        <w:rPr>
          <w:rFonts w:ascii="Garamond" w:eastAsia="Garamond" w:hAnsi="Garamond" w:cs="Garamond"/>
        </w:rPr>
        <w:t xml:space="preserve"> 2016). To produce accurate land cover classifications of forest structure in Agua </w:t>
      </w:r>
      <w:proofErr w:type="spellStart"/>
      <w:r>
        <w:rPr>
          <w:rFonts w:ascii="Garamond" w:eastAsia="Garamond" w:hAnsi="Garamond" w:cs="Garamond"/>
        </w:rPr>
        <w:t>Salud</w:t>
      </w:r>
      <w:proofErr w:type="spellEnd"/>
      <w:r>
        <w:rPr>
          <w:rFonts w:ascii="Garamond" w:eastAsia="Garamond" w:hAnsi="Garamond" w:cs="Garamond"/>
        </w:rPr>
        <w:t xml:space="preserve"> and BCI, radiometric terrain correction (RTC) was performed across all sensors. The ALOS PALSAR L-Band RTC product was downloaded directly from the ASF DAAC. With this product, the imagery has already been terrain corrected using the SRTM GL.1, 30 m digital elevation model into an algorithm in the GAMMA software implemented by ASF. RTC on Sentinel-1 C-Band SAR was applied using ASF’s Hybrid Pluggable Processing Pipeline (HyP3) which applies the same GAMMA RTC as ALOS PALSAR but through ASF’s cloud computing service (Hogenson et. al 2016). Sentinel-1 C-Band imagery over the span of 2017 was corrected, resulting in 31 RTC Sentinel-1 C-band images. UAVSAR used a new algorithm created for airborne SAR imagery that takes into account antenna steering angle and target geometry (Simard et. </w:t>
      </w:r>
      <w:r w:rsidR="009C3C63">
        <w:rPr>
          <w:rFonts w:ascii="Garamond" w:eastAsia="Garamond" w:hAnsi="Garamond" w:cs="Garamond"/>
        </w:rPr>
        <w:t>A</w:t>
      </w:r>
      <w:r>
        <w:rPr>
          <w:rFonts w:ascii="Garamond" w:eastAsia="Garamond" w:hAnsi="Garamond" w:cs="Garamond"/>
        </w:rPr>
        <w:t>l</w:t>
      </w:r>
      <w:r w:rsidR="009C3C63">
        <w:rPr>
          <w:rFonts w:ascii="Garamond" w:eastAsia="Garamond" w:hAnsi="Garamond" w:cs="Garamond"/>
        </w:rPr>
        <w:t>,</w:t>
      </w:r>
      <w:r>
        <w:rPr>
          <w:rFonts w:ascii="Garamond" w:eastAsia="Garamond" w:hAnsi="Garamond" w:cs="Garamond"/>
        </w:rPr>
        <w:t xml:space="preserve"> 2016). This new algorithm performs better than algorithms that only use a DEM to correct for terrain and allows for better correction in areas with significant terrain topography (Simard et. </w:t>
      </w:r>
      <w:r w:rsidR="009C3C63">
        <w:rPr>
          <w:rFonts w:ascii="Garamond" w:eastAsia="Garamond" w:hAnsi="Garamond" w:cs="Garamond"/>
        </w:rPr>
        <w:t>A</w:t>
      </w:r>
      <w:r>
        <w:rPr>
          <w:rFonts w:ascii="Garamond" w:eastAsia="Garamond" w:hAnsi="Garamond" w:cs="Garamond"/>
        </w:rPr>
        <w:t>l</w:t>
      </w:r>
      <w:r w:rsidR="009C3C63">
        <w:rPr>
          <w:rFonts w:ascii="Garamond" w:eastAsia="Garamond" w:hAnsi="Garamond" w:cs="Garamond"/>
        </w:rPr>
        <w:t>,</w:t>
      </w:r>
      <w:r>
        <w:rPr>
          <w:rFonts w:ascii="Garamond" w:eastAsia="Garamond" w:hAnsi="Garamond" w:cs="Garamond"/>
        </w:rPr>
        <w:t xml:space="preserve"> 2016).</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Speckle noise in SAR imagery makes interpretation and classification difficult, degrading the quality of the image (</w:t>
      </w:r>
      <w:proofErr w:type="spellStart"/>
      <w:r>
        <w:rPr>
          <w:rFonts w:ascii="Garamond" w:eastAsia="Garamond" w:hAnsi="Garamond" w:cs="Garamond"/>
        </w:rPr>
        <w:t>Yommy</w:t>
      </w:r>
      <w:proofErr w:type="spellEnd"/>
      <w:r>
        <w:rPr>
          <w:rFonts w:ascii="Garamond" w:eastAsia="Garamond" w:hAnsi="Garamond" w:cs="Garamond"/>
        </w:rPr>
        <w:t>, Liu &amp; Wu 2015). To correct for speckle across our SAR imagery the Lee filter was applied in SNAP.  This filter</w:t>
      </w:r>
      <w:r w:rsidR="009C3C63">
        <w:rPr>
          <w:rFonts w:ascii="Garamond" w:eastAsia="Garamond" w:hAnsi="Garamond" w:cs="Garamond"/>
        </w:rPr>
        <w:t xml:space="preserve"> </w:t>
      </w:r>
      <w:r>
        <w:rPr>
          <w:rFonts w:ascii="Garamond" w:eastAsia="Garamond" w:hAnsi="Garamond" w:cs="Garamond"/>
        </w:rPr>
        <w:t xml:space="preserve">uses minimum mean square error filtering in a window of pixels to carry out </w:t>
      </w:r>
      <w:proofErr w:type="spellStart"/>
      <w:r>
        <w:rPr>
          <w:rFonts w:ascii="Garamond" w:eastAsia="Garamond" w:hAnsi="Garamond" w:cs="Garamond"/>
        </w:rPr>
        <w:t>despeckling</w:t>
      </w:r>
      <w:proofErr w:type="spellEnd"/>
      <w:r>
        <w:rPr>
          <w:rFonts w:ascii="Garamond" w:eastAsia="Garamond" w:hAnsi="Garamond" w:cs="Garamond"/>
        </w:rPr>
        <w:t xml:space="preserve"> (</w:t>
      </w:r>
      <w:proofErr w:type="spellStart"/>
      <w:r>
        <w:rPr>
          <w:rFonts w:ascii="Garamond" w:eastAsia="Garamond" w:hAnsi="Garamond" w:cs="Garamond"/>
        </w:rPr>
        <w:t>Yommy</w:t>
      </w:r>
      <w:proofErr w:type="spellEnd"/>
      <w:r>
        <w:rPr>
          <w:rFonts w:ascii="Garamond" w:eastAsia="Garamond" w:hAnsi="Garamond" w:cs="Garamond"/>
        </w:rPr>
        <w:t xml:space="preserve">, Liu &amp; Wu, 2015).  Across all SAR imagery we applied the Lee filter with a 5x5 window to remove speckle. </w:t>
      </w:r>
      <w:proofErr w:type="spellStart"/>
      <w:r>
        <w:rPr>
          <w:rFonts w:ascii="Garamond" w:eastAsia="Garamond" w:hAnsi="Garamond" w:cs="Garamond"/>
        </w:rPr>
        <w:t>Despeckled</w:t>
      </w:r>
      <w:proofErr w:type="spellEnd"/>
      <w:r>
        <w:rPr>
          <w:rFonts w:ascii="Garamond" w:eastAsia="Garamond" w:hAnsi="Garamond" w:cs="Garamond"/>
        </w:rPr>
        <w:t xml:space="preserve"> backscatter intensity was then converted from a linear scale to a decibel in SNAP to normalize values for further data processing. </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To maximize contrast between land cover types, polarization ratios of the HH polarization minus the HV polarization and Pauli decompositions were created for the PALSAR and UAVSAR imagery, respectively, and added as additional bands to classifications. Gray level co-occurrence matrices (GLCM) were created across all SAR imagery to maximize contrast between land cover types as well. The “</w:t>
      </w:r>
      <w:proofErr w:type="spellStart"/>
      <w:r>
        <w:rPr>
          <w:rFonts w:ascii="Garamond" w:eastAsia="Garamond" w:hAnsi="Garamond" w:cs="Garamond"/>
        </w:rPr>
        <w:t>glcm</w:t>
      </w:r>
      <w:proofErr w:type="spellEnd"/>
      <w:r>
        <w:rPr>
          <w:rFonts w:ascii="Garamond" w:eastAsia="Garamond" w:hAnsi="Garamond" w:cs="Garamond"/>
        </w:rPr>
        <w:t xml:space="preserve">” R package was used to produce </w:t>
      </w:r>
      <w:proofErr w:type="spellStart"/>
      <w:r>
        <w:rPr>
          <w:rFonts w:ascii="Garamond" w:eastAsia="Garamond" w:hAnsi="Garamond" w:cs="Garamond"/>
        </w:rPr>
        <w:t>rasters</w:t>
      </w:r>
      <w:proofErr w:type="spellEnd"/>
      <w:r>
        <w:rPr>
          <w:rFonts w:ascii="Garamond" w:eastAsia="Garamond" w:hAnsi="Garamond" w:cs="Garamond"/>
        </w:rPr>
        <w:t xml:space="preserve"> to add as additional bands into our classification input raster, the output is shown in Appendix C. A 9x9 window and a 1 cell shift in all directions were set to generate our GLCM statistics. ALOS PALSAR and UAVSAR imagery included mean and homogeneity </w:t>
      </w:r>
      <w:proofErr w:type="spellStart"/>
      <w:r>
        <w:rPr>
          <w:rFonts w:ascii="Garamond" w:eastAsia="Garamond" w:hAnsi="Garamond" w:cs="Garamond"/>
        </w:rPr>
        <w:t>rasters</w:t>
      </w:r>
      <w:proofErr w:type="spellEnd"/>
      <w:r>
        <w:rPr>
          <w:rFonts w:ascii="Garamond" w:eastAsia="Garamond" w:hAnsi="Garamond" w:cs="Garamond"/>
        </w:rPr>
        <w:t xml:space="preserve">, while Sentinel-1 imagery included only the mean. These </w:t>
      </w:r>
      <w:proofErr w:type="spellStart"/>
      <w:r>
        <w:rPr>
          <w:rFonts w:ascii="Garamond" w:eastAsia="Garamond" w:hAnsi="Garamond" w:cs="Garamond"/>
        </w:rPr>
        <w:t>rasters</w:t>
      </w:r>
      <w:proofErr w:type="spellEnd"/>
      <w:r>
        <w:rPr>
          <w:rFonts w:ascii="Garamond" w:eastAsia="Garamond" w:hAnsi="Garamond" w:cs="Garamond"/>
        </w:rPr>
        <w:t xml:space="preserve"> were selected because of the visual contrast they created between land cover types. Contrast and dissimilarity were not used due to large areas of misclassification around the borders of BCI and A</w:t>
      </w:r>
      <w:r w:rsidR="00B26968">
        <w:rPr>
          <w:rFonts w:ascii="Garamond" w:eastAsia="Garamond" w:hAnsi="Garamond" w:cs="Garamond"/>
        </w:rPr>
        <w:t>SP.</w:t>
      </w:r>
    </w:p>
    <w:p w:rsidR="00886CC7" w:rsidRDefault="00886CC7">
      <w:pPr>
        <w:spacing w:after="0" w:line="240" w:lineRule="auto"/>
        <w:rPr>
          <w:rFonts w:ascii="Garamond" w:eastAsia="Garamond" w:hAnsi="Garamond" w:cs="Garamond"/>
        </w:rPr>
      </w:pPr>
    </w:p>
    <w:p w:rsidR="00886CC7" w:rsidRPr="00B26968" w:rsidRDefault="00457177">
      <w:pPr>
        <w:spacing w:after="0" w:line="240" w:lineRule="auto"/>
        <w:rPr>
          <w:rFonts w:ascii="Garamond" w:eastAsia="Garamond" w:hAnsi="Garamond" w:cs="Garamond"/>
        </w:rPr>
      </w:pPr>
      <w:r>
        <w:rPr>
          <w:rFonts w:ascii="Garamond" w:eastAsia="Garamond" w:hAnsi="Garamond" w:cs="Garamond"/>
        </w:rPr>
        <w:t xml:space="preserve">For training data </w:t>
      </w:r>
      <w:r w:rsidR="00B26968">
        <w:rPr>
          <w:rFonts w:ascii="Garamond" w:eastAsia="Garamond" w:hAnsi="Garamond" w:cs="Garamond"/>
        </w:rPr>
        <w:t>used</w:t>
      </w:r>
      <w:r>
        <w:rPr>
          <w:rFonts w:ascii="Garamond" w:eastAsia="Garamond" w:hAnsi="Garamond" w:cs="Garamond"/>
        </w:rPr>
        <w:t xml:space="preserve"> </w:t>
      </w:r>
      <w:r w:rsidR="00B26968">
        <w:rPr>
          <w:rFonts w:ascii="Garamond" w:eastAsia="Garamond" w:hAnsi="Garamond" w:cs="Garamond"/>
        </w:rPr>
        <w:t>in the</w:t>
      </w:r>
      <w:r>
        <w:rPr>
          <w:rFonts w:ascii="Garamond" w:eastAsia="Garamond" w:hAnsi="Garamond" w:cs="Garamond"/>
        </w:rPr>
        <w:t xml:space="preserve"> final classification, </w:t>
      </w:r>
      <w:r w:rsidR="00B26968">
        <w:rPr>
          <w:rFonts w:ascii="Garamond" w:eastAsia="Garamond" w:hAnsi="Garamond" w:cs="Garamond"/>
        </w:rPr>
        <w:t>the team</w:t>
      </w:r>
      <w:r>
        <w:rPr>
          <w:rFonts w:ascii="Garamond" w:eastAsia="Garamond" w:hAnsi="Garamond" w:cs="Garamond"/>
        </w:rPr>
        <w:t xml:space="preserve"> create two classes, one for forested areas, and one for non-forested areas. </w:t>
      </w:r>
      <w:r>
        <w:rPr>
          <w:rFonts w:ascii="Garamond" w:eastAsia="Garamond" w:hAnsi="Garamond" w:cs="Garamond"/>
          <w:i/>
        </w:rPr>
        <w:t xml:space="preserve">In situ </w:t>
      </w:r>
      <w:r>
        <w:rPr>
          <w:rFonts w:ascii="Garamond" w:eastAsia="Garamond" w:hAnsi="Garamond" w:cs="Garamond"/>
        </w:rPr>
        <w:t xml:space="preserve">secondary forest plots provided by STRI were also included in our training data. For non-forested areas, we looked at the distribution of the backscatter values to create a separable class from the forest class. </w:t>
      </w:r>
      <w:r w:rsidR="00B26968">
        <w:rPr>
          <w:rFonts w:ascii="Garamond" w:eastAsia="Garamond" w:hAnsi="Garamond" w:cs="Garamond"/>
        </w:rPr>
        <w:t>The team</w:t>
      </w:r>
      <w:r>
        <w:rPr>
          <w:rFonts w:ascii="Garamond" w:eastAsia="Garamond" w:hAnsi="Garamond" w:cs="Garamond"/>
        </w:rPr>
        <w:t xml:space="preserve"> used the same forest training data for each image</w:t>
      </w:r>
      <w:r w:rsidR="00B26968">
        <w:rPr>
          <w:rFonts w:ascii="Garamond" w:eastAsia="Garamond" w:hAnsi="Garamond" w:cs="Garamond"/>
        </w:rPr>
        <w:t xml:space="preserve">, </w:t>
      </w:r>
      <w:r>
        <w:rPr>
          <w:rFonts w:ascii="Garamond" w:eastAsia="Garamond" w:hAnsi="Garamond" w:cs="Garamond"/>
        </w:rPr>
        <w:t xml:space="preserve">but retrained the non-forested area. </w:t>
      </w:r>
      <w:r w:rsidR="00B26968">
        <w:rPr>
          <w:rFonts w:ascii="Garamond" w:eastAsia="Garamond" w:hAnsi="Garamond" w:cs="Garamond"/>
        </w:rPr>
        <w:t>Team members</w:t>
      </w:r>
      <w:r>
        <w:rPr>
          <w:rFonts w:ascii="Garamond" w:eastAsia="Garamond" w:hAnsi="Garamond" w:cs="Garamond"/>
        </w:rPr>
        <w:t xml:space="preserve"> chose to retrain because reforestation efforts in the area led to a change in the location of non-forest areas over time; therefore</w:t>
      </w:r>
      <w:r w:rsidR="00B26968">
        <w:rPr>
          <w:rFonts w:ascii="Garamond" w:eastAsia="Garamond" w:hAnsi="Garamond" w:cs="Garamond"/>
        </w:rPr>
        <w:t>,</w:t>
      </w:r>
      <w:r>
        <w:rPr>
          <w:rFonts w:ascii="Garamond" w:eastAsia="Garamond" w:hAnsi="Garamond" w:cs="Garamond"/>
        </w:rPr>
        <w:t xml:space="preserve"> at different times, non-forested areas were at different levels of growth and had different backscatter values. In an effort to keep the training data consistent, approximately </w:t>
      </w:r>
      <w:r>
        <w:rPr>
          <w:rFonts w:ascii="Garamond" w:eastAsia="Garamond" w:hAnsi="Garamond" w:cs="Garamond"/>
        </w:rPr>
        <w:lastRenderedPageBreak/>
        <w:t xml:space="preserve">the same number of pixels </w:t>
      </w:r>
      <w:r w:rsidR="00B26968">
        <w:rPr>
          <w:rFonts w:ascii="Garamond" w:eastAsia="Garamond" w:hAnsi="Garamond" w:cs="Garamond"/>
        </w:rPr>
        <w:t>were used for</w:t>
      </w:r>
      <w:r>
        <w:rPr>
          <w:rFonts w:ascii="Garamond" w:eastAsia="Garamond" w:hAnsi="Garamond" w:cs="Garamond"/>
        </w:rPr>
        <w:t xml:space="preserve"> training </w:t>
      </w:r>
      <w:r w:rsidR="00B26968">
        <w:rPr>
          <w:rFonts w:ascii="Garamond" w:eastAsia="Garamond" w:hAnsi="Garamond" w:cs="Garamond"/>
        </w:rPr>
        <w:t xml:space="preserve">of </w:t>
      </w:r>
      <w:r>
        <w:rPr>
          <w:rFonts w:ascii="Garamond" w:eastAsia="Garamond" w:hAnsi="Garamond" w:cs="Garamond"/>
        </w:rPr>
        <w:t>each class. After creating the training data, the Random Forest classification algorithm was used in SNAP to classify our data using HH polarization, HV polarization, ratio band, and gray level co-occurrence matrix bands as inputs.</w:t>
      </w:r>
    </w:p>
    <w:p w:rsidR="00886CC7" w:rsidRDefault="00886CC7">
      <w:pPr>
        <w:spacing w:after="0" w:line="240" w:lineRule="auto"/>
        <w:rPr>
          <w:rFonts w:ascii="Garamond" w:eastAsia="Garamond" w:hAnsi="Garamond" w:cs="Garamond"/>
          <w:b/>
          <w:i/>
        </w:rPr>
      </w:pPr>
    </w:p>
    <w:p w:rsidR="00B26968" w:rsidRDefault="00B26968">
      <w:pPr>
        <w:spacing w:after="0" w:line="240" w:lineRule="auto"/>
        <w:rPr>
          <w:rFonts w:ascii="Garamond" w:eastAsia="Garamond" w:hAnsi="Garamond" w:cs="Garamond"/>
          <w:b/>
          <w:i/>
        </w:rPr>
      </w:pPr>
      <w:r>
        <w:rPr>
          <w:rFonts w:ascii="Garamond" w:eastAsia="Garamond" w:hAnsi="Garamond" w:cs="Garamond"/>
          <w:b/>
          <w:i/>
        </w:rPr>
        <w:t>3.3 Data Analysis</w:t>
      </w:r>
    </w:p>
    <w:p w:rsidR="00886CC7" w:rsidRPr="00B26968" w:rsidRDefault="00457177">
      <w:pPr>
        <w:spacing w:after="0" w:line="240" w:lineRule="auto"/>
        <w:rPr>
          <w:rFonts w:ascii="Garamond" w:eastAsia="Garamond" w:hAnsi="Garamond" w:cs="Garamond"/>
          <w:bCs/>
          <w:i/>
        </w:rPr>
      </w:pPr>
      <w:r w:rsidRPr="00B26968">
        <w:rPr>
          <w:rFonts w:ascii="Garamond" w:eastAsia="Garamond" w:hAnsi="Garamond" w:cs="Garamond"/>
          <w:bCs/>
          <w:i/>
        </w:rPr>
        <w:t>3.3.1 SAR Imagery Validation</w:t>
      </w:r>
    </w:p>
    <w:p w:rsidR="00886CC7" w:rsidRDefault="00457177">
      <w:pPr>
        <w:spacing w:after="0" w:line="240" w:lineRule="auto"/>
        <w:rPr>
          <w:rFonts w:ascii="Garamond" w:eastAsia="Garamond" w:hAnsi="Garamond" w:cs="Garamond"/>
        </w:rPr>
      </w:pPr>
      <w:r>
        <w:rPr>
          <w:rFonts w:ascii="Garamond" w:eastAsia="Garamond" w:hAnsi="Garamond" w:cs="Garamond"/>
        </w:rPr>
        <w:t xml:space="preserve">The classifications created were validated to </w:t>
      </w:r>
      <w:r>
        <w:rPr>
          <w:rFonts w:ascii="Garamond" w:eastAsia="Garamond" w:hAnsi="Garamond" w:cs="Garamond"/>
          <w:i/>
        </w:rPr>
        <w:t>in situ</w:t>
      </w:r>
      <w:r>
        <w:rPr>
          <w:rFonts w:ascii="Garamond" w:eastAsia="Garamond" w:hAnsi="Garamond" w:cs="Garamond"/>
        </w:rPr>
        <w:t xml:space="preserve"> land cover observations using confusion matrices in ENVI. Land cover samples were created from Google Earth Imagery </w:t>
      </w:r>
      <w:r w:rsidR="005C4CF4">
        <w:rPr>
          <w:rFonts w:ascii="Garamond" w:eastAsia="Garamond" w:hAnsi="Garamond" w:cs="Garamond"/>
        </w:rPr>
        <w:t xml:space="preserve">and </w:t>
      </w:r>
      <w:r>
        <w:rPr>
          <w:rFonts w:ascii="Garamond" w:eastAsia="Garamond" w:hAnsi="Garamond" w:cs="Garamond"/>
        </w:rPr>
        <w:t xml:space="preserve">were used along with land cover shapefiles provided by the </w:t>
      </w:r>
      <w:r w:rsidR="005C4CF4">
        <w:rPr>
          <w:rFonts w:ascii="Garamond" w:eastAsia="Garamond" w:hAnsi="Garamond" w:cs="Garamond"/>
        </w:rPr>
        <w:t>STRI</w:t>
      </w:r>
      <w:r>
        <w:rPr>
          <w:rFonts w:ascii="Garamond" w:eastAsia="Garamond" w:hAnsi="Garamond" w:cs="Garamond"/>
        </w:rPr>
        <w:t xml:space="preserve">. The </w:t>
      </w:r>
      <w:proofErr w:type="gramStart"/>
      <w:r>
        <w:rPr>
          <w:rFonts w:ascii="Garamond" w:eastAsia="Garamond" w:hAnsi="Garamond" w:cs="Garamond"/>
          <w:i/>
        </w:rPr>
        <w:t>in situ</w:t>
      </w:r>
      <w:proofErr w:type="gramEnd"/>
      <w:r>
        <w:rPr>
          <w:rFonts w:ascii="Garamond" w:eastAsia="Garamond" w:hAnsi="Garamond" w:cs="Garamond"/>
        </w:rPr>
        <w:t xml:space="preserve"> data of forested and non-forested areas were spatially aggregated into one location within our study site. This validation dataset was compared pixel by pixel to the land cover classification to assess accuracy. The resulting accuracy percentage represented the agreement between radar created land cover classification and </w:t>
      </w:r>
      <w:r w:rsidR="005C4CF4">
        <w:rPr>
          <w:rFonts w:ascii="Garamond" w:eastAsia="Garamond" w:hAnsi="Garamond" w:cs="Garamond"/>
        </w:rPr>
        <w:t>the</w:t>
      </w:r>
      <w:r>
        <w:rPr>
          <w:rFonts w:ascii="Garamond" w:eastAsia="Garamond" w:hAnsi="Garamond" w:cs="Garamond"/>
        </w:rPr>
        <w:t xml:space="preserve"> validation dataset. Initial confusion matrix validations resulted in 50% overall accuracy. Different temporal resolutions between the validation dataset and the radar land cover classification could have a role in the disagreement. This was also </w:t>
      </w:r>
      <w:r w:rsidR="005C4CF4">
        <w:rPr>
          <w:rFonts w:ascii="Garamond" w:eastAsia="Garamond" w:hAnsi="Garamond" w:cs="Garamond"/>
        </w:rPr>
        <w:t>because the</w:t>
      </w:r>
      <w:r>
        <w:rPr>
          <w:rFonts w:ascii="Garamond" w:eastAsia="Garamond" w:hAnsi="Garamond" w:cs="Garamond"/>
        </w:rPr>
        <w:t xml:space="preserve"> spatial scale of the </w:t>
      </w:r>
      <w:proofErr w:type="gramStart"/>
      <w:r>
        <w:rPr>
          <w:rFonts w:ascii="Garamond" w:eastAsia="Garamond" w:hAnsi="Garamond" w:cs="Garamond"/>
          <w:i/>
        </w:rPr>
        <w:t>in situ</w:t>
      </w:r>
      <w:proofErr w:type="gramEnd"/>
      <w:r>
        <w:rPr>
          <w:rFonts w:ascii="Garamond" w:eastAsia="Garamond" w:hAnsi="Garamond" w:cs="Garamond"/>
        </w:rPr>
        <w:t xml:space="preserve"> dataset was smaller than the resolution of any of the three sensors we used to create land cover maps </w:t>
      </w:r>
      <w:r w:rsidR="005C4CF4">
        <w:rPr>
          <w:rFonts w:ascii="Garamond" w:eastAsia="Garamond" w:hAnsi="Garamond" w:cs="Garamond"/>
        </w:rPr>
        <w:t>(</w:t>
      </w:r>
      <w:r>
        <w:rPr>
          <w:rFonts w:ascii="Garamond" w:eastAsia="Garamond" w:hAnsi="Garamond" w:cs="Garamond"/>
        </w:rPr>
        <w:t>in addition to being clustered into small areas in A</w:t>
      </w:r>
      <w:r w:rsidR="005C4CF4">
        <w:rPr>
          <w:rFonts w:ascii="Garamond" w:eastAsia="Garamond" w:hAnsi="Garamond" w:cs="Garamond"/>
        </w:rPr>
        <w:t>SP,</w:t>
      </w:r>
      <w:r>
        <w:rPr>
          <w:rFonts w:ascii="Garamond" w:eastAsia="Garamond" w:hAnsi="Garamond" w:cs="Garamond"/>
        </w:rPr>
        <w:t xml:space="preserve"> creating a sample bias</w:t>
      </w:r>
      <w:r w:rsidR="005C4CF4">
        <w:rPr>
          <w:rFonts w:ascii="Garamond" w:eastAsia="Garamond" w:hAnsi="Garamond" w:cs="Garamond"/>
        </w:rPr>
        <w:t>)</w:t>
      </w:r>
      <w:r>
        <w:rPr>
          <w:rFonts w:ascii="Garamond" w:eastAsia="Garamond" w:hAnsi="Garamond" w:cs="Garamond"/>
        </w:rPr>
        <w:t>. To resolve this issue, Google Earth imagery was used to create addition</w:t>
      </w:r>
      <w:r w:rsidR="005C4CF4">
        <w:rPr>
          <w:rFonts w:ascii="Garamond" w:eastAsia="Garamond" w:hAnsi="Garamond" w:cs="Garamond"/>
        </w:rPr>
        <w:t>al</w:t>
      </w:r>
      <w:r>
        <w:rPr>
          <w:rFonts w:ascii="Garamond" w:eastAsia="Garamond" w:hAnsi="Garamond" w:cs="Garamond"/>
        </w:rPr>
        <w:t xml:space="preserve"> validation data for locations that appeared to be non-forest consistently. The Google Earth validation dataset was added to a subset of our </w:t>
      </w:r>
      <w:proofErr w:type="gramStart"/>
      <w:r>
        <w:rPr>
          <w:rFonts w:ascii="Garamond" w:eastAsia="Garamond" w:hAnsi="Garamond" w:cs="Garamond"/>
          <w:i/>
        </w:rPr>
        <w:t>in situ</w:t>
      </w:r>
      <w:proofErr w:type="gramEnd"/>
      <w:r>
        <w:rPr>
          <w:rFonts w:ascii="Garamond" w:eastAsia="Garamond" w:hAnsi="Garamond" w:cs="Garamond"/>
          <w:i/>
        </w:rPr>
        <w:t xml:space="preserve"> </w:t>
      </w:r>
      <w:r>
        <w:rPr>
          <w:rFonts w:ascii="Garamond" w:eastAsia="Garamond" w:hAnsi="Garamond" w:cs="Garamond"/>
        </w:rPr>
        <w:t xml:space="preserve">training dataset. All of the validation data for BCI came from an </w:t>
      </w:r>
      <w:r>
        <w:rPr>
          <w:rFonts w:ascii="Garamond" w:eastAsia="Garamond" w:hAnsi="Garamond" w:cs="Garamond"/>
          <w:i/>
        </w:rPr>
        <w:t xml:space="preserve">in </w:t>
      </w:r>
      <w:proofErr w:type="gramStart"/>
      <w:r>
        <w:rPr>
          <w:rFonts w:ascii="Garamond" w:eastAsia="Garamond" w:hAnsi="Garamond" w:cs="Garamond"/>
          <w:i/>
        </w:rPr>
        <w:t xml:space="preserve">situ </w:t>
      </w:r>
      <w:r>
        <w:rPr>
          <w:rFonts w:ascii="Garamond" w:eastAsia="Garamond" w:hAnsi="Garamond" w:cs="Garamond"/>
        </w:rPr>
        <w:t>based</w:t>
      </w:r>
      <w:proofErr w:type="gramEnd"/>
      <w:r>
        <w:rPr>
          <w:rFonts w:ascii="Garamond" w:eastAsia="Garamond" w:hAnsi="Garamond" w:cs="Garamond"/>
        </w:rPr>
        <w:t xml:space="preserve"> land cover map provided by STRI.</w:t>
      </w:r>
    </w:p>
    <w:p w:rsidR="00886CC7" w:rsidRDefault="00886CC7">
      <w:pPr>
        <w:spacing w:after="0" w:line="240" w:lineRule="auto"/>
        <w:rPr>
          <w:rFonts w:ascii="Garamond" w:eastAsia="Garamond" w:hAnsi="Garamond" w:cs="Garamond"/>
        </w:rPr>
      </w:pPr>
    </w:p>
    <w:p w:rsidR="00886CC7" w:rsidRPr="00B26968" w:rsidRDefault="00457177">
      <w:pPr>
        <w:spacing w:after="0" w:line="240" w:lineRule="auto"/>
        <w:rPr>
          <w:rFonts w:ascii="Garamond" w:eastAsia="Garamond" w:hAnsi="Garamond" w:cs="Garamond"/>
          <w:bCs/>
          <w:i/>
        </w:rPr>
      </w:pPr>
      <w:r w:rsidRPr="00B26968">
        <w:rPr>
          <w:rFonts w:ascii="Garamond" w:eastAsia="Garamond" w:hAnsi="Garamond" w:cs="Garamond"/>
          <w:bCs/>
          <w:i/>
        </w:rPr>
        <w:t xml:space="preserve">3.3.2 Evapotranspiration </w:t>
      </w:r>
      <w:r w:rsidR="00762A36">
        <w:rPr>
          <w:rFonts w:ascii="Garamond" w:eastAsia="Garamond" w:hAnsi="Garamond" w:cs="Garamond"/>
          <w:bCs/>
          <w:i/>
        </w:rPr>
        <w:t>i</w:t>
      </w:r>
      <w:r w:rsidRPr="00B26968">
        <w:rPr>
          <w:rFonts w:ascii="Garamond" w:eastAsia="Garamond" w:hAnsi="Garamond" w:cs="Garamond"/>
          <w:bCs/>
          <w:i/>
        </w:rPr>
        <w:t>n</w:t>
      </w:r>
      <w:r w:rsidR="005C4CF4">
        <w:rPr>
          <w:rFonts w:ascii="Garamond" w:eastAsia="Garamond" w:hAnsi="Garamond" w:cs="Garamond"/>
          <w:bCs/>
          <w:i/>
        </w:rPr>
        <w:t xml:space="preserve"> </w:t>
      </w:r>
      <w:r w:rsidR="00762A36">
        <w:rPr>
          <w:rFonts w:ascii="Garamond" w:eastAsia="Garamond" w:hAnsi="Garamond" w:cs="Garamond"/>
          <w:bCs/>
          <w:i/>
        </w:rPr>
        <w:t>s</w:t>
      </w:r>
      <w:r w:rsidRPr="00B26968">
        <w:rPr>
          <w:rFonts w:ascii="Garamond" w:eastAsia="Garamond" w:hAnsi="Garamond" w:cs="Garamond"/>
          <w:bCs/>
          <w:i/>
        </w:rPr>
        <w:t xml:space="preserve">itu </w:t>
      </w:r>
      <w:r w:rsidR="005C4CF4">
        <w:rPr>
          <w:rFonts w:ascii="Garamond" w:eastAsia="Garamond" w:hAnsi="Garamond" w:cs="Garamond"/>
          <w:bCs/>
          <w:i/>
        </w:rPr>
        <w:t>C</w:t>
      </w:r>
      <w:r w:rsidRPr="00B26968">
        <w:rPr>
          <w:rFonts w:ascii="Garamond" w:eastAsia="Garamond" w:hAnsi="Garamond" w:cs="Garamond"/>
          <w:bCs/>
          <w:i/>
        </w:rPr>
        <w:t>omparison</w:t>
      </w:r>
      <w:r w:rsidRPr="00B26968">
        <w:rPr>
          <w:rFonts w:ascii="Garamond" w:eastAsia="Garamond" w:hAnsi="Garamond" w:cs="Garamond"/>
          <w:bCs/>
          <w:i/>
        </w:rPr>
        <w:tab/>
      </w:r>
    </w:p>
    <w:p w:rsidR="00886CC7" w:rsidRDefault="00457177">
      <w:pPr>
        <w:spacing w:after="0" w:line="240" w:lineRule="auto"/>
        <w:rPr>
          <w:rFonts w:ascii="Garamond" w:eastAsia="Garamond" w:hAnsi="Garamond" w:cs="Garamond"/>
        </w:rPr>
      </w:pPr>
      <w:r>
        <w:rPr>
          <w:rFonts w:ascii="Garamond" w:eastAsia="Garamond" w:hAnsi="Garamond" w:cs="Garamond"/>
        </w:rPr>
        <w:t xml:space="preserve">The MODIS ET product was validated using </w:t>
      </w:r>
      <w:r>
        <w:rPr>
          <w:rFonts w:ascii="Garamond" w:eastAsia="Garamond" w:hAnsi="Garamond" w:cs="Garamond"/>
          <w:i/>
        </w:rPr>
        <w:t xml:space="preserve">in situ </w:t>
      </w:r>
      <w:r>
        <w:rPr>
          <w:rFonts w:ascii="Garamond" w:eastAsia="Garamond" w:hAnsi="Garamond" w:cs="Garamond"/>
        </w:rPr>
        <w:t xml:space="preserve">measurements of ET from meteorological stations managed by STRI. On BCI there are two locations with stations, a small clearing known as The Clearing, located between the forest and old laboratory buildings, and at the mouth of the Lutz catchment, which </w:t>
      </w:r>
      <w:r w:rsidR="005C4CF4">
        <w:rPr>
          <w:rFonts w:ascii="Garamond" w:eastAsia="Garamond" w:hAnsi="Garamond" w:cs="Garamond"/>
        </w:rPr>
        <w:t xml:space="preserve">is </w:t>
      </w:r>
      <w:r>
        <w:rPr>
          <w:rFonts w:ascii="Garamond" w:eastAsia="Garamond" w:hAnsi="Garamond" w:cs="Garamond"/>
        </w:rPr>
        <w:t>comprise</w:t>
      </w:r>
      <w:r w:rsidR="005C4CF4">
        <w:rPr>
          <w:rFonts w:ascii="Garamond" w:eastAsia="Garamond" w:hAnsi="Garamond" w:cs="Garamond"/>
        </w:rPr>
        <w:t>d</w:t>
      </w:r>
      <w:r>
        <w:rPr>
          <w:rFonts w:ascii="Garamond" w:eastAsia="Garamond" w:hAnsi="Garamond" w:cs="Garamond"/>
        </w:rPr>
        <w:t xml:space="preserve"> of forest that has regenerated since the building of the Panama Canal. Each location has two datasets of daily potential ET measured manually with </w:t>
      </w:r>
      <w:r w:rsidR="005C4CF4">
        <w:rPr>
          <w:rFonts w:ascii="Garamond" w:eastAsia="Garamond" w:hAnsi="Garamond" w:cs="Garamond"/>
        </w:rPr>
        <w:t xml:space="preserve">an </w:t>
      </w:r>
      <w:r>
        <w:rPr>
          <w:rFonts w:ascii="Garamond" w:eastAsia="Garamond" w:hAnsi="Garamond" w:cs="Garamond"/>
        </w:rPr>
        <w:t xml:space="preserve">ET </w:t>
      </w:r>
      <w:r w:rsidR="005C4CF4">
        <w:rPr>
          <w:rFonts w:ascii="Garamond" w:eastAsia="Garamond" w:hAnsi="Garamond" w:cs="Garamond"/>
        </w:rPr>
        <w:t>g</w:t>
      </w:r>
      <w:r>
        <w:rPr>
          <w:rFonts w:ascii="Garamond" w:eastAsia="Garamond" w:hAnsi="Garamond" w:cs="Garamond"/>
        </w:rPr>
        <w:t>auge atmometer</w:t>
      </w:r>
      <w:r w:rsidR="005C4CF4">
        <w:rPr>
          <w:rFonts w:ascii="Garamond" w:eastAsia="Garamond" w:hAnsi="Garamond" w:cs="Garamond"/>
        </w:rPr>
        <w:t>. These locations are</w:t>
      </w:r>
      <w:r>
        <w:rPr>
          <w:rFonts w:ascii="Garamond" w:eastAsia="Garamond" w:hAnsi="Garamond" w:cs="Garamond"/>
        </w:rPr>
        <w:t xml:space="preserve"> referred to as Clearing 1, Clearing 2, 42m, and 48m in this </w:t>
      </w:r>
      <w:r w:rsidR="005C4CF4">
        <w:rPr>
          <w:rFonts w:ascii="Garamond" w:eastAsia="Garamond" w:hAnsi="Garamond" w:cs="Garamond"/>
        </w:rPr>
        <w:t>document</w:t>
      </w:r>
      <w:r>
        <w:rPr>
          <w:rFonts w:ascii="Garamond" w:eastAsia="Garamond" w:hAnsi="Garamond" w:cs="Garamond"/>
        </w:rPr>
        <w:t xml:space="preserve">. The Lutz 42m dataset describes the tower built in 1972 at a height of 42 meters and the Lutz 48m dataset refers to the tower built in 2001 at a height of 48 meters due to the expansive forest growth in the Lutz catchment. There is only one station in ASP, referred to as Celestino, which estimates ET with the Penman-Monteith equation using only meteorological inputs measured at the station. For validation, we took a sum of the </w:t>
      </w:r>
      <w:r>
        <w:rPr>
          <w:rFonts w:ascii="Garamond" w:eastAsia="Garamond" w:hAnsi="Garamond" w:cs="Garamond"/>
          <w:i/>
        </w:rPr>
        <w:t>in situ</w:t>
      </w:r>
      <w:r>
        <w:rPr>
          <w:rFonts w:ascii="Garamond" w:eastAsia="Garamond" w:hAnsi="Garamond" w:cs="Garamond"/>
        </w:rPr>
        <w:t xml:space="preserve"> daily potential ET values for every 16-days of each year in our study period and compared it to the ET values of the MODIS 16-day composites.</w:t>
      </w:r>
      <w:r>
        <w:rPr>
          <w:rFonts w:ascii="Garamond" w:eastAsia="Garamond" w:hAnsi="Garamond" w:cs="Garamond"/>
          <w:i/>
        </w:rPr>
        <w:t xml:space="preserve"> In situ</w:t>
      </w:r>
      <w:r>
        <w:rPr>
          <w:rFonts w:ascii="Garamond" w:eastAsia="Garamond" w:hAnsi="Garamond" w:cs="Garamond"/>
        </w:rPr>
        <w:t xml:space="preserve"> values in Agua </w:t>
      </w:r>
      <w:proofErr w:type="spellStart"/>
      <w:r>
        <w:rPr>
          <w:rFonts w:ascii="Garamond" w:eastAsia="Garamond" w:hAnsi="Garamond" w:cs="Garamond"/>
        </w:rPr>
        <w:t>Salud</w:t>
      </w:r>
      <w:proofErr w:type="spellEnd"/>
      <w:r>
        <w:rPr>
          <w:rFonts w:ascii="Garamond" w:eastAsia="Garamond" w:hAnsi="Garamond" w:cs="Garamond"/>
        </w:rPr>
        <w:t xml:space="preserve"> were directly compared to MODIS since there is only one dataset, but the 4 datasets in BCI were averaged before comparing to MODIS ET. The values representing the same 16-day period were plotted across time to visualize the temporal patterns in both datasets. To explicitly evaluate the similarity between the datasets, </w:t>
      </w:r>
      <w:r w:rsidR="005C4CF4">
        <w:rPr>
          <w:rFonts w:ascii="Garamond" w:eastAsia="Garamond" w:hAnsi="Garamond" w:cs="Garamond"/>
        </w:rPr>
        <w:t xml:space="preserve">the team </w:t>
      </w:r>
      <w:r>
        <w:rPr>
          <w:rFonts w:ascii="Garamond" w:eastAsia="Garamond" w:hAnsi="Garamond" w:cs="Garamond"/>
        </w:rPr>
        <w:t>created correlation scatterplots with a correlation coefficient (R). This indicates the percentage of variance in the</w:t>
      </w:r>
      <w:r>
        <w:rPr>
          <w:rFonts w:ascii="Garamond" w:eastAsia="Garamond" w:hAnsi="Garamond" w:cs="Garamond"/>
          <w:i/>
        </w:rPr>
        <w:t xml:space="preserve"> </w:t>
      </w:r>
      <w:proofErr w:type="gramStart"/>
      <w:r>
        <w:rPr>
          <w:rFonts w:ascii="Garamond" w:eastAsia="Garamond" w:hAnsi="Garamond" w:cs="Garamond"/>
          <w:i/>
        </w:rPr>
        <w:t>in situ</w:t>
      </w:r>
      <w:proofErr w:type="gramEnd"/>
      <w:r>
        <w:rPr>
          <w:rFonts w:ascii="Garamond" w:eastAsia="Garamond" w:hAnsi="Garamond" w:cs="Garamond"/>
        </w:rPr>
        <w:t xml:space="preserve"> data explained by the variance in the MODIS data and a p-value to indicate whether the correlation between datasets is significant </w:t>
      </w:r>
      <w:r w:rsidR="005C4CF4">
        <w:rPr>
          <w:rFonts w:ascii="Garamond" w:eastAsia="Garamond" w:hAnsi="Garamond" w:cs="Garamond"/>
        </w:rPr>
        <w:t>(</w:t>
      </w:r>
      <w:r>
        <w:rPr>
          <w:rFonts w:ascii="Garamond" w:eastAsia="Garamond" w:hAnsi="Garamond" w:cs="Garamond"/>
        </w:rPr>
        <w:t>i.e. greater than random</w:t>
      </w:r>
      <w:r w:rsidR="005C4CF4">
        <w:rPr>
          <w:rFonts w:ascii="Garamond" w:eastAsia="Garamond" w:hAnsi="Garamond" w:cs="Garamond"/>
        </w:rPr>
        <w:t>)</w:t>
      </w:r>
      <w:r>
        <w:rPr>
          <w:rFonts w:ascii="Garamond" w:eastAsia="Garamond" w:hAnsi="Garamond" w:cs="Garamond"/>
        </w:rPr>
        <w:t>.</w:t>
      </w:r>
    </w:p>
    <w:p w:rsidR="00886CC7" w:rsidRDefault="00886CC7">
      <w:pPr>
        <w:spacing w:after="0" w:line="240" w:lineRule="auto"/>
        <w:rPr>
          <w:rFonts w:ascii="Garamond" w:eastAsia="Garamond" w:hAnsi="Garamond" w:cs="Garamond"/>
          <w:b/>
        </w:rPr>
      </w:pPr>
    </w:p>
    <w:p w:rsidR="00886CC7" w:rsidRPr="00B26968" w:rsidRDefault="00457177">
      <w:pPr>
        <w:spacing w:after="0" w:line="240" w:lineRule="auto"/>
        <w:rPr>
          <w:rFonts w:ascii="Garamond" w:eastAsia="Garamond" w:hAnsi="Garamond" w:cs="Garamond"/>
          <w:bCs/>
          <w:i/>
        </w:rPr>
      </w:pPr>
      <w:r w:rsidRPr="00B26968">
        <w:rPr>
          <w:rFonts w:ascii="Garamond" w:eastAsia="Garamond" w:hAnsi="Garamond" w:cs="Garamond"/>
          <w:bCs/>
          <w:i/>
        </w:rPr>
        <w:t xml:space="preserve">3.3.3 ET to </w:t>
      </w:r>
      <w:r w:rsidR="005C4CF4">
        <w:rPr>
          <w:rFonts w:ascii="Garamond" w:eastAsia="Garamond" w:hAnsi="Garamond" w:cs="Garamond"/>
          <w:bCs/>
          <w:i/>
        </w:rPr>
        <w:t>L</w:t>
      </w:r>
      <w:r w:rsidRPr="00B26968">
        <w:rPr>
          <w:rFonts w:ascii="Garamond" w:eastAsia="Garamond" w:hAnsi="Garamond" w:cs="Garamond"/>
          <w:bCs/>
          <w:i/>
        </w:rPr>
        <w:t xml:space="preserve">and </w:t>
      </w:r>
      <w:r w:rsidR="005C4CF4">
        <w:rPr>
          <w:rFonts w:ascii="Garamond" w:eastAsia="Garamond" w:hAnsi="Garamond" w:cs="Garamond"/>
          <w:bCs/>
          <w:i/>
        </w:rPr>
        <w:t>C</w:t>
      </w:r>
      <w:r w:rsidRPr="00B26968">
        <w:rPr>
          <w:rFonts w:ascii="Garamond" w:eastAsia="Garamond" w:hAnsi="Garamond" w:cs="Garamond"/>
          <w:bCs/>
          <w:i/>
        </w:rPr>
        <w:t xml:space="preserve">over </w:t>
      </w:r>
      <w:r w:rsidR="005C4CF4">
        <w:rPr>
          <w:rFonts w:ascii="Garamond" w:eastAsia="Garamond" w:hAnsi="Garamond" w:cs="Garamond"/>
          <w:bCs/>
          <w:i/>
        </w:rPr>
        <w:t>T</w:t>
      </w:r>
      <w:r w:rsidRPr="00B26968">
        <w:rPr>
          <w:rFonts w:ascii="Garamond" w:eastAsia="Garamond" w:hAnsi="Garamond" w:cs="Garamond"/>
          <w:bCs/>
          <w:i/>
        </w:rPr>
        <w:t>ype</w:t>
      </w:r>
    </w:p>
    <w:p w:rsidR="00886CC7" w:rsidRDefault="00457177">
      <w:pPr>
        <w:spacing w:after="0" w:line="240" w:lineRule="auto"/>
        <w:rPr>
          <w:rFonts w:ascii="Garamond" w:eastAsia="Garamond" w:hAnsi="Garamond" w:cs="Garamond"/>
        </w:rPr>
      </w:pPr>
      <w:r>
        <w:rPr>
          <w:rFonts w:ascii="Garamond" w:eastAsia="Garamond" w:hAnsi="Garamond" w:cs="Garamond"/>
        </w:rPr>
        <w:t>In order to compare ET with the land cover types produced by the classifications, the MODIS data were resampled using the nearest neighbor method. This method reduces the pixel size of the MODIS data to match that of the classification without altering the values. Once the MODIS data and classification have the same extent and resolution, we used a zonal statistics function to extract total net ET as a mean value for the forest class and a mean value for the non-forest class. Since our study aimed to identify temporal and spatial trends in ET, we used the seasonal composite of MODIS ET to extract a forest mean and a non-forest mean of total net ET during the core dry and core wet season during the year that the classification represents. These values were then compared to determine whether we could identify any trends in ET across land cover type and between years.</w:t>
      </w:r>
    </w:p>
    <w:p w:rsidR="00886CC7" w:rsidRDefault="00886CC7">
      <w:pPr>
        <w:spacing w:after="0" w:line="240" w:lineRule="auto"/>
        <w:rPr>
          <w:rFonts w:ascii="Garamond" w:eastAsia="Garamond" w:hAnsi="Garamond" w:cs="Garamond"/>
        </w:rPr>
      </w:pPr>
    </w:p>
    <w:p w:rsidR="005C4CF4" w:rsidRDefault="005C4CF4">
      <w:pPr>
        <w:spacing w:after="0" w:line="240" w:lineRule="auto"/>
        <w:rPr>
          <w:rFonts w:ascii="Garamond" w:eastAsia="Garamond" w:hAnsi="Garamond" w:cs="Garamond"/>
          <w:bCs/>
          <w:i/>
        </w:rPr>
      </w:pPr>
    </w:p>
    <w:p w:rsidR="005C4CF4" w:rsidRDefault="005C4CF4">
      <w:pPr>
        <w:spacing w:after="0" w:line="240" w:lineRule="auto"/>
        <w:rPr>
          <w:rFonts w:ascii="Garamond" w:eastAsia="Garamond" w:hAnsi="Garamond" w:cs="Garamond"/>
          <w:bCs/>
          <w:i/>
        </w:rPr>
      </w:pPr>
    </w:p>
    <w:p w:rsidR="00886CC7" w:rsidRPr="00B26968" w:rsidRDefault="00457177">
      <w:pPr>
        <w:spacing w:after="0" w:line="240" w:lineRule="auto"/>
        <w:rPr>
          <w:rFonts w:ascii="Garamond" w:eastAsia="Garamond" w:hAnsi="Garamond" w:cs="Garamond"/>
          <w:bCs/>
          <w:i/>
        </w:rPr>
      </w:pPr>
      <w:r w:rsidRPr="00B26968">
        <w:rPr>
          <w:rFonts w:ascii="Garamond" w:eastAsia="Garamond" w:hAnsi="Garamond" w:cs="Garamond"/>
          <w:bCs/>
          <w:i/>
        </w:rPr>
        <w:lastRenderedPageBreak/>
        <w:t>3.3.4 Sensitivity Analysis</w:t>
      </w:r>
    </w:p>
    <w:p w:rsidR="00886CC7" w:rsidRDefault="00457177">
      <w:pPr>
        <w:spacing w:after="0" w:line="240" w:lineRule="auto"/>
        <w:rPr>
          <w:rFonts w:ascii="Garamond" w:eastAsia="Garamond" w:hAnsi="Garamond" w:cs="Garamond"/>
        </w:rPr>
      </w:pPr>
      <w:r>
        <w:rPr>
          <w:rFonts w:ascii="Garamond" w:eastAsia="Garamond" w:hAnsi="Garamond" w:cs="Garamond"/>
        </w:rPr>
        <w:t xml:space="preserve">Since MODIS measures ET at a larger scale than the classification, we used a sensitivity analysis to examine how changes in area forested and non-forested impact annual ET of the entire study area. </w:t>
      </w:r>
      <w:r w:rsidR="005C4CF4">
        <w:rPr>
          <w:rFonts w:ascii="Garamond" w:eastAsia="Garamond" w:hAnsi="Garamond" w:cs="Garamond"/>
        </w:rPr>
        <w:t>Team members</w:t>
      </w:r>
      <w:r>
        <w:rPr>
          <w:rFonts w:ascii="Garamond" w:eastAsia="Garamond" w:hAnsi="Garamond" w:cs="Garamond"/>
        </w:rPr>
        <w:t xml:space="preserve"> calculated annual ET of the entire study area as a weighted average (Equation 1) where the products of percent area of each class (</w:t>
      </w:r>
      <m:oMath>
        <m:sSub>
          <m:sSubPr>
            <m:ctrlPr>
              <w:rPr>
                <w:rFonts w:ascii="Garamond" w:eastAsia="Garamond" w:hAnsi="Garamond" w:cs="Garamond"/>
              </w:rPr>
            </m:ctrlPr>
          </m:sSubPr>
          <m:e>
            <m:r>
              <w:rPr>
                <w:rFonts w:ascii="Garamond" w:eastAsia="Garamond" w:hAnsi="Garamond" w:cs="Garamond"/>
              </w:rPr>
              <m:t>A</m:t>
            </m:r>
          </m:e>
          <m:sub>
            <m:r>
              <w:rPr>
                <w:rFonts w:ascii="Garamond" w:eastAsia="Garamond" w:hAnsi="Garamond" w:cs="Garamond"/>
              </w:rPr>
              <m:t>f</m:t>
            </m:r>
          </m:sub>
        </m:sSub>
      </m:oMath>
      <w:r>
        <w:rPr>
          <w:rFonts w:ascii="Garamond" w:eastAsia="Garamond" w:hAnsi="Garamond" w:cs="Garamond"/>
        </w:rPr>
        <w:t xml:space="preserve">, </w:t>
      </w:r>
      <m:oMath>
        <m:sSub>
          <m:sSubPr>
            <m:ctrlPr>
              <w:rPr>
                <w:rFonts w:ascii="Garamond" w:eastAsia="Garamond" w:hAnsi="Garamond" w:cs="Garamond"/>
              </w:rPr>
            </m:ctrlPr>
          </m:sSubPr>
          <m:e>
            <m:r>
              <w:rPr>
                <w:rFonts w:ascii="Garamond" w:eastAsia="Garamond" w:hAnsi="Garamond" w:cs="Garamond"/>
              </w:rPr>
              <m:t>A</m:t>
            </m:r>
          </m:e>
          <m:sub>
            <m:r>
              <w:rPr>
                <w:rFonts w:ascii="Garamond" w:eastAsia="Garamond" w:hAnsi="Garamond" w:cs="Garamond"/>
              </w:rPr>
              <m:t>n</m:t>
            </m:r>
          </m:sub>
        </m:sSub>
      </m:oMath>
      <w:r>
        <w:rPr>
          <w:rFonts w:ascii="Garamond" w:eastAsia="Garamond" w:hAnsi="Garamond" w:cs="Garamond"/>
        </w:rPr>
        <w:t>) and their respective mean values of total net ET in the core dry (</w:t>
      </w:r>
      <m:oMath>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df</m:t>
            </m:r>
          </m:sub>
        </m:sSub>
      </m:oMath>
      <w:r>
        <w:rPr>
          <w:rFonts w:ascii="Garamond" w:eastAsia="Garamond" w:hAnsi="Garamond" w:cs="Garamond"/>
        </w:rPr>
        <w:t xml:space="preserve">, </w:t>
      </w:r>
      <m:oMath>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dn</m:t>
            </m:r>
          </m:sub>
        </m:sSub>
      </m:oMath>
      <w:r>
        <w:rPr>
          <w:rFonts w:ascii="Garamond" w:eastAsia="Garamond" w:hAnsi="Garamond" w:cs="Garamond"/>
        </w:rPr>
        <w:t>), core wet (</w:t>
      </w:r>
      <m:oMath>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wf</m:t>
            </m:r>
          </m:sub>
        </m:sSub>
      </m:oMath>
      <w:r>
        <w:rPr>
          <w:rFonts w:ascii="Garamond" w:eastAsia="Garamond" w:hAnsi="Garamond" w:cs="Garamond"/>
        </w:rPr>
        <w:t xml:space="preserve">, </w:t>
      </w:r>
      <m:oMath>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wn</m:t>
            </m:r>
          </m:sub>
        </m:sSub>
      </m:oMath>
      <w:r>
        <w:rPr>
          <w:rFonts w:ascii="Garamond" w:eastAsia="Garamond" w:hAnsi="Garamond" w:cs="Garamond"/>
        </w:rPr>
        <w:t>), and transitional periods (</w:t>
      </w:r>
      <m:oMath>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tf</m:t>
            </m:r>
          </m:sub>
        </m:sSub>
      </m:oMath>
      <w:r>
        <w:rPr>
          <w:rFonts w:ascii="Garamond" w:eastAsia="Garamond" w:hAnsi="Garamond" w:cs="Garamond"/>
        </w:rPr>
        <w:t xml:space="preserve">, </w:t>
      </w:r>
      <m:oMath>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tn</m:t>
            </m:r>
          </m:sub>
        </m:sSub>
      </m:oMath>
      <w:r>
        <w:rPr>
          <w:rFonts w:ascii="Garamond" w:eastAsia="Garamond" w:hAnsi="Garamond" w:cs="Garamond"/>
        </w:rPr>
        <w:t xml:space="preserve">) are summed. Overall annual ET was calculated using values from a classification with a low percentage of forest to represent a minimum case and a classification with a high percentage of forest to represent a maximum case. To complete the sensitivity analysis, the overall annual ET was calculated using only the values from the minimum case. Overall annual ET was then recalculated when the value for one variable, </w:t>
      </w:r>
      <m:oMath>
        <m:sSub>
          <m:sSubPr>
            <m:ctrlPr>
              <w:rPr>
                <w:rFonts w:ascii="Garamond" w:eastAsia="Garamond" w:hAnsi="Garamond" w:cs="Garamond"/>
              </w:rPr>
            </m:ctrlPr>
          </m:sSubPr>
          <m:e>
            <m:r>
              <w:rPr>
                <w:rFonts w:ascii="Garamond" w:eastAsia="Garamond" w:hAnsi="Garamond" w:cs="Garamond"/>
              </w:rPr>
              <m:t>A</m:t>
            </m:r>
          </m:e>
          <m:sub>
            <m:r>
              <w:rPr>
                <w:rFonts w:ascii="Garamond" w:eastAsia="Garamond" w:hAnsi="Garamond" w:cs="Garamond"/>
              </w:rPr>
              <m:t>f</m:t>
            </m:r>
          </m:sub>
        </m:sSub>
      </m:oMath>
      <w:r>
        <w:rPr>
          <w:rFonts w:ascii="Garamond" w:eastAsia="Garamond" w:hAnsi="Garamond" w:cs="Garamond"/>
        </w:rPr>
        <w:t xml:space="preserve"> for example, in Equation 1 was replaced with a value from the maximum case and all other variables</w:t>
      </w:r>
      <w:r w:rsidR="002D6271">
        <w:rPr>
          <w:rFonts w:ascii="Garamond" w:eastAsia="Garamond" w:hAnsi="Garamond" w:cs="Garamond"/>
        </w:rPr>
        <w:t xml:space="preserve"> were</w:t>
      </w:r>
      <w:r>
        <w:rPr>
          <w:rFonts w:ascii="Garamond" w:eastAsia="Garamond" w:hAnsi="Garamond" w:cs="Garamond"/>
        </w:rPr>
        <w:t xml:space="preserve"> kept the same. The percent change in the result of Equation 1 when the value of </w:t>
      </w:r>
      <m:oMath>
        <m:sSub>
          <m:sSubPr>
            <m:ctrlPr>
              <w:rPr>
                <w:rFonts w:ascii="Garamond" w:eastAsia="Garamond" w:hAnsi="Garamond" w:cs="Garamond"/>
              </w:rPr>
            </m:ctrlPr>
          </m:sSubPr>
          <m:e>
            <m:r>
              <w:rPr>
                <w:rFonts w:ascii="Garamond" w:eastAsia="Garamond" w:hAnsi="Garamond" w:cs="Garamond"/>
              </w:rPr>
              <m:t>A</m:t>
            </m:r>
          </m:e>
          <m:sub>
            <m:r>
              <w:rPr>
                <w:rFonts w:ascii="Garamond" w:eastAsia="Garamond" w:hAnsi="Garamond" w:cs="Garamond"/>
              </w:rPr>
              <m:t>f</m:t>
            </m:r>
          </m:sub>
        </m:sSub>
      </m:oMath>
      <w:r>
        <w:rPr>
          <w:rFonts w:ascii="Garamond" w:eastAsia="Garamond" w:hAnsi="Garamond" w:cs="Garamond"/>
        </w:rPr>
        <w:t xml:space="preserve"> was changed from the minimum case value to maximum case value indicates how much a change in </w:t>
      </w:r>
      <m:oMath>
        <m:sSub>
          <m:sSubPr>
            <m:ctrlPr>
              <w:rPr>
                <w:rFonts w:ascii="Garamond" w:eastAsia="Garamond" w:hAnsi="Garamond" w:cs="Garamond"/>
              </w:rPr>
            </m:ctrlPr>
          </m:sSubPr>
          <m:e>
            <m:r>
              <w:rPr>
                <w:rFonts w:ascii="Garamond" w:eastAsia="Garamond" w:hAnsi="Garamond" w:cs="Garamond"/>
              </w:rPr>
              <m:t>A</m:t>
            </m:r>
          </m:e>
          <m:sub>
            <m:r>
              <w:rPr>
                <w:rFonts w:ascii="Garamond" w:eastAsia="Garamond" w:hAnsi="Garamond" w:cs="Garamond"/>
              </w:rPr>
              <m:t>f</m:t>
            </m:r>
          </m:sub>
        </m:sSub>
      </m:oMath>
      <w:r>
        <w:rPr>
          <w:rFonts w:ascii="Garamond" w:eastAsia="Garamond" w:hAnsi="Garamond" w:cs="Garamond"/>
        </w:rPr>
        <w:t xml:space="preserve"> impacted changes in overall annual ET. This process was repeated for each variable in Equation 1, changing the value of a single variable from the minimum to the maximum case, one at a time. The variables with the highest percent change in ET all have the biggest impact on annual ET.</w:t>
      </w:r>
    </w:p>
    <w:p w:rsidR="00886CC7" w:rsidRDefault="00886CC7">
      <w:pPr>
        <w:spacing w:after="0" w:line="240" w:lineRule="auto"/>
        <w:rPr>
          <w:rFonts w:ascii="Garamond" w:eastAsia="Garamond" w:hAnsi="Garamond" w:cs="Garamond"/>
        </w:rPr>
      </w:pPr>
    </w:p>
    <w:p w:rsidR="00886CC7" w:rsidRDefault="00457177">
      <w:pPr>
        <w:spacing w:after="0" w:line="240" w:lineRule="auto"/>
        <w:jc w:val="center"/>
        <w:rPr>
          <w:rFonts w:ascii="Garamond" w:eastAsia="Garamond" w:hAnsi="Garamond" w:cs="Garamond"/>
        </w:rPr>
      </w:pPr>
      <m:oMath>
        <m:r>
          <w:rPr>
            <w:rFonts w:ascii="Garamond" w:eastAsia="Garamond" w:hAnsi="Garamond" w:cs="Garamond"/>
          </w:rPr>
          <m:t>ETall =</m:t>
        </m:r>
        <m:sSub>
          <m:sSubPr>
            <m:ctrlPr>
              <w:rPr>
                <w:rFonts w:ascii="Garamond" w:eastAsia="Garamond" w:hAnsi="Garamond" w:cs="Garamond"/>
              </w:rPr>
            </m:ctrlPr>
          </m:sSubPr>
          <m:e>
            <m:r>
              <w:rPr>
                <w:rFonts w:ascii="Garamond" w:eastAsia="Garamond" w:hAnsi="Garamond" w:cs="Garamond"/>
              </w:rPr>
              <m:t>A</m:t>
            </m:r>
          </m:e>
          <m:sub>
            <m:r>
              <w:rPr>
                <w:rFonts w:ascii="Garamond" w:eastAsia="Garamond" w:hAnsi="Garamond" w:cs="Garamond"/>
              </w:rPr>
              <m:t>f</m:t>
            </m:r>
          </m:sub>
        </m:sSub>
        <m:r>
          <w:rPr>
            <w:rFonts w:ascii="Garamond" w:eastAsia="Garamond" w:hAnsi="Garamond" w:cs="Garamond"/>
          </w:rPr>
          <m:t xml:space="preserve"> ( </m:t>
        </m:r>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df</m:t>
            </m:r>
          </m:sub>
        </m:sSub>
        <m:r>
          <w:rPr>
            <w:rFonts w:ascii="Garamond" w:eastAsia="Garamond" w:hAnsi="Garamond" w:cs="Garamond"/>
          </w:rPr>
          <m:t xml:space="preserve"> + </m:t>
        </m:r>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wf</m:t>
            </m:r>
          </m:sub>
        </m:sSub>
        <m:r>
          <w:rPr>
            <w:rFonts w:ascii="Garamond" w:eastAsia="Garamond" w:hAnsi="Garamond" w:cs="Garamond"/>
          </w:rPr>
          <m:t xml:space="preserve"> +</m:t>
        </m:r>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tf</m:t>
            </m:r>
          </m:sub>
        </m:sSub>
        <m:r>
          <w:rPr>
            <w:rFonts w:ascii="Garamond" w:eastAsia="Garamond" w:hAnsi="Garamond" w:cs="Garamond"/>
          </w:rPr>
          <m:t xml:space="preserve">) + </m:t>
        </m:r>
        <m:sSub>
          <m:sSubPr>
            <m:ctrlPr>
              <w:rPr>
                <w:rFonts w:ascii="Garamond" w:eastAsia="Garamond" w:hAnsi="Garamond" w:cs="Garamond"/>
              </w:rPr>
            </m:ctrlPr>
          </m:sSubPr>
          <m:e>
            <m:r>
              <w:rPr>
                <w:rFonts w:ascii="Garamond" w:eastAsia="Garamond" w:hAnsi="Garamond" w:cs="Garamond"/>
              </w:rPr>
              <m:t>A</m:t>
            </m:r>
          </m:e>
          <m:sub>
            <m:r>
              <w:rPr>
                <w:rFonts w:ascii="Garamond" w:eastAsia="Garamond" w:hAnsi="Garamond" w:cs="Garamond"/>
              </w:rPr>
              <m:t>n</m:t>
            </m:r>
          </m:sub>
        </m:sSub>
        <m:r>
          <w:rPr>
            <w:rFonts w:ascii="Garamond" w:eastAsia="Garamond" w:hAnsi="Garamond" w:cs="Garamond"/>
          </w:rPr>
          <m:t xml:space="preserve"> (</m:t>
        </m:r>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dn</m:t>
            </m:r>
          </m:sub>
        </m:sSub>
        <m:r>
          <w:rPr>
            <w:rFonts w:ascii="Garamond" w:eastAsia="Garamond" w:hAnsi="Garamond" w:cs="Garamond"/>
          </w:rPr>
          <m:t xml:space="preserve"> + </m:t>
        </m:r>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wn</m:t>
            </m:r>
          </m:sub>
        </m:sSub>
        <m:r>
          <w:rPr>
            <w:rFonts w:ascii="Garamond" w:eastAsia="Garamond" w:hAnsi="Garamond" w:cs="Garamond"/>
          </w:rPr>
          <m:t xml:space="preserve"> + </m:t>
        </m:r>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tn</m:t>
            </m:r>
          </m:sub>
        </m:sSub>
        <m:r>
          <w:rPr>
            <w:rFonts w:ascii="Garamond" w:eastAsia="Garamond" w:hAnsi="Garamond" w:cs="Garamond"/>
          </w:rPr>
          <m:t>)</m:t>
        </m:r>
      </m:oMath>
      <w:r>
        <w:rPr>
          <w:rFonts w:ascii="Garamond" w:eastAsia="Garamond" w:hAnsi="Garamond" w:cs="Garamond"/>
        </w:rPr>
        <w:tab/>
      </w:r>
      <w:r>
        <w:rPr>
          <w:rFonts w:ascii="Garamond" w:eastAsia="Garamond" w:hAnsi="Garamond" w:cs="Garamond"/>
        </w:rPr>
        <w:tab/>
        <w:t>(1)</w:t>
      </w:r>
    </w:p>
    <w:p w:rsidR="00886CC7" w:rsidRDefault="00886CC7">
      <w:pPr>
        <w:pStyle w:val="Heading1"/>
        <w:spacing w:before="0" w:line="240" w:lineRule="auto"/>
        <w:rPr>
          <w:rFonts w:ascii="Garamond" w:eastAsia="Garamond" w:hAnsi="Garamond" w:cs="Garamond"/>
        </w:rPr>
      </w:pPr>
      <w:bookmarkStart w:id="5" w:name="_heading=h.9otdk6105pfi" w:colFirst="0" w:colLast="0"/>
      <w:bookmarkEnd w:id="5"/>
    </w:p>
    <w:p w:rsidR="00886CC7" w:rsidRDefault="00457177" w:rsidP="00B26968">
      <w:pPr>
        <w:pStyle w:val="Heading1"/>
        <w:spacing w:before="0" w:line="240" w:lineRule="auto"/>
        <w:rPr>
          <w:rFonts w:ascii="Garamond" w:eastAsia="Garamond" w:hAnsi="Garamond" w:cs="Garamond"/>
        </w:rPr>
      </w:pPr>
      <w:bookmarkStart w:id="6" w:name="_heading=h.k112mikuru5v" w:colFirst="0" w:colLast="0"/>
      <w:bookmarkEnd w:id="6"/>
      <w:r>
        <w:rPr>
          <w:rFonts w:ascii="Garamond" w:eastAsia="Garamond" w:hAnsi="Garamond" w:cs="Garamond"/>
        </w:rPr>
        <w:t>4. Results &amp; Discussion</w:t>
      </w:r>
    </w:p>
    <w:p w:rsidR="00886CC7" w:rsidRDefault="00457177">
      <w:pPr>
        <w:spacing w:after="0" w:line="240" w:lineRule="auto"/>
        <w:rPr>
          <w:rFonts w:ascii="Garamond" w:eastAsia="Garamond" w:hAnsi="Garamond" w:cs="Garamond"/>
          <w:b/>
          <w:i/>
        </w:rPr>
      </w:pPr>
      <w:r>
        <w:rPr>
          <w:rFonts w:ascii="Garamond" w:eastAsia="Garamond" w:hAnsi="Garamond" w:cs="Garamond"/>
          <w:b/>
          <w:i/>
        </w:rPr>
        <w:t>4.1 SAR Land Cover Results &amp; Analysis</w:t>
      </w:r>
    </w:p>
    <w:p w:rsidR="00886CC7" w:rsidRDefault="00457177">
      <w:pPr>
        <w:spacing w:after="0" w:line="240" w:lineRule="auto"/>
        <w:rPr>
          <w:rFonts w:ascii="Garamond" w:eastAsia="Garamond" w:hAnsi="Garamond" w:cs="Garamond"/>
        </w:rPr>
      </w:pPr>
      <w:r>
        <w:rPr>
          <w:rFonts w:ascii="Garamond" w:eastAsia="Garamond" w:hAnsi="Garamond" w:cs="Garamond"/>
        </w:rPr>
        <w:t xml:space="preserve">SAR across all three sensors was successfully able to classify land cover into two classes: forested and non-forested (Figure 3). Our forest class included both primary and secondary forests as they could not be separated. The non-forested class includes bare ground, pasture, and water. Examples of each classification are shown below. Although ALOS PALSAR created the most successful classification when compared to our </w:t>
      </w:r>
      <w:proofErr w:type="gramStart"/>
      <w:r>
        <w:rPr>
          <w:rFonts w:ascii="Garamond" w:eastAsia="Garamond" w:hAnsi="Garamond" w:cs="Garamond"/>
          <w:i/>
        </w:rPr>
        <w:t>in situ</w:t>
      </w:r>
      <w:proofErr w:type="gramEnd"/>
      <w:r>
        <w:rPr>
          <w:rFonts w:ascii="Garamond" w:eastAsia="Garamond" w:hAnsi="Garamond" w:cs="Garamond"/>
        </w:rPr>
        <w:t xml:space="preserve"> observations, it’s very limited temporal availability makes it a problematic radar source. Each sensor has strengths and weaknesses, and a superior sensor was unable to be determined. All accuracy assessments are listed in Appendix B with source sensor, date classified, and accuracy percentages</w:t>
      </w:r>
      <w:r w:rsidR="002D6271">
        <w:rPr>
          <w:rFonts w:ascii="Garamond" w:eastAsia="Garamond" w:hAnsi="Garamond" w:cs="Garamond"/>
        </w:rPr>
        <w:t>.</w:t>
      </w:r>
      <w:r>
        <w:rPr>
          <w:rFonts w:ascii="Garamond" w:eastAsia="Garamond" w:hAnsi="Garamond" w:cs="Garamond"/>
        </w:rPr>
        <w:t xml:space="preserve"> </w:t>
      </w:r>
    </w:p>
    <w:p w:rsidR="00886CC7" w:rsidRDefault="00886CC7">
      <w:pPr>
        <w:spacing w:after="0" w:line="240" w:lineRule="auto"/>
        <w:rPr>
          <w:rFonts w:ascii="Garamond" w:eastAsia="Garamond" w:hAnsi="Garamond" w:cs="Garamond"/>
          <w:b/>
          <w:i/>
        </w:rPr>
      </w:pPr>
    </w:p>
    <w:p w:rsidR="00886CC7" w:rsidRDefault="00457177">
      <w:pPr>
        <w:spacing w:after="0" w:line="240" w:lineRule="auto"/>
        <w:rPr>
          <w:rFonts w:ascii="Garamond" w:eastAsia="Garamond" w:hAnsi="Garamond" w:cs="Garamond"/>
          <w:b/>
          <w:i/>
        </w:rPr>
      </w:pPr>
      <w:r>
        <w:rPr>
          <w:rFonts w:ascii="Garamond" w:eastAsia="Garamond" w:hAnsi="Garamond" w:cs="Garamond"/>
          <w:b/>
          <w:i/>
          <w:noProof/>
        </w:rPr>
        <w:drawing>
          <wp:inline distT="114300" distB="114300" distL="114300" distR="114300">
            <wp:extent cx="1859824" cy="1360170"/>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859824" cy="1360170"/>
                    </a:xfrm>
                    <a:prstGeom prst="rect">
                      <a:avLst/>
                    </a:prstGeom>
                    <a:ln/>
                  </pic:spPr>
                </pic:pic>
              </a:graphicData>
            </a:graphic>
          </wp:inline>
        </w:drawing>
      </w:r>
      <w:r>
        <w:rPr>
          <w:rFonts w:ascii="Garamond" w:eastAsia="Garamond" w:hAnsi="Garamond" w:cs="Garamond"/>
          <w:b/>
          <w:i/>
          <w:noProof/>
        </w:rPr>
        <w:drawing>
          <wp:inline distT="114300" distB="114300" distL="114300" distR="114300">
            <wp:extent cx="1842135" cy="1371803"/>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842135" cy="1371803"/>
                    </a:xfrm>
                    <a:prstGeom prst="rect">
                      <a:avLst/>
                    </a:prstGeom>
                    <a:ln/>
                  </pic:spPr>
                </pic:pic>
              </a:graphicData>
            </a:graphic>
          </wp:inline>
        </w:drawing>
      </w:r>
      <w:r>
        <w:rPr>
          <w:rFonts w:ascii="Garamond" w:eastAsia="Garamond" w:hAnsi="Garamond" w:cs="Garamond"/>
          <w:b/>
          <w:i/>
          <w:noProof/>
        </w:rPr>
        <w:drawing>
          <wp:inline distT="114300" distB="114300" distL="114300" distR="114300">
            <wp:extent cx="1975485" cy="1365409"/>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975485" cy="1365409"/>
                    </a:xfrm>
                    <a:prstGeom prst="rect">
                      <a:avLst/>
                    </a:prstGeom>
                    <a:ln/>
                  </pic:spPr>
                </pic:pic>
              </a:graphicData>
            </a:graphic>
          </wp:inline>
        </w:drawing>
      </w:r>
    </w:p>
    <w:p w:rsidR="00886CC7" w:rsidRDefault="00457177">
      <w:pPr>
        <w:spacing w:after="0" w:line="240" w:lineRule="auto"/>
        <w:jc w:val="center"/>
        <w:rPr>
          <w:rFonts w:ascii="Garamond" w:eastAsia="Garamond" w:hAnsi="Garamond" w:cs="Garamond"/>
        </w:rPr>
      </w:pPr>
      <w:r>
        <w:rPr>
          <w:rFonts w:ascii="Garamond" w:eastAsia="Garamond" w:hAnsi="Garamond" w:cs="Garamond"/>
          <w:i/>
        </w:rPr>
        <w:t>Figure 2</w:t>
      </w:r>
      <w:r w:rsidR="002D6271">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 xml:space="preserve">Land classifications of Agua </w:t>
      </w:r>
      <w:proofErr w:type="spellStart"/>
      <w:r>
        <w:rPr>
          <w:rFonts w:ascii="Garamond" w:eastAsia="Garamond" w:hAnsi="Garamond" w:cs="Garamond"/>
        </w:rPr>
        <w:t>Salud</w:t>
      </w:r>
      <w:proofErr w:type="spellEnd"/>
      <w:r>
        <w:rPr>
          <w:rFonts w:ascii="Garamond" w:eastAsia="Garamond" w:hAnsi="Garamond" w:cs="Garamond"/>
        </w:rPr>
        <w:t xml:space="preserve"> and BCI. From left to right: ALOS PALSAR -2 from 5/30/2010, UAVSAR </w:t>
      </w:r>
      <w:proofErr w:type="spellStart"/>
      <w:r>
        <w:rPr>
          <w:rFonts w:ascii="Garamond" w:eastAsia="Garamond" w:hAnsi="Garamond" w:cs="Garamond"/>
        </w:rPr>
        <w:t>PolSAR</w:t>
      </w:r>
      <w:proofErr w:type="spellEnd"/>
      <w:r>
        <w:rPr>
          <w:rFonts w:ascii="Garamond" w:eastAsia="Garamond" w:hAnsi="Garamond" w:cs="Garamond"/>
        </w:rPr>
        <w:t xml:space="preserve"> from 2/6/2010, Sentinel-1 from 3/7/2017</w:t>
      </w:r>
      <w:r w:rsidR="002D6271">
        <w:rPr>
          <w:rFonts w:ascii="Garamond" w:eastAsia="Garamond" w:hAnsi="Garamond" w:cs="Garamond"/>
        </w:rPr>
        <w:t>.</w:t>
      </w:r>
    </w:p>
    <w:p w:rsidR="00886CC7" w:rsidRDefault="00886CC7">
      <w:pPr>
        <w:spacing w:after="0" w:line="240" w:lineRule="auto"/>
        <w:rPr>
          <w:rFonts w:ascii="Garamond" w:eastAsia="Garamond" w:hAnsi="Garamond" w:cs="Garamond"/>
          <w:b/>
          <w:i/>
        </w:rPr>
      </w:pPr>
    </w:p>
    <w:p w:rsidR="00886CC7" w:rsidRDefault="00886CC7">
      <w:pPr>
        <w:spacing w:after="0" w:line="240" w:lineRule="auto"/>
        <w:rPr>
          <w:rFonts w:ascii="Garamond" w:eastAsia="Garamond" w:hAnsi="Garamond" w:cs="Garamond"/>
          <w:b/>
          <w:i/>
        </w:rPr>
      </w:pPr>
    </w:p>
    <w:p w:rsidR="00886CC7" w:rsidRPr="00B26968" w:rsidRDefault="00457177">
      <w:pPr>
        <w:spacing w:after="0" w:line="240" w:lineRule="auto"/>
        <w:rPr>
          <w:rFonts w:ascii="Garamond" w:eastAsia="Garamond" w:hAnsi="Garamond" w:cs="Garamond"/>
          <w:bCs/>
          <w:i/>
        </w:rPr>
      </w:pPr>
      <w:r w:rsidRPr="00B26968">
        <w:rPr>
          <w:rFonts w:ascii="Garamond" w:eastAsia="Garamond" w:hAnsi="Garamond" w:cs="Garamond"/>
          <w:bCs/>
          <w:i/>
        </w:rPr>
        <w:t>4.1.1 ALOS PALSAR</w:t>
      </w:r>
    </w:p>
    <w:p w:rsidR="00886CC7" w:rsidRDefault="00457177">
      <w:pPr>
        <w:spacing w:after="0" w:line="240" w:lineRule="auto"/>
        <w:rPr>
          <w:rFonts w:ascii="Garamond" w:eastAsia="Garamond" w:hAnsi="Garamond" w:cs="Garamond"/>
        </w:rPr>
      </w:pPr>
      <w:r>
        <w:rPr>
          <w:rFonts w:ascii="Garamond" w:eastAsia="Garamond" w:hAnsi="Garamond" w:cs="Garamond"/>
        </w:rPr>
        <w:t xml:space="preserve">On average, the PALSAR classifications returned 95% forested area and 5% non-forested area (Figure 2). The overall accuracy was 85.8% with an average kappa coefficient of 0.61. The average accuracy for forested areas was 98.6% while non-forested was 42%. Overall, when compared to optical imagery and previous land cover maps, the classification did create clusters of non-forested pixels over pastures of barren ground. However, there was a high error for the pasture class. This error could be due to the speckling present in the data. There are non-forested speckles that appear throughout the classification in areas known to be forested. </w:t>
      </w:r>
      <w:r w:rsidR="002D6271">
        <w:rPr>
          <w:rFonts w:ascii="Garamond" w:eastAsia="Garamond" w:hAnsi="Garamond" w:cs="Garamond"/>
        </w:rPr>
        <w:t>The team</w:t>
      </w:r>
      <w:r>
        <w:rPr>
          <w:rFonts w:ascii="Garamond" w:eastAsia="Garamond" w:hAnsi="Garamond" w:cs="Garamond"/>
        </w:rPr>
        <w:t xml:space="preserve"> considered eliminating this with a majority filter</w:t>
      </w:r>
      <w:r w:rsidR="002D6271">
        <w:rPr>
          <w:rFonts w:ascii="Garamond" w:eastAsia="Garamond" w:hAnsi="Garamond" w:cs="Garamond"/>
        </w:rPr>
        <w:t>;</w:t>
      </w:r>
      <w:r>
        <w:rPr>
          <w:rFonts w:ascii="Garamond" w:eastAsia="Garamond" w:hAnsi="Garamond" w:cs="Garamond"/>
        </w:rPr>
        <w:t xml:space="preserve"> however, </w:t>
      </w:r>
      <w:r w:rsidR="002D6271">
        <w:rPr>
          <w:rFonts w:ascii="Garamond" w:eastAsia="Garamond" w:hAnsi="Garamond" w:cs="Garamond"/>
        </w:rPr>
        <w:t>the filter</w:t>
      </w:r>
      <w:r>
        <w:rPr>
          <w:rFonts w:ascii="Garamond" w:eastAsia="Garamond" w:hAnsi="Garamond" w:cs="Garamond"/>
        </w:rPr>
        <w:t xml:space="preserve"> reduce</w:t>
      </w:r>
      <w:r w:rsidR="002D6271">
        <w:rPr>
          <w:rFonts w:ascii="Garamond" w:eastAsia="Garamond" w:hAnsi="Garamond" w:cs="Garamond"/>
        </w:rPr>
        <w:t>d</w:t>
      </w:r>
      <w:r>
        <w:rPr>
          <w:rFonts w:ascii="Garamond" w:eastAsia="Garamond" w:hAnsi="Garamond" w:cs="Garamond"/>
        </w:rPr>
        <w:t xml:space="preserve"> the size of the larger cluster classified as non-forested areas</w:t>
      </w:r>
      <w:r w:rsidR="002D6271">
        <w:rPr>
          <w:rFonts w:ascii="Garamond" w:eastAsia="Garamond" w:hAnsi="Garamond" w:cs="Garamond"/>
        </w:rPr>
        <w:t xml:space="preserve"> when applied</w:t>
      </w:r>
      <w:r>
        <w:rPr>
          <w:rFonts w:ascii="Garamond" w:eastAsia="Garamond" w:hAnsi="Garamond" w:cs="Garamond"/>
        </w:rPr>
        <w:t xml:space="preserve">. </w:t>
      </w:r>
      <w:r w:rsidR="002D6271">
        <w:rPr>
          <w:rFonts w:ascii="Garamond" w:eastAsia="Garamond" w:hAnsi="Garamond" w:cs="Garamond"/>
        </w:rPr>
        <w:t>This indicates</w:t>
      </w:r>
      <w:r>
        <w:rPr>
          <w:rFonts w:ascii="Garamond" w:eastAsia="Garamond" w:hAnsi="Garamond" w:cs="Garamond"/>
        </w:rPr>
        <w:t xml:space="preserve"> that </w:t>
      </w:r>
      <w:r w:rsidR="002D6271">
        <w:rPr>
          <w:rFonts w:ascii="Garamond" w:eastAsia="Garamond" w:hAnsi="Garamond" w:cs="Garamond"/>
        </w:rPr>
        <w:t>estimations</w:t>
      </w:r>
      <w:r>
        <w:rPr>
          <w:rFonts w:ascii="Garamond" w:eastAsia="Garamond" w:hAnsi="Garamond" w:cs="Garamond"/>
        </w:rPr>
        <w:t xml:space="preserve"> were already slightly </w:t>
      </w:r>
      <w:r>
        <w:rPr>
          <w:rFonts w:ascii="Garamond" w:eastAsia="Garamond" w:hAnsi="Garamond" w:cs="Garamond"/>
        </w:rPr>
        <w:lastRenderedPageBreak/>
        <w:t>under classifying the non-forested area, and</w:t>
      </w:r>
      <w:r w:rsidR="002D6271">
        <w:rPr>
          <w:rFonts w:ascii="Garamond" w:eastAsia="Garamond" w:hAnsi="Garamond" w:cs="Garamond"/>
        </w:rPr>
        <w:t xml:space="preserve"> </w:t>
      </w:r>
      <w:proofErr w:type="spellStart"/>
      <w:r w:rsidR="002D6271">
        <w:rPr>
          <w:rFonts w:ascii="Garamond" w:eastAsia="Garamond" w:hAnsi="Garamond" w:cs="Garamond"/>
        </w:rPr>
        <w:t>the</w:t>
      </w:r>
      <w:proofErr w:type="spellEnd"/>
      <w:r w:rsidR="002D6271">
        <w:rPr>
          <w:rFonts w:ascii="Garamond" w:eastAsia="Garamond" w:hAnsi="Garamond" w:cs="Garamond"/>
        </w:rPr>
        <w:t xml:space="preserve"> team</w:t>
      </w:r>
      <w:r>
        <w:rPr>
          <w:rFonts w:ascii="Garamond" w:eastAsia="Garamond" w:hAnsi="Garamond" w:cs="Garamond"/>
        </w:rPr>
        <w:t xml:space="preserve"> did not want to reduce accuracy of the non-forested area further</w:t>
      </w:r>
      <w:r w:rsidR="002D6271">
        <w:rPr>
          <w:rFonts w:ascii="Garamond" w:eastAsia="Garamond" w:hAnsi="Garamond" w:cs="Garamond"/>
        </w:rPr>
        <w:t xml:space="preserve"> so the filter was not applied</w:t>
      </w:r>
      <w:r>
        <w:rPr>
          <w:rFonts w:ascii="Garamond" w:eastAsia="Garamond" w:hAnsi="Garamond" w:cs="Garamond"/>
        </w:rPr>
        <w:t>.</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 xml:space="preserve">Initially, </w:t>
      </w:r>
      <w:r w:rsidR="002D6271">
        <w:rPr>
          <w:rFonts w:ascii="Garamond" w:eastAsia="Garamond" w:hAnsi="Garamond" w:cs="Garamond"/>
        </w:rPr>
        <w:t>the team</w:t>
      </w:r>
      <w:r>
        <w:rPr>
          <w:rFonts w:ascii="Garamond" w:eastAsia="Garamond" w:hAnsi="Garamond" w:cs="Garamond"/>
        </w:rPr>
        <w:t xml:space="preserve"> had hoped to be able to create classes that distinguished forest based on age. </w:t>
      </w:r>
      <w:r w:rsidR="002D6271">
        <w:rPr>
          <w:rFonts w:ascii="Garamond" w:eastAsia="Garamond" w:hAnsi="Garamond" w:cs="Garamond"/>
        </w:rPr>
        <w:t>Team members</w:t>
      </w:r>
      <w:r>
        <w:rPr>
          <w:rFonts w:ascii="Garamond" w:eastAsia="Garamond" w:hAnsi="Garamond" w:cs="Garamond"/>
        </w:rPr>
        <w:t xml:space="preserve"> had </w:t>
      </w:r>
      <w:r>
        <w:rPr>
          <w:rFonts w:ascii="Garamond" w:eastAsia="Garamond" w:hAnsi="Garamond" w:cs="Garamond"/>
          <w:i/>
        </w:rPr>
        <w:t>in situ</w:t>
      </w:r>
      <w:r>
        <w:rPr>
          <w:rFonts w:ascii="Garamond" w:eastAsia="Garamond" w:hAnsi="Garamond" w:cs="Garamond"/>
        </w:rPr>
        <w:t xml:space="preserve"> plots</w:t>
      </w:r>
      <w:r>
        <w:rPr>
          <w:rFonts w:ascii="Garamond" w:eastAsia="Garamond" w:hAnsi="Garamond" w:cs="Garamond"/>
          <w:i/>
        </w:rPr>
        <w:t xml:space="preserve"> </w:t>
      </w:r>
      <w:r>
        <w:rPr>
          <w:rFonts w:ascii="Garamond" w:eastAsia="Garamond" w:hAnsi="Garamond" w:cs="Garamond"/>
        </w:rPr>
        <w:t xml:space="preserve">which </w:t>
      </w:r>
      <w:r w:rsidR="002D6271">
        <w:rPr>
          <w:rFonts w:ascii="Garamond" w:eastAsia="Garamond" w:hAnsi="Garamond" w:cs="Garamond"/>
        </w:rPr>
        <w:t>had</w:t>
      </w:r>
      <w:r>
        <w:rPr>
          <w:rFonts w:ascii="Garamond" w:eastAsia="Garamond" w:hAnsi="Garamond" w:cs="Garamond"/>
        </w:rPr>
        <w:t xml:space="preserve"> the age of each forest stand, </w:t>
      </w:r>
      <w:r w:rsidR="002D6271">
        <w:rPr>
          <w:rFonts w:ascii="Garamond" w:eastAsia="Garamond" w:hAnsi="Garamond" w:cs="Garamond"/>
        </w:rPr>
        <w:t>but</w:t>
      </w:r>
      <w:r>
        <w:rPr>
          <w:rFonts w:ascii="Garamond" w:eastAsia="Garamond" w:hAnsi="Garamond" w:cs="Garamond"/>
        </w:rPr>
        <w:t xml:space="preserve"> after comparing the average backscatter value returned for each plot, </w:t>
      </w:r>
      <w:r w:rsidR="002D6271">
        <w:rPr>
          <w:rFonts w:ascii="Garamond" w:eastAsia="Garamond" w:hAnsi="Garamond" w:cs="Garamond"/>
        </w:rPr>
        <w:t>the team</w:t>
      </w:r>
      <w:r>
        <w:rPr>
          <w:rFonts w:ascii="Garamond" w:eastAsia="Garamond" w:hAnsi="Garamond" w:cs="Garamond"/>
        </w:rPr>
        <w:t xml:space="preserve"> determined there was no relationship between backscatter value and age (Figure 3). </w:t>
      </w:r>
      <w:r w:rsidR="002D6271">
        <w:rPr>
          <w:rFonts w:ascii="Garamond" w:eastAsia="Garamond" w:hAnsi="Garamond" w:cs="Garamond"/>
        </w:rPr>
        <w:t>Attempts were also made</w:t>
      </w:r>
      <w:r>
        <w:rPr>
          <w:rFonts w:ascii="Garamond" w:eastAsia="Garamond" w:hAnsi="Garamond" w:cs="Garamond"/>
        </w:rPr>
        <w:t xml:space="preserve"> to train </w:t>
      </w:r>
      <w:r w:rsidR="002D6271">
        <w:rPr>
          <w:rFonts w:ascii="Garamond" w:eastAsia="Garamond" w:hAnsi="Garamond" w:cs="Garamond"/>
        </w:rPr>
        <w:t>the</w:t>
      </w:r>
      <w:r>
        <w:rPr>
          <w:rFonts w:ascii="Garamond" w:eastAsia="Garamond" w:hAnsi="Garamond" w:cs="Garamond"/>
        </w:rPr>
        <w:t xml:space="preserve"> classifier based on the </w:t>
      </w:r>
      <w:proofErr w:type="gramStart"/>
      <w:r>
        <w:rPr>
          <w:rFonts w:ascii="Garamond" w:eastAsia="Garamond" w:hAnsi="Garamond" w:cs="Garamond"/>
          <w:i/>
        </w:rPr>
        <w:t>in situ</w:t>
      </w:r>
      <w:proofErr w:type="gramEnd"/>
      <w:r>
        <w:rPr>
          <w:rFonts w:ascii="Garamond" w:eastAsia="Garamond" w:hAnsi="Garamond" w:cs="Garamond"/>
        </w:rPr>
        <w:t xml:space="preserve"> plot age</w:t>
      </w:r>
      <w:r w:rsidR="002D6271">
        <w:rPr>
          <w:rFonts w:ascii="Garamond" w:eastAsia="Garamond" w:hAnsi="Garamond" w:cs="Garamond"/>
        </w:rPr>
        <w:t>,</w:t>
      </w:r>
      <w:r>
        <w:rPr>
          <w:rFonts w:ascii="Garamond" w:eastAsia="Garamond" w:hAnsi="Garamond" w:cs="Garamond"/>
        </w:rPr>
        <w:t xml:space="preserve"> but </w:t>
      </w:r>
      <w:r w:rsidR="002D6271">
        <w:rPr>
          <w:rFonts w:ascii="Garamond" w:eastAsia="Garamond" w:hAnsi="Garamond" w:cs="Garamond"/>
        </w:rPr>
        <w:t xml:space="preserve">it was </w:t>
      </w:r>
      <w:r>
        <w:rPr>
          <w:rFonts w:ascii="Garamond" w:eastAsia="Garamond" w:hAnsi="Garamond" w:cs="Garamond"/>
        </w:rPr>
        <w:t xml:space="preserve">found </w:t>
      </w:r>
      <w:r w:rsidR="002D6271">
        <w:rPr>
          <w:rFonts w:ascii="Garamond" w:eastAsia="Garamond" w:hAnsi="Garamond" w:cs="Garamond"/>
        </w:rPr>
        <w:t xml:space="preserve">that </w:t>
      </w:r>
      <w:r>
        <w:rPr>
          <w:rFonts w:ascii="Garamond" w:eastAsia="Garamond" w:hAnsi="Garamond" w:cs="Garamond"/>
        </w:rPr>
        <w:t xml:space="preserve">the classes in the resulting classification </w:t>
      </w:r>
      <w:r w:rsidR="002D6271">
        <w:rPr>
          <w:rFonts w:ascii="Garamond" w:eastAsia="Garamond" w:hAnsi="Garamond" w:cs="Garamond"/>
        </w:rPr>
        <w:t>were not</w:t>
      </w:r>
      <w:r>
        <w:rPr>
          <w:rFonts w:ascii="Garamond" w:eastAsia="Garamond" w:hAnsi="Garamond" w:cs="Garamond"/>
        </w:rPr>
        <w:t xml:space="preserve"> separable.</w:t>
      </w:r>
    </w:p>
    <w:p w:rsidR="00886CC7" w:rsidRDefault="00457177">
      <w:pPr>
        <w:spacing w:after="0" w:line="240" w:lineRule="auto"/>
        <w:jc w:val="center"/>
        <w:rPr>
          <w:rFonts w:ascii="Garamond" w:eastAsia="Garamond" w:hAnsi="Garamond" w:cs="Garamond"/>
        </w:rPr>
      </w:pPr>
      <w:r>
        <w:rPr>
          <w:rFonts w:ascii="Garamond" w:eastAsia="Garamond" w:hAnsi="Garamond" w:cs="Garamond"/>
          <w:i/>
        </w:rPr>
        <w:t>Figure 3</w:t>
      </w:r>
      <w:r w:rsidR="002D6271">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This figure shows what average backscatter value each plot of forest with a known age returns for the polarizations HH and HV from ALOS PALSAR. Forest plot age was given to us by STRI. There is no visible trend between forest age and backscatter.</w:t>
      </w:r>
      <w:r>
        <w:rPr>
          <w:noProof/>
        </w:rPr>
        <w:drawing>
          <wp:anchor distT="114300" distB="114300" distL="114300" distR="114300" simplePos="0" relativeHeight="251659264" behindDoc="0" locked="0" layoutInCell="1" hidden="0" allowOverlap="1">
            <wp:simplePos x="0" y="0"/>
            <wp:positionH relativeFrom="column">
              <wp:posOffset>409575</wp:posOffset>
            </wp:positionH>
            <wp:positionV relativeFrom="paragraph">
              <wp:posOffset>114300</wp:posOffset>
            </wp:positionV>
            <wp:extent cx="4902391" cy="3614738"/>
            <wp:effectExtent l="0" t="0" r="0" b="0"/>
            <wp:wrapTopAndBottom distT="114300" distB="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902391" cy="3614738"/>
                    </a:xfrm>
                    <a:prstGeom prst="rect">
                      <a:avLst/>
                    </a:prstGeom>
                    <a:ln/>
                  </pic:spPr>
                </pic:pic>
              </a:graphicData>
            </a:graphic>
          </wp:anchor>
        </w:drawing>
      </w:r>
    </w:p>
    <w:p w:rsidR="00886CC7" w:rsidRDefault="00886CC7">
      <w:pPr>
        <w:spacing w:after="0" w:line="240" w:lineRule="auto"/>
        <w:rPr>
          <w:rFonts w:ascii="Garamond" w:eastAsia="Garamond" w:hAnsi="Garamond" w:cs="Garamond"/>
        </w:rPr>
      </w:pPr>
    </w:p>
    <w:p w:rsidR="00886CC7" w:rsidRPr="00B26968" w:rsidRDefault="00457177">
      <w:pPr>
        <w:spacing w:after="0" w:line="240" w:lineRule="auto"/>
        <w:rPr>
          <w:rFonts w:ascii="Garamond" w:eastAsia="Garamond" w:hAnsi="Garamond" w:cs="Garamond"/>
          <w:bCs/>
          <w:i/>
        </w:rPr>
      </w:pPr>
      <w:r w:rsidRPr="00B26968">
        <w:rPr>
          <w:rFonts w:ascii="Garamond" w:eastAsia="Garamond" w:hAnsi="Garamond" w:cs="Garamond"/>
          <w:bCs/>
          <w:i/>
        </w:rPr>
        <w:t>4.1.2 UAVSAR L-Band</w:t>
      </w:r>
    </w:p>
    <w:p w:rsidR="00886CC7" w:rsidRDefault="00457177">
      <w:pPr>
        <w:spacing w:after="0" w:line="240" w:lineRule="auto"/>
        <w:rPr>
          <w:rFonts w:ascii="Garamond" w:eastAsia="Garamond" w:hAnsi="Garamond" w:cs="Garamond"/>
        </w:rPr>
      </w:pPr>
      <w:r>
        <w:rPr>
          <w:rFonts w:ascii="Garamond" w:eastAsia="Garamond" w:hAnsi="Garamond" w:cs="Garamond"/>
        </w:rPr>
        <w:t>The UAVSAR classifications observed a similar pattern of non-forested areas to those of ALOS PALSAR</w:t>
      </w:r>
      <w:r w:rsidR="00762A36">
        <w:rPr>
          <w:rFonts w:ascii="Garamond" w:eastAsia="Garamond" w:hAnsi="Garamond" w:cs="Garamond"/>
        </w:rPr>
        <w:t>.</w:t>
      </w:r>
      <w:r>
        <w:rPr>
          <w:rFonts w:ascii="Garamond" w:eastAsia="Garamond" w:hAnsi="Garamond" w:cs="Garamond"/>
        </w:rPr>
        <w:t xml:space="preserve"> </w:t>
      </w:r>
      <w:r w:rsidR="00762A36">
        <w:rPr>
          <w:rFonts w:ascii="Garamond" w:eastAsia="Garamond" w:hAnsi="Garamond" w:cs="Garamond"/>
        </w:rPr>
        <w:t>H</w:t>
      </w:r>
      <w:r>
        <w:rPr>
          <w:rFonts w:ascii="Garamond" w:eastAsia="Garamond" w:hAnsi="Garamond" w:cs="Garamond"/>
        </w:rPr>
        <w:t>owever, the effectiveness of UAVSAR was limited by distortions from the flight path, incidence angle, and mountainous terrain. To prevent these distortions from skewing the results of the classifications, an error class was included alongside forest and non-forest classes in the Random Forest Classifier. The overall accuracy of the 2015 classification, 79.2%, was higher than the 2010 classification, 68.3%, despite 2015 having a greater number of pixels in its error class.</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Unlike PALSAR and Sentinel-1, the backscatter values of UAVSAR were subject to a gradient, where backscatter values were influenced by proximity to the sensor and differences in elevation (Figure 4). Because 2010 and 2015 images were recorded on perpendicular flight paths, the gradient is very pronounced in this false-color image which compares 2010 HH values in pink and 2015 HH values in green, with their flight paths and incidence angles visualized in the same colors. In the northeast and southeast corners of the A</w:t>
      </w:r>
      <w:r w:rsidR="00762A36">
        <w:rPr>
          <w:rFonts w:ascii="Garamond" w:eastAsia="Garamond" w:hAnsi="Garamond" w:cs="Garamond"/>
        </w:rPr>
        <w:t>SP</w:t>
      </w:r>
      <w:r>
        <w:rPr>
          <w:rFonts w:ascii="Garamond" w:eastAsia="Garamond" w:hAnsi="Garamond" w:cs="Garamond"/>
        </w:rPr>
        <w:t xml:space="preserve"> study area, the large swaths of green are indicative of terrain error.</w:t>
      </w:r>
    </w:p>
    <w:p w:rsidR="00886CC7" w:rsidRDefault="00457177">
      <w:pPr>
        <w:spacing w:after="0" w:line="240" w:lineRule="auto"/>
        <w:ind w:firstLine="720"/>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extent cx="3101096" cy="2328863"/>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7441"/>
                    <a:stretch>
                      <a:fillRect/>
                    </a:stretch>
                  </pic:blipFill>
                  <pic:spPr>
                    <a:xfrm>
                      <a:off x="0" y="0"/>
                      <a:ext cx="3101096" cy="2328863"/>
                    </a:xfrm>
                    <a:prstGeom prst="rect">
                      <a:avLst/>
                    </a:prstGeom>
                    <a:ln/>
                  </pic:spPr>
                </pic:pic>
              </a:graphicData>
            </a:graphic>
          </wp:inline>
        </w:drawing>
      </w:r>
    </w:p>
    <w:p w:rsidR="00886CC7" w:rsidRDefault="00457177">
      <w:pPr>
        <w:spacing w:after="0" w:line="240" w:lineRule="auto"/>
        <w:jc w:val="center"/>
        <w:rPr>
          <w:rFonts w:ascii="Garamond" w:eastAsia="Garamond" w:hAnsi="Garamond" w:cs="Garamond"/>
        </w:rPr>
      </w:pPr>
      <w:r>
        <w:rPr>
          <w:rFonts w:ascii="Garamond" w:eastAsia="Garamond" w:hAnsi="Garamond" w:cs="Garamond"/>
          <w:i/>
        </w:rPr>
        <w:t>Figure 4</w:t>
      </w:r>
      <w:r w:rsidR="00762A36">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A false-color image of 2010 HH backscatter in pink and 2015 HH backscatter. Additionally, the flight paths and incidence angle of each flight are shown in its respective color.</w:t>
      </w:r>
    </w:p>
    <w:p w:rsidR="00886CC7" w:rsidRDefault="00457177" w:rsidP="00B26968">
      <w:pPr>
        <w:spacing w:before="240" w:after="240" w:line="240" w:lineRule="auto"/>
        <w:rPr>
          <w:rFonts w:ascii="Garamond" w:eastAsia="Garamond" w:hAnsi="Garamond" w:cs="Garamond"/>
        </w:rPr>
      </w:pPr>
      <w:r>
        <w:rPr>
          <w:rFonts w:ascii="Garamond" w:eastAsia="Garamond" w:hAnsi="Garamond" w:cs="Garamond"/>
        </w:rPr>
        <w:t xml:space="preserve">In an attempt to use the terrain effects of UAVSAR to improve the classification, the classifier was trained to distinguish between flat and sloped forests. Flat forests could be visibly distinguished in the northwest corner and southcentral part of the study area, </w:t>
      </w:r>
      <w:r w:rsidR="00762A36">
        <w:rPr>
          <w:rFonts w:ascii="Garamond" w:eastAsia="Garamond" w:hAnsi="Garamond" w:cs="Garamond"/>
        </w:rPr>
        <w:t>but</w:t>
      </w:r>
      <w:r>
        <w:rPr>
          <w:rFonts w:ascii="Garamond" w:eastAsia="Garamond" w:hAnsi="Garamond" w:cs="Garamond"/>
        </w:rPr>
        <w:t xml:space="preserve"> </w:t>
      </w:r>
      <w:r w:rsidR="00762A36">
        <w:rPr>
          <w:rFonts w:ascii="Garamond" w:eastAsia="Garamond" w:hAnsi="Garamond" w:cs="Garamond"/>
        </w:rPr>
        <w:t>the</w:t>
      </w:r>
      <w:r>
        <w:rPr>
          <w:rFonts w:ascii="Garamond" w:eastAsia="Garamond" w:hAnsi="Garamond" w:cs="Garamond"/>
        </w:rPr>
        <w:t xml:space="preserve"> </w:t>
      </w:r>
      <w:r w:rsidR="00762A36">
        <w:rPr>
          <w:rFonts w:ascii="Garamond" w:eastAsia="Garamond" w:hAnsi="Garamond" w:cs="Garamond"/>
        </w:rPr>
        <w:t>team was</w:t>
      </w:r>
      <w:r>
        <w:rPr>
          <w:rFonts w:ascii="Garamond" w:eastAsia="Garamond" w:hAnsi="Garamond" w:cs="Garamond"/>
        </w:rPr>
        <w:t xml:space="preserve"> unable to distinguish flat and sloped forests based upon backscatter values, as the histograms were not separable.</w:t>
      </w:r>
    </w:p>
    <w:p w:rsidR="00886CC7" w:rsidRPr="00B26968" w:rsidRDefault="00457177">
      <w:pPr>
        <w:spacing w:after="0" w:line="240" w:lineRule="auto"/>
        <w:rPr>
          <w:rFonts w:ascii="Garamond" w:eastAsia="Garamond" w:hAnsi="Garamond" w:cs="Garamond"/>
          <w:bCs/>
        </w:rPr>
      </w:pPr>
      <w:r w:rsidRPr="00B26968">
        <w:rPr>
          <w:rFonts w:ascii="Garamond" w:eastAsia="Garamond" w:hAnsi="Garamond" w:cs="Garamond"/>
          <w:bCs/>
          <w:i/>
        </w:rPr>
        <w:t>4.1.3 Sentinel-1 C-Band</w:t>
      </w:r>
    </w:p>
    <w:p w:rsidR="00886CC7" w:rsidRDefault="00457177">
      <w:pPr>
        <w:spacing w:after="0" w:line="240" w:lineRule="auto"/>
        <w:rPr>
          <w:rFonts w:ascii="Garamond" w:eastAsia="Garamond" w:hAnsi="Garamond" w:cs="Garamond"/>
        </w:rPr>
      </w:pPr>
      <w:r>
        <w:rPr>
          <w:rFonts w:ascii="Garamond" w:eastAsia="Garamond" w:hAnsi="Garamond" w:cs="Garamond"/>
        </w:rPr>
        <w:t>Land cover classifications by Sentinel-1 C-</w:t>
      </w:r>
      <w:r w:rsidR="00762A36">
        <w:rPr>
          <w:rFonts w:ascii="Garamond" w:eastAsia="Garamond" w:hAnsi="Garamond" w:cs="Garamond"/>
        </w:rPr>
        <w:t>B</w:t>
      </w:r>
      <w:r>
        <w:rPr>
          <w:rFonts w:ascii="Garamond" w:eastAsia="Garamond" w:hAnsi="Garamond" w:cs="Garamond"/>
        </w:rPr>
        <w:t xml:space="preserve">and imagery </w:t>
      </w:r>
      <w:r w:rsidR="00762A36">
        <w:rPr>
          <w:rFonts w:ascii="Garamond" w:eastAsia="Garamond" w:hAnsi="Garamond" w:cs="Garamond"/>
        </w:rPr>
        <w:t>could only</w:t>
      </w:r>
      <w:r>
        <w:rPr>
          <w:rFonts w:ascii="Garamond" w:eastAsia="Garamond" w:hAnsi="Garamond" w:cs="Garamond"/>
        </w:rPr>
        <w:t xml:space="preserve"> be produced during the dry season due to the disappearance of non-forested areas (Figure 5). In the dry seasons, non-forested areas </w:t>
      </w:r>
      <w:r w:rsidR="00762A36">
        <w:rPr>
          <w:rFonts w:ascii="Garamond" w:eastAsia="Garamond" w:hAnsi="Garamond" w:cs="Garamond"/>
        </w:rPr>
        <w:t xml:space="preserve">are </w:t>
      </w:r>
      <w:r>
        <w:rPr>
          <w:rFonts w:ascii="Garamond" w:eastAsia="Garamond" w:hAnsi="Garamond" w:cs="Garamond"/>
        </w:rPr>
        <w:t>show</w:t>
      </w:r>
      <w:r w:rsidR="00762A36">
        <w:rPr>
          <w:rFonts w:ascii="Garamond" w:eastAsia="Garamond" w:hAnsi="Garamond" w:cs="Garamond"/>
        </w:rPr>
        <w:t>n</w:t>
      </w:r>
      <w:r>
        <w:rPr>
          <w:rFonts w:ascii="Garamond" w:eastAsia="Garamond" w:hAnsi="Garamond" w:cs="Garamond"/>
        </w:rPr>
        <w:t xml:space="preserve"> as darker tones in the VH polarization</w:t>
      </w:r>
      <w:r w:rsidR="00762A36">
        <w:rPr>
          <w:rFonts w:ascii="Garamond" w:eastAsia="Garamond" w:hAnsi="Garamond" w:cs="Garamond"/>
        </w:rPr>
        <w:t>.</w:t>
      </w:r>
      <w:r>
        <w:rPr>
          <w:rFonts w:ascii="Garamond" w:eastAsia="Garamond" w:hAnsi="Garamond" w:cs="Garamond"/>
        </w:rPr>
        <w:t xml:space="preserve"> </w:t>
      </w:r>
      <w:r w:rsidR="00762A36">
        <w:rPr>
          <w:rFonts w:ascii="Garamond" w:eastAsia="Garamond" w:hAnsi="Garamond" w:cs="Garamond"/>
        </w:rPr>
        <w:t>H</w:t>
      </w:r>
      <w:r>
        <w:rPr>
          <w:rFonts w:ascii="Garamond" w:eastAsia="Garamond" w:hAnsi="Garamond" w:cs="Garamond"/>
        </w:rPr>
        <w:t>owever</w:t>
      </w:r>
      <w:r w:rsidR="00762A36">
        <w:rPr>
          <w:rFonts w:ascii="Garamond" w:eastAsia="Garamond" w:hAnsi="Garamond" w:cs="Garamond"/>
        </w:rPr>
        <w:t>,</w:t>
      </w:r>
      <w:r>
        <w:rPr>
          <w:rFonts w:ascii="Garamond" w:eastAsia="Garamond" w:hAnsi="Garamond" w:cs="Garamond"/>
        </w:rPr>
        <w:t xml:space="preserve"> through all the wet season imagery the entire A</w:t>
      </w:r>
      <w:r w:rsidR="00762A36">
        <w:rPr>
          <w:rFonts w:ascii="Garamond" w:eastAsia="Garamond" w:hAnsi="Garamond" w:cs="Garamond"/>
        </w:rPr>
        <w:t xml:space="preserve">SP </w:t>
      </w:r>
      <w:r>
        <w:rPr>
          <w:rFonts w:ascii="Garamond" w:eastAsia="Garamond" w:hAnsi="Garamond" w:cs="Garamond"/>
        </w:rPr>
        <w:t xml:space="preserve">study area was homogeneous. Upon discussion with STRI, the team was informed that it was likely these pasture areas experienced growth of grasses that reached up to 2 meters tall. This would cause C-band SAR to be unable to penetrate the grass and scatter, creating a similar backscatter response as forest canopy. For this </w:t>
      </w:r>
      <w:r w:rsidR="00762A36">
        <w:rPr>
          <w:rFonts w:ascii="Garamond" w:eastAsia="Garamond" w:hAnsi="Garamond" w:cs="Garamond"/>
        </w:rPr>
        <w:t>reason,</w:t>
      </w:r>
      <w:r>
        <w:rPr>
          <w:rFonts w:ascii="Garamond" w:eastAsia="Garamond" w:hAnsi="Garamond" w:cs="Garamond"/>
        </w:rPr>
        <w:t xml:space="preserve"> training data was extremely difficult </w:t>
      </w:r>
      <w:r w:rsidR="00762A36">
        <w:rPr>
          <w:rFonts w:ascii="Garamond" w:eastAsia="Garamond" w:hAnsi="Garamond" w:cs="Garamond"/>
        </w:rPr>
        <w:t xml:space="preserve">to identify </w:t>
      </w:r>
      <w:r>
        <w:rPr>
          <w:rFonts w:ascii="Garamond" w:eastAsia="Garamond" w:hAnsi="Garamond" w:cs="Garamond"/>
        </w:rPr>
        <w:t>in the wet season dates and further classification of wet season dates using C-Band SAR was stopped. In the dry season, classifications produced using Sentinel-1 C-Band SAR during the dry season had an average accuracy percentage of 60.3%. Misclassification was present (forest classified as non-forest) in the A</w:t>
      </w:r>
      <w:r w:rsidR="00762A36">
        <w:rPr>
          <w:rFonts w:ascii="Garamond" w:eastAsia="Garamond" w:hAnsi="Garamond" w:cs="Garamond"/>
        </w:rPr>
        <w:t>SP</w:t>
      </w:r>
      <w:r>
        <w:rPr>
          <w:rFonts w:ascii="Garamond" w:eastAsia="Garamond" w:hAnsi="Garamond" w:cs="Garamond"/>
        </w:rPr>
        <w:t xml:space="preserve"> protected areas. This might be attributed to the large amounts of speckle in the </w:t>
      </w:r>
      <w:proofErr w:type="gramStart"/>
      <w:r>
        <w:rPr>
          <w:rFonts w:ascii="Garamond" w:eastAsia="Garamond" w:hAnsi="Garamond" w:cs="Garamond"/>
        </w:rPr>
        <w:t>10 meter</w:t>
      </w:r>
      <w:proofErr w:type="gramEnd"/>
      <w:r>
        <w:rPr>
          <w:rFonts w:ascii="Garamond" w:eastAsia="Garamond" w:hAnsi="Garamond" w:cs="Garamond"/>
        </w:rPr>
        <w:t xml:space="preserve"> product. </w:t>
      </w:r>
      <w:r>
        <w:rPr>
          <w:noProof/>
        </w:rPr>
        <w:drawing>
          <wp:anchor distT="114300" distB="114300" distL="114300" distR="114300" simplePos="0" relativeHeight="251660288" behindDoc="0" locked="0" layoutInCell="1" hidden="0" allowOverlap="1">
            <wp:simplePos x="0" y="0"/>
            <wp:positionH relativeFrom="column">
              <wp:posOffset>171450</wp:posOffset>
            </wp:positionH>
            <wp:positionV relativeFrom="paragraph">
              <wp:posOffset>2000250</wp:posOffset>
            </wp:positionV>
            <wp:extent cx="5943600" cy="2616200"/>
            <wp:effectExtent l="0" t="0" r="0" b="0"/>
            <wp:wrapTopAndBottom distT="114300" distB="11430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43600" cy="2616200"/>
                    </a:xfrm>
                    <a:prstGeom prst="rect">
                      <a:avLst/>
                    </a:prstGeom>
                    <a:ln/>
                  </pic:spPr>
                </pic:pic>
              </a:graphicData>
            </a:graphic>
          </wp:anchor>
        </w:drawing>
      </w:r>
    </w:p>
    <w:p w:rsidR="00886CC7" w:rsidRDefault="00457177">
      <w:pPr>
        <w:spacing w:after="0" w:line="240" w:lineRule="auto"/>
        <w:jc w:val="center"/>
        <w:rPr>
          <w:rFonts w:ascii="Garamond" w:eastAsia="Garamond" w:hAnsi="Garamond" w:cs="Garamond"/>
        </w:rPr>
      </w:pPr>
      <w:r>
        <w:rPr>
          <w:rFonts w:ascii="Garamond" w:eastAsia="Garamond" w:hAnsi="Garamond" w:cs="Garamond"/>
          <w:i/>
        </w:rPr>
        <w:lastRenderedPageBreak/>
        <w:t>Figure 5.</w:t>
      </w:r>
      <w:r>
        <w:rPr>
          <w:rFonts w:ascii="Garamond" w:eastAsia="Garamond" w:hAnsi="Garamond" w:cs="Garamond"/>
        </w:rPr>
        <w:t xml:space="preserve"> A side by side comparison of the dry season and wet season Sentinel-1 C-SAR images. Darker tones indicated non-forested areas, during the wet season these darker tones are not present.</w:t>
      </w:r>
    </w:p>
    <w:p w:rsidR="00886CC7" w:rsidRDefault="00886CC7">
      <w:pPr>
        <w:spacing w:after="0" w:line="240" w:lineRule="auto"/>
        <w:rPr>
          <w:rFonts w:ascii="Garamond" w:eastAsia="Garamond" w:hAnsi="Garamond" w:cs="Garamond"/>
          <w:b/>
          <w:i/>
        </w:rPr>
      </w:pPr>
    </w:p>
    <w:p w:rsidR="00886CC7" w:rsidRPr="00B26968" w:rsidRDefault="00457177">
      <w:pPr>
        <w:spacing w:after="0" w:line="240" w:lineRule="auto"/>
        <w:rPr>
          <w:rFonts w:ascii="Garamond" w:eastAsia="Garamond" w:hAnsi="Garamond" w:cs="Garamond"/>
          <w:bCs/>
        </w:rPr>
      </w:pPr>
      <w:r w:rsidRPr="00B26968">
        <w:rPr>
          <w:rFonts w:ascii="Garamond" w:eastAsia="Garamond" w:hAnsi="Garamond" w:cs="Garamond"/>
          <w:bCs/>
          <w:i/>
        </w:rPr>
        <w:t>4.1.4 Evapotranspiration vs in situ Comparison</w:t>
      </w:r>
    </w:p>
    <w:p w:rsidR="00886CC7" w:rsidRDefault="00457177">
      <w:pPr>
        <w:spacing w:after="0" w:line="240" w:lineRule="auto"/>
        <w:rPr>
          <w:rFonts w:ascii="Garamond" w:eastAsia="Garamond" w:hAnsi="Garamond" w:cs="Garamond"/>
        </w:rPr>
      </w:pPr>
      <w:r>
        <w:rPr>
          <w:rFonts w:ascii="Garamond" w:eastAsia="Garamond" w:hAnsi="Garamond" w:cs="Garamond"/>
        </w:rPr>
        <w:t xml:space="preserve">The ET data shows a seasonal pattern with higher values at the beginning of the year during the dry season and lower values during the wet season (Appendix D). This indicates that water is not the main limiting factor of ET, as water is abundant during the wet season and this is when ET is lowest. If water was the main limiting factor, then ET would be lowest during the dry season when water is scarce. However, this is not the pattern evident in both the MODIS and </w:t>
      </w:r>
      <w:r>
        <w:rPr>
          <w:rFonts w:ascii="Garamond" w:eastAsia="Garamond" w:hAnsi="Garamond" w:cs="Garamond"/>
          <w:i/>
        </w:rPr>
        <w:t>in situ</w:t>
      </w:r>
      <w:r>
        <w:rPr>
          <w:rFonts w:ascii="Garamond" w:eastAsia="Garamond" w:hAnsi="Garamond" w:cs="Garamond"/>
        </w:rPr>
        <w:t xml:space="preserve"> data. Other factors such as humidity, limited radiation from cloud cover, and vapor pressure deficit could explain why ET is lower in the wet season. The MODIS ET values follow the same general pattern (Appendix D) and are correlated (Figure 6) with the </w:t>
      </w:r>
      <w:proofErr w:type="gramStart"/>
      <w:r>
        <w:rPr>
          <w:rFonts w:ascii="Garamond" w:eastAsia="Garamond" w:hAnsi="Garamond" w:cs="Garamond"/>
          <w:i/>
        </w:rPr>
        <w:t>in situ</w:t>
      </w:r>
      <w:proofErr w:type="gramEnd"/>
      <w:r>
        <w:rPr>
          <w:rFonts w:ascii="Garamond" w:eastAsia="Garamond" w:hAnsi="Garamond" w:cs="Garamond"/>
        </w:rPr>
        <w:t xml:space="preserve"> ET values. However, the magnitude of the </w:t>
      </w:r>
      <w:proofErr w:type="gramStart"/>
      <w:r>
        <w:rPr>
          <w:rFonts w:ascii="Garamond" w:eastAsia="Garamond" w:hAnsi="Garamond" w:cs="Garamond"/>
          <w:i/>
        </w:rPr>
        <w:t>in situ</w:t>
      </w:r>
      <w:proofErr w:type="gramEnd"/>
      <w:r>
        <w:rPr>
          <w:rFonts w:ascii="Garamond" w:eastAsia="Garamond" w:hAnsi="Garamond" w:cs="Garamond"/>
          <w:i/>
        </w:rPr>
        <w:t xml:space="preserve"> </w:t>
      </w:r>
      <w:r>
        <w:rPr>
          <w:rFonts w:ascii="Garamond" w:eastAsia="Garamond" w:hAnsi="Garamond" w:cs="Garamond"/>
        </w:rPr>
        <w:t xml:space="preserve">measurements is higher (Appendix D) and the variance in the </w:t>
      </w:r>
      <w:r>
        <w:rPr>
          <w:rFonts w:ascii="Garamond" w:eastAsia="Garamond" w:hAnsi="Garamond" w:cs="Garamond"/>
          <w:i/>
        </w:rPr>
        <w:t xml:space="preserve">in situ </w:t>
      </w:r>
      <w:r>
        <w:rPr>
          <w:rFonts w:ascii="Garamond" w:eastAsia="Garamond" w:hAnsi="Garamond" w:cs="Garamond"/>
        </w:rPr>
        <w:t>measurements explained by MODIS are limited with values of 0.39 in A</w:t>
      </w:r>
      <w:r w:rsidR="00762A36">
        <w:rPr>
          <w:rFonts w:ascii="Garamond" w:eastAsia="Garamond" w:hAnsi="Garamond" w:cs="Garamond"/>
        </w:rPr>
        <w:t>SP</w:t>
      </w:r>
      <w:r>
        <w:rPr>
          <w:rFonts w:ascii="Garamond" w:eastAsia="Garamond" w:hAnsi="Garamond" w:cs="Garamond"/>
        </w:rPr>
        <w:t xml:space="preserve"> and 0.63 in BCI (Figure 6). This difference in magnitude is due to the differences in the nature of the ET measurements. The </w:t>
      </w:r>
      <w:proofErr w:type="gramStart"/>
      <w:r>
        <w:rPr>
          <w:rFonts w:ascii="Garamond" w:eastAsia="Garamond" w:hAnsi="Garamond" w:cs="Garamond"/>
          <w:i/>
        </w:rPr>
        <w:t>in situ</w:t>
      </w:r>
      <w:proofErr w:type="gramEnd"/>
      <w:r>
        <w:rPr>
          <w:rFonts w:ascii="Garamond" w:eastAsia="Garamond" w:hAnsi="Garamond" w:cs="Garamond"/>
        </w:rPr>
        <w:t xml:space="preserve"> measurements represent a potential ET in BCI and a reference ET in AS</w:t>
      </w:r>
      <w:r w:rsidR="00762A36">
        <w:rPr>
          <w:rFonts w:ascii="Garamond" w:eastAsia="Garamond" w:hAnsi="Garamond" w:cs="Garamond"/>
        </w:rPr>
        <w:t>P</w:t>
      </w:r>
      <w:r>
        <w:rPr>
          <w:rFonts w:ascii="Garamond" w:eastAsia="Garamond" w:hAnsi="Garamond" w:cs="Garamond"/>
        </w:rPr>
        <w:t xml:space="preserve">; whereas, the MODIS measurement represents an adjusted reference ET that accounts for differences in demand between vegetation types and non-vegetated areas and is closer to a measure of actual ET. Although both datasets show a seasonal pattern with higher ET in the dry season and lower ET in the wet season, partners at STRI recently found that a colleague studying actual ET in Panama does not see a seasonal pattern. Unfortunately, there was not enough time to investigate this further before the end of the term. </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extent cx="5943600" cy="253365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t="9830"/>
                    <a:stretch>
                      <a:fillRect/>
                    </a:stretch>
                  </pic:blipFill>
                  <pic:spPr>
                    <a:xfrm>
                      <a:off x="0" y="0"/>
                      <a:ext cx="5943600" cy="2533650"/>
                    </a:xfrm>
                    <a:prstGeom prst="rect">
                      <a:avLst/>
                    </a:prstGeom>
                    <a:ln/>
                  </pic:spPr>
                </pic:pic>
              </a:graphicData>
            </a:graphic>
          </wp:inline>
        </w:drawing>
      </w:r>
    </w:p>
    <w:p w:rsidR="00886CC7" w:rsidRDefault="00457177">
      <w:pPr>
        <w:spacing w:after="0" w:line="240" w:lineRule="auto"/>
        <w:jc w:val="center"/>
        <w:rPr>
          <w:rFonts w:ascii="Garamond" w:eastAsia="Garamond" w:hAnsi="Garamond" w:cs="Garamond"/>
        </w:rPr>
      </w:pPr>
      <w:r>
        <w:rPr>
          <w:rFonts w:ascii="Garamond" w:eastAsia="Garamond" w:hAnsi="Garamond" w:cs="Garamond"/>
          <w:i/>
        </w:rPr>
        <w:t>Figure 6</w:t>
      </w:r>
      <w:r w:rsidR="00653D47">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 xml:space="preserve">Correlation scatterplots of the </w:t>
      </w:r>
      <w:r>
        <w:rPr>
          <w:rFonts w:ascii="Garamond" w:eastAsia="Garamond" w:hAnsi="Garamond" w:cs="Garamond"/>
          <w:i/>
        </w:rPr>
        <w:t xml:space="preserve">in situ </w:t>
      </w:r>
      <w:r>
        <w:rPr>
          <w:rFonts w:ascii="Garamond" w:eastAsia="Garamond" w:hAnsi="Garamond" w:cs="Garamond"/>
        </w:rPr>
        <w:t>potential ET measurements by the MODIS adjusted reference ET measurements in ASP (left) and BCI (right). The datasets are significantly correlated, but the R-value is not high.</w:t>
      </w:r>
    </w:p>
    <w:p w:rsidR="00886CC7" w:rsidRDefault="00886CC7">
      <w:pPr>
        <w:spacing w:after="0" w:line="240" w:lineRule="auto"/>
        <w:rPr>
          <w:rFonts w:ascii="Garamond" w:eastAsia="Garamond" w:hAnsi="Garamond" w:cs="Garamond"/>
        </w:rPr>
      </w:pPr>
    </w:p>
    <w:p w:rsidR="00886CC7" w:rsidRPr="00B26968" w:rsidRDefault="00457177">
      <w:pPr>
        <w:spacing w:after="0" w:line="240" w:lineRule="auto"/>
        <w:rPr>
          <w:rFonts w:ascii="Garamond" w:eastAsia="Garamond" w:hAnsi="Garamond" w:cs="Garamond"/>
          <w:bCs/>
          <w:i/>
        </w:rPr>
      </w:pPr>
      <w:r w:rsidRPr="00B26968">
        <w:rPr>
          <w:rFonts w:ascii="Garamond" w:eastAsia="Garamond" w:hAnsi="Garamond" w:cs="Garamond"/>
          <w:bCs/>
          <w:i/>
        </w:rPr>
        <w:t>4.1.5 Evapotranspiration vs Land Cover, Seasonal Comparison</w:t>
      </w:r>
    </w:p>
    <w:p w:rsidR="00886CC7" w:rsidRDefault="00457177">
      <w:pPr>
        <w:spacing w:after="0" w:line="240" w:lineRule="auto"/>
        <w:rPr>
          <w:rFonts w:ascii="Garamond" w:eastAsia="Garamond" w:hAnsi="Garamond" w:cs="Garamond"/>
        </w:rPr>
      </w:pPr>
      <w:r>
        <w:rPr>
          <w:rFonts w:ascii="Garamond" w:eastAsia="Garamond" w:hAnsi="Garamond" w:cs="Garamond"/>
        </w:rPr>
        <w:t>The classifications produced came from dates in five different years: 2007, 2009, 2010, 2015, and 2017. To extract ET for each land cover class, we selected the most accurate classification available for each year. The classifications using ALOS PALSAR had the highest accuracy for 2007-2010 (85%, 86%, and 85%, respectively), UAVSAR for 2015 (79%), and Sentinel for 2017 (69%). Figure 7 shows the mean value of total net ET during the core dry and core wet season in forested and non-forest</w:t>
      </w:r>
      <w:r w:rsidR="00653D47">
        <w:rPr>
          <w:rFonts w:ascii="Garamond" w:eastAsia="Garamond" w:hAnsi="Garamond" w:cs="Garamond"/>
        </w:rPr>
        <w:t>ed</w:t>
      </w:r>
      <w:r>
        <w:rPr>
          <w:rFonts w:ascii="Garamond" w:eastAsia="Garamond" w:hAnsi="Garamond" w:cs="Garamond"/>
        </w:rPr>
        <w:t xml:space="preserve"> pixels. ET was typically higher in the forested class; however, this pattern varies in some years such as the 2009 wet season and 2017 dry season (Figure 9). Although there appears to be a trend in ET between forested and non-forested classes, the variance in classification accuracy prevents a clear comparison between the classes. Classification accuracy ranged from 69 to 86%, so the pixels classified as forest or non-forest may not be fully representative of what is on the ground. Additionally, the size of non-forest patches in our study area were much smaller than the </w:t>
      </w:r>
      <w:r>
        <w:rPr>
          <w:rFonts w:ascii="Garamond" w:eastAsia="Garamond" w:hAnsi="Garamond" w:cs="Garamond"/>
        </w:rPr>
        <w:lastRenderedPageBreak/>
        <w:t xml:space="preserve">actual resolution of MODIS data, so a MODIS ET value in one pixel likely covers a mixture of forest and non-forest land cover types. Thus, we cannot clearly link values of MODIS ET to land cover type and determine that the patterns shown in Figure 7 are representative of the actual relationship between ET and land cover type in our study area. </w:t>
      </w:r>
    </w:p>
    <w:p w:rsidR="00886CC7" w:rsidRDefault="00457177">
      <w:pPr>
        <w:spacing w:after="0" w:line="240" w:lineRule="auto"/>
        <w:jc w:val="center"/>
        <w:rPr>
          <w:rFonts w:ascii="Garamond" w:eastAsia="Garamond" w:hAnsi="Garamond" w:cs="Garamond"/>
        </w:rPr>
      </w:pPr>
      <w:r>
        <w:rPr>
          <w:noProof/>
        </w:rPr>
        <w:drawing>
          <wp:anchor distT="114300" distB="114300" distL="114300" distR="114300" simplePos="0" relativeHeight="251661312" behindDoc="0" locked="0" layoutInCell="1" hidden="0" allowOverlap="1">
            <wp:simplePos x="0" y="0"/>
            <wp:positionH relativeFrom="column">
              <wp:posOffset>895350</wp:posOffset>
            </wp:positionH>
            <wp:positionV relativeFrom="paragraph">
              <wp:posOffset>219075</wp:posOffset>
            </wp:positionV>
            <wp:extent cx="4148138" cy="2757432"/>
            <wp:effectExtent l="0" t="0" r="0" b="0"/>
            <wp:wrapTopAndBottom distT="114300" distB="114300"/>
            <wp:docPr id="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4148138" cy="2757432"/>
                    </a:xfrm>
                    <a:prstGeom prst="rect">
                      <a:avLst/>
                    </a:prstGeom>
                    <a:ln/>
                  </pic:spPr>
                </pic:pic>
              </a:graphicData>
            </a:graphic>
          </wp:anchor>
        </w:drawing>
      </w:r>
    </w:p>
    <w:p w:rsidR="00886CC7" w:rsidRDefault="00457177">
      <w:pPr>
        <w:spacing w:after="0" w:line="240" w:lineRule="auto"/>
        <w:jc w:val="center"/>
        <w:rPr>
          <w:rFonts w:ascii="Garamond" w:eastAsia="Garamond" w:hAnsi="Garamond" w:cs="Garamond"/>
        </w:rPr>
      </w:pPr>
      <w:r>
        <w:rPr>
          <w:rFonts w:ascii="Garamond" w:eastAsia="Garamond" w:hAnsi="Garamond" w:cs="Garamond"/>
          <w:i/>
        </w:rPr>
        <w:t>Figure 7</w:t>
      </w:r>
      <w:r w:rsidR="00653D47">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 xml:space="preserve">Bar graph showing the mean values in forested and non-forested classes of seasonal total net ET for the five years from which we have classifications. ET generally appears to be higher in forested areas; however, this pattern is not consistent. </w:t>
      </w:r>
    </w:p>
    <w:p w:rsidR="00886CC7" w:rsidRDefault="00886CC7">
      <w:pPr>
        <w:spacing w:after="0" w:line="240" w:lineRule="auto"/>
        <w:rPr>
          <w:rFonts w:ascii="Garamond" w:eastAsia="Garamond" w:hAnsi="Garamond" w:cs="Garamond"/>
          <w:b/>
          <w:i/>
        </w:rPr>
      </w:pPr>
    </w:p>
    <w:p w:rsidR="00886CC7" w:rsidRPr="00B26968" w:rsidRDefault="00457177">
      <w:pPr>
        <w:spacing w:after="0" w:line="240" w:lineRule="auto"/>
        <w:rPr>
          <w:rFonts w:ascii="Garamond" w:eastAsia="Garamond" w:hAnsi="Garamond" w:cs="Garamond"/>
          <w:bCs/>
          <w:i/>
        </w:rPr>
      </w:pPr>
      <w:r w:rsidRPr="00B26968">
        <w:rPr>
          <w:rFonts w:ascii="Garamond" w:eastAsia="Garamond" w:hAnsi="Garamond" w:cs="Garamond"/>
          <w:bCs/>
          <w:i/>
        </w:rPr>
        <w:t>4.1.6 Sensitivity Analysis</w:t>
      </w:r>
    </w:p>
    <w:p w:rsidR="00886CC7" w:rsidRDefault="00457177">
      <w:pPr>
        <w:spacing w:after="0" w:line="240" w:lineRule="auto"/>
        <w:rPr>
          <w:rFonts w:ascii="Garamond" w:eastAsia="Garamond" w:hAnsi="Garamond" w:cs="Garamond"/>
        </w:rPr>
      </w:pPr>
      <w:r>
        <w:rPr>
          <w:rFonts w:ascii="Garamond" w:eastAsia="Garamond" w:hAnsi="Garamond" w:cs="Garamond"/>
        </w:rPr>
        <w:t>The minimal forest case (the base case) we used for our analysis came from the 2017 classification and the maximum forest case we used came from the 2009 classification. These dates were selected as they had no known errors with terrain, a difference in forest percent area (1.2% change), and represent a time period (8 years) in which forest coverage would be expected to change. If the MODIS data was sensitive to changes in land cover, then changes in percent area forested and percent area non-forested would result in the greatest change in resulting annual ET. The results of our sensitivity analysis are shown in Appendix C. The first column indicates the value of overall annual ET (</w:t>
      </w:r>
      <w:proofErr w:type="spellStart"/>
      <w:r>
        <w:rPr>
          <w:rFonts w:ascii="Garamond" w:eastAsia="Garamond" w:hAnsi="Garamond" w:cs="Garamond"/>
        </w:rPr>
        <w:t>ETall</w:t>
      </w:r>
      <w:proofErr w:type="spellEnd"/>
      <w:r>
        <w:rPr>
          <w:rFonts w:ascii="Garamond" w:eastAsia="Garamond" w:hAnsi="Garamond" w:cs="Garamond"/>
        </w:rPr>
        <w:t xml:space="preserve">) when only the value of the variable in the row is changed from the 2017 base case to the 2009 maximum forest case. </w:t>
      </w:r>
      <w:r w:rsidR="00B23C63" w:rsidRPr="00B23C63">
        <w:rPr>
          <w:rFonts w:ascii="Garamond" w:eastAsia="Garamond" w:hAnsi="Garamond" w:cs="Garamond"/>
        </w:rPr>
        <w:t>Appendix C</w:t>
      </w:r>
      <w:r w:rsidRPr="00B23C63">
        <w:rPr>
          <w:rFonts w:ascii="Garamond" w:eastAsia="Garamond" w:hAnsi="Garamond" w:cs="Garamond"/>
        </w:rPr>
        <w:t xml:space="preserve"> also indicate</w:t>
      </w:r>
      <w:r w:rsidR="00653D47" w:rsidRPr="00B23C63">
        <w:rPr>
          <w:rFonts w:ascii="Garamond" w:eastAsia="Garamond" w:hAnsi="Garamond" w:cs="Garamond"/>
        </w:rPr>
        <w:t>s</w:t>
      </w:r>
      <w:r w:rsidRPr="00B23C63">
        <w:rPr>
          <w:rFonts w:ascii="Garamond" w:eastAsia="Garamond" w:hAnsi="Garamond" w:cs="Garamond"/>
        </w:rPr>
        <w:t xml:space="preserve"> the percent change in the variable value and percent change in overall annual ET (</w:t>
      </w:r>
      <w:proofErr w:type="spellStart"/>
      <w:r w:rsidRPr="00B23C63">
        <w:rPr>
          <w:rFonts w:ascii="Garamond" w:eastAsia="Garamond" w:hAnsi="Garamond" w:cs="Garamond"/>
        </w:rPr>
        <w:t>ETall</w:t>
      </w:r>
      <w:proofErr w:type="spellEnd"/>
      <w:r w:rsidRPr="00B23C63">
        <w:rPr>
          <w:rFonts w:ascii="Garamond" w:eastAsia="Garamond" w:hAnsi="Garamond" w:cs="Garamond"/>
        </w:rPr>
        <w:t>) from the 2017 base case to the 2009 maximum case.</w:t>
      </w:r>
      <w:r>
        <w:rPr>
          <w:rFonts w:ascii="Garamond" w:eastAsia="Garamond" w:hAnsi="Garamond" w:cs="Garamond"/>
        </w:rPr>
        <w:t xml:space="preserve"> Total net ET during the core dry and transition periods within forested pixels (</w:t>
      </w:r>
      <m:oMath>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df</m:t>
            </m:r>
          </m:sub>
        </m:sSub>
      </m:oMath>
      <w:r>
        <w:rPr>
          <w:rFonts w:ascii="Garamond" w:eastAsia="Garamond" w:hAnsi="Garamond" w:cs="Garamond"/>
        </w:rPr>
        <w:t xml:space="preserve"> and </w:t>
      </w:r>
      <m:oMath>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tf</m:t>
            </m:r>
          </m:sub>
        </m:sSub>
      </m:oMath>
      <w:r>
        <w:rPr>
          <w:rFonts w:ascii="Garamond" w:eastAsia="Garamond" w:hAnsi="Garamond" w:cs="Garamond"/>
        </w:rPr>
        <w:t>, respectively) had the greatest impact on annual ET (</w:t>
      </w:r>
      <w:proofErr w:type="spellStart"/>
      <w:r>
        <w:rPr>
          <w:rFonts w:ascii="Garamond" w:eastAsia="Garamond" w:hAnsi="Garamond" w:cs="Garamond"/>
        </w:rPr>
        <w:t>ETall</w:t>
      </w:r>
      <w:proofErr w:type="spellEnd"/>
      <w:r>
        <w:rPr>
          <w:rFonts w:ascii="Garamond" w:eastAsia="Garamond" w:hAnsi="Garamond" w:cs="Garamond"/>
        </w:rPr>
        <w:t xml:space="preserve">). An 8% decrease in </w:t>
      </w:r>
      <m:oMath>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df</m:t>
            </m:r>
          </m:sub>
        </m:sSub>
      </m:oMath>
      <w:r>
        <w:rPr>
          <w:rFonts w:ascii="Garamond" w:eastAsia="Garamond" w:hAnsi="Garamond" w:cs="Garamond"/>
        </w:rPr>
        <w:t xml:space="preserve"> resulted in a 3% increase in ETall and a 16% increase in </w:t>
      </w:r>
      <m:oMath>
        <m:sSub>
          <m:sSubPr>
            <m:ctrlPr>
              <w:rPr>
                <w:rFonts w:ascii="Garamond" w:eastAsia="Garamond" w:hAnsi="Garamond" w:cs="Garamond"/>
              </w:rPr>
            </m:ctrlPr>
          </m:sSubPr>
          <m:e>
            <m:r>
              <w:rPr>
                <w:rFonts w:ascii="Garamond" w:eastAsia="Garamond" w:hAnsi="Garamond" w:cs="Garamond"/>
              </w:rPr>
              <m:t>E</m:t>
            </m:r>
          </m:e>
          <m:sub>
            <m:r>
              <w:rPr>
                <w:rFonts w:ascii="Garamond" w:eastAsia="Garamond" w:hAnsi="Garamond" w:cs="Garamond"/>
              </w:rPr>
              <m:t>tf</m:t>
            </m:r>
          </m:sub>
        </m:sSub>
      </m:oMath>
      <w:r>
        <w:rPr>
          <w:rFonts w:ascii="Garamond" w:eastAsia="Garamond" w:hAnsi="Garamond" w:cs="Garamond"/>
        </w:rPr>
        <w:t xml:space="preserve"> resulted in a 5% increase in ETall (Appendix C). This indicates that the MODIS ET data is most sensitive to changes in the MODIS product values, not percent area forested or not-forested. This confirms that differences in ET observed in Figure 9 may not necessarily be linked to changes in land cover, as defined by classifications.</w:t>
      </w:r>
    </w:p>
    <w:p w:rsidR="00886CC7" w:rsidRDefault="00886CC7">
      <w:pPr>
        <w:pBdr>
          <w:top w:val="nil"/>
          <w:left w:val="nil"/>
          <w:bottom w:val="nil"/>
          <w:right w:val="nil"/>
          <w:between w:val="nil"/>
        </w:pBdr>
        <w:spacing w:after="0" w:line="240" w:lineRule="auto"/>
        <w:rPr>
          <w:rFonts w:ascii="Garamond" w:eastAsia="Garamond" w:hAnsi="Garamond" w:cs="Garamond"/>
          <w:b/>
          <w:i/>
          <w:color w:val="000000"/>
        </w:rPr>
      </w:pPr>
    </w:p>
    <w:p w:rsidR="00886CC7" w:rsidRDefault="00457177">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i/>
        </w:rPr>
        <w:t>4.2 Fu</w:t>
      </w:r>
      <w:r>
        <w:rPr>
          <w:rFonts w:ascii="Garamond" w:eastAsia="Garamond" w:hAnsi="Garamond" w:cs="Garamond"/>
          <w:b/>
          <w:i/>
          <w:color w:val="000000"/>
        </w:rPr>
        <w:t>ture Work</w:t>
      </w:r>
    </w:p>
    <w:p w:rsidR="00886CC7" w:rsidRDefault="00457177">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This project could be expanded upo</w:t>
      </w:r>
      <w:r w:rsidR="00653D47">
        <w:rPr>
          <w:rFonts w:ascii="Garamond" w:eastAsia="Garamond" w:hAnsi="Garamond" w:cs="Garamond"/>
        </w:rPr>
        <w:t>n</w:t>
      </w:r>
      <w:r>
        <w:rPr>
          <w:rFonts w:ascii="Garamond" w:eastAsia="Garamond" w:hAnsi="Garamond" w:cs="Garamond"/>
        </w:rPr>
        <w:t xml:space="preserve">. Land cover classifications could be refined in two ways. With the launch of Nisar in 2021, which will have both L-band and S-Band data, perhaps the more subtle differences between younger and older forest could be picked up. Additionally, land cover classifications could be refined by the addition of optical imagery into the classifier. The combination of L-Band SAR and Landsat optical imagery has been shown to improve land cover classifications and detect land cover change in tropical forests </w:t>
      </w:r>
      <w:r>
        <w:rPr>
          <w:rFonts w:ascii="Garamond" w:eastAsia="Garamond" w:hAnsi="Garamond" w:cs="Garamond"/>
        </w:rPr>
        <w:lastRenderedPageBreak/>
        <w:t xml:space="preserve">(De Alban 2018). With more time, optical imagery could be included as inputs into the classification to better detect change and refine the classification to more specific training data than just forested and non-forested areas. </w:t>
      </w:r>
    </w:p>
    <w:p w:rsidR="00886CC7" w:rsidRDefault="00886CC7">
      <w:pPr>
        <w:pBdr>
          <w:top w:val="nil"/>
          <w:left w:val="nil"/>
          <w:bottom w:val="nil"/>
          <w:right w:val="nil"/>
          <w:between w:val="nil"/>
        </w:pBdr>
        <w:spacing w:after="0" w:line="240" w:lineRule="auto"/>
        <w:rPr>
          <w:rFonts w:ascii="Garamond" w:eastAsia="Garamond" w:hAnsi="Garamond" w:cs="Garamond"/>
        </w:rPr>
      </w:pPr>
    </w:p>
    <w:p w:rsidR="00886CC7" w:rsidRDefault="00457177">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Because </w:t>
      </w:r>
      <w:r w:rsidR="00653D47">
        <w:rPr>
          <w:rFonts w:ascii="Garamond" w:eastAsia="Garamond" w:hAnsi="Garamond" w:cs="Garamond"/>
        </w:rPr>
        <w:t>the</w:t>
      </w:r>
      <w:r>
        <w:rPr>
          <w:rFonts w:ascii="Garamond" w:eastAsia="Garamond" w:hAnsi="Garamond" w:cs="Garamond"/>
        </w:rPr>
        <w:t xml:space="preserve"> study area was so small, there was not a lot variation in land cover. We had very few pixels that were non-forested compared to forested. With an expanded study area, our results would become more significant because there would be more data </w:t>
      </w:r>
      <w:r w:rsidR="00653D47">
        <w:rPr>
          <w:rFonts w:ascii="Garamond" w:eastAsia="Garamond" w:hAnsi="Garamond" w:cs="Garamond"/>
        </w:rPr>
        <w:t>for</w:t>
      </w:r>
      <w:r>
        <w:rPr>
          <w:rFonts w:ascii="Garamond" w:eastAsia="Garamond" w:hAnsi="Garamond" w:cs="Garamond"/>
        </w:rPr>
        <w:t xml:space="preserve"> non-forested areas. Expanding the study area would also allow for greater variations of training data, which may result in the addition of classes. For example, urban </w:t>
      </w:r>
      <w:r w:rsidR="00653D47">
        <w:rPr>
          <w:rFonts w:ascii="Garamond" w:eastAsia="Garamond" w:hAnsi="Garamond" w:cs="Garamond"/>
        </w:rPr>
        <w:t xml:space="preserve">and plantations </w:t>
      </w:r>
      <w:r>
        <w:rPr>
          <w:rFonts w:ascii="Garamond" w:eastAsia="Garamond" w:hAnsi="Garamond" w:cs="Garamond"/>
        </w:rPr>
        <w:t xml:space="preserve">would </w:t>
      </w:r>
      <w:r w:rsidR="00653D47">
        <w:rPr>
          <w:rFonts w:ascii="Garamond" w:eastAsia="Garamond" w:hAnsi="Garamond" w:cs="Garamond"/>
        </w:rPr>
        <w:t xml:space="preserve">likely </w:t>
      </w:r>
      <w:r>
        <w:rPr>
          <w:rFonts w:ascii="Garamond" w:eastAsia="Garamond" w:hAnsi="Garamond" w:cs="Garamond"/>
        </w:rPr>
        <w:t>be added</w:t>
      </w:r>
      <w:r w:rsidR="00653D47">
        <w:rPr>
          <w:rFonts w:ascii="Garamond" w:eastAsia="Garamond" w:hAnsi="Garamond" w:cs="Garamond"/>
        </w:rPr>
        <w:t xml:space="preserve"> as</w:t>
      </w:r>
      <w:r>
        <w:rPr>
          <w:rFonts w:ascii="Garamond" w:eastAsia="Garamond" w:hAnsi="Garamond" w:cs="Garamond"/>
        </w:rPr>
        <w:t xml:space="preserve"> class</w:t>
      </w:r>
      <w:r w:rsidR="00653D47">
        <w:rPr>
          <w:rFonts w:ascii="Garamond" w:eastAsia="Garamond" w:hAnsi="Garamond" w:cs="Garamond"/>
        </w:rPr>
        <w:t>es.</w:t>
      </w:r>
      <w:r>
        <w:rPr>
          <w:rFonts w:ascii="Garamond" w:eastAsia="Garamond" w:hAnsi="Garamond" w:cs="Garamond"/>
        </w:rPr>
        <w:t xml:space="preserve"> This would also be beneficial to inform how land cover affects ET in a larger area in the Panama Canal Region than just </w:t>
      </w:r>
      <w:r w:rsidR="00653D47">
        <w:rPr>
          <w:rFonts w:ascii="Garamond" w:eastAsia="Garamond" w:hAnsi="Garamond" w:cs="Garamond"/>
        </w:rPr>
        <w:t>ASP</w:t>
      </w:r>
      <w:r>
        <w:rPr>
          <w:rFonts w:ascii="Garamond" w:eastAsia="Garamond" w:hAnsi="Garamond" w:cs="Garamond"/>
        </w:rPr>
        <w:t xml:space="preserve"> and BCI.</w:t>
      </w:r>
    </w:p>
    <w:p w:rsidR="00886CC7" w:rsidRDefault="00886CC7">
      <w:pPr>
        <w:pBdr>
          <w:top w:val="nil"/>
          <w:left w:val="nil"/>
          <w:bottom w:val="nil"/>
          <w:right w:val="nil"/>
          <w:between w:val="nil"/>
        </w:pBdr>
        <w:spacing w:after="0" w:line="240" w:lineRule="auto"/>
        <w:rPr>
          <w:rFonts w:ascii="Garamond" w:eastAsia="Garamond" w:hAnsi="Garamond" w:cs="Garamond"/>
        </w:rPr>
      </w:pPr>
    </w:p>
    <w:p w:rsidR="00886CC7" w:rsidRDefault="00457177">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This project could also be expanded with the replacement of MODIS with E</w:t>
      </w:r>
      <w:r w:rsidR="00B26968">
        <w:rPr>
          <w:rFonts w:ascii="Garamond" w:eastAsia="Garamond" w:hAnsi="Garamond" w:cs="Garamond"/>
        </w:rPr>
        <w:t>COSTRESS</w:t>
      </w:r>
      <w:r>
        <w:rPr>
          <w:rFonts w:ascii="Garamond" w:eastAsia="Garamond" w:hAnsi="Garamond" w:cs="Garamond"/>
        </w:rPr>
        <w:t xml:space="preserve">. </w:t>
      </w:r>
      <w:r w:rsidR="00B26968">
        <w:rPr>
          <w:rFonts w:ascii="Garamond" w:eastAsia="Garamond" w:hAnsi="Garamond" w:cs="Garamond"/>
        </w:rPr>
        <w:t>ECOSTRESS</w:t>
      </w:r>
      <w:r>
        <w:rPr>
          <w:rFonts w:ascii="Garamond" w:eastAsia="Garamond" w:hAnsi="Garamond" w:cs="Garamond"/>
        </w:rPr>
        <w:t xml:space="preserve"> is a NASA sensor on the ISS that measures ET at a finer spatial resolution than MODIS. However, </w:t>
      </w:r>
      <w:r w:rsidR="00B26968">
        <w:rPr>
          <w:rFonts w:ascii="Garamond" w:eastAsia="Garamond" w:hAnsi="Garamond" w:cs="Garamond"/>
        </w:rPr>
        <w:t>ECOSTRESS</w:t>
      </w:r>
      <w:r>
        <w:rPr>
          <w:rFonts w:ascii="Garamond" w:eastAsia="Garamond" w:hAnsi="Garamond" w:cs="Garamond"/>
        </w:rPr>
        <w:t xml:space="preserve"> is relatively new, and only one image was available over our study area. As more data becomes available, </w:t>
      </w:r>
      <w:r w:rsidR="00B26968">
        <w:rPr>
          <w:rFonts w:ascii="Garamond" w:eastAsia="Garamond" w:hAnsi="Garamond" w:cs="Garamond"/>
        </w:rPr>
        <w:t>ECOSTRESS</w:t>
      </w:r>
      <w:r>
        <w:rPr>
          <w:rFonts w:ascii="Garamond" w:eastAsia="Garamond" w:hAnsi="Garamond" w:cs="Garamond"/>
        </w:rPr>
        <w:t xml:space="preserve"> is a great option </w:t>
      </w:r>
      <w:r w:rsidR="00192FC7">
        <w:rPr>
          <w:rFonts w:ascii="Garamond" w:eastAsia="Garamond" w:hAnsi="Garamond" w:cs="Garamond"/>
        </w:rPr>
        <w:t>for</w:t>
      </w:r>
      <w:r>
        <w:rPr>
          <w:rFonts w:ascii="Garamond" w:eastAsia="Garamond" w:hAnsi="Garamond" w:cs="Garamond"/>
        </w:rPr>
        <w:t xml:space="preserve"> refining the ET dataset. For data outside of the temporal availability of </w:t>
      </w:r>
      <w:r w:rsidR="00B26968">
        <w:rPr>
          <w:rFonts w:ascii="Garamond" w:eastAsia="Garamond" w:hAnsi="Garamond" w:cs="Garamond"/>
        </w:rPr>
        <w:t>ECOSTRESS</w:t>
      </w:r>
      <w:r>
        <w:rPr>
          <w:rFonts w:ascii="Garamond" w:eastAsia="Garamond" w:hAnsi="Garamond" w:cs="Garamond"/>
        </w:rPr>
        <w:t xml:space="preserve">, MODIS data could be downscaled. </w:t>
      </w:r>
      <w:r w:rsidR="00192FC7">
        <w:rPr>
          <w:rFonts w:ascii="Garamond" w:eastAsia="Garamond" w:hAnsi="Garamond" w:cs="Garamond"/>
        </w:rPr>
        <w:t>With</w:t>
      </w:r>
      <w:r>
        <w:rPr>
          <w:rFonts w:ascii="Garamond" w:eastAsia="Garamond" w:hAnsi="Garamond" w:cs="Garamond"/>
        </w:rPr>
        <w:t xml:space="preserve"> more time, </w:t>
      </w:r>
      <w:r w:rsidR="00192FC7">
        <w:rPr>
          <w:rFonts w:ascii="Garamond" w:eastAsia="Garamond" w:hAnsi="Garamond" w:cs="Garamond"/>
        </w:rPr>
        <w:t>the team</w:t>
      </w:r>
      <w:r>
        <w:rPr>
          <w:rFonts w:ascii="Garamond" w:eastAsia="Garamond" w:hAnsi="Garamond" w:cs="Garamond"/>
        </w:rPr>
        <w:t xml:space="preserve"> would have developed methods to downscale the MODIS data. </w:t>
      </w:r>
      <w:r w:rsidR="00192FC7">
        <w:rPr>
          <w:rFonts w:ascii="Garamond" w:eastAsia="Garamond" w:hAnsi="Garamond" w:cs="Garamond"/>
        </w:rPr>
        <w:t>Overall, the team would have liked to</w:t>
      </w:r>
      <w:r>
        <w:rPr>
          <w:rFonts w:ascii="Garamond" w:eastAsia="Garamond" w:hAnsi="Garamond" w:cs="Garamond"/>
        </w:rPr>
        <w:t xml:space="preserve"> work on downscaling MODIS data and </w:t>
      </w:r>
      <w:r w:rsidR="00192FC7">
        <w:rPr>
          <w:rFonts w:ascii="Garamond" w:eastAsia="Garamond" w:hAnsi="Garamond" w:cs="Garamond"/>
        </w:rPr>
        <w:t xml:space="preserve">to </w:t>
      </w:r>
      <w:r>
        <w:rPr>
          <w:rFonts w:ascii="Garamond" w:eastAsia="Garamond" w:hAnsi="Garamond" w:cs="Garamond"/>
        </w:rPr>
        <w:t>includ</w:t>
      </w:r>
      <w:r w:rsidR="00192FC7">
        <w:rPr>
          <w:rFonts w:ascii="Garamond" w:eastAsia="Garamond" w:hAnsi="Garamond" w:cs="Garamond"/>
        </w:rPr>
        <w:t>e</w:t>
      </w:r>
      <w:r>
        <w:rPr>
          <w:rFonts w:ascii="Garamond" w:eastAsia="Garamond" w:hAnsi="Garamond" w:cs="Garamond"/>
        </w:rPr>
        <w:t xml:space="preserve"> optical imagery into land cover classifications</w:t>
      </w:r>
      <w:r w:rsidR="00192FC7">
        <w:rPr>
          <w:rFonts w:ascii="Garamond" w:eastAsia="Garamond" w:hAnsi="Garamond" w:cs="Garamond"/>
        </w:rPr>
        <w:t xml:space="preserve">. These measures would have allowed to the team </w:t>
      </w:r>
      <w:r>
        <w:rPr>
          <w:rFonts w:ascii="Garamond" w:eastAsia="Garamond" w:hAnsi="Garamond" w:cs="Garamond"/>
        </w:rPr>
        <w:t xml:space="preserve">to </w:t>
      </w:r>
      <w:r w:rsidR="00192FC7">
        <w:rPr>
          <w:rFonts w:ascii="Garamond" w:eastAsia="Garamond" w:hAnsi="Garamond" w:cs="Garamond"/>
        </w:rPr>
        <w:t>produce</w:t>
      </w:r>
      <w:r w:rsidR="00866F4C">
        <w:rPr>
          <w:rFonts w:ascii="Garamond" w:eastAsia="Garamond" w:hAnsi="Garamond" w:cs="Garamond"/>
        </w:rPr>
        <w:t xml:space="preserve"> more</w:t>
      </w:r>
      <w:r>
        <w:rPr>
          <w:rFonts w:ascii="Garamond" w:eastAsia="Garamond" w:hAnsi="Garamond" w:cs="Garamond"/>
        </w:rPr>
        <w:t xml:space="preserve"> refined land cover maps </w:t>
      </w:r>
      <w:r w:rsidR="00866F4C">
        <w:rPr>
          <w:rFonts w:ascii="Garamond" w:eastAsia="Garamond" w:hAnsi="Garamond" w:cs="Garamond"/>
        </w:rPr>
        <w:t>and further identify the</w:t>
      </w:r>
      <w:r>
        <w:rPr>
          <w:rFonts w:ascii="Garamond" w:eastAsia="Garamond" w:hAnsi="Garamond" w:cs="Garamond"/>
        </w:rPr>
        <w:t xml:space="preserve"> relationship between land cover and ET.</w:t>
      </w:r>
    </w:p>
    <w:p w:rsidR="00886CC7" w:rsidRDefault="00886CC7">
      <w:pPr>
        <w:pStyle w:val="Heading1"/>
        <w:spacing w:before="0" w:line="240" w:lineRule="auto"/>
        <w:rPr>
          <w:rFonts w:ascii="Garamond" w:eastAsia="Garamond" w:hAnsi="Garamond" w:cs="Garamond"/>
          <w:sz w:val="22"/>
          <w:szCs w:val="22"/>
        </w:rPr>
      </w:pPr>
      <w:bookmarkStart w:id="7" w:name="_heading=h.3dy6vkm" w:colFirst="0" w:colLast="0"/>
      <w:bookmarkEnd w:id="7"/>
    </w:p>
    <w:p w:rsidR="00886CC7" w:rsidRDefault="00457177">
      <w:pPr>
        <w:pStyle w:val="Heading1"/>
        <w:spacing w:before="0" w:line="240" w:lineRule="auto"/>
      </w:pPr>
      <w:r>
        <w:rPr>
          <w:rFonts w:ascii="Garamond" w:eastAsia="Garamond" w:hAnsi="Garamond" w:cs="Garamond"/>
        </w:rPr>
        <w:t xml:space="preserve">5. Conclusions </w:t>
      </w:r>
    </w:p>
    <w:p w:rsidR="00886CC7" w:rsidRDefault="00457177">
      <w:pPr>
        <w:spacing w:line="240" w:lineRule="auto"/>
        <w:rPr>
          <w:rFonts w:ascii="Garamond" w:eastAsia="Garamond" w:hAnsi="Garamond" w:cs="Garamond"/>
        </w:rPr>
      </w:pPr>
      <w:r>
        <w:rPr>
          <w:rFonts w:ascii="Garamond" w:eastAsia="Garamond" w:hAnsi="Garamond" w:cs="Garamond"/>
        </w:rPr>
        <w:t xml:space="preserve">After using both L-Band and C-Band SAR imagery to create land cover classifications, </w:t>
      </w:r>
      <w:r w:rsidR="00866F4C">
        <w:rPr>
          <w:rFonts w:ascii="Garamond" w:eastAsia="Garamond" w:hAnsi="Garamond" w:cs="Garamond"/>
        </w:rPr>
        <w:t>the team</w:t>
      </w:r>
      <w:r>
        <w:rPr>
          <w:rFonts w:ascii="Garamond" w:eastAsia="Garamond" w:hAnsi="Garamond" w:cs="Garamond"/>
        </w:rPr>
        <w:t xml:space="preserve"> </w:t>
      </w:r>
      <w:r w:rsidR="00866F4C">
        <w:rPr>
          <w:rFonts w:ascii="Garamond" w:eastAsia="Garamond" w:hAnsi="Garamond" w:cs="Garamond"/>
        </w:rPr>
        <w:t>determined</w:t>
      </w:r>
      <w:r>
        <w:rPr>
          <w:rFonts w:ascii="Garamond" w:eastAsia="Garamond" w:hAnsi="Garamond" w:cs="Garamond"/>
        </w:rPr>
        <w:t xml:space="preserve"> that L-Band is better at identifying distinctions in tropical tree canopy. This is because L-Band can penetrate deeper within the canopy than C-Band can. Out of our three sensors, ALOS </w:t>
      </w:r>
      <w:r w:rsidR="00866F4C">
        <w:rPr>
          <w:rFonts w:ascii="Garamond" w:eastAsia="Garamond" w:hAnsi="Garamond" w:cs="Garamond"/>
        </w:rPr>
        <w:t xml:space="preserve">PALSAR </w:t>
      </w:r>
      <w:r>
        <w:rPr>
          <w:rFonts w:ascii="Garamond" w:eastAsia="Garamond" w:hAnsi="Garamond" w:cs="Garamond"/>
        </w:rPr>
        <w:t xml:space="preserve">created the most accurate land cover classification. UAVSAR has a finer spatial resolution, </w:t>
      </w:r>
      <w:r w:rsidR="00866F4C">
        <w:rPr>
          <w:rFonts w:ascii="Garamond" w:eastAsia="Garamond" w:hAnsi="Garamond" w:cs="Garamond"/>
        </w:rPr>
        <w:t>but</w:t>
      </w:r>
      <w:r>
        <w:rPr>
          <w:rFonts w:ascii="Garamond" w:eastAsia="Garamond" w:hAnsi="Garamond" w:cs="Garamond"/>
        </w:rPr>
        <w:t xml:space="preserve"> errors due to incidence angle and terrain</w:t>
      </w:r>
      <w:r w:rsidR="00866F4C">
        <w:rPr>
          <w:rFonts w:ascii="Garamond" w:eastAsia="Garamond" w:hAnsi="Garamond" w:cs="Garamond"/>
        </w:rPr>
        <w:t xml:space="preserve"> reduced accuracy</w:t>
      </w:r>
      <w:r>
        <w:rPr>
          <w:rFonts w:ascii="Garamond" w:eastAsia="Garamond" w:hAnsi="Garamond" w:cs="Garamond"/>
        </w:rPr>
        <w:t>,</w:t>
      </w:r>
      <w:r w:rsidR="00866F4C">
        <w:rPr>
          <w:rFonts w:ascii="Garamond" w:eastAsia="Garamond" w:hAnsi="Garamond" w:cs="Garamond"/>
        </w:rPr>
        <w:t xml:space="preserve"> meaning</w:t>
      </w:r>
      <w:r>
        <w:rPr>
          <w:rFonts w:ascii="Garamond" w:eastAsia="Garamond" w:hAnsi="Garamond" w:cs="Garamond"/>
        </w:rPr>
        <w:t xml:space="preserve"> </w:t>
      </w:r>
      <w:r w:rsidR="00191B47">
        <w:rPr>
          <w:rFonts w:ascii="Garamond" w:eastAsia="Garamond" w:hAnsi="Garamond" w:cs="Garamond"/>
        </w:rPr>
        <w:t>ALOS PALSAR</w:t>
      </w:r>
      <w:r>
        <w:rPr>
          <w:rFonts w:ascii="Garamond" w:eastAsia="Garamond" w:hAnsi="Garamond" w:cs="Garamond"/>
        </w:rPr>
        <w:t xml:space="preserve"> still created the best results. </w:t>
      </w:r>
    </w:p>
    <w:p w:rsidR="00886CC7" w:rsidRDefault="00457177">
      <w:pPr>
        <w:spacing w:line="240" w:lineRule="auto"/>
        <w:rPr>
          <w:rFonts w:ascii="Garamond" w:eastAsia="Garamond" w:hAnsi="Garamond" w:cs="Garamond"/>
        </w:rPr>
      </w:pPr>
      <w:r>
        <w:rPr>
          <w:rFonts w:ascii="Garamond" w:eastAsia="Garamond" w:hAnsi="Garamond" w:cs="Garamond"/>
        </w:rPr>
        <w:t xml:space="preserve">In examining the relationship between backscatter value and secondary forest age, </w:t>
      </w:r>
      <w:r w:rsidR="00866F4C">
        <w:rPr>
          <w:rFonts w:ascii="Garamond" w:eastAsia="Garamond" w:hAnsi="Garamond" w:cs="Garamond"/>
        </w:rPr>
        <w:t>the team</w:t>
      </w:r>
      <w:r>
        <w:rPr>
          <w:rFonts w:ascii="Garamond" w:eastAsia="Garamond" w:hAnsi="Garamond" w:cs="Garamond"/>
        </w:rPr>
        <w:t xml:space="preserve"> discover that the two are not correlated when using ALOS PALSAR data. Finer spatial resolution and deeper penetration could potentially allow for the classifying of forest age based on backscatter value.</w:t>
      </w:r>
    </w:p>
    <w:p w:rsidR="00886CC7" w:rsidRDefault="00457177">
      <w:pPr>
        <w:spacing w:line="240" w:lineRule="auto"/>
        <w:rPr>
          <w:rFonts w:ascii="Garamond" w:eastAsia="Garamond" w:hAnsi="Garamond" w:cs="Garamond"/>
        </w:rPr>
      </w:pPr>
      <w:r>
        <w:rPr>
          <w:rFonts w:ascii="Garamond" w:eastAsia="Garamond" w:hAnsi="Garamond" w:cs="Garamond"/>
        </w:rPr>
        <w:t xml:space="preserve">MODIS data was correlated with the </w:t>
      </w:r>
      <w:proofErr w:type="gramStart"/>
      <w:r>
        <w:rPr>
          <w:rFonts w:ascii="Garamond" w:eastAsia="Garamond" w:hAnsi="Garamond" w:cs="Garamond"/>
          <w:i/>
        </w:rPr>
        <w:t>in situ</w:t>
      </w:r>
      <w:proofErr w:type="gramEnd"/>
      <w:r>
        <w:rPr>
          <w:rFonts w:ascii="Garamond" w:eastAsia="Garamond" w:hAnsi="Garamond" w:cs="Garamond"/>
          <w:i/>
        </w:rPr>
        <w:t xml:space="preserve"> </w:t>
      </w:r>
      <w:r>
        <w:rPr>
          <w:rFonts w:ascii="Garamond" w:eastAsia="Garamond" w:hAnsi="Garamond" w:cs="Garamond"/>
        </w:rPr>
        <w:t xml:space="preserve">measurements we received from STRI. The seasonal pattern of higher ET in the wet season and lower ET in the dry season was observed in both the </w:t>
      </w:r>
      <w:r>
        <w:rPr>
          <w:rFonts w:ascii="Garamond" w:eastAsia="Garamond" w:hAnsi="Garamond" w:cs="Garamond"/>
          <w:i/>
        </w:rPr>
        <w:t xml:space="preserve">in situ </w:t>
      </w:r>
      <w:r>
        <w:rPr>
          <w:rFonts w:ascii="Garamond" w:eastAsia="Garamond" w:hAnsi="Garamond" w:cs="Garamond"/>
        </w:rPr>
        <w:t>and MODIS data</w:t>
      </w:r>
      <w:r w:rsidR="00866F4C">
        <w:rPr>
          <w:rFonts w:ascii="Garamond" w:eastAsia="Garamond" w:hAnsi="Garamond" w:cs="Garamond"/>
        </w:rPr>
        <w:t>,</w:t>
      </w:r>
      <w:r>
        <w:rPr>
          <w:rFonts w:ascii="Garamond" w:eastAsia="Garamond" w:hAnsi="Garamond" w:cs="Garamond"/>
        </w:rPr>
        <w:t xml:space="preserve"> and </w:t>
      </w:r>
      <w:r w:rsidR="00866F4C">
        <w:rPr>
          <w:rFonts w:ascii="Garamond" w:eastAsia="Garamond" w:hAnsi="Garamond" w:cs="Garamond"/>
        </w:rPr>
        <w:t xml:space="preserve">statistical analysis revealed that </w:t>
      </w:r>
      <w:r>
        <w:rPr>
          <w:rFonts w:ascii="Garamond" w:eastAsia="Garamond" w:hAnsi="Garamond" w:cs="Garamond"/>
        </w:rPr>
        <w:t xml:space="preserve">the two data sets are correlated. However, in our smaller study area, ET values were more sensitive to changes in values of the MODIS data rather than changes in land cover. </w:t>
      </w:r>
    </w:p>
    <w:p w:rsidR="00886CC7" w:rsidRDefault="00457177">
      <w:pPr>
        <w:spacing w:line="240" w:lineRule="auto"/>
        <w:rPr>
          <w:rFonts w:ascii="Garamond" w:eastAsia="Garamond" w:hAnsi="Garamond" w:cs="Garamond"/>
        </w:rPr>
      </w:pPr>
      <w:r>
        <w:rPr>
          <w:rFonts w:ascii="Garamond" w:eastAsia="Garamond" w:hAnsi="Garamond" w:cs="Garamond"/>
        </w:rPr>
        <w:t xml:space="preserve">With new sensors set to improve the data quality in the coming years, this study was successful in laying the groundwork for a larger study of the effect of land cover on ET. With a larger, more heterogeneous study area, finer resolution ET data, and additional imagery to complement SAR in the land cover classification, this methodology could be successfully applied moving forward. </w:t>
      </w:r>
    </w:p>
    <w:p w:rsidR="00886CC7" w:rsidRDefault="00457177">
      <w:pPr>
        <w:pStyle w:val="Heading1"/>
        <w:spacing w:before="0" w:line="240" w:lineRule="auto"/>
        <w:rPr>
          <w:rFonts w:ascii="Garamond" w:eastAsia="Garamond" w:hAnsi="Garamond" w:cs="Garamond"/>
        </w:rPr>
      </w:pPr>
      <w:r>
        <w:rPr>
          <w:rFonts w:ascii="Garamond" w:eastAsia="Garamond" w:hAnsi="Garamond" w:cs="Garamond"/>
        </w:rPr>
        <w:t>6. Acknowledgments</w:t>
      </w:r>
    </w:p>
    <w:p w:rsidR="00886CC7" w:rsidRDefault="00457177">
      <w:pPr>
        <w:numPr>
          <w:ilvl w:val="0"/>
          <w:numId w:val="1"/>
        </w:numPr>
        <w:spacing w:after="0" w:line="240" w:lineRule="auto"/>
        <w:rPr>
          <w:rFonts w:ascii="Garamond" w:eastAsia="Garamond" w:hAnsi="Garamond" w:cs="Garamond"/>
        </w:rPr>
      </w:pPr>
      <w:r>
        <w:rPr>
          <w:rFonts w:ascii="Garamond" w:eastAsia="Garamond" w:hAnsi="Garamond" w:cs="Garamond"/>
        </w:rPr>
        <w:t>Science Advisors: Dr. Erika Podest</w:t>
      </w:r>
      <w:r w:rsidR="00FA6130">
        <w:rPr>
          <w:rFonts w:ascii="Garamond" w:eastAsia="Garamond" w:hAnsi="Garamond" w:cs="Garamond"/>
        </w:rPr>
        <w:t xml:space="preserve"> (NASA Jet Propulsion Laboratory, California Institute of Technology)</w:t>
      </w:r>
      <w:r>
        <w:rPr>
          <w:rFonts w:ascii="Garamond" w:eastAsia="Garamond" w:hAnsi="Garamond" w:cs="Garamond"/>
        </w:rPr>
        <w:t xml:space="preserve"> and Dr. Kyle McDonald</w:t>
      </w:r>
      <w:r w:rsidR="00FA6130">
        <w:rPr>
          <w:rFonts w:ascii="Garamond" w:eastAsia="Garamond" w:hAnsi="Garamond" w:cs="Garamond"/>
        </w:rPr>
        <w:t xml:space="preserve"> (City College of New York, NASA Jet Propulsion Laboratory. California Institute of Technology)</w:t>
      </w:r>
      <w:r>
        <w:rPr>
          <w:rFonts w:ascii="Garamond" w:eastAsia="Garamond" w:hAnsi="Garamond" w:cs="Garamond"/>
        </w:rPr>
        <w:t xml:space="preserve"> </w:t>
      </w:r>
    </w:p>
    <w:p w:rsidR="00886CC7" w:rsidRDefault="00457177">
      <w:pPr>
        <w:numPr>
          <w:ilvl w:val="0"/>
          <w:numId w:val="1"/>
        </w:numPr>
        <w:spacing w:after="0" w:line="240" w:lineRule="auto"/>
        <w:rPr>
          <w:rFonts w:ascii="Garamond" w:eastAsia="Garamond" w:hAnsi="Garamond" w:cs="Garamond"/>
        </w:rPr>
      </w:pPr>
      <w:r>
        <w:rPr>
          <w:rFonts w:ascii="Garamond" w:eastAsia="Garamond" w:hAnsi="Garamond" w:cs="Garamond"/>
        </w:rPr>
        <w:t>Partners at the Smithsonian Tropical Research Institute: Dr. Robert Stallard</w:t>
      </w:r>
      <w:r w:rsidR="00FA6130">
        <w:rPr>
          <w:rFonts w:ascii="Garamond" w:eastAsia="Garamond" w:hAnsi="Garamond" w:cs="Garamond"/>
        </w:rPr>
        <w:t xml:space="preserve"> (Smithsonian Tropical Research Institute)</w:t>
      </w:r>
      <w:r>
        <w:rPr>
          <w:rFonts w:ascii="Garamond" w:eastAsia="Garamond" w:hAnsi="Garamond" w:cs="Garamond"/>
        </w:rPr>
        <w:t>, Dr. Jefferson Hall</w:t>
      </w:r>
      <w:r w:rsidR="00FA6130">
        <w:rPr>
          <w:rFonts w:ascii="Garamond" w:eastAsia="Garamond" w:hAnsi="Garamond" w:cs="Garamond"/>
        </w:rPr>
        <w:t xml:space="preserve"> (Smithsonian Tropical Research Institute)</w:t>
      </w:r>
      <w:r>
        <w:rPr>
          <w:rFonts w:ascii="Garamond" w:eastAsia="Garamond" w:hAnsi="Garamond" w:cs="Garamond"/>
        </w:rPr>
        <w:t>, Dr. Helene Muller-Landau</w:t>
      </w:r>
      <w:r w:rsidR="00FA6130">
        <w:rPr>
          <w:rFonts w:ascii="Garamond" w:eastAsia="Garamond" w:hAnsi="Garamond" w:cs="Garamond"/>
        </w:rPr>
        <w:t xml:space="preserve"> (Smithsonian Tropical Research Institute)</w:t>
      </w:r>
      <w:r>
        <w:rPr>
          <w:rFonts w:ascii="Garamond" w:eastAsia="Garamond" w:hAnsi="Garamond" w:cs="Garamond"/>
        </w:rPr>
        <w:t>, and Milton Solano</w:t>
      </w:r>
      <w:r w:rsidR="00FA6130">
        <w:rPr>
          <w:rFonts w:ascii="Garamond" w:eastAsia="Garamond" w:hAnsi="Garamond" w:cs="Garamond"/>
        </w:rPr>
        <w:t xml:space="preserve"> (Smithsonian Tropical Research Institute)</w:t>
      </w:r>
    </w:p>
    <w:p w:rsidR="00886CC7" w:rsidRPr="007C18F8" w:rsidRDefault="00457177">
      <w:pPr>
        <w:numPr>
          <w:ilvl w:val="0"/>
          <w:numId w:val="1"/>
        </w:numPr>
        <w:spacing w:after="0" w:line="240" w:lineRule="auto"/>
        <w:rPr>
          <w:rFonts w:ascii="Garamond" w:eastAsia="Garamond" w:hAnsi="Garamond" w:cs="Garamond"/>
          <w:lang w:val="es-PA"/>
        </w:rPr>
      </w:pPr>
      <w:r w:rsidRPr="007C18F8">
        <w:rPr>
          <w:rFonts w:ascii="Garamond" w:eastAsia="Garamond" w:hAnsi="Garamond" w:cs="Garamond"/>
          <w:lang w:val="es-PA"/>
        </w:rPr>
        <w:t>Partners at el Ministerio de Ambiente de Panamá: Francisco Abre</w:t>
      </w:r>
      <w:r w:rsidR="00FA6130">
        <w:rPr>
          <w:rFonts w:ascii="Garamond" w:eastAsia="Garamond" w:hAnsi="Garamond" w:cs="Garamond"/>
          <w:lang w:val="es-PA"/>
        </w:rPr>
        <w:t xml:space="preserve"> (MiAmbiente)</w:t>
      </w:r>
      <w:r w:rsidRPr="007C18F8">
        <w:rPr>
          <w:rFonts w:ascii="Garamond" w:eastAsia="Garamond" w:hAnsi="Garamond" w:cs="Garamond"/>
          <w:lang w:val="es-PA"/>
        </w:rPr>
        <w:t>, Victor Gomez</w:t>
      </w:r>
      <w:r w:rsidR="00FA6130">
        <w:rPr>
          <w:rFonts w:ascii="Garamond" w:eastAsia="Garamond" w:hAnsi="Garamond" w:cs="Garamond"/>
          <w:lang w:val="es-PA"/>
        </w:rPr>
        <w:t>(MiAmbiente)</w:t>
      </w:r>
      <w:r w:rsidRPr="007C18F8">
        <w:rPr>
          <w:rFonts w:ascii="Garamond" w:eastAsia="Garamond" w:hAnsi="Garamond" w:cs="Garamond"/>
          <w:lang w:val="es-PA"/>
        </w:rPr>
        <w:t>, Roney Samaniego</w:t>
      </w:r>
      <w:r w:rsidR="00FA6130">
        <w:rPr>
          <w:rFonts w:ascii="Garamond" w:eastAsia="Garamond" w:hAnsi="Garamond" w:cs="Garamond"/>
          <w:lang w:val="es-PA"/>
        </w:rPr>
        <w:t xml:space="preserve"> (MiAmbiente)</w:t>
      </w:r>
    </w:p>
    <w:p w:rsidR="00886CC7" w:rsidRDefault="00457177">
      <w:pPr>
        <w:numPr>
          <w:ilvl w:val="0"/>
          <w:numId w:val="1"/>
        </w:numPr>
        <w:spacing w:after="0" w:line="240" w:lineRule="auto"/>
        <w:rPr>
          <w:rFonts w:ascii="Garamond" w:eastAsia="Garamond" w:hAnsi="Garamond" w:cs="Garamond"/>
        </w:rPr>
      </w:pPr>
      <w:r>
        <w:rPr>
          <w:rFonts w:ascii="Garamond" w:eastAsia="Garamond" w:hAnsi="Garamond" w:cs="Garamond"/>
        </w:rPr>
        <w:lastRenderedPageBreak/>
        <w:t>SICA &amp; NASA Coordination: Sean McCartney (NASA Goddard Space Flight Center)</w:t>
      </w:r>
    </w:p>
    <w:p w:rsidR="00886CC7" w:rsidRDefault="00457177">
      <w:pPr>
        <w:numPr>
          <w:ilvl w:val="0"/>
          <w:numId w:val="1"/>
        </w:numPr>
        <w:spacing w:after="0" w:line="240" w:lineRule="auto"/>
        <w:rPr>
          <w:rFonts w:ascii="Garamond" w:eastAsia="Garamond" w:hAnsi="Garamond" w:cs="Garamond"/>
        </w:rPr>
      </w:pPr>
      <w:r>
        <w:rPr>
          <w:rFonts w:ascii="Garamond" w:eastAsia="Garamond" w:hAnsi="Garamond" w:cs="Garamond"/>
        </w:rPr>
        <w:t>JPL Node Support: Cecil Byles, Ben</w:t>
      </w:r>
      <w:r w:rsidR="00FA6130">
        <w:rPr>
          <w:rFonts w:ascii="Garamond" w:eastAsia="Garamond" w:hAnsi="Garamond" w:cs="Garamond"/>
        </w:rPr>
        <w:t>jamin</w:t>
      </w:r>
      <w:r>
        <w:rPr>
          <w:rFonts w:ascii="Garamond" w:eastAsia="Garamond" w:hAnsi="Garamond" w:cs="Garamond"/>
        </w:rPr>
        <w:t xml:space="preserve"> Hol</w:t>
      </w:r>
      <w:r w:rsidR="00FA6130">
        <w:rPr>
          <w:rFonts w:ascii="Garamond" w:eastAsia="Garamond" w:hAnsi="Garamond" w:cs="Garamond"/>
        </w:rPr>
        <w:t>t (NASA Jet Propulsion Laboratory, California Institute of Technology)</w:t>
      </w:r>
      <w:r>
        <w:rPr>
          <w:rFonts w:ascii="Garamond" w:eastAsia="Garamond" w:hAnsi="Garamond" w:cs="Garamond"/>
        </w:rPr>
        <w:t>, Adam Vaccaro</w:t>
      </w:r>
      <w:r w:rsidR="00FA6130">
        <w:rPr>
          <w:rFonts w:ascii="Garamond" w:eastAsia="Garamond" w:hAnsi="Garamond" w:cs="Garamond"/>
        </w:rPr>
        <w:t xml:space="preserve"> (NASA Jet Propulsion Laboratory, California Institute of Technology)</w:t>
      </w:r>
      <w:r>
        <w:rPr>
          <w:rFonts w:ascii="Garamond" w:eastAsia="Garamond" w:hAnsi="Garamond" w:cs="Garamond"/>
        </w:rPr>
        <w:t xml:space="preserve">, and Jessica </w:t>
      </w:r>
      <w:proofErr w:type="spellStart"/>
      <w:r>
        <w:rPr>
          <w:rFonts w:ascii="Garamond" w:eastAsia="Garamond" w:hAnsi="Garamond" w:cs="Garamond"/>
        </w:rPr>
        <w:t>Fayne</w:t>
      </w:r>
      <w:proofErr w:type="spellEnd"/>
      <w:r w:rsidR="00FA6130">
        <w:rPr>
          <w:rFonts w:ascii="Garamond" w:eastAsia="Garamond" w:hAnsi="Garamond" w:cs="Garamond"/>
        </w:rPr>
        <w:t xml:space="preserve"> (NASA Jet Propulsion Laboratory, California Institute of Technology)</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color w:val="000000"/>
        </w:rPr>
      </w:pPr>
      <w:r>
        <w:rPr>
          <w:rFonts w:ascii="Garamond" w:eastAsia="Garamond" w:hAnsi="Garamond" w:cs="Garamond"/>
          <w:color w:val="000000"/>
        </w:rPr>
        <w:t>This material contains modified Copernicus Sentinel data (</w:t>
      </w:r>
      <w:r>
        <w:rPr>
          <w:rFonts w:ascii="Garamond" w:eastAsia="Garamond" w:hAnsi="Garamond" w:cs="Garamond"/>
        </w:rPr>
        <w:t>2017</w:t>
      </w:r>
      <w:r>
        <w:rPr>
          <w:rFonts w:ascii="Garamond" w:eastAsia="Garamond" w:hAnsi="Garamond" w:cs="Garamond"/>
          <w:color w:val="000000"/>
        </w:rPr>
        <w:t xml:space="preserve">), processed by ESA. </w:t>
      </w:r>
    </w:p>
    <w:p w:rsidR="00886CC7" w:rsidRDefault="00886CC7">
      <w:pPr>
        <w:spacing w:after="0" w:line="240" w:lineRule="auto"/>
        <w:rPr>
          <w:rFonts w:ascii="Garamond" w:eastAsia="Garamond" w:hAnsi="Garamond" w:cs="Garamond"/>
          <w:color w:val="000000"/>
        </w:rPr>
      </w:pPr>
    </w:p>
    <w:p w:rsidR="00886CC7" w:rsidRDefault="00457177">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rsidR="00886CC7" w:rsidRDefault="00886CC7">
      <w:pPr>
        <w:spacing w:after="0" w:line="240" w:lineRule="auto"/>
        <w:rPr>
          <w:rFonts w:ascii="Garamond" w:eastAsia="Garamond" w:hAnsi="Garamond" w:cs="Garamond"/>
        </w:rPr>
      </w:pPr>
    </w:p>
    <w:p w:rsidR="00886CC7" w:rsidRDefault="00457177">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rsidR="00886CC7" w:rsidRDefault="00886CC7">
      <w:pPr>
        <w:pStyle w:val="Heading1"/>
        <w:spacing w:before="0" w:line="240" w:lineRule="auto"/>
        <w:rPr>
          <w:rFonts w:ascii="Garamond" w:eastAsia="Garamond" w:hAnsi="Garamond" w:cs="Garamond"/>
          <w:sz w:val="22"/>
          <w:szCs w:val="22"/>
        </w:rPr>
      </w:pPr>
      <w:bookmarkStart w:id="8" w:name="_heading=h.4d34og8" w:colFirst="0" w:colLast="0"/>
      <w:bookmarkEnd w:id="8"/>
    </w:p>
    <w:p w:rsidR="00886CC7" w:rsidRDefault="00457177">
      <w:pPr>
        <w:pStyle w:val="Heading1"/>
        <w:spacing w:before="0" w:line="240" w:lineRule="auto"/>
        <w:rPr>
          <w:rFonts w:ascii="Garamond" w:eastAsia="Garamond" w:hAnsi="Garamond" w:cs="Garamond"/>
        </w:rPr>
      </w:pPr>
      <w:r>
        <w:rPr>
          <w:rFonts w:ascii="Garamond" w:eastAsia="Garamond" w:hAnsi="Garamond" w:cs="Garamond"/>
        </w:rPr>
        <w:t>7. Glossary</w:t>
      </w:r>
    </w:p>
    <w:p w:rsidR="00886CC7" w:rsidRDefault="00457177">
      <w:pPr>
        <w:spacing w:after="0" w:line="240" w:lineRule="auto"/>
        <w:rPr>
          <w:rFonts w:ascii="Garamond" w:eastAsia="Garamond" w:hAnsi="Garamond" w:cs="Garamond"/>
        </w:rPr>
      </w:pPr>
      <w:r>
        <w:rPr>
          <w:rFonts w:ascii="Garamond" w:eastAsia="Garamond" w:hAnsi="Garamond" w:cs="Garamond"/>
          <w:b/>
        </w:rPr>
        <w:t>ASP</w:t>
      </w:r>
      <w:r>
        <w:rPr>
          <w:rFonts w:ascii="Garamond" w:eastAsia="Garamond" w:hAnsi="Garamond" w:cs="Garamond"/>
        </w:rPr>
        <w:t xml:space="preserve"> - Agua </w:t>
      </w:r>
      <w:proofErr w:type="spellStart"/>
      <w:r>
        <w:rPr>
          <w:rFonts w:ascii="Garamond" w:eastAsia="Garamond" w:hAnsi="Garamond" w:cs="Garamond"/>
        </w:rPr>
        <w:t>Salud</w:t>
      </w:r>
      <w:proofErr w:type="spellEnd"/>
      <w:r>
        <w:rPr>
          <w:rFonts w:ascii="Garamond" w:eastAsia="Garamond" w:hAnsi="Garamond" w:cs="Garamond"/>
        </w:rPr>
        <w:t xml:space="preserve"> Project</w:t>
      </w:r>
    </w:p>
    <w:p w:rsidR="00886CC7" w:rsidRDefault="00457177">
      <w:pPr>
        <w:spacing w:after="0" w:line="240" w:lineRule="auto"/>
        <w:rPr>
          <w:rFonts w:ascii="Garamond" w:eastAsia="Garamond" w:hAnsi="Garamond" w:cs="Garamond"/>
        </w:rPr>
      </w:pPr>
      <w:r>
        <w:rPr>
          <w:rFonts w:ascii="Garamond" w:eastAsia="Garamond" w:hAnsi="Garamond" w:cs="Garamond"/>
          <w:b/>
        </w:rPr>
        <w:t>ALOS PALSAR</w:t>
      </w:r>
      <w:r>
        <w:rPr>
          <w:rFonts w:ascii="Garamond" w:eastAsia="Garamond" w:hAnsi="Garamond" w:cs="Garamond"/>
        </w:rPr>
        <w:t xml:space="preserve"> - Advanced Land Observing Satellite Phased Array </w:t>
      </w:r>
      <w:proofErr w:type="gramStart"/>
      <w:r>
        <w:rPr>
          <w:rFonts w:ascii="Garamond" w:eastAsia="Garamond" w:hAnsi="Garamond" w:cs="Garamond"/>
        </w:rPr>
        <w:t>type</w:t>
      </w:r>
      <w:proofErr w:type="gramEnd"/>
      <w:r>
        <w:rPr>
          <w:rFonts w:ascii="Garamond" w:eastAsia="Garamond" w:hAnsi="Garamond" w:cs="Garamond"/>
        </w:rPr>
        <w:t xml:space="preserve"> L-band Synthetic Aperture Radar</w:t>
      </w:r>
    </w:p>
    <w:p w:rsidR="00886CC7" w:rsidRDefault="00457177">
      <w:pPr>
        <w:spacing w:after="0" w:line="240" w:lineRule="auto"/>
        <w:rPr>
          <w:rFonts w:ascii="Garamond" w:eastAsia="Garamond" w:hAnsi="Garamond" w:cs="Garamond"/>
        </w:rPr>
      </w:pPr>
      <w:r>
        <w:rPr>
          <w:rFonts w:ascii="Garamond" w:eastAsia="Garamond" w:hAnsi="Garamond" w:cs="Garamond"/>
          <w:b/>
        </w:rPr>
        <w:t>BCI</w:t>
      </w:r>
      <w:r>
        <w:rPr>
          <w:rFonts w:ascii="Garamond" w:eastAsia="Garamond" w:hAnsi="Garamond" w:cs="Garamond"/>
        </w:rPr>
        <w:t xml:space="preserve"> - Barro Colorado Island</w:t>
      </w:r>
    </w:p>
    <w:p w:rsidR="00886CC7" w:rsidRDefault="00457177">
      <w:pPr>
        <w:spacing w:after="0" w:line="240" w:lineRule="auto"/>
        <w:rPr>
          <w:rFonts w:ascii="Garamond" w:eastAsia="Garamond" w:hAnsi="Garamond" w:cs="Garamond"/>
        </w:rPr>
      </w:pPr>
      <w:r>
        <w:rPr>
          <w:rFonts w:ascii="Garamond" w:eastAsia="Garamond" w:hAnsi="Garamond" w:cs="Garamond"/>
          <w:b/>
        </w:rPr>
        <w:t xml:space="preserve">ASF DAAC – </w:t>
      </w:r>
      <w:r>
        <w:rPr>
          <w:rFonts w:ascii="Garamond" w:eastAsia="Garamond" w:hAnsi="Garamond" w:cs="Garamond"/>
        </w:rPr>
        <w:t>Alaska Satellite Facility, Data Active Archive Center, a location to download satellite imagery</w:t>
      </w:r>
    </w:p>
    <w:p w:rsidR="00886CC7" w:rsidRDefault="00457177">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rsidR="00886CC7" w:rsidRPr="007C18F8" w:rsidRDefault="00457177">
      <w:pPr>
        <w:spacing w:after="0" w:line="240" w:lineRule="auto"/>
        <w:rPr>
          <w:rFonts w:ascii="Garamond" w:eastAsia="Garamond" w:hAnsi="Garamond" w:cs="Garamond"/>
          <w:lang w:val="es-PA"/>
        </w:rPr>
      </w:pPr>
      <w:r w:rsidRPr="007C18F8">
        <w:rPr>
          <w:rFonts w:ascii="Garamond" w:eastAsia="Garamond" w:hAnsi="Garamond" w:cs="Garamond"/>
          <w:b/>
          <w:lang w:val="es-PA"/>
        </w:rPr>
        <w:t xml:space="preserve">ETESA </w:t>
      </w:r>
      <w:r w:rsidRPr="007C18F8">
        <w:rPr>
          <w:rFonts w:ascii="Garamond" w:eastAsia="Garamond" w:hAnsi="Garamond" w:cs="Garamond"/>
          <w:lang w:val="es-PA"/>
        </w:rPr>
        <w:t>- Empresa de Transmision Electrica, Sociedad Anónima</w:t>
      </w:r>
    </w:p>
    <w:p w:rsidR="00886CC7" w:rsidRDefault="00457177">
      <w:pPr>
        <w:spacing w:after="0" w:line="240" w:lineRule="auto"/>
        <w:rPr>
          <w:rFonts w:ascii="Garamond" w:eastAsia="Garamond" w:hAnsi="Garamond" w:cs="Garamond"/>
        </w:rPr>
      </w:pPr>
      <w:proofErr w:type="spellStart"/>
      <w:r>
        <w:rPr>
          <w:rFonts w:ascii="Garamond" w:eastAsia="Garamond" w:hAnsi="Garamond" w:cs="Garamond"/>
          <w:b/>
        </w:rPr>
        <w:t>MiAmbiente</w:t>
      </w:r>
      <w:proofErr w:type="spellEnd"/>
      <w:r>
        <w:rPr>
          <w:rFonts w:ascii="Garamond" w:eastAsia="Garamond" w:hAnsi="Garamond" w:cs="Garamond"/>
          <w:b/>
        </w:rPr>
        <w:t xml:space="preserve"> </w:t>
      </w:r>
      <w:r>
        <w:rPr>
          <w:rFonts w:ascii="Garamond" w:eastAsia="Garamond" w:hAnsi="Garamond" w:cs="Garamond"/>
        </w:rPr>
        <w:t>- Republic of Panama’s Ministry of Environment</w:t>
      </w:r>
    </w:p>
    <w:p w:rsidR="00886CC7" w:rsidRDefault="00457177">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w:t>
      </w:r>
      <w:proofErr w:type="spellStart"/>
      <w:r>
        <w:rPr>
          <w:rFonts w:ascii="Garamond" w:eastAsia="Garamond" w:hAnsi="Garamond" w:cs="Garamond"/>
        </w:rPr>
        <w:t>MODerate</w:t>
      </w:r>
      <w:proofErr w:type="spellEnd"/>
      <w:r>
        <w:rPr>
          <w:rFonts w:ascii="Garamond" w:eastAsia="Garamond" w:hAnsi="Garamond" w:cs="Garamond"/>
        </w:rPr>
        <w:t xml:space="preserve"> resolution Imaging Spectroradiometer</w:t>
      </w:r>
    </w:p>
    <w:p w:rsidR="00886CC7" w:rsidRDefault="00457177">
      <w:pPr>
        <w:spacing w:after="0" w:line="240" w:lineRule="auto"/>
        <w:rPr>
          <w:rFonts w:ascii="Garamond" w:eastAsia="Garamond" w:hAnsi="Garamond" w:cs="Garamond"/>
        </w:rPr>
      </w:pPr>
      <w:r>
        <w:rPr>
          <w:rFonts w:ascii="Garamond" w:eastAsia="Garamond" w:hAnsi="Garamond" w:cs="Garamond"/>
          <w:b/>
        </w:rPr>
        <w:t>PCW</w:t>
      </w:r>
      <w:r>
        <w:rPr>
          <w:rFonts w:ascii="Garamond" w:eastAsia="Garamond" w:hAnsi="Garamond" w:cs="Garamond"/>
        </w:rPr>
        <w:t xml:space="preserve"> - Panama Canal Watershed</w:t>
      </w:r>
    </w:p>
    <w:p w:rsidR="00886CC7" w:rsidRDefault="00457177">
      <w:pPr>
        <w:spacing w:after="0" w:line="240" w:lineRule="auto"/>
        <w:rPr>
          <w:rFonts w:ascii="Garamond" w:eastAsia="Garamond" w:hAnsi="Garamond" w:cs="Garamond"/>
        </w:rPr>
      </w:pPr>
      <w:r>
        <w:rPr>
          <w:rFonts w:ascii="Garamond" w:eastAsia="Garamond" w:hAnsi="Garamond" w:cs="Garamond"/>
          <w:b/>
        </w:rPr>
        <w:t xml:space="preserve">SAR </w:t>
      </w:r>
      <w:r>
        <w:rPr>
          <w:rFonts w:ascii="Garamond" w:eastAsia="Garamond" w:hAnsi="Garamond" w:cs="Garamond"/>
        </w:rPr>
        <w:t>- Synthetic Aperture Radar</w:t>
      </w:r>
    </w:p>
    <w:p w:rsidR="00886CC7" w:rsidRDefault="00457177">
      <w:pPr>
        <w:spacing w:after="0" w:line="240" w:lineRule="auto"/>
        <w:rPr>
          <w:rFonts w:ascii="Garamond" w:eastAsia="Garamond" w:hAnsi="Garamond" w:cs="Garamond"/>
        </w:rPr>
      </w:pPr>
      <w:r>
        <w:rPr>
          <w:rFonts w:ascii="Garamond" w:eastAsia="Garamond" w:hAnsi="Garamond" w:cs="Garamond"/>
          <w:b/>
        </w:rPr>
        <w:t>Sentinel-1 C-SAR</w:t>
      </w:r>
      <w:r>
        <w:rPr>
          <w:rFonts w:ascii="Garamond" w:eastAsia="Garamond" w:hAnsi="Garamond" w:cs="Garamond"/>
        </w:rPr>
        <w:t xml:space="preserve"> - Sentinel-1 C-band Synthetic Aperture Radar</w:t>
      </w:r>
    </w:p>
    <w:p w:rsidR="00886CC7" w:rsidRDefault="00457177">
      <w:pPr>
        <w:spacing w:after="0" w:line="240" w:lineRule="auto"/>
        <w:rPr>
          <w:rFonts w:ascii="Garamond" w:eastAsia="Garamond" w:hAnsi="Garamond" w:cs="Garamond"/>
        </w:rPr>
      </w:pPr>
      <w:r>
        <w:rPr>
          <w:rFonts w:ascii="Garamond" w:eastAsia="Garamond" w:hAnsi="Garamond" w:cs="Garamond"/>
          <w:b/>
        </w:rPr>
        <w:t xml:space="preserve">SNAP </w:t>
      </w:r>
      <w:r>
        <w:rPr>
          <w:rFonts w:ascii="Garamond" w:eastAsia="Garamond" w:hAnsi="Garamond" w:cs="Garamond"/>
        </w:rPr>
        <w:t>- Sentinel Application Platform</w:t>
      </w:r>
    </w:p>
    <w:p w:rsidR="00886CC7" w:rsidRDefault="00457177">
      <w:pPr>
        <w:spacing w:after="0" w:line="240" w:lineRule="auto"/>
        <w:rPr>
          <w:rFonts w:ascii="Garamond" w:eastAsia="Garamond" w:hAnsi="Garamond" w:cs="Garamond"/>
        </w:rPr>
      </w:pPr>
      <w:r>
        <w:rPr>
          <w:rFonts w:ascii="Garamond" w:eastAsia="Garamond" w:hAnsi="Garamond" w:cs="Garamond"/>
          <w:b/>
        </w:rPr>
        <w:t xml:space="preserve">STRI </w:t>
      </w:r>
      <w:r>
        <w:rPr>
          <w:rFonts w:ascii="Garamond" w:eastAsia="Garamond" w:hAnsi="Garamond" w:cs="Garamond"/>
        </w:rPr>
        <w:t>- Smithsonian Tropical Research Institute</w:t>
      </w:r>
    </w:p>
    <w:p w:rsidR="00886CC7" w:rsidRDefault="00457177">
      <w:pPr>
        <w:spacing w:after="0" w:line="240" w:lineRule="auto"/>
        <w:rPr>
          <w:rFonts w:ascii="Garamond" w:eastAsia="Garamond" w:hAnsi="Garamond" w:cs="Garamond"/>
        </w:rPr>
      </w:pPr>
      <w:r>
        <w:rPr>
          <w:rFonts w:ascii="Garamond" w:eastAsia="Garamond" w:hAnsi="Garamond" w:cs="Garamond"/>
          <w:b/>
        </w:rPr>
        <w:t>UAVSAR</w:t>
      </w:r>
      <w:r>
        <w:rPr>
          <w:rFonts w:ascii="Garamond" w:eastAsia="Garamond" w:hAnsi="Garamond" w:cs="Garamond"/>
        </w:rPr>
        <w:t xml:space="preserve"> - Unmanned Aerial Vehicle Synthetic Aperture Radar</w:t>
      </w:r>
    </w:p>
    <w:p w:rsidR="00886CC7" w:rsidRDefault="00886CC7">
      <w:pPr>
        <w:spacing w:after="0" w:line="240" w:lineRule="auto"/>
        <w:rPr>
          <w:rFonts w:ascii="Garamond" w:eastAsia="Garamond" w:hAnsi="Garamond" w:cs="Garamond"/>
        </w:rPr>
      </w:pPr>
    </w:p>
    <w:p w:rsidR="00886CC7" w:rsidRDefault="00886CC7">
      <w:pPr>
        <w:pStyle w:val="Heading1"/>
        <w:spacing w:before="0" w:line="240" w:lineRule="auto"/>
        <w:rPr>
          <w:rFonts w:ascii="Garamond" w:eastAsia="Garamond" w:hAnsi="Garamond" w:cs="Garamond"/>
          <w:sz w:val="22"/>
          <w:szCs w:val="22"/>
        </w:rPr>
      </w:pPr>
    </w:p>
    <w:p w:rsidR="00886CC7" w:rsidRDefault="00457177">
      <w:pPr>
        <w:pStyle w:val="Heading1"/>
        <w:spacing w:before="0" w:line="240" w:lineRule="auto"/>
        <w:rPr>
          <w:rFonts w:ascii="Garamond" w:eastAsia="Garamond" w:hAnsi="Garamond" w:cs="Garamond"/>
        </w:rPr>
      </w:pPr>
      <w:r>
        <w:rPr>
          <w:rFonts w:ascii="Garamond" w:eastAsia="Garamond" w:hAnsi="Garamond" w:cs="Garamond"/>
        </w:rPr>
        <w:t>8. References</w:t>
      </w:r>
    </w:p>
    <w:p w:rsidR="00886CC7" w:rsidRPr="00B26968" w:rsidRDefault="00457177">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87:6609 Monsoon flood boundary delineation and damage assessment using space borne imaging radar and</w:t>
      </w:r>
      <w:r w:rsidRPr="00B26968">
        <w:rPr>
          <w:rFonts w:ascii="Garamond" w:eastAsia="Garamond" w:hAnsi="Garamond" w:cs="Garamond"/>
          <w:color w:val="000000" w:themeColor="text1"/>
          <w:highlight w:val="white"/>
        </w:rPr>
        <w:tab/>
        <w:t xml:space="preserve"> </w:t>
      </w:r>
      <w:r w:rsidRPr="00B26968">
        <w:rPr>
          <w:rFonts w:ascii="Garamond" w:eastAsia="Garamond" w:hAnsi="Garamond" w:cs="Garamond"/>
          <w:color w:val="000000" w:themeColor="text1"/>
          <w:highlight w:val="white"/>
        </w:rPr>
        <w:tab/>
        <w:t xml:space="preserve">Landsat data. (1987). </w:t>
      </w:r>
      <w:r w:rsidRPr="00B26968">
        <w:rPr>
          <w:rFonts w:ascii="Garamond" w:eastAsia="Garamond" w:hAnsi="Garamond" w:cs="Garamond"/>
          <w:i/>
          <w:color w:val="000000" w:themeColor="text1"/>
          <w:highlight w:val="white"/>
        </w:rPr>
        <w:t>Deep Sea Research Part B. Oceanographic Literature Review</w:t>
      </w:r>
      <w:r w:rsidRPr="00B26968">
        <w:rPr>
          <w:rFonts w:ascii="Garamond" w:eastAsia="Garamond" w:hAnsi="Garamond" w:cs="Garamond"/>
          <w:color w:val="000000" w:themeColor="text1"/>
          <w:highlight w:val="white"/>
        </w:rPr>
        <w:t xml:space="preserve">, </w:t>
      </w:r>
      <w:r w:rsidRPr="00B26968">
        <w:rPr>
          <w:rFonts w:ascii="Garamond" w:eastAsia="Garamond" w:hAnsi="Garamond" w:cs="Garamond"/>
          <w:i/>
          <w:color w:val="000000" w:themeColor="text1"/>
          <w:highlight w:val="white"/>
        </w:rPr>
        <w:t>34</w:t>
      </w:r>
      <w:r w:rsidRPr="00B26968">
        <w:rPr>
          <w:rFonts w:ascii="Garamond" w:eastAsia="Garamond" w:hAnsi="Garamond" w:cs="Garamond"/>
          <w:color w:val="000000" w:themeColor="text1"/>
          <w:highlight w:val="white"/>
        </w:rPr>
        <w:t>(11), 1002.</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r>
      <w:hyperlink r:id="rId18">
        <w:r w:rsidRPr="00B26968">
          <w:rPr>
            <w:rFonts w:ascii="Garamond" w:eastAsia="Garamond" w:hAnsi="Garamond" w:cs="Garamond"/>
            <w:color w:val="000000" w:themeColor="text1"/>
            <w:highlight w:val="white"/>
          </w:rPr>
          <w:t>https://doi.org/10.1016/0198-0254(87)91072-7</w:t>
        </w:r>
      </w:hyperlink>
    </w:p>
    <w:p w:rsidR="00886CC7" w:rsidRPr="00B26968" w:rsidRDefault="00886CC7">
      <w:pPr>
        <w:spacing w:after="0" w:line="240" w:lineRule="auto"/>
        <w:ind w:left="880" w:hanging="440"/>
        <w:rPr>
          <w:rFonts w:ascii="Garamond" w:eastAsia="Garamond" w:hAnsi="Garamond" w:cs="Garamond"/>
          <w:color w:val="000000" w:themeColor="text1"/>
          <w:highlight w:val="white"/>
        </w:rPr>
      </w:pPr>
    </w:p>
    <w:p w:rsidR="00B26968" w:rsidRPr="00B26968" w:rsidRDefault="00457177" w:rsidP="00B26968">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ASF Engineering, 2015. ASF Radiometrically Terrain Correct ALOS PALSAR Products Product Guide</w:t>
      </w:r>
    </w:p>
    <w:p w:rsidR="00886CC7" w:rsidRPr="00B26968" w:rsidRDefault="00457177" w:rsidP="00B26968">
      <w:pPr>
        <w:spacing w:after="0" w:line="240" w:lineRule="auto"/>
        <w:ind w:firstLine="720"/>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 xml:space="preserve">Revision 1.2. </w:t>
      </w:r>
    </w:p>
    <w:p w:rsidR="00886CC7" w:rsidRPr="00B26968" w:rsidRDefault="00886CC7">
      <w:pPr>
        <w:spacing w:after="0" w:line="240" w:lineRule="auto"/>
        <w:rPr>
          <w:rFonts w:ascii="Garamond" w:eastAsia="Garamond" w:hAnsi="Garamond" w:cs="Garamond"/>
          <w:color w:val="000000" w:themeColor="text1"/>
          <w:highlight w:val="white"/>
        </w:rPr>
      </w:pPr>
    </w:p>
    <w:p w:rsidR="00886CC7" w:rsidRPr="00B26968" w:rsidRDefault="00457177">
      <w:pPr>
        <w:spacing w:after="0" w:line="240" w:lineRule="auto"/>
        <w:rPr>
          <w:rFonts w:ascii="Garamond" w:eastAsia="Garamond" w:hAnsi="Garamond" w:cs="Garamond"/>
          <w:color w:val="000000" w:themeColor="text1"/>
          <w:highlight w:val="white"/>
        </w:rPr>
      </w:pPr>
      <w:proofErr w:type="spellStart"/>
      <w:r w:rsidRPr="00B26968">
        <w:rPr>
          <w:rFonts w:ascii="Garamond" w:eastAsia="Garamond" w:hAnsi="Garamond" w:cs="Garamond"/>
          <w:color w:val="000000" w:themeColor="text1"/>
          <w:highlight w:val="white"/>
        </w:rPr>
        <w:t>Bamler</w:t>
      </w:r>
      <w:proofErr w:type="spellEnd"/>
      <w:r w:rsidRPr="00B26968">
        <w:rPr>
          <w:rFonts w:ascii="Garamond" w:eastAsia="Garamond" w:hAnsi="Garamond" w:cs="Garamond"/>
          <w:color w:val="000000" w:themeColor="text1"/>
          <w:highlight w:val="white"/>
        </w:rPr>
        <w:t xml:space="preserve">, R. (n.d.). </w:t>
      </w:r>
      <w:r w:rsidRPr="00B26968">
        <w:rPr>
          <w:rFonts w:ascii="Garamond" w:eastAsia="Garamond" w:hAnsi="Garamond" w:cs="Garamond"/>
          <w:i/>
          <w:color w:val="000000" w:themeColor="text1"/>
          <w:highlight w:val="white"/>
        </w:rPr>
        <w:t xml:space="preserve">Principles </w:t>
      </w:r>
      <w:proofErr w:type="gramStart"/>
      <w:r w:rsidRPr="00B26968">
        <w:rPr>
          <w:rFonts w:ascii="Garamond" w:eastAsia="Garamond" w:hAnsi="Garamond" w:cs="Garamond"/>
          <w:i/>
          <w:color w:val="000000" w:themeColor="text1"/>
          <w:highlight w:val="white"/>
        </w:rPr>
        <w:t>Of</w:t>
      </w:r>
      <w:proofErr w:type="gramEnd"/>
      <w:r w:rsidRPr="00B26968">
        <w:rPr>
          <w:rFonts w:ascii="Garamond" w:eastAsia="Garamond" w:hAnsi="Garamond" w:cs="Garamond"/>
          <w:i/>
          <w:color w:val="000000" w:themeColor="text1"/>
          <w:highlight w:val="white"/>
        </w:rPr>
        <w:t xml:space="preserve"> Synthetic Aperture Radar</w:t>
      </w:r>
      <w:r w:rsidRPr="00B26968">
        <w:rPr>
          <w:rFonts w:ascii="Garamond" w:eastAsia="Garamond" w:hAnsi="Garamond" w:cs="Garamond"/>
          <w:color w:val="000000" w:themeColor="text1"/>
          <w:highlight w:val="white"/>
        </w:rPr>
        <w:t>. 12.</w:t>
      </w:r>
    </w:p>
    <w:p w:rsidR="00886CC7" w:rsidRPr="00B26968" w:rsidRDefault="00886CC7">
      <w:pPr>
        <w:spacing w:after="0" w:line="240" w:lineRule="auto"/>
        <w:rPr>
          <w:rFonts w:ascii="Garamond" w:eastAsia="Garamond" w:hAnsi="Garamond" w:cs="Garamond"/>
          <w:color w:val="000000" w:themeColor="text1"/>
          <w:highlight w:val="white"/>
        </w:rPr>
      </w:pPr>
    </w:p>
    <w:p w:rsidR="00886CC7" w:rsidRPr="00B26968" w:rsidRDefault="00457177">
      <w:pPr>
        <w:spacing w:after="0" w:line="240" w:lineRule="auto"/>
        <w:rPr>
          <w:rFonts w:ascii="Garamond" w:eastAsia="Garamond" w:hAnsi="Garamond" w:cs="Garamond"/>
          <w:color w:val="000000" w:themeColor="text1"/>
          <w:highlight w:val="white"/>
        </w:rPr>
      </w:pPr>
      <w:proofErr w:type="spellStart"/>
      <w:r w:rsidRPr="00B26968">
        <w:rPr>
          <w:rFonts w:ascii="Garamond" w:eastAsia="Garamond" w:hAnsi="Garamond" w:cs="Garamond"/>
          <w:color w:val="000000" w:themeColor="text1"/>
          <w:highlight w:val="white"/>
        </w:rPr>
        <w:t>Busetto</w:t>
      </w:r>
      <w:proofErr w:type="spellEnd"/>
      <w:r w:rsidRPr="00B26968">
        <w:rPr>
          <w:rFonts w:ascii="Garamond" w:eastAsia="Garamond" w:hAnsi="Garamond" w:cs="Garamond"/>
          <w:color w:val="000000" w:themeColor="text1"/>
          <w:highlight w:val="white"/>
        </w:rPr>
        <w:t xml:space="preserve">, L., &amp; </w:t>
      </w:r>
      <w:proofErr w:type="spellStart"/>
      <w:r w:rsidRPr="00B26968">
        <w:rPr>
          <w:rFonts w:ascii="Garamond" w:eastAsia="Garamond" w:hAnsi="Garamond" w:cs="Garamond"/>
          <w:color w:val="000000" w:themeColor="text1"/>
          <w:highlight w:val="white"/>
        </w:rPr>
        <w:t>Ranghetti</w:t>
      </w:r>
      <w:proofErr w:type="spellEnd"/>
      <w:r w:rsidRPr="00B26968">
        <w:rPr>
          <w:rFonts w:ascii="Garamond" w:eastAsia="Garamond" w:hAnsi="Garamond" w:cs="Garamond"/>
          <w:color w:val="000000" w:themeColor="text1"/>
          <w:highlight w:val="white"/>
        </w:rPr>
        <w:t xml:space="preserve">, L. (2016). </w:t>
      </w:r>
      <w:proofErr w:type="spellStart"/>
      <w:r w:rsidRPr="00B26968">
        <w:rPr>
          <w:rFonts w:ascii="Garamond" w:eastAsia="Garamond" w:hAnsi="Garamond" w:cs="Garamond"/>
          <w:color w:val="000000" w:themeColor="text1"/>
          <w:highlight w:val="white"/>
        </w:rPr>
        <w:t>MODIStsp</w:t>
      </w:r>
      <w:proofErr w:type="spellEnd"/>
      <w:r w:rsidRPr="00B26968">
        <w:rPr>
          <w:rFonts w:ascii="Garamond" w:eastAsia="Garamond" w:hAnsi="Garamond" w:cs="Garamond"/>
          <w:color w:val="000000" w:themeColor="text1"/>
          <w:highlight w:val="white"/>
        </w:rPr>
        <w:t>: An R package for automatic preprocessing of MODIS Land</w:t>
      </w:r>
      <w:r w:rsidRPr="00B26968">
        <w:rPr>
          <w:rFonts w:ascii="Garamond" w:eastAsia="Garamond" w:hAnsi="Garamond" w:cs="Garamond"/>
          <w:color w:val="000000" w:themeColor="text1"/>
          <w:highlight w:val="white"/>
        </w:rPr>
        <w:tab/>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t xml:space="preserve">Products time series. </w:t>
      </w:r>
      <w:r w:rsidRPr="00B26968">
        <w:rPr>
          <w:rFonts w:ascii="Garamond" w:eastAsia="Garamond" w:hAnsi="Garamond" w:cs="Garamond"/>
          <w:i/>
          <w:color w:val="000000" w:themeColor="text1"/>
          <w:highlight w:val="white"/>
        </w:rPr>
        <w:t>Computers &amp; Geosciences</w:t>
      </w:r>
      <w:r w:rsidRPr="00B26968">
        <w:rPr>
          <w:rFonts w:ascii="Garamond" w:eastAsia="Garamond" w:hAnsi="Garamond" w:cs="Garamond"/>
          <w:color w:val="000000" w:themeColor="text1"/>
          <w:highlight w:val="white"/>
        </w:rPr>
        <w:t xml:space="preserve">, </w:t>
      </w:r>
      <w:r w:rsidRPr="00B26968">
        <w:rPr>
          <w:rFonts w:ascii="Garamond" w:eastAsia="Garamond" w:hAnsi="Garamond" w:cs="Garamond"/>
          <w:i/>
          <w:color w:val="000000" w:themeColor="text1"/>
          <w:highlight w:val="white"/>
        </w:rPr>
        <w:t>97</w:t>
      </w:r>
      <w:r w:rsidRPr="00B26968">
        <w:rPr>
          <w:rFonts w:ascii="Garamond" w:eastAsia="Garamond" w:hAnsi="Garamond" w:cs="Garamond"/>
          <w:color w:val="000000" w:themeColor="text1"/>
          <w:highlight w:val="white"/>
        </w:rPr>
        <w:t>, 40–48.</w:t>
      </w:r>
      <w:hyperlink r:id="rId19">
        <w:r w:rsidRPr="00B26968">
          <w:rPr>
            <w:rFonts w:ascii="Garamond" w:eastAsia="Garamond" w:hAnsi="Garamond" w:cs="Garamond"/>
            <w:color w:val="000000" w:themeColor="text1"/>
            <w:highlight w:val="white"/>
          </w:rPr>
          <w:t xml:space="preserve"> </w:t>
        </w:r>
      </w:hyperlink>
      <w:hyperlink r:id="rId20">
        <w:r w:rsidRPr="00B26968">
          <w:rPr>
            <w:rFonts w:ascii="Garamond" w:eastAsia="Garamond" w:hAnsi="Garamond" w:cs="Garamond"/>
            <w:color w:val="000000" w:themeColor="text1"/>
            <w:highlight w:val="white"/>
          </w:rPr>
          <w:t>https://doi.org/10.1016/j.cageo.2016.08.020</w:t>
        </w:r>
      </w:hyperlink>
    </w:p>
    <w:p w:rsidR="00886CC7" w:rsidRPr="00B26968" w:rsidRDefault="00886CC7">
      <w:pPr>
        <w:spacing w:after="0" w:line="240" w:lineRule="auto"/>
        <w:ind w:left="720"/>
        <w:rPr>
          <w:rFonts w:ascii="Garamond" w:eastAsia="Garamond" w:hAnsi="Garamond" w:cs="Garamond"/>
          <w:color w:val="000000" w:themeColor="text1"/>
          <w:highlight w:val="white"/>
        </w:rPr>
      </w:pPr>
    </w:p>
    <w:p w:rsidR="00930746" w:rsidRDefault="00457177" w:rsidP="00930746">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 xml:space="preserve">Dataset: ASF DAAC (2019), ALOS </w:t>
      </w:r>
      <w:proofErr w:type="spellStart"/>
      <w:r w:rsidRPr="00B26968">
        <w:rPr>
          <w:rFonts w:ascii="Garamond" w:eastAsia="Garamond" w:hAnsi="Garamond" w:cs="Garamond"/>
          <w:color w:val="000000" w:themeColor="text1"/>
          <w:highlight w:val="white"/>
        </w:rPr>
        <w:t>PALSAR_Radiometric_Terrain_Corrected_high_res</w:t>
      </w:r>
      <w:proofErr w:type="spellEnd"/>
      <w:r w:rsidRPr="00B26968">
        <w:rPr>
          <w:rFonts w:ascii="Garamond" w:eastAsia="Garamond" w:hAnsi="Garamond" w:cs="Garamond"/>
          <w:color w:val="000000" w:themeColor="text1"/>
          <w:highlight w:val="white"/>
        </w:rPr>
        <w:t>; Includes Material</w:t>
      </w:r>
    </w:p>
    <w:p w:rsidR="00886CC7" w:rsidRDefault="00457177" w:rsidP="00930746">
      <w:pPr>
        <w:spacing w:after="0" w:line="240" w:lineRule="auto"/>
        <w:ind w:firstLine="720"/>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 xml:space="preserve">© JAXA/METI 2007, 2009, 2010. Accessed through ASF DAAC 2 </w:t>
      </w:r>
      <w:r w:rsidR="00B73DCC">
        <w:rPr>
          <w:rFonts w:ascii="Garamond" w:eastAsia="Garamond" w:hAnsi="Garamond" w:cs="Garamond"/>
          <w:color w:val="000000" w:themeColor="text1"/>
          <w:highlight w:val="white"/>
        </w:rPr>
        <w:t>October</w:t>
      </w:r>
      <w:r w:rsidRPr="00B26968">
        <w:rPr>
          <w:rFonts w:ascii="Garamond" w:eastAsia="Garamond" w:hAnsi="Garamond" w:cs="Garamond"/>
          <w:color w:val="000000" w:themeColor="text1"/>
          <w:highlight w:val="white"/>
        </w:rPr>
        <w:t xml:space="preserve"> 2019.</w:t>
      </w:r>
      <w:r w:rsidR="00930746">
        <w:rPr>
          <w:rFonts w:ascii="Garamond" w:eastAsia="Garamond" w:hAnsi="Garamond" w:cs="Garamond"/>
          <w:color w:val="000000" w:themeColor="text1"/>
          <w:highlight w:val="white"/>
        </w:rPr>
        <w:t xml:space="preserve"> </w:t>
      </w:r>
      <w:r w:rsidRPr="00B26968">
        <w:rPr>
          <w:rFonts w:ascii="Garamond" w:eastAsia="Garamond" w:hAnsi="Garamond" w:cs="Garamond"/>
          <w:color w:val="000000" w:themeColor="text1"/>
          <w:highlight w:val="white"/>
        </w:rPr>
        <w:t>DOI: 1</w:t>
      </w:r>
      <w:r w:rsidR="00930746">
        <w:rPr>
          <w:rFonts w:ascii="Garamond" w:eastAsia="Garamond" w:hAnsi="Garamond" w:cs="Garamond"/>
          <w:color w:val="000000" w:themeColor="text1"/>
          <w:highlight w:val="white"/>
        </w:rPr>
        <w:tab/>
      </w:r>
      <w:r w:rsidRPr="00B26968">
        <w:rPr>
          <w:rFonts w:ascii="Garamond" w:eastAsia="Garamond" w:hAnsi="Garamond" w:cs="Garamond"/>
          <w:color w:val="000000" w:themeColor="text1"/>
          <w:highlight w:val="white"/>
        </w:rPr>
        <w:t>0.5067/JBYK3J6HFSVF</w:t>
      </w:r>
    </w:p>
    <w:p w:rsidR="00B73DCC" w:rsidRDefault="00B73DCC" w:rsidP="00B73DCC">
      <w:pPr>
        <w:spacing w:after="0" w:line="240" w:lineRule="auto"/>
        <w:rPr>
          <w:rFonts w:ascii="Garamond" w:eastAsia="Garamond" w:hAnsi="Garamond" w:cs="Garamond"/>
          <w:color w:val="000000" w:themeColor="text1"/>
          <w:highlight w:val="white"/>
        </w:rPr>
      </w:pPr>
    </w:p>
    <w:p w:rsidR="00B73DCC" w:rsidRPr="00B26968" w:rsidRDefault="00B73DCC" w:rsidP="00B73DCC">
      <w:pPr>
        <w:spacing w:after="0" w:line="240" w:lineRule="auto"/>
        <w:rPr>
          <w:rFonts w:ascii="Garamond" w:eastAsia="Garamond" w:hAnsi="Garamond" w:cs="Garamond"/>
          <w:color w:val="000000" w:themeColor="text1"/>
          <w:highlight w:val="white"/>
        </w:rPr>
      </w:pPr>
      <w:r w:rsidRPr="00B73DCC">
        <w:rPr>
          <w:rFonts w:ascii="Garamond" w:eastAsia="Garamond" w:hAnsi="Garamond" w:cs="Garamond"/>
          <w:color w:val="000000" w:themeColor="text1"/>
        </w:rPr>
        <w:t>Dataset: UAVSAR POLSAR, NASA [</w:t>
      </w:r>
      <w:r w:rsidR="00760D70">
        <w:rPr>
          <w:rFonts w:ascii="Garamond" w:eastAsia="Garamond" w:hAnsi="Garamond" w:cs="Garamond"/>
          <w:color w:val="000000" w:themeColor="text1"/>
        </w:rPr>
        <w:t>2010-2015</w:t>
      </w:r>
      <w:r w:rsidRPr="00B73DCC">
        <w:rPr>
          <w:rFonts w:ascii="Garamond" w:eastAsia="Garamond" w:hAnsi="Garamond" w:cs="Garamond"/>
          <w:color w:val="000000" w:themeColor="text1"/>
        </w:rPr>
        <w:t>]. Retrieved from ASF DAAC [</w:t>
      </w:r>
      <w:r w:rsidR="00760D70">
        <w:rPr>
          <w:rFonts w:ascii="Garamond" w:eastAsia="Garamond" w:hAnsi="Garamond" w:cs="Garamond"/>
          <w:color w:val="000000" w:themeColor="text1"/>
        </w:rPr>
        <w:t>02/10/2019</w:t>
      </w:r>
      <w:r w:rsidRPr="00B73DCC">
        <w:rPr>
          <w:rFonts w:ascii="Garamond" w:eastAsia="Garamond" w:hAnsi="Garamond" w:cs="Garamond"/>
          <w:color w:val="000000" w:themeColor="text1"/>
        </w:rPr>
        <w:t>].</w:t>
      </w:r>
    </w:p>
    <w:p w:rsidR="00886CC7" w:rsidRPr="00B26968" w:rsidRDefault="00886CC7">
      <w:pPr>
        <w:spacing w:after="0" w:line="240" w:lineRule="auto"/>
        <w:ind w:left="720"/>
        <w:rPr>
          <w:rFonts w:ascii="Garamond" w:eastAsia="Garamond" w:hAnsi="Garamond" w:cs="Garamond"/>
          <w:color w:val="000000" w:themeColor="text1"/>
          <w:highlight w:val="white"/>
        </w:rPr>
      </w:pPr>
    </w:p>
    <w:p w:rsidR="00886CC7" w:rsidRPr="00B26968" w:rsidRDefault="00457177">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lastRenderedPageBreak/>
        <w:t xml:space="preserve">De Alban, J., </w:t>
      </w:r>
      <w:proofErr w:type="spellStart"/>
      <w:r w:rsidRPr="00B26968">
        <w:rPr>
          <w:rFonts w:ascii="Garamond" w:eastAsia="Garamond" w:hAnsi="Garamond" w:cs="Garamond"/>
          <w:color w:val="000000" w:themeColor="text1"/>
          <w:highlight w:val="white"/>
        </w:rPr>
        <w:t>Connette</w:t>
      </w:r>
      <w:proofErr w:type="spellEnd"/>
      <w:r w:rsidRPr="00B26968">
        <w:rPr>
          <w:rFonts w:ascii="Garamond" w:eastAsia="Garamond" w:hAnsi="Garamond" w:cs="Garamond"/>
          <w:color w:val="000000" w:themeColor="text1"/>
          <w:highlight w:val="white"/>
        </w:rPr>
        <w:t xml:space="preserve">, G., Oswald, P., &amp; Webb, E. (2018). Combined Landsat and L-Band SAR Data </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t xml:space="preserve">Improves Land Cover Classification and Change Detection in Dynamic Tropical Landscapes. </w:t>
      </w:r>
      <w:r w:rsidRPr="00B26968">
        <w:rPr>
          <w:rFonts w:ascii="Garamond" w:eastAsia="Garamond" w:hAnsi="Garamond" w:cs="Garamond"/>
          <w:i/>
          <w:color w:val="000000" w:themeColor="text1"/>
          <w:highlight w:val="white"/>
        </w:rPr>
        <w:t xml:space="preserve">Remote </w:t>
      </w:r>
      <w:r w:rsidRPr="00B26968">
        <w:rPr>
          <w:rFonts w:ascii="Garamond" w:eastAsia="Garamond" w:hAnsi="Garamond" w:cs="Garamond"/>
          <w:i/>
          <w:color w:val="000000" w:themeColor="text1"/>
          <w:highlight w:val="white"/>
        </w:rPr>
        <w:br/>
      </w:r>
      <w:r w:rsidRPr="00B26968">
        <w:rPr>
          <w:rFonts w:ascii="Garamond" w:eastAsia="Garamond" w:hAnsi="Garamond" w:cs="Garamond"/>
          <w:i/>
          <w:color w:val="000000" w:themeColor="text1"/>
          <w:highlight w:val="white"/>
        </w:rPr>
        <w:tab/>
        <w:t>Sensing</w:t>
      </w:r>
      <w:r w:rsidRPr="00B26968">
        <w:rPr>
          <w:rFonts w:ascii="Garamond" w:eastAsia="Garamond" w:hAnsi="Garamond" w:cs="Garamond"/>
          <w:color w:val="000000" w:themeColor="text1"/>
          <w:highlight w:val="white"/>
        </w:rPr>
        <w:t xml:space="preserve">, </w:t>
      </w:r>
      <w:r w:rsidRPr="00B26968">
        <w:rPr>
          <w:rFonts w:ascii="Garamond" w:eastAsia="Garamond" w:hAnsi="Garamond" w:cs="Garamond"/>
          <w:i/>
          <w:color w:val="000000" w:themeColor="text1"/>
          <w:highlight w:val="white"/>
        </w:rPr>
        <w:t>10</w:t>
      </w:r>
      <w:r w:rsidRPr="00B26968">
        <w:rPr>
          <w:rFonts w:ascii="Garamond" w:eastAsia="Garamond" w:hAnsi="Garamond" w:cs="Garamond"/>
          <w:color w:val="000000" w:themeColor="text1"/>
          <w:highlight w:val="white"/>
        </w:rPr>
        <w:t>(2), 306.</w:t>
      </w:r>
      <w:hyperlink r:id="rId21">
        <w:r w:rsidRPr="00B26968">
          <w:rPr>
            <w:rFonts w:ascii="Garamond" w:eastAsia="Garamond" w:hAnsi="Garamond" w:cs="Garamond"/>
            <w:color w:val="000000" w:themeColor="text1"/>
            <w:highlight w:val="white"/>
          </w:rPr>
          <w:t xml:space="preserve"> </w:t>
        </w:r>
      </w:hyperlink>
      <w:hyperlink r:id="rId22">
        <w:r w:rsidRPr="00B26968">
          <w:rPr>
            <w:rFonts w:ascii="Garamond" w:eastAsia="Garamond" w:hAnsi="Garamond" w:cs="Garamond"/>
            <w:color w:val="000000" w:themeColor="text1"/>
            <w:highlight w:val="white"/>
          </w:rPr>
          <w:t>https://doi.org/10.3390/rs10020306</w:t>
        </w:r>
      </w:hyperlink>
    </w:p>
    <w:p w:rsidR="00886CC7" w:rsidRPr="00B26968" w:rsidRDefault="00886CC7">
      <w:pPr>
        <w:spacing w:after="0" w:line="240" w:lineRule="auto"/>
        <w:ind w:left="880" w:hanging="440"/>
        <w:rPr>
          <w:rFonts w:ascii="Garamond" w:eastAsia="Garamond" w:hAnsi="Garamond" w:cs="Garamond"/>
          <w:color w:val="000000" w:themeColor="text1"/>
          <w:highlight w:val="white"/>
        </w:rPr>
      </w:pPr>
    </w:p>
    <w:p w:rsidR="00886CC7" w:rsidRDefault="00457177">
      <w:pPr>
        <w:spacing w:after="0" w:line="240" w:lineRule="auto"/>
        <w:rPr>
          <w:rFonts w:ascii="Garamond" w:eastAsia="Garamond" w:hAnsi="Garamond" w:cs="Garamond"/>
          <w:color w:val="000000" w:themeColor="text1"/>
          <w:highlight w:val="white"/>
        </w:rPr>
      </w:pPr>
      <w:proofErr w:type="spellStart"/>
      <w:r w:rsidRPr="00B26968">
        <w:rPr>
          <w:rFonts w:ascii="Garamond" w:eastAsia="Garamond" w:hAnsi="Garamond" w:cs="Garamond"/>
          <w:color w:val="000000" w:themeColor="text1"/>
          <w:highlight w:val="white"/>
        </w:rPr>
        <w:t>Dusseux</w:t>
      </w:r>
      <w:proofErr w:type="spellEnd"/>
      <w:r w:rsidRPr="00B26968">
        <w:rPr>
          <w:rFonts w:ascii="Garamond" w:eastAsia="Garamond" w:hAnsi="Garamond" w:cs="Garamond"/>
          <w:color w:val="000000" w:themeColor="text1"/>
          <w:highlight w:val="white"/>
        </w:rPr>
        <w:t xml:space="preserve">, P., </w:t>
      </w:r>
      <w:proofErr w:type="spellStart"/>
      <w:r w:rsidRPr="00B26968">
        <w:rPr>
          <w:rFonts w:ascii="Garamond" w:eastAsia="Garamond" w:hAnsi="Garamond" w:cs="Garamond"/>
          <w:color w:val="000000" w:themeColor="text1"/>
          <w:highlight w:val="white"/>
        </w:rPr>
        <w:t>Corpetti</w:t>
      </w:r>
      <w:proofErr w:type="spellEnd"/>
      <w:r w:rsidRPr="00B26968">
        <w:rPr>
          <w:rFonts w:ascii="Garamond" w:eastAsia="Garamond" w:hAnsi="Garamond" w:cs="Garamond"/>
          <w:color w:val="000000" w:themeColor="text1"/>
          <w:highlight w:val="white"/>
        </w:rPr>
        <w:t xml:space="preserve">, T., Hubert-Moy, L., &amp; </w:t>
      </w:r>
      <w:proofErr w:type="spellStart"/>
      <w:r w:rsidRPr="00B26968">
        <w:rPr>
          <w:rFonts w:ascii="Garamond" w:eastAsia="Garamond" w:hAnsi="Garamond" w:cs="Garamond"/>
          <w:color w:val="000000" w:themeColor="text1"/>
          <w:highlight w:val="white"/>
        </w:rPr>
        <w:t>Corgne</w:t>
      </w:r>
      <w:proofErr w:type="spellEnd"/>
      <w:r w:rsidRPr="00B26968">
        <w:rPr>
          <w:rFonts w:ascii="Garamond" w:eastAsia="Garamond" w:hAnsi="Garamond" w:cs="Garamond"/>
          <w:color w:val="000000" w:themeColor="text1"/>
          <w:highlight w:val="white"/>
        </w:rPr>
        <w:t xml:space="preserve">, S. (2014). Combined Use of Multi-Temporal Optical </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t xml:space="preserve">and Radar Satellite Images for Grassland Monitoring. </w:t>
      </w:r>
      <w:r w:rsidRPr="00B26968">
        <w:rPr>
          <w:rFonts w:ascii="Garamond" w:eastAsia="Garamond" w:hAnsi="Garamond" w:cs="Garamond"/>
          <w:i/>
          <w:color w:val="000000" w:themeColor="text1"/>
          <w:highlight w:val="white"/>
        </w:rPr>
        <w:t>Remote Sensing</w:t>
      </w:r>
      <w:r w:rsidRPr="00B26968">
        <w:rPr>
          <w:rFonts w:ascii="Garamond" w:eastAsia="Garamond" w:hAnsi="Garamond" w:cs="Garamond"/>
          <w:color w:val="000000" w:themeColor="text1"/>
          <w:highlight w:val="white"/>
        </w:rPr>
        <w:t xml:space="preserve">, </w:t>
      </w:r>
      <w:r w:rsidRPr="00B26968">
        <w:rPr>
          <w:rFonts w:ascii="Garamond" w:eastAsia="Garamond" w:hAnsi="Garamond" w:cs="Garamond"/>
          <w:i/>
          <w:color w:val="000000" w:themeColor="text1"/>
          <w:highlight w:val="white"/>
        </w:rPr>
        <w:t>6</w:t>
      </w:r>
      <w:r w:rsidRPr="00B26968">
        <w:rPr>
          <w:rFonts w:ascii="Garamond" w:eastAsia="Garamond" w:hAnsi="Garamond" w:cs="Garamond"/>
          <w:color w:val="000000" w:themeColor="text1"/>
          <w:highlight w:val="white"/>
        </w:rPr>
        <w:t>(7), 6163–6182.</w:t>
      </w:r>
      <w:hyperlink r:id="rId23">
        <w:r w:rsidRPr="00B26968">
          <w:rPr>
            <w:rFonts w:ascii="Garamond" w:eastAsia="Garamond" w:hAnsi="Garamond" w:cs="Garamond"/>
            <w:color w:val="000000" w:themeColor="text1"/>
            <w:highlight w:val="white"/>
          </w:rPr>
          <w:t xml:space="preserve"> </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r>
      </w:hyperlink>
      <w:hyperlink r:id="rId24">
        <w:r w:rsidRPr="00B26968">
          <w:rPr>
            <w:rFonts w:ascii="Garamond" w:eastAsia="Garamond" w:hAnsi="Garamond" w:cs="Garamond"/>
            <w:color w:val="000000" w:themeColor="text1"/>
            <w:highlight w:val="white"/>
          </w:rPr>
          <w:t>https://doi.org/10.3390/rs6076163</w:t>
        </w:r>
      </w:hyperlink>
    </w:p>
    <w:p w:rsidR="00B23C63" w:rsidRDefault="00B23C63">
      <w:pPr>
        <w:spacing w:after="0" w:line="240" w:lineRule="auto"/>
        <w:rPr>
          <w:rFonts w:ascii="Garamond" w:eastAsia="Garamond" w:hAnsi="Garamond" w:cs="Garamond"/>
          <w:color w:val="000000" w:themeColor="text1"/>
          <w:highlight w:val="white"/>
        </w:rPr>
      </w:pPr>
    </w:p>
    <w:p w:rsidR="00886CC7" w:rsidRDefault="00B73DCC">
      <w:pPr>
        <w:spacing w:after="0" w:line="240" w:lineRule="auto"/>
        <w:rPr>
          <w:rFonts w:ascii="Garamond" w:eastAsia="Garamond" w:hAnsi="Garamond" w:cs="Garamond"/>
        </w:rPr>
      </w:pPr>
      <w:r w:rsidRPr="00B73DCC">
        <w:rPr>
          <w:rFonts w:ascii="Garamond" w:eastAsia="Garamond" w:hAnsi="Garamond" w:cs="Garamond"/>
        </w:rPr>
        <w:t>Copernicus Sentinel</w:t>
      </w:r>
      <w:r w:rsidR="00760D70">
        <w:rPr>
          <w:rFonts w:ascii="Garamond" w:eastAsia="Garamond" w:hAnsi="Garamond" w:cs="Garamond"/>
        </w:rPr>
        <w:t>-1 C-SAR</w:t>
      </w:r>
      <w:bookmarkStart w:id="9" w:name="_GoBack"/>
      <w:bookmarkEnd w:id="9"/>
      <w:r w:rsidRPr="00B73DCC">
        <w:rPr>
          <w:rFonts w:ascii="Garamond" w:eastAsia="Garamond" w:hAnsi="Garamond" w:cs="Garamond"/>
        </w:rPr>
        <w:t xml:space="preserve"> data [</w:t>
      </w:r>
      <w:r>
        <w:rPr>
          <w:rFonts w:ascii="Garamond" w:eastAsia="Garamond" w:hAnsi="Garamond" w:cs="Garamond"/>
        </w:rPr>
        <w:t>2017</w:t>
      </w:r>
      <w:r w:rsidRPr="00B73DCC">
        <w:rPr>
          <w:rFonts w:ascii="Garamond" w:eastAsia="Garamond" w:hAnsi="Garamond" w:cs="Garamond"/>
        </w:rPr>
        <w:t>]. Retrieved from ASF DAAC [</w:t>
      </w:r>
      <w:r>
        <w:rPr>
          <w:rFonts w:ascii="Garamond" w:eastAsia="Garamond" w:hAnsi="Garamond" w:cs="Garamond"/>
        </w:rPr>
        <w:t>10 October 2019</w:t>
      </w:r>
      <w:r w:rsidRPr="00B73DCC">
        <w:rPr>
          <w:rFonts w:ascii="Garamond" w:eastAsia="Garamond" w:hAnsi="Garamond" w:cs="Garamond"/>
        </w:rPr>
        <w:t>], processed by ESA</w:t>
      </w:r>
    </w:p>
    <w:p w:rsidR="00B73DCC" w:rsidRPr="00B26968" w:rsidRDefault="00B73DCC">
      <w:pPr>
        <w:spacing w:after="0" w:line="240" w:lineRule="auto"/>
        <w:rPr>
          <w:rFonts w:ascii="Garamond" w:eastAsia="Garamond" w:hAnsi="Garamond" w:cs="Garamond"/>
          <w:color w:val="000000" w:themeColor="text1"/>
          <w:highlight w:val="white"/>
        </w:rPr>
      </w:pPr>
    </w:p>
    <w:p w:rsidR="00B26968" w:rsidRDefault="00457177" w:rsidP="00B26968">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 xml:space="preserve">Hogenson, K., Arko, S.A., </w:t>
      </w:r>
      <w:proofErr w:type="spellStart"/>
      <w:r w:rsidRPr="00B26968">
        <w:rPr>
          <w:rFonts w:ascii="Garamond" w:eastAsia="Garamond" w:hAnsi="Garamond" w:cs="Garamond"/>
          <w:color w:val="000000" w:themeColor="text1"/>
          <w:highlight w:val="white"/>
        </w:rPr>
        <w:t>Buechler</w:t>
      </w:r>
      <w:proofErr w:type="spellEnd"/>
      <w:r w:rsidRPr="00B26968">
        <w:rPr>
          <w:rFonts w:ascii="Garamond" w:eastAsia="Garamond" w:hAnsi="Garamond" w:cs="Garamond"/>
          <w:color w:val="000000" w:themeColor="text1"/>
          <w:highlight w:val="white"/>
        </w:rPr>
        <w:t>, B., Hogenson, R., Herrmann, J. and Geiger, A., 2016. Hybrid Pluggable</w:t>
      </w:r>
    </w:p>
    <w:p w:rsidR="00886CC7" w:rsidRPr="00B26968" w:rsidRDefault="00457177" w:rsidP="00B26968">
      <w:pPr>
        <w:spacing w:after="0" w:line="240" w:lineRule="auto"/>
        <w:ind w:left="720"/>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Processing Pipeline (HyP3): A cloud-based infrastructure for generic processing of SAR data. Abstract [IN21B-1740] presented at 2016 AGU Fall Meeting, San Francisco, CA, 12-16 December.</w:t>
      </w:r>
    </w:p>
    <w:p w:rsidR="00886CC7" w:rsidRPr="00B26968" w:rsidRDefault="00886CC7">
      <w:pPr>
        <w:spacing w:after="0" w:line="240" w:lineRule="auto"/>
        <w:rPr>
          <w:rFonts w:ascii="Garamond" w:eastAsia="Garamond" w:hAnsi="Garamond" w:cs="Garamond"/>
          <w:color w:val="000000" w:themeColor="text1"/>
          <w:highlight w:val="white"/>
        </w:rPr>
      </w:pPr>
    </w:p>
    <w:p w:rsidR="00886CC7" w:rsidRPr="00B26968" w:rsidRDefault="00457177">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lang w:val="es-PA"/>
        </w:rPr>
        <w:t xml:space="preserve">Kristensen, K. J., &amp; Jensen, S. E. (1975). </w:t>
      </w:r>
      <w:r w:rsidRPr="00B26968">
        <w:rPr>
          <w:rFonts w:ascii="Garamond" w:eastAsia="Garamond" w:hAnsi="Garamond" w:cs="Garamond"/>
          <w:color w:val="000000" w:themeColor="text1"/>
          <w:highlight w:val="white"/>
        </w:rPr>
        <w:t xml:space="preserve">A MODEL FOR ESTIMATING ACTUAL </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t xml:space="preserve">EVAPOTRANSPIRATION FROM POTENTIAL EVAPOTRANSPIRATION. </w:t>
      </w:r>
      <w:r w:rsidRPr="00B26968">
        <w:rPr>
          <w:rFonts w:ascii="Garamond" w:eastAsia="Garamond" w:hAnsi="Garamond" w:cs="Garamond"/>
          <w:i/>
          <w:color w:val="000000" w:themeColor="text1"/>
          <w:highlight w:val="white"/>
        </w:rPr>
        <w:t>Hydrology Research</w:t>
      </w:r>
      <w:r w:rsidRPr="00B26968">
        <w:rPr>
          <w:rFonts w:ascii="Garamond" w:eastAsia="Garamond" w:hAnsi="Garamond" w:cs="Garamond"/>
          <w:color w:val="000000" w:themeColor="text1"/>
          <w:highlight w:val="white"/>
        </w:rPr>
        <w:t>,</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t xml:space="preserve"> </w:t>
      </w:r>
      <w:r w:rsidRPr="00B26968">
        <w:rPr>
          <w:rFonts w:ascii="Garamond" w:eastAsia="Garamond" w:hAnsi="Garamond" w:cs="Garamond"/>
          <w:i/>
          <w:color w:val="000000" w:themeColor="text1"/>
          <w:highlight w:val="white"/>
        </w:rPr>
        <w:t>6</w:t>
      </w:r>
      <w:r w:rsidRPr="00B26968">
        <w:rPr>
          <w:rFonts w:ascii="Garamond" w:eastAsia="Garamond" w:hAnsi="Garamond" w:cs="Garamond"/>
          <w:color w:val="000000" w:themeColor="text1"/>
          <w:highlight w:val="white"/>
        </w:rPr>
        <w:t>(3), 170–188.</w:t>
      </w:r>
      <w:hyperlink r:id="rId25">
        <w:r w:rsidRPr="00B26968">
          <w:rPr>
            <w:rFonts w:ascii="Garamond" w:eastAsia="Garamond" w:hAnsi="Garamond" w:cs="Garamond"/>
            <w:color w:val="000000" w:themeColor="text1"/>
            <w:highlight w:val="white"/>
          </w:rPr>
          <w:t xml:space="preserve"> </w:t>
        </w:r>
      </w:hyperlink>
      <w:hyperlink r:id="rId26">
        <w:r w:rsidRPr="00B26968">
          <w:rPr>
            <w:rFonts w:ascii="Garamond" w:eastAsia="Garamond" w:hAnsi="Garamond" w:cs="Garamond"/>
            <w:color w:val="000000" w:themeColor="text1"/>
            <w:highlight w:val="white"/>
          </w:rPr>
          <w:t>https://doi.org/10.2166/nh.1975.0012</w:t>
        </w:r>
      </w:hyperlink>
    </w:p>
    <w:p w:rsidR="00886CC7" w:rsidRPr="00B26968" w:rsidRDefault="00886CC7">
      <w:pPr>
        <w:spacing w:after="0" w:line="240" w:lineRule="auto"/>
        <w:rPr>
          <w:rFonts w:ascii="Garamond" w:eastAsia="Garamond" w:hAnsi="Garamond" w:cs="Garamond"/>
          <w:color w:val="000000" w:themeColor="text1"/>
          <w:highlight w:val="white"/>
        </w:rPr>
      </w:pPr>
    </w:p>
    <w:p w:rsidR="00886CC7" w:rsidRPr="00B26968" w:rsidRDefault="00457177">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 xml:space="preserve">National Association of Credit Men (U.S.). (1913). Bulletin of the National Association of Credit Men. New </w:t>
      </w:r>
    </w:p>
    <w:p w:rsidR="00886CC7" w:rsidRPr="00B26968" w:rsidRDefault="00457177">
      <w:pPr>
        <w:spacing w:after="0" w:line="240" w:lineRule="auto"/>
        <w:ind w:firstLine="720"/>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York, N.Y.: The Association.</w:t>
      </w:r>
    </w:p>
    <w:p w:rsidR="00886CC7" w:rsidRPr="00B26968" w:rsidRDefault="00886CC7">
      <w:pPr>
        <w:spacing w:after="0" w:line="240" w:lineRule="auto"/>
        <w:rPr>
          <w:rFonts w:ascii="Garamond" w:eastAsia="Garamond" w:hAnsi="Garamond" w:cs="Garamond"/>
          <w:color w:val="000000" w:themeColor="text1"/>
          <w:highlight w:val="white"/>
        </w:rPr>
      </w:pPr>
    </w:p>
    <w:p w:rsidR="00B26968" w:rsidRPr="00B26968" w:rsidRDefault="00457177" w:rsidP="00B26968">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 xml:space="preserve">Mu, </w:t>
      </w:r>
      <w:proofErr w:type="spellStart"/>
      <w:r w:rsidRPr="00B26968">
        <w:rPr>
          <w:rFonts w:ascii="Garamond" w:eastAsia="Garamond" w:hAnsi="Garamond" w:cs="Garamond"/>
          <w:color w:val="000000" w:themeColor="text1"/>
          <w:highlight w:val="white"/>
        </w:rPr>
        <w:t>Qiaozhen</w:t>
      </w:r>
      <w:proofErr w:type="spellEnd"/>
      <w:r w:rsidRPr="00B26968">
        <w:rPr>
          <w:rFonts w:ascii="Garamond" w:eastAsia="Garamond" w:hAnsi="Garamond" w:cs="Garamond"/>
          <w:color w:val="000000" w:themeColor="text1"/>
          <w:highlight w:val="white"/>
        </w:rPr>
        <w:t xml:space="preserve"> &amp; Zhao, </w:t>
      </w:r>
      <w:proofErr w:type="spellStart"/>
      <w:r w:rsidRPr="00B26968">
        <w:rPr>
          <w:rFonts w:ascii="Garamond" w:eastAsia="Garamond" w:hAnsi="Garamond" w:cs="Garamond"/>
          <w:color w:val="000000" w:themeColor="text1"/>
          <w:highlight w:val="white"/>
        </w:rPr>
        <w:t>Maosheng</w:t>
      </w:r>
      <w:proofErr w:type="spellEnd"/>
      <w:r w:rsidRPr="00B26968">
        <w:rPr>
          <w:rFonts w:ascii="Garamond" w:eastAsia="Garamond" w:hAnsi="Garamond" w:cs="Garamond"/>
          <w:color w:val="000000" w:themeColor="text1"/>
          <w:highlight w:val="white"/>
        </w:rPr>
        <w:t xml:space="preserve"> &amp; Running, Steven. (2013). Algorithm Theoretical Basis Document:</w:t>
      </w:r>
    </w:p>
    <w:p w:rsidR="00886CC7" w:rsidRPr="00B26968" w:rsidRDefault="00457177" w:rsidP="00B26968">
      <w:pPr>
        <w:spacing w:after="0" w:line="240" w:lineRule="auto"/>
        <w:ind w:left="720"/>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 xml:space="preserve">MODIS Global Terrestrial Evapotranspiration (ET) Product (NASA MOD16A2/A3) Collection 5. NASA Headquarters. </w:t>
      </w:r>
    </w:p>
    <w:p w:rsidR="00886CC7" w:rsidRPr="00B26968" w:rsidRDefault="00886CC7">
      <w:pPr>
        <w:spacing w:after="0" w:line="240" w:lineRule="auto"/>
        <w:ind w:left="720"/>
        <w:rPr>
          <w:rFonts w:ascii="Garamond" w:eastAsia="Garamond" w:hAnsi="Garamond" w:cs="Garamond"/>
          <w:color w:val="000000" w:themeColor="text1"/>
          <w:highlight w:val="white"/>
        </w:rPr>
      </w:pPr>
    </w:p>
    <w:p w:rsidR="00B26968" w:rsidRPr="00B26968" w:rsidRDefault="00457177" w:rsidP="00B26968">
      <w:pPr>
        <w:spacing w:after="0" w:line="240" w:lineRule="auto"/>
        <w:rPr>
          <w:rFonts w:ascii="Garamond" w:eastAsia="Garamond" w:hAnsi="Garamond" w:cs="Garamond"/>
          <w:i/>
          <w:color w:val="000000" w:themeColor="text1"/>
          <w:highlight w:val="white"/>
        </w:rPr>
      </w:pPr>
      <w:r w:rsidRPr="00B26968">
        <w:rPr>
          <w:rFonts w:ascii="Garamond" w:eastAsia="Garamond" w:hAnsi="Garamond" w:cs="Garamond"/>
          <w:color w:val="000000" w:themeColor="text1"/>
          <w:highlight w:val="white"/>
        </w:rPr>
        <w:t xml:space="preserve">Running, S., Mu, Q., &amp; Zhao, M. (2017). </w:t>
      </w:r>
      <w:r w:rsidRPr="00B26968">
        <w:rPr>
          <w:rFonts w:ascii="Garamond" w:eastAsia="Garamond" w:hAnsi="Garamond" w:cs="Garamond"/>
          <w:i/>
          <w:color w:val="000000" w:themeColor="text1"/>
          <w:highlight w:val="white"/>
        </w:rPr>
        <w:t>MOD16A2 MODIS/Terra Net Evapotranspiration 8-Day L4 Global</w:t>
      </w:r>
    </w:p>
    <w:p w:rsidR="00886CC7" w:rsidRPr="00B26968" w:rsidRDefault="00457177" w:rsidP="00B26968">
      <w:pPr>
        <w:spacing w:after="0" w:line="240" w:lineRule="auto"/>
        <w:ind w:left="720"/>
        <w:rPr>
          <w:rFonts w:ascii="Garamond" w:eastAsia="Garamond" w:hAnsi="Garamond" w:cs="Garamond"/>
          <w:color w:val="000000" w:themeColor="text1"/>
          <w:highlight w:val="white"/>
        </w:rPr>
      </w:pPr>
      <w:r w:rsidRPr="00B26968">
        <w:rPr>
          <w:rFonts w:ascii="Garamond" w:eastAsia="Garamond" w:hAnsi="Garamond" w:cs="Garamond"/>
          <w:i/>
          <w:color w:val="000000" w:themeColor="text1"/>
          <w:highlight w:val="white"/>
        </w:rPr>
        <w:t>500m SIN Grid V006</w:t>
      </w:r>
      <w:r w:rsidRPr="00B26968">
        <w:rPr>
          <w:rFonts w:ascii="Garamond" w:eastAsia="Garamond" w:hAnsi="Garamond" w:cs="Garamond"/>
          <w:color w:val="000000" w:themeColor="text1"/>
          <w:highlight w:val="white"/>
        </w:rPr>
        <w:t xml:space="preserve"> [Data set]. NASA EOSDIS Land Processes DAAC. Accessed 2019-10-01 from https://doi.org/10.5067/MODIS/MOD16A2.006</w:t>
      </w:r>
    </w:p>
    <w:p w:rsidR="00886CC7" w:rsidRPr="00B26968" w:rsidRDefault="00886CC7">
      <w:pPr>
        <w:spacing w:after="0" w:line="240" w:lineRule="auto"/>
        <w:rPr>
          <w:rFonts w:ascii="Garamond" w:eastAsia="Garamond" w:hAnsi="Garamond" w:cs="Garamond"/>
          <w:color w:val="000000" w:themeColor="text1"/>
          <w:highlight w:val="white"/>
        </w:rPr>
      </w:pPr>
    </w:p>
    <w:p w:rsidR="00886CC7" w:rsidRPr="00B26968" w:rsidRDefault="00457177">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 xml:space="preserve">Shimada, M., Itoh, T., </w:t>
      </w:r>
      <w:proofErr w:type="spellStart"/>
      <w:r w:rsidRPr="00B26968">
        <w:rPr>
          <w:rFonts w:ascii="Garamond" w:eastAsia="Garamond" w:hAnsi="Garamond" w:cs="Garamond"/>
          <w:color w:val="000000" w:themeColor="text1"/>
          <w:highlight w:val="white"/>
        </w:rPr>
        <w:t>Motooka</w:t>
      </w:r>
      <w:proofErr w:type="spellEnd"/>
      <w:r w:rsidRPr="00B26968">
        <w:rPr>
          <w:rFonts w:ascii="Garamond" w:eastAsia="Garamond" w:hAnsi="Garamond" w:cs="Garamond"/>
          <w:color w:val="000000" w:themeColor="text1"/>
          <w:highlight w:val="white"/>
        </w:rPr>
        <w:t xml:space="preserve">, T., Watanabe, M., </w:t>
      </w:r>
      <w:proofErr w:type="spellStart"/>
      <w:r w:rsidRPr="00B26968">
        <w:rPr>
          <w:rFonts w:ascii="Garamond" w:eastAsia="Garamond" w:hAnsi="Garamond" w:cs="Garamond"/>
          <w:color w:val="000000" w:themeColor="text1"/>
          <w:highlight w:val="white"/>
        </w:rPr>
        <w:t>Shiraishi</w:t>
      </w:r>
      <w:proofErr w:type="spellEnd"/>
      <w:r w:rsidRPr="00B26968">
        <w:rPr>
          <w:rFonts w:ascii="Garamond" w:eastAsia="Garamond" w:hAnsi="Garamond" w:cs="Garamond"/>
          <w:color w:val="000000" w:themeColor="text1"/>
          <w:highlight w:val="white"/>
        </w:rPr>
        <w:t xml:space="preserve">, T., Thapa, R., &amp; Lucas, R. (2014). New global </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t xml:space="preserve">forest/non-forest maps from ALOS PALSAR data (2007–2010). </w:t>
      </w:r>
      <w:r w:rsidRPr="00B26968">
        <w:rPr>
          <w:rFonts w:ascii="Garamond" w:eastAsia="Garamond" w:hAnsi="Garamond" w:cs="Garamond"/>
          <w:i/>
          <w:color w:val="000000" w:themeColor="text1"/>
          <w:highlight w:val="white"/>
        </w:rPr>
        <w:t>Remote Sensing of Environment</w:t>
      </w:r>
      <w:r w:rsidRPr="00B26968">
        <w:rPr>
          <w:rFonts w:ascii="Garamond" w:eastAsia="Garamond" w:hAnsi="Garamond" w:cs="Garamond"/>
          <w:color w:val="000000" w:themeColor="text1"/>
          <w:highlight w:val="white"/>
        </w:rPr>
        <w:t>, 19.</w:t>
      </w:r>
    </w:p>
    <w:p w:rsidR="00886CC7" w:rsidRPr="00B26968" w:rsidRDefault="00886CC7">
      <w:pPr>
        <w:spacing w:after="0" w:line="240" w:lineRule="auto"/>
        <w:rPr>
          <w:rFonts w:ascii="Garamond" w:eastAsia="Garamond" w:hAnsi="Garamond" w:cs="Garamond"/>
          <w:color w:val="000000" w:themeColor="text1"/>
          <w:highlight w:val="white"/>
        </w:rPr>
      </w:pPr>
    </w:p>
    <w:p w:rsidR="00886CC7" w:rsidRPr="00B26968" w:rsidRDefault="00457177">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lang w:val="es-PA"/>
        </w:rPr>
        <w:t xml:space="preserve">Simard, M., Riel, B. V., Denbina, M., &amp; Hensley, S. (2016). </w:t>
      </w:r>
      <w:r w:rsidRPr="00B26968">
        <w:rPr>
          <w:rFonts w:ascii="Garamond" w:eastAsia="Garamond" w:hAnsi="Garamond" w:cs="Garamond"/>
          <w:color w:val="000000" w:themeColor="text1"/>
          <w:highlight w:val="white"/>
        </w:rPr>
        <w:t xml:space="preserve">Radiometric Correction of Airborne Radar Images </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t xml:space="preserve">Over Forested Terrain </w:t>
      </w:r>
      <w:proofErr w:type="gramStart"/>
      <w:r w:rsidRPr="00B26968">
        <w:rPr>
          <w:rFonts w:ascii="Garamond" w:eastAsia="Garamond" w:hAnsi="Garamond" w:cs="Garamond"/>
          <w:color w:val="000000" w:themeColor="text1"/>
          <w:highlight w:val="white"/>
        </w:rPr>
        <w:t>With</w:t>
      </w:r>
      <w:proofErr w:type="gramEnd"/>
      <w:r w:rsidRPr="00B26968">
        <w:rPr>
          <w:rFonts w:ascii="Garamond" w:eastAsia="Garamond" w:hAnsi="Garamond" w:cs="Garamond"/>
          <w:color w:val="000000" w:themeColor="text1"/>
          <w:highlight w:val="white"/>
        </w:rPr>
        <w:t xml:space="preserve"> Topography. </w:t>
      </w:r>
      <w:r w:rsidRPr="00B26968">
        <w:rPr>
          <w:rFonts w:ascii="Garamond" w:eastAsia="Garamond" w:hAnsi="Garamond" w:cs="Garamond"/>
          <w:i/>
          <w:color w:val="000000" w:themeColor="text1"/>
          <w:highlight w:val="white"/>
        </w:rPr>
        <w:t>IEEE Transactions on Geoscience and Remote Sensing</w:t>
      </w:r>
      <w:r w:rsidRPr="00B26968">
        <w:rPr>
          <w:rFonts w:ascii="Garamond" w:eastAsia="Garamond" w:hAnsi="Garamond" w:cs="Garamond"/>
          <w:color w:val="000000" w:themeColor="text1"/>
          <w:highlight w:val="white"/>
        </w:rPr>
        <w:t xml:space="preserve">, </w:t>
      </w:r>
      <w:r w:rsidRPr="00B26968">
        <w:rPr>
          <w:rFonts w:ascii="Garamond" w:eastAsia="Garamond" w:hAnsi="Garamond" w:cs="Garamond"/>
          <w:i/>
          <w:color w:val="000000" w:themeColor="text1"/>
          <w:highlight w:val="white"/>
        </w:rPr>
        <w:t>54</w:t>
      </w:r>
      <w:r w:rsidRPr="00B26968">
        <w:rPr>
          <w:rFonts w:ascii="Garamond" w:eastAsia="Garamond" w:hAnsi="Garamond" w:cs="Garamond"/>
          <w:color w:val="000000" w:themeColor="text1"/>
          <w:highlight w:val="white"/>
        </w:rPr>
        <w:t xml:space="preserve">(8), </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t>4488–4500.</w:t>
      </w:r>
      <w:hyperlink r:id="rId27">
        <w:r w:rsidRPr="00B26968">
          <w:rPr>
            <w:rFonts w:ascii="Garamond" w:eastAsia="Garamond" w:hAnsi="Garamond" w:cs="Garamond"/>
            <w:color w:val="000000" w:themeColor="text1"/>
            <w:highlight w:val="white"/>
          </w:rPr>
          <w:t xml:space="preserve"> </w:t>
        </w:r>
      </w:hyperlink>
      <w:hyperlink r:id="rId28">
        <w:r w:rsidRPr="00B26968">
          <w:rPr>
            <w:rFonts w:ascii="Garamond" w:eastAsia="Garamond" w:hAnsi="Garamond" w:cs="Garamond"/>
            <w:color w:val="000000" w:themeColor="text1"/>
            <w:highlight w:val="white"/>
          </w:rPr>
          <w:t>https://doi.org/10.1109/TGRS.2016.2543142</w:t>
        </w:r>
      </w:hyperlink>
    </w:p>
    <w:p w:rsidR="00886CC7" w:rsidRPr="00B26968" w:rsidRDefault="00886CC7">
      <w:pPr>
        <w:spacing w:after="0" w:line="240" w:lineRule="auto"/>
        <w:rPr>
          <w:rFonts w:ascii="Garamond" w:eastAsia="Garamond" w:hAnsi="Garamond" w:cs="Garamond"/>
          <w:color w:val="000000" w:themeColor="text1"/>
          <w:highlight w:val="white"/>
        </w:rPr>
      </w:pPr>
    </w:p>
    <w:p w:rsidR="00886CC7" w:rsidRPr="00B26968" w:rsidRDefault="00457177">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 xml:space="preserve">Small, D. (2011). Flattening Gamma: Radiometric Terrain Correction for SAR Imagery. </w:t>
      </w:r>
      <w:r w:rsidRPr="00B26968">
        <w:rPr>
          <w:rFonts w:ascii="Garamond" w:eastAsia="Garamond" w:hAnsi="Garamond" w:cs="Garamond"/>
          <w:i/>
          <w:color w:val="000000" w:themeColor="text1"/>
          <w:highlight w:val="white"/>
        </w:rPr>
        <w:t xml:space="preserve">IEEE Transactions on </w:t>
      </w:r>
      <w:r w:rsidRPr="00B26968">
        <w:rPr>
          <w:rFonts w:ascii="Garamond" w:eastAsia="Garamond" w:hAnsi="Garamond" w:cs="Garamond"/>
          <w:i/>
          <w:color w:val="000000" w:themeColor="text1"/>
          <w:highlight w:val="white"/>
        </w:rPr>
        <w:br/>
      </w:r>
      <w:r w:rsidRPr="00B26968">
        <w:rPr>
          <w:rFonts w:ascii="Garamond" w:eastAsia="Garamond" w:hAnsi="Garamond" w:cs="Garamond"/>
          <w:i/>
          <w:color w:val="000000" w:themeColor="text1"/>
          <w:highlight w:val="white"/>
        </w:rPr>
        <w:tab/>
        <w:t>Geoscience and Remote Sensing</w:t>
      </w:r>
      <w:r w:rsidRPr="00B26968">
        <w:rPr>
          <w:rFonts w:ascii="Garamond" w:eastAsia="Garamond" w:hAnsi="Garamond" w:cs="Garamond"/>
          <w:color w:val="000000" w:themeColor="text1"/>
          <w:highlight w:val="white"/>
        </w:rPr>
        <w:t xml:space="preserve">, </w:t>
      </w:r>
      <w:r w:rsidRPr="00B26968">
        <w:rPr>
          <w:rFonts w:ascii="Garamond" w:eastAsia="Garamond" w:hAnsi="Garamond" w:cs="Garamond"/>
          <w:i/>
          <w:color w:val="000000" w:themeColor="text1"/>
          <w:highlight w:val="white"/>
        </w:rPr>
        <w:t>49</w:t>
      </w:r>
      <w:r w:rsidRPr="00B26968">
        <w:rPr>
          <w:rFonts w:ascii="Garamond" w:eastAsia="Garamond" w:hAnsi="Garamond" w:cs="Garamond"/>
          <w:color w:val="000000" w:themeColor="text1"/>
          <w:highlight w:val="white"/>
        </w:rPr>
        <w:t>(8), 3081–3093.</w:t>
      </w:r>
      <w:hyperlink r:id="rId29">
        <w:r w:rsidRPr="00B26968">
          <w:rPr>
            <w:rFonts w:ascii="Garamond" w:eastAsia="Garamond" w:hAnsi="Garamond" w:cs="Garamond"/>
            <w:color w:val="000000" w:themeColor="text1"/>
            <w:highlight w:val="white"/>
          </w:rPr>
          <w:t xml:space="preserve"> </w:t>
        </w:r>
      </w:hyperlink>
      <w:hyperlink r:id="rId30">
        <w:r w:rsidRPr="00B26968">
          <w:rPr>
            <w:rFonts w:ascii="Garamond" w:eastAsia="Garamond" w:hAnsi="Garamond" w:cs="Garamond"/>
            <w:color w:val="000000" w:themeColor="text1"/>
            <w:highlight w:val="white"/>
          </w:rPr>
          <w:t>https://doi.org/10.1109/TGRS.2011.2120616</w:t>
        </w:r>
      </w:hyperlink>
    </w:p>
    <w:p w:rsidR="00886CC7" w:rsidRPr="00B26968" w:rsidRDefault="00886CC7">
      <w:pPr>
        <w:spacing w:after="0" w:line="240" w:lineRule="auto"/>
        <w:rPr>
          <w:rFonts w:ascii="Garamond" w:eastAsia="Garamond" w:hAnsi="Garamond" w:cs="Garamond"/>
          <w:color w:val="000000" w:themeColor="text1"/>
          <w:highlight w:val="white"/>
        </w:rPr>
      </w:pPr>
    </w:p>
    <w:p w:rsidR="00886CC7" w:rsidRPr="00B26968" w:rsidRDefault="00457177">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lang w:val="es-PA"/>
        </w:rPr>
        <w:t xml:space="preserve">Soria-Ruiz, J., Fernandez-Ordoñez, Y., &amp; Woodhouse, I. H. (2010). </w:t>
      </w:r>
      <w:r w:rsidRPr="00B26968">
        <w:rPr>
          <w:rFonts w:ascii="Garamond" w:eastAsia="Garamond" w:hAnsi="Garamond" w:cs="Garamond"/>
          <w:color w:val="000000" w:themeColor="text1"/>
          <w:highlight w:val="white"/>
        </w:rPr>
        <w:t xml:space="preserve">Land-cover classification using radar and </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t xml:space="preserve">optical images: A case study in Central Mexico. </w:t>
      </w:r>
      <w:r w:rsidRPr="00B26968">
        <w:rPr>
          <w:rFonts w:ascii="Garamond" w:eastAsia="Garamond" w:hAnsi="Garamond" w:cs="Garamond"/>
          <w:i/>
          <w:color w:val="000000" w:themeColor="text1"/>
          <w:highlight w:val="white"/>
        </w:rPr>
        <w:t>International Journal of Remote Sensing</w:t>
      </w:r>
      <w:r w:rsidRPr="00B26968">
        <w:rPr>
          <w:rFonts w:ascii="Garamond" w:eastAsia="Garamond" w:hAnsi="Garamond" w:cs="Garamond"/>
          <w:color w:val="000000" w:themeColor="text1"/>
          <w:highlight w:val="white"/>
        </w:rPr>
        <w:t xml:space="preserve">, </w:t>
      </w:r>
      <w:r w:rsidRPr="00B26968">
        <w:rPr>
          <w:rFonts w:ascii="Garamond" w:eastAsia="Garamond" w:hAnsi="Garamond" w:cs="Garamond"/>
          <w:i/>
          <w:color w:val="000000" w:themeColor="text1"/>
          <w:highlight w:val="white"/>
        </w:rPr>
        <w:t>31</w:t>
      </w:r>
      <w:r w:rsidRPr="00B26968">
        <w:rPr>
          <w:rFonts w:ascii="Garamond" w:eastAsia="Garamond" w:hAnsi="Garamond" w:cs="Garamond"/>
          <w:color w:val="000000" w:themeColor="text1"/>
          <w:highlight w:val="white"/>
        </w:rPr>
        <w:t xml:space="preserve">(12), </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t>3291–3305.</w:t>
      </w:r>
      <w:hyperlink r:id="rId31">
        <w:r w:rsidRPr="00B26968">
          <w:rPr>
            <w:rFonts w:ascii="Garamond" w:eastAsia="Garamond" w:hAnsi="Garamond" w:cs="Garamond"/>
            <w:color w:val="000000" w:themeColor="text1"/>
            <w:highlight w:val="white"/>
          </w:rPr>
          <w:t xml:space="preserve"> </w:t>
        </w:r>
      </w:hyperlink>
      <w:hyperlink r:id="rId32">
        <w:r w:rsidRPr="00B26968">
          <w:rPr>
            <w:rFonts w:ascii="Garamond" w:eastAsia="Garamond" w:hAnsi="Garamond" w:cs="Garamond"/>
            <w:color w:val="000000" w:themeColor="text1"/>
            <w:highlight w:val="white"/>
          </w:rPr>
          <w:t>https://doi.org/10.1080/01431160903160777</w:t>
        </w:r>
      </w:hyperlink>
    </w:p>
    <w:p w:rsidR="00886CC7" w:rsidRPr="00B26968" w:rsidRDefault="00886CC7">
      <w:pPr>
        <w:spacing w:after="0" w:line="240" w:lineRule="auto"/>
        <w:rPr>
          <w:rFonts w:ascii="Garamond" w:eastAsia="Garamond" w:hAnsi="Garamond" w:cs="Garamond"/>
          <w:color w:val="000000" w:themeColor="text1"/>
          <w:highlight w:val="white"/>
        </w:rPr>
      </w:pPr>
    </w:p>
    <w:p w:rsidR="00886CC7" w:rsidRPr="00B26968" w:rsidRDefault="00457177">
      <w:pPr>
        <w:spacing w:after="0" w:line="240" w:lineRule="auto"/>
        <w:rPr>
          <w:rFonts w:ascii="Garamond" w:eastAsia="Garamond" w:hAnsi="Garamond" w:cs="Garamond"/>
          <w:color w:val="000000" w:themeColor="text1"/>
          <w:highlight w:val="white"/>
        </w:rPr>
      </w:pPr>
      <w:r w:rsidRPr="00B26968">
        <w:rPr>
          <w:rFonts w:ascii="Garamond" w:eastAsia="Garamond" w:hAnsi="Garamond" w:cs="Garamond"/>
          <w:color w:val="000000" w:themeColor="text1"/>
          <w:highlight w:val="white"/>
        </w:rPr>
        <w:t xml:space="preserve">Wang, M. (2017). The role of Panama Canal in global shipping. </w:t>
      </w:r>
      <w:r w:rsidRPr="00B26968">
        <w:rPr>
          <w:rFonts w:ascii="Garamond" w:eastAsia="Garamond" w:hAnsi="Garamond" w:cs="Garamond"/>
          <w:i/>
          <w:color w:val="000000" w:themeColor="text1"/>
          <w:highlight w:val="white"/>
        </w:rPr>
        <w:t>Maritime Business Review</w:t>
      </w:r>
      <w:r w:rsidRPr="00B26968">
        <w:rPr>
          <w:rFonts w:ascii="Garamond" w:eastAsia="Garamond" w:hAnsi="Garamond" w:cs="Garamond"/>
          <w:color w:val="000000" w:themeColor="text1"/>
          <w:highlight w:val="white"/>
        </w:rPr>
        <w:t xml:space="preserve">, </w:t>
      </w:r>
      <w:r w:rsidRPr="00B26968">
        <w:rPr>
          <w:rFonts w:ascii="Garamond" w:eastAsia="Garamond" w:hAnsi="Garamond" w:cs="Garamond"/>
          <w:i/>
          <w:color w:val="000000" w:themeColor="text1"/>
          <w:highlight w:val="white"/>
        </w:rPr>
        <w:t>2</w:t>
      </w:r>
      <w:r w:rsidRPr="00B26968">
        <w:rPr>
          <w:rFonts w:ascii="Garamond" w:eastAsia="Garamond" w:hAnsi="Garamond" w:cs="Garamond"/>
          <w:color w:val="000000" w:themeColor="text1"/>
          <w:highlight w:val="white"/>
        </w:rPr>
        <w:t>(3), 247–260.</w:t>
      </w:r>
      <w:hyperlink r:id="rId33">
        <w:r w:rsidRPr="00B26968">
          <w:rPr>
            <w:rFonts w:ascii="Garamond" w:eastAsia="Garamond" w:hAnsi="Garamond" w:cs="Garamond"/>
            <w:color w:val="000000" w:themeColor="text1"/>
            <w:highlight w:val="white"/>
          </w:rPr>
          <w:t xml:space="preserve"> </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r>
      </w:hyperlink>
      <w:hyperlink r:id="rId34">
        <w:r w:rsidRPr="00B26968">
          <w:rPr>
            <w:rFonts w:ascii="Garamond" w:eastAsia="Garamond" w:hAnsi="Garamond" w:cs="Garamond"/>
            <w:color w:val="000000" w:themeColor="text1"/>
            <w:highlight w:val="white"/>
          </w:rPr>
          <w:t>https://doi.org/10.1108/MABR-07-2017-0014</w:t>
        </w:r>
      </w:hyperlink>
    </w:p>
    <w:p w:rsidR="00886CC7" w:rsidRPr="00B26968" w:rsidRDefault="00886CC7">
      <w:pPr>
        <w:spacing w:after="0" w:line="240" w:lineRule="auto"/>
        <w:ind w:left="720"/>
        <w:rPr>
          <w:rFonts w:ascii="Garamond" w:eastAsia="Garamond" w:hAnsi="Garamond" w:cs="Garamond"/>
          <w:color w:val="000000" w:themeColor="text1"/>
          <w:highlight w:val="white"/>
        </w:rPr>
      </w:pPr>
    </w:p>
    <w:p w:rsidR="00930746" w:rsidRDefault="00457177" w:rsidP="00930746">
      <w:pPr>
        <w:spacing w:after="0" w:line="240" w:lineRule="auto"/>
        <w:rPr>
          <w:rFonts w:ascii="Garamond" w:eastAsia="Garamond" w:hAnsi="Garamond" w:cs="Garamond"/>
          <w:i/>
          <w:color w:val="000000" w:themeColor="text1"/>
          <w:highlight w:val="white"/>
        </w:rPr>
      </w:pPr>
      <w:r w:rsidRPr="00B26968">
        <w:rPr>
          <w:rFonts w:ascii="Garamond" w:eastAsia="Garamond" w:hAnsi="Garamond" w:cs="Garamond"/>
          <w:color w:val="000000" w:themeColor="text1"/>
          <w:highlight w:val="white"/>
        </w:rPr>
        <w:t xml:space="preserve">Wan, Z., Hook, S., &amp; </w:t>
      </w:r>
      <w:proofErr w:type="spellStart"/>
      <w:r w:rsidRPr="00B26968">
        <w:rPr>
          <w:rFonts w:ascii="Garamond" w:eastAsia="Garamond" w:hAnsi="Garamond" w:cs="Garamond"/>
          <w:color w:val="000000" w:themeColor="text1"/>
          <w:highlight w:val="white"/>
        </w:rPr>
        <w:t>Hulley</w:t>
      </w:r>
      <w:proofErr w:type="spellEnd"/>
      <w:r w:rsidRPr="00B26968">
        <w:rPr>
          <w:rFonts w:ascii="Garamond" w:eastAsia="Garamond" w:hAnsi="Garamond" w:cs="Garamond"/>
          <w:color w:val="000000" w:themeColor="text1"/>
          <w:highlight w:val="white"/>
        </w:rPr>
        <w:t xml:space="preserve">, G. (2015). </w:t>
      </w:r>
      <w:r w:rsidRPr="00B26968">
        <w:rPr>
          <w:rFonts w:ascii="Garamond" w:eastAsia="Garamond" w:hAnsi="Garamond" w:cs="Garamond"/>
          <w:i/>
          <w:color w:val="000000" w:themeColor="text1"/>
          <w:highlight w:val="white"/>
        </w:rPr>
        <w:t>MOD11A1 MODIS/Terra Land Surface Temperature/Emissivity Daily L3</w:t>
      </w:r>
    </w:p>
    <w:p w:rsidR="00886CC7" w:rsidRPr="00B26968" w:rsidRDefault="00457177" w:rsidP="00930746">
      <w:pPr>
        <w:spacing w:after="0" w:line="240" w:lineRule="auto"/>
        <w:ind w:left="720"/>
        <w:rPr>
          <w:rFonts w:ascii="Garamond" w:eastAsia="Garamond" w:hAnsi="Garamond" w:cs="Garamond"/>
          <w:color w:val="000000" w:themeColor="text1"/>
          <w:highlight w:val="white"/>
        </w:rPr>
      </w:pPr>
      <w:r w:rsidRPr="00B26968">
        <w:rPr>
          <w:rFonts w:ascii="Garamond" w:eastAsia="Garamond" w:hAnsi="Garamond" w:cs="Garamond"/>
          <w:i/>
          <w:color w:val="000000" w:themeColor="text1"/>
          <w:highlight w:val="white"/>
        </w:rPr>
        <w:t>Global 1km SIN Grid V006</w:t>
      </w:r>
      <w:r w:rsidRPr="00B26968">
        <w:rPr>
          <w:rFonts w:ascii="Garamond" w:eastAsia="Garamond" w:hAnsi="Garamond" w:cs="Garamond"/>
          <w:color w:val="000000" w:themeColor="text1"/>
          <w:highlight w:val="white"/>
        </w:rPr>
        <w:t xml:space="preserve"> [Data set]. NASA EOSDIS Land Processes DAAC. Accessed 2019-10-01 from https://doi.org/10.5067/MODIS/MOD11A1.006</w:t>
      </w:r>
    </w:p>
    <w:p w:rsidR="00886CC7" w:rsidRPr="00B26968" w:rsidRDefault="00886CC7">
      <w:pPr>
        <w:spacing w:after="0" w:line="240" w:lineRule="auto"/>
        <w:ind w:left="880" w:hanging="440"/>
        <w:rPr>
          <w:rFonts w:ascii="Garamond" w:eastAsia="Garamond" w:hAnsi="Garamond" w:cs="Garamond"/>
          <w:color w:val="000000" w:themeColor="text1"/>
          <w:highlight w:val="white"/>
        </w:rPr>
      </w:pPr>
    </w:p>
    <w:p w:rsidR="00886CC7" w:rsidRPr="00B26968" w:rsidRDefault="00457177">
      <w:pPr>
        <w:spacing w:after="0" w:line="240" w:lineRule="auto"/>
        <w:rPr>
          <w:rFonts w:ascii="Garamond" w:eastAsia="Garamond" w:hAnsi="Garamond" w:cs="Garamond"/>
          <w:color w:val="000000" w:themeColor="text1"/>
          <w:highlight w:val="white"/>
          <w:lang w:val="es-PA"/>
        </w:rPr>
      </w:pPr>
      <w:proofErr w:type="spellStart"/>
      <w:r w:rsidRPr="00B26968">
        <w:rPr>
          <w:rFonts w:ascii="Garamond" w:eastAsia="Garamond" w:hAnsi="Garamond" w:cs="Garamond"/>
          <w:color w:val="000000" w:themeColor="text1"/>
          <w:highlight w:val="white"/>
        </w:rPr>
        <w:lastRenderedPageBreak/>
        <w:t>Yommy</w:t>
      </w:r>
      <w:proofErr w:type="spellEnd"/>
      <w:r w:rsidRPr="00B26968">
        <w:rPr>
          <w:rFonts w:ascii="Garamond" w:eastAsia="Garamond" w:hAnsi="Garamond" w:cs="Garamond"/>
          <w:color w:val="000000" w:themeColor="text1"/>
          <w:highlight w:val="white"/>
        </w:rPr>
        <w:t xml:space="preserve">, A. S., Liu, R., &amp; Wu, A. S. (2015). SAR Image </w:t>
      </w:r>
      <w:proofErr w:type="spellStart"/>
      <w:r w:rsidRPr="00B26968">
        <w:rPr>
          <w:rFonts w:ascii="Garamond" w:eastAsia="Garamond" w:hAnsi="Garamond" w:cs="Garamond"/>
          <w:color w:val="000000" w:themeColor="text1"/>
          <w:highlight w:val="white"/>
        </w:rPr>
        <w:t>Despeckling</w:t>
      </w:r>
      <w:proofErr w:type="spellEnd"/>
      <w:r w:rsidRPr="00B26968">
        <w:rPr>
          <w:rFonts w:ascii="Garamond" w:eastAsia="Garamond" w:hAnsi="Garamond" w:cs="Garamond"/>
          <w:color w:val="000000" w:themeColor="text1"/>
          <w:highlight w:val="white"/>
        </w:rPr>
        <w:t xml:space="preserve"> Using Refined Lee Filter. </w:t>
      </w:r>
      <w:r w:rsidRPr="00B26968">
        <w:rPr>
          <w:rFonts w:ascii="Garamond" w:eastAsia="Garamond" w:hAnsi="Garamond" w:cs="Garamond"/>
          <w:i/>
          <w:color w:val="000000" w:themeColor="text1"/>
          <w:highlight w:val="white"/>
        </w:rPr>
        <w:t xml:space="preserve">2015 7th </w:t>
      </w:r>
      <w:r w:rsidRPr="00B26968">
        <w:rPr>
          <w:rFonts w:ascii="Garamond" w:eastAsia="Garamond" w:hAnsi="Garamond" w:cs="Garamond"/>
          <w:i/>
          <w:color w:val="000000" w:themeColor="text1"/>
          <w:highlight w:val="white"/>
        </w:rPr>
        <w:br/>
      </w:r>
      <w:r w:rsidRPr="00B26968">
        <w:rPr>
          <w:rFonts w:ascii="Garamond" w:eastAsia="Garamond" w:hAnsi="Garamond" w:cs="Garamond"/>
          <w:i/>
          <w:color w:val="000000" w:themeColor="text1"/>
          <w:highlight w:val="white"/>
        </w:rPr>
        <w:tab/>
        <w:t>International Conference on Intelligent Human-Machine Systems and Cybernetics</w:t>
      </w:r>
      <w:r w:rsidRPr="00B26968">
        <w:rPr>
          <w:rFonts w:ascii="Garamond" w:eastAsia="Garamond" w:hAnsi="Garamond" w:cs="Garamond"/>
          <w:color w:val="000000" w:themeColor="text1"/>
          <w:highlight w:val="white"/>
        </w:rPr>
        <w:t>, 260–265.</w:t>
      </w:r>
      <w:hyperlink r:id="rId35">
        <w:r w:rsidRPr="00B26968">
          <w:rPr>
            <w:rFonts w:ascii="Garamond" w:eastAsia="Garamond" w:hAnsi="Garamond" w:cs="Garamond"/>
            <w:color w:val="000000" w:themeColor="text1"/>
            <w:highlight w:val="white"/>
          </w:rPr>
          <w:t xml:space="preserve"> </w:t>
        </w:r>
        <w:r w:rsidRPr="00B26968">
          <w:rPr>
            <w:rFonts w:ascii="Garamond" w:eastAsia="Garamond" w:hAnsi="Garamond" w:cs="Garamond"/>
            <w:color w:val="000000" w:themeColor="text1"/>
            <w:highlight w:val="white"/>
          </w:rPr>
          <w:br/>
        </w:r>
        <w:r w:rsidRPr="00B26968">
          <w:rPr>
            <w:rFonts w:ascii="Garamond" w:eastAsia="Garamond" w:hAnsi="Garamond" w:cs="Garamond"/>
            <w:color w:val="000000" w:themeColor="text1"/>
            <w:highlight w:val="white"/>
          </w:rPr>
          <w:tab/>
        </w:r>
      </w:hyperlink>
      <w:hyperlink r:id="rId36">
        <w:r w:rsidRPr="00B26968">
          <w:rPr>
            <w:rFonts w:ascii="Garamond" w:eastAsia="Garamond" w:hAnsi="Garamond" w:cs="Garamond"/>
            <w:color w:val="000000" w:themeColor="text1"/>
            <w:highlight w:val="white"/>
            <w:lang w:val="es-PA"/>
          </w:rPr>
          <w:t>https://doi.org/10.1109/IHMSC.2015.236</w:t>
        </w:r>
      </w:hyperlink>
    </w:p>
    <w:p w:rsidR="00886CC7" w:rsidRPr="00B26968" w:rsidRDefault="00886CC7">
      <w:pPr>
        <w:spacing w:after="0" w:line="240" w:lineRule="auto"/>
        <w:rPr>
          <w:rFonts w:ascii="Garamond" w:eastAsia="Garamond" w:hAnsi="Garamond" w:cs="Garamond"/>
          <w:color w:val="000000" w:themeColor="text1"/>
          <w:highlight w:val="white"/>
          <w:lang w:val="es-PA"/>
        </w:rPr>
      </w:pPr>
    </w:p>
    <w:p w:rsidR="00886CC7" w:rsidRPr="00B26968" w:rsidRDefault="00457177">
      <w:pPr>
        <w:spacing w:after="0" w:line="240" w:lineRule="auto"/>
        <w:rPr>
          <w:rFonts w:ascii="Garamond" w:eastAsia="Garamond" w:hAnsi="Garamond" w:cs="Garamond"/>
          <w:color w:val="000000" w:themeColor="text1"/>
        </w:rPr>
      </w:pPr>
      <w:r w:rsidRPr="00B26968">
        <w:rPr>
          <w:rFonts w:ascii="Garamond" w:eastAsia="Garamond" w:hAnsi="Garamond" w:cs="Garamond"/>
          <w:color w:val="000000" w:themeColor="text1"/>
          <w:highlight w:val="white"/>
          <w:lang w:val="es-PA"/>
        </w:rPr>
        <w:t xml:space="preserve">Zotarelli, L., Dukes, M. D., Romero, C. C., &amp; Migliaccio, K. W. (n.d.). </w:t>
      </w:r>
      <w:r w:rsidRPr="00B26968">
        <w:rPr>
          <w:rFonts w:ascii="Garamond" w:eastAsia="Garamond" w:hAnsi="Garamond" w:cs="Garamond"/>
          <w:i/>
          <w:color w:val="000000" w:themeColor="text1"/>
          <w:highlight w:val="white"/>
        </w:rPr>
        <w:t xml:space="preserve">Step by Step Calculation of the </w:t>
      </w:r>
      <w:r w:rsidRPr="00B26968">
        <w:rPr>
          <w:rFonts w:ascii="Garamond" w:eastAsia="Garamond" w:hAnsi="Garamond" w:cs="Garamond"/>
          <w:i/>
          <w:color w:val="000000" w:themeColor="text1"/>
          <w:highlight w:val="white"/>
        </w:rPr>
        <w:br/>
      </w:r>
      <w:r w:rsidRPr="00B26968">
        <w:rPr>
          <w:rFonts w:ascii="Garamond" w:eastAsia="Garamond" w:hAnsi="Garamond" w:cs="Garamond"/>
          <w:i/>
          <w:color w:val="000000" w:themeColor="text1"/>
          <w:highlight w:val="white"/>
        </w:rPr>
        <w:tab/>
        <w:t>Penman-Monteith Evapotranspiration (FAO-56 Method)</w:t>
      </w:r>
      <w:r w:rsidRPr="00B26968">
        <w:rPr>
          <w:rFonts w:ascii="Garamond" w:eastAsia="Garamond" w:hAnsi="Garamond" w:cs="Garamond"/>
          <w:color w:val="000000" w:themeColor="text1"/>
          <w:highlight w:val="white"/>
        </w:rPr>
        <w:t>. 10.</w:t>
      </w:r>
    </w:p>
    <w:p w:rsidR="00886CC7" w:rsidRDefault="00457177">
      <w:pPr>
        <w:pStyle w:val="Heading1"/>
        <w:spacing w:before="0" w:line="240" w:lineRule="auto"/>
        <w:rPr>
          <w:rFonts w:ascii="Garamond" w:eastAsia="Garamond" w:hAnsi="Garamond" w:cs="Garamond"/>
        </w:rPr>
      </w:pPr>
      <w:r>
        <w:br w:type="page"/>
      </w:r>
    </w:p>
    <w:p w:rsidR="00886CC7" w:rsidRDefault="00886CC7">
      <w:pPr>
        <w:pStyle w:val="Heading1"/>
        <w:spacing w:before="0" w:line="240" w:lineRule="auto"/>
        <w:rPr>
          <w:rFonts w:ascii="Garamond" w:eastAsia="Garamond" w:hAnsi="Garamond" w:cs="Garamond"/>
        </w:rPr>
      </w:pPr>
    </w:p>
    <w:p w:rsidR="00886CC7" w:rsidRDefault="00457177">
      <w:pPr>
        <w:pStyle w:val="Heading1"/>
        <w:spacing w:before="0" w:line="240" w:lineRule="auto"/>
        <w:rPr>
          <w:b w:val="0"/>
          <w:color w:val="000000"/>
          <w:sz w:val="22"/>
          <w:szCs w:val="22"/>
        </w:rPr>
      </w:pPr>
      <w:r>
        <w:rPr>
          <w:rFonts w:ascii="Garamond" w:eastAsia="Garamond" w:hAnsi="Garamond" w:cs="Garamond"/>
        </w:rPr>
        <w:t>9. Appendices</w:t>
      </w:r>
      <w:r>
        <w:rPr>
          <w:rFonts w:ascii="Garamond" w:eastAsia="Garamond" w:hAnsi="Garamond" w:cs="Garamond"/>
        </w:rPr>
        <w:br/>
      </w:r>
      <w:r>
        <w:rPr>
          <w:rFonts w:ascii="Garamond" w:eastAsia="Garamond" w:hAnsi="Garamond" w:cs="Garamond"/>
          <w:b w:val="0"/>
          <w:i/>
          <w:color w:val="000000"/>
          <w:sz w:val="22"/>
          <w:szCs w:val="22"/>
        </w:rPr>
        <w:t>Appendix A</w:t>
      </w:r>
      <w:r>
        <w:rPr>
          <w:b w:val="0"/>
          <w:i/>
          <w:color w:val="000000"/>
          <w:sz w:val="22"/>
          <w:szCs w:val="22"/>
        </w:rPr>
        <w:t>.</w:t>
      </w:r>
      <w:r>
        <w:rPr>
          <w:b w:val="0"/>
          <w:color w:val="000000"/>
          <w:sz w:val="22"/>
          <w:szCs w:val="22"/>
        </w:rPr>
        <w:t xml:space="preserve"> </w:t>
      </w:r>
      <w:r>
        <w:rPr>
          <w:rFonts w:ascii="Garamond" w:eastAsia="Garamond" w:hAnsi="Garamond" w:cs="Garamond"/>
          <w:b w:val="0"/>
          <w:color w:val="000000"/>
          <w:sz w:val="22"/>
          <w:szCs w:val="22"/>
        </w:rPr>
        <w:t>Raster and vector data sets utilized in this study</w:t>
      </w:r>
    </w:p>
    <w:tbl>
      <w:tblPr>
        <w:tblStyle w:val="a8"/>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2580"/>
        <w:gridCol w:w="1575"/>
        <w:gridCol w:w="1635"/>
        <w:gridCol w:w="1515"/>
      </w:tblGrid>
      <w:tr w:rsidR="00886CC7">
        <w:tc>
          <w:tcPr>
            <w:tcW w:w="229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b/>
              </w:rPr>
            </w:pPr>
            <w:r>
              <w:rPr>
                <w:rFonts w:ascii="Garamond" w:eastAsia="Garamond" w:hAnsi="Garamond" w:cs="Garamond"/>
                <w:b/>
              </w:rPr>
              <w:t>Variable</w:t>
            </w:r>
          </w:p>
        </w:tc>
        <w:tc>
          <w:tcPr>
            <w:tcW w:w="2580"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b/>
              </w:rPr>
            </w:pPr>
            <w:r>
              <w:rPr>
                <w:rFonts w:ascii="Garamond" w:eastAsia="Garamond" w:hAnsi="Garamond" w:cs="Garamond"/>
                <w:b/>
              </w:rPr>
              <w:t>Product</w:t>
            </w:r>
          </w:p>
        </w:tc>
        <w:tc>
          <w:tcPr>
            <w:tcW w:w="157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b/>
              </w:rPr>
            </w:pPr>
            <w:r>
              <w:rPr>
                <w:rFonts w:ascii="Garamond" w:eastAsia="Garamond" w:hAnsi="Garamond" w:cs="Garamond"/>
                <w:b/>
              </w:rPr>
              <w:t>Date Range</w:t>
            </w:r>
          </w:p>
        </w:tc>
        <w:tc>
          <w:tcPr>
            <w:tcW w:w="163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b/>
              </w:rPr>
            </w:pPr>
            <w:r>
              <w:rPr>
                <w:rFonts w:ascii="Garamond" w:eastAsia="Garamond" w:hAnsi="Garamond" w:cs="Garamond"/>
                <w:b/>
              </w:rPr>
              <w:t>Spatial Resolution</w:t>
            </w:r>
          </w:p>
        </w:tc>
        <w:tc>
          <w:tcPr>
            <w:tcW w:w="151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b/>
              </w:rPr>
            </w:pPr>
            <w:r>
              <w:rPr>
                <w:rFonts w:ascii="Garamond" w:eastAsia="Garamond" w:hAnsi="Garamond" w:cs="Garamond"/>
                <w:b/>
              </w:rPr>
              <w:t>Download Source</w:t>
            </w:r>
          </w:p>
        </w:tc>
      </w:tr>
      <w:tr w:rsidR="00886CC7">
        <w:tc>
          <w:tcPr>
            <w:tcW w:w="229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Adjusted Reference Evapotranspiration</w:t>
            </w:r>
          </w:p>
        </w:tc>
        <w:tc>
          <w:tcPr>
            <w:tcW w:w="2580"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Terra MODIS Level-4 8-day Evapotranspiration (MOD16A2)</w:t>
            </w:r>
          </w:p>
        </w:tc>
        <w:tc>
          <w:tcPr>
            <w:tcW w:w="157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2010 - 2019</w:t>
            </w:r>
          </w:p>
        </w:tc>
        <w:tc>
          <w:tcPr>
            <w:tcW w:w="163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1 km</w:t>
            </w:r>
          </w:p>
        </w:tc>
        <w:tc>
          <w:tcPr>
            <w:tcW w:w="151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proofErr w:type="spellStart"/>
            <w:r>
              <w:rPr>
                <w:rFonts w:ascii="Garamond" w:eastAsia="Garamond" w:hAnsi="Garamond" w:cs="Garamond"/>
              </w:rPr>
              <w:t>MODIStsp</w:t>
            </w:r>
            <w:proofErr w:type="spellEnd"/>
            <w:r>
              <w:rPr>
                <w:rFonts w:ascii="Garamond" w:eastAsia="Garamond" w:hAnsi="Garamond" w:cs="Garamond"/>
              </w:rPr>
              <w:t xml:space="preserve"> R Package</w:t>
            </w:r>
          </w:p>
        </w:tc>
      </w:tr>
      <w:tr w:rsidR="00886CC7">
        <w:tc>
          <w:tcPr>
            <w:tcW w:w="229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Land Surface Temperature</w:t>
            </w:r>
          </w:p>
        </w:tc>
        <w:tc>
          <w:tcPr>
            <w:tcW w:w="2580"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Terra MODIS Level-3 Daily Land Surface Temperature/Emissivity</w:t>
            </w:r>
          </w:p>
          <w:p w:rsidR="00886CC7" w:rsidRDefault="00457177">
            <w:pPr>
              <w:widowControl w:val="0"/>
              <w:rPr>
                <w:rFonts w:ascii="Garamond" w:eastAsia="Garamond" w:hAnsi="Garamond" w:cs="Garamond"/>
              </w:rPr>
            </w:pPr>
            <w:r>
              <w:rPr>
                <w:rFonts w:ascii="Garamond" w:eastAsia="Garamond" w:hAnsi="Garamond" w:cs="Garamond"/>
              </w:rPr>
              <w:t>(MOD11A1)</w:t>
            </w:r>
          </w:p>
        </w:tc>
        <w:tc>
          <w:tcPr>
            <w:tcW w:w="157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2010-2019</w:t>
            </w:r>
          </w:p>
        </w:tc>
        <w:tc>
          <w:tcPr>
            <w:tcW w:w="163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1 km</w:t>
            </w:r>
          </w:p>
        </w:tc>
        <w:tc>
          <w:tcPr>
            <w:tcW w:w="151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proofErr w:type="spellStart"/>
            <w:r>
              <w:rPr>
                <w:rFonts w:ascii="Garamond" w:eastAsia="Garamond" w:hAnsi="Garamond" w:cs="Garamond"/>
              </w:rPr>
              <w:t>MODIStsp</w:t>
            </w:r>
            <w:proofErr w:type="spellEnd"/>
            <w:r>
              <w:rPr>
                <w:rFonts w:ascii="Garamond" w:eastAsia="Garamond" w:hAnsi="Garamond" w:cs="Garamond"/>
              </w:rPr>
              <w:t xml:space="preserve"> R Package</w:t>
            </w:r>
          </w:p>
        </w:tc>
      </w:tr>
      <w:tr w:rsidR="00886CC7">
        <w:tc>
          <w:tcPr>
            <w:tcW w:w="229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Radiometric Backscatter</w:t>
            </w:r>
          </w:p>
        </w:tc>
        <w:tc>
          <w:tcPr>
            <w:tcW w:w="2580"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N</w:t>
            </w:r>
            <w:r w:rsidR="00B26968">
              <w:rPr>
                <w:rFonts w:ascii="Garamond" w:eastAsia="Garamond" w:hAnsi="Garamond" w:cs="Garamond"/>
              </w:rPr>
              <w:t>ASA</w:t>
            </w:r>
            <w:r>
              <w:rPr>
                <w:rFonts w:ascii="Garamond" w:eastAsia="Garamond" w:hAnsi="Garamond" w:cs="Garamond"/>
              </w:rPr>
              <w:t xml:space="preserve"> Gulfstream III UAVSAR L-band</w:t>
            </w:r>
          </w:p>
          <w:p w:rsidR="00886CC7" w:rsidRDefault="00457177">
            <w:pPr>
              <w:widowControl w:val="0"/>
              <w:rPr>
                <w:rFonts w:ascii="Garamond" w:eastAsia="Garamond" w:hAnsi="Garamond" w:cs="Garamond"/>
              </w:rPr>
            </w:pPr>
            <w:r>
              <w:rPr>
                <w:rFonts w:ascii="Garamond" w:eastAsia="Garamond" w:hAnsi="Garamond" w:cs="Garamond"/>
              </w:rPr>
              <w:t xml:space="preserve">(UAVSAR-L </w:t>
            </w:r>
            <w:proofErr w:type="spellStart"/>
            <w:r>
              <w:rPr>
                <w:rFonts w:ascii="Garamond" w:eastAsia="Garamond" w:hAnsi="Garamond" w:cs="Garamond"/>
              </w:rPr>
              <w:t>PolSAR</w:t>
            </w:r>
            <w:proofErr w:type="spellEnd"/>
            <w:r>
              <w:rPr>
                <w:rFonts w:ascii="Garamond" w:eastAsia="Garamond" w:hAnsi="Garamond" w:cs="Garamond"/>
              </w:rPr>
              <w:t>)</w:t>
            </w:r>
          </w:p>
        </w:tc>
        <w:tc>
          <w:tcPr>
            <w:tcW w:w="157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02/2010 - 03/2015</w:t>
            </w:r>
          </w:p>
        </w:tc>
        <w:tc>
          <w:tcPr>
            <w:tcW w:w="163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2 m</w:t>
            </w:r>
          </w:p>
        </w:tc>
        <w:tc>
          <w:tcPr>
            <w:tcW w:w="151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ASF DAAC</w:t>
            </w:r>
          </w:p>
          <w:p w:rsidR="00886CC7" w:rsidRDefault="00457177">
            <w:pPr>
              <w:widowControl w:val="0"/>
              <w:rPr>
                <w:rFonts w:ascii="Garamond" w:eastAsia="Garamond" w:hAnsi="Garamond" w:cs="Garamond"/>
              </w:rPr>
            </w:pPr>
            <w:r>
              <w:rPr>
                <w:rFonts w:ascii="Garamond" w:eastAsia="Garamond" w:hAnsi="Garamond" w:cs="Garamond"/>
              </w:rPr>
              <w:t>JPL</w:t>
            </w:r>
          </w:p>
        </w:tc>
      </w:tr>
      <w:tr w:rsidR="00886CC7">
        <w:tc>
          <w:tcPr>
            <w:tcW w:w="229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Radiometric Backscatter</w:t>
            </w:r>
          </w:p>
        </w:tc>
        <w:tc>
          <w:tcPr>
            <w:tcW w:w="2580"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Sentinel-1 C-SAR</w:t>
            </w:r>
          </w:p>
          <w:p w:rsidR="00886CC7" w:rsidRDefault="00457177">
            <w:pPr>
              <w:widowControl w:val="0"/>
              <w:rPr>
                <w:rFonts w:ascii="Garamond" w:eastAsia="Garamond" w:hAnsi="Garamond" w:cs="Garamond"/>
              </w:rPr>
            </w:pPr>
            <w:r>
              <w:rPr>
                <w:rFonts w:ascii="Garamond" w:eastAsia="Garamond" w:hAnsi="Garamond" w:cs="Garamond"/>
              </w:rPr>
              <w:t>(S1A_IW_GRDH_1SDV)</w:t>
            </w:r>
          </w:p>
        </w:tc>
        <w:tc>
          <w:tcPr>
            <w:tcW w:w="157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2017</w:t>
            </w:r>
          </w:p>
        </w:tc>
        <w:tc>
          <w:tcPr>
            <w:tcW w:w="163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10 m.</w:t>
            </w:r>
          </w:p>
        </w:tc>
        <w:tc>
          <w:tcPr>
            <w:tcW w:w="151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ASF DAAC</w:t>
            </w:r>
            <w:r>
              <w:rPr>
                <w:rFonts w:ascii="Garamond" w:eastAsia="Garamond" w:hAnsi="Garamond" w:cs="Garamond"/>
              </w:rPr>
              <w:br/>
              <w:t>(HyP3)</w:t>
            </w:r>
          </w:p>
        </w:tc>
      </w:tr>
      <w:tr w:rsidR="00886CC7">
        <w:tc>
          <w:tcPr>
            <w:tcW w:w="229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Radiometric Backscatter</w:t>
            </w:r>
          </w:p>
        </w:tc>
        <w:tc>
          <w:tcPr>
            <w:tcW w:w="2580"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PALSAR L-band</w:t>
            </w:r>
          </w:p>
          <w:p w:rsidR="00886CC7" w:rsidRDefault="00457177">
            <w:pPr>
              <w:widowControl w:val="0"/>
              <w:rPr>
                <w:rFonts w:ascii="Garamond" w:eastAsia="Garamond" w:hAnsi="Garamond" w:cs="Garamond"/>
              </w:rPr>
            </w:pPr>
            <w:r>
              <w:rPr>
                <w:rFonts w:ascii="Garamond" w:eastAsia="Garamond" w:hAnsi="Garamond" w:cs="Garamond"/>
              </w:rPr>
              <w:t>(ALPSRP)</w:t>
            </w:r>
          </w:p>
        </w:tc>
        <w:tc>
          <w:tcPr>
            <w:tcW w:w="157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05/2006 - 03/2011</w:t>
            </w:r>
          </w:p>
        </w:tc>
        <w:tc>
          <w:tcPr>
            <w:tcW w:w="163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 xml:space="preserve">12.5 m </w:t>
            </w:r>
          </w:p>
        </w:tc>
        <w:tc>
          <w:tcPr>
            <w:tcW w:w="151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ASF DAAC</w:t>
            </w:r>
          </w:p>
        </w:tc>
      </w:tr>
      <w:tr w:rsidR="00886CC7">
        <w:tc>
          <w:tcPr>
            <w:tcW w:w="229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Potential Evapotranspiration</w:t>
            </w:r>
            <w:r>
              <w:rPr>
                <w:rFonts w:ascii="Garamond" w:eastAsia="Garamond" w:hAnsi="Garamond" w:cs="Garamond"/>
              </w:rPr>
              <w:br/>
            </w:r>
          </w:p>
        </w:tc>
        <w:tc>
          <w:tcPr>
            <w:tcW w:w="2580"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STRI and ETESA Meteorological Stations</w:t>
            </w:r>
          </w:p>
        </w:tc>
        <w:tc>
          <w:tcPr>
            <w:tcW w:w="157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2010-2017</w:t>
            </w:r>
          </w:p>
        </w:tc>
        <w:tc>
          <w:tcPr>
            <w:tcW w:w="163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Ground Point Stations</w:t>
            </w:r>
          </w:p>
        </w:tc>
        <w:tc>
          <w:tcPr>
            <w:tcW w:w="151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 xml:space="preserve">STRI Physical Monitoring Program, ETESA, </w:t>
            </w:r>
          </w:p>
        </w:tc>
      </w:tr>
      <w:tr w:rsidR="00886CC7">
        <w:tc>
          <w:tcPr>
            <w:tcW w:w="229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i/>
              </w:rPr>
              <w:t>In situ</w:t>
            </w:r>
            <w:r>
              <w:rPr>
                <w:rFonts w:ascii="Garamond" w:eastAsia="Garamond" w:hAnsi="Garamond" w:cs="Garamond"/>
              </w:rPr>
              <w:t xml:space="preserve"> non-forested observations</w:t>
            </w:r>
          </w:p>
        </w:tc>
        <w:tc>
          <w:tcPr>
            <w:tcW w:w="2580"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 xml:space="preserve">STRI Agua </w:t>
            </w:r>
            <w:proofErr w:type="spellStart"/>
            <w:r>
              <w:rPr>
                <w:rFonts w:ascii="Garamond" w:eastAsia="Garamond" w:hAnsi="Garamond" w:cs="Garamond"/>
              </w:rPr>
              <w:t>Salud</w:t>
            </w:r>
            <w:proofErr w:type="spellEnd"/>
            <w:r>
              <w:rPr>
                <w:rFonts w:ascii="Garamond" w:eastAsia="Garamond" w:hAnsi="Garamond" w:cs="Garamond"/>
              </w:rPr>
              <w:t xml:space="preserve"> Pasture Inventory, BCI Forest Age Inventory</w:t>
            </w:r>
          </w:p>
        </w:tc>
        <w:tc>
          <w:tcPr>
            <w:tcW w:w="157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2009</w:t>
            </w:r>
          </w:p>
        </w:tc>
        <w:tc>
          <w:tcPr>
            <w:tcW w:w="1635" w:type="dxa"/>
            <w:shd w:val="clear" w:color="auto" w:fill="auto"/>
            <w:tcMar>
              <w:top w:w="100" w:type="dxa"/>
              <w:left w:w="100" w:type="dxa"/>
              <w:bottom w:w="100" w:type="dxa"/>
              <w:right w:w="100" w:type="dxa"/>
            </w:tcMar>
          </w:tcPr>
          <w:p w:rsidR="00886CC7" w:rsidRDefault="00886CC7">
            <w:pPr>
              <w:widowControl w:val="0"/>
              <w:rPr>
                <w:rFonts w:ascii="Garamond" w:eastAsia="Garamond" w:hAnsi="Garamond" w:cs="Garamond"/>
              </w:rPr>
            </w:pPr>
          </w:p>
        </w:tc>
        <w:tc>
          <w:tcPr>
            <w:tcW w:w="151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STRI GIS Data Portal</w:t>
            </w:r>
          </w:p>
        </w:tc>
      </w:tr>
      <w:tr w:rsidR="00886CC7">
        <w:tc>
          <w:tcPr>
            <w:tcW w:w="229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i/>
              </w:rPr>
              <w:t>In situ</w:t>
            </w:r>
            <w:r>
              <w:rPr>
                <w:rFonts w:ascii="Garamond" w:eastAsia="Garamond" w:hAnsi="Garamond" w:cs="Garamond"/>
              </w:rPr>
              <w:t xml:space="preserve"> Forest observations</w:t>
            </w:r>
          </w:p>
        </w:tc>
        <w:tc>
          <w:tcPr>
            <w:tcW w:w="2580"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 xml:space="preserve">Agua </w:t>
            </w:r>
            <w:proofErr w:type="spellStart"/>
            <w:r>
              <w:rPr>
                <w:rFonts w:ascii="Garamond" w:eastAsia="Garamond" w:hAnsi="Garamond" w:cs="Garamond"/>
              </w:rPr>
              <w:t>Salud</w:t>
            </w:r>
            <w:proofErr w:type="spellEnd"/>
            <w:r>
              <w:rPr>
                <w:rFonts w:ascii="Garamond" w:eastAsia="Garamond" w:hAnsi="Garamond" w:cs="Garamond"/>
              </w:rPr>
              <w:t xml:space="preserve"> Secondary Forest </w:t>
            </w:r>
            <w:proofErr w:type="spellStart"/>
            <w:r>
              <w:rPr>
                <w:rFonts w:ascii="Garamond" w:eastAsia="Garamond" w:hAnsi="Garamond" w:cs="Garamond"/>
              </w:rPr>
              <w:t>Forest</w:t>
            </w:r>
            <w:proofErr w:type="spellEnd"/>
            <w:r>
              <w:rPr>
                <w:rFonts w:ascii="Garamond" w:eastAsia="Garamond" w:hAnsi="Garamond" w:cs="Garamond"/>
              </w:rPr>
              <w:t xml:space="preserve"> Age Inventory, BCI Forest Age Inventory</w:t>
            </w:r>
          </w:p>
        </w:tc>
        <w:tc>
          <w:tcPr>
            <w:tcW w:w="157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2011</w:t>
            </w:r>
          </w:p>
        </w:tc>
        <w:tc>
          <w:tcPr>
            <w:tcW w:w="163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50 ha. plots</w:t>
            </w:r>
          </w:p>
        </w:tc>
        <w:tc>
          <w:tcPr>
            <w:tcW w:w="1515" w:type="dxa"/>
            <w:shd w:val="clear" w:color="auto" w:fill="auto"/>
            <w:tcMar>
              <w:top w:w="100" w:type="dxa"/>
              <w:left w:w="100" w:type="dxa"/>
              <w:bottom w:w="100" w:type="dxa"/>
              <w:right w:w="100" w:type="dxa"/>
            </w:tcMar>
          </w:tcPr>
          <w:p w:rsidR="00886CC7" w:rsidRDefault="00457177">
            <w:pPr>
              <w:widowControl w:val="0"/>
              <w:rPr>
                <w:rFonts w:ascii="Garamond" w:eastAsia="Garamond" w:hAnsi="Garamond" w:cs="Garamond"/>
              </w:rPr>
            </w:pPr>
            <w:r>
              <w:rPr>
                <w:rFonts w:ascii="Garamond" w:eastAsia="Garamond" w:hAnsi="Garamond" w:cs="Garamond"/>
              </w:rPr>
              <w:t xml:space="preserve">STRI GIS Data Portal </w:t>
            </w:r>
            <w:r>
              <w:rPr>
                <w:rFonts w:ascii="Garamond" w:eastAsia="Garamond" w:hAnsi="Garamond" w:cs="Garamond"/>
              </w:rPr>
              <w:br/>
            </w:r>
          </w:p>
        </w:tc>
      </w:tr>
    </w:tbl>
    <w:p w:rsidR="00886CC7" w:rsidRDefault="00886CC7">
      <w:pPr>
        <w:spacing w:after="0" w:line="480" w:lineRule="auto"/>
        <w:rPr>
          <w:rFonts w:ascii="Garamond" w:eastAsia="Garamond" w:hAnsi="Garamond" w:cs="Garamond"/>
        </w:rPr>
      </w:pPr>
    </w:p>
    <w:p w:rsidR="00886CC7" w:rsidRDefault="00886CC7">
      <w:pPr>
        <w:spacing w:after="0" w:line="480" w:lineRule="auto"/>
        <w:rPr>
          <w:rFonts w:ascii="Garamond" w:eastAsia="Garamond" w:hAnsi="Garamond" w:cs="Garamond"/>
        </w:rPr>
      </w:pPr>
    </w:p>
    <w:p w:rsidR="00886CC7" w:rsidRDefault="00886CC7">
      <w:pPr>
        <w:spacing w:after="0" w:line="480" w:lineRule="auto"/>
        <w:rPr>
          <w:rFonts w:ascii="Garamond" w:eastAsia="Garamond" w:hAnsi="Garamond" w:cs="Garamond"/>
        </w:rPr>
      </w:pPr>
    </w:p>
    <w:p w:rsidR="00886CC7" w:rsidRDefault="00886CC7">
      <w:pPr>
        <w:spacing w:after="0" w:line="480" w:lineRule="auto"/>
        <w:rPr>
          <w:rFonts w:ascii="Garamond" w:eastAsia="Garamond" w:hAnsi="Garamond" w:cs="Garamond"/>
        </w:rPr>
      </w:pPr>
    </w:p>
    <w:p w:rsidR="00886CC7" w:rsidRDefault="00886CC7">
      <w:pPr>
        <w:spacing w:after="0" w:line="480" w:lineRule="auto"/>
        <w:rPr>
          <w:rFonts w:ascii="Garamond" w:eastAsia="Garamond" w:hAnsi="Garamond" w:cs="Garamond"/>
          <w:i/>
        </w:rPr>
      </w:pPr>
    </w:p>
    <w:p w:rsidR="007C18F8" w:rsidRDefault="007C18F8">
      <w:pPr>
        <w:spacing w:after="0" w:line="480" w:lineRule="auto"/>
        <w:rPr>
          <w:rFonts w:ascii="Garamond" w:eastAsia="Garamond" w:hAnsi="Garamond" w:cs="Garamond"/>
          <w:i/>
        </w:rPr>
      </w:pPr>
    </w:p>
    <w:p w:rsidR="007C18F8" w:rsidRDefault="007C18F8">
      <w:pPr>
        <w:spacing w:after="0" w:line="480" w:lineRule="auto"/>
        <w:rPr>
          <w:rFonts w:ascii="Garamond" w:eastAsia="Garamond" w:hAnsi="Garamond" w:cs="Garamond"/>
          <w:i/>
        </w:rPr>
      </w:pPr>
    </w:p>
    <w:p w:rsidR="00886CC7" w:rsidRDefault="00457177">
      <w:pPr>
        <w:spacing w:after="0" w:line="480" w:lineRule="auto"/>
        <w:rPr>
          <w:rFonts w:ascii="Garamond" w:eastAsia="Garamond" w:hAnsi="Garamond" w:cs="Garamond"/>
        </w:rPr>
      </w:pPr>
      <w:r>
        <w:rPr>
          <w:rFonts w:ascii="Garamond" w:eastAsia="Garamond" w:hAnsi="Garamond" w:cs="Garamond"/>
          <w:i/>
        </w:rPr>
        <w:lastRenderedPageBreak/>
        <w:t>Appendix B.</w:t>
      </w:r>
      <w:r>
        <w:rPr>
          <w:rFonts w:ascii="Garamond" w:eastAsia="Garamond" w:hAnsi="Garamond" w:cs="Garamond"/>
        </w:rPr>
        <w:t xml:space="preserve"> SAR Land Cover Classification Information &amp; Accuracy Assessments</w:t>
      </w:r>
    </w:p>
    <w:tbl>
      <w:tblPr>
        <w:tblStyle w:val="a9"/>
        <w:tblW w:w="9990" w:type="dxa"/>
        <w:tblInd w:w="55" w:type="dxa"/>
        <w:tblLayout w:type="fixed"/>
        <w:tblLook w:val="0600" w:firstRow="0" w:lastRow="0" w:firstColumn="0" w:lastColumn="0" w:noHBand="1" w:noVBand="1"/>
      </w:tblPr>
      <w:tblGrid>
        <w:gridCol w:w="915"/>
        <w:gridCol w:w="1215"/>
        <w:gridCol w:w="1365"/>
        <w:gridCol w:w="1695"/>
        <w:gridCol w:w="1260"/>
        <w:gridCol w:w="1335"/>
        <w:gridCol w:w="2205"/>
      </w:tblGrid>
      <w:tr w:rsidR="00886CC7">
        <w:trPr>
          <w:trHeight w:val="700"/>
        </w:trPr>
        <w:tc>
          <w:tcPr>
            <w:tcW w:w="9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b/>
              </w:rPr>
            </w:pPr>
            <w:r>
              <w:rPr>
                <w:rFonts w:ascii="Garamond" w:eastAsia="Garamond" w:hAnsi="Garamond" w:cs="Garamond"/>
                <w:b/>
              </w:rPr>
              <w:t>Sensor</w:t>
            </w:r>
          </w:p>
        </w:tc>
        <w:tc>
          <w:tcPr>
            <w:tcW w:w="1215" w:type="dxa"/>
            <w:tcBorders>
              <w:top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b/>
              </w:rPr>
            </w:pPr>
            <w:r>
              <w:rPr>
                <w:rFonts w:ascii="Garamond" w:eastAsia="Garamond" w:hAnsi="Garamond" w:cs="Garamond"/>
                <w:b/>
              </w:rPr>
              <w:t>Date</w:t>
            </w:r>
          </w:p>
        </w:tc>
        <w:tc>
          <w:tcPr>
            <w:tcW w:w="1365" w:type="dxa"/>
            <w:tcBorders>
              <w:top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b/>
              </w:rPr>
            </w:pPr>
            <w:r>
              <w:rPr>
                <w:rFonts w:ascii="Garamond" w:eastAsia="Garamond" w:hAnsi="Garamond" w:cs="Garamond"/>
                <w:b/>
              </w:rPr>
              <w:t>% Forest</w:t>
            </w:r>
          </w:p>
        </w:tc>
        <w:tc>
          <w:tcPr>
            <w:tcW w:w="1695" w:type="dxa"/>
            <w:tcBorders>
              <w:top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b/>
              </w:rPr>
            </w:pPr>
            <w:r>
              <w:rPr>
                <w:rFonts w:ascii="Garamond" w:eastAsia="Garamond" w:hAnsi="Garamond" w:cs="Garamond"/>
                <w:b/>
              </w:rPr>
              <w:t xml:space="preserve">% </w:t>
            </w:r>
            <w:proofErr w:type="spellStart"/>
            <w:proofErr w:type="gramStart"/>
            <w:r>
              <w:rPr>
                <w:rFonts w:ascii="Garamond" w:eastAsia="Garamond" w:hAnsi="Garamond" w:cs="Garamond"/>
                <w:b/>
              </w:rPr>
              <w:t>Non Forest</w:t>
            </w:r>
            <w:proofErr w:type="spellEnd"/>
            <w:proofErr w:type="gramEnd"/>
          </w:p>
        </w:tc>
        <w:tc>
          <w:tcPr>
            <w:tcW w:w="1260" w:type="dxa"/>
            <w:tcBorders>
              <w:top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b/>
              </w:rPr>
            </w:pPr>
            <w:r>
              <w:rPr>
                <w:rFonts w:ascii="Garamond" w:eastAsia="Garamond" w:hAnsi="Garamond" w:cs="Garamond"/>
                <w:b/>
              </w:rPr>
              <w:t>Forest Accuracy %</w:t>
            </w:r>
          </w:p>
        </w:tc>
        <w:tc>
          <w:tcPr>
            <w:tcW w:w="1335" w:type="dxa"/>
            <w:tcBorders>
              <w:top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b/>
              </w:rPr>
            </w:pPr>
            <w:r>
              <w:rPr>
                <w:rFonts w:ascii="Garamond" w:eastAsia="Garamond" w:hAnsi="Garamond" w:cs="Garamond"/>
                <w:b/>
              </w:rPr>
              <w:t>Non- Forest Acc. %</w:t>
            </w:r>
          </w:p>
        </w:tc>
        <w:tc>
          <w:tcPr>
            <w:tcW w:w="2205" w:type="dxa"/>
            <w:tcBorders>
              <w:top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b/>
              </w:rPr>
            </w:pPr>
            <w:r>
              <w:rPr>
                <w:rFonts w:ascii="Garamond" w:eastAsia="Garamond" w:hAnsi="Garamond" w:cs="Garamond"/>
                <w:b/>
              </w:rPr>
              <w:t>Overall Accuracy</w:t>
            </w:r>
          </w:p>
        </w:tc>
      </w:tr>
      <w:tr w:rsidR="00886CC7">
        <w:trPr>
          <w:trHeight w:val="54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Sentinel-1 C-SAR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12/08/2017</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0.9044489545</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0.09555104547</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47.5</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15.64</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22.8029</w:t>
            </w:r>
          </w:p>
        </w:tc>
      </w:tr>
      <w:tr w:rsidR="00886CC7">
        <w:trPr>
          <w:trHeight w:val="54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Sentinel-1 C-SAR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02/11/2017</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0.9553699686</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0.04463003145</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96.85</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59.38</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52.3436</w:t>
            </w:r>
          </w:p>
        </w:tc>
      </w:tr>
      <w:tr w:rsidR="00886CC7">
        <w:trPr>
          <w:trHeight w:val="54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Sentinel-1 C-SAR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01/06/2017</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0.9501997207</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0.04980027932</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93.35</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51.98</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57.4685</w:t>
            </w:r>
          </w:p>
        </w:tc>
      </w:tr>
      <w:tr w:rsidR="00886CC7">
        <w:trPr>
          <w:trHeight w:val="54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Sentinel-1 C-SAR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03/19/2017</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0.9306733045</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0.06932669547</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91.6</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54.82</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62.484</w:t>
            </w:r>
          </w:p>
        </w:tc>
      </w:tr>
      <w:tr w:rsidR="00886CC7">
        <w:trPr>
          <w:trHeight w:val="54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Sentinel-1 C-SAR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03/07/2017</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0.9477704774</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0.05222952265</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93.59</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61.45</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68.7762</w:t>
            </w:r>
          </w:p>
        </w:tc>
      </w:tr>
      <w:tr w:rsidR="00886CC7">
        <w:trPr>
          <w:trHeight w:val="54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ALOS PALSAR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08/22/2007</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0.9437557419</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0.05624425812</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98.2</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35.54</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85.0369</w:t>
            </w:r>
          </w:p>
        </w:tc>
      </w:tr>
      <w:tr w:rsidR="00886CC7">
        <w:trPr>
          <w:trHeight w:val="54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ALOS PALSAR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07/15/2010</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0.9538326827</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0.04616731728</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97.78</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43.51</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85.2751</w:t>
            </w:r>
          </w:p>
        </w:tc>
      </w:tr>
      <w:tr w:rsidR="00886CC7">
        <w:trPr>
          <w:trHeight w:val="54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ALOS PALSAR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05/30/2010</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0.9470801264</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0.05291987356</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98.11</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46.45</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85.5162</w:t>
            </w:r>
          </w:p>
        </w:tc>
      </w:tr>
      <w:tr w:rsidR="00886CC7">
        <w:trPr>
          <w:trHeight w:val="54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ALOS PALSAR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08/24/2009</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0.948209219</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0.05179078097</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98.81</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41.58</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85.9116</w:t>
            </w:r>
          </w:p>
        </w:tc>
      </w:tr>
      <w:tr w:rsidR="00886CC7">
        <w:trPr>
          <w:trHeight w:val="54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ALOS PALSAR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08/27/2009</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0.9538326827</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0.04616731728</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99.16</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46.13</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86.41</w:t>
            </w:r>
          </w:p>
        </w:tc>
      </w:tr>
      <w:tr w:rsidR="00886CC7">
        <w:trPr>
          <w:trHeight w:val="54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ALOS PALSAR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10/12/2009</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0.9575770544</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0.0424229456</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99.67</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44.09</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86.5585</w:t>
            </w:r>
          </w:p>
        </w:tc>
      </w:tr>
      <w:tr w:rsidR="00886CC7">
        <w:trPr>
          <w:trHeight w:val="48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UAVSAR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2/6/2010</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0.969933239</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0.03006676105</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99.1</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39.5</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68.344</w:t>
            </w:r>
          </w:p>
        </w:tc>
      </w:tr>
      <w:tr w:rsidR="00886CC7">
        <w:trPr>
          <w:trHeight w:val="300"/>
        </w:trPr>
        <w:tc>
          <w:tcPr>
            <w:tcW w:w="915" w:type="dxa"/>
            <w:tcBorders>
              <w:left w:val="single" w:sz="8" w:space="0" w:color="000000"/>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rPr>
                <w:rFonts w:ascii="Garamond" w:eastAsia="Garamond" w:hAnsi="Garamond" w:cs="Garamond"/>
              </w:rPr>
            </w:pPr>
            <w:r>
              <w:rPr>
                <w:rFonts w:ascii="Garamond" w:eastAsia="Garamond" w:hAnsi="Garamond" w:cs="Garamond"/>
              </w:rPr>
              <w:t>UAVSAR</w:t>
            </w:r>
          </w:p>
        </w:tc>
        <w:tc>
          <w:tcPr>
            <w:tcW w:w="121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3/14/2015</w:t>
            </w:r>
          </w:p>
        </w:tc>
        <w:tc>
          <w:tcPr>
            <w:tcW w:w="136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0.8350053378</w:t>
            </w:r>
          </w:p>
        </w:tc>
        <w:tc>
          <w:tcPr>
            <w:tcW w:w="169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0.01226415707</w:t>
            </w:r>
          </w:p>
        </w:tc>
        <w:tc>
          <w:tcPr>
            <w:tcW w:w="1260"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98.8</w:t>
            </w:r>
          </w:p>
        </w:tc>
        <w:tc>
          <w:tcPr>
            <w:tcW w:w="133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51.31</w:t>
            </w:r>
          </w:p>
        </w:tc>
        <w:tc>
          <w:tcPr>
            <w:tcW w:w="2205" w:type="dxa"/>
            <w:tcBorders>
              <w:bottom w:val="single" w:sz="8" w:space="0" w:color="000000"/>
              <w:right w:val="single" w:sz="8" w:space="0" w:color="000000"/>
            </w:tcBorders>
            <w:tcMar>
              <w:top w:w="40" w:type="dxa"/>
              <w:left w:w="40" w:type="dxa"/>
              <w:bottom w:w="40" w:type="dxa"/>
              <w:right w:w="40" w:type="dxa"/>
            </w:tcMar>
            <w:vAlign w:val="bottom"/>
          </w:tcPr>
          <w:p w:rsidR="00886CC7" w:rsidRDefault="00457177">
            <w:pPr>
              <w:spacing w:after="0"/>
              <w:jc w:val="right"/>
              <w:rPr>
                <w:rFonts w:ascii="Garamond" w:eastAsia="Garamond" w:hAnsi="Garamond" w:cs="Garamond"/>
              </w:rPr>
            </w:pPr>
            <w:r>
              <w:rPr>
                <w:rFonts w:ascii="Garamond" w:eastAsia="Garamond" w:hAnsi="Garamond" w:cs="Garamond"/>
              </w:rPr>
              <w:t>79.156</w:t>
            </w:r>
          </w:p>
        </w:tc>
      </w:tr>
    </w:tbl>
    <w:p w:rsidR="00886CC7" w:rsidRDefault="00457177">
      <w:pPr>
        <w:spacing w:after="0" w:line="480" w:lineRule="auto"/>
        <w:rPr>
          <w:rFonts w:ascii="Garamond" w:eastAsia="Garamond" w:hAnsi="Garamond" w:cs="Garamond"/>
        </w:rPr>
      </w:pPr>
      <w:r>
        <w:br w:type="page"/>
      </w:r>
    </w:p>
    <w:p w:rsidR="00886CC7" w:rsidRDefault="00457177">
      <w:pPr>
        <w:spacing w:after="0" w:line="240" w:lineRule="auto"/>
        <w:rPr>
          <w:rFonts w:ascii="Garamond" w:eastAsia="Garamond" w:hAnsi="Garamond" w:cs="Garamond"/>
        </w:rPr>
      </w:pPr>
      <w:r>
        <w:rPr>
          <w:rFonts w:ascii="Garamond" w:eastAsia="Garamond" w:hAnsi="Garamond" w:cs="Garamond"/>
        </w:rPr>
        <w:lastRenderedPageBreak/>
        <w:t>Appendix C.</w:t>
      </w:r>
    </w:p>
    <w:p w:rsidR="00886CC7" w:rsidRDefault="00457177">
      <w:pPr>
        <w:spacing w:after="0" w:line="240" w:lineRule="auto"/>
        <w:rPr>
          <w:rFonts w:ascii="Garamond" w:eastAsia="Garamond" w:hAnsi="Garamond" w:cs="Garamond"/>
          <w:i/>
        </w:rPr>
      </w:pPr>
      <w:r>
        <w:rPr>
          <w:rFonts w:ascii="Garamond" w:eastAsia="Garamond" w:hAnsi="Garamond" w:cs="Garamond"/>
          <w:i/>
        </w:rPr>
        <w:t>Sensitivity analysis indicating changes in overall annual ET when there are changes in land cover</w:t>
      </w:r>
    </w:p>
    <w:tbl>
      <w:tblPr>
        <w:tblStyle w:val="aa"/>
        <w:tblW w:w="1008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2385"/>
        <w:gridCol w:w="1965"/>
        <w:gridCol w:w="1935"/>
        <w:gridCol w:w="2220"/>
      </w:tblGrid>
      <w:tr w:rsidR="00886CC7">
        <w:trPr>
          <w:trHeight w:val="880"/>
        </w:trPr>
        <w:tc>
          <w:tcPr>
            <w:tcW w:w="1575" w:type="dxa"/>
            <w:tcBorders>
              <w:top w:val="single" w:sz="8" w:space="0" w:color="D9D9D9"/>
              <w:left w:val="single" w:sz="8" w:space="0" w:color="D9D9D9"/>
              <w:bottom w:val="single" w:sz="8" w:space="0" w:color="D9D9D9"/>
              <w:right w:val="single" w:sz="8" w:space="0" w:color="D9D9D9"/>
            </w:tcBorders>
            <w:shd w:val="clear" w:color="auto" w:fill="999999"/>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Land Cover Class</w:t>
            </w:r>
          </w:p>
        </w:tc>
        <w:tc>
          <w:tcPr>
            <w:tcW w:w="2385" w:type="dxa"/>
            <w:tcBorders>
              <w:top w:val="single" w:sz="8" w:space="0" w:color="D9D9D9"/>
              <w:left w:val="single" w:sz="8" w:space="0" w:color="D9D9D9"/>
              <w:bottom w:val="single" w:sz="8" w:space="0" w:color="D9D9D9"/>
              <w:right w:val="single" w:sz="8" w:space="0" w:color="D9D9D9"/>
            </w:tcBorders>
            <w:shd w:val="clear" w:color="auto" w:fill="999999"/>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Variable</w:t>
            </w:r>
          </w:p>
        </w:tc>
        <w:tc>
          <w:tcPr>
            <w:tcW w:w="1965" w:type="dxa"/>
            <w:tcBorders>
              <w:top w:val="single" w:sz="8" w:space="0" w:color="D9D9D9"/>
              <w:left w:val="single" w:sz="8" w:space="0" w:color="D9D9D9"/>
              <w:bottom w:val="single" w:sz="8" w:space="0" w:color="D9D9D9"/>
              <w:right w:val="single" w:sz="8" w:space="0" w:color="D9D9D9"/>
            </w:tcBorders>
            <w:shd w:val="clear" w:color="auto" w:fill="999999"/>
            <w:tcMar>
              <w:top w:w="140" w:type="dxa"/>
              <w:left w:w="140" w:type="dxa"/>
              <w:bottom w:w="140" w:type="dxa"/>
              <w:right w:w="140" w:type="dxa"/>
            </w:tcMar>
          </w:tcPr>
          <w:p w:rsidR="00886CC7" w:rsidRDefault="00457177">
            <w:pPr>
              <w:widowControl w:val="0"/>
              <w:spacing w:after="0" w:line="240" w:lineRule="auto"/>
              <w:jc w:val="center"/>
              <w:rPr>
                <w:rFonts w:ascii="Garamond" w:eastAsia="Garamond" w:hAnsi="Garamond" w:cs="Garamond"/>
                <w:b/>
              </w:rPr>
            </w:pPr>
            <w:r>
              <w:rPr>
                <w:rFonts w:ascii="Garamond" w:eastAsia="Garamond" w:hAnsi="Garamond" w:cs="Garamond"/>
                <w:b/>
              </w:rPr>
              <w:t>Overall Annual ET (mm/year)</w:t>
            </w:r>
          </w:p>
        </w:tc>
        <w:tc>
          <w:tcPr>
            <w:tcW w:w="1935" w:type="dxa"/>
            <w:tcBorders>
              <w:top w:val="single" w:sz="8" w:space="0" w:color="D9D9D9"/>
              <w:left w:val="single" w:sz="8" w:space="0" w:color="D9D9D9"/>
              <w:bottom w:val="single" w:sz="8" w:space="0" w:color="D9D9D9"/>
              <w:right w:val="single" w:sz="8" w:space="0" w:color="D9D9D9"/>
            </w:tcBorders>
            <w:shd w:val="clear" w:color="auto" w:fill="999999"/>
            <w:tcMar>
              <w:top w:w="140" w:type="dxa"/>
              <w:left w:w="140" w:type="dxa"/>
              <w:bottom w:w="140" w:type="dxa"/>
              <w:right w:w="140" w:type="dxa"/>
            </w:tcMar>
          </w:tcPr>
          <w:p w:rsidR="00886CC7" w:rsidRDefault="00457177">
            <w:pPr>
              <w:widowControl w:val="0"/>
              <w:spacing w:after="0" w:line="240" w:lineRule="auto"/>
              <w:jc w:val="center"/>
              <w:rPr>
                <w:rFonts w:ascii="Garamond" w:eastAsia="Garamond" w:hAnsi="Garamond" w:cs="Garamond"/>
                <w:b/>
              </w:rPr>
            </w:pPr>
            <w:r>
              <w:rPr>
                <w:rFonts w:ascii="Garamond" w:eastAsia="Garamond" w:hAnsi="Garamond" w:cs="Garamond"/>
                <w:b/>
              </w:rPr>
              <w:t>Change in Variable (%)</w:t>
            </w:r>
          </w:p>
        </w:tc>
        <w:tc>
          <w:tcPr>
            <w:tcW w:w="2220" w:type="dxa"/>
            <w:tcBorders>
              <w:top w:val="single" w:sz="8" w:space="0" w:color="D9D9D9"/>
              <w:left w:val="single" w:sz="8" w:space="0" w:color="D9D9D9"/>
              <w:bottom w:val="single" w:sz="8" w:space="0" w:color="D9D9D9"/>
              <w:right w:val="single" w:sz="8" w:space="0" w:color="D9D9D9"/>
            </w:tcBorders>
            <w:shd w:val="clear" w:color="auto" w:fill="999999"/>
            <w:tcMar>
              <w:top w:w="140" w:type="dxa"/>
              <w:left w:w="140" w:type="dxa"/>
              <w:bottom w:w="140" w:type="dxa"/>
              <w:right w:w="140" w:type="dxa"/>
            </w:tcMar>
          </w:tcPr>
          <w:p w:rsidR="00886CC7" w:rsidRDefault="00457177">
            <w:pPr>
              <w:widowControl w:val="0"/>
              <w:spacing w:after="0" w:line="240" w:lineRule="auto"/>
              <w:jc w:val="center"/>
              <w:rPr>
                <w:rFonts w:ascii="Garamond" w:eastAsia="Garamond" w:hAnsi="Garamond" w:cs="Garamond"/>
                <w:b/>
              </w:rPr>
            </w:pPr>
            <w:r>
              <w:rPr>
                <w:rFonts w:ascii="Garamond" w:eastAsia="Garamond" w:hAnsi="Garamond" w:cs="Garamond"/>
                <w:b/>
              </w:rPr>
              <w:t>Change in Overall Annual ET (%)</w:t>
            </w:r>
          </w:p>
        </w:tc>
      </w:tr>
      <w:tr w:rsidR="00886CC7">
        <w:trPr>
          <w:trHeight w:val="720"/>
        </w:trPr>
        <w:tc>
          <w:tcPr>
            <w:tcW w:w="1575" w:type="dxa"/>
            <w:vMerge w:val="restart"/>
            <w:tcBorders>
              <w:top w:val="single" w:sz="8" w:space="0" w:color="D9D9D9"/>
              <w:left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Forested</w:t>
            </w:r>
          </w:p>
        </w:tc>
        <w:tc>
          <w:tcPr>
            <w:tcW w:w="238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Area (</w:t>
            </w:r>
            <w:proofErr w:type="spellStart"/>
            <w:proofErr w:type="gramStart"/>
            <w:r>
              <w:rPr>
                <w:rFonts w:ascii="Garamond" w:eastAsia="Garamond" w:hAnsi="Garamond" w:cs="Garamond"/>
                <w:b/>
              </w:rPr>
              <w:t>A</w:t>
            </w:r>
            <w:r>
              <w:rPr>
                <w:rFonts w:ascii="Garamond" w:eastAsia="Garamond" w:hAnsi="Garamond" w:cs="Garamond"/>
                <w:b/>
                <w:vertAlign w:val="subscript"/>
              </w:rPr>
              <w:t>f</w:t>
            </w:r>
            <w:proofErr w:type="spellEnd"/>
            <w:r>
              <w:rPr>
                <w:rFonts w:ascii="Garamond" w:eastAsia="Garamond" w:hAnsi="Garamond" w:cs="Garamond"/>
                <w:b/>
                <w:vertAlign w:val="subscript"/>
              </w:rPr>
              <w:t xml:space="preserve"> </w:t>
            </w:r>
            <w:r>
              <w:rPr>
                <w:rFonts w:ascii="Garamond" w:eastAsia="Garamond" w:hAnsi="Garamond" w:cs="Garamond"/>
                <w:b/>
              </w:rPr>
              <w:t>)</w:t>
            </w:r>
            <w:proofErr w:type="gramEnd"/>
          </w:p>
        </w:tc>
        <w:tc>
          <w:tcPr>
            <w:tcW w:w="196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466.05</w:t>
            </w:r>
          </w:p>
        </w:tc>
        <w:tc>
          <w:tcPr>
            <w:tcW w:w="193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1.20</w:t>
            </w:r>
          </w:p>
        </w:tc>
        <w:tc>
          <w:tcPr>
            <w:tcW w:w="2220"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1.20</w:t>
            </w:r>
          </w:p>
        </w:tc>
      </w:tr>
      <w:tr w:rsidR="00886CC7">
        <w:trPr>
          <w:trHeight w:val="720"/>
        </w:trPr>
        <w:tc>
          <w:tcPr>
            <w:tcW w:w="1575" w:type="dxa"/>
            <w:vMerge/>
            <w:tcBorders>
              <w:left w:val="single" w:sz="8" w:space="0" w:color="D9D9D9"/>
              <w:right w:val="single" w:sz="8" w:space="0" w:color="D9D9D9"/>
            </w:tcBorders>
            <w:tcMar>
              <w:top w:w="140" w:type="dxa"/>
              <w:left w:w="140" w:type="dxa"/>
              <w:bottom w:w="140" w:type="dxa"/>
              <w:right w:w="140" w:type="dxa"/>
            </w:tcMar>
          </w:tcPr>
          <w:p w:rsidR="00886CC7" w:rsidRDefault="00886CC7">
            <w:pPr>
              <w:widowControl w:val="0"/>
              <w:spacing w:after="0"/>
            </w:pPr>
          </w:p>
        </w:tc>
        <w:tc>
          <w:tcPr>
            <w:tcW w:w="238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Dry ET (</w:t>
            </w:r>
            <w:proofErr w:type="spellStart"/>
            <w:proofErr w:type="gramStart"/>
            <w:r>
              <w:rPr>
                <w:rFonts w:ascii="Garamond" w:eastAsia="Garamond" w:hAnsi="Garamond" w:cs="Garamond"/>
                <w:b/>
              </w:rPr>
              <w:t>E</w:t>
            </w:r>
            <w:r>
              <w:rPr>
                <w:rFonts w:ascii="Garamond" w:eastAsia="Garamond" w:hAnsi="Garamond" w:cs="Garamond"/>
                <w:b/>
                <w:vertAlign w:val="subscript"/>
              </w:rPr>
              <w:t>df</w:t>
            </w:r>
            <w:proofErr w:type="spellEnd"/>
            <w:r>
              <w:rPr>
                <w:rFonts w:ascii="Garamond" w:eastAsia="Garamond" w:hAnsi="Garamond" w:cs="Garamond"/>
                <w:b/>
                <w:vertAlign w:val="subscript"/>
              </w:rPr>
              <w:t xml:space="preserve"> </w:t>
            </w:r>
            <w:r>
              <w:rPr>
                <w:rFonts w:ascii="Garamond" w:eastAsia="Garamond" w:hAnsi="Garamond" w:cs="Garamond"/>
                <w:b/>
              </w:rPr>
              <w:t>)</w:t>
            </w:r>
            <w:proofErr w:type="gramEnd"/>
          </w:p>
        </w:tc>
        <w:tc>
          <w:tcPr>
            <w:tcW w:w="196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443.79</w:t>
            </w:r>
          </w:p>
        </w:tc>
        <w:tc>
          <w:tcPr>
            <w:tcW w:w="193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-8.49</w:t>
            </w:r>
          </w:p>
        </w:tc>
        <w:tc>
          <w:tcPr>
            <w:tcW w:w="2220"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b/>
              </w:rPr>
            </w:pPr>
            <w:r>
              <w:rPr>
                <w:rFonts w:ascii="Garamond" w:eastAsia="Garamond" w:hAnsi="Garamond" w:cs="Garamond"/>
                <w:b/>
              </w:rPr>
              <w:t>-3.63</w:t>
            </w:r>
          </w:p>
        </w:tc>
      </w:tr>
      <w:tr w:rsidR="00886CC7">
        <w:trPr>
          <w:trHeight w:val="720"/>
        </w:trPr>
        <w:tc>
          <w:tcPr>
            <w:tcW w:w="1575" w:type="dxa"/>
            <w:vMerge/>
            <w:tcBorders>
              <w:left w:val="single" w:sz="8" w:space="0" w:color="D9D9D9"/>
              <w:right w:val="single" w:sz="8" w:space="0" w:color="D9D9D9"/>
            </w:tcBorders>
            <w:tcMar>
              <w:top w:w="140" w:type="dxa"/>
              <w:left w:w="140" w:type="dxa"/>
              <w:bottom w:w="140" w:type="dxa"/>
              <w:right w:w="140" w:type="dxa"/>
            </w:tcMar>
          </w:tcPr>
          <w:p w:rsidR="00886CC7" w:rsidRDefault="00886CC7">
            <w:pPr>
              <w:widowControl w:val="0"/>
              <w:spacing w:after="0"/>
            </w:pPr>
          </w:p>
        </w:tc>
        <w:tc>
          <w:tcPr>
            <w:tcW w:w="238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Wet ET (</w:t>
            </w:r>
            <w:proofErr w:type="spellStart"/>
            <w:r>
              <w:rPr>
                <w:rFonts w:ascii="Garamond" w:eastAsia="Garamond" w:hAnsi="Garamond" w:cs="Garamond"/>
                <w:b/>
              </w:rPr>
              <w:t>E</w:t>
            </w:r>
            <w:r>
              <w:rPr>
                <w:rFonts w:ascii="Garamond" w:eastAsia="Garamond" w:hAnsi="Garamond" w:cs="Garamond"/>
                <w:b/>
                <w:vertAlign w:val="subscript"/>
              </w:rPr>
              <w:t>wf</w:t>
            </w:r>
            <w:proofErr w:type="spellEnd"/>
            <w:r>
              <w:rPr>
                <w:rFonts w:ascii="Garamond" w:eastAsia="Garamond" w:hAnsi="Garamond" w:cs="Garamond"/>
                <w:b/>
              </w:rPr>
              <w:t>)</w:t>
            </w:r>
          </w:p>
        </w:tc>
        <w:tc>
          <w:tcPr>
            <w:tcW w:w="196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455.99</w:t>
            </w:r>
          </w:p>
        </w:tc>
        <w:tc>
          <w:tcPr>
            <w:tcW w:w="193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-5.48</w:t>
            </w:r>
          </w:p>
        </w:tc>
        <w:tc>
          <w:tcPr>
            <w:tcW w:w="2220"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-0.98</w:t>
            </w:r>
          </w:p>
        </w:tc>
      </w:tr>
      <w:tr w:rsidR="00886CC7">
        <w:trPr>
          <w:trHeight w:val="720"/>
        </w:trPr>
        <w:tc>
          <w:tcPr>
            <w:tcW w:w="1575" w:type="dxa"/>
            <w:vMerge/>
            <w:tcBorders>
              <w:left w:val="single" w:sz="8" w:space="0" w:color="D9D9D9"/>
              <w:bottom w:val="single" w:sz="12" w:space="0" w:color="000000"/>
              <w:right w:val="single" w:sz="8" w:space="0" w:color="D9D9D9"/>
            </w:tcBorders>
            <w:tcMar>
              <w:top w:w="140" w:type="dxa"/>
              <w:left w:w="140" w:type="dxa"/>
              <w:bottom w:w="140" w:type="dxa"/>
              <w:right w:w="140" w:type="dxa"/>
            </w:tcMar>
          </w:tcPr>
          <w:p w:rsidR="00886CC7" w:rsidRDefault="00886CC7">
            <w:pPr>
              <w:widowControl w:val="0"/>
              <w:spacing w:after="0"/>
            </w:pPr>
          </w:p>
        </w:tc>
        <w:tc>
          <w:tcPr>
            <w:tcW w:w="2385" w:type="dxa"/>
            <w:tcBorders>
              <w:top w:val="single" w:sz="8" w:space="0" w:color="D9D9D9"/>
              <w:left w:val="single" w:sz="8" w:space="0" w:color="D9D9D9"/>
              <w:bottom w:val="single" w:sz="12" w:space="0" w:color="000000"/>
              <w:right w:val="single" w:sz="8" w:space="0" w:color="D9D9D9"/>
            </w:tcBorders>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Transition ET (</w:t>
            </w:r>
            <w:proofErr w:type="spellStart"/>
            <w:proofErr w:type="gramStart"/>
            <w:r>
              <w:rPr>
                <w:rFonts w:ascii="Garamond" w:eastAsia="Garamond" w:hAnsi="Garamond" w:cs="Garamond"/>
                <w:b/>
              </w:rPr>
              <w:t>E</w:t>
            </w:r>
            <w:r>
              <w:rPr>
                <w:rFonts w:ascii="Garamond" w:eastAsia="Garamond" w:hAnsi="Garamond" w:cs="Garamond"/>
                <w:b/>
                <w:vertAlign w:val="subscript"/>
              </w:rPr>
              <w:t>tf</w:t>
            </w:r>
            <w:proofErr w:type="spellEnd"/>
            <w:r>
              <w:rPr>
                <w:rFonts w:ascii="Garamond" w:eastAsia="Garamond" w:hAnsi="Garamond" w:cs="Garamond"/>
                <w:b/>
                <w:vertAlign w:val="subscript"/>
              </w:rPr>
              <w:t xml:space="preserve"> </w:t>
            </w:r>
            <w:r>
              <w:rPr>
                <w:rFonts w:ascii="Garamond" w:eastAsia="Garamond" w:hAnsi="Garamond" w:cs="Garamond"/>
                <w:b/>
              </w:rPr>
              <w:t>)</w:t>
            </w:r>
            <w:proofErr w:type="gramEnd"/>
          </w:p>
        </w:tc>
        <w:tc>
          <w:tcPr>
            <w:tcW w:w="1965" w:type="dxa"/>
            <w:tcBorders>
              <w:top w:val="single" w:sz="8" w:space="0" w:color="D9D9D9"/>
              <w:left w:val="single" w:sz="8" w:space="0" w:color="D9D9D9"/>
              <w:bottom w:val="single" w:sz="12" w:space="0" w:color="000000"/>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485.67</w:t>
            </w:r>
          </w:p>
        </w:tc>
        <w:tc>
          <w:tcPr>
            <w:tcW w:w="1935" w:type="dxa"/>
            <w:tcBorders>
              <w:top w:val="single" w:sz="8" w:space="0" w:color="D9D9D9"/>
              <w:left w:val="single" w:sz="8" w:space="0" w:color="D9D9D9"/>
              <w:bottom w:val="single" w:sz="12" w:space="0" w:color="000000"/>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16.04</w:t>
            </w:r>
          </w:p>
        </w:tc>
        <w:tc>
          <w:tcPr>
            <w:tcW w:w="2220" w:type="dxa"/>
            <w:tcBorders>
              <w:top w:val="single" w:sz="8" w:space="0" w:color="D9D9D9"/>
              <w:left w:val="single" w:sz="8" w:space="0" w:color="D9D9D9"/>
              <w:bottom w:val="single" w:sz="12" w:space="0" w:color="000000"/>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b/>
              </w:rPr>
            </w:pPr>
            <w:r>
              <w:rPr>
                <w:rFonts w:ascii="Garamond" w:eastAsia="Garamond" w:hAnsi="Garamond" w:cs="Garamond"/>
                <w:b/>
              </w:rPr>
              <w:t>5.46</w:t>
            </w:r>
          </w:p>
        </w:tc>
      </w:tr>
      <w:tr w:rsidR="00886CC7">
        <w:trPr>
          <w:trHeight w:val="720"/>
        </w:trPr>
        <w:tc>
          <w:tcPr>
            <w:tcW w:w="1575" w:type="dxa"/>
            <w:vMerge w:val="restart"/>
            <w:tcBorders>
              <w:top w:val="single" w:sz="12" w:space="0" w:color="000000"/>
              <w:left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Non-forested</w:t>
            </w:r>
          </w:p>
        </w:tc>
        <w:tc>
          <w:tcPr>
            <w:tcW w:w="2385" w:type="dxa"/>
            <w:tcBorders>
              <w:top w:val="single" w:sz="12" w:space="0" w:color="000000"/>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Area (</w:t>
            </w:r>
            <w:proofErr w:type="gramStart"/>
            <w:r>
              <w:rPr>
                <w:rFonts w:ascii="Garamond" w:eastAsia="Garamond" w:hAnsi="Garamond" w:cs="Garamond"/>
                <w:b/>
              </w:rPr>
              <w:t>A</w:t>
            </w:r>
            <w:r>
              <w:rPr>
                <w:rFonts w:ascii="Garamond" w:eastAsia="Garamond" w:hAnsi="Garamond" w:cs="Garamond"/>
                <w:b/>
                <w:vertAlign w:val="subscript"/>
              </w:rPr>
              <w:t xml:space="preserve">n </w:t>
            </w:r>
            <w:r>
              <w:rPr>
                <w:rFonts w:ascii="Garamond" w:eastAsia="Garamond" w:hAnsi="Garamond" w:cs="Garamond"/>
                <w:b/>
              </w:rPr>
              <w:t>)</w:t>
            </w:r>
            <w:proofErr w:type="gramEnd"/>
          </w:p>
        </w:tc>
        <w:tc>
          <w:tcPr>
            <w:tcW w:w="1965" w:type="dxa"/>
            <w:tcBorders>
              <w:top w:val="single" w:sz="12" w:space="0" w:color="000000"/>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454.87</w:t>
            </w:r>
          </w:p>
        </w:tc>
        <w:tc>
          <w:tcPr>
            <w:tcW w:w="1935" w:type="dxa"/>
            <w:tcBorders>
              <w:top w:val="single" w:sz="12" w:space="0" w:color="000000"/>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-1.20</w:t>
            </w:r>
          </w:p>
        </w:tc>
        <w:tc>
          <w:tcPr>
            <w:tcW w:w="2220" w:type="dxa"/>
            <w:tcBorders>
              <w:top w:val="single" w:sz="12" w:space="0" w:color="000000"/>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-1.23</w:t>
            </w:r>
          </w:p>
        </w:tc>
      </w:tr>
      <w:tr w:rsidR="00886CC7">
        <w:trPr>
          <w:trHeight w:val="720"/>
        </w:trPr>
        <w:tc>
          <w:tcPr>
            <w:tcW w:w="1575" w:type="dxa"/>
            <w:vMerge/>
            <w:tcBorders>
              <w:left w:val="single" w:sz="8" w:space="0" w:color="D9D9D9"/>
              <w:right w:val="single" w:sz="8" w:space="0" w:color="D9D9D9"/>
            </w:tcBorders>
            <w:tcMar>
              <w:top w:w="140" w:type="dxa"/>
              <w:left w:w="140" w:type="dxa"/>
              <w:bottom w:w="140" w:type="dxa"/>
              <w:right w:w="140" w:type="dxa"/>
            </w:tcMar>
          </w:tcPr>
          <w:p w:rsidR="00886CC7" w:rsidRDefault="00886CC7">
            <w:pPr>
              <w:widowControl w:val="0"/>
              <w:spacing w:after="0"/>
            </w:pPr>
          </w:p>
        </w:tc>
        <w:tc>
          <w:tcPr>
            <w:tcW w:w="238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Dry ET (</w:t>
            </w:r>
            <w:proofErr w:type="spellStart"/>
            <w:proofErr w:type="gramStart"/>
            <w:r>
              <w:rPr>
                <w:rFonts w:ascii="Garamond" w:eastAsia="Garamond" w:hAnsi="Garamond" w:cs="Garamond"/>
                <w:b/>
              </w:rPr>
              <w:t>E</w:t>
            </w:r>
            <w:r>
              <w:rPr>
                <w:rFonts w:ascii="Garamond" w:eastAsia="Garamond" w:hAnsi="Garamond" w:cs="Garamond"/>
                <w:b/>
                <w:vertAlign w:val="subscript"/>
              </w:rPr>
              <w:t>dn</w:t>
            </w:r>
            <w:proofErr w:type="spellEnd"/>
            <w:r>
              <w:rPr>
                <w:rFonts w:ascii="Garamond" w:eastAsia="Garamond" w:hAnsi="Garamond" w:cs="Garamond"/>
                <w:b/>
                <w:vertAlign w:val="subscript"/>
              </w:rPr>
              <w:t xml:space="preserve"> </w:t>
            </w:r>
            <w:r>
              <w:rPr>
                <w:rFonts w:ascii="Garamond" w:eastAsia="Garamond" w:hAnsi="Garamond" w:cs="Garamond"/>
                <w:b/>
              </w:rPr>
              <w:t>)</w:t>
            </w:r>
            <w:proofErr w:type="gramEnd"/>
          </w:p>
        </w:tc>
        <w:tc>
          <w:tcPr>
            <w:tcW w:w="196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456.44</w:t>
            </w:r>
          </w:p>
        </w:tc>
        <w:tc>
          <w:tcPr>
            <w:tcW w:w="193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-36.98</w:t>
            </w:r>
          </w:p>
        </w:tc>
        <w:tc>
          <w:tcPr>
            <w:tcW w:w="2220"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-0.88</w:t>
            </w:r>
          </w:p>
        </w:tc>
      </w:tr>
      <w:tr w:rsidR="00886CC7">
        <w:trPr>
          <w:trHeight w:val="720"/>
        </w:trPr>
        <w:tc>
          <w:tcPr>
            <w:tcW w:w="1575" w:type="dxa"/>
            <w:vMerge/>
            <w:tcBorders>
              <w:left w:val="single" w:sz="8" w:space="0" w:color="D9D9D9"/>
              <w:right w:val="single" w:sz="8" w:space="0" w:color="D9D9D9"/>
            </w:tcBorders>
            <w:tcMar>
              <w:top w:w="140" w:type="dxa"/>
              <w:left w:w="140" w:type="dxa"/>
              <w:bottom w:w="140" w:type="dxa"/>
              <w:right w:w="140" w:type="dxa"/>
            </w:tcMar>
          </w:tcPr>
          <w:p w:rsidR="00886CC7" w:rsidRDefault="00886CC7">
            <w:pPr>
              <w:widowControl w:val="0"/>
              <w:spacing w:after="0"/>
            </w:pPr>
          </w:p>
        </w:tc>
        <w:tc>
          <w:tcPr>
            <w:tcW w:w="238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Wet ET (</w:t>
            </w:r>
            <w:proofErr w:type="spellStart"/>
            <w:proofErr w:type="gramStart"/>
            <w:r>
              <w:rPr>
                <w:rFonts w:ascii="Garamond" w:eastAsia="Garamond" w:hAnsi="Garamond" w:cs="Garamond"/>
                <w:b/>
              </w:rPr>
              <w:t>E</w:t>
            </w:r>
            <w:r>
              <w:rPr>
                <w:rFonts w:ascii="Garamond" w:eastAsia="Garamond" w:hAnsi="Garamond" w:cs="Garamond"/>
                <w:b/>
                <w:vertAlign w:val="subscript"/>
              </w:rPr>
              <w:t>wn</w:t>
            </w:r>
            <w:proofErr w:type="spellEnd"/>
            <w:r>
              <w:rPr>
                <w:rFonts w:ascii="Garamond" w:eastAsia="Garamond" w:hAnsi="Garamond" w:cs="Garamond"/>
                <w:b/>
                <w:vertAlign w:val="subscript"/>
              </w:rPr>
              <w:t xml:space="preserve"> </w:t>
            </w:r>
            <w:r>
              <w:rPr>
                <w:rFonts w:ascii="Garamond" w:eastAsia="Garamond" w:hAnsi="Garamond" w:cs="Garamond"/>
                <w:b/>
              </w:rPr>
              <w:t>)</w:t>
            </w:r>
            <w:proofErr w:type="gramEnd"/>
          </w:p>
        </w:tc>
        <w:tc>
          <w:tcPr>
            <w:tcW w:w="196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461.31</w:t>
            </w:r>
          </w:p>
        </w:tc>
        <w:tc>
          <w:tcPr>
            <w:tcW w:w="193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17.75</w:t>
            </w:r>
          </w:p>
        </w:tc>
        <w:tc>
          <w:tcPr>
            <w:tcW w:w="2220"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0.17</w:t>
            </w:r>
          </w:p>
        </w:tc>
      </w:tr>
      <w:tr w:rsidR="00886CC7">
        <w:trPr>
          <w:trHeight w:val="720"/>
        </w:trPr>
        <w:tc>
          <w:tcPr>
            <w:tcW w:w="1575" w:type="dxa"/>
            <w:vMerge/>
            <w:tcBorders>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886CC7">
            <w:pPr>
              <w:widowControl w:val="0"/>
              <w:spacing w:after="0"/>
            </w:pPr>
          </w:p>
        </w:tc>
        <w:tc>
          <w:tcPr>
            <w:tcW w:w="238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line="240" w:lineRule="auto"/>
              <w:rPr>
                <w:rFonts w:ascii="Garamond" w:eastAsia="Garamond" w:hAnsi="Garamond" w:cs="Garamond"/>
                <w:b/>
              </w:rPr>
            </w:pPr>
            <w:r>
              <w:rPr>
                <w:rFonts w:ascii="Garamond" w:eastAsia="Garamond" w:hAnsi="Garamond" w:cs="Garamond"/>
                <w:b/>
              </w:rPr>
              <w:t>Transition ET (</w:t>
            </w:r>
            <w:proofErr w:type="spellStart"/>
            <w:proofErr w:type="gramStart"/>
            <w:r>
              <w:rPr>
                <w:rFonts w:ascii="Garamond" w:eastAsia="Garamond" w:hAnsi="Garamond" w:cs="Garamond"/>
                <w:b/>
              </w:rPr>
              <w:t>E</w:t>
            </w:r>
            <w:r>
              <w:rPr>
                <w:rFonts w:ascii="Garamond" w:eastAsia="Garamond" w:hAnsi="Garamond" w:cs="Garamond"/>
                <w:b/>
                <w:vertAlign w:val="subscript"/>
              </w:rPr>
              <w:t>tn</w:t>
            </w:r>
            <w:proofErr w:type="spellEnd"/>
            <w:r>
              <w:rPr>
                <w:rFonts w:ascii="Garamond" w:eastAsia="Garamond" w:hAnsi="Garamond" w:cs="Garamond"/>
                <w:b/>
                <w:vertAlign w:val="subscript"/>
              </w:rPr>
              <w:t xml:space="preserve"> </w:t>
            </w:r>
            <w:r>
              <w:rPr>
                <w:rFonts w:ascii="Garamond" w:eastAsia="Garamond" w:hAnsi="Garamond" w:cs="Garamond"/>
                <w:b/>
              </w:rPr>
              <w:t>)</w:t>
            </w:r>
            <w:proofErr w:type="gramEnd"/>
          </w:p>
        </w:tc>
        <w:tc>
          <w:tcPr>
            <w:tcW w:w="196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459.61</w:t>
            </w:r>
          </w:p>
        </w:tc>
        <w:tc>
          <w:tcPr>
            <w:tcW w:w="1935"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-10.07</w:t>
            </w:r>
          </w:p>
        </w:tc>
        <w:tc>
          <w:tcPr>
            <w:tcW w:w="2220" w:type="dxa"/>
            <w:tcBorders>
              <w:top w:val="single" w:sz="8" w:space="0" w:color="D9D9D9"/>
              <w:left w:val="single" w:sz="8" w:space="0" w:color="D9D9D9"/>
              <w:bottom w:val="single" w:sz="8" w:space="0" w:color="D9D9D9"/>
              <w:right w:val="single" w:sz="8" w:space="0" w:color="D9D9D9"/>
            </w:tcBorders>
            <w:tcMar>
              <w:top w:w="140" w:type="dxa"/>
              <w:left w:w="140" w:type="dxa"/>
              <w:bottom w:w="140" w:type="dxa"/>
              <w:right w:w="140" w:type="dxa"/>
            </w:tcMar>
          </w:tcPr>
          <w:p w:rsidR="00886CC7" w:rsidRDefault="00457177">
            <w:pPr>
              <w:widowControl w:val="0"/>
              <w:spacing w:after="0"/>
              <w:jc w:val="right"/>
              <w:rPr>
                <w:rFonts w:ascii="Garamond" w:eastAsia="Garamond" w:hAnsi="Garamond" w:cs="Garamond"/>
              </w:rPr>
            </w:pPr>
            <w:r>
              <w:rPr>
                <w:rFonts w:ascii="Garamond" w:eastAsia="Garamond" w:hAnsi="Garamond" w:cs="Garamond"/>
              </w:rPr>
              <w:t>-0.19</w:t>
            </w:r>
          </w:p>
        </w:tc>
      </w:tr>
    </w:tbl>
    <w:p w:rsidR="00886CC7" w:rsidRDefault="00886CC7">
      <w:pPr>
        <w:spacing w:after="0" w:line="240" w:lineRule="auto"/>
        <w:rPr>
          <w:rFonts w:ascii="Garamond" w:eastAsia="Garamond" w:hAnsi="Garamond" w:cs="Garamond"/>
        </w:rPr>
      </w:pPr>
    </w:p>
    <w:p w:rsidR="00886CC7" w:rsidRDefault="00457177">
      <w:pPr>
        <w:spacing w:after="0" w:line="480" w:lineRule="auto"/>
        <w:rPr>
          <w:rFonts w:ascii="Garamond" w:eastAsia="Garamond" w:hAnsi="Garamond" w:cs="Garamond"/>
        </w:rPr>
      </w:pPr>
      <w:r>
        <w:br w:type="page"/>
      </w:r>
    </w:p>
    <w:p w:rsidR="00886CC7" w:rsidRDefault="00457177">
      <w:pPr>
        <w:spacing w:after="0" w:line="480" w:lineRule="auto"/>
        <w:rPr>
          <w:rFonts w:ascii="Garamond" w:eastAsia="Garamond" w:hAnsi="Garamond" w:cs="Garamond"/>
          <w:i/>
        </w:rPr>
      </w:pPr>
      <w:r>
        <w:rPr>
          <w:rFonts w:ascii="Garamond" w:eastAsia="Garamond" w:hAnsi="Garamond" w:cs="Garamond"/>
          <w:i/>
        </w:rPr>
        <w:lastRenderedPageBreak/>
        <w:t xml:space="preserve">Appendix D.  </w:t>
      </w:r>
      <w:r>
        <w:rPr>
          <w:noProof/>
        </w:rPr>
        <w:drawing>
          <wp:anchor distT="114300" distB="114300" distL="114300" distR="114300" simplePos="0" relativeHeight="251662336" behindDoc="0" locked="0" layoutInCell="1" hidden="0" allowOverlap="1">
            <wp:simplePos x="0" y="0"/>
            <wp:positionH relativeFrom="column">
              <wp:posOffset>814388</wp:posOffset>
            </wp:positionH>
            <wp:positionV relativeFrom="paragraph">
              <wp:posOffset>114300</wp:posOffset>
            </wp:positionV>
            <wp:extent cx="4595813" cy="2514876"/>
            <wp:effectExtent l="0" t="0" r="0" b="0"/>
            <wp:wrapSquare wrapText="bothSides" distT="114300" distB="114300" distL="114300" distR="114300"/>
            <wp:docPr id="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7"/>
                    <a:srcRect/>
                    <a:stretch>
                      <a:fillRect/>
                    </a:stretch>
                  </pic:blipFill>
                  <pic:spPr>
                    <a:xfrm>
                      <a:off x="0" y="0"/>
                      <a:ext cx="4595813" cy="2514876"/>
                    </a:xfrm>
                    <a:prstGeom prst="rect">
                      <a:avLst/>
                    </a:prstGeom>
                    <a:ln/>
                  </pic:spPr>
                </pic:pic>
              </a:graphicData>
            </a:graphic>
          </wp:anchor>
        </w:drawing>
      </w:r>
    </w:p>
    <w:p w:rsidR="00886CC7" w:rsidRDefault="00886CC7">
      <w:pPr>
        <w:spacing w:after="0" w:line="480" w:lineRule="auto"/>
        <w:rPr>
          <w:rFonts w:ascii="Garamond" w:eastAsia="Garamond" w:hAnsi="Garamond" w:cs="Garamond"/>
          <w:i/>
        </w:rPr>
      </w:pPr>
    </w:p>
    <w:p w:rsidR="00886CC7" w:rsidRDefault="00886CC7">
      <w:pPr>
        <w:spacing w:after="0"/>
        <w:rPr>
          <w:rFonts w:ascii="Garamond" w:eastAsia="Garamond" w:hAnsi="Garamond" w:cs="Garamond"/>
          <w:i/>
        </w:rPr>
      </w:pPr>
    </w:p>
    <w:p w:rsidR="00886CC7" w:rsidRDefault="00886CC7">
      <w:pPr>
        <w:spacing w:after="0" w:line="480" w:lineRule="auto"/>
        <w:rPr>
          <w:rFonts w:ascii="Garamond" w:eastAsia="Garamond" w:hAnsi="Garamond" w:cs="Garamond"/>
          <w:i/>
        </w:rPr>
      </w:pPr>
    </w:p>
    <w:p w:rsidR="00886CC7" w:rsidRDefault="00886CC7">
      <w:pPr>
        <w:spacing w:after="0" w:line="240" w:lineRule="auto"/>
        <w:jc w:val="center"/>
        <w:rPr>
          <w:rFonts w:ascii="Garamond" w:eastAsia="Garamond" w:hAnsi="Garamond" w:cs="Garamond"/>
        </w:rPr>
      </w:pPr>
    </w:p>
    <w:p w:rsidR="00886CC7" w:rsidRDefault="007C18F8">
      <w:pPr>
        <w:spacing w:after="0" w:line="240" w:lineRule="auto"/>
        <w:jc w:val="center"/>
        <w:rPr>
          <w:rFonts w:ascii="Garamond" w:eastAsia="Garamond" w:hAnsi="Garamond" w:cs="Garamond"/>
        </w:rPr>
      </w:pPr>
      <w:r>
        <w:rPr>
          <w:noProof/>
        </w:rPr>
        <mc:AlternateContent>
          <mc:Choice Requires="wps">
            <w:drawing>
              <wp:anchor distT="0" distB="0" distL="0" distR="0" simplePos="0" relativeHeight="251664384" behindDoc="0" locked="0" layoutInCell="1" hidden="0" allowOverlap="1">
                <wp:simplePos x="0" y="0"/>
                <wp:positionH relativeFrom="margin">
                  <wp:posOffset>-635</wp:posOffset>
                </wp:positionH>
                <wp:positionV relativeFrom="paragraph">
                  <wp:posOffset>6022975</wp:posOffset>
                </wp:positionV>
                <wp:extent cx="6181725" cy="922655"/>
                <wp:effectExtent l="0" t="0" r="9525" b="0"/>
                <wp:wrapTopAndBottom distT="0" distB="0"/>
                <wp:docPr id="22" name="Text Box 22"/>
                <wp:cNvGraphicFramePr/>
                <a:graphic xmlns:a="http://schemas.openxmlformats.org/drawingml/2006/main">
                  <a:graphicData uri="http://schemas.microsoft.com/office/word/2010/wordprocessingShape">
                    <wps:wsp>
                      <wps:cNvSpPr txBox="1"/>
                      <wps:spPr>
                        <a:xfrm>
                          <a:off x="0" y="0"/>
                          <a:ext cx="6181725" cy="922655"/>
                        </a:xfrm>
                        <a:prstGeom prst="rect">
                          <a:avLst/>
                        </a:prstGeom>
                        <a:solidFill>
                          <a:srgbClr val="FFFFFF"/>
                        </a:solidFill>
                        <a:ln>
                          <a:noFill/>
                        </a:ln>
                      </wps:spPr>
                      <wps:txbx>
                        <w:txbxContent>
                          <w:p w:rsidR="00FC366C" w:rsidRDefault="00FC366C">
                            <w:pPr>
                              <w:spacing w:after="0" w:line="275" w:lineRule="auto"/>
                              <w:jc w:val="center"/>
                              <w:textDirection w:val="btLr"/>
                            </w:pPr>
                            <w:r>
                              <w:rPr>
                                <w:rFonts w:ascii="Garamond" w:eastAsia="Garamond" w:hAnsi="Garamond" w:cs="Garamond"/>
                                <w:color w:val="000000"/>
                              </w:rPr>
                              <w:t xml:space="preserve">A graph of 16-day total net ET measured by MODIS, shown in orange, and </w:t>
                            </w:r>
                            <w:r>
                              <w:rPr>
                                <w:rFonts w:ascii="Garamond" w:eastAsia="Garamond" w:hAnsi="Garamond" w:cs="Garamond"/>
                                <w:i/>
                                <w:color w:val="000000"/>
                              </w:rPr>
                              <w:t xml:space="preserve">in situ </w:t>
                            </w:r>
                            <w:r>
                              <w:rPr>
                                <w:rFonts w:ascii="Garamond" w:eastAsia="Garamond" w:hAnsi="Garamond" w:cs="Garamond"/>
                                <w:color w:val="000000"/>
                              </w:rPr>
                              <w:t>stations, shown in shades of blue, in ASP (top) and BCI (middle and bottom). The solid grey line indicates the beginning of the year and the dashed grey line indicates the beginning of May when the seasons generally transition from dry to wet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05pt;margin-top:474.25pt;width:486.75pt;height:72.6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" stroked="f">
                <v:textbox inset="2.53958mm,2.53958mm,2.53958mm,2.53958mm">
                  <w:txbxContent>
                    <w:p w:rsidR="00FC366C" w:rsidRDefault="00FC366C">
                      <w:pPr>
                        <w:spacing w:after="0" w:line="275" w:lineRule="auto"/>
                        <w:jc w:val="center"/>
                        <w:textDirection w:val="btLr"/>
                      </w:pPr>
                      <w:r>
                        <w:rPr>
                          <w:rFonts w:ascii="Garamond" w:eastAsia="Garamond" w:hAnsi="Garamond" w:cs="Garamond"/>
                          <w:color w:val="000000"/>
                        </w:rPr>
                        <w:t xml:space="preserve">A graph of 16-day total net ET measured by MODIS, shown in orange, and </w:t>
                      </w:r>
                      <w:r>
                        <w:rPr>
                          <w:rFonts w:ascii="Garamond" w:eastAsia="Garamond" w:hAnsi="Garamond" w:cs="Garamond"/>
                          <w:i/>
                          <w:color w:val="000000"/>
                        </w:rPr>
                        <w:t xml:space="preserve">in situ </w:t>
                      </w:r>
                      <w:r>
                        <w:rPr>
                          <w:rFonts w:ascii="Garamond" w:eastAsia="Garamond" w:hAnsi="Garamond" w:cs="Garamond"/>
                          <w:color w:val="000000"/>
                        </w:rPr>
                        <w:t>stations, shown in shades of blue, in ASP (top) and BCI (middle and bottom). The solid grey line indicates the beginning of the year and the dashed grey line indicates the beginning of May when the seasons generally transition from dry to wet</w:t>
                      </w:r>
                    </w:p>
                  </w:txbxContent>
                </v:textbox>
                <w10:wrap type="topAndBottom" anchorx="margin"/>
              </v:shape>
            </w:pict>
          </mc:Fallback>
        </mc:AlternateContent>
      </w:r>
      <w:r w:rsidR="00457177">
        <w:rPr>
          <w:noProof/>
        </w:rPr>
        <w:drawing>
          <wp:anchor distT="114300" distB="114300" distL="114300" distR="114300" simplePos="0" relativeHeight="251663360" behindDoc="0" locked="0" layoutInCell="1" hidden="0" allowOverlap="1">
            <wp:simplePos x="0" y="0"/>
            <wp:positionH relativeFrom="column">
              <wp:posOffset>881063</wp:posOffset>
            </wp:positionH>
            <wp:positionV relativeFrom="paragraph">
              <wp:posOffset>4067175</wp:posOffset>
            </wp:positionV>
            <wp:extent cx="4471988" cy="2431643"/>
            <wp:effectExtent l="0" t="0" r="0" b="0"/>
            <wp:wrapTopAndBottom distT="114300" distB="114300"/>
            <wp:docPr id="3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8"/>
                    <a:srcRect/>
                    <a:stretch>
                      <a:fillRect/>
                    </a:stretch>
                  </pic:blipFill>
                  <pic:spPr>
                    <a:xfrm>
                      <a:off x="0" y="0"/>
                      <a:ext cx="4471988" cy="2431643"/>
                    </a:xfrm>
                    <a:prstGeom prst="rect">
                      <a:avLst/>
                    </a:prstGeom>
                    <a:ln/>
                  </pic:spPr>
                </pic:pic>
              </a:graphicData>
            </a:graphic>
          </wp:anchor>
        </w:drawing>
      </w:r>
      <w:r w:rsidR="00457177">
        <w:rPr>
          <w:noProof/>
        </w:rPr>
        <w:drawing>
          <wp:anchor distT="114300" distB="114300" distL="114300" distR="114300" simplePos="0" relativeHeight="251665408" behindDoc="0" locked="0" layoutInCell="1" hidden="0" allowOverlap="1">
            <wp:simplePos x="0" y="0"/>
            <wp:positionH relativeFrom="column">
              <wp:posOffset>923925</wp:posOffset>
            </wp:positionH>
            <wp:positionV relativeFrom="paragraph">
              <wp:posOffset>1323975</wp:posOffset>
            </wp:positionV>
            <wp:extent cx="4666345" cy="2566988"/>
            <wp:effectExtent l="0" t="0" r="0" b="0"/>
            <wp:wrapTopAndBottom distT="114300" distB="114300"/>
            <wp:docPr id="3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9"/>
                    <a:srcRect/>
                    <a:stretch>
                      <a:fillRect/>
                    </a:stretch>
                  </pic:blipFill>
                  <pic:spPr>
                    <a:xfrm>
                      <a:off x="0" y="0"/>
                      <a:ext cx="4666345" cy="2566988"/>
                    </a:xfrm>
                    <a:prstGeom prst="rect">
                      <a:avLst/>
                    </a:prstGeom>
                    <a:ln/>
                  </pic:spPr>
                </pic:pic>
              </a:graphicData>
            </a:graphic>
          </wp:anchor>
        </w:drawing>
      </w:r>
    </w:p>
    <w:sectPr w:rsidR="00886CC7">
      <w:footerReference w:type="default" r:id="rId40"/>
      <w:headerReference w:type="first" r:id="rId41"/>
      <w:footerReference w:type="first" r:id="rId4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7545" w:rsidRDefault="009E7545">
      <w:pPr>
        <w:spacing w:after="0" w:line="240" w:lineRule="auto"/>
      </w:pPr>
      <w:r>
        <w:separator/>
      </w:r>
    </w:p>
  </w:endnote>
  <w:endnote w:type="continuationSeparator" w:id="0">
    <w:p w:rsidR="009E7545" w:rsidRDefault="009E7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66C" w:rsidRDefault="00FC366C">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noProof/>
        <w:color w:val="000000"/>
      </w:rPr>
      <w:t>1</w:t>
    </w:r>
    <w:r>
      <w:rPr>
        <w:rFonts w:ascii="Garamond" w:eastAsia="Garamond" w:hAnsi="Garamond" w:cs="Garamond"/>
        <w:color w:val="000000"/>
      </w:rPr>
      <w:fldChar w:fldCharType="end"/>
    </w:r>
  </w:p>
  <w:p w:rsidR="00FC366C" w:rsidRDefault="00FC366C">
    <w:pPr>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66C" w:rsidRDefault="00FC366C">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7545" w:rsidRDefault="009E7545">
      <w:pPr>
        <w:spacing w:after="0" w:line="240" w:lineRule="auto"/>
      </w:pPr>
      <w:r>
        <w:separator/>
      </w:r>
    </w:p>
  </w:footnote>
  <w:footnote w:type="continuationSeparator" w:id="0">
    <w:p w:rsidR="009E7545" w:rsidRDefault="009E7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66C" w:rsidRDefault="00FC366C">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rsidR="00FC366C" w:rsidRDefault="00FC366C">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California - JPL</w:t>
    </w:r>
    <w:r>
      <w:rPr>
        <w:noProof/>
      </w:rPr>
      <w:drawing>
        <wp:anchor distT="0" distB="0" distL="114300" distR="114300" simplePos="0" relativeHeight="251658240" behindDoc="0" locked="0" layoutInCell="1" hidden="0" allowOverlap="1">
          <wp:simplePos x="0" y="0"/>
          <wp:positionH relativeFrom="column">
            <wp:posOffset>7</wp:posOffset>
          </wp:positionH>
          <wp:positionV relativeFrom="paragraph">
            <wp:posOffset>228600</wp:posOffset>
          </wp:positionV>
          <wp:extent cx="5943600" cy="297180"/>
          <wp:effectExtent l="0" t="0" r="0" b="0"/>
          <wp:wrapSquare wrapText="bothSides" distT="0" distB="0" distL="114300" distR="11430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rsidR="00FC366C" w:rsidRDefault="00FC366C">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Fall 2019</w:t>
    </w:r>
  </w:p>
  <w:p w:rsidR="00FC366C" w:rsidRDefault="00FC366C">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26A3A"/>
    <w:multiLevelType w:val="multilevel"/>
    <w:tmpl w:val="18B89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CF0522"/>
    <w:multiLevelType w:val="multilevel"/>
    <w:tmpl w:val="2F74CF3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CC7"/>
    <w:rsid w:val="00115087"/>
    <w:rsid w:val="00191B47"/>
    <w:rsid w:val="00192FC7"/>
    <w:rsid w:val="002D6271"/>
    <w:rsid w:val="00457177"/>
    <w:rsid w:val="00473866"/>
    <w:rsid w:val="005C4CF4"/>
    <w:rsid w:val="00653D47"/>
    <w:rsid w:val="00760D70"/>
    <w:rsid w:val="00762A36"/>
    <w:rsid w:val="007C18F8"/>
    <w:rsid w:val="0082752F"/>
    <w:rsid w:val="00866F4C"/>
    <w:rsid w:val="00886CC7"/>
    <w:rsid w:val="00914AA3"/>
    <w:rsid w:val="00930746"/>
    <w:rsid w:val="009C3C63"/>
    <w:rsid w:val="009E7545"/>
    <w:rsid w:val="00B12866"/>
    <w:rsid w:val="00B23C63"/>
    <w:rsid w:val="00B26968"/>
    <w:rsid w:val="00B73DCC"/>
    <w:rsid w:val="00FA6130"/>
    <w:rsid w:val="00FC3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ABC02"/>
  <w15:docId w15:val="{26695CD2-3EB0-4BA3-9AE7-C2FB494E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rPr>
      <w:color w:val="000000"/>
    </w:rPr>
    <w:tblPr>
      <w:tblStyleRowBandSize w:val="1"/>
      <w:tblStyleColBandSize w:val="1"/>
      <w:tblCellMar>
        <w:top w:w="100" w:type="dxa"/>
        <w:left w:w="100" w:type="dxa"/>
        <w:bottom w:w="100" w:type="dxa"/>
        <w:right w:w="1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character" w:styleId="UnresolvedMention">
    <w:name w:val="Unresolved Mention"/>
    <w:basedOn w:val="DefaultParagraphFont"/>
    <w:uiPriority w:val="99"/>
    <w:semiHidden/>
    <w:unhideWhenUsed/>
    <w:rsid w:val="00B23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48921">
      <w:bodyDiv w:val="1"/>
      <w:marLeft w:val="0"/>
      <w:marRight w:val="0"/>
      <w:marTop w:val="0"/>
      <w:marBottom w:val="0"/>
      <w:divBdr>
        <w:top w:val="none" w:sz="0" w:space="0" w:color="auto"/>
        <w:left w:val="none" w:sz="0" w:space="0" w:color="auto"/>
        <w:bottom w:val="none" w:sz="0" w:space="0" w:color="auto"/>
        <w:right w:val="none" w:sz="0" w:space="0" w:color="auto"/>
      </w:divBdr>
    </w:div>
    <w:div w:id="701830262">
      <w:bodyDiv w:val="1"/>
      <w:marLeft w:val="0"/>
      <w:marRight w:val="0"/>
      <w:marTop w:val="0"/>
      <w:marBottom w:val="0"/>
      <w:divBdr>
        <w:top w:val="none" w:sz="0" w:space="0" w:color="auto"/>
        <w:left w:val="none" w:sz="0" w:space="0" w:color="auto"/>
        <w:bottom w:val="none" w:sz="0" w:space="0" w:color="auto"/>
        <w:right w:val="none" w:sz="0" w:space="0" w:color="auto"/>
      </w:divBdr>
    </w:div>
    <w:div w:id="805511941">
      <w:bodyDiv w:val="1"/>
      <w:marLeft w:val="0"/>
      <w:marRight w:val="0"/>
      <w:marTop w:val="0"/>
      <w:marBottom w:val="0"/>
      <w:divBdr>
        <w:top w:val="none" w:sz="0" w:space="0" w:color="auto"/>
        <w:left w:val="none" w:sz="0" w:space="0" w:color="auto"/>
        <w:bottom w:val="none" w:sz="0" w:space="0" w:color="auto"/>
        <w:right w:val="none" w:sz="0" w:space="0" w:color="auto"/>
      </w:divBdr>
    </w:div>
    <w:div w:id="1100684884">
      <w:bodyDiv w:val="1"/>
      <w:marLeft w:val="0"/>
      <w:marRight w:val="0"/>
      <w:marTop w:val="0"/>
      <w:marBottom w:val="0"/>
      <w:divBdr>
        <w:top w:val="none" w:sz="0" w:space="0" w:color="auto"/>
        <w:left w:val="none" w:sz="0" w:space="0" w:color="auto"/>
        <w:bottom w:val="none" w:sz="0" w:space="0" w:color="auto"/>
        <w:right w:val="none" w:sz="0" w:space="0" w:color="auto"/>
      </w:divBdr>
    </w:div>
    <w:div w:id="1914965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0198-0254(87)91072-7" TargetMode="External"/><Relationship Id="rId26" Type="http://schemas.openxmlformats.org/officeDocument/2006/relationships/hyperlink" Target="https://doi.org/10.2166/nh.1975.0012" TargetMode="External"/><Relationship Id="rId39" Type="http://schemas.openxmlformats.org/officeDocument/2006/relationships/image" Target="media/image13.jpg"/><Relationship Id="rId21" Type="http://schemas.openxmlformats.org/officeDocument/2006/relationships/hyperlink" Target="https://doi.org/10.3390/rs10020306" TargetMode="External"/><Relationship Id="rId34" Type="http://schemas.openxmlformats.org/officeDocument/2006/relationships/hyperlink" Target="https://doi.org/10.1108/MABR-07-2017-0014"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cageo.2016.08.020" TargetMode="External"/><Relationship Id="rId29" Type="http://schemas.openxmlformats.org/officeDocument/2006/relationships/hyperlink" Target="https://doi.org/10.1109/TGRS.2011.2120616"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390/rs6076163" TargetMode="External"/><Relationship Id="rId32" Type="http://schemas.openxmlformats.org/officeDocument/2006/relationships/hyperlink" Target="https://doi.org/10.1080/01431160903160777" TargetMode="External"/><Relationship Id="rId37" Type="http://schemas.openxmlformats.org/officeDocument/2006/relationships/image" Target="media/image11.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390/rs6076163" TargetMode="External"/><Relationship Id="rId28" Type="http://schemas.openxmlformats.org/officeDocument/2006/relationships/hyperlink" Target="https://doi.org/10.1109/TGRS.2016.2543142" TargetMode="External"/><Relationship Id="rId36" Type="http://schemas.openxmlformats.org/officeDocument/2006/relationships/hyperlink" Target="https://doi.org/10.1109/IHMSC.2015.236" TargetMode="External"/><Relationship Id="rId10" Type="http://schemas.openxmlformats.org/officeDocument/2006/relationships/image" Target="media/image3.png"/><Relationship Id="rId19" Type="http://schemas.openxmlformats.org/officeDocument/2006/relationships/hyperlink" Target="https://doi.org/10.1016/j.cageo.2016.08.020" TargetMode="External"/><Relationship Id="rId31" Type="http://schemas.openxmlformats.org/officeDocument/2006/relationships/hyperlink" Target="https://doi.org/10.1080/0143116090316077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3390/rs10020306" TargetMode="External"/><Relationship Id="rId27" Type="http://schemas.openxmlformats.org/officeDocument/2006/relationships/hyperlink" Target="https://doi.org/10.1109/TGRS.2016.2543142" TargetMode="External"/><Relationship Id="rId30" Type="http://schemas.openxmlformats.org/officeDocument/2006/relationships/hyperlink" Target="https://doi.org/10.1109/TGRS.2011.2120616" TargetMode="External"/><Relationship Id="rId35" Type="http://schemas.openxmlformats.org/officeDocument/2006/relationships/hyperlink" Target="https://doi.org/10.1109/IHMSC.2015.236"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s://doi.org/10.2166/nh.1975.0012" TargetMode="External"/><Relationship Id="rId33" Type="http://schemas.openxmlformats.org/officeDocument/2006/relationships/hyperlink" Target="https://doi.org/10.1108/MABR-07-2017-0014" TargetMode="External"/><Relationship Id="rId38"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zrfA5II/mlHIeLN1liVDz0LmYg==">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19</Pages>
  <Words>7128</Words>
  <Characters>40636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 Bengtsson</dc:creator>
  <cp:lastModifiedBy>Zachary Bengtsson</cp:lastModifiedBy>
  <cp:revision>10</cp:revision>
  <dcterms:created xsi:type="dcterms:W3CDTF">2019-11-26T07:50:00Z</dcterms:created>
  <dcterms:modified xsi:type="dcterms:W3CDTF">2019-11-28T07:13:00Z</dcterms:modified>
</cp:coreProperties>
</file>