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16518B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B1918">
        <w:rPr>
          <w:rFonts w:ascii="Century Gothic" w:hAnsi="Century Gothic" w:cs="Arial"/>
          <w:sz w:val="24"/>
        </w:rPr>
        <w:t>International Research Institute for Climate and Society</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0F759B9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B2B60">
        <w:rPr>
          <w:rFonts w:ascii="Century Gothic" w:hAnsi="Century Gothic" w:cs="Arial"/>
          <w:b/>
          <w:sz w:val="24"/>
        </w:rPr>
        <w:t>Malawi Disasters II</w:t>
      </w:r>
    </w:p>
    <w:p w14:paraId="38FB8E53" w14:textId="0E60CC6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A70281">
        <w:rPr>
          <w:rFonts w:ascii="Century Gothic" w:hAnsi="Century Gothic" w:cs="Arial"/>
        </w:rPr>
        <w:t>Applications of Flood Definitions and NASA Earth Observations to Create a Flood Forecasting Methodology</w:t>
      </w:r>
    </w:p>
    <w:p w14:paraId="258FD607" w14:textId="6B89E8A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EB2B60" w:rsidRPr="00EB2B60">
        <w:rPr>
          <w:rFonts w:ascii="Century Gothic" w:hAnsi="Century Gothic" w:cs="Arial"/>
        </w:rPr>
        <w:t>The Flash Factor: Creatin</w:t>
      </w:r>
      <w:r w:rsidR="00EB2B60">
        <w:rPr>
          <w:rFonts w:ascii="Century Gothic" w:hAnsi="Century Gothic" w:cs="Arial"/>
        </w:rPr>
        <w:t>g a Flood Forecasting Framework</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4315AF56" w:rsidR="00E507D0"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Andrew Kruczkiewicz</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andrewkruczkiewicz@gmail.com</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6129766"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Helen Cen</w:t>
      </w:r>
    </w:p>
    <w:p w14:paraId="6B8F900E" w14:textId="13C1A9F1"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t>Brigitte Moneymaker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332D441A"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w:t>
      </w:r>
      <w:proofErr w:type="spellStart"/>
      <w:r>
        <w:rPr>
          <w:rFonts w:ascii="Century Gothic" w:hAnsi="Century Gothic" w:cs="Arial"/>
          <w:sz w:val="20"/>
          <w:szCs w:val="20"/>
        </w:rPr>
        <w:t>Pietro</w:t>
      </w:r>
      <w:proofErr w:type="spellEnd"/>
      <w:r>
        <w:rPr>
          <w:rFonts w:ascii="Century Gothic" w:hAnsi="Century Gothic" w:cs="Arial"/>
          <w:sz w:val="20"/>
          <w:szCs w:val="20"/>
        </w:rPr>
        <w:t xml:space="preserve"> </w:t>
      </w:r>
      <w:proofErr w:type="spellStart"/>
      <w:r>
        <w:rPr>
          <w:rFonts w:ascii="Century Gothic" w:hAnsi="Century Gothic" w:cs="Arial"/>
          <w:sz w:val="20"/>
          <w:szCs w:val="20"/>
        </w:rPr>
        <w:t>Ceccato</w:t>
      </w:r>
      <w:proofErr w:type="spellEnd"/>
      <w:r>
        <w:rPr>
          <w:rFonts w:ascii="Century Gothic" w:hAnsi="Century Gothic" w:cs="Arial"/>
          <w:sz w:val="20"/>
          <w:szCs w:val="20"/>
        </w:rPr>
        <w:t xml:space="preserve"> (Lead, Environmental Monitoring Program, international Research Institute for Climate and Society, The Earth Institute, Columbia University). </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41A4906F" w:rsidR="00677CB8" w:rsidRPr="00D579FC" w:rsidRDefault="0002261B"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Jerrod </w:t>
      </w:r>
      <w:proofErr w:type="spellStart"/>
      <w:r>
        <w:rPr>
          <w:rFonts w:ascii="Century Gothic" w:hAnsi="Century Gothic" w:cs="Arial"/>
          <w:sz w:val="20"/>
          <w:szCs w:val="20"/>
        </w:rPr>
        <w:t>Lessel</w:t>
      </w:r>
      <w:proofErr w:type="spellEnd"/>
    </w:p>
    <w:p w14:paraId="77B2A8CA" w14:textId="4DBBF8AC" w:rsidR="00677CB8" w:rsidRPr="00D579FC" w:rsidRDefault="0002261B" w:rsidP="00677CB8">
      <w:pPr>
        <w:spacing w:after="0" w:line="240" w:lineRule="auto"/>
        <w:rPr>
          <w:rFonts w:ascii="Century Gothic" w:hAnsi="Century Gothic" w:cs="Arial"/>
          <w:sz w:val="20"/>
          <w:szCs w:val="20"/>
        </w:rPr>
      </w:pPr>
      <w:r>
        <w:rPr>
          <w:rFonts w:ascii="Century Gothic" w:hAnsi="Century Gothic" w:cs="Arial"/>
          <w:sz w:val="20"/>
          <w:szCs w:val="20"/>
        </w:rPr>
        <w:t>Alex Sweeney</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P</w:t>
      </w:r>
      <w:r>
        <w:rPr>
          <w:rFonts w:ascii="Century Gothic" w:hAnsi="Century Gothic" w:cs="Arial"/>
          <w:b/>
          <w:sz w:val="20"/>
          <w:szCs w:val="20"/>
        </w:rPr>
        <w:t>artner Organizations</w:t>
      </w:r>
      <w:commentRangeEnd w:id="1"/>
      <w:r>
        <w:rPr>
          <w:rStyle w:val="CommentReference"/>
        </w:rPr>
        <w:commentReference w:id="1"/>
      </w:r>
    </w:p>
    <w:p w14:paraId="36F691BA" w14:textId="77777777" w:rsidR="0002261B" w:rsidRPr="0002261B" w:rsidRDefault="0002261B" w:rsidP="0002261B">
      <w:pPr>
        <w:spacing w:after="0" w:line="240" w:lineRule="auto"/>
        <w:rPr>
          <w:rFonts w:ascii="Century Gothic" w:hAnsi="Century Gothic" w:cs="Arial"/>
          <w:sz w:val="20"/>
          <w:szCs w:val="20"/>
        </w:rPr>
      </w:pPr>
      <w:r w:rsidRPr="0002261B">
        <w:rPr>
          <w:rFonts w:ascii="Century Gothic" w:hAnsi="Century Gothic" w:cs="Arial"/>
          <w:sz w:val="20"/>
          <w:szCs w:val="20"/>
        </w:rPr>
        <w:t xml:space="preserve">Red Cross/Red Crescent Climate Centre (RCRCCC), Boundary Organization, </w:t>
      </w:r>
      <w:proofErr w:type="gramStart"/>
      <w:r w:rsidRPr="0002261B">
        <w:rPr>
          <w:rFonts w:ascii="Century Gothic" w:hAnsi="Century Gothic" w:cs="Arial"/>
          <w:sz w:val="20"/>
          <w:szCs w:val="20"/>
        </w:rPr>
        <w:t>POC</w:t>
      </w:r>
      <w:proofErr w:type="gramEnd"/>
      <w:r w:rsidRPr="0002261B">
        <w:rPr>
          <w:rFonts w:ascii="Century Gothic" w:hAnsi="Century Gothic" w:cs="Arial"/>
          <w:sz w:val="20"/>
          <w:szCs w:val="20"/>
        </w:rPr>
        <w:t>: Erin Coughlan, Senior Climate Specialist</w:t>
      </w:r>
    </w:p>
    <w:p w14:paraId="2C4155B4" w14:textId="77777777" w:rsidR="0002261B" w:rsidRPr="0002261B" w:rsidRDefault="0002261B" w:rsidP="0002261B">
      <w:pPr>
        <w:spacing w:after="0" w:line="240" w:lineRule="auto"/>
        <w:rPr>
          <w:rFonts w:ascii="Century Gothic" w:hAnsi="Century Gothic" w:cs="Arial"/>
          <w:sz w:val="20"/>
          <w:szCs w:val="20"/>
        </w:rPr>
      </w:pPr>
      <w:r w:rsidRPr="0002261B">
        <w:rPr>
          <w:rFonts w:ascii="Century Gothic" w:hAnsi="Century Gothic" w:cs="Arial"/>
          <w:sz w:val="20"/>
          <w:szCs w:val="20"/>
        </w:rPr>
        <w:t xml:space="preserve">Malawi Red Cross Society, Collaborator and End-User, POC: Hastings </w:t>
      </w:r>
      <w:proofErr w:type="spellStart"/>
      <w:r w:rsidRPr="0002261B">
        <w:rPr>
          <w:rFonts w:ascii="Century Gothic" w:hAnsi="Century Gothic" w:cs="Arial"/>
          <w:sz w:val="20"/>
          <w:szCs w:val="20"/>
        </w:rPr>
        <w:t>Kandaya</w:t>
      </w:r>
      <w:proofErr w:type="spellEnd"/>
      <w:r w:rsidRPr="0002261B">
        <w:rPr>
          <w:rFonts w:ascii="Century Gothic" w:hAnsi="Century Gothic" w:cs="Arial"/>
          <w:sz w:val="20"/>
          <w:szCs w:val="20"/>
        </w:rPr>
        <w:t xml:space="preserve">, Director- </w:t>
      </w:r>
      <w:proofErr w:type="spellStart"/>
      <w:r w:rsidRPr="0002261B">
        <w:rPr>
          <w:rFonts w:ascii="Century Gothic" w:hAnsi="Century Gothic" w:cs="Arial"/>
          <w:sz w:val="20"/>
          <w:szCs w:val="20"/>
        </w:rPr>
        <w:t>Programmes</w:t>
      </w:r>
      <w:proofErr w:type="spellEnd"/>
      <w:r w:rsidRPr="0002261B">
        <w:rPr>
          <w:rFonts w:ascii="Century Gothic" w:hAnsi="Century Gothic" w:cs="Arial"/>
          <w:sz w:val="20"/>
          <w:szCs w:val="20"/>
        </w:rPr>
        <w:t xml:space="preserve"> and Development</w:t>
      </w:r>
    </w:p>
    <w:p w14:paraId="34CC3048" w14:textId="77777777" w:rsidR="00CC6870" w:rsidRDefault="00CC6870" w:rsidP="009A326F">
      <w:pPr>
        <w:spacing w:after="0" w:line="240" w:lineRule="auto"/>
        <w:rPr>
          <w:rFonts w:ascii="Century Gothic" w:hAnsi="Century Gothic" w:cs="Arial"/>
          <w:b/>
          <w:sz w:val="20"/>
          <w:szCs w:val="20"/>
        </w:rPr>
      </w:pPr>
      <w:bookmarkStart w:id="2" w:name="_GoBack"/>
      <w:bookmarkEnd w:id="2"/>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4CC0592B" w:rsidR="009A326F" w:rsidRPr="00E80174" w:rsidRDefault="00711066"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8A78FED" w:rsidR="00CC559E" w:rsidRDefault="003B2A86" w:rsidP="003B2A86">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Study Area</w:t>
      </w:r>
      <w:commentRangeEnd w:id="3"/>
      <w:r w:rsidR="00603BB8">
        <w:rPr>
          <w:rStyle w:val="CommentReference"/>
        </w:rPr>
        <w:commentReference w:id="3"/>
      </w:r>
      <w:r w:rsidRPr="00D579FC">
        <w:rPr>
          <w:rFonts w:ascii="Century Gothic" w:hAnsi="Century Gothic" w:cs="Arial"/>
          <w:b/>
          <w:sz w:val="20"/>
          <w:szCs w:val="20"/>
        </w:rPr>
        <w:t>:</w:t>
      </w:r>
      <w:r w:rsidRPr="00D579FC">
        <w:rPr>
          <w:rFonts w:ascii="Century Gothic" w:hAnsi="Century Gothic" w:cs="Arial"/>
          <w:sz w:val="20"/>
          <w:szCs w:val="20"/>
        </w:rPr>
        <w:t xml:space="preserve"> </w:t>
      </w:r>
      <w:r w:rsidR="00711066">
        <w:rPr>
          <w:rFonts w:ascii="Century Gothic" w:hAnsi="Century Gothic" w:cs="Arial"/>
          <w:sz w:val="20"/>
          <w:szCs w:val="20"/>
        </w:rPr>
        <w:t>Malawi</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3724EDC4" w:rsidR="003B2A86" w:rsidRPr="00D579FC" w:rsidRDefault="003B2A86" w:rsidP="003B2A86">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Study Period</w:t>
      </w:r>
      <w:commentRangeEnd w:id="4"/>
      <w:r w:rsidR="00603BB8">
        <w:rPr>
          <w:rStyle w:val="CommentReference"/>
        </w:rPr>
        <w:commentReference w:id="4"/>
      </w:r>
      <w:r w:rsidRPr="00D579FC">
        <w:rPr>
          <w:rFonts w:ascii="Century Gothic" w:hAnsi="Century Gothic" w:cs="Arial"/>
          <w:b/>
          <w:sz w:val="20"/>
          <w:szCs w:val="20"/>
        </w:rPr>
        <w:t>:</w:t>
      </w:r>
      <w:r w:rsidRPr="00D579FC">
        <w:rPr>
          <w:rFonts w:ascii="Century Gothic" w:hAnsi="Century Gothic" w:cs="Arial"/>
          <w:sz w:val="20"/>
          <w:szCs w:val="20"/>
        </w:rPr>
        <w:t xml:space="preserve"> </w:t>
      </w:r>
      <w:r w:rsidR="008451D9">
        <w:rPr>
          <w:rFonts w:ascii="Century Gothic" w:hAnsi="Century Gothic" w:cs="Arial"/>
          <w:sz w:val="20"/>
          <w:szCs w:val="20"/>
        </w:rPr>
        <w:t>December 2014 – February</w:t>
      </w:r>
      <w:r w:rsidRPr="00D579FC">
        <w:rPr>
          <w:rFonts w:ascii="Century Gothic" w:hAnsi="Century Gothic" w:cs="Arial"/>
          <w:sz w:val="20"/>
          <w:szCs w:val="20"/>
        </w:rPr>
        <w:t xml:space="preserve"> 201</w:t>
      </w:r>
      <w:r w:rsidR="008451D9">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81D4798"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Aqua and Terra, MODIS - Water body delineation (DFO flood product)</w:t>
      </w:r>
    </w:p>
    <w:p w14:paraId="465071C1"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Aqua and Terra, LANCE MODIS - Flood detection (NRT-GFM flood product)</w:t>
      </w:r>
    </w:p>
    <w:p w14:paraId="1728C34C"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proofErr w:type="spellStart"/>
      <w:r w:rsidRPr="00066267">
        <w:rPr>
          <w:rFonts w:ascii="Century Gothic" w:hAnsi="Century Gothic" w:cs="Arial"/>
          <w:sz w:val="20"/>
          <w:szCs w:val="20"/>
        </w:rPr>
        <w:t>TerraSAR</w:t>
      </w:r>
      <w:proofErr w:type="spellEnd"/>
      <w:r w:rsidRPr="00066267">
        <w:rPr>
          <w:rFonts w:ascii="Century Gothic" w:hAnsi="Century Gothic" w:cs="Arial"/>
          <w:sz w:val="20"/>
          <w:szCs w:val="20"/>
        </w:rPr>
        <w:t>-X, Synthetic Aperture Radar (SAR) - Flood detection</w:t>
      </w:r>
    </w:p>
    <w:p w14:paraId="11D8E758"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RADARSAT, Synthetic Aperture Radar (SAR) - Flood detection</w:t>
      </w:r>
    </w:p>
    <w:p w14:paraId="492FDF4E"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RADARSAT-2, Synthetic Aperture Radar (SAR) - Flood detection</w:t>
      </w:r>
    </w:p>
    <w:p w14:paraId="4C967FFD"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TRMM, Precipitation Radar (PR) - Rainfall</w:t>
      </w:r>
    </w:p>
    <w:p w14:paraId="44B8DFC8"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TRMM, TRMM Microwave Imager (TMI) - Rainfall</w:t>
      </w:r>
    </w:p>
    <w:p w14:paraId="036DD174"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TRMM, Visible and Infrared Scanner (VIRS) - Rainfall</w:t>
      </w:r>
    </w:p>
    <w:p w14:paraId="270901CB"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lastRenderedPageBreak/>
        <w:t>Aqua, Advanced Microwave Scanning Radiometer Earth Observing System (AMSR-E) - Rainfall</w:t>
      </w:r>
    </w:p>
    <w:p w14:paraId="1F969A7F" w14:textId="388144BB"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Defense Meteorological Satellite Program (DMSP) satellites, Special Sensor Microwave Imager (S</w:t>
      </w:r>
      <w:r>
        <w:rPr>
          <w:rFonts w:ascii="Century Gothic" w:hAnsi="Century Gothic" w:cs="Arial"/>
          <w:sz w:val="20"/>
          <w:szCs w:val="20"/>
        </w:rPr>
        <w:t>SM-I) – Meteorological</w:t>
      </w:r>
      <w:r w:rsidRPr="00066267">
        <w:rPr>
          <w:rFonts w:ascii="Century Gothic" w:hAnsi="Century Gothic" w:cs="Arial"/>
          <w:sz w:val="20"/>
          <w:szCs w:val="20"/>
        </w:rPr>
        <w:t xml:space="preserve"> data</w:t>
      </w:r>
    </w:p>
    <w:p w14:paraId="6FB1B421"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Aqua, Microwave precipitation Estimates (AMSU-A) – Rainfall</w:t>
      </w:r>
    </w:p>
    <w:p w14:paraId="0F584675"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ESA SMOS (Soil Moisture and Ocean Salinity), Microwave Imaging Radiometer using Aperture Synthesis (MIRAS) radiometer – Soil Moisture</w:t>
      </w:r>
    </w:p>
    <w:p w14:paraId="4893C2B5"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 xml:space="preserve">EUMETSAT METOP, Advanced </w:t>
      </w:r>
      <w:proofErr w:type="spellStart"/>
      <w:r w:rsidRPr="00066267">
        <w:rPr>
          <w:rFonts w:ascii="Century Gothic" w:hAnsi="Century Gothic" w:cs="Arial"/>
          <w:sz w:val="20"/>
          <w:szCs w:val="20"/>
        </w:rPr>
        <w:t>Scatterometer</w:t>
      </w:r>
      <w:proofErr w:type="spellEnd"/>
      <w:r w:rsidRPr="00066267">
        <w:rPr>
          <w:rFonts w:ascii="Century Gothic" w:hAnsi="Century Gothic" w:cs="Arial"/>
          <w:sz w:val="20"/>
          <w:szCs w:val="20"/>
        </w:rPr>
        <w:t xml:space="preserve"> (ASCAT) Soil Water Index</w:t>
      </w:r>
    </w:p>
    <w:p w14:paraId="120B641B" w14:textId="0F694FD0" w:rsidR="00E25967" w:rsidRPr="00832DC5" w:rsidRDefault="00E25967" w:rsidP="00E25967">
      <w:pPr>
        <w:spacing w:after="0" w:line="240" w:lineRule="auto"/>
        <w:rPr>
          <w:rFonts w:ascii="Century Gothic" w:hAnsi="Century Gothic" w:cs="Arial"/>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618D6938" w14:textId="77777777" w:rsidR="00832DC5" w:rsidRDefault="00832DC5" w:rsidP="00832DC5">
      <w:pPr>
        <w:pStyle w:val="ListParagraph"/>
        <w:numPr>
          <w:ilvl w:val="0"/>
          <w:numId w:val="6"/>
        </w:numPr>
        <w:spacing w:after="0" w:line="240" w:lineRule="auto"/>
        <w:rPr>
          <w:rFonts w:ascii="Century Gothic" w:eastAsiaTheme="minorHAnsi" w:hAnsi="Century Gothic"/>
          <w:sz w:val="24"/>
          <w:szCs w:val="18"/>
        </w:rPr>
      </w:pPr>
      <w:r>
        <w:rPr>
          <w:rFonts w:ascii="Times New Roman" w:eastAsiaTheme="minorHAnsi" w:hAnsi="Times New Roman"/>
          <w:sz w:val="18"/>
          <w:szCs w:val="18"/>
        </w:rPr>
        <w:t> </w:t>
      </w:r>
      <w:r w:rsidRPr="00832DC5">
        <w:rPr>
          <w:rFonts w:ascii="Century Gothic" w:hAnsi="Century Gothic" w:cs="Arial"/>
          <w:sz w:val="20"/>
          <w:szCs w:val="20"/>
        </w:rPr>
        <w:t>University of Maryland/University of Washington Dominant river tracing-Routing Integrated with VIC Environment (DRIVE) model</w:t>
      </w:r>
      <w:r w:rsidDel="007A1BF0">
        <w:rPr>
          <w:rFonts w:ascii="Century Gothic" w:eastAsiaTheme="minorHAnsi" w:hAnsi="Century Gothic"/>
          <w:sz w:val="24"/>
          <w:szCs w:val="18"/>
        </w:rPr>
        <w:t xml:space="preserve"> </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0C890C73" w:rsidR="00CC6870" w:rsidRPr="00857C83" w:rsidRDefault="0026482D" w:rsidP="00CC6870">
      <w:pPr>
        <w:spacing w:after="0" w:line="240" w:lineRule="auto"/>
        <w:rPr>
          <w:rFonts w:ascii="Century Gothic" w:hAnsi="Century Gothic" w:cs="Arial"/>
          <w:sz w:val="20"/>
          <w:szCs w:val="20"/>
        </w:rPr>
      </w:pPr>
      <w:r w:rsidRPr="0026482D">
        <w:rPr>
          <w:rFonts w:ascii="Century Gothic" w:hAnsi="Century Gothic" w:cs="Arial"/>
          <w:sz w:val="20"/>
          <w:szCs w:val="20"/>
        </w:rPr>
        <w:t xml:space="preserve">ArcGIS - Raster manipulation/analysis, map creation of Dartmouth Flood Observatory, NASA NRT-GFM Flood Mapping Products, </w:t>
      </w:r>
      <w:proofErr w:type="spellStart"/>
      <w:r w:rsidRPr="0026482D">
        <w:rPr>
          <w:rFonts w:ascii="Century Gothic" w:hAnsi="Century Gothic" w:cs="Arial"/>
          <w:sz w:val="20"/>
          <w:szCs w:val="20"/>
        </w:rPr>
        <w:t>TerraSAR</w:t>
      </w:r>
      <w:proofErr w:type="spellEnd"/>
      <w:r w:rsidRPr="0026482D">
        <w:rPr>
          <w:rFonts w:ascii="Century Gothic" w:hAnsi="Century Gothic" w:cs="Arial"/>
          <w:sz w:val="20"/>
          <w:szCs w:val="20"/>
        </w:rPr>
        <w:t xml:space="preserve">-X, RADARSAT, RADARSAT-2, and ground truth data </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30CE91A" w14:textId="77777777" w:rsidR="009A7A03" w:rsidRPr="009A7A03" w:rsidRDefault="009A7A03" w:rsidP="009A7A03">
      <w:pPr>
        <w:spacing w:after="0" w:line="240" w:lineRule="auto"/>
        <w:rPr>
          <w:rFonts w:ascii="Century Gothic" w:hAnsi="Century Gothic" w:cs="Arial"/>
          <w:sz w:val="20"/>
          <w:szCs w:val="20"/>
        </w:rPr>
      </w:pPr>
      <w:r w:rsidRPr="009A7A03">
        <w:rPr>
          <w:rFonts w:ascii="Century Gothic" w:hAnsi="Century Gothic" w:cs="Arial"/>
          <w:sz w:val="20"/>
          <w:szCs w:val="20"/>
        </w:rPr>
        <w:t xml:space="preserve">During extreme climate events, such as the January 2015 Malawi flood disaster, humanitarian organizations rely on Earth observation (EO) data to evaluate impact and design response programs. This project builds on the previous analysis of various EO flood detection products and incorporates specific flood definitions to better identify impacts of flash floods versus riverine floods. These definitions will then be incorporated into a methodology to better monitor and forecast flash flood events in vulnerable areas.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Abstract</w:t>
      </w:r>
      <w:commentRangeEnd w:id="5"/>
      <w:r>
        <w:rPr>
          <w:rStyle w:val="CommentReference"/>
        </w:rPr>
        <w:commentReference w:id="5"/>
      </w:r>
    </w:p>
    <w:p w14:paraId="595AA389" w14:textId="43DF65B8" w:rsidR="003F68F5" w:rsidRDefault="0031527A" w:rsidP="003F68F5">
      <w:pPr>
        <w:spacing w:after="0" w:line="240" w:lineRule="auto"/>
        <w:rPr>
          <w:rFonts w:ascii="Century Gothic" w:hAnsi="Century Gothic" w:cs="Arial"/>
          <w:sz w:val="20"/>
          <w:szCs w:val="20"/>
        </w:rPr>
      </w:pPr>
      <w:r w:rsidRPr="0031527A">
        <w:rPr>
          <w:rFonts w:ascii="Century Gothic" w:hAnsi="Century Gothic" w:cs="Arial"/>
          <w:sz w:val="20"/>
          <w:szCs w:val="20"/>
        </w:rPr>
        <w:t>In January 2015, Malawi, in southern Africa, experienced a series of flood events, which resulted in the displacement of over 230,000 residents and left 276 people reported dead or missing. During the disaster, the combination of extreme rainfall on a short time scale, but large spatial area resulted in both river-overflow floods and flash floods. Differences between these distinct flood types affected communities in Malawi differently, and the resulting relief effort was hampered by insufficient information provided to responders. From a partnership with the Malawi Red Cross and supported by a review of media reports, it was shown that there were challenges in order to reach the affected population in a timely manner. A previous comparative analysis of several spatial inundation products by the Malawi Disasters Spring 2015 team concluded the following</w:t>
      </w:r>
      <w:proofErr w:type="gramStart"/>
      <w:r w:rsidRPr="0031527A">
        <w:rPr>
          <w:rFonts w:ascii="Century Gothic" w:hAnsi="Century Gothic" w:cs="Arial"/>
          <w:sz w:val="20"/>
          <w:szCs w:val="20"/>
        </w:rPr>
        <w:t>;</w:t>
      </w:r>
      <w:proofErr w:type="gramEnd"/>
      <w:r w:rsidRPr="0031527A">
        <w:rPr>
          <w:rFonts w:ascii="Century Gothic" w:hAnsi="Century Gothic" w:cs="Arial"/>
          <w:sz w:val="20"/>
          <w:szCs w:val="20"/>
        </w:rPr>
        <w:t xml:space="preserve"> 1. There is inconsistency in the spatial distribution of a flood signal across flood products relative to a specific flood type and 2. Some flood products seem to be useful in detecting flash floods while others, seem useful for detecting riverine floods.</w:t>
      </w:r>
      <w:r w:rsidR="00EB2B60">
        <w:rPr>
          <w:rFonts w:ascii="Century Gothic" w:hAnsi="Century Gothic" w:cs="Arial"/>
          <w:sz w:val="20"/>
          <w:szCs w:val="20"/>
        </w:rPr>
        <w:t xml:space="preserve"> This project aims to produce a</w:t>
      </w:r>
      <w:r w:rsidRPr="0031527A">
        <w:rPr>
          <w:rFonts w:ascii="Century Gothic" w:hAnsi="Century Gothic" w:cs="Arial"/>
          <w:sz w:val="20"/>
          <w:szCs w:val="20"/>
        </w:rPr>
        <w:t xml:space="preserve"> </w:t>
      </w:r>
      <w:r w:rsidR="00EB2B60">
        <w:rPr>
          <w:rFonts w:ascii="Century Gothic" w:hAnsi="Century Gothic" w:cs="Arial"/>
          <w:sz w:val="20"/>
          <w:szCs w:val="20"/>
        </w:rPr>
        <w:t>framework</w:t>
      </w:r>
      <w:r w:rsidRPr="0031527A">
        <w:rPr>
          <w:rFonts w:ascii="Century Gothic" w:hAnsi="Century Gothic" w:cs="Arial"/>
          <w:sz w:val="20"/>
          <w:szCs w:val="20"/>
        </w:rPr>
        <w:t xml:space="preserve"> for analyzing flood detection skill relative to flash floods to inform a framework for better monitoring and forecasting those events in vulnerable areas. Along with previous flood products and NASA Earth Observing systems, this project will incorporate several ESA (European Space Agency) Satellites to incorporate soil moisture as an important variable in flash flood detection. It is expected that the results of this study will increase the ability to monitor different types of flood events, which will benefit organizations involved with disaster relief efforts in Malawi; allowing for a quicker response and more appropriate allocation of emergency flood relief efforts.</w:t>
      </w:r>
    </w:p>
    <w:p w14:paraId="783F24F2" w14:textId="77777777" w:rsidR="0031527A" w:rsidRDefault="0031527A"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6"/>
      <w:commentRangeStart w:id="7"/>
      <w:r w:rsidRPr="00D579FC">
        <w:rPr>
          <w:rFonts w:ascii="Century Gothic" w:hAnsi="Century Gothic" w:cs="Arial"/>
          <w:b/>
          <w:sz w:val="20"/>
          <w:szCs w:val="20"/>
        </w:rPr>
        <w:t>Community Concerns</w:t>
      </w:r>
      <w:commentRangeEnd w:id="6"/>
      <w:r>
        <w:rPr>
          <w:rStyle w:val="CommentReference"/>
        </w:rPr>
        <w:commentReference w:id="6"/>
      </w:r>
      <w:commentRangeEnd w:id="7"/>
      <w:r w:rsidR="00CC1EF4">
        <w:rPr>
          <w:rStyle w:val="CommentReference"/>
        </w:rPr>
        <w:commentReference w:id="7"/>
      </w:r>
    </w:p>
    <w:p w14:paraId="59B54F98"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 xml:space="preserve">January 2015 floods in Malawi resulted in 276 deaths, 153 people missing, and over 230,000 people displaced. The affected population is in urgent need of nutritional supplies, shelter, and drinkable water. </w:t>
      </w:r>
    </w:p>
    <w:p w14:paraId="1BBB661E"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lastRenderedPageBreak/>
        <w:t xml:space="preserve">Due to the spatial and temporal characteristics of flash floods, flood detection products are rarely able to identify them. </w:t>
      </w:r>
      <w:proofErr w:type="gramStart"/>
      <w:r w:rsidRPr="0031527A">
        <w:rPr>
          <w:rFonts w:ascii="Century Gothic" w:hAnsi="Century Gothic" w:cs="Arial"/>
          <w:sz w:val="20"/>
          <w:szCs w:val="20"/>
        </w:rPr>
        <w:t>Communities affected by the flash floods may be overlooked by disaster responders, or delay relief aid</w:t>
      </w:r>
      <w:proofErr w:type="gramEnd"/>
      <w:r w:rsidRPr="0031527A">
        <w:rPr>
          <w:rFonts w:ascii="Century Gothic" w:hAnsi="Century Gothic" w:cs="Arial"/>
          <w:sz w:val="20"/>
          <w:szCs w:val="20"/>
        </w:rPr>
        <w:t>.</w:t>
      </w:r>
    </w:p>
    <w:p w14:paraId="7F4955F3"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 xml:space="preserve">Potential to improve flash flood detection and prediction using satellite products is not only vital for local preparation, but also for enhancing the efficiency of relief aid delivery.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C439F04" w14:textId="77777777" w:rsidR="00D24063" w:rsidRPr="00D24063" w:rsidRDefault="00D24063" w:rsidP="00D24063">
      <w:pPr>
        <w:spacing w:after="0" w:line="240" w:lineRule="auto"/>
        <w:rPr>
          <w:rFonts w:ascii="Century Gothic" w:hAnsi="Century Gothic" w:cs="Arial"/>
          <w:sz w:val="20"/>
          <w:szCs w:val="20"/>
        </w:rPr>
      </w:pPr>
      <w:r w:rsidRPr="00D24063">
        <w:rPr>
          <w:rFonts w:ascii="Century Gothic" w:hAnsi="Century Gothic" w:cs="Arial"/>
          <w:sz w:val="20"/>
          <w:szCs w:val="20"/>
        </w:rPr>
        <w:t>Remote regions in Africa often have sparse meteorological and ecological satellite and ground data. Project partners in this region rely heavily on remotely sensed data as it increases the temporal and geospatial scales of projects. Data from NASA satellites and sensors (e.g. MODIS onboard Aqua and Terra and TRMM) enable project partners working in these regions to better evaluate the impact extent and develop response programs.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8"/>
      <w:commentRangeStart w:id="9"/>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8"/>
      <w:r>
        <w:rPr>
          <w:rStyle w:val="CommentReference"/>
        </w:rPr>
        <w:commentReference w:id="8"/>
      </w:r>
      <w:commentRangeEnd w:id="9"/>
      <w:r>
        <w:rPr>
          <w:rStyle w:val="CommentReference"/>
        </w:rPr>
        <w:commentReference w:id="9"/>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02261B">
        <w:tc>
          <w:tcPr>
            <w:tcW w:w="2790" w:type="dxa"/>
            <w:shd w:val="clear" w:color="auto" w:fill="1F497D" w:themeFill="text2"/>
          </w:tcPr>
          <w:p w14:paraId="6019BB4B"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C35076">
        <w:trPr>
          <w:trHeight w:val="1061"/>
        </w:trPr>
        <w:tc>
          <w:tcPr>
            <w:tcW w:w="2790" w:type="dxa"/>
          </w:tcPr>
          <w:p w14:paraId="7B15922D" w14:textId="22BBD645" w:rsidR="00CC6870" w:rsidRDefault="00CB6DC4" w:rsidP="00CB6DC4">
            <w:pPr>
              <w:spacing w:after="0" w:line="240" w:lineRule="auto"/>
              <w:rPr>
                <w:rFonts w:ascii="Century Gothic" w:hAnsi="Century Gothic" w:cs="Arial"/>
                <w:sz w:val="20"/>
                <w:szCs w:val="20"/>
              </w:rPr>
            </w:pPr>
            <w:r w:rsidRPr="00C35076">
              <w:rPr>
                <w:rFonts w:ascii="Century Gothic" w:hAnsi="Century Gothic" w:cs="Arial"/>
                <w:sz w:val="20"/>
                <w:szCs w:val="20"/>
              </w:rPr>
              <w:t xml:space="preserve">Flash Flood Monitoring </w:t>
            </w:r>
            <w:r w:rsidRPr="00C35076">
              <w:rPr>
                <w:rFonts w:ascii="Century Gothic" w:hAnsi="Century Gothic" w:cs="Arial"/>
                <w:sz w:val="20"/>
                <w:szCs w:val="20"/>
              </w:rPr>
              <w:t>Framework</w:t>
            </w:r>
          </w:p>
        </w:tc>
        <w:tc>
          <w:tcPr>
            <w:tcW w:w="2880" w:type="dxa"/>
          </w:tcPr>
          <w:p w14:paraId="0595BF43" w14:textId="573D7852" w:rsidR="00CC6870" w:rsidRDefault="00CB6DC4" w:rsidP="0002261B">
            <w:pPr>
              <w:spacing w:after="0" w:line="240" w:lineRule="auto"/>
              <w:rPr>
                <w:rFonts w:ascii="Century Gothic" w:hAnsi="Century Gothic" w:cs="Arial"/>
                <w:sz w:val="20"/>
                <w:szCs w:val="20"/>
              </w:rPr>
            </w:pPr>
            <w:r w:rsidRPr="00C35076">
              <w:rPr>
                <w:rFonts w:ascii="Century Gothic" w:hAnsi="Century Gothic" w:cs="Arial"/>
                <w:sz w:val="20"/>
                <w:szCs w:val="20"/>
              </w:rPr>
              <w:t xml:space="preserve">TRIMM, MODIS, Aqua, Terra, </w:t>
            </w:r>
            <w:proofErr w:type="spellStart"/>
            <w:r w:rsidRPr="00C35076">
              <w:rPr>
                <w:rFonts w:ascii="Century Gothic" w:hAnsi="Century Gothic" w:cs="Arial"/>
                <w:sz w:val="20"/>
                <w:szCs w:val="20"/>
              </w:rPr>
              <w:t>TerraSAR</w:t>
            </w:r>
            <w:proofErr w:type="spellEnd"/>
            <w:r w:rsidRPr="00C35076">
              <w:rPr>
                <w:rFonts w:ascii="Century Gothic" w:hAnsi="Century Gothic" w:cs="Arial"/>
                <w:sz w:val="20"/>
                <w:szCs w:val="20"/>
              </w:rPr>
              <w:t>-X, RADARSAT, RADARSAT-2</w:t>
            </w:r>
            <w:r w:rsidRPr="00C35076">
              <w:rPr>
                <w:rFonts w:ascii="Century Gothic" w:hAnsi="Century Gothic" w:cs="Arial"/>
                <w:sz w:val="20"/>
                <w:szCs w:val="20"/>
              </w:rPr>
              <w:t xml:space="preserve">, </w:t>
            </w:r>
            <w:r w:rsidRPr="00C35076">
              <w:rPr>
                <w:rFonts w:ascii="Century Gothic" w:hAnsi="Century Gothic" w:cs="Arial"/>
                <w:sz w:val="20"/>
                <w:szCs w:val="20"/>
              </w:rPr>
              <w:t>SMOS, EUMETSAT METOP,</w:t>
            </w:r>
          </w:p>
        </w:tc>
        <w:tc>
          <w:tcPr>
            <w:tcW w:w="3798" w:type="dxa"/>
          </w:tcPr>
          <w:p w14:paraId="5CD72B01" w14:textId="3E7DBCFC" w:rsidR="00CC6870" w:rsidRDefault="00C35076" w:rsidP="0002261B">
            <w:pPr>
              <w:spacing w:after="0" w:line="240" w:lineRule="auto"/>
              <w:rPr>
                <w:rFonts w:ascii="Century Gothic" w:hAnsi="Century Gothic" w:cs="Arial"/>
                <w:sz w:val="20"/>
                <w:szCs w:val="20"/>
              </w:rPr>
            </w:pPr>
            <w:r w:rsidRPr="00C35076">
              <w:rPr>
                <w:rFonts w:ascii="Century Gothic" w:hAnsi="Century Gothic" w:cs="Arial"/>
                <w:sz w:val="20"/>
                <w:szCs w:val="20"/>
              </w:rPr>
              <w:t xml:space="preserve">Malawi Red Cross and other </w:t>
            </w:r>
            <w:r w:rsidRPr="00C35076">
              <w:rPr>
                <w:rFonts w:ascii="Century Gothic" w:hAnsi="Century Gothic" w:cs="Arial"/>
                <w:sz w:val="20"/>
                <w:szCs w:val="20"/>
              </w:rPr>
              <w:t xml:space="preserve">humanitarian </w:t>
            </w:r>
            <w:r w:rsidRPr="00C35076">
              <w:rPr>
                <w:rFonts w:ascii="Century Gothic" w:hAnsi="Century Gothic" w:cs="Arial"/>
                <w:sz w:val="20"/>
                <w:szCs w:val="20"/>
              </w:rPr>
              <w:t>decision makers will be better equipped to develop more effective response programming.</w:t>
            </w:r>
          </w:p>
        </w:tc>
      </w:tr>
      <w:tr w:rsidR="00CB6DC4" w14:paraId="22005DC5" w14:textId="77777777" w:rsidTr="0002261B">
        <w:tc>
          <w:tcPr>
            <w:tcW w:w="2790" w:type="dxa"/>
          </w:tcPr>
          <w:p w14:paraId="344EDF1A" w14:textId="5C966CF5" w:rsidR="00CB6DC4" w:rsidRDefault="00CB6DC4" w:rsidP="0002261B">
            <w:pPr>
              <w:spacing w:after="0" w:line="240" w:lineRule="auto"/>
              <w:rPr>
                <w:rFonts w:ascii="Century Gothic" w:hAnsi="Century Gothic" w:cs="Arial"/>
                <w:sz w:val="20"/>
                <w:szCs w:val="20"/>
              </w:rPr>
            </w:pPr>
          </w:p>
        </w:tc>
        <w:tc>
          <w:tcPr>
            <w:tcW w:w="2880" w:type="dxa"/>
          </w:tcPr>
          <w:p w14:paraId="50D1C342" w14:textId="77777777" w:rsidR="00CB6DC4" w:rsidRDefault="00CB6DC4" w:rsidP="0002261B">
            <w:pPr>
              <w:spacing w:after="0" w:line="240" w:lineRule="auto"/>
              <w:rPr>
                <w:rFonts w:ascii="Century Gothic" w:hAnsi="Century Gothic" w:cs="Arial"/>
                <w:sz w:val="20"/>
                <w:szCs w:val="20"/>
              </w:rPr>
            </w:pPr>
          </w:p>
        </w:tc>
        <w:tc>
          <w:tcPr>
            <w:tcW w:w="3798" w:type="dxa"/>
          </w:tcPr>
          <w:p w14:paraId="1A3C9A83" w14:textId="77777777" w:rsidR="00CB6DC4" w:rsidRDefault="00CB6DC4" w:rsidP="0002261B">
            <w:pPr>
              <w:spacing w:after="0" w:line="240" w:lineRule="auto"/>
              <w:rPr>
                <w:rFonts w:ascii="Century Gothic" w:hAnsi="Century Gothic" w:cs="Arial"/>
                <w:sz w:val="20"/>
                <w:szCs w:val="20"/>
              </w:rPr>
            </w:pPr>
          </w:p>
        </w:tc>
      </w:tr>
      <w:tr w:rsidR="00CB6DC4" w14:paraId="5A252A62" w14:textId="77777777" w:rsidTr="0002261B">
        <w:tc>
          <w:tcPr>
            <w:tcW w:w="2790" w:type="dxa"/>
          </w:tcPr>
          <w:p w14:paraId="031A21AA" w14:textId="1B17CAA5" w:rsidR="00CB6DC4" w:rsidRDefault="00CB6DC4" w:rsidP="0002261B">
            <w:pPr>
              <w:spacing w:after="0" w:line="240" w:lineRule="auto"/>
              <w:rPr>
                <w:rFonts w:ascii="Century Gothic" w:hAnsi="Century Gothic" w:cs="Arial"/>
                <w:sz w:val="20"/>
                <w:szCs w:val="20"/>
              </w:rPr>
            </w:pPr>
          </w:p>
        </w:tc>
        <w:tc>
          <w:tcPr>
            <w:tcW w:w="2880" w:type="dxa"/>
          </w:tcPr>
          <w:p w14:paraId="1C8A3B18" w14:textId="77777777" w:rsidR="00CB6DC4" w:rsidRDefault="00CB6DC4" w:rsidP="0002261B">
            <w:pPr>
              <w:spacing w:after="0" w:line="240" w:lineRule="auto"/>
              <w:rPr>
                <w:rFonts w:ascii="Century Gothic" w:hAnsi="Century Gothic" w:cs="Arial"/>
                <w:sz w:val="20"/>
                <w:szCs w:val="20"/>
              </w:rPr>
            </w:pPr>
          </w:p>
        </w:tc>
        <w:tc>
          <w:tcPr>
            <w:tcW w:w="3798" w:type="dxa"/>
          </w:tcPr>
          <w:p w14:paraId="7E09D45F" w14:textId="77777777" w:rsidR="00CB6DC4" w:rsidRDefault="00CB6DC4" w:rsidP="0002261B">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80E9A6D" w:rsidR="000E7559" w:rsidRDefault="00EB2B60"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TO BE COMPLETED</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w:date="2015-05-11T15:47:00Z" w:initials="CLM(-WC(">
    <w:p w14:paraId="4747ADD1" w14:textId="40FDD0A5" w:rsidR="00832DC5" w:rsidRDefault="00832DC5">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Lauren" w:date="2015-01-24T19:45:00Z" w:initials="LMC">
    <w:p w14:paraId="46228FD5" w14:textId="77777777" w:rsidR="00832DC5" w:rsidRPr="003C2232" w:rsidRDefault="00832DC5"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832DC5" w:rsidRDefault="00832DC5" w:rsidP="00D579FC">
      <w:pPr>
        <w:rPr>
          <w:sz w:val="20"/>
        </w:rPr>
      </w:pPr>
    </w:p>
    <w:p w14:paraId="630A4802" w14:textId="77777777" w:rsidR="00832DC5" w:rsidRDefault="00832DC5"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832DC5" w:rsidRDefault="00832DC5" w:rsidP="00D579FC">
      <w:pPr>
        <w:ind w:left="1800" w:hanging="360"/>
        <w:rPr>
          <w:sz w:val="20"/>
        </w:rPr>
      </w:pPr>
      <w:r>
        <w:rPr>
          <w:sz w:val="20"/>
        </w:rPr>
        <w:t>Ex. A researcher from a university who provides a team with an ancillary dataset to validate their results.</w:t>
      </w:r>
    </w:p>
    <w:p w14:paraId="781D9BEF" w14:textId="77777777" w:rsidR="00832DC5" w:rsidRDefault="00832DC5" w:rsidP="00D579FC">
      <w:pPr>
        <w:ind w:left="720"/>
        <w:rPr>
          <w:sz w:val="20"/>
        </w:rPr>
      </w:pPr>
    </w:p>
    <w:p w14:paraId="22F42340" w14:textId="77777777" w:rsidR="00832DC5" w:rsidRDefault="00832DC5"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832DC5" w:rsidRDefault="00832DC5"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832DC5" w:rsidRDefault="00832DC5" w:rsidP="00D579FC">
      <w:pPr>
        <w:ind w:left="720"/>
        <w:rPr>
          <w:b/>
          <w:sz w:val="20"/>
        </w:rPr>
      </w:pPr>
    </w:p>
    <w:p w14:paraId="621AA03C" w14:textId="77777777" w:rsidR="00832DC5" w:rsidRDefault="00832DC5"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832DC5" w:rsidRDefault="00832DC5"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832DC5" w:rsidRDefault="00832DC5">
      <w:pPr>
        <w:pStyle w:val="CommentText"/>
      </w:pPr>
    </w:p>
  </w:comment>
  <w:comment w:id="3" w:author="Childs, Lauren M. (LARC-E3)[DEVELOP]" w:date="2015-05-07T11:12:00Z" w:initials="CLM(-WC(">
    <w:p w14:paraId="649BA562" w14:textId="77777777" w:rsidR="00832DC5" w:rsidRDefault="00832DC5">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4" w:author="Childs, Lauren M. (LARC-E3)[DEVELOP]" w:date="2015-05-07T11:12:00Z" w:initials="CLM(-WC(">
    <w:p w14:paraId="422482FC" w14:textId="77777777" w:rsidR="00832DC5" w:rsidRDefault="00832DC5">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5" w:author="Childs, Lauren M. (LARC-E3)[DEVELOP]" w:date="2015-05-07T11:40:00Z" w:initials="CLM(-WC(">
    <w:p w14:paraId="0540B456" w14:textId="77777777" w:rsidR="00832DC5" w:rsidRDefault="00832DC5" w:rsidP="003F68F5">
      <w:pPr>
        <w:pStyle w:val="CommentText"/>
      </w:pPr>
      <w:r>
        <w:rPr>
          <w:rStyle w:val="CommentReference"/>
        </w:rPr>
        <w:annotationRef/>
      </w:r>
      <w:r w:rsidRPr="00CC6870">
        <w:t xml:space="preserve">Tips: </w:t>
      </w:r>
    </w:p>
    <w:p w14:paraId="1E52FA7F" w14:textId="77777777" w:rsidR="00832DC5" w:rsidRDefault="00832DC5" w:rsidP="003F68F5">
      <w:pPr>
        <w:pStyle w:val="CommentText"/>
      </w:pPr>
      <w:r w:rsidRPr="00CC6870">
        <w:t xml:space="preserve">Be concise. Give only high-level information. </w:t>
      </w:r>
    </w:p>
    <w:p w14:paraId="706096E7" w14:textId="77777777" w:rsidR="00832DC5" w:rsidRDefault="00832DC5" w:rsidP="003F68F5">
      <w:pPr>
        <w:pStyle w:val="CommentText"/>
      </w:pPr>
    </w:p>
    <w:p w14:paraId="448A01AC" w14:textId="77777777" w:rsidR="00832DC5" w:rsidRDefault="00832DC5" w:rsidP="003F68F5">
      <w:pPr>
        <w:pStyle w:val="CommentText"/>
      </w:pPr>
      <w:r w:rsidRPr="00CC6870">
        <w:t xml:space="preserve">Include 1) what the problem was, 2) what you did in response, and 3) what the benefits or outcomes are/will be. </w:t>
      </w:r>
    </w:p>
    <w:p w14:paraId="7D6EF0BB" w14:textId="77777777" w:rsidR="00832DC5" w:rsidRDefault="00832DC5" w:rsidP="003F68F5">
      <w:pPr>
        <w:pStyle w:val="CommentText"/>
      </w:pPr>
    </w:p>
    <w:p w14:paraId="2416408E" w14:textId="77777777" w:rsidR="00832DC5" w:rsidRDefault="00832DC5" w:rsidP="003F68F5">
      <w:pPr>
        <w:pStyle w:val="CommentText"/>
      </w:pPr>
      <w:r w:rsidRPr="00CC6870">
        <w:t xml:space="preserve">Include what NASA Earth observations were involved. </w:t>
      </w:r>
    </w:p>
    <w:p w14:paraId="04B73C90" w14:textId="77777777" w:rsidR="00832DC5" w:rsidRDefault="00832DC5" w:rsidP="003F68F5">
      <w:pPr>
        <w:pStyle w:val="CommentText"/>
      </w:pPr>
    </w:p>
    <w:p w14:paraId="049B23E7" w14:textId="77777777" w:rsidR="00832DC5" w:rsidRDefault="00832DC5" w:rsidP="003F68F5">
      <w:pPr>
        <w:pStyle w:val="CommentText"/>
      </w:pPr>
      <w:r>
        <w:t>Include who the decision makers are and what the decision being made is.</w:t>
      </w:r>
    </w:p>
    <w:p w14:paraId="4EBD0240" w14:textId="77777777" w:rsidR="00832DC5" w:rsidRDefault="00832DC5" w:rsidP="003F68F5">
      <w:pPr>
        <w:pStyle w:val="CommentText"/>
      </w:pPr>
    </w:p>
    <w:p w14:paraId="440C26F8" w14:textId="77777777" w:rsidR="00832DC5" w:rsidRDefault="00832DC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832DC5" w:rsidRDefault="00832DC5" w:rsidP="003F68F5">
      <w:pPr>
        <w:pStyle w:val="CommentText"/>
      </w:pPr>
    </w:p>
    <w:p w14:paraId="273A9CF3" w14:textId="77777777" w:rsidR="00832DC5" w:rsidRDefault="00832DC5" w:rsidP="003F68F5">
      <w:pPr>
        <w:pStyle w:val="CommentText"/>
      </w:pPr>
      <w:r>
        <w:t>One paragraph is preferable.</w:t>
      </w:r>
    </w:p>
    <w:p w14:paraId="0EA3CFE7" w14:textId="77777777" w:rsidR="00832DC5" w:rsidRDefault="00832DC5" w:rsidP="003F68F5">
      <w:pPr>
        <w:pStyle w:val="CommentText"/>
      </w:pPr>
    </w:p>
    <w:p w14:paraId="3D6B782E" w14:textId="77777777" w:rsidR="00832DC5" w:rsidRDefault="00832DC5" w:rsidP="003F68F5">
      <w:pPr>
        <w:pStyle w:val="CommentText"/>
      </w:pPr>
      <w:r>
        <w:t>Example Outline:</w:t>
      </w:r>
    </w:p>
    <w:p w14:paraId="5EEE5D71" w14:textId="77777777" w:rsidR="00832DC5" w:rsidRDefault="00832DC5" w:rsidP="003F68F5">
      <w:pPr>
        <w:pStyle w:val="CommentText"/>
      </w:pPr>
      <w:r>
        <w:t>• Brief background introduction to the issue/concerns at hand (one to two sentences)</w:t>
      </w:r>
    </w:p>
    <w:p w14:paraId="7983A4FE" w14:textId="77777777" w:rsidR="00832DC5" w:rsidRDefault="00832DC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832DC5" w:rsidRDefault="00832DC5" w:rsidP="003F68F5">
      <w:pPr>
        <w:pStyle w:val="CommentText"/>
      </w:pPr>
      <w:r>
        <w:t>• What NASA Earth observations are being used, considering methodology and products (one to two sentences)</w:t>
      </w:r>
    </w:p>
    <w:p w14:paraId="0616E716" w14:textId="77777777" w:rsidR="00832DC5" w:rsidRDefault="00832DC5" w:rsidP="003F68F5">
      <w:pPr>
        <w:pStyle w:val="CommentText"/>
      </w:pPr>
      <w:r>
        <w:t>• The benefits of this project - how will end-users use your methodology in the future? (</w:t>
      </w:r>
      <w:proofErr w:type="gramStart"/>
      <w:r>
        <w:t>one</w:t>
      </w:r>
      <w:proofErr w:type="gramEnd"/>
      <w:r>
        <w:t xml:space="preserve"> sentence)</w:t>
      </w:r>
    </w:p>
  </w:comment>
  <w:comment w:id="6" w:author="Childs, Lauren M. (LARC-E3)[DEVELOP]" w:date="2015-05-07T11:22:00Z" w:initials="CLM(-WC(">
    <w:p w14:paraId="0DC1C3FC" w14:textId="77777777" w:rsidR="00832DC5" w:rsidRDefault="00832DC5" w:rsidP="00CC6870">
      <w:pPr>
        <w:pStyle w:val="CommentText"/>
      </w:pPr>
      <w:r>
        <w:rPr>
          <w:rStyle w:val="CommentReference"/>
        </w:rPr>
        <w:annotationRef/>
      </w:r>
      <w:r>
        <w:t>What is the issue at hand? Why is this topic important?</w:t>
      </w:r>
    </w:p>
  </w:comment>
  <w:comment w:id="7" w:author="Childs, Lauren M. (LARC-E3)[DEVELOP]" w:date="2015-05-11T15:35:00Z" w:initials="CLM(-WC(">
    <w:p w14:paraId="0D325E2A" w14:textId="0ECD3E6D" w:rsidR="00832DC5" w:rsidRDefault="00832DC5">
      <w:pPr>
        <w:pStyle w:val="CommentText"/>
      </w:pPr>
      <w:r>
        <w:rPr>
          <w:rStyle w:val="CommentReference"/>
        </w:rPr>
        <w:annotationRef/>
      </w:r>
      <w:r>
        <w:t>Community Concern Notes &amp; Tips:</w:t>
      </w:r>
    </w:p>
    <w:p w14:paraId="72E0A600" w14:textId="67FBFF6B" w:rsidR="00832DC5" w:rsidRDefault="00832DC5" w:rsidP="00CC1EF4">
      <w:pPr>
        <w:pStyle w:val="CommentText"/>
        <w:numPr>
          <w:ilvl w:val="0"/>
          <w:numId w:val="8"/>
        </w:numPr>
      </w:pPr>
      <w:r>
        <w:t xml:space="preserve"> These bullets should demonstrate the “why” and the importance of the issues at hand</w:t>
      </w:r>
    </w:p>
    <w:p w14:paraId="5FBF796F" w14:textId="4982A87A" w:rsidR="00832DC5" w:rsidRDefault="00832DC5"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832DC5" w:rsidRDefault="00832DC5" w:rsidP="00CC1EF4">
      <w:pPr>
        <w:pStyle w:val="CommentText"/>
        <w:numPr>
          <w:ilvl w:val="0"/>
          <w:numId w:val="8"/>
        </w:numPr>
      </w:pPr>
      <w:r>
        <w:t xml:space="preserve"> Stay concise and clear</w:t>
      </w:r>
    </w:p>
    <w:p w14:paraId="6401FA03" w14:textId="7AB744C6" w:rsidR="00832DC5" w:rsidRDefault="00832DC5" w:rsidP="00CC1EF4">
      <w:pPr>
        <w:pStyle w:val="CommentText"/>
        <w:numPr>
          <w:ilvl w:val="0"/>
          <w:numId w:val="8"/>
        </w:numPr>
      </w:pPr>
      <w:r>
        <w:t xml:space="preserve"> There is no set number required, if you have one major one and it’s a good one that is fine!</w:t>
      </w:r>
    </w:p>
  </w:comment>
  <w:comment w:id="8" w:author="Childs, Lauren M. (LARC-E3)[DEVELOP]" w:date="2015-05-07T11:23:00Z" w:initials="CLM(-WC(">
    <w:p w14:paraId="5D884421" w14:textId="77777777" w:rsidR="00832DC5" w:rsidRDefault="00832DC5" w:rsidP="00CC6870">
      <w:pPr>
        <w:pStyle w:val="CommentText"/>
      </w:pPr>
      <w:r>
        <w:rPr>
          <w:rStyle w:val="CommentReference"/>
        </w:rPr>
        <w:annotationRef/>
      </w:r>
      <w:r>
        <w:t>What did you do/create to address the issue?</w:t>
      </w:r>
    </w:p>
  </w:comment>
  <w:comment w:id="9" w:author="Childs, Lauren M. (LARC-E3)[DEVELOP]" w:date="2015-05-07T11:31:00Z" w:initials="CLM(-WC(">
    <w:p w14:paraId="4FAA9EEC" w14:textId="77777777" w:rsidR="00832DC5" w:rsidRDefault="00832DC5"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832DC5" w:rsidRPr="0075569C" w:rsidRDefault="00832DC5" w:rsidP="00CC6870">
      <w:pPr>
        <w:pStyle w:val="CommentText"/>
        <w:rPr>
          <w:i/>
        </w:rPr>
      </w:pPr>
      <w:r w:rsidRPr="0075569C">
        <w:rPr>
          <w:i/>
        </w:rPr>
        <w:t>Tip: Refer to the original proposal for originally planned tools</w:t>
      </w:r>
      <w:r>
        <w:rPr>
          <w:i/>
        </w:rPr>
        <w:t xml:space="preserve"> for reference.</w:t>
      </w:r>
    </w:p>
    <w:p w14:paraId="0A6416F5" w14:textId="77777777" w:rsidR="00832DC5" w:rsidRDefault="00832DC5" w:rsidP="00CC6870">
      <w:pPr>
        <w:pStyle w:val="CommentText"/>
      </w:pPr>
    </w:p>
    <w:p w14:paraId="3CD15EE4" w14:textId="77777777" w:rsidR="00832DC5" w:rsidRDefault="00832DC5" w:rsidP="00CC6870">
      <w:pPr>
        <w:pStyle w:val="CommentText"/>
      </w:pPr>
      <w:r>
        <w:t>EO Used: What EO were used to derive these products?</w:t>
      </w:r>
    </w:p>
    <w:p w14:paraId="473218E9" w14:textId="77777777" w:rsidR="00832DC5" w:rsidRDefault="00832DC5" w:rsidP="00CC6870">
      <w:pPr>
        <w:pStyle w:val="CommentText"/>
      </w:pPr>
    </w:p>
    <w:p w14:paraId="67F27271" w14:textId="77777777" w:rsidR="00832DC5" w:rsidRDefault="00832DC5" w:rsidP="00CC6870">
      <w:pPr>
        <w:pStyle w:val="CommentText"/>
      </w:pPr>
      <w:r>
        <w:t>Benefit: What is the actual/potential benefit to the end-user – how can this end-product improve their decision making process?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18302" w14:textId="77777777" w:rsidR="00832DC5" w:rsidRDefault="00832DC5" w:rsidP="00816220">
      <w:pPr>
        <w:spacing w:after="0" w:line="240" w:lineRule="auto"/>
      </w:pPr>
      <w:r>
        <w:separator/>
      </w:r>
    </w:p>
  </w:endnote>
  <w:endnote w:type="continuationSeparator" w:id="0">
    <w:p w14:paraId="3AAE7BC2" w14:textId="77777777" w:rsidR="00832DC5" w:rsidRDefault="00832DC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832DC5" w:rsidRDefault="00832DC5"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824B8" w14:textId="77777777" w:rsidR="00832DC5" w:rsidRDefault="00832DC5" w:rsidP="00816220">
      <w:pPr>
        <w:spacing w:after="0" w:line="240" w:lineRule="auto"/>
      </w:pPr>
      <w:r>
        <w:separator/>
      </w:r>
    </w:p>
  </w:footnote>
  <w:footnote w:type="continuationSeparator" w:id="0">
    <w:p w14:paraId="7C9F549D" w14:textId="77777777" w:rsidR="00832DC5" w:rsidRDefault="00832DC5"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D7040"/>
    <w:multiLevelType w:val="hybridMultilevel"/>
    <w:tmpl w:val="E88E3136"/>
    <w:lvl w:ilvl="0" w:tplc="04090001">
      <w:start w:val="1"/>
      <w:numFmt w:val="bullet"/>
      <w:lvlText w:val=""/>
      <w:lvlJc w:val="left"/>
      <w:pPr>
        <w:ind w:left="360" w:hanging="360"/>
      </w:pPr>
      <w:rPr>
        <w:rFonts w:ascii="Symbol" w:hAnsi="Symbol" w:hint="default"/>
      </w:rPr>
    </w:lvl>
    <w:lvl w:ilvl="1" w:tplc="6BB2F500">
      <w:numFmt w:val="bullet"/>
      <w:lvlText w:val="·"/>
      <w:lvlJc w:val="left"/>
      <w:pPr>
        <w:ind w:left="1095" w:hanging="375"/>
      </w:pPr>
      <w:rPr>
        <w:rFonts w:ascii="Century Gothic" w:eastAsia="Arial" w:hAnsi="Century Gothic" w:cs="Aria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5"/>
  </w:num>
  <w:num w:numId="6">
    <w:abstractNumId w:val="3"/>
  </w:num>
  <w:num w:numId="7">
    <w:abstractNumId w:val="0"/>
  </w:num>
  <w:num w:numId="8">
    <w:abstractNumId w:val="4"/>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261B"/>
    <w:rsid w:val="00037ED9"/>
    <w:rsid w:val="00066267"/>
    <w:rsid w:val="00071662"/>
    <w:rsid w:val="000A7821"/>
    <w:rsid w:val="000C0E41"/>
    <w:rsid w:val="000D1653"/>
    <w:rsid w:val="000E7559"/>
    <w:rsid w:val="00112740"/>
    <w:rsid w:val="001726C7"/>
    <w:rsid w:val="00200201"/>
    <w:rsid w:val="002516A3"/>
    <w:rsid w:val="0026482D"/>
    <w:rsid w:val="002B1918"/>
    <w:rsid w:val="002E4378"/>
    <w:rsid w:val="003053B0"/>
    <w:rsid w:val="00313897"/>
    <w:rsid w:val="0031527A"/>
    <w:rsid w:val="003545A4"/>
    <w:rsid w:val="003B2A86"/>
    <w:rsid w:val="003F2639"/>
    <w:rsid w:val="003F68F5"/>
    <w:rsid w:val="00402FAF"/>
    <w:rsid w:val="00420300"/>
    <w:rsid w:val="00434799"/>
    <w:rsid w:val="00454EA3"/>
    <w:rsid w:val="00470436"/>
    <w:rsid w:val="00486C4B"/>
    <w:rsid w:val="004B4C28"/>
    <w:rsid w:val="00501143"/>
    <w:rsid w:val="00520FF6"/>
    <w:rsid w:val="00592371"/>
    <w:rsid w:val="00603BB8"/>
    <w:rsid w:val="00677CB8"/>
    <w:rsid w:val="006A6894"/>
    <w:rsid w:val="006F18ED"/>
    <w:rsid w:val="00707C56"/>
    <w:rsid w:val="00711066"/>
    <w:rsid w:val="007338D2"/>
    <w:rsid w:val="0075569C"/>
    <w:rsid w:val="00770D88"/>
    <w:rsid w:val="007E4F6F"/>
    <w:rsid w:val="00816220"/>
    <w:rsid w:val="00832DC5"/>
    <w:rsid w:val="008451D9"/>
    <w:rsid w:val="00857C83"/>
    <w:rsid w:val="00860A65"/>
    <w:rsid w:val="008746A4"/>
    <w:rsid w:val="008B166F"/>
    <w:rsid w:val="00902BE7"/>
    <w:rsid w:val="0093138E"/>
    <w:rsid w:val="0097582D"/>
    <w:rsid w:val="009A326F"/>
    <w:rsid w:val="009A7A03"/>
    <w:rsid w:val="00A174D1"/>
    <w:rsid w:val="00A60645"/>
    <w:rsid w:val="00A70281"/>
    <w:rsid w:val="00AC0354"/>
    <w:rsid w:val="00AC5084"/>
    <w:rsid w:val="00AD6679"/>
    <w:rsid w:val="00B23EAA"/>
    <w:rsid w:val="00B82BB6"/>
    <w:rsid w:val="00BA5773"/>
    <w:rsid w:val="00C1027B"/>
    <w:rsid w:val="00C35076"/>
    <w:rsid w:val="00C370C2"/>
    <w:rsid w:val="00C82473"/>
    <w:rsid w:val="00CB6DC4"/>
    <w:rsid w:val="00CC1EF4"/>
    <w:rsid w:val="00CC559E"/>
    <w:rsid w:val="00CC6870"/>
    <w:rsid w:val="00D24063"/>
    <w:rsid w:val="00D339EB"/>
    <w:rsid w:val="00D579FC"/>
    <w:rsid w:val="00E012F3"/>
    <w:rsid w:val="00E157E8"/>
    <w:rsid w:val="00E25967"/>
    <w:rsid w:val="00E507D0"/>
    <w:rsid w:val="00E80174"/>
    <w:rsid w:val="00E96701"/>
    <w:rsid w:val="00EB2B60"/>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5522</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Andrew Kruczkiewicz</cp:lastModifiedBy>
  <cp:revision>2</cp:revision>
  <dcterms:created xsi:type="dcterms:W3CDTF">2015-06-23T19:57:00Z</dcterms:created>
  <dcterms:modified xsi:type="dcterms:W3CDTF">2015-06-23T19:57:00Z</dcterms:modified>
</cp:coreProperties>
</file>