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F0CF5" w:rsidRDefault="00652E1B">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Oklahoma Health and Air Quality</w:t>
      </w:r>
    </w:p>
    <w:p w14:paraId="00000002" w14:textId="77777777" w:rsidR="007F0CF5" w:rsidRDefault="00652E1B">
      <w:pPr>
        <w:spacing w:after="0" w:line="240" w:lineRule="auto"/>
        <w:jc w:val="right"/>
        <w:rPr>
          <w:rFonts w:ascii="Garamond" w:eastAsia="Garamond" w:hAnsi="Garamond" w:cs="Garamond"/>
          <w:sz w:val="28"/>
          <w:szCs w:val="28"/>
        </w:rPr>
      </w:pPr>
      <w:r>
        <w:rPr>
          <w:rFonts w:ascii="Garamond" w:eastAsia="Garamond" w:hAnsi="Garamond" w:cs="Garamond"/>
          <w:sz w:val="28"/>
          <w:szCs w:val="28"/>
        </w:rPr>
        <w:t>Mapping Air Quality Using NASA Earth Observations to Investigate Recent Increases in Ozone Concentrations</w:t>
      </w:r>
    </w:p>
    <w:p w14:paraId="00000003" w14:textId="77777777" w:rsidR="007F0CF5" w:rsidRDefault="007F0CF5">
      <w:pPr>
        <w:spacing w:after="0" w:line="240" w:lineRule="auto"/>
        <w:rPr>
          <w:rFonts w:ascii="Garamond" w:eastAsia="Garamond" w:hAnsi="Garamond" w:cs="Garamond"/>
          <w:sz w:val="32"/>
          <w:szCs w:val="32"/>
        </w:rPr>
      </w:pPr>
    </w:p>
    <w:p w14:paraId="00000004" w14:textId="77777777" w:rsidR="007F0CF5" w:rsidRDefault="007F0CF5">
      <w:pPr>
        <w:spacing w:after="0" w:line="240" w:lineRule="auto"/>
        <w:rPr>
          <w:rFonts w:ascii="Garamond" w:eastAsia="Garamond" w:hAnsi="Garamond" w:cs="Garamond"/>
          <w:sz w:val="32"/>
          <w:szCs w:val="32"/>
        </w:rPr>
      </w:pPr>
    </w:p>
    <w:p w14:paraId="00000005" w14:textId="77777777" w:rsidR="007F0CF5" w:rsidRDefault="007F0CF5">
      <w:pPr>
        <w:spacing w:after="0" w:line="240" w:lineRule="auto"/>
        <w:rPr>
          <w:rFonts w:ascii="Garamond" w:eastAsia="Garamond" w:hAnsi="Garamond" w:cs="Garamond"/>
          <w:sz w:val="32"/>
          <w:szCs w:val="32"/>
        </w:rPr>
      </w:pPr>
    </w:p>
    <w:p w14:paraId="00000006" w14:textId="77777777" w:rsidR="007F0CF5" w:rsidRDefault="007F0CF5">
      <w:pPr>
        <w:spacing w:after="0" w:line="240" w:lineRule="auto"/>
        <w:rPr>
          <w:rFonts w:ascii="Garamond" w:eastAsia="Garamond" w:hAnsi="Garamond" w:cs="Garamond"/>
          <w:sz w:val="32"/>
          <w:szCs w:val="32"/>
        </w:rPr>
      </w:pPr>
    </w:p>
    <w:p w14:paraId="00000007" w14:textId="77777777" w:rsidR="007F0CF5" w:rsidRDefault="007F0CF5">
      <w:pPr>
        <w:spacing w:after="0" w:line="240" w:lineRule="auto"/>
        <w:jc w:val="center"/>
        <w:rPr>
          <w:rFonts w:ascii="Garamond" w:eastAsia="Garamond" w:hAnsi="Garamond" w:cs="Garamond"/>
          <w:b/>
          <w:sz w:val="32"/>
          <w:szCs w:val="32"/>
        </w:rPr>
      </w:pPr>
    </w:p>
    <w:p w14:paraId="00000008" w14:textId="77777777" w:rsidR="007F0CF5" w:rsidRDefault="007F0CF5">
      <w:pPr>
        <w:spacing w:after="0" w:line="240" w:lineRule="auto"/>
        <w:jc w:val="center"/>
        <w:rPr>
          <w:rFonts w:ascii="Garamond" w:eastAsia="Garamond" w:hAnsi="Garamond" w:cs="Garamond"/>
          <w:b/>
          <w:sz w:val="32"/>
          <w:szCs w:val="32"/>
        </w:rPr>
      </w:pPr>
    </w:p>
    <w:p w14:paraId="00000009" w14:textId="77777777" w:rsidR="007F0CF5" w:rsidRDefault="00652E1B">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27F927AE" wp14:editId="1C73F669">
            <wp:simplePos x="0" y="0"/>
            <wp:positionH relativeFrom="column">
              <wp:posOffset>1628140</wp:posOffset>
            </wp:positionH>
            <wp:positionV relativeFrom="paragraph">
              <wp:posOffset>56432</wp:posOffset>
            </wp:positionV>
            <wp:extent cx="968735" cy="182880"/>
            <wp:effectExtent l="0" t="0" r="0" b="0"/>
            <wp:wrapNone/>
            <wp:docPr id="21274860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968735" cy="182880"/>
                    </a:xfrm>
                    <a:prstGeom prst="rect">
                      <a:avLst/>
                    </a:prstGeom>
                    <a:ln/>
                  </pic:spPr>
                </pic:pic>
              </a:graphicData>
            </a:graphic>
          </wp:anchor>
        </w:drawing>
      </w:r>
    </w:p>
    <w:p w14:paraId="0000000A" w14:textId="77777777" w:rsidR="007F0CF5" w:rsidRDefault="00652E1B">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 November 20</w:t>
      </w:r>
      <w:r>
        <w:rPr>
          <w:rFonts w:ascii="Garamond" w:eastAsia="Garamond" w:hAnsi="Garamond" w:cs="Garamond"/>
          <w:sz w:val="28"/>
          <w:szCs w:val="28"/>
          <w:vertAlign w:val="superscript"/>
        </w:rPr>
        <w:t>th</w:t>
      </w:r>
      <w:r>
        <w:rPr>
          <w:rFonts w:ascii="Garamond" w:eastAsia="Garamond" w:hAnsi="Garamond" w:cs="Garamond"/>
          <w:sz w:val="28"/>
          <w:szCs w:val="28"/>
        </w:rPr>
        <w:t>, 2021</w:t>
      </w:r>
    </w:p>
    <w:p w14:paraId="0000000B" w14:textId="77777777" w:rsidR="007F0CF5" w:rsidRDefault="007F0CF5">
      <w:pPr>
        <w:spacing w:after="0" w:line="240" w:lineRule="auto"/>
        <w:jc w:val="center"/>
        <w:rPr>
          <w:rFonts w:ascii="Garamond" w:eastAsia="Garamond" w:hAnsi="Garamond" w:cs="Garamond"/>
          <w:sz w:val="20"/>
          <w:szCs w:val="20"/>
        </w:rPr>
      </w:pPr>
    </w:p>
    <w:p w14:paraId="0000000C"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Carolina Rosales (Project Lead)</w:t>
      </w:r>
    </w:p>
    <w:p w14:paraId="0000000D"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Robert </w:t>
      </w:r>
      <w:proofErr w:type="spellStart"/>
      <w:r>
        <w:rPr>
          <w:rFonts w:ascii="Garamond" w:eastAsia="Garamond" w:hAnsi="Garamond" w:cs="Garamond"/>
          <w:sz w:val="20"/>
          <w:szCs w:val="20"/>
        </w:rPr>
        <w:t>Alward</w:t>
      </w:r>
      <w:proofErr w:type="spellEnd"/>
    </w:p>
    <w:p w14:paraId="0000000E" w14:textId="77777777" w:rsidR="007F0CF5" w:rsidRDefault="00652E1B">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Kjirsten</w:t>
      </w:r>
      <w:proofErr w:type="spellEnd"/>
      <w:r>
        <w:rPr>
          <w:rFonts w:ascii="Garamond" w:eastAsia="Garamond" w:hAnsi="Garamond" w:cs="Garamond"/>
          <w:sz w:val="20"/>
          <w:szCs w:val="20"/>
        </w:rPr>
        <w:t xml:space="preserve"> Coleman</w:t>
      </w:r>
    </w:p>
    <w:p w14:paraId="0000000F"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Katherine Howell</w:t>
      </w:r>
    </w:p>
    <w:p w14:paraId="00000010"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Vanessa </w:t>
      </w:r>
      <w:proofErr w:type="spellStart"/>
      <w:r>
        <w:rPr>
          <w:rFonts w:ascii="Garamond" w:eastAsia="Garamond" w:hAnsi="Garamond" w:cs="Garamond"/>
          <w:sz w:val="20"/>
          <w:szCs w:val="20"/>
        </w:rPr>
        <w:t>Machuca</w:t>
      </w:r>
      <w:proofErr w:type="spellEnd"/>
    </w:p>
    <w:p w14:paraId="00000011" w14:textId="77777777" w:rsidR="007F0CF5" w:rsidRDefault="007F0CF5">
      <w:pPr>
        <w:spacing w:after="0" w:line="240" w:lineRule="auto"/>
        <w:jc w:val="center"/>
        <w:rPr>
          <w:rFonts w:ascii="Garamond" w:eastAsia="Garamond" w:hAnsi="Garamond" w:cs="Garamond"/>
          <w:sz w:val="20"/>
          <w:szCs w:val="20"/>
        </w:rPr>
      </w:pPr>
    </w:p>
    <w:p w14:paraId="00000012" w14:textId="77777777" w:rsidR="007F0CF5" w:rsidRDefault="00652E1B">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0000013"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Le Kuai, NASA Jet Propulsion Laboratory, California Institute of Technology (Science Advisor)</w:t>
      </w:r>
    </w:p>
    <w:p w14:paraId="00000014" w14:textId="77777777" w:rsidR="007F0CF5" w:rsidRDefault="00652E1B">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Heidar</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Thrastarson</w:t>
      </w:r>
      <w:proofErr w:type="spellEnd"/>
      <w:r>
        <w:rPr>
          <w:rFonts w:ascii="Garamond" w:eastAsia="Garamond" w:hAnsi="Garamond" w:cs="Garamond"/>
          <w:sz w:val="20"/>
          <w:szCs w:val="20"/>
        </w:rPr>
        <w:t>, NASA Jet Propulsion Laboratory, California Institute of Technology (Science Advisor)</w:t>
      </w:r>
    </w:p>
    <w:p w14:paraId="00000015" w14:textId="77777777" w:rsidR="007F0CF5" w:rsidRDefault="00652E1B">
      <w:pPr>
        <w:spacing w:after="0" w:line="240" w:lineRule="auto"/>
        <w:jc w:val="center"/>
        <w:rPr>
          <w:rFonts w:ascii="Garamond" w:eastAsia="Garamond" w:hAnsi="Garamond" w:cs="Garamond"/>
          <w:sz w:val="20"/>
          <w:szCs w:val="20"/>
        </w:rPr>
      </w:pPr>
      <w:r>
        <w:rPr>
          <w:rFonts w:ascii="Garamond" w:eastAsia="Garamond" w:hAnsi="Garamond" w:cs="Garamond"/>
          <w:sz w:val="20"/>
          <w:szCs w:val="20"/>
        </w:rPr>
        <w:t>Benjamin Holt, NASA Jet Propulsion Laboratory, California Institute of Technology (Science Advisor)</w:t>
      </w:r>
    </w:p>
    <w:p w14:paraId="00000016" w14:textId="77777777" w:rsidR="007F0CF5" w:rsidRDefault="007F0CF5">
      <w:pPr>
        <w:spacing w:after="0" w:line="240" w:lineRule="auto"/>
        <w:jc w:val="center"/>
        <w:rPr>
          <w:rFonts w:ascii="Garamond" w:eastAsia="Garamond" w:hAnsi="Garamond" w:cs="Garamond"/>
          <w:sz w:val="20"/>
          <w:szCs w:val="20"/>
        </w:rPr>
      </w:pPr>
    </w:p>
    <w:p w14:paraId="00000017" w14:textId="77777777" w:rsidR="007F0CF5" w:rsidRDefault="007F0CF5">
      <w:pPr>
        <w:spacing w:after="0" w:line="240" w:lineRule="auto"/>
        <w:jc w:val="center"/>
        <w:rPr>
          <w:rFonts w:ascii="Garamond" w:eastAsia="Garamond" w:hAnsi="Garamond" w:cs="Garamond"/>
          <w:sz w:val="20"/>
          <w:szCs w:val="20"/>
        </w:rPr>
      </w:pPr>
    </w:p>
    <w:p w14:paraId="00000018" w14:textId="77777777" w:rsidR="007F0CF5" w:rsidRDefault="00652E1B">
      <w:pPr>
        <w:rPr>
          <w:rFonts w:ascii="Garamond" w:eastAsia="Garamond" w:hAnsi="Garamond" w:cs="Garamond"/>
        </w:rPr>
      </w:pPr>
      <w:r>
        <w:br w:type="page"/>
      </w:r>
    </w:p>
    <w:p w14:paraId="00000019" w14:textId="77777777" w:rsidR="007F0CF5" w:rsidRDefault="00652E1B">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0000001A" w14:textId="38C61508" w:rsidR="007F0CF5" w:rsidRDefault="00652E1B">
      <w:pPr>
        <w:spacing w:after="160" w:line="257" w:lineRule="auto"/>
        <w:rPr>
          <w:rFonts w:ascii="Garamond" w:eastAsia="Garamond" w:hAnsi="Garamond" w:cs="Garamond"/>
        </w:rPr>
      </w:pPr>
      <w:r w:rsidRPr="6D285181">
        <w:rPr>
          <w:rFonts w:ascii="Garamond" w:eastAsia="Garamond" w:hAnsi="Garamond" w:cs="Garamond"/>
        </w:rPr>
        <w:t>Tropospheric ozone (O</w:t>
      </w:r>
      <w:r w:rsidRPr="6D285181">
        <w:rPr>
          <w:rFonts w:ascii="Garamond" w:eastAsia="Garamond" w:hAnsi="Garamond" w:cs="Garamond"/>
          <w:vertAlign w:val="subscript"/>
        </w:rPr>
        <w:t>3</w:t>
      </w:r>
      <w:r w:rsidRPr="6D285181">
        <w:rPr>
          <w:rFonts w:ascii="Garamond" w:eastAsia="Garamond" w:hAnsi="Garamond" w:cs="Garamond"/>
        </w:rPr>
        <w:t>) is formed by anthropogenic pollutants interacting with sunlight and is considered harmful to human health in high concentrations. In the summer of 2018, the Oklahoma Department of Environmental Quality (DEQ) measured unexpected spikes in O</w:t>
      </w:r>
      <w:r w:rsidRPr="6D285181">
        <w:rPr>
          <w:rFonts w:ascii="Garamond" w:eastAsia="Garamond" w:hAnsi="Garamond" w:cs="Garamond"/>
          <w:vertAlign w:val="subscript"/>
        </w:rPr>
        <w:t>3</w:t>
      </w:r>
      <w:r w:rsidRPr="6D285181">
        <w:rPr>
          <w:rFonts w:ascii="Garamond" w:eastAsia="Garamond" w:hAnsi="Garamond" w:cs="Garamond"/>
        </w:rPr>
        <w:t xml:space="preserve"> in </w:t>
      </w:r>
      <w:proofErr w:type="spellStart"/>
      <w:r w:rsidRPr="6D285181">
        <w:rPr>
          <w:rFonts w:ascii="Garamond" w:eastAsia="Garamond" w:hAnsi="Garamond" w:cs="Garamond"/>
        </w:rPr>
        <w:t>Seiling</w:t>
      </w:r>
      <w:proofErr w:type="spellEnd"/>
      <w:r w:rsidRPr="6D285181">
        <w:rPr>
          <w:rFonts w:ascii="Garamond" w:eastAsia="Garamond" w:hAnsi="Garamond" w:cs="Garamond"/>
        </w:rPr>
        <w:t>, Oklahoma, with concentrations exceeding those measured in bustling Oklahoma City and Tulsa. The DEQ tracks air quality using ground monitors and does not utilize Earth observation data in its monitoring or analysis. This project used remotely sensed data to investigate these 2018 air quality anomalies, identifying possible causes. We analyzed atmospheric data from Terra and Aqua Moderate Resolution Imaging Spectroradiometer (MODIS), and Sentinel-5P Tropospheric Ozone Monitoring Instrument (TROPOMI) in conjunction with ground-based measurements of tropospheric ozone (O</w:t>
      </w:r>
      <w:r w:rsidRPr="6D285181">
        <w:rPr>
          <w:rFonts w:ascii="Garamond" w:eastAsia="Garamond" w:hAnsi="Garamond" w:cs="Garamond"/>
          <w:vertAlign w:val="subscript"/>
        </w:rPr>
        <w:t>3</w:t>
      </w:r>
      <w:r w:rsidRPr="6D285181">
        <w:rPr>
          <w:rFonts w:ascii="Garamond" w:eastAsia="Garamond" w:hAnsi="Garamond" w:cs="Garamond"/>
        </w:rPr>
        <w:t>), nitrogen dioxide (NO</w:t>
      </w:r>
      <w:r w:rsidRPr="6D285181">
        <w:rPr>
          <w:rFonts w:ascii="Garamond" w:eastAsia="Garamond" w:hAnsi="Garamond" w:cs="Garamond"/>
          <w:vertAlign w:val="subscript"/>
        </w:rPr>
        <w:t>2</w:t>
      </w:r>
      <w:r w:rsidRPr="6D285181">
        <w:rPr>
          <w:rFonts w:ascii="Garamond" w:eastAsia="Garamond" w:hAnsi="Garamond" w:cs="Garamond"/>
        </w:rPr>
        <w:t>), methane (CH</w:t>
      </w:r>
      <w:r w:rsidRPr="6D285181">
        <w:rPr>
          <w:rFonts w:ascii="Garamond" w:eastAsia="Garamond" w:hAnsi="Garamond" w:cs="Garamond"/>
          <w:vertAlign w:val="subscript"/>
        </w:rPr>
        <w:t>4</w:t>
      </w:r>
      <w:r w:rsidRPr="6D285181">
        <w:rPr>
          <w:rFonts w:ascii="Garamond" w:eastAsia="Garamond" w:hAnsi="Garamond" w:cs="Garamond"/>
        </w:rPr>
        <w:t xml:space="preserve">), carbon monoxide (CO), formaldehyde (HCHO) and aerosol optical depth (AOD). We compared Hybrid Single-Particle </w:t>
      </w:r>
      <w:proofErr w:type="spellStart"/>
      <w:r w:rsidRPr="6D285181">
        <w:rPr>
          <w:rFonts w:ascii="Garamond" w:eastAsia="Garamond" w:hAnsi="Garamond" w:cs="Garamond"/>
        </w:rPr>
        <w:t>Lagrangian</w:t>
      </w:r>
      <w:proofErr w:type="spellEnd"/>
      <w:r w:rsidRPr="6D285181">
        <w:rPr>
          <w:rFonts w:ascii="Garamond" w:eastAsia="Garamond" w:hAnsi="Garamond" w:cs="Garamond"/>
        </w:rPr>
        <w:t xml:space="preserve"> Integrated Trajectory (HYSPLIT) model simulations and Earth observation visualizations to pinpoint ozone spike causes. We also generated models to identify contributing factors to variations in ground ozone concentrations in our study area. The results point to a variety of ozone spike causes, primarily from outside of the state, and support the placement of additional NO</w:t>
      </w:r>
      <w:r w:rsidRPr="6D285181">
        <w:rPr>
          <w:rFonts w:ascii="Garamond" w:eastAsia="Garamond" w:hAnsi="Garamond" w:cs="Garamond"/>
          <w:vertAlign w:val="subscript"/>
        </w:rPr>
        <w:t>2</w:t>
      </w:r>
      <w:r w:rsidRPr="6D285181">
        <w:rPr>
          <w:rFonts w:ascii="Garamond" w:eastAsia="Garamond" w:hAnsi="Garamond" w:cs="Garamond"/>
        </w:rPr>
        <w:t>, O</w:t>
      </w:r>
      <w:r w:rsidRPr="6D285181">
        <w:rPr>
          <w:rFonts w:ascii="Garamond" w:eastAsia="Garamond" w:hAnsi="Garamond" w:cs="Garamond"/>
          <w:vertAlign w:val="subscript"/>
        </w:rPr>
        <w:t>3</w:t>
      </w:r>
      <w:r w:rsidRPr="6D285181">
        <w:rPr>
          <w:rFonts w:ascii="Garamond" w:eastAsia="Garamond" w:hAnsi="Garamond" w:cs="Garamond"/>
        </w:rPr>
        <w:t xml:space="preserve">, and CO monitors to the southeast of </w:t>
      </w:r>
      <w:proofErr w:type="spellStart"/>
      <w:r w:rsidRPr="6D285181">
        <w:rPr>
          <w:rFonts w:ascii="Garamond" w:eastAsia="Garamond" w:hAnsi="Garamond" w:cs="Garamond"/>
        </w:rPr>
        <w:t>Seiling</w:t>
      </w:r>
      <w:proofErr w:type="spellEnd"/>
      <w:r w:rsidRPr="6D285181">
        <w:rPr>
          <w:rFonts w:ascii="Garamond" w:eastAsia="Garamond" w:hAnsi="Garamond" w:cs="Garamond"/>
        </w:rPr>
        <w:t xml:space="preserve">. These analyses can help guide the placement of future monitors in the ground monitoring network and inform air quality regulations in Oklahoma. </w:t>
      </w:r>
    </w:p>
    <w:p w14:paraId="0000001B" w14:textId="77777777" w:rsidR="007F0CF5" w:rsidRDefault="007F0CF5">
      <w:pPr>
        <w:spacing w:after="0" w:line="240" w:lineRule="auto"/>
        <w:rPr>
          <w:rFonts w:ascii="Garamond" w:eastAsia="Garamond" w:hAnsi="Garamond" w:cs="Garamond"/>
        </w:rPr>
      </w:pPr>
    </w:p>
    <w:p w14:paraId="0000001C" w14:textId="77777777" w:rsidR="007F0CF5" w:rsidRDefault="00652E1B">
      <w:pPr>
        <w:spacing w:after="0" w:line="240" w:lineRule="auto"/>
        <w:rPr>
          <w:rFonts w:ascii="Garamond" w:eastAsia="Garamond" w:hAnsi="Garamond" w:cs="Garamond"/>
          <w:b/>
        </w:rPr>
      </w:pPr>
      <w:r>
        <w:rPr>
          <w:rFonts w:ascii="Garamond" w:eastAsia="Garamond" w:hAnsi="Garamond" w:cs="Garamond"/>
          <w:b/>
        </w:rPr>
        <w:t>Key Terms</w:t>
      </w:r>
    </w:p>
    <w:p w14:paraId="0000001D" w14:textId="77777777" w:rsidR="007F0CF5" w:rsidRDefault="00652E1B">
      <w:pPr>
        <w:spacing w:after="0" w:line="240" w:lineRule="auto"/>
        <w:rPr>
          <w:rFonts w:ascii="Garamond" w:eastAsia="Garamond" w:hAnsi="Garamond" w:cs="Garamond"/>
        </w:rPr>
      </w:pPr>
      <w:r>
        <w:rPr>
          <w:rFonts w:ascii="Garamond" w:eastAsia="Garamond" w:hAnsi="Garamond" w:cs="Garamond"/>
        </w:rPr>
        <w:t>HYSPLIT, MODIS, TROPOMI, back-trajectory analysis, emissions transport, atmospheric pollutants</w:t>
      </w:r>
    </w:p>
    <w:p w14:paraId="0000001E" w14:textId="77777777" w:rsidR="007F0CF5" w:rsidRDefault="007F0CF5">
      <w:pPr>
        <w:spacing w:after="0" w:line="240" w:lineRule="auto"/>
        <w:rPr>
          <w:rFonts w:ascii="Garamond" w:eastAsia="Garamond" w:hAnsi="Garamond" w:cs="Garamond"/>
        </w:rPr>
      </w:pPr>
    </w:p>
    <w:p w14:paraId="0000001F" w14:textId="77777777" w:rsidR="007F0CF5" w:rsidRDefault="00652E1B">
      <w:pPr>
        <w:pStyle w:val="Heading1"/>
        <w:spacing w:before="0" w:line="240" w:lineRule="auto"/>
        <w:rPr>
          <w:rFonts w:ascii="Garamond" w:eastAsia="Garamond" w:hAnsi="Garamond" w:cs="Garamond"/>
          <w:u w:val="single"/>
        </w:rPr>
      </w:pPr>
      <w:r>
        <w:rPr>
          <w:rFonts w:ascii="Garamond" w:eastAsia="Garamond" w:hAnsi="Garamond" w:cs="Garamond"/>
        </w:rPr>
        <w:t xml:space="preserve">2. Introduction </w:t>
      </w:r>
    </w:p>
    <w:p w14:paraId="00000020" w14:textId="77777777" w:rsidR="007F0CF5" w:rsidRDefault="00652E1B">
      <w:pPr>
        <w:spacing w:after="0" w:line="240" w:lineRule="auto"/>
        <w:rPr>
          <w:rFonts w:ascii="Garamond" w:eastAsia="Garamond" w:hAnsi="Garamond" w:cs="Garamond"/>
          <w:b/>
          <w:i/>
          <w:highlight w:val="cyan"/>
        </w:rPr>
      </w:pPr>
      <w:bookmarkStart w:id="0" w:name="_heading=h.gjdgxs" w:colFirst="0" w:colLast="0"/>
      <w:bookmarkEnd w:id="0"/>
      <w:r>
        <w:rPr>
          <w:rFonts w:ascii="Garamond" w:eastAsia="Garamond" w:hAnsi="Garamond" w:cs="Garamond"/>
          <w:b/>
          <w:i/>
        </w:rPr>
        <w:t xml:space="preserve">2.1 Background Information  </w:t>
      </w:r>
    </w:p>
    <w:p w14:paraId="00000022" w14:textId="6FFA7B3A"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Tropospheric ozone (O</w:t>
      </w:r>
      <w:r w:rsidRPr="1508864B">
        <w:rPr>
          <w:rFonts w:ascii="Garamond" w:eastAsia="Garamond" w:hAnsi="Garamond" w:cs="Garamond"/>
          <w:color w:val="000000" w:themeColor="text1"/>
          <w:sz w:val="17"/>
          <w:szCs w:val="17"/>
          <w:vertAlign w:val="subscript"/>
        </w:rPr>
        <w:t>3</w:t>
      </w:r>
      <w:r w:rsidRPr="1508864B">
        <w:rPr>
          <w:rFonts w:ascii="Garamond" w:eastAsia="Garamond" w:hAnsi="Garamond" w:cs="Garamond"/>
          <w:color w:val="000000" w:themeColor="text1"/>
        </w:rPr>
        <w:t xml:space="preserve">) is a greenhouse gas that is formed near Earth’s surface when pollutants react with sunlight. These pollutants are emitted by cars, power plants, industrial boilers, chemical </w:t>
      </w:r>
      <w:proofErr w:type="gramStart"/>
      <w:r w:rsidRPr="1508864B">
        <w:rPr>
          <w:rFonts w:ascii="Garamond" w:eastAsia="Garamond" w:hAnsi="Garamond" w:cs="Garamond"/>
          <w:color w:val="000000" w:themeColor="text1"/>
        </w:rPr>
        <w:t>plants</w:t>
      </w:r>
      <w:proofErr w:type="gramEnd"/>
      <w:r w:rsidRPr="1508864B">
        <w:rPr>
          <w:rFonts w:ascii="Garamond" w:eastAsia="Garamond" w:hAnsi="Garamond" w:cs="Garamond"/>
          <w:color w:val="000000" w:themeColor="text1"/>
        </w:rPr>
        <w:t xml:space="preserve"> and other sources, and are referred to as ozone precursors (Butcher, 2020).  Ozone in the troposphere is considered harmful to human health in concentrations above 0.07 parts per million (ppm). At these concentrations, it is associated with increased rates of lung cancer, asthma, and other lung-related diseases, as well as impaired cognitive function (</w:t>
      </w:r>
      <w:r w:rsidRPr="1508864B">
        <w:rPr>
          <w:rFonts w:ascii="Garamond" w:eastAsia="Garamond" w:hAnsi="Garamond" w:cs="Garamond"/>
        </w:rPr>
        <w:t>American Lung Association</w:t>
      </w:r>
      <w:r w:rsidRPr="1508864B">
        <w:rPr>
          <w:rFonts w:ascii="Garamond" w:eastAsia="Garamond" w:hAnsi="Garamond" w:cs="Garamond"/>
          <w:i/>
          <w:iCs/>
        </w:rPr>
        <w:t xml:space="preserve">, </w:t>
      </w:r>
      <w:r w:rsidRPr="1508864B">
        <w:rPr>
          <w:rFonts w:ascii="Garamond" w:eastAsia="Garamond" w:hAnsi="Garamond" w:cs="Garamond"/>
        </w:rPr>
        <w:t>2021</w:t>
      </w:r>
      <w:r w:rsidRPr="1508864B">
        <w:rPr>
          <w:rFonts w:ascii="Garamond" w:eastAsia="Garamond" w:hAnsi="Garamond" w:cs="Garamond"/>
          <w:color w:val="000000" w:themeColor="text1"/>
        </w:rPr>
        <w:t xml:space="preserve">).  These adverse effects are a growing concern in states like Oklahoma, where uncharacteristic ozone spikes are being observed.  </w:t>
      </w:r>
    </w:p>
    <w:p w14:paraId="7187C733" w14:textId="0C955B03" w:rsidR="1508864B" w:rsidRDefault="1508864B" w:rsidP="1508864B">
      <w:pPr>
        <w:spacing w:after="0" w:line="240" w:lineRule="auto"/>
        <w:rPr>
          <w:rFonts w:ascii="Garamond" w:eastAsia="Garamond" w:hAnsi="Garamond" w:cs="Garamond"/>
          <w:color w:val="000000" w:themeColor="text1"/>
        </w:rPr>
      </w:pPr>
    </w:p>
    <w:p w14:paraId="00000025" w14:textId="5F308DDE" w:rsidR="007F0CF5" w:rsidRDefault="0F2829D8" w:rsidP="1508864B">
      <w:pPr>
        <w:spacing w:after="0" w:line="240" w:lineRule="auto"/>
        <w:rPr>
          <w:rFonts w:ascii="Garamond" w:eastAsia="Garamond" w:hAnsi="Garamond" w:cs="Garamond"/>
          <w:color w:val="000000"/>
          <w:highlight w:val="lightGray"/>
        </w:rPr>
      </w:pPr>
      <w:r w:rsidRPr="1508864B">
        <w:rPr>
          <w:rFonts w:ascii="Garamond" w:eastAsia="Garamond" w:hAnsi="Garamond" w:cs="Garamond"/>
          <w:color w:val="000000" w:themeColor="text1"/>
        </w:rPr>
        <w:t>In 2011, Oklahoma suffered from some of the worst air quality in the country largely due to high ozone levels (</w:t>
      </w:r>
      <w:r w:rsidRPr="1508864B">
        <w:rPr>
          <w:rFonts w:ascii="Garamond" w:eastAsia="Garamond" w:hAnsi="Garamond" w:cs="Garamond"/>
        </w:rPr>
        <w:t>American Lung Association</w:t>
      </w:r>
      <w:r w:rsidRPr="1508864B">
        <w:rPr>
          <w:rFonts w:ascii="Garamond" w:eastAsia="Garamond" w:hAnsi="Garamond" w:cs="Garamond"/>
          <w:i/>
          <w:iCs/>
        </w:rPr>
        <w:t xml:space="preserve">, </w:t>
      </w:r>
      <w:r w:rsidRPr="1508864B">
        <w:rPr>
          <w:rFonts w:ascii="Garamond" w:eastAsia="Garamond" w:hAnsi="Garamond" w:cs="Garamond"/>
        </w:rPr>
        <w:t>2021</w:t>
      </w:r>
      <w:r w:rsidRPr="1508864B">
        <w:rPr>
          <w:rFonts w:ascii="Garamond" w:eastAsia="Garamond" w:hAnsi="Garamond" w:cs="Garamond"/>
          <w:color w:val="000000" w:themeColor="text1"/>
        </w:rPr>
        <w:t>), with multiple days surpassing the Environmental Protection Agency (EPA) limit for healthy air. The Oklahoma Department of Environmental Quality (DEQ) identified widespread drought as the likely main contributor to worsened air quality. By 2016 air quality improved, reaching a record 83% of days considered “good” according to EPA standards (Brown, 2019). However, i</w:t>
      </w:r>
      <w:r w:rsidRPr="1508864B">
        <w:rPr>
          <w:rFonts w:ascii="Garamond" w:eastAsia="Garamond" w:hAnsi="Garamond" w:cs="Garamond"/>
        </w:rPr>
        <w:t>n the summer of 2018 the DEQ noticed unexpected spikes in O</w:t>
      </w:r>
      <w:r w:rsidRPr="1508864B">
        <w:rPr>
          <w:rFonts w:ascii="Garamond" w:eastAsia="Garamond" w:hAnsi="Garamond" w:cs="Garamond"/>
          <w:vertAlign w:val="subscript"/>
        </w:rPr>
        <w:t xml:space="preserve">3 </w:t>
      </w:r>
      <w:r w:rsidRPr="1508864B">
        <w:rPr>
          <w:rFonts w:ascii="Garamond" w:eastAsia="Garamond" w:hAnsi="Garamond" w:cs="Garamond"/>
        </w:rPr>
        <w:t xml:space="preserve">at a ground-monitoring station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Oklahoma (Figure 1). While ozone spikes are expected in urban areas like Oklahoma City and Tulsa, high levels in the rural town of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were surprising, and prompted further investigation, especially given that the air quality monitor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was created to record background air quality measurements for the state. Unlike the event in 2011, this event was not preceded by a drought and the specific causes of the spikes were unclear. Since the spikes, Oklahoma’s poor air quality has persisted, and in certain locations fails to meet the EPA’s standard for particulate matter. According to reports by the Oklahoma DEQ and the American Lung Association (2021), in 2019 ozone levels peaked near the EPA’s standard of 0.0705 ppm (DEQ, 2019). </w:t>
      </w:r>
    </w:p>
    <w:p w14:paraId="00000026" w14:textId="77777777" w:rsidR="007F0CF5" w:rsidRDefault="007F0CF5">
      <w:pPr>
        <w:spacing w:after="0" w:line="240" w:lineRule="auto"/>
        <w:rPr>
          <w:rFonts w:ascii="Garamond" w:eastAsia="Garamond" w:hAnsi="Garamond" w:cs="Garamond"/>
        </w:rPr>
      </w:pPr>
    </w:p>
    <w:tbl>
      <w:tblPr>
        <w:tblStyle w:val="af5"/>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7F0CF5" w14:paraId="414B0CAA" w14:textId="77777777">
        <w:tc>
          <w:tcPr>
            <w:tcW w:w="4680" w:type="dxa"/>
            <w:vAlign w:val="center"/>
          </w:tcPr>
          <w:p w14:paraId="00000027" w14:textId="77777777" w:rsidR="007F0CF5" w:rsidRDefault="00652E1B">
            <w:pPr>
              <w:jc w:val="center"/>
              <w:rPr>
                <w:rFonts w:ascii="Garamond" w:eastAsia="Garamond" w:hAnsi="Garamond" w:cs="Garamond"/>
              </w:rPr>
            </w:pPr>
            <w:r>
              <w:rPr>
                <w:noProof/>
              </w:rPr>
              <w:lastRenderedPageBreak/>
              <w:drawing>
                <wp:inline distT="0" distB="0" distL="0" distR="0" wp14:anchorId="27C0D677" wp14:editId="2BF04F2D">
                  <wp:extent cx="2962839" cy="2593758"/>
                  <wp:effectExtent l="0" t="0" r="0" b="0"/>
                  <wp:docPr id="21274860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t="6734" b="5723"/>
                          <a:stretch>
                            <a:fillRect/>
                          </a:stretch>
                        </pic:blipFill>
                        <pic:spPr>
                          <a:xfrm>
                            <a:off x="0" y="0"/>
                            <a:ext cx="2962839" cy="2593758"/>
                          </a:xfrm>
                          <a:prstGeom prst="rect">
                            <a:avLst/>
                          </a:prstGeom>
                          <a:ln/>
                        </pic:spPr>
                      </pic:pic>
                    </a:graphicData>
                  </a:graphic>
                </wp:inline>
              </w:drawing>
            </w:r>
          </w:p>
        </w:tc>
        <w:tc>
          <w:tcPr>
            <w:tcW w:w="4680" w:type="dxa"/>
            <w:vAlign w:val="center"/>
          </w:tcPr>
          <w:p w14:paraId="00000028" w14:textId="77777777" w:rsidR="007F0CF5" w:rsidRDefault="00652E1B">
            <w:pPr>
              <w:rPr>
                <w:rFonts w:ascii="Garamond" w:eastAsia="Garamond" w:hAnsi="Garamond" w:cs="Garamond"/>
              </w:rPr>
            </w:pPr>
            <w:r>
              <w:rPr>
                <w:rFonts w:ascii="Garamond" w:eastAsia="Garamond" w:hAnsi="Garamond" w:cs="Garamond"/>
                <w:i/>
              </w:rPr>
              <w:t xml:space="preserve">Figure 1. </w:t>
            </w:r>
            <w:r>
              <w:rPr>
                <w:rFonts w:ascii="Garamond" w:eastAsia="Garamond" w:hAnsi="Garamond" w:cs="Garamond"/>
              </w:rPr>
              <w:t xml:space="preserve">Average monthly ozone concentrations measured from ground stations in </w:t>
            </w:r>
            <w:proofErr w:type="spellStart"/>
            <w:r>
              <w:rPr>
                <w:rFonts w:ascii="Garamond" w:eastAsia="Garamond" w:hAnsi="Garamond" w:cs="Garamond"/>
              </w:rPr>
              <w:t>Seiling</w:t>
            </w:r>
            <w:proofErr w:type="spellEnd"/>
            <w:r>
              <w:rPr>
                <w:rFonts w:ascii="Garamond" w:eastAsia="Garamond" w:hAnsi="Garamond" w:cs="Garamond"/>
              </w:rPr>
              <w:t>, Oklahoma. Ozone peaked in 2011 following a drought. Ozone levels declined over several years before spiking again in 2018.</w:t>
            </w:r>
          </w:p>
        </w:tc>
      </w:tr>
    </w:tbl>
    <w:p w14:paraId="00000029" w14:textId="1E84F537" w:rsidR="007F0CF5" w:rsidRDefault="0F2829D8" w:rsidP="1508864B">
      <w:pPr>
        <w:spacing w:after="0" w:line="240" w:lineRule="auto"/>
        <w:rPr>
          <w:rFonts w:ascii="Garamond" w:eastAsia="Garamond" w:hAnsi="Garamond" w:cs="Garamond"/>
          <w:b/>
          <w:bCs/>
          <w:i/>
          <w:iCs/>
          <w:color w:val="000000"/>
        </w:rPr>
      </w:pPr>
      <w:r w:rsidRPr="1508864B">
        <w:rPr>
          <w:rFonts w:ascii="Garamond" w:eastAsia="Garamond" w:hAnsi="Garamond" w:cs="Garamond"/>
        </w:rPr>
        <w:t xml:space="preserve">To better understand Oklahoma’s air quality anomalies, Earth observations (EO) of atmospheric data recorded by satellite-based instruments </w:t>
      </w:r>
      <w:r w:rsidRPr="1508864B">
        <w:rPr>
          <w:rFonts w:ascii="Garamond" w:eastAsia="Garamond" w:hAnsi="Garamond" w:cs="Garamond"/>
          <w:color w:val="000000" w:themeColor="text1"/>
        </w:rPr>
        <w:t>can be used to supplement ground-based measurement, providing insight into possible emission transportation scenarios. The satellite-based instruments Moderate Resolution Imaging Spectroradiometer (MODIS) and Tropospheric Monitoring Instrument (TROPOMI) have been tested against ground-based monitors globally (</w:t>
      </w:r>
      <w:proofErr w:type="spellStart"/>
      <w:r w:rsidRPr="1508864B">
        <w:rPr>
          <w:rFonts w:ascii="Garamond" w:eastAsia="Garamond" w:hAnsi="Garamond" w:cs="Garamond"/>
          <w:color w:val="000000" w:themeColor="text1"/>
        </w:rPr>
        <w:t>Ialongo</w:t>
      </w:r>
      <w:proofErr w:type="spellEnd"/>
      <w:r w:rsidRPr="1508864B">
        <w:rPr>
          <w:rFonts w:ascii="Garamond" w:eastAsia="Garamond" w:hAnsi="Garamond" w:cs="Garamond"/>
          <w:color w:val="000000" w:themeColor="text1"/>
        </w:rPr>
        <w:t xml:space="preserve"> et al., 2020).  Additionally, algorithms for processing and validating data have been developed for linking ground and EO atmospheric data from these instruments (</w:t>
      </w:r>
      <w:proofErr w:type="spellStart"/>
      <w:r w:rsidRPr="1508864B">
        <w:rPr>
          <w:rFonts w:ascii="Garamond" w:eastAsia="Garamond" w:hAnsi="Garamond" w:cs="Garamond"/>
          <w:color w:val="000000" w:themeColor="text1"/>
        </w:rPr>
        <w:t>Garane</w:t>
      </w:r>
      <w:proofErr w:type="spellEnd"/>
      <w:r w:rsidRPr="1508864B">
        <w:rPr>
          <w:rFonts w:ascii="Garamond" w:eastAsia="Garamond" w:hAnsi="Garamond" w:cs="Garamond"/>
          <w:color w:val="000000" w:themeColor="text1"/>
        </w:rPr>
        <w:t xml:space="preserve"> et al., 2019). According to literature, the instruments perform well and are highly correlated with ground-based measurements, even at higher latitudes (</w:t>
      </w:r>
      <w:proofErr w:type="spellStart"/>
      <w:r w:rsidRPr="1508864B">
        <w:rPr>
          <w:rFonts w:ascii="Garamond" w:eastAsia="Garamond" w:hAnsi="Garamond" w:cs="Garamond"/>
          <w:color w:val="000000" w:themeColor="text1"/>
        </w:rPr>
        <w:t>Ialongo</w:t>
      </w:r>
      <w:proofErr w:type="spellEnd"/>
      <w:r w:rsidRPr="1508864B">
        <w:rPr>
          <w:rFonts w:ascii="Garamond" w:eastAsia="Garamond" w:hAnsi="Garamond" w:cs="Garamond"/>
          <w:color w:val="000000" w:themeColor="text1"/>
        </w:rPr>
        <w:t xml:space="preserve"> et al., 2020).</w:t>
      </w:r>
    </w:p>
    <w:p w14:paraId="0000002A" w14:textId="77777777" w:rsidR="007F0CF5" w:rsidRDefault="007F0CF5">
      <w:pPr>
        <w:spacing w:after="0" w:line="240" w:lineRule="auto"/>
        <w:rPr>
          <w:rFonts w:ascii="Garamond" w:eastAsia="Garamond" w:hAnsi="Garamond" w:cs="Garamond"/>
        </w:rPr>
      </w:pPr>
    </w:p>
    <w:p w14:paraId="0000002B"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Although research suggests that some EO products are highly correlated with ground-based measurements, often more information is needed to predict surface </w:t>
      </w:r>
      <w:r>
        <w:rPr>
          <w:rFonts w:ascii="Garamond" w:eastAsia="Garamond" w:hAnsi="Garamond" w:cs="Garamond"/>
          <w:color w:val="000000"/>
        </w:rPr>
        <w:t>O</w:t>
      </w:r>
      <w:r>
        <w:rPr>
          <w:rFonts w:ascii="Garamond" w:eastAsia="Garamond" w:hAnsi="Garamond" w:cs="Garamond"/>
          <w:color w:val="000000"/>
          <w:sz w:val="17"/>
          <w:szCs w:val="17"/>
          <w:vertAlign w:val="subscript"/>
        </w:rPr>
        <w:t>3</w:t>
      </w:r>
      <w:r>
        <w:rPr>
          <w:rFonts w:ascii="Garamond" w:eastAsia="Garamond" w:hAnsi="Garamond" w:cs="Garamond"/>
        </w:rPr>
        <w:t>. Ozone precursors like nitrogen dioxide (NO</w:t>
      </w:r>
      <w:r>
        <w:rPr>
          <w:rFonts w:ascii="Garamond" w:eastAsia="Garamond" w:hAnsi="Garamond" w:cs="Garamond"/>
          <w:sz w:val="17"/>
          <w:szCs w:val="17"/>
          <w:vertAlign w:val="subscript"/>
        </w:rPr>
        <w:t>2</w:t>
      </w:r>
      <w:r>
        <w:rPr>
          <w:rFonts w:ascii="Garamond" w:eastAsia="Garamond" w:hAnsi="Garamond" w:cs="Garamond"/>
        </w:rPr>
        <w:t>), methane (CH</w:t>
      </w:r>
      <w:r>
        <w:rPr>
          <w:rFonts w:ascii="Garamond" w:eastAsia="Garamond" w:hAnsi="Garamond" w:cs="Garamond"/>
          <w:sz w:val="17"/>
          <w:szCs w:val="17"/>
          <w:vertAlign w:val="subscript"/>
        </w:rPr>
        <w:t>4</w:t>
      </w:r>
      <w:r>
        <w:rPr>
          <w:rFonts w:ascii="Garamond" w:eastAsia="Garamond" w:hAnsi="Garamond" w:cs="Garamond"/>
        </w:rPr>
        <w:t>), carbon monoxide (CO), formaldehyde (HCHO), and fine particulate matter (PM2.5) are often utilized in investigations of ozone (EPA, 2021). Furthermore, many research studies utilize meteorological, in-situ, and land-use variables. For example, Random Forest (RF) regression models have been used to predict ground-level ozone from satellite-derived and in-situ variables with a strong agreement between predictions and observations (Wang et al., 2022). These models shed light on the emissions and weather scenarios that lead to surface ozone formation.</w:t>
      </w:r>
    </w:p>
    <w:p w14:paraId="0000002C" w14:textId="77777777" w:rsidR="007F0CF5" w:rsidRDefault="007F0CF5">
      <w:pPr>
        <w:spacing w:after="0" w:line="240" w:lineRule="auto"/>
        <w:rPr>
          <w:rFonts w:ascii="Garamond" w:eastAsia="Garamond" w:hAnsi="Garamond" w:cs="Garamond"/>
          <w:color w:val="000000"/>
        </w:rPr>
      </w:pPr>
    </w:p>
    <w:p w14:paraId="0000002D" w14:textId="1865BC99" w:rsidR="007F0CF5" w:rsidRDefault="0F2829D8" w:rsidP="1508864B">
      <w:pPr>
        <w:spacing w:after="0" w:line="240" w:lineRule="auto"/>
        <w:rPr>
          <w:rFonts w:ascii="Garamond" w:eastAsia="Garamond" w:hAnsi="Garamond" w:cs="Garamond"/>
        </w:rPr>
      </w:pPr>
      <w:r w:rsidRPr="1508864B">
        <w:rPr>
          <w:rFonts w:ascii="Garamond" w:eastAsia="Garamond" w:hAnsi="Garamond" w:cs="Garamond"/>
        </w:rPr>
        <w:t xml:space="preserve">Emission transport models are also important tools for air quality </w:t>
      </w:r>
      <w:r w:rsidR="006B773B" w:rsidRPr="1508864B">
        <w:rPr>
          <w:rFonts w:ascii="Garamond" w:eastAsia="Garamond" w:hAnsi="Garamond" w:cs="Garamond"/>
        </w:rPr>
        <w:t>regulation and</w:t>
      </w:r>
      <w:r w:rsidRPr="1508864B">
        <w:rPr>
          <w:rFonts w:ascii="Garamond" w:eastAsia="Garamond" w:hAnsi="Garamond" w:cs="Garamond"/>
        </w:rPr>
        <w:t xml:space="preserve"> are necessary for identifying potential emission source locations for air pollutants. Since air pollutants can travel long distances, to track their source, researchers have developed publicly available models, including the National Oceanic and Atmospheric Administration (NOAA) Hybrid Single-Particle </w:t>
      </w:r>
      <w:proofErr w:type="spellStart"/>
      <w:r w:rsidRPr="1508864B">
        <w:rPr>
          <w:rFonts w:ascii="Garamond" w:eastAsia="Garamond" w:hAnsi="Garamond" w:cs="Garamond"/>
        </w:rPr>
        <w:t>Lagrangian</w:t>
      </w:r>
      <w:proofErr w:type="spellEnd"/>
      <w:r w:rsidRPr="1508864B">
        <w:rPr>
          <w:rFonts w:ascii="Garamond" w:eastAsia="Garamond" w:hAnsi="Garamond" w:cs="Garamond"/>
        </w:rPr>
        <w:t xml:space="preserve"> Integrated Trajectory model (HYSPLIT). This model provides forward and back trajectories, generating statistically likely paths of particles at specific times and locations (</w:t>
      </w:r>
      <w:proofErr w:type="spellStart"/>
      <w:r w:rsidRPr="1508864B">
        <w:rPr>
          <w:rFonts w:ascii="Garamond" w:eastAsia="Garamond" w:hAnsi="Garamond" w:cs="Garamond"/>
        </w:rPr>
        <w:t>Crosman</w:t>
      </w:r>
      <w:proofErr w:type="spellEnd"/>
      <w:r w:rsidRPr="1508864B">
        <w:rPr>
          <w:rFonts w:ascii="Garamond" w:eastAsia="Garamond" w:hAnsi="Garamond" w:cs="Garamond"/>
        </w:rPr>
        <w:t>, 2021; Stein et al., 2015).</w:t>
      </w:r>
      <w:r w:rsidRPr="1508864B">
        <w:rPr>
          <w:rFonts w:ascii="Garamond" w:eastAsia="Garamond" w:hAnsi="Garamond" w:cs="Garamond"/>
          <w:color w:val="000000" w:themeColor="text1"/>
        </w:rPr>
        <w:t xml:space="preserve"> </w:t>
      </w:r>
      <w:r w:rsidRPr="1508864B">
        <w:rPr>
          <w:rFonts w:ascii="Garamond" w:eastAsia="Garamond" w:hAnsi="Garamond" w:cs="Garamond"/>
        </w:rPr>
        <w:t>HYSPLIT modeling, together with the qualitative EO data analysis and ground level ozone spike modeling from other data sources, can identify potential sources of particles. (</w:t>
      </w:r>
      <w:r w:rsidRPr="1508864B">
        <w:rPr>
          <w:rFonts w:ascii="Garamond" w:eastAsia="Garamond" w:hAnsi="Garamond" w:cs="Garamond"/>
          <w:color w:val="222222"/>
        </w:rPr>
        <w:t>Stein et al., 2015</w:t>
      </w:r>
      <w:r w:rsidRPr="1508864B">
        <w:rPr>
          <w:rFonts w:ascii="Garamond" w:eastAsia="Garamond" w:hAnsi="Garamond" w:cs="Garamond"/>
        </w:rPr>
        <w:t>).</w:t>
      </w:r>
    </w:p>
    <w:p w14:paraId="0000002E" w14:textId="77777777" w:rsidR="007F0CF5" w:rsidRDefault="007F0CF5">
      <w:pPr>
        <w:spacing w:after="0" w:line="240" w:lineRule="auto"/>
        <w:rPr>
          <w:rFonts w:ascii="Garamond" w:eastAsia="Garamond" w:hAnsi="Garamond" w:cs="Garamond"/>
          <w:color w:val="000000"/>
        </w:rPr>
      </w:pPr>
    </w:p>
    <w:p w14:paraId="60E92C1A" w14:textId="7936FDD7" w:rsidR="007F0CF5" w:rsidRDefault="0F2829D8" w:rsidP="1508864B">
      <w:pPr>
        <w:spacing w:after="0" w:line="240" w:lineRule="auto"/>
        <w:rPr>
          <w:rFonts w:ascii="Garamond" w:eastAsia="Garamond" w:hAnsi="Garamond" w:cs="Garamond"/>
          <w:color w:val="000000" w:themeColor="text1"/>
        </w:rPr>
      </w:pPr>
      <w:r w:rsidRPr="1508864B">
        <w:rPr>
          <w:rFonts w:ascii="Garamond" w:eastAsia="Garamond" w:hAnsi="Garamond" w:cs="Garamond"/>
          <w:i/>
          <w:iCs/>
        </w:rPr>
        <w:t>2.1.1. Study Area</w:t>
      </w:r>
    </w:p>
    <w:p w14:paraId="0000002F" w14:textId="65C780C2"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This study encompassed Oklahoma and seven surrounding states: Texas, New Mexico, Colorado, Kansas, Missouri, Arkansas, and Louisiana (Figure 2). The study period was May 2018 through August 2018, covering the recorded ozone spike dates, as identified by the DEQ (</w:t>
      </w:r>
      <w:r w:rsidRPr="1508864B">
        <w:rPr>
          <w:rFonts w:ascii="Garamond" w:eastAsia="Garamond" w:hAnsi="Garamond" w:cs="Garamond"/>
        </w:rPr>
        <w:t>May 26, May 30, June 5, July 17-19, July 22, July 28, and August 2-3, 2018),</w:t>
      </w:r>
      <w:r w:rsidRPr="1508864B">
        <w:rPr>
          <w:rFonts w:ascii="Garamond" w:eastAsia="Garamond" w:hAnsi="Garamond" w:cs="Garamond"/>
          <w:color w:val="000000" w:themeColor="text1"/>
        </w:rPr>
        <w:t xml:space="preserve"> and allowing for the investigation of the days leading up to spike dates.</w:t>
      </w:r>
    </w:p>
    <w:p w14:paraId="00000030" w14:textId="77777777" w:rsidR="007F0CF5" w:rsidRDefault="007F0CF5">
      <w:pPr>
        <w:spacing w:after="0" w:line="240" w:lineRule="auto"/>
        <w:rPr>
          <w:rFonts w:ascii="Garamond" w:eastAsia="Garamond" w:hAnsi="Garamond" w:cs="Garamond"/>
          <w:color w:val="000000"/>
        </w:rPr>
      </w:pPr>
    </w:p>
    <w:p w14:paraId="00000031" w14:textId="77777777" w:rsidR="007F0CF5" w:rsidRDefault="00652E1B">
      <w:pPr>
        <w:keepNext/>
        <w:spacing w:after="160" w:line="259" w:lineRule="auto"/>
        <w:jc w:val="center"/>
        <w:rPr>
          <w:rFonts w:ascii="Garamond" w:eastAsia="Garamond" w:hAnsi="Garamond" w:cs="Garamond"/>
        </w:rPr>
      </w:pPr>
      <w:r>
        <w:rPr>
          <w:noProof/>
        </w:rPr>
        <w:lastRenderedPageBreak/>
        <w:drawing>
          <wp:inline distT="0" distB="0" distL="0" distR="0" wp14:anchorId="3D1A30D0" wp14:editId="30CF6FA2">
            <wp:extent cx="6041194" cy="1988560"/>
            <wp:effectExtent l="0" t="0" r="0" b="0"/>
            <wp:docPr id="21274860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6041194" cy="1988560"/>
                    </a:xfrm>
                    <a:prstGeom prst="rect">
                      <a:avLst/>
                    </a:prstGeom>
                    <a:ln/>
                  </pic:spPr>
                </pic:pic>
              </a:graphicData>
            </a:graphic>
          </wp:inline>
        </w:drawing>
      </w:r>
    </w:p>
    <w:p w14:paraId="00000032" w14:textId="77777777" w:rsidR="007F0CF5" w:rsidRDefault="00652E1B" w:rsidP="00046893">
      <w:pPr>
        <w:pBdr>
          <w:top w:val="nil"/>
          <w:left w:val="nil"/>
          <w:bottom w:val="nil"/>
          <w:right w:val="nil"/>
          <w:between w:val="nil"/>
        </w:pBdr>
        <w:spacing w:line="240" w:lineRule="auto"/>
        <w:jc w:val="center"/>
        <w:rPr>
          <w:rFonts w:ascii="Garamond" w:eastAsia="Garamond" w:hAnsi="Garamond" w:cs="Garamond"/>
          <w:color w:val="000000"/>
        </w:rPr>
      </w:pPr>
      <w:r>
        <w:rPr>
          <w:rFonts w:ascii="Garamond" w:eastAsia="Garamond" w:hAnsi="Garamond" w:cs="Garamond"/>
          <w:i/>
          <w:color w:val="000000"/>
        </w:rPr>
        <w:t xml:space="preserve">Figure 2. </w:t>
      </w:r>
      <w:r>
        <w:rPr>
          <w:rFonts w:ascii="Garamond" w:eastAsia="Garamond" w:hAnsi="Garamond" w:cs="Garamond"/>
          <w:color w:val="000000"/>
        </w:rPr>
        <w:t xml:space="preserve">The study area encompassed Oklahoma and the bordering states, shaded in green.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is a small, rural town located in Northwest Oklahoma. </w:t>
      </w:r>
    </w:p>
    <w:p w14:paraId="00000033" w14:textId="77777777" w:rsidR="007F0CF5" w:rsidRDefault="00652E1B">
      <w:pPr>
        <w:spacing w:after="0" w:line="240" w:lineRule="auto"/>
        <w:rPr>
          <w:rFonts w:ascii="Garamond" w:eastAsia="Garamond" w:hAnsi="Garamond" w:cs="Garamond"/>
        </w:rPr>
      </w:pPr>
      <w:r>
        <w:rPr>
          <w:rFonts w:ascii="Garamond" w:eastAsia="Garamond" w:hAnsi="Garamond" w:cs="Garamond"/>
          <w:b/>
          <w:i/>
        </w:rPr>
        <w:t xml:space="preserve">2.2 Project Partners &amp; Objectives </w:t>
      </w:r>
    </w:p>
    <w:p w14:paraId="00000034" w14:textId="62B201BA"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Our team partnered with the Oklahoma DEQ to investigate the sources of ozone and its precursors in Oklahoma and surrounding states. The DEQ tracks air quality measurements using ground-based stations and does not utilize NASA or other EO data in their monitoring or analysis of air quality.  The objective of this analysis was to investigate the 2018 air quality anomalies and to better identify emission scenarios that might have contributed to these spikes. The work conducted during the term aided the DEQ in filling gaps in their ground monitoring network and can be used to guide future regulatory and monitoring policies.   </w:t>
      </w:r>
    </w:p>
    <w:p w14:paraId="00000035" w14:textId="77777777" w:rsidR="007F0CF5" w:rsidRDefault="007F0CF5">
      <w:pPr>
        <w:spacing w:after="160" w:line="259" w:lineRule="auto"/>
        <w:rPr>
          <w:rFonts w:ascii="Garamond" w:eastAsia="Garamond" w:hAnsi="Garamond" w:cs="Garamond"/>
          <w:color w:val="000000"/>
        </w:rPr>
      </w:pPr>
    </w:p>
    <w:p w14:paraId="00000036" w14:textId="77777777" w:rsidR="007F0CF5" w:rsidRDefault="00652E1B">
      <w:pPr>
        <w:pStyle w:val="Heading1"/>
        <w:spacing w:before="0" w:line="240" w:lineRule="auto"/>
        <w:rPr>
          <w:rFonts w:ascii="Garamond" w:eastAsia="Garamond" w:hAnsi="Garamond" w:cs="Garamond"/>
          <w:highlight w:val="cyan"/>
        </w:rPr>
      </w:pPr>
      <w:bookmarkStart w:id="1" w:name="_heading=h.30j0zll" w:colFirst="0" w:colLast="0"/>
      <w:bookmarkEnd w:id="1"/>
      <w:r>
        <w:rPr>
          <w:rFonts w:ascii="Garamond" w:eastAsia="Garamond" w:hAnsi="Garamond" w:cs="Garamond"/>
        </w:rPr>
        <w:t>3. Methodology</w:t>
      </w:r>
    </w:p>
    <w:p w14:paraId="00000037" w14:textId="77777777" w:rsidR="007F0CF5" w:rsidRDefault="00652E1B">
      <w:pPr>
        <w:spacing w:after="0" w:line="240" w:lineRule="auto"/>
        <w:rPr>
          <w:rFonts w:ascii="Garamond" w:eastAsia="Garamond" w:hAnsi="Garamond" w:cs="Garamond"/>
          <w:b/>
          <w:i/>
        </w:rPr>
      </w:pPr>
      <w:r>
        <w:rPr>
          <w:rFonts w:ascii="Garamond" w:eastAsia="Garamond" w:hAnsi="Garamond" w:cs="Garamond"/>
          <w:b/>
          <w:i/>
        </w:rPr>
        <w:t>3.1 Data Acquisition</w:t>
      </w:r>
    </w:p>
    <w:p w14:paraId="00000038" w14:textId="4480EB22"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Our team at JPL downloaded all EO data products (Table 1) throughout the study range, May 10 to August 10, 2018. We acquired the products through the NASA Earth data portal and Google Earth Engine. We then clipped all EO data products to a rectangle encompassing the study area shown in Figure 2. </w:t>
      </w:r>
    </w:p>
    <w:p w14:paraId="00000039" w14:textId="77777777" w:rsidR="007F0CF5" w:rsidRDefault="007F0CF5">
      <w:pPr>
        <w:spacing w:after="0" w:line="240" w:lineRule="auto"/>
        <w:rPr>
          <w:rFonts w:ascii="Garamond" w:eastAsia="Garamond" w:hAnsi="Garamond" w:cs="Garamond"/>
        </w:rPr>
      </w:pPr>
    </w:p>
    <w:p w14:paraId="0000003A" w14:textId="77777777" w:rsidR="007F0CF5" w:rsidRDefault="00652E1B">
      <w:pPr>
        <w:spacing w:after="0" w:line="240" w:lineRule="auto"/>
        <w:rPr>
          <w:rFonts w:ascii="Garamond" w:eastAsia="Garamond" w:hAnsi="Garamond" w:cs="Garamond"/>
          <w:i/>
        </w:rPr>
      </w:pPr>
      <w:r>
        <w:rPr>
          <w:rFonts w:ascii="Garamond" w:eastAsia="Garamond" w:hAnsi="Garamond" w:cs="Garamond"/>
          <w:i/>
        </w:rPr>
        <w:t>3.1.1. Earth Observation Data</w:t>
      </w:r>
    </w:p>
    <w:p w14:paraId="0000003B" w14:textId="060E1F12" w:rsidR="007F0CF5" w:rsidRDefault="0F2829D8">
      <w:pPr>
        <w:spacing w:after="0" w:line="240" w:lineRule="auto"/>
        <w:rPr>
          <w:rFonts w:ascii="Garamond" w:eastAsia="Garamond" w:hAnsi="Garamond" w:cs="Garamond"/>
        </w:rPr>
      </w:pPr>
      <w:r w:rsidRPr="6D285181">
        <w:rPr>
          <w:rFonts w:ascii="Garamond" w:eastAsia="Garamond" w:hAnsi="Garamond" w:cs="Garamond"/>
        </w:rPr>
        <w:t>The TROPOMI and MODIS instruments utilize a passive imaging spectrometer to measure chemical species in the atmosphere with a spatial sampling resolution of 7km</w:t>
      </w:r>
      <w:r w:rsidRPr="6D285181">
        <w:rPr>
          <w:rFonts w:ascii="Garamond" w:eastAsia="Garamond" w:hAnsi="Garamond" w:cs="Garamond"/>
          <w:vertAlign w:val="superscript"/>
        </w:rPr>
        <w:t xml:space="preserve"> </w:t>
      </w:r>
      <w:r w:rsidRPr="6D285181">
        <w:rPr>
          <w:rFonts w:ascii="Garamond" w:eastAsia="Garamond" w:hAnsi="Garamond" w:cs="Garamond"/>
        </w:rPr>
        <w:t>and 10km, respectively.  Prior to downloading and analysis, we time-ordered, geolocated, and radiometrically corrected the data. We then included NO</w:t>
      </w:r>
      <w:r w:rsidRPr="6D285181">
        <w:rPr>
          <w:rFonts w:ascii="Garamond" w:eastAsia="Garamond" w:hAnsi="Garamond" w:cs="Garamond"/>
          <w:vertAlign w:val="subscript"/>
        </w:rPr>
        <w:t>2</w:t>
      </w:r>
      <w:r w:rsidRPr="6D285181">
        <w:rPr>
          <w:rFonts w:ascii="Garamond" w:eastAsia="Garamond" w:hAnsi="Garamond" w:cs="Garamond"/>
        </w:rPr>
        <w:t>, a</w:t>
      </w:r>
      <w:r w:rsidR="1508864B" w:rsidRPr="6D285181">
        <w:rPr>
          <w:rFonts w:ascii="Garamond" w:eastAsia="Garamond" w:hAnsi="Garamond" w:cs="Garamond"/>
        </w:rPr>
        <w:t>erosol optical depth (AOD)</w:t>
      </w:r>
      <w:r w:rsidRPr="6D285181">
        <w:rPr>
          <w:rFonts w:ascii="Garamond" w:eastAsia="Garamond" w:hAnsi="Garamond" w:cs="Garamond"/>
        </w:rPr>
        <w:t>, CO, HCHO, and O</w:t>
      </w:r>
      <w:r w:rsidRPr="6D285181">
        <w:rPr>
          <w:rFonts w:ascii="Garamond" w:eastAsia="Garamond" w:hAnsi="Garamond" w:cs="Garamond"/>
          <w:vertAlign w:val="subscript"/>
        </w:rPr>
        <w:t xml:space="preserve">3 </w:t>
      </w:r>
      <w:r w:rsidRPr="6D285181">
        <w:rPr>
          <w:rFonts w:ascii="Garamond" w:eastAsia="Garamond" w:hAnsi="Garamond" w:cs="Garamond"/>
        </w:rPr>
        <w:t xml:space="preserve">column concentrations in this investigation, given that they are relevant in the ozone formation process, and serve as indicators of anthropogenic activity. Next, we team selected tropospheric column concentrations when available, as the troposphere exhibits similarities to ground pollutant concentrations. Where tropospheric column concentrations were not available, we selected total column concentrations. </w:t>
      </w:r>
    </w:p>
    <w:p w14:paraId="0000003C" w14:textId="77777777" w:rsidR="007F0CF5" w:rsidRDefault="007F0CF5">
      <w:pPr>
        <w:spacing w:after="0" w:line="240" w:lineRule="auto"/>
        <w:rPr>
          <w:rFonts w:ascii="Garamond" w:eastAsia="Garamond" w:hAnsi="Garamond" w:cs="Garamond"/>
        </w:rPr>
      </w:pPr>
    </w:p>
    <w:p w14:paraId="0000003D" w14:textId="474B71CD" w:rsidR="007F0CF5" w:rsidRDefault="0F2829D8">
      <w:pPr>
        <w:spacing w:after="0" w:line="240" w:lineRule="auto"/>
        <w:rPr>
          <w:rFonts w:ascii="Garamond" w:eastAsia="Garamond" w:hAnsi="Garamond" w:cs="Garamond"/>
        </w:rPr>
      </w:pPr>
      <w:r w:rsidRPr="1508864B">
        <w:rPr>
          <w:rFonts w:ascii="Garamond" w:eastAsia="Garamond" w:hAnsi="Garamond" w:cs="Garamond"/>
          <w:color w:val="212529"/>
          <w:sz w:val="24"/>
          <w:szCs w:val="24"/>
        </w:rPr>
        <w:t>Global Land Data Assimilation System (GLDAS)</w:t>
      </w:r>
      <w:r w:rsidRPr="1508864B">
        <w:rPr>
          <w:rFonts w:ascii="Garamond" w:eastAsia="Garamond" w:hAnsi="Garamond" w:cs="Garamond"/>
        </w:rPr>
        <w:t xml:space="preserve"> uses models to assimilate satellite and in-situ data to produce global datasets at 1km resolution. Our team derived air temperature, humidity, wind speed, and dew point temperature from GLDAS (</w:t>
      </w:r>
      <w:proofErr w:type="spellStart"/>
      <w:r w:rsidRPr="1508864B">
        <w:rPr>
          <w:rFonts w:ascii="Garamond" w:eastAsia="Garamond" w:hAnsi="Garamond" w:cs="Garamond"/>
        </w:rPr>
        <w:t>Rodell</w:t>
      </w:r>
      <w:proofErr w:type="spellEnd"/>
      <w:r w:rsidRPr="1508864B">
        <w:rPr>
          <w:rFonts w:ascii="Garamond" w:eastAsia="Garamond" w:hAnsi="Garamond" w:cs="Garamond"/>
        </w:rPr>
        <w:t xml:space="preserve"> et. al., 2004). Then we derived multispectral data from Sentinel-2 and the Landsat EOS from passive sensors which collect reflectance data across the light spectrum and store data in bands according to wavelength. D</w:t>
      </w:r>
      <w:r w:rsidRPr="1508864B">
        <w:rPr>
          <w:rFonts w:ascii="Garamond" w:eastAsia="Garamond" w:hAnsi="Garamond" w:cs="Garamond"/>
          <w:color w:val="000000" w:themeColor="text1"/>
        </w:rPr>
        <w:t xml:space="preserve">ominant </w:t>
      </w:r>
      <w:r w:rsidRPr="1508864B">
        <w:rPr>
          <w:rFonts w:ascii="Garamond" w:eastAsia="Garamond" w:hAnsi="Garamond" w:cs="Garamond"/>
        </w:rPr>
        <w:t>land cover</w:t>
      </w:r>
      <w:r w:rsidRPr="1508864B">
        <w:rPr>
          <w:rFonts w:ascii="Garamond" w:eastAsia="Garamond" w:hAnsi="Garamond" w:cs="Garamond"/>
          <w:color w:val="000000" w:themeColor="text1"/>
        </w:rPr>
        <w:t xml:space="preserve"> type from the National Land Cover Database (NLCD, 2016) and the normalized difference vegetation index (NDVI) from the Multispectral Instrument (MSI) onboard </w:t>
      </w:r>
      <w:r w:rsidRPr="1508864B">
        <w:rPr>
          <w:rFonts w:ascii="Garamond" w:eastAsia="Garamond" w:hAnsi="Garamond" w:cs="Garamond"/>
        </w:rPr>
        <w:t>Sentinel-2</w:t>
      </w:r>
      <w:r w:rsidRPr="1508864B">
        <w:rPr>
          <w:rFonts w:ascii="Garamond" w:eastAsia="Garamond" w:hAnsi="Garamond" w:cs="Garamond"/>
          <w:color w:val="000000" w:themeColor="text1"/>
        </w:rPr>
        <w:t xml:space="preserve"> were also utilized. Additionally, we utilized </w:t>
      </w:r>
      <w:r w:rsidRPr="1508864B">
        <w:rPr>
          <w:rFonts w:ascii="Garamond" w:eastAsia="Garamond" w:hAnsi="Garamond" w:cs="Garamond"/>
        </w:rPr>
        <w:t xml:space="preserve">the products of the Shuttle Radar Topography Mission (SRTM), an active sensor which utilizes microwave emissions to collect backscatter at a defined wavelength </w:t>
      </w:r>
      <w:proofErr w:type="gramStart"/>
      <w:r w:rsidRPr="1508864B">
        <w:rPr>
          <w:rFonts w:ascii="Garamond" w:eastAsia="Garamond" w:hAnsi="Garamond" w:cs="Garamond"/>
        </w:rPr>
        <w:t>in order to</w:t>
      </w:r>
      <w:proofErr w:type="gramEnd"/>
      <w:r w:rsidRPr="1508864B">
        <w:rPr>
          <w:rFonts w:ascii="Garamond" w:eastAsia="Garamond" w:hAnsi="Garamond" w:cs="Garamond"/>
        </w:rPr>
        <w:t xml:space="preserve"> map surface features for elevation.</w:t>
      </w:r>
    </w:p>
    <w:p w14:paraId="0000003E" w14:textId="77777777" w:rsidR="007F0CF5" w:rsidRDefault="007F0CF5">
      <w:pPr>
        <w:spacing w:after="0" w:line="240" w:lineRule="auto"/>
        <w:rPr>
          <w:rFonts w:ascii="Garamond" w:eastAsia="Garamond" w:hAnsi="Garamond" w:cs="Garamond"/>
        </w:rPr>
      </w:pPr>
    </w:p>
    <w:p w14:paraId="0000003F" w14:textId="77777777" w:rsidR="007F0CF5" w:rsidRDefault="00652E1B">
      <w:pPr>
        <w:spacing w:after="0" w:line="240" w:lineRule="auto"/>
        <w:rPr>
          <w:rFonts w:ascii="Garamond" w:eastAsia="Garamond" w:hAnsi="Garamond" w:cs="Garamond"/>
        </w:rPr>
      </w:pPr>
      <w:r>
        <w:rPr>
          <w:rFonts w:ascii="Garamond" w:eastAsia="Garamond" w:hAnsi="Garamond" w:cs="Garamond"/>
        </w:rPr>
        <w:t>Table 1</w:t>
      </w:r>
    </w:p>
    <w:p w14:paraId="00000040" w14:textId="5B0BE8A2" w:rsidR="007F0CF5" w:rsidRDefault="00652E1B">
      <w:pPr>
        <w:spacing w:after="0" w:line="240" w:lineRule="auto"/>
        <w:rPr>
          <w:rFonts w:ascii="Garamond" w:eastAsia="Garamond" w:hAnsi="Garamond" w:cs="Garamond"/>
          <w:i/>
        </w:rPr>
      </w:pPr>
      <w:r>
        <w:rPr>
          <w:rFonts w:ascii="Garamond" w:eastAsia="Garamond" w:hAnsi="Garamond" w:cs="Garamond"/>
          <w:i/>
        </w:rPr>
        <w:lastRenderedPageBreak/>
        <w:t xml:space="preserve">Earth </w:t>
      </w:r>
      <w:r w:rsidR="006B773B">
        <w:rPr>
          <w:rFonts w:ascii="Garamond" w:eastAsia="Garamond" w:hAnsi="Garamond" w:cs="Garamond"/>
          <w:i/>
        </w:rPr>
        <w:t>o</w:t>
      </w:r>
      <w:r>
        <w:rPr>
          <w:rFonts w:ascii="Garamond" w:eastAsia="Garamond" w:hAnsi="Garamond" w:cs="Garamond"/>
          <w:i/>
        </w:rPr>
        <w:t xml:space="preserve">bservations, </w:t>
      </w:r>
      <w:r w:rsidR="006B773B">
        <w:rPr>
          <w:rFonts w:ascii="Garamond" w:eastAsia="Garamond" w:hAnsi="Garamond" w:cs="Garamond"/>
          <w:i/>
        </w:rPr>
        <w:t>d</w:t>
      </w:r>
      <w:r>
        <w:rPr>
          <w:rFonts w:ascii="Garamond" w:eastAsia="Garamond" w:hAnsi="Garamond" w:cs="Garamond"/>
          <w:i/>
        </w:rPr>
        <w:t xml:space="preserve">ata </w:t>
      </w:r>
      <w:r w:rsidR="006B773B">
        <w:rPr>
          <w:rFonts w:ascii="Garamond" w:eastAsia="Garamond" w:hAnsi="Garamond" w:cs="Garamond"/>
          <w:i/>
        </w:rPr>
        <w:t>p</w:t>
      </w:r>
      <w:r>
        <w:rPr>
          <w:rFonts w:ascii="Garamond" w:eastAsia="Garamond" w:hAnsi="Garamond" w:cs="Garamond"/>
          <w:i/>
        </w:rPr>
        <w:t xml:space="preserve">roducts and </w:t>
      </w:r>
      <w:r w:rsidR="006B773B">
        <w:rPr>
          <w:rFonts w:ascii="Garamond" w:eastAsia="Garamond" w:hAnsi="Garamond" w:cs="Garamond"/>
          <w:i/>
        </w:rPr>
        <w:t>s</w:t>
      </w:r>
      <w:r>
        <w:rPr>
          <w:rFonts w:ascii="Garamond" w:eastAsia="Garamond" w:hAnsi="Garamond" w:cs="Garamond"/>
          <w:i/>
        </w:rPr>
        <w:t xml:space="preserve">ource </w:t>
      </w:r>
      <w:r w:rsidR="006B773B">
        <w:rPr>
          <w:rFonts w:ascii="Garamond" w:eastAsia="Garamond" w:hAnsi="Garamond" w:cs="Garamond"/>
          <w:i/>
        </w:rPr>
        <w:t>o</w:t>
      </w:r>
      <w:r>
        <w:rPr>
          <w:rFonts w:ascii="Garamond" w:eastAsia="Garamond" w:hAnsi="Garamond" w:cs="Garamond"/>
          <w:i/>
        </w:rPr>
        <w:t xml:space="preserve">verview  </w:t>
      </w:r>
    </w:p>
    <w:tbl>
      <w:tblPr>
        <w:tblStyle w:val="af6"/>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6300"/>
        <w:gridCol w:w="1470"/>
      </w:tblGrid>
      <w:tr w:rsidR="007F0CF5" w14:paraId="7731A029" w14:textId="77777777" w:rsidTr="1508864B">
        <w:trPr>
          <w:trHeight w:val="525"/>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0000041" w14:textId="77777777" w:rsidR="007F0CF5" w:rsidRDefault="00652E1B">
            <w:pPr>
              <w:jc w:val="center"/>
              <w:rPr>
                <w:rFonts w:ascii="Garamond" w:eastAsia="Garamond" w:hAnsi="Garamond" w:cs="Garamond"/>
                <w:color w:val="FFFFFF"/>
              </w:rPr>
            </w:pPr>
            <w:r>
              <w:rPr>
                <w:rFonts w:ascii="Garamond" w:eastAsia="Garamond" w:hAnsi="Garamond" w:cs="Garamond"/>
                <w:b/>
                <w:color w:val="FFFFFF"/>
              </w:rPr>
              <w:t>Platform &amp; Sensor</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0000042" w14:textId="77777777" w:rsidR="007F0CF5" w:rsidRDefault="00652E1B">
            <w:pPr>
              <w:jc w:val="center"/>
              <w:rPr>
                <w:rFonts w:ascii="Garamond" w:eastAsia="Garamond" w:hAnsi="Garamond" w:cs="Garamond"/>
                <w:b/>
                <w:color w:val="FFFFFF"/>
              </w:rPr>
            </w:pPr>
            <w:r>
              <w:rPr>
                <w:rFonts w:ascii="Garamond" w:eastAsia="Garamond" w:hAnsi="Garamond" w:cs="Garamond"/>
                <w:b/>
                <w:color w:val="FFFFFF"/>
              </w:rPr>
              <w:t>Products</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0000043" w14:textId="77777777" w:rsidR="007F0CF5" w:rsidRDefault="00652E1B">
            <w:pPr>
              <w:jc w:val="center"/>
              <w:rPr>
                <w:rFonts w:ascii="Garamond" w:eastAsia="Garamond" w:hAnsi="Garamond" w:cs="Garamond"/>
                <w:b/>
                <w:color w:val="FFFFFF"/>
              </w:rPr>
            </w:pPr>
            <w:r>
              <w:rPr>
                <w:rFonts w:ascii="Garamond" w:eastAsia="Garamond" w:hAnsi="Garamond" w:cs="Garamond"/>
                <w:b/>
                <w:color w:val="FFFFFF"/>
              </w:rPr>
              <w:t>Download Source</w:t>
            </w:r>
          </w:p>
        </w:tc>
      </w:tr>
      <w:tr w:rsidR="007F0CF5" w14:paraId="2BC2C3F8" w14:textId="77777777" w:rsidTr="1508864B">
        <w:trPr>
          <w:trHeight w:val="129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4" w14:textId="77777777" w:rsidR="007F0CF5" w:rsidRDefault="00652E1B">
            <w:pPr>
              <w:rPr>
                <w:rFonts w:ascii="Garamond" w:eastAsia="Garamond" w:hAnsi="Garamond" w:cs="Garamond"/>
                <w:color w:val="000000"/>
              </w:rPr>
            </w:pPr>
            <w:r>
              <w:rPr>
                <w:rFonts w:ascii="Garamond" w:eastAsia="Garamond" w:hAnsi="Garamond" w:cs="Garamond"/>
                <w:b/>
                <w:color w:val="000000"/>
              </w:rPr>
              <w:t>Sentinel-5P TROPOMI</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5" w14:textId="5CFB770E" w:rsidR="007F0CF5" w:rsidRDefault="0F2829D8" w:rsidP="1508864B">
            <w:pPr>
              <w:pStyle w:val="Heading4"/>
              <w:outlineLvl w:val="3"/>
              <w:rPr>
                <w:rFonts w:ascii="Garamond" w:eastAsia="Garamond" w:hAnsi="Garamond" w:cs="Garamond"/>
                <w:i w:val="0"/>
                <w:iCs w:val="0"/>
                <w:color w:val="191A1B"/>
              </w:rPr>
            </w:pPr>
            <w:r w:rsidRPr="1508864B">
              <w:rPr>
                <w:rFonts w:ascii="Garamond" w:eastAsia="Garamond" w:hAnsi="Garamond" w:cs="Garamond"/>
                <w:i w:val="0"/>
                <w:iCs w:val="0"/>
                <w:color w:val="191A1B"/>
              </w:rPr>
              <w:t>Carbon Monoxide CO Column 1-Orbit L2 7km x 7km V1</w:t>
            </w:r>
          </w:p>
          <w:p w14:paraId="00000046" w14:textId="6D6B0BF5" w:rsidR="007F0CF5" w:rsidRDefault="0F2829D8" w:rsidP="1508864B">
            <w:pPr>
              <w:pStyle w:val="Heading4"/>
              <w:outlineLvl w:val="3"/>
              <w:rPr>
                <w:rFonts w:ascii="Garamond" w:eastAsia="Garamond" w:hAnsi="Garamond" w:cs="Garamond"/>
                <w:i w:val="0"/>
                <w:iCs w:val="0"/>
                <w:color w:val="auto"/>
              </w:rPr>
            </w:pPr>
            <w:r w:rsidRPr="1508864B">
              <w:rPr>
                <w:rFonts w:ascii="Garamond" w:eastAsia="Garamond" w:hAnsi="Garamond" w:cs="Garamond"/>
                <w:i w:val="0"/>
                <w:iCs w:val="0"/>
                <w:color w:val="auto"/>
              </w:rPr>
              <w:t>Tropospheric NO2 1-Orbit L2 7km x 3.5km V1</w:t>
            </w:r>
          </w:p>
          <w:p w14:paraId="00000047" w14:textId="77777777" w:rsidR="007F0CF5" w:rsidRDefault="00652E1B">
            <w:pPr>
              <w:pStyle w:val="Heading4"/>
              <w:outlineLvl w:val="3"/>
              <w:rPr>
                <w:rFonts w:ascii="Garamond" w:eastAsia="Garamond" w:hAnsi="Garamond" w:cs="Garamond"/>
                <w:i w:val="0"/>
                <w:color w:val="191A1B"/>
              </w:rPr>
            </w:pPr>
            <w:r>
              <w:rPr>
                <w:rFonts w:ascii="Garamond" w:eastAsia="Garamond" w:hAnsi="Garamond" w:cs="Garamond"/>
                <w:i w:val="0"/>
                <w:color w:val="191A1B"/>
              </w:rPr>
              <w:t>Total Ozone Column 1-Orbit L2 3.5km x 3.5km V1</w:t>
            </w:r>
          </w:p>
          <w:p w14:paraId="1781EBD2" w14:textId="488E891A" w:rsidR="007F0CF5" w:rsidRDefault="0F2829D8" w:rsidP="1508864B">
            <w:pPr>
              <w:rPr>
                <w:rFonts w:ascii="Garamond" w:eastAsia="Garamond" w:hAnsi="Garamond" w:cs="Garamond"/>
                <w:color w:val="000000" w:themeColor="text1"/>
                <w:sz w:val="21"/>
                <w:szCs w:val="21"/>
              </w:rPr>
            </w:pPr>
            <w:r w:rsidRPr="1508864B">
              <w:rPr>
                <w:rFonts w:ascii="Garamond" w:eastAsia="Garamond" w:hAnsi="Garamond" w:cs="Garamond"/>
                <w:color w:val="191A1B"/>
              </w:rPr>
              <w:t>Tropospheric Formaldehyde Column 1-Orbit L2 7km x 3.5km V1</w:t>
            </w:r>
          </w:p>
          <w:p w14:paraId="00000049" w14:textId="53D70637" w:rsidR="007F0CF5" w:rsidRDefault="0F2829D8">
            <w:pPr>
              <w:rPr>
                <w:rFonts w:ascii="Garamond" w:eastAsia="Garamond" w:hAnsi="Garamond" w:cs="Garamond"/>
                <w:color w:val="000000"/>
                <w:sz w:val="21"/>
                <w:szCs w:val="21"/>
              </w:rPr>
            </w:pPr>
            <w:r w:rsidRPr="1508864B">
              <w:rPr>
                <w:rFonts w:ascii="Garamond" w:eastAsia="Garamond" w:hAnsi="Garamond" w:cs="Garamond"/>
                <w:color w:val="000000" w:themeColor="text1"/>
                <w:sz w:val="21"/>
                <w:szCs w:val="21"/>
              </w:rPr>
              <w:t xml:space="preserve">Methane </w:t>
            </w:r>
            <w:r w:rsidRPr="1508864B">
              <w:rPr>
                <w:rFonts w:ascii="Garamond" w:eastAsia="Garamond" w:hAnsi="Garamond" w:cs="Garamond"/>
              </w:rPr>
              <w:t>CH</w:t>
            </w:r>
            <w:r w:rsidRPr="1508864B">
              <w:rPr>
                <w:rFonts w:ascii="Garamond" w:eastAsia="Garamond" w:hAnsi="Garamond" w:cs="Garamond"/>
                <w:color w:val="000000" w:themeColor="text1"/>
                <w:sz w:val="16"/>
                <w:szCs w:val="16"/>
                <w:vertAlign w:val="subscript"/>
              </w:rPr>
              <w:t xml:space="preserve">4 </w:t>
            </w:r>
            <w:r w:rsidRPr="1508864B">
              <w:rPr>
                <w:rFonts w:ascii="Garamond" w:eastAsia="Garamond" w:hAnsi="Garamond" w:cs="Garamond"/>
                <w:color w:val="000000" w:themeColor="text1"/>
                <w:sz w:val="21"/>
                <w:szCs w:val="21"/>
              </w:rPr>
              <w:t xml:space="preserve">1-Orbit L2 </w:t>
            </w:r>
            <w:r w:rsidRPr="1508864B">
              <w:rPr>
                <w:rFonts w:ascii="Garamond" w:eastAsia="Garamond" w:hAnsi="Garamond" w:cs="Garamond"/>
                <w:sz w:val="21"/>
                <w:szCs w:val="21"/>
              </w:rPr>
              <w:t>7</w:t>
            </w:r>
            <w:r w:rsidRPr="1508864B">
              <w:rPr>
                <w:rFonts w:ascii="Garamond" w:eastAsia="Garamond" w:hAnsi="Garamond" w:cs="Garamond"/>
                <w:color w:val="000000" w:themeColor="text1"/>
                <w:sz w:val="21"/>
                <w:szCs w:val="21"/>
              </w:rPr>
              <w:t xml:space="preserve">km x </w:t>
            </w:r>
            <w:r w:rsidRPr="1508864B">
              <w:rPr>
                <w:rFonts w:ascii="Garamond" w:eastAsia="Garamond" w:hAnsi="Garamond" w:cs="Garamond"/>
                <w:sz w:val="21"/>
                <w:szCs w:val="21"/>
              </w:rPr>
              <w:t>7 km</w:t>
            </w:r>
            <w:r w:rsidRPr="1508864B">
              <w:rPr>
                <w:rFonts w:ascii="Garamond" w:eastAsia="Garamond" w:hAnsi="Garamond" w:cs="Garamond"/>
                <w:color w:val="000000" w:themeColor="text1"/>
                <w:sz w:val="21"/>
                <w:szCs w:val="21"/>
              </w:rPr>
              <w:t xml:space="preserve"> V1</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A" w14:textId="77777777" w:rsidR="007F0CF5" w:rsidRDefault="00652E1B">
            <w:pPr>
              <w:pStyle w:val="Heading4"/>
              <w:outlineLvl w:val="3"/>
              <w:rPr>
                <w:rFonts w:ascii="Garamond" w:eastAsia="Garamond" w:hAnsi="Garamond" w:cs="Garamond"/>
                <w:i w:val="0"/>
                <w:color w:val="000000"/>
              </w:rPr>
            </w:pPr>
            <w:r>
              <w:rPr>
                <w:rFonts w:ascii="Garamond" w:eastAsia="Garamond" w:hAnsi="Garamond" w:cs="Garamond"/>
                <w:i w:val="0"/>
                <w:color w:val="000000"/>
              </w:rPr>
              <w:t>NASA Earth Data Portal</w:t>
            </w:r>
          </w:p>
        </w:tc>
      </w:tr>
      <w:tr w:rsidR="007F0CF5" w14:paraId="17D12670"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B" w14:textId="77777777" w:rsidR="007F0CF5" w:rsidRDefault="00652E1B">
            <w:pPr>
              <w:rPr>
                <w:rFonts w:ascii="Garamond" w:eastAsia="Garamond" w:hAnsi="Garamond" w:cs="Garamond"/>
                <w:color w:val="000000"/>
              </w:rPr>
            </w:pPr>
            <w:r>
              <w:rPr>
                <w:rFonts w:ascii="Garamond" w:eastAsia="Garamond" w:hAnsi="Garamond" w:cs="Garamond"/>
                <w:b/>
                <w:color w:val="000000"/>
              </w:rPr>
              <w:t>Terra + Aqua MODIS</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C" w14:textId="77777777" w:rsidR="007F0CF5" w:rsidRDefault="00652E1B">
            <w:pPr>
              <w:rPr>
                <w:rFonts w:ascii="Garamond" w:eastAsia="Garamond" w:hAnsi="Garamond" w:cs="Garamond"/>
                <w:color w:val="222222"/>
                <w:highlight w:val="white"/>
              </w:rPr>
            </w:pPr>
            <w:r>
              <w:rPr>
                <w:rFonts w:ascii="Garamond" w:eastAsia="Garamond" w:hAnsi="Garamond" w:cs="Garamond"/>
                <w:color w:val="222222"/>
                <w:highlight w:val="white"/>
              </w:rPr>
              <w:t>Terra Aerosol 5-Min L2 Swath 10km</w:t>
            </w:r>
          </w:p>
          <w:sdt>
            <w:sdtPr>
              <w:tag w:val="goog_rdk_13"/>
              <w:id w:val="2102754409"/>
            </w:sdtPr>
            <w:sdtEndPr/>
            <w:sdtContent>
              <w:p w14:paraId="0000004D" w14:textId="28B18DF9" w:rsidR="007F0CF5" w:rsidRDefault="0F2829D8" w:rsidP="1508864B">
                <w:r w:rsidRPr="1508864B">
                  <w:rPr>
                    <w:rFonts w:ascii="Garamond" w:eastAsia="Garamond" w:hAnsi="Garamond" w:cs="Garamond"/>
                    <w:color w:val="222222"/>
                    <w:highlight w:val="white"/>
                  </w:rPr>
                  <w:t>Aqua Aerosol 5-Min L2 Swath 10km</w:t>
                </w:r>
              </w:p>
            </w:sdtContent>
          </w:sdt>
          <w:p w14:paraId="0000004E" w14:textId="2B87435E" w:rsidR="007F0CF5" w:rsidRDefault="0F2829D8">
            <w:pPr>
              <w:rPr>
                <w:rFonts w:ascii="Garamond" w:eastAsia="Garamond" w:hAnsi="Garamond" w:cs="Garamond"/>
                <w:color w:val="000000"/>
              </w:rPr>
            </w:pPr>
            <w:r w:rsidRPr="1508864B">
              <w:rPr>
                <w:rFonts w:ascii="Garamond" w:eastAsia="Garamond" w:hAnsi="Garamond" w:cs="Garamond"/>
                <w:color w:val="000000" w:themeColor="text1"/>
              </w:rPr>
              <w:t xml:space="preserve">Burned Area Monthly L3 </w:t>
            </w:r>
            <w:r w:rsidRPr="1508864B">
              <w:rPr>
                <w:rFonts w:ascii="Garamond" w:eastAsia="Garamond" w:hAnsi="Garamond" w:cs="Garamond"/>
              </w:rPr>
              <w:t>Global 500m</w:t>
            </w:r>
            <w:r w:rsidRPr="1508864B">
              <w:rPr>
                <w:rFonts w:ascii="Garamond" w:eastAsia="Garamond" w:hAnsi="Garamond" w:cs="Garamond"/>
                <w:color w:val="000000" w:themeColor="text1"/>
              </w:rPr>
              <w:t xml:space="preserve"> SIN Grid V0006</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4F" w14:textId="77777777" w:rsidR="007F0CF5" w:rsidRDefault="00652E1B">
            <w:pPr>
              <w:pStyle w:val="Heading4"/>
              <w:outlineLvl w:val="3"/>
              <w:rPr>
                <w:rFonts w:ascii="Garamond" w:eastAsia="Garamond" w:hAnsi="Garamond" w:cs="Garamond"/>
                <w:i w:val="0"/>
                <w:color w:val="000000"/>
              </w:rPr>
            </w:pPr>
            <w:r>
              <w:rPr>
                <w:rFonts w:ascii="Garamond" w:eastAsia="Garamond" w:hAnsi="Garamond" w:cs="Garamond"/>
                <w:i w:val="0"/>
                <w:color w:val="000000"/>
              </w:rPr>
              <w:t>NASA Earth Data Portal</w:t>
            </w:r>
          </w:p>
          <w:p w14:paraId="00000050" w14:textId="77777777" w:rsidR="007F0CF5" w:rsidRDefault="007F0CF5">
            <w:pPr>
              <w:pBdr>
                <w:top w:val="nil"/>
                <w:left w:val="nil"/>
                <w:bottom w:val="nil"/>
                <w:right w:val="nil"/>
                <w:between w:val="nil"/>
              </w:pBdr>
              <w:ind w:left="720"/>
              <w:rPr>
                <w:rFonts w:ascii="Garamond" w:eastAsia="Garamond" w:hAnsi="Garamond" w:cs="Garamond"/>
                <w:color w:val="000000"/>
              </w:rPr>
            </w:pPr>
          </w:p>
        </w:tc>
      </w:tr>
      <w:tr w:rsidR="007F0CF5" w14:paraId="723DAFCC"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1" w14:textId="77777777" w:rsidR="007F0CF5" w:rsidRDefault="00652E1B">
            <w:pPr>
              <w:rPr>
                <w:rFonts w:ascii="Garamond" w:eastAsia="Garamond" w:hAnsi="Garamond" w:cs="Garamond"/>
                <w:b/>
                <w:color w:val="000000"/>
              </w:rPr>
            </w:pPr>
            <w:r>
              <w:rPr>
                <w:rFonts w:ascii="Garamond" w:eastAsia="Garamond" w:hAnsi="Garamond" w:cs="Garamond"/>
                <w:b/>
                <w:color w:val="000000"/>
              </w:rPr>
              <w:t xml:space="preserve">GLDAS </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2" w14:textId="5B1EA7CA" w:rsidR="007F0CF5" w:rsidRDefault="0F2829D8">
            <w:pPr>
              <w:rPr>
                <w:rFonts w:ascii="Garamond" w:eastAsia="Garamond" w:hAnsi="Garamond" w:cs="Garamond"/>
              </w:rPr>
            </w:pPr>
            <w:r w:rsidRPr="1508864B">
              <w:rPr>
                <w:rFonts w:ascii="Garamond" w:eastAsia="Garamond" w:hAnsi="Garamond" w:cs="Garamond"/>
              </w:rPr>
              <w:t xml:space="preserve">Noah Land Surface Model L4 3 Hourly 0.25 x 0.25 degree: Air Temperature, Humidity, Wind Speed, Dew Point </w:t>
            </w:r>
            <w:r w:rsidR="006B773B">
              <w:rPr>
                <w:rFonts w:ascii="Garamond" w:eastAsia="Garamond" w:hAnsi="Garamond" w:cs="Garamond"/>
              </w:rPr>
              <w:t>T</w:t>
            </w:r>
            <w:r w:rsidRPr="1508864B">
              <w:rPr>
                <w:rFonts w:ascii="Garamond" w:eastAsia="Garamond" w:hAnsi="Garamond" w:cs="Garamond"/>
              </w:rPr>
              <w:t>emperature</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3" w14:textId="77777777" w:rsidR="007F0CF5" w:rsidRDefault="00652E1B">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NASA Earth Data Portal</w:t>
            </w:r>
          </w:p>
        </w:tc>
      </w:tr>
      <w:tr w:rsidR="007F0CF5" w14:paraId="6A206189"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4" w14:textId="77777777" w:rsidR="007F0CF5" w:rsidRDefault="00652E1B">
            <w:pPr>
              <w:rPr>
                <w:rFonts w:ascii="Garamond" w:eastAsia="Garamond" w:hAnsi="Garamond" w:cs="Garamond"/>
                <w:b/>
              </w:rPr>
            </w:pPr>
            <w:r>
              <w:rPr>
                <w:rFonts w:ascii="Garamond" w:eastAsia="Garamond" w:hAnsi="Garamond" w:cs="Garamond"/>
                <w:b/>
              </w:rPr>
              <w:t>Landsat Earth Observing System (EOS)</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sdt>
            <w:sdtPr>
              <w:tag w:val="goog_rdk_24"/>
              <w:id w:val="-104656631"/>
            </w:sdtPr>
            <w:sdtEndPr/>
            <w:sdtContent>
              <w:p w14:paraId="00000055" w14:textId="2FE81939" w:rsidR="007F0CF5" w:rsidRPr="006B773B" w:rsidRDefault="003B3C80" w:rsidP="1508864B">
                <w:sdt>
                  <w:sdtPr>
                    <w:tag w:val="goog_rdk_22"/>
                    <w:id w:val="1961720205"/>
                    <w:placeholder>
                      <w:docPart w:val="DefaultPlaceholder_1081868574"/>
                    </w:placeholder>
                  </w:sdtPr>
                  <w:sdtEndPr/>
                  <w:sdtContent>
                    <w:r w:rsidR="0F2829D8" w:rsidRPr="1508864B">
                      <w:rPr>
                        <w:rFonts w:ascii="Garamond" w:eastAsia="Garamond" w:hAnsi="Garamond" w:cs="Garamond"/>
                      </w:rPr>
                      <w:t xml:space="preserve">National Land Cover Database (NLCD) </w:t>
                    </w:r>
                  </w:sdtContent>
                </w:sdt>
              </w:p>
            </w:sdtContent>
          </w:sdt>
          <w:p w14:paraId="42789D93" w14:textId="77777777" w:rsidR="1508864B" w:rsidRDefault="1508864B"/>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6" w14:textId="77777777" w:rsidR="007F0CF5" w:rsidRDefault="00652E1B">
            <w:pPr>
              <w:rPr>
                <w:rFonts w:ascii="Garamond" w:eastAsia="Garamond" w:hAnsi="Garamond" w:cs="Garamond"/>
              </w:rPr>
            </w:pPr>
            <w:r>
              <w:rPr>
                <w:rFonts w:ascii="Garamond" w:eastAsia="Garamond" w:hAnsi="Garamond" w:cs="Garamond"/>
              </w:rPr>
              <w:t>Google Earth Engine</w:t>
            </w:r>
          </w:p>
        </w:tc>
      </w:tr>
      <w:tr w:rsidR="007F0CF5" w14:paraId="16C1C293"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7" w14:textId="77777777" w:rsidR="007F0CF5" w:rsidRDefault="00652E1B">
            <w:pPr>
              <w:rPr>
                <w:rFonts w:ascii="Garamond" w:eastAsia="Garamond" w:hAnsi="Garamond" w:cs="Garamond"/>
                <w:b/>
              </w:rPr>
            </w:pPr>
            <w:r>
              <w:rPr>
                <w:rFonts w:ascii="Garamond" w:eastAsia="Garamond" w:hAnsi="Garamond" w:cs="Garamond"/>
                <w:b/>
              </w:rPr>
              <w:t xml:space="preserve">Sentinel 2 Multispectral Instrument (MSI) </w:t>
            </w: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8" w14:textId="1A30334F" w:rsidR="007F0CF5" w:rsidRDefault="0F2829D8">
            <w:pPr>
              <w:rPr>
                <w:rFonts w:ascii="Garamond" w:eastAsia="Garamond" w:hAnsi="Garamond" w:cs="Garamond"/>
              </w:rPr>
            </w:pPr>
            <w:r w:rsidRPr="1508864B">
              <w:rPr>
                <w:rFonts w:ascii="Garamond" w:eastAsia="Garamond" w:hAnsi="Garamond" w:cs="Garamond"/>
              </w:rPr>
              <w:t xml:space="preserve">Normalized Difference Vegetation Index (NDVI) </w:t>
            </w:r>
          </w:p>
          <w:sdt>
            <w:sdtPr>
              <w:tag w:val="goog_rdk_29"/>
              <w:id w:val="921685357"/>
            </w:sdtPr>
            <w:sdtEndPr/>
            <w:sdtContent>
              <w:p w14:paraId="00000059" w14:textId="77777777" w:rsidR="007F0CF5" w:rsidRPr="007F0CF5" w:rsidRDefault="003B3C80" w:rsidP="1508864B">
                <w:pPr>
                  <w:rPr>
                    <w:rFonts w:ascii="Garamond" w:eastAsia="Garamond" w:hAnsi="Garamond" w:cs="Garamond"/>
                  </w:rPr>
                </w:pPr>
                <w:sdt>
                  <w:sdtPr>
                    <w:tag w:val="goog_rdk_28"/>
                    <w:id w:val="1742014569"/>
                    <w:placeholder>
                      <w:docPart w:val="DefaultPlaceholder_1081868574"/>
                    </w:placeholder>
                  </w:sdtPr>
                  <w:sdtEndPr/>
                  <w:sdtContent>
                    <w:r w:rsidR="0F2829D8" w:rsidRPr="1508864B">
                      <w:rPr>
                        <w:rFonts w:ascii="Garamond" w:eastAsia="Garamond" w:hAnsi="Garamond" w:cs="Garamond"/>
                      </w:rPr>
                      <w:t>(Near Infrared Band - Red band) / (Near Infrared Band + Red Band)</w:t>
                    </w:r>
                  </w:sdtContent>
                </w:sdt>
              </w:p>
            </w:sdtContent>
          </w:sdt>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A" w14:textId="77777777" w:rsidR="007F0CF5" w:rsidRDefault="00652E1B">
            <w:pPr>
              <w:rPr>
                <w:rFonts w:ascii="Garamond" w:eastAsia="Garamond" w:hAnsi="Garamond" w:cs="Garamond"/>
              </w:rPr>
            </w:pPr>
            <w:r>
              <w:rPr>
                <w:rFonts w:ascii="Garamond" w:eastAsia="Garamond" w:hAnsi="Garamond" w:cs="Garamond"/>
              </w:rPr>
              <w:t>Google Earth Engine</w:t>
            </w:r>
          </w:p>
        </w:tc>
      </w:tr>
      <w:tr w:rsidR="007F0CF5" w14:paraId="33BB45DA" w14:textId="77777777" w:rsidTr="1508864B">
        <w:trPr>
          <w:trHeight w:val="780"/>
        </w:trPr>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B" w14:textId="77777777" w:rsidR="007F0CF5" w:rsidRDefault="00652E1B">
            <w:pPr>
              <w:rPr>
                <w:rFonts w:ascii="Garamond" w:eastAsia="Garamond" w:hAnsi="Garamond" w:cs="Garamond"/>
                <w:b/>
              </w:rPr>
            </w:pPr>
            <w:r>
              <w:rPr>
                <w:rFonts w:ascii="Garamond" w:eastAsia="Garamond" w:hAnsi="Garamond" w:cs="Garamond"/>
                <w:b/>
              </w:rPr>
              <w:t>Shuttle Radar Topography Mission (SRTM)</w:t>
            </w:r>
          </w:p>
          <w:p w14:paraId="0000005C" w14:textId="77777777" w:rsidR="007F0CF5" w:rsidRDefault="007F0CF5">
            <w:pPr>
              <w:rPr>
                <w:rFonts w:ascii="Garamond" w:eastAsia="Garamond" w:hAnsi="Garamond" w:cs="Garamond"/>
                <w:b/>
              </w:rPr>
            </w:pPr>
          </w:p>
        </w:tc>
        <w:tc>
          <w:tcPr>
            <w:tcW w:w="63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D" w14:textId="725DFB35" w:rsidR="007F0CF5" w:rsidRDefault="0F2829D8">
            <w:pPr>
              <w:rPr>
                <w:rFonts w:ascii="Garamond" w:eastAsia="Garamond" w:hAnsi="Garamond" w:cs="Garamond"/>
              </w:rPr>
            </w:pPr>
            <w:r w:rsidRPr="1508864B">
              <w:rPr>
                <w:rFonts w:ascii="Garamond" w:eastAsia="Garamond" w:hAnsi="Garamond" w:cs="Garamond"/>
              </w:rPr>
              <w:t>Elevation</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0005E" w14:textId="77777777" w:rsidR="007F0CF5" w:rsidRDefault="00652E1B">
            <w:pPr>
              <w:rPr>
                <w:rFonts w:ascii="Garamond" w:eastAsia="Garamond" w:hAnsi="Garamond" w:cs="Garamond"/>
              </w:rPr>
            </w:pPr>
            <w:r>
              <w:rPr>
                <w:rFonts w:ascii="Garamond" w:eastAsia="Garamond" w:hAnsi="Garamond" w:cs="Garamond"/>
              </w:rPr>
              <w:t>Google Earth Engine</w:t>
            </w:r>
          </w:p>
        </w:tc>
      </w:tr>
    </w:tbl>
    <w:p w14:paraId="0000005F" w14:textId="77777777" w:rsidR="007F0CF5" w:rsidRDefault="007F0CF5">
      <w:pPr>
        <w:spacing w:after="0" w:line="240" w:lineRule="auto"/>
        <w:rPr>
          <w:rFonts w:ascii="Garamond" w:eastAsia="Garamond" w:hAnsi="Garamond" w:cs="Garamond"/>
        </w:rPr>
      </w:pPr>
    </w:p>
    <w:p w14:paraId="00000060" w14:textId="77777777" w:rsidR="007F0CF5" w:rsidRDefault="00652E1B">
      <w:pPr>
        <w:spacing w:after="0" w:line="240" w:lineRule="auto"/>
        <w:rPr>
          <w:rFonts w:ascii="Garamond" w:eastAsia="Garamond" w:hAnsi="Garamond" w:cs="Garamond"/>
          <w:i/>
        </w:rPr>
      </w:pPr>
      <w:r>
        <w:rPr>
          <w:rFonts w:ascii="Garamond" w:eastAsia="Garamond" w:hAnsi="Garamond" w:cs="Garamond"/>
          <w:i/>
        </w:rPr>
        <w:t>3.1.2. Ancillary Data</w:t>
      </w:r>
    </w:p>
    <w:p w14:paraId="00000061" w14:textId="0271F36E" w:rsidR="007F0CF5" w:rsidRDefault="0F2829D8">
      <w:pPr>
        <w:spacing w:after="0" w:line="240" w:lineRule="auto"/>
        <w:rPr>
          <w:rFonts w:ascii="Garamond" w:eastAsia="Garamond" w:hAnsi="Garamond" w:cs="Garamond"/>
        </w:rPr>
      </w:pPr>
      <w:r w:rsidRPr="1508864B">
        <w:rPr>
          <w:rFonts w:ascii="Garamond" w:eastAsia="Garamond" w:hAnsi="Garamond" w:cs="Garamond"/>
          <w:color w:val="000000" w:themeColor="text1"/>
        </w:rPr>
        <w:t>Our team downloaded datasets of in-situ ozone, PM 2.5, CO, and NO</w:t>
      </w:r>
      <w:r w:rsidRPr="1508864B">
        <w:rPr>
          <w:rFonts w:ascii="Garamond" w:eastAsia="Garamond" w:hAnsi="Garamond" w:cs="Garamond"/>
          <w:color w:val="000000" w:themeColor="text1"/>
          <w:vertAlign w:val="subscript"/>
        </w:rPr>
        <w:t xml:space="preserve">2 </w:t>
      </w:r>
      <w:r w:rsidRPr="1508864B">
        <w:rPr>
          <w:rFonts w:ascii="Garamond" w:eastAsia="Garamond" w:hAnsi="Garamond" w:cs="Garamond"/>
          <w:color w:val="000000" w:themeColor="text1"/>
        </w:rPr>
        <w:t>from the EPA Air Quality System (AQS) for May 10 through August 2018.  These are measurements recorded by EPA ground monitors. We also downloaded datasets providing the locations of natural gas processing plants, power plants, and petroleum refineries from the U.S. Energy Information Administration (EIA) (United Stat</w:t>
      </w:r>
      <w:r w:rsidRPr="1508864B">
        <w:rPr>
          <w:rFonts w:ascii="Garamond" w:eastAsia="Garamond" w:hAnsi="Garamond" w:cs="Garamond"/>
        </w:rPr>
        <w:t>es, 2010</w:t>
      </w:r>
      <w:r w:rsidRPr="1508864B">
        <w:rPr>
          <w:rFonts w:ascii="Garamond" w:eastAsia="Garamond" w:hAnsi="Garamond" w:cs="Garamond"/>
          <w:color w:val="000000" w:themeColor="text1"/>
        </w:rPr>
        <w:t xml:space="preserve">). All data was subset by the noted study area.  </w:t>
      </w:r>
    </w:p>
    <w:p w14:paraId="00000062" w14:textId="77777777" w:rsidR="007F0CF5" w:rsidRDefault="007F0CF5">
      <w:pPr>
        <w:spacing w:after="0" w:line="240" w:lineRule="auto"/>
        <w:rPr>
          <w:rFonts w:ascii="Garamond" w:eastAsia="Garamond" w:hAnsi="Garamond" w:cs="Garamond"/>
          <w:color w:val="000000"/>
        </w:rPr>
      </w:pPr>
    </w:p>
    <w:p w14:paraId="00000063" w14:textId="77777777" w:rsidR="007F0CF5" w:rsidRDefault="00652E1B">
      <w:pPr>
        <w:spacing w:after="0" w:line="240" w:lineRule="auto"/>
        <w:rPr>
          <w:rFonts w:ascii="Garamond" w:eastAsia="Garamond" w:hAnsi="Garamond" w:cs="Garamond"/>
          <w:b/>
          <w:i/>
          <w:highlight w:val="cyan"/>
        </w:rPr>
      </w:pPr>
      <w:r>
        <w:rPr>
          <w:rFonts w:ascii="Garamond" w:eastAsia="Garamond" w:hAnsi="Garamond" w:cs="Garamond"/>
          <w:b/>
          <w:i/>
        </w:rPr>
        <w:t>3.2 Data Processing</w:t>
      </w:r>
    </w:p>
    <w:p w14:paraId="00000064" w14:textId="5B90023B"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The EO data were cloud masked prior to downloading, resulting in several missing values. Each TROPOMI dataset contains an array of quality flags for each pixel.  We clipped all EO data to the study area and collocated with ground sensors. Then we averaged daily EO pollutant levels across pixels within an 11 km x 11 km box around each ground sensor (Figure 3)</w:t>
      </w:r>
      <w:r w:rsidRPr="1508864B">
        <w:rPr>
          <w:rFonts w:ascii="Garamond" w:eastAsia="Garamond" w:hAnsi="Garamond" w:cs="Garamond"/>
          <w:i/>
          <w:iCs/>
          <w:color w:val="000000" w:themeColor="text1"/>
        </w:rPr>
        <w:t>.</w:t>
      </w:r>
      <w:r w:rsidRPr="1508864B">
        <w:rPr>
          <w:rFonts w:ascii="Garamond" w:eastAsia="Garamond" w:hAnsi="Garamond" w:cs="Garamond"/>
          <w:color w:val="000000" w:themeColor="text1"/>
        </w:rPr>
        <w:t xml:space="preserve"> These average values were joined with ground values to create datasets for the ozone prediction models. We clipped </w:t>
      </w:r>
      <w:r w:rsidRPr="1508864B">
        <w:rPr>
          <w:rFonts w:ascii="Garamond" w:eastAsia="Garamond" w:hAnsi="Garamond" w:cs="Garamond"/>
        </w:rPr>
        <w:t>land cover</w:t>
      </w:r>
      <w:r w:rsidRPr="1508864B">
        <w:rPr>
          <w:rFonts w:ascii="Garamond" w:eastAsia="Garamond" w:hAnsi="Garamond" w:cs="Garamond"/>
          <w:color w:val="000000" w:themeColor="text1"/>
        </w:rPr>
        <w:t xml:space="preserve"> and elevation data sets by a 1km buffer around each ozone ground monitor prior to downloading and used a 20km buffer for average NDVI, which was only used in the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model to capture seasonal vegetation changes.  To match the study area, our team also filtered the EPA AQS and EIA point source data.</w:t>
      </w:r>
    </w:p>
    <w:p w14:paraId="00000065" w14:textId="77777777" w:rsidR="007F0CF5" w:rsidRDefault="007F0CF5">
      <w:pPr>
        <w:spacing w:after="0" w:line="240" w:lineRule="auto"/>
        <w:rPr>
          <w:rFonts w:ascii="Garamond" w:eastAsia="Garamond" w:hAnsi="Garamond" w:cs="Garamond"/>
          <w:color w:val="000000"/>
        </w:rPr>
      </w:pPr>
    </w:p>
    <w:tbl>
      <w:tblPr>
        <w:tblStyle w:val="af7"/>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7F0CF5" w14:paraId="70558BC2" w14:textId="77777777">
        <w:tc>
          <w:tcPr>
            <w:tcW w:w="9360" w:type="dxa"/>
          </w:tcPr>
          <w:p w14:paraId="00000066" w14:textId="77777777" w:rsidR="007F0CF5" w:rsidRDefault="00652E1B">
            <w:pPr>
              <w:jc w:val="center"/>
            </w:pPr>
            <w:r>
              <w:rPr>
                <w:noProof/>
              </w:rPr>
              <w:lastRenderedPageBreak/>
              <w:drawing>
                <wp:inline distT="0" distB="0" distL="0" distR="0" wp14:anchorId="20FA6C0D" wp14:editId="420FEC2A">
                  <wp:extent cx="4260591" cy="1988276"/>
                  <wp:effectExtent l="0" t="0" r="0" b="0"/>
                  <wp:docPr id="2127486031" name="image13.png" descr="Inserting image..."/>
                  <wp:cNvGraphicFramePr/>
                  <a:graphic xmlns:a="http://schemas.openxmlformats.org/drawingml/2006/main">
                    <a:graphicData uri="http://schemas.openxmlformats.org/drawingml/2006/picture">
                      <pic:pic xmlns:pic="http://schemas.openxmlformats.org/drawingml/2006/picture">
                        <pic:nvPicPr>
                          <pic:cNvPr id="0" name="image13.png" descr="Inserting image..."/>
                          <pic:cNvPicPr preferRelativeResize="0"/>
                        </pic:nvPicPr>
                        <pic:blipFill>
                          <a:blip r:embed="rId13"/>
                          <a:srcRect/>
                          <a:stretch>
                            <a:fillRect/>
                          </a:stretch>
                        </pic:blipFill>
                        <pic:spPr>
                          <a:xfrm>
                            <a:off x="0" y="0"/>
                            <a:ext cx="4260591" cy="1988276"/>
                          </a:xfrm>
                          <a:prstGeom prst="rect">
                            <a:avLst/>
                          </a:prstGeom>
                          <a:ln/>
                        </pic:spPr>
                      </pic:pic>
                    </a:graphicData>
                  </a:graphic>
                </wp:inline>
              </w:drawing>
            </w:r>
          </w:p>
        </w:tc>
      </w:tr>
      <w:tr w:rsidR="007F0CF5" w14:paraId="1CDF7F66" w14:textId="77777777">
        <w:tc>
          <w:tcPr>
            <w:tcW w:w="9360" w:type="dxa"/>
          </w:tcPr>
          <w:p w14:paraId="1CF8BDF5" w14:textId="307976BB" w:rsidR="007F0CF5" w:rsidRDefault="00652E1B">
            <w:pPr>
              <w:jc w:val="center"/>
              <w:rPr>
                <w:rFonts w:ascii="Garamond" w:eastAsia="Garamond" w:hAnsi="Garamond" w:cs="Garamond"/>
                <w:color w:val="000000"/>
              </w:rPr>
            </w:pPr>
            <w:r>
              <w:rPr>
                <w:rFonts w:ascii="Garamond" w:eastAsia="Garamond" w:hAnsi="Garamond" w:cs="Garamond"/>
                <w:i/>
                <w:color w:val="000000"/>
              </w:rPr>
              <w:t xml:space="preserve">Figure 3. </w:t>
            </w:r>
            <w:r>
              <w:rPr>
                <w:rFonts w:ascii="Garamond" w:eastAsia="Garamond" w:hAnsi="Garamond" w:cs="Garamond"/>
                <w:color w:val="000000"/>
              </w:rPr>
              <w:t xml:space="preserve">Sampling design to collocate EO and in-situ data for ground ozone </w:t>
            </w:r>
            <w:r w:rsidR="00046893">
              <w:rPr>
                <w:rFonts w:ascii="Garamond" w:eastAsia="Garamond" w:hAnsi="Garamond" w:cs="Garamond"/>
                <w:color w:val="000000"/>
              </w:rPr>
              <w:t xml:space="preserve">formation </w:t>
            </w:r>
            <w:r>
              <w:rPr>
                <w:rFonts w:ascii="Garamond" w:eastAsia="Garamond" w:hAnsi="Garamond" w:cs="Garamond"/>
                <w:color w:val="000000"/>
              </w:rPr>
              <w:t>modeling.</w:t>
            </w:r>
          </w:p>
          <w:p w14:paraId="00000067" w14:textId="523D83DE" w:rsidR="006B773B" w:rsidRDefault="006B773B">
            <w:pPr>
              <w:jc w:val="center"/>
              <w:rPr>
                <w:rFonts w:ascii="Garamond" w:eastAsia="Garamond" w:hAnsi="Garamond" w:cs="Garamond"/>
                <w:color w:val="000000"/>
              </w:rPr>
            </w:pPr>
          </w:p>
        </w:tc>
      </w:tr>
    </w:tbl>
    <w:p w14:paraId="00000068" w14:textId="77777777" w:rsidR="007F0CF5" w:rsidRDefault="00652E1B">
      <w:pPr>
        <w:spacing w:after="0" w:line="240" w:lineRule="auto"/>
        <w:rPr>
          <w:rFonts w:ascii="Garamond" w:eastAsia="Garamond" w:hAnsi="Garamond" w:cs="Garamond"/>
        </w:rPr>
      </w:pPr>
      <w:r>
        <w:rPr>
          <w:rFonts w:ascii="Garamond" w:eastAsia="Garamond" w:hAnsi="Garamond" w:cs="Garamond"/>
          <w:b/>
          <w:i/>
        </w:rPr>
        <w:t>3.3 Data Analysis</w:t>
      </w:r>
    </w:p>
    <w:p w14:paraId="00000069" w14:textId="77777777" w:rsidR="007F0CF5" w:rsidRDefault="00652E1B">
      <w:pPr>
        <w:spacing w:after="0" w:line="240" w:lineRule="auto"/>
        <w:rPr>
          <w:rFonts w:ascii="Garamond" w:eastAsia="Garamond" w:hAnsi="Garamond" w:cs="Garamond"/>
        </w:rPr>
      </w:pPr>
      <w:r>
        <w:rPr>
          <w:rFonts w:ascii="Garamond" w:eastAsia="Garamond" w:hAnsi="Garamond" w:cs="Garamond"/>
          <w:i/>
        </w:rPr>
        <w:t xml:space="preserve">3.3.1 Data Exploration </w:t>
      </w:r>
    </w:p>
    <w:p w14:paraId="0000006A" w14:textId="097520A4" w:rsidR="007F0CF5" w:rsidRDefault="0F2829D8">
      <w:pPr>
        <w:spacing w:after="0" w:line="240" w:lineRule="auto"/>
        <w:rPr>
          <w:rFonts w:ascii="Garamond" w:eastAsia="Garamond" w:hAnsi="Garamond" w:cs="Garamond"/>
        </w:rPr>
      </w:pPr>
      <w:r w:rsidRPr="1508864B">
        <w:rPr>
          <w:rFonts w:ascii="Garamond" w:eastAsia="Garamond" w:hAnsi="Garamond" w:cs="Garamond"/>
        </w:rPr>
        <w:t>Our team began by exploring and visualizing in-situ data at various spatial and temporal scales within the study area on spike and baseline ozone dates. Next, we visualized EO data by pollutant across the time frame of interest. From static daily plots of EO data, we created animations to explore pollutant distributions. Subsequently, we used these plots in the qualitative analysis alongside HYSPLIT emissions transport model results.</w:t>
      </w:r>
    </w:p>
    <w:p w14:paraId="0000006B" w14:textId="77777777" w:rsidR="007F0CF5" w:rsidRDefault="007F0CF5">
      <w:pPr>
        <w:spacing w:after="0" w:line="240" w:lineRule="auto"/>
        <w:rPr>
          <w:rFonts w:ascii="Garamond" w:eastAsia="Garamond" w:hAnsi="Garamond" w:cs="Garamond"/>
        </w:rPr>
      </w:pPr>
    </w:p>
    <w:p w14:paraId="0000006C" w14:textId="77777777" w:rsidR="007F0CF5" w:rsidRDefault="00652E1B">
      <w:pPr>
        <w:spacing w:after="0" w:line="240" w:lineRule="auto"/>
        <w:rPr>
          <w:rFonts w:ascii="Garamond" w:eastAsia="Garamond" w:hAnsi="Garamond" w:cs="Garamond"/>
          <w:i/>
        </w:rPr>
      </w:pPr>
      <w:r>
        <w:rPr>
          <w:rFonts w:ascii="Garamond" w:eastAsia="Garamond" w:hAnsi="Garamond" w:cs="Garamond"/>
          <w:i/>
        </w:rPr>
        <w:t xml:space="preserve">3.3.2 Correlation and Time Lag Analysis </w:t>
      </w:r>
    </w:p>
    <w:p w14:paraId="0000006D" w14:textId="1DABEBE4"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We investigated the correlation of EO data products with in-situ ozone readings to understand how EO data can be leveraged as a predictor of surface level ozone. The </w:t>
      </w:r>
      <w:proofErr w:type="gramStart"/>
      <w:r w:rsidRPr="1508864B">
        <w:rPr>
          <w:rFonts w:ascii="Garamond" w:eastAsia="Garamond" w:hAnsi="Garamond" w:cs="Garamond"/>
          <w:color w:val="000000" w:themeColor="text1"/>
        </w:rPr>
        <w:t>time period</w:t>
      </w:r>
      <w:proofErr w:type="gramEnd"/>
      <w:r w:rsidRPr="1508864B">
        <w:rPr>
          <w:rFonts w:ascii="Garamond" w:eastAsia="Garamond" w:hAnsi="Garamond" w:cs="Garamond"/>
          <w:color w:val="000000" w:themeColor="text1"/>
        </w:rPr>
        <w:t xml:space="preserve"> July – August 10, 2018, was selected to investigate the correlation and time lag between daily ground ozone distribution in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versus nearby TROPOMI EO concentrations. Our team implemented this to exclude any seasonal variations within our study range and to focus on the </w:t>
      </w:r>
      <w:proofErr w:type="gramStart"/>
      <w:r w:rsidRPr="1508864B">
        <w:rPr>
          <w:rFonts w:ascii="Garamond" w:eastAsia="Garamond" w:hAnsi="Garamond" w:cs="Garamond"/>
          <w:color w:val="000000" w:themeColor="text1"/>
        </w:rPr>
        <w:t>time period</w:t>
      </w:r>
      <w:proofErr w:type="gramEnd"/>
      <w:r w:rsidRPr="1508864B">
        <w:rPr>
          <w:rFonts w:ascii="Garamond" w:eastAsia="Garamond" w:hAnsi="Garamond" w:cs="Garamond"/>
          <w:color w:val="000000" w:themeColor="text1"/>
        </w:rPr>
        <w:t xml:space="preserve"> with the most spike days. To obtain the correlation coefficient we collocated total ozone column (TOC) and </w:t>
      </w:r>
      <w:r w:rsidR="00FA6EF1">
        <w:rPr>
          <w:rFonts w:ascii="Garamond" w:eastAsia="Garamond" w:hAnsi="Garamond" w:cs="Garamond"/>
          <w:color w:val="000000" w:themeColor="text1"/>
        </w:rPr>
        <w:t xml:space="preserve">tropospheric </w:t>
      </w:r>
      <w:r w:rsidRPr="1508864B">
        <w:rPr>
          <w:rFonts w:ascii="Garamond" w:eastAsia="Garamond" w:hAnsi="Garamond" w:cs="Garamond"/>
          <w:color w:val="000000" w:themeColor="text1"/>
        </w:rPr>
        <w:t>NO</w:t>
      </w:r>
      <w:r w:rsidRPr="1508864B">
        <w:rPr>
          <w:rFonts w:ascii="Garamond" w:eastAsia="Garamond" w:hAnsi="Garamond" w:cs="Garamond"/>
          <w:color w:val="000000" w:themeColor="text1"/>
          <w:vertAlign w:val="subscript"/>
        </w:rPr>
        <w:t>2</w:t>
      </w:r>
      <w:r w:rsidRPr="1508864B">
        <w:rPr>
          <w:rFonts w:ascii="Garamond" w:eastAsia="Garamond" w:hAnsi="Garamond" w:cs="Garamond"/>
          <w:color w:val="000000" w:themeColor="text1"/>
        </w:rPr>
        <w:t xml:space="preserve"> EO time series data and regressed it onto ground time series data for June, July, and August. Then, using stationary correlation analysis, we performed time lagged cross correlation analysis to identify the time lag that maximized the correlation coefficient. While setting up the analysis we limited the maximum potential lag to 10 days due to the meteorological movements impacting the ground and EO data alignment.</w:t>
      </w:r>
    </w:p>
    <w:p w14:paraId="0000006E" w14:textId="77777777" w:rsidR="007F0CF5" w:rsidRDefault="007F0CF5">
      <w:pPr>
        <w:spacing w:after="0" w:line="240" w:lineRule="auto"/>
        <w:rPr>
          <w:rFonts w:ascii="Garamond" w:eastAsia="Garamond" w:hAnsi="Garamond" w:cs="Garamond"/>
        </w:rPr>
      </w:pPr>
    </w:p>
    <w:p w14:paraId="0000006F" w14:textId="77777777" w:rsidR="007F0CF5" w:rsidRDefault="00652E1B">
      <w:pPr>
        <w:spacing w:after="0" w:line="240" w:lineRule="auto"/>
        <w:rPr>
          <w:rFonts w:ascii="Garamond" w:eastAsia="Garamond" w:hAnsi="Garamond" w:cs="Garamond"/>
          <w:i/>
        </w:rPr>
      </w:pPr>
      <w:r>
        <w:rPr>
          <w:rFonts w:ascii="Garamond" w:eastAsia="Garamond" w:hAnsi="Garamond" w:cs="Garamond"/>
          <w:i/>
        </w:rPr>
        <w:t>3.3.3 HYSPLIT Back Trajectory Analysis</w:t>
      </w:r>
    </w:p>
    <w:p w14:paraId="00000070" w14:textId="63398BEC"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To further investigate the ozone spikes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our team used the HYSPLIT (v5.1) model to analyze the backwards trajectory of particles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under the meteorological conditions in which the spikes occurred. We then computed simple particle trajectories, concentration plots, as well as dispersion and deposition simulations (</w:t>
      </w:r>
      <w:proofErr w:type="spellStart"/>
      <w:r w:rsidRPr="1508864B">
        <w:rPr>
          <w:rFonts w:ascii="Garamond" w:eastAsia="Garamond" w:hAnsi="Garamond" w:cs="Garamond"/>
        </w:rPr>
        <w:t>Draxler</w:t>
      </w:r>
      <w:proofErr w:type="spellEnd"/>
      <w:r w:rsidR="00B33F76">
        <w:rPr>
          <w:rFonts w:ascii="Garamond" w:eastAsia="Garamond" w:hAnsi="Garamond" w:cs="Garamond"/>
        </w:rPr>
        <w:t xml:space="preserve"> et al., 2020</w:t>
      </w:r>
      <w:r w:rsidRPr="1508864B">
        <w:rPr>
          <w:rFonts w:ascii="Garamond" w:eastAsia="Garamond" w:hAnsi="Garamond" w:cs="Garamond"/>
        </w:rPr>
        <w:t xml:space="preserve">). In this analysis, we initialized a fixed number of initial particles and subsequently calculated the backwards particle motion through an autocorrelation function based on </w:t>
      </w:r>
      <w:proofErr w:type="spellStart"/>
      <w:r w:rsidRPr="1508864B">
        <w:rPr>
          <w:rFonts w:ascii="Garamond" w:eastAsia="Garamond" w:hAnsi="Garamond" w:cs="Garamond"/>
        </w:rPr>
        <w:t>Lagrangian</w:t>
      </w:r>
      <w:proofErr w:type="spellEnd"/>
      <w:r w:rsidRPr="1508864B">
        <w:rPr>
          <w:rFonts w:ascii="Garamond" w:eastAsia="Garamond" w:hAnsi="Garamond" w:cs="Garamond"/>
        </w:rPr>
        <w:t xml:space="preserve"> time scale and computer-generated random numbers. </w:t>
      </w:r>
    </w:p>
    <w:p w14:paraId="00000071" w14:textId="77777777" w:rsidR="007F0CF5" w:rsidRDefault="007F0CF5">
      <w:pPr>
        <w:spacing w:after="0" w:line="240" w:lineRule="auto"/>
        <w:rPr>
          <w:rFonts w:ascii="Garamond" w:eastAsia="Garamond" w:hAnsi="Garamond" w:cs="Garamond"/>
        </w:rPr>
      </w:pPr>
    </w:p>
    <w:p w14:paraId="00000072" w14:textId="6C804871"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The HYSPLIT model used gridded atmospheric data from NOAA’s Air Resource Laboratory to calculate the probable location of the backwards dispersion of 1000 particles over 4 days prior to an ozone spike date. Our team set start dates to match a subset of the observed ozone spike dates in 2018 (May 26, June 5, July 19, July 28, August 3), and the location was set to the latitude and longitude of the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sensor (36.14, -98.92). We then set the particles’ start height at 100 meters above the ground, and set the top of the model to 1000m, </w:t>
      </w:r>
      <w:proofErr w:type="gramStart"/>
      <w:r w:rsidRPr="1508864B">
        <w:rPr>
          <w:rFonts w:ascii="Garamond" w:eastAsia="Garamond" w:hAnsi="Garamond" w:cs="Garamond"/>
        </w:rPr>
        <w:t>assuming that</w:t>
      </w:r>
      <w:proofErr w:type="gramEnd"/>
      <w:r w:rsidRPr="1508864B">
        <w:rPr>
          <w:rFonts w:ascii="Garamond" w:eastAsia="Garamond" w:hAnsi="Garamond" w:cs="Garamond"/>
        </w:rPr>
        <w:t xml:space="preserve"> the ground monitor measured the general ozone in the surrounding area. Our team ran both trajectory and concentration models to better understand the movement path of the ozone particles. </w:t>
      </w:r>
    </w:p>
    <w:p w14:paraId="00000073" w14:textId="77777777" w:rsidR="007F0CF5" w:rsidRDefault="007F0CF5">
      <w:pPr>
        <w:spacing w:after="0" w:line="240" w:lineRule="auto"/>
        <w:rPr>
          <w:rFonts w:ascii="Garamond" w:eastAsia="Garamond" w:hAnsi="Garamond" w:cs="Garamond"/>
        </w:rPr>
      </w:pPr>
    </w:p>
    <w:p w14:paraId="00000074" w14:textId="77777777" w:rsidR="007F0CF5" w:rsidRDefault="00652E1B">
      <w:pPr>
        <w:spacing w:after="0" w:line="240" w:lineRule="auto"/>
        <w:rPr>
          <w:rFonts w:ascii="Garamond" w:eastAsia="Garamond" w:hAnsi="Garamond" w:cs="Garamond"/>
          <w:i/>
        </w:rPr>
      </w:pPr>
      <w:r>
        <w:rPr>
          <w:rFonts w:ascii="Garamond" w:eastAsia="Garamond" w:hAnsi="Garamond" w:cs="Garamond"/>
          <w:i/>
        </w:rPr>
        <w:t>3.3.4 Qualitative cross-validation: HYSPLIT and EO data</w:t>
      </w:r>
    </w:p>
    <w:p w14:paraId="00000075" w14:textId="687CD2E5" w:rsidR="007F0CF5" w:rsidRDefault="0F2829D8">
      <w:pPr>
        <w:spacing w:after="0" w:line="240" w:lineRule="auto"/>
        <w:rPr>
          <w:rFonts w:ascii="Garamond" w:eastAsia="Garamond" w:hAnsi="Garamond" w:cs="Garamond"/>
        </w:rPr>
      </w:pPr>
      <w:r w:rsidRPr="1508864B">
        <w:rPr>
          <w:rFonts w:ascii="Garamond" w:eastAsia="Garamond" w:hAnsi="Garamond" w:cs="Garamond"/>
        </w:rPr>
        <w:lastRenderedPageBreak/>
        <w:t xml:space="preserve">Our team qualitatively assessed EO pollutant data with HYSPLIT trajectories by overlaying the two resulting visualizations using QGIS (version 3.16). HYSPLIT simulates particle movements twice per day, therefore, we selected both trajectory polygons for a given day of EO data. We then mapped the identified spike days with 4 preceding days of TOC data and one preceding day of NO2 data to capture the likelihood of pollutant transport based on relative species lifetimes following emission. Our team repeated this process for four randomly selected non-spike days to explore potential differences with baseline levels. For the baseline days, we used days with low to medium ground ozone levels reported in </w:t>
      </w:r>
      <w:proofErr w:type="spellStart"/>
      <w:r w:rsidRPr="1508864B">
        <w:rPr>
          <w:rFonts w:ascii="Garamond" w:eastAsia="Garamond" w:hAnsi="Garamond" w:cs="Garamond"/>
        </w:rPr>
        <w:t>Seiling</w:t>
      </w:r>
      <w:proofErr w:type="spellEnd"/>
      <w:r w:rsidRPr="1508864B">
        <w:rPr>
          <w:rFonts w:ascii="Garamond" w:eastAsia="Garamond" w:hAnsi="Garamond" w:cs="Garamond"/>
        </w:rPr>
        <w:t>, where daily maximum levels did not exceed 0.055ppm. Dates fitting these criteria were chosen at random.</w:t>
      </w:r>
    </w:p>
    <w:p w14:paraId="00000076" w14:textId="77777777" w:rsidR="007F0CF5" w:rsidRDefault="007F0CF5">
      <w:pPr>
        <w:spacing w:after="0" w:line="240" w:lineRule="auto"/>
        <w:rPr>
          <w:rFonts w:ascii="Garamond" w:eastAsia="Garamond" w:hAnsi="Garamond" w:cs="Garamond"/>
        </w:rPr>
      </w:pPr>
    </w:p>
    <w:p w14:paraId="00000077" w14:textId="77777777" w:rsidR="007F0CF5" w:rsidRDefault="00652E1B">
      <w:pPr>
        <w:spacing w:after="0" w:line="240" w:lineRule="auto"/>
        <w:rPr>
          <w:rFonts w:ascii="Garamond" w:eastAsia="Garamond" w:hAnsi="Garamond" w:cs="Garamond"/>
          <w:i/>
        </w:rPr>
      </w:pPr>
      <w:r>
        <w:rPr>
          <w:rFonts w:ascii="Garamond" w:eastAsia="Garamond" w:hAnsi="Garamond" w:cs="Garamond"/>
          <w:i/>
        </w:rPr>
        <w:t xml:space="preserve">3.3.5 Ground-level ozone prediction model </w:t>
      </w:r>
    </w:p>
    <w:p w14:paraId="00000078" w14:textId="512B1A26" w:rsidR="007F0CF5" w:rsidRDefault="0F2829D8">
      <w:pPr>
        <w:spacing w:after="0" w:line="240" w:lineRule="auto"/>
        <w:rPr>
          <w:rFonts w:ascii="Garamond" w:eastAsia="Garamond" w:hAnsi="Garamond" w:cs="Garamond"/>
          <w:color w:val="000000"/>
        </w:rPr>
      </w:pPr>
      <w:proofErr w:type="gramStart"/>
      <w:r w:rsidRPr="1508864B">
        <w:rPr>
          <w:rFonts w:ascii="Garamond" w:eastAsia="Garamond" w:hAnsi="Garamond" w:cs="Garamond"/>
          <w:color w:val="000000" w:themeColor="text1"/>
        </w:rPr>
        <w:t>In order to</w:t>
      </w:r>
      <w:proofErr w:type="gramEnd"/>
      <w:r w:rsidRPr="1508864B">
        <w:rPr>
          <w:rFonts w:ascii="Garamond" w:eastAsia="Garamond" w:hAnsi="Garamond" w:cs="Garamond"/>
          <w:color w:val="000000" w:themeColor="text1"/>
        </w:rPr>
        <w:t xml:space="preserve"> further investigate contributing factors to ground ozone formation within the study area, we utilized EO pollutant data, meteorological data, </w:t>
      </w:r>
      <w:r w:rsidRPr="1508864B">
        <w:rPr>
          <w:rFonts w:ascii="Garamond" w:eastAsia="Garamond" w:hAnsi="Garamond" w:cs="Garamond"/>
        </w:rPr>
        <w:t>land cover</w:t>
      </w:r>
      <w:r w:rsidRPr="1508864B">
        <w:rPr>
          <w:rFonts w:ascii="Garamond" w:eastAsia="Garamond" w:hAnsi="Garamond" w:cs="Garamond"/>
          <w:color w:val="000000" w:themeColor="text1"/>
        </w:rPr>
        <w:t xml:space="preserve"> data, burned area data, and metrics representing oil and gas activity as model predictors. It is known that temperature, pressure, humidity, solar radiation, and wind speed have significant effects on ground ozone levels (</w:t>
      </w:r>
      <w:proofErr w:type="spellStart"/>
      <w:r w:rsidRPr="1508864B">
        <w:rPr>
          <w:rFonts w:ascii="Garamond" w:eastAsia="Garamond" w:hAnsi="Garamond" w:cs="Garamond"/>
          <w:color w:val="222222"/>
        </w:rPr>
        <w:t>Jeong</w:t>
      </w:r>
      <w:proofErr w:type="spellEnd"/>
      <w:r w:rsidRPr="1508864B">
        <w:rPr>
          <w:rFonts w:ascii="Garamond" w:eastAsia="Garamond" w:hAnsi="Garamond" w:cs="Garamond"/>
          <w:color w:val="222222"/>
        </w:rPr>
        <w:t xml:space="preserve"> et al., 2020</w:t>
      </w:r>
      <w:r w:rsidRPr="1508864B">
        <w:rPr>
          <w:rFonts w:ascii="Garamond" w:eastAsia="Garamond" w:hAnsi="Garamond" w:cs="Garamond"/>
          <w:color w:val="000000" w:themeColor="text1"/>
        </w:rPr>
        <w:t>). Our team spatially and temporally collocated gridded meteorological weather data from GLDAS with ground monitors (Figure 3)</w:t>
      </w:r>
      <w:r w:rsidRPr="1508864B">
        <w:rPr>
          <w:rFonts w:ascii="Garamond" w:eastAsia="Garamond" w:hAnsi="Garamond" w:cs="Garamond"/>
          <w:i/>
          <w:iCs/>
          <w:color w:val="000000" w:themeColor="text1"/>
        </w:rPr>
        <w:t>.</w:t>
      </w:r>
      <w:r w:rsidRPr="1508864B">
        <w:rPr>
          <w:rFonts w:ascii="Garamond" w:eastAsia="Garamond" w:hAnsi="Garamond" w:cs="Garamond"/>
          <w:color w:val="000000" w:themeColor="text1"/>
        </w:rPr>
        <w:t xml:space="preserve"> Since ozone is a secondary pollutant, formed </w:t>
      </w:r>
      <w:proofErr w:type="gramStart"/>
      <w:r w:rsidRPr="1508864B">
        <w:rPr>
          <w:rFonts w:ascii="Garamond" w:eastAsia="Garamond" w:hAnsi="Garamond" w:cs="Garamond"/>
          <w:color w:val="000000" w:themeColor="text1"/>
        </w:rPr>
        <w:t>as a result of</w:t>
      </w:r>
      <w:proofErr w:type="gramEnd"/>
      <w:r w:rsidRPr="1508864B">
        <w:rPr>
          <w:rFonts w:ascii="Garamond" w:eastAsia="Garamond" w:hAnsi="Garamond" w:cs="Garamond"/>
          <w:color w:val="000000" w:themeColor="text1"/>
        </w:rPr>
        <w:t xml:space="preserve"> chemical reactions, we added in other pollutant species as model predictors. The full set of pollutant predictors EO data included the following column densities: Total O</w:t>
      </w:r>
      <w:r w:rsidRPr="1508864B">
        <w:rPr>
          <w:rFonts w:ascii="Garamond" w:eastAsia="Garamond" w:hAnsi="Garamond" w:cs="Garamond"/>
          <w:color w:val="000000" w:themeColor="text1"/>
          <w:vertAlign w:val="subscript"/>
        </w:rPr>
        <w:t>3</w:t>
      </w:r>
      <w:r w:rsidR="00B33F76">
        <w:rPr>
          <w:rFonts w:ascii="Garamond" w:eastAsia="Garamond" w:hAnsi="Garamond" w:cs="Garamond"/>
          <w:color w:val="000000" w:themeColor="text1"/>
        </w:rPr>
        <w:t>,</w:t>
      </w:r>
      <w:r w:rsidRPr="1508864B">
        <w:rPr>
          <w:rFonts w:ascii="Garamond" w:eastAsia="Garamond" w:hAnsi="Garamond" w:cs="Garamond"/>
          <w:color w:val="000000" w:themeColor="text1"/>
          <w:vertAlign w:val="subscript"/>
        </w:rPr>
        <w:t xml:space="preserve"> </w:t>
      </w:r>
      <w:r w:rsidRPr="1508864B">
        <w:rPr>
          <w:rFonts w:ascii="Garamond" w:eastAsia="Garamond" w:hAnsi="Garamond" w:cs="Garamond"/>
          <w:color w:val="000000" w:themeColor="text1"/>
        </w:rPr>
        <w:t>Tropospheric NO</w:t>
      </w:r>
      <w:r w:rsidRPr="1508864B">
        <w:rPr>
          <w:rFonts w:ascii="Garamond" w:eastAsia="Garamond" w:hAnsi="Garamond" w:cs="Garamond"/>
          <w:color w:val="000000" w:themeColor="text1"/>
          <w:vertAlign w:val="subscript"/>
        </w:rPr>
        <w:t>2</w:t>
      </w:r>
      <w:r w:rsidR="00B33F76">
        <w:rPr>
          <w:rFonts w:ascii="Garamond" w:eastAsia="Garamond" w:hAnsi="Garamond" w:cs="Garamond"/>
          <w:color w:val="000000" w:themeColor="text1"/>
        </w:rPr>
        <w:t>,</w:t>
      </w:r>
      <w:r w:rsidRPr="1508864B">
        <w:rPr>
          <w:rFonts w:ascii="Garamond" w:eastAsia="Garamond" w:hAnsi="Garamond" w:cs="Garamond"/>
          <w:color w:val="000000" w:themeColor="text1"/>
          <w:vertAlign w:val="subscript"/>
        </w:rPr>
        <w:t xml:space="preserve"> </w:t>
      </w:r>
      <w:r w:rsidRPr="1508864B">
        <w:rPr>
          <w:rFonts w:ascii="Garamond" w:eastAsia="Garamond" w:hAnsi="Garamond" w:cs="Garamond"/>
          <w:color w:val="000000" w:themeColor="text1"/>
        </w:rPr>
        <w:t xml:space="preserve">Total CO, and Tropospheric HCHO, along with AOD. According to the literature, ground ozone levels can vary by day of week due to automobile traffic. Therefore, we incorporated indicator variables into the model to capture weekdays versus weekends. We averaged in-situ time of day variations by using the daily maximum ozone values as the response variable. While variation in hourly air pollution is lost using daily aggregation, this aggregation reflects the daily temporal availability of the EO datasets in question. </w:t>
      </w:r>
    </w:p>
    <w:p w14:paraId="00000079" w14:textId="77777777" w:rsidR="007F0CF5" w:rsidRDefault="007F0CF5">
      <w:pPr>
        <w:spacing w:after="0" w:line="240" w:lineRule="auto"/>
        <w:ind w:firstLine="720"/>
        <w:rPr>
          <w:rFonts w:ascii="Garamond" w:eastAsia="Garamond" w:hAnsi="Garamond" w:cs="Garamond"/>
          <w:color w:val="000000"/>
        </w:rPr>
      </w:pPr>
    </w:p>
    <w:p w14:paraId="0000007A" w14:textId="2E54CD04"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The goals of ground level ozone modeling are to identify the most significant predictors for ground level ozone and quantify their impacts on influencing ozone variance, as well as to accurately predict ground ozone levels given weather and pollutant scenarios. With these goals in mind, our team created one set of interpretable statistical models for the number of ozone particles and one set of models using machine learning techniques. For the statistical investigation, we utilized Python (ver. 3.9.7) and selected Multiple Linear Regression, Poisson Regression, Negative Binomial Regression, and Robust Linear Regression. For the machine learning investigation, we used Random Forest and </w:t>
      </w:r>
      <w:proofErr w:type="spellStart"/>
      <w:r w:rsidRPr="1508864B">
        <w:rPr>
          <w:rFonts w:ascii="Garamond" w:eastAsia="Garamond" w:hAnsi="Garamond" w:cs="Garamond"/>
        </w:rPr>
        <w:t>XGBoost</w:t>
      </w:r>
      <w:proofErr w:type="spellEnd"/>
      <w:r w:rsidRPr="1508864B">
        <w:rPr>
          <w:rFonts w:ascii="Garamond" w:eastAsia="Garamond" w:hAnsi="Garamond" w:cs="Garamond"/>
          <w:color w:val="000000" w:themeColor="text1"/>
        </w:rPr>
        <w:t xml:space="preserve"> </w:t>
      </w:r>
      <w:r w:rsidRPr="1508864B">
        <w:rPr>
          <w:rFonts w:ascii="Garamond" w:eastAsia="Garamond" w:hAnsi="Garamond" w:cs="Garamond"/>
        </w:rPr>
        <w:t>to</w:t>
      </w:r>
      <w:r w:rsidRPr="1508864B">
        <w:rPr>
          <w:rFonts w:ascii="Garamond" w:eastAsia="Garamond" w:hAnsi="Garamond" w:cs="Garamond"/>
          <w:color w:val="000000" w:themeColor="text1"/>
        </w:rPr>
        <w:t xml:space="preserve"> accurately predict ground ozone. Our team selected forest and boosted machine learning techniques to capture the complex interactions between the explanatory variables used to predict ground ozone. </w:t>
      </w:r>
    </w:p>
    <w:p w14:paraId="0000007B" w14:textId="77777777" w:rsidR="007F0CF5" w:rsidRDefault="007F0CF5">
      <w:pPr>
        <w:spacing w:after="0" w:line="240" w:lineRule="auto"/>
        <w:rPr>
          <w:rFonts w:ascii="Garamond" w:eastAsia="Garamond" w:hAnsi="Garamond" w:cs="Garamond"/>
          <w:color w:val="000000"/>
        </w:rPr>
      </w:pPr>
    </w:p>
    <w:p w14:paraId="0000007C" w14:textId="4EEF6C42"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We created a separate model to predict ground level ozone in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to further understand the contributing factors to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specific ozone spikes. Here, we excluded features that change only with location, namely: land cover and proximity to oil and gas activity. Instead, we included NDVI to capture seasonal changes. We then applied the foregoing models to predict ozone and understand the interaction of various predictors.</w:t>
      </w:r>
    </w:p>
    <w:p w14:paraId="0000007D" w14:textId="77777777" w:rsidR="007F0CF5" w:rsidRDefault="007F0CF5">
      <w:pPr>
        <w:spacing w:after="0" w:line="240" w:lineRule="auto"/>
        <w:rPr>
          <w:rFonts w:ascii="Garamond" w:eastAsia="Garamond" w:hAnsi="Garamond" w:cs="Garamond"/>
          <w:color w:val="000000"/>
        </w:rPr>
      </w:pPr>
    </w:p>
    <w:p w14:paraId="0000007E" w14:textId="7BEA929F"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To train and assess the performance of the models, our team split the dataset of response and explanatory variables into a training set with 70% of the data and a test set with the remaining 30% of the data. We compared these models using their corresponding mean square errors (MSE), r-squared, and mean absolute error (MAE) statistics to understand their ability to explain the variability in the dataset. Additionally, we assessed feature importance and the statistical significance of predictors to understand which explanatory variables most contributed to variance. Finally, our team compared the results of the study area model and the </w:t>
      </w:r>
      <w:proofErr w:type="spellStart"/>
      <w:r w:rsidRPr="1508864B">
        <w:rPr>
          <w:rFonts w:ascii="Garamond" w:eastAsia="Garamond" w:hAnsi="Garamond" w:cs="Garamond"/>
          <w:color w:val="000000" w:themeColor="text1"/>
        </w:rPr>
        <w:t>Seiling</w:t>
      </w:r>
      <w:proofErr w:type="spellEnd"/>
      <w:r w:rsidRPr="1508864B">
        <w:rPr>
          <w:rFonts w:ascii="Garamond" w:eastAsia="Garamond" w:hAnsi="Garamond" w:cs="Garamond"/>
          <w:color w:val="000000" w:themeColor="text1"/>
        </w:rPr>
        <w:t xml:space="preserve"> specific models to understand the effect of location on ground ozone predictability and the specific features which are the most important in predicting </w:t>
      </w:r>
      <w:proofErr w:type="spellStart"/>
      <w:r w:rsidRPr="1508864B">
        <w:rPr>
          <w:rFonts w:ascii="Garamond" w:eastAsia="Garamond" w:hAnsi="Garamond" w:cs="Garamond"/>
          <w:color w:val="000000" w:themeColor="text1"/>
        </w:rPr>
        <w:t>Seiling’s</w:t>
      </w:r>
      <w:proofErr w:type="spellEnd"/>
      <w:r w:rsidRPr="1508864B">
        <w:rPr>
          <w:rFonts w:ascii="Garamond" w:eastAsia="Garamond" w:hAnsi="Garamond" w:cs="Garamond"/>
          <w:color w:val="000000" w:themeColor="text1"/>
        </w:rPr>
        <w:t xml:space="preserve"> ground ozone.</w:t>
      </w:r>
    </w:p>
    <w:p w14:paraId="0000007F" w14:textId="77777777" w:rsidR="007F0CF5" w:rsidRDefault="007F0CF5">
      <w:pPr>
        <w:spacing w:after="0" w:line="240" w:lineRule="auto"/>
        <w:rPr>
          <w:rFonts w:ascii="Garamond" w:eastAsia="Garamond" w:hAnsi="Garamond" w:cs="Garamond"/>
          <w:color w:val="FF0000"/>
        </w:rPr>
      </w:pPr>
    </w:p>
    <w:p w14:paraId="00000080" w14:textId="77777777" w:rsidR="007F0CF5" w:rsidRDefault="00652E1B">
      <w:pPr>
        <w:pStyle w:val="Heading1"/>
        <w:spacing w:before="0" w:line="240" w:lineRule="auto"/>
        <w:rPr>
          <w:rFonts w:ascii="Garamond" w:eastAsia="Garamond" w:hAnsi="Garamond" w:cs="Garamond"/>
        </w:rPr>
      </w:pPr>
      <w:bookmarkStart w:id="2" w:name="_heading=h.1fob9te" w:colFirst="0" w:colLast="0"/>
      <w:bookmarkEnd w:id="2"/>
      <w:r>
        <w:rPr>
          <w:rFonts w:ascii="Garamond" w:eastAsia="Garamond" w:hAnsi="Garamond" w:cs="Garamond"/>
        </w:rPr>
        <w:t>4. Results &amp; Discussion</w:t>
      </w:r>
    </w:p>
    <w:p w14:paraId="00000081" w14:textId="1C305050" w:rsidR="007F0CF5" w:rsidRDefault="00652E1B">
      <w:pPr>
        <w:spacing w:after="0" w:line="240" w:lineRule="auto"/>
        <w:rPr>
          <w:rFonts w:ascii="Garamond" w:eastAsia="Garamond" w:hAnsi="Garamond" w:cs="Garamond"/>
          <w:b/>
        </w:rPr>
      </w:pPr>
      <w:r>
        <w:rPr>
          <w:rFonts w:ascii="Garamond" w:eastAsia="Garamond" w:hAnsi="Garamond" w:cs="Garamond"/>
          <w:b/>
          <w:i/>
        </w:rPr>
        <w:t xml:space="preserve">4.1 Data </w:t>
      </w:r>
      <w:r w:rsidR="00046893">
        <w:rPr>
          <w:rFonts w:ascii="Garamond" w:eastAsia="Garamond" w:hAnsi="Garamond" w:cs="Garamond"/>
          <w:b/>
          <w:i/>
        </w:rPr>
        <w:t>E</w:t>
      </w:r>
      <w:r>
        <w:rPr>
          <w:rFonts w:ascii="Garamond" w:eastAsia="Garamond" w:hAnsi="Garamond" w:cs="Garamond"/>
          <w:b/>
          <w:i/>
        </w:rPr>
        <w:t xml:space="preserve">xploration </w:t>
      </w:r>
      <w:r w:rsidR="00046893">
        <w:rPr>
          <w:rFonts w:ascii="Garamond" w:eastAsia="Garamond" w:hAnsi="Garamond" w:cs="Garamond"/>
          <w:b/>
          <w:i/>
        </w:rPr>
        <w:t>R</w:t>
      </w:r>
      <w:r>
        <w:rPr>
          <w:rFonts w:ascii="Garamond" w:eastAsia="Garamond" w:hAnsi="Garamond" w:cs="Garamond"/>
          <w:b/>
          <w:i/>
        </w:rPr>
        <w:t>esults</w:t>
      </w:r>
    </w:p>
    <w:p w14:paraId="00000082"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The in-situ graphical visualizations showed spikes in summertime hourly ground ozone in </w:t>
      </w:r>
      <w:proofErr w:type="spellStart"/>
      <w:r>
        <w:rPr>
          <w:rFonts w:ascii="Garamond" w:eastAsia="Garamond" w:hAnsi="Garamond" w:cs="Garamond"/>
        </w:rPr>
        <w:t>Seiling</w:t>
      </w:r>
      <w:proofErr w:type="spellEnd"/>
      <w:r>
        <w:rPr>
          <w:rFonts w:ascii="Garamond" w:eastAsia="Garamond" w:hAnsi="Garamond" w:cs="Garamond"/>
        </w:rPr>
        <w:t xml:space="preserve"> (Dewey County) as compared to monitors in metropolitan counties (Oklahoma and Tulsa) in 2018 (Appendix D). </w:t>
      </w:r>
      <w:r>
        <w:rPr>
          <w:rFonts w:ascii="Garamond" w:eastAsia="Garamond" w:hAnsi="Garamond" w:cs="Garamond"/>
        </w:rPr>
        <w:lastRenderedPageBreak/>
        <w:t xml:space="preserve">When aggregated into monthly averages, 2018 was a spike year as compared to preceding and subsequent years (Figure 1). Visualizations of EO data showed hotspots of pollutants across the study area (Figure 4). </w:t>
      </w:r>
    </w:p>
    <w:tbl>
      <w:tblPr>
        <w:tblStyle w:val="af8"/>
        <w:tblW w:w="9375" w:type="dxa"/>
        <w:tblBorders>
          <w:top w:val="nil"/>
          <w:left w:val="nil"/>
          <w:bottom w:val="nil"/>
          <w:right w:val="nil"/>
          <w:insideH w:val="nil"/>
          <w:insideV w:val="nil"/>
        </w:tblBorders>
        <w:tblLayout w:type="fixed"/>
        <w:tblLook w:val="0600" w:firstRow="0" w:lastRow="0" w:firstColumn="0" w:lastColumn="0" w:noHBand="1" w:noVBand="1"/>
      </w:tblPr>
      <w:tblGrid>
        <w:gridCol w:w="4687"/>
        <w:gridCol w:w="4688"/>
      </w:tblGrid>
      <w:tr w:rsidR="007F0CF5" w14:paraId="43BF0955" w14:textId="77777777" w:rsidTr="1508864B">
        <w:trPr>
          <w:trHeight w:val="3199"/>
        </w:trPr>
        <w:tc>
          <w:tcPr>
            <w:tcW w:w="4687" w:type="dxa"/>
          </w:tcPr>
          <w:p w14:paraId="00000083" w14:textId="77777777" w:rsidR="007F0CF5" w:rsidRDefault="00652E1B">
            <w:pPr>
              <w:jc w:val="center"/>
              <w:rPr>
                <w:rFonts w:ascii="Garamond" w:eastAsia="Garamond" w:hAnsi="Garamond" w:cs="Garamond"/>
                <w:b/>
                <w:color w:val="000000"/>
              </w:rPr>
            </w:pPr>
            <w:r>
              <w:rPr>
                <w:rFonts w:ascii="Garamond" w:eastAsia="Garamond" w:hAnsi="Garamond" w:cs="Garamond"/>
                <w:b/>
                <w:color w:val="000000"/>
              </w:rPr>
              <w:t>(a)</w:t>
            </w:r>
          </w:p>
          <w:p w14:paraId="00000084" w14:textId="77777777" w:rsidR="007F0CF5" w:rsidRDefault="00652E1B">
            <w:pPr>
              <w:keepNext/>
              <w:jc w:val="center"/>
            </w:pPr>
            <w:r>
              <w:rPr>
                <w:noProof/>
              </w:rPr>
              <w:drawing>
                <wp:inline distT="0" distB="0" distL="0" distR="0" wp14:anchorId="77E3DEFF" wp14:editId="7BEED15F">
                  <wp:extent cx="2400300" cy="1817674"/>
                  <wp:effectExtent l="0" t="0" r="0" b="0"/>
                  <wp:docPr id="21274860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b="3883"/>
                          <a:stretch>
                            <a:fillRect/>
                          </a:stretch>
                        </pic:blipFill>
                        <pic:spPr>
                          <a:xfrm>
                            <a:off x="0" y="0"/>
                            <a:ext cx="2400300" cy="1817674"/>
                          </a:xfrm>
                          <a:prstGeom prst="rect">
                            <a:avLst/>
                          </a:prstGeom>
                          <a:ln/>
                        </pic:spPr>
                      </pic:pic>
                    </a:graphicData>
                  </a:graphic>
                </wp:inline>
              </w:drawing>
            </w:r>
          </w:p>
        </w:tc>
        <w:tc>
          <w:tcPr>
            <w:tcW w:w="4688" w:type="dxa"/>
          </w:tcPr>
          <w:p w14:paraId="00000085" w14:textId="77777777" w:rsidR="007F0CF5" w:rsidRDefault="00652E1B">
            <w:pPr>
              <w:jc w:val="center"/>
              <w:rPr>
                <w:rFonts w:ascii="Garamond" w:eastAsia="Garamond" w:hAnsi="Garamond" w:cs="Garamond"/>
                <w:b/>
                <w:color w:val="000000"/>
              </w:rPr>
            </w:pPr>
            <w:r>
              <w:rPr>
                <w:rFonts w:ascii="Garamond" w:eastAsia="Garamond" w:hAnsi="Garamond" w:cs="Garamond"/>
                <w:b/>
                <w:color w:val="000000"/>
              </w:rPr>
              <w:t>(b)</w:t>
            </w:r>
          </w:p>
          <w:p w14:paraId="00000086" w14:textId="77777777" w:rsidR="007F0CF5" w:rsidRDefault="00652E1B">
            <w:pPr>
              <w:jc w:val="center"/>
              <w:rPr>
                <w:rFonts w:ascii="Garamond" w:eastAsia="Garamond" w:hAnsi="Garamond" w:cs="Garamond"/>
                <w:b/>
                <w:color w:val="000000"/>
              </w:rPr>
            </w:pPr>
            <w:r>
              <w:rPr>
                <w:noProof/>
              </w:rPr>
              <w:drawing>
                <wp:inline distT="0" distB="0" distL="0" distR="0" wp14:anchorId="13E329B8" wp14:editId="0CC4233B">
                  <wp:extent cx="2298462" cy="1821043"/>
                  <wp:effectExtent l="0" t="0" r="0" b="0"/>
                  <wp:docPr id="212748603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5"/>
                          <a:srcRect b="4733"/>
                          <a:stretch>
                            <a:fillRect/>
                          </a:stretch>
                        </pic:blipFill>
                        <pic:spPr>
                          <a:xfrm>
                            <a:off x="0" y="0"/>
                            <a:ext cx="2298462" cy="1821043"/>
                          </a:xfrm>
                          <a:prstGeom prst="rect">
                            <a:avLst/>
                          </a:prstGeom>
                          <a:ln/>
                        </pic:spPr>
                      </pic:pic>
                    </a:graphicData>
                  </a:graphic>
                </wp:inline>
              </w:drawing>
            </w:r>
          </w:p>
        </w:tc>
      </w:tr>
      <w:tr w:rsidR="007F0CF5" w14:paraId="12D5D979" w14:textId="77777777" w:rsidTr="1508864B">
        <w:trPr>
          <w:trHeight w:val="649"/>
        </w:trPr>
        <w:tc>
          <w:tcPr>
            <w:tcW w:w="9375" w:type="dxa"/>
            <w:gridSpan w:val="2"/>
          </w:tcPr>
          <w:p w14:paraId="00000087" w14:textId="324C1F46" w:rsidR="007F0CF5" w:rsidRDefault="0F2829D8" w:rsidP="1508864B">
            <w:pPr>
              <w:jc w:val="center"/>
              <w:rPr>
                <w:rFonts w:ascii="Garamond" w:eastAsia="Garamond" w:hAnsi="Garamond" w:cs="Garamond"/>
                <w:color w:val="000000"/>
              </w:rPr>
            </w:pPr>
            <w:r w:rsidRPr="1508864B">
              <w:rPr>
                <w:rFonts w:ascii="Garamond" w:eastAsia="Garamond" w:hAnsi="Garamond" w:cs="Garamond"/>
                <w:i/>
                <w:iCs/>
                <w:color w:val="000000" w:themeColor="text1"/>
              </w:rPr>
              <w:t xml:space="preserve">Figure 4. </w:t>
            </w:r>
            <w:r w:rsidRPr="1508864B">
              <w:rPr>
                <w:rFonts w:ascii="Garamond" w:eastAsia="Garamond" w:hAnsi="Garamond" w:cs="Garamond"/>
                <w:color w:val="000000" w:themeColor="text1"/>
              </w:rPr>
              <w:t>Visualizations of TOC data (a) and NO</w:t>
            </w:r>
            <w:r w:rsidRPr="1508864B">
              <w:rPr>
                <w:rFonts w:ascii="Garamond" w:eastAsia="Garamond" w:hAnsi="Garamond" w:cs="Garamond"/>
                <w:color w:val="000000" w:themeColor="text1"/>
                <w:vertAlign w:val="subscript"/>
              </w:rPr>
              <w:t xml:space="preserve">2 </w:t>
            </w:r>
            <w:r w:rsidRPr="1508864B">
              <w:rPr>
                <w:rFonts w:ascii="Garamond" w:eastAsia="Garamond" w:hAnsi="Garamond" w:cs="Garamond"/>
                <w:color w:val="000000" w:themeColor="text1"/>
              </w:rPr>
              <w:t>data (b) showed pollutant hotspots across the study area. Red represents the highest concentrations while blue represents the lowest concentrations, in moles/m</w:t>
            </w:r>
            <w:r w:rsidRPr="1508864B">
              <w:rPr>
                <w:rFonts w:ascii="Garamond" w:eastAsia="Garamond" w:hAnsi="Garamond" w:cs="Garamond"/>
                <w:color w:val="000000" w:themeColor="text1"/>
                <w:vertAlign w:val="superscript"/>
              </w:rPr>
              <w:t>2</w:t>
            </w:r>
            <w:r w:rsidRPr="1508864B">
              <w:rPr>
                <w:rFonts w:ascii="Garamond" w:eastAsia="Garamond" w:hAnsi="Garamond" w:cs="Garamond"/>
                <w:color w:val="000000" w:themeColor="text1"/>
              </w:rPr>
              <w:t>.</w:t>
            </w:r>
          </w:p>
        </w:tc>
      </w:tr>
    </w:tbl>
    <w:p w14:paraId="00000089" w14:textId="77777777" w:rsidR="007F0CF5" w:rsidRDefault="00652E1B">
      <w:pPr>
        <w:spacing w:after="0" w:line="240" w:lineRule="auto"/>
        <w:rPr>
          <w:rFonts w:ascii="Garamond" w:eastAsia="Garamond" w:hAnsi="Garamond" w:cs="Garamond"/>
          <w:b/>
          <w:i/>
        </w:rPr>
      </w:pPr>
      <w:r>
        <w:rPr>
          <w:rFonts w:ascii="Garamond" w:eastAsia="Garamond" w:hAnsi="Garamond" w:cs="Garamond"/>
          <w:b/>
          <w:i/>
        </w:rPr>
        <w:t>4.2 Correlation and time lag results</w:t>
      </w:r>
    </w:p>
    <w:p w14:paraId="0000008A" w14:textId="77777777" w:rsidR="007F0CF5" w:rsidRDefault="00652E1B">
      <w:pPr>
        <w:spacing w:after="0" w:line="240" w:lineRule="auto"/>
        <w:rPr>
          <w:rFonts w:ascii="Garamond" w:eastAsia="Garamond" w:hAnsi="Garamond" w:cs="Garamond"/>
          <w:color w:val="000000"/>
        </w:rPr>
      </w:pPr>
      <w:r>
        <w:rPr>
          <w:rFonts w:ascii="Garamond" w:eastAsia="Garamond" w:hAnsi="Garamond" w:cs="Garamond"/>
          <w:color w:val="000000"/>
        </w:rPr>
        <w:t xml:space="preserve">The outputs of the analysis for the 45-day period from July 1 to August 15 show for ground Ozone (Figure 5a) and </w:t>
      </w:r>
      <w:r>
        <w:rPr>
          <w:rFonts w:ascii="Garamond" w:eastAsia="Garamond" w:hAnsi="Garamond" w:cs="Garamond"/>
        </w:rPr>
        <w:t>NO</w:t>
      </w:r>
      <w:r>
        <w:rPr>
          <w:rFonts w:ascii="Garamond" w:eastAsia="Garamond" w:hAnsi="Garamond" w:cs="Garamond"/>
          <w:vertAlign w:val="subscript"/>
        </w:rPr>
        <w:t>2</w:t>
      </w:r>
      <w:r>
        <w:rPr>
          <w:rFonts w:ascii="Garamond" w:eastAsia="Garamond" w:hAnsi="Garamond" w:cs="Garamond"/>
          <w:color w:val="000000"/>
        </w:rPr>
        <w:t xml:space="preserve"> (Figure 5b)</w:t>
      </w:r>
      <w:r>
        <w:rPr>
          <w:rFonts w:ascii="Garamond" w:eastAsia="Garamond" w:hAnsi="Garamond" w:cs="Garamond"/>
          <w:i/>
          <w:color w:val="000000"/>
        </w:rPr>
        <w:t>,</w:t>
      </w:r>
      <w:r>
        <w:rPr>
          <w:rFonts w:ascii="Garamond" w:eastAsia="Garamond" w:hAnsi="Garamond" w:cs="Garamond"/>
          <w:color w:val="000000"/>
        </w:rPr>
        <w:t xml:space="preserve"> the ideal lag is 2 days with the EO </w:t>
      </w:r>
      <w:r>
        <w:rPr>
          <w:rFonts w:ascii="Garamond" w:eastAsia="Garamond" w:hAnsi="Garamond" w:cs="Garamond"/>
        </w:rPr>
        <w:t>NO</w:t>
      </w:r>
      <w:r>
        <w:rPr>
          <w:rFonts w:ascii="Garamond" w:eastAsia="Garamond" w:hAnsi="Garamond" w:cs="Garamond"/>
          <w:vertAlign w:val="subscript"/>
        </w:rPr>
        <w:t>2</w:t>
      </w:r>
      <w:r>
        <w:rPr>
          <w:rFonts w:ascii="Garamond" w:eastAsia="Garamond" w:hAnsi="Garamond" w:cs="Garamond"/>
          <w:color w:val="000000"/>
        </w:rPr>
        <w:t xml:space="preserve"> values leading. This lag resulted in a correlation coefficient of .16 between the ground Ozone and </w:t>
      </w:r>
      <w:r>
        <w:rPr>
          <w:rFonts w:ascii="Garamond" w:eastAsia="Garamond" w:hAnsi="Garamond" w:cs="Garamond"/>
        </w:rPr>
        <w:t>NO</w:t>
      </w:r>
      <w:r>
        <w:rPr>
          <w:rFonts w:ascii="Garamond" w:eastAsia="Garamond" w:hAnsi="Garamond" w:cs="Garamond"/>
          <w:vertAlign w:val="subscript"/>
        </w:rPr>
        <w:t>2</w:t>
      </w:r>
      <w:r>
        <w:rPr>
          <w:rFonts w:ascii="Garamond" w:eastAsia="Garamond" w:hAnsi="Garamond" w:cs="Garamond"/>
          <w:color w:val="000000"/>
        </w:rPr>
        <w:t xml:space="preserve">. For TOC Ozone and ground Ozone the maximum correlation coefficient was .39 and was maximized at a delay of 7 days with ground Ozone leading total column Ozone. These results show that time delays between EO data and ground data can influence the desired predictive levels. This exploration informed the HYSPLIT models, statistical models, and machine learning models. Ultimately, </w:t>
      </w:r>
      <w:r>
        <w:rPr>
          <w:rFonts w:ascii="Garamond" w:eastAsia="Garamond" w:hAnsi="Garamond" w:cs="Garamond"/>
        </w:rPr>
        <w:t>to</w:t>
      </w:r>
      <w:r>
        <w:rPr>
          <w:rFonts w:ascii="Garamond" w:eastAsia="Garamond" w:hAnsi="Garamond" w:cs="Garamond"/>
          <w:color w:val="000000"/>
        </w:rPr>
        <w:t xml:space="preserve"> utilize this time lag information more work is necessary.</w:t>
      </w:r>
    </w:p>
    <w:tbl>
      <w:tblPr>
        <w:tblStyle w:val="af9"/>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7F0CF5" w14:paraId="3104B766" w14:textId="77777777">
        <w:tc>
          <w:tcPr>
            <w:tcW w:w="4680" w:type="dxa"/>
          </w:tcPr>
          <w:p w14:paraId="0000008B" w14:textId="77777777" w:rsidR="007F0CF5" w:rsidRDefault="00652E1B">
            <w:pPr>
              <w:jc w:val="center"/>
              <w:rPr>
                <w:rFonts w:ascii="Garamond" w:eastAsia="Garamond" w:hAnsi="Garamond" w:cs="Garamond"/>
                <w:b/>
              </w:rPr>
            </w:pPr>
            <w:r>
              <w:rPr>
                <w:rFonts w:ascii="Garamond" w:eastAsia="Garamond" w:hAnsi="Garamond" w:cs="Garamond"/>
                <w:b/>
              </w:rPr>
              <w:t>(a)</w:t>
            </w:r>
          </w:p>
          <w:p w14:paraId="0000008C" w14:textId="77777777" w:rsidR="007F0CF5" w:rsidRDefault="00652E1B">
            <w:pPr>
              <w:jc w:val="center"/>
              <w:rPr>
                <w:rFonts w:ascii="Garamond" w:eastAsia="Garamond" w:hAnsi="Garamond" w:cs="Garamond"/>
              </w:rPr>
            </w:pPr>
            <w:r>
              <w:rPr>
                <w:noProof/>
              </w:rPr>
              <w:drawing>
                <wp:inline distT="0" distB="0" distL="0" distR="0" wp14:anchorId="5B88486D" wp14:editId="164F6E11">
                  <wp:extent cx="2737144" cy="1828800"/>
                  <wp:effectExtent l="0" t="0" r="0" b="0"/>
                  <wp:docPr id="21274860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737144" cy="1828800"/>
                          </a:xfrm>
                          <a:prstGeom prst="rect">
                            <a:avLst/>
                          </a:prstGeom>
                          <a:ln/>
                        </pic:spPr>
                      </pic:pic>
                    </a:graphicData>
                  </a:graphic>
                </wp:inline>
              </w:drawing>
            </w:r>
          </w:p>
        </w:tc>
        <w:tc>
          <w:tcPr>
            <w:tcW w:w="4680" w:type="dxa"/>
          </w:tcPr>
          <w:p w14:paraId="0000008D" w14:textId="77777777" w:rsidR="007F0CF5" w:rsidRDefault="00652E1B">
            <w:pPr>
              <w:jc w:val="center"/>
              <w:rPr>
                <w:rFonts w:ascii="Garamond" w:eastAsia="Garamond" w:hAnsi="Garamond" w:cs="Garamond"/>
                <w:b/>
              </w:rPr>
            </w:pPr>
            <w:r>
              <w:rPr>
                <w:rFonts w:ascii="Garamond" w:eastAsia="Garamond" w:hAnsi="Garamond" w:cs="Garamond"/>
                <w:b/>
              </w:rPr>
              <w:t>(b)</w:t>
            </w:r>
          </w:p>
          <w:p w14:paraId="0000008E" w14:textId="77777777" w:rsidR="007F0CF5" w:rsidRDefault="00652E1B">
            <w:pPr>
              <w:jc w:val="center"/>
              <w:rPr>
                <w:rFonts w:ascii="Garamond" w:eastAsia="Garamond" w:hAnsi="Garamond" w:cs="Garamond"/>
              </w:rPr>
            </w:pPr>
            <w:r>
              <w:rPr>
                <w:noProof/>
              </w:rPr>
              <w:drawing>
                <wp:inline distT="0" distB="0" distL="0" distR="0" wp14:anchorId="003E4E4F" wp14:editId="714ECECA">
                  <wp:extent cx="2743200" cy="1828800"/>
                  <wp:effectExtent l="0" t="0" r="0" b="0"/>
                  <wp:docPr id="21274860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743200" cy="1828800"/>
                          </a:xfrm>
                          <a:prstGeom prst="rect">
                            <a:avLst/>
                          </a:prstGeom>
                          <a:ln/>
                        </pic:spPr>
                      </pic:pic>
                    </a:graphicData>
                  </a:graphic>
                </wp:inline>
              </w:drawing>
            </w:r>
          </w:p>
        </w:tc>
      </w:tr>
      <w:tr w:rsidR="007F0CF5" w14:paraId="1CFC7FA0" w14:textId="77777777">
        <w:tc>
          <w:tcPr>
            <w:tcW w:w="9360" w:type="dxa"/>
            <w:gridSpan w:val="2"/>
          </w:tcPr>
          <w:p w14:paraId="0000008F" w14:textId="77777777" w:rsidR="007F0CF5" w:rsidRDefault="00652E1B">
            <w:pPr>
              <w:jc w:val="center"/>
              <w:rPr>
                <w:rFonts w:ascii="Garamond" w:eastAsia="Garamond" w:hAnsi="Garamond" w:cs="Garamond"/>
              </w:rPr>
            </w:pPr>
            <w:r>
              <w:rPr>
                <w:rFonts w:ascii="Garamond" w:eastAsia="Garamond" w:hAnsi="Garamond" w:cs="Garamond"/>
                <w:i/>
              </w:rPr>
              <w:t xml:space="preserve">Figure 5. </w:t>
            </w:r>
            <w:r>
              <w:rPr>
                <w:rFonts w:ascii="Garamond" w:eastAsia="Garamond" w:hAnsi="Garamond" w:cs="Garamond"/>
              </w:rPr>
              <w:t xml:space="preserve">Comparison of ground ozone levels from the </w:t>
            </w:r>
            <w:proofErr w:type="spellStart"/>
            <w:r>
              <w:rPr>
                <w:rFonts w:ascii="Garamond" w:eastAsia="Garamond" w:hAnsi="Garamond" w:cs="Garamond"/>
              </w:rPr>
              <w:t>Seiling</w:t>
            </w:r>
            <w:proofErr w:type="spellEnd"/>
            <w:r>
              <w:rPr>
                <w:rFonts w:ascii="Garamond" w:eastAsia="Garamond" w:hAnsi="Garamond" w:cs="Garamond"/>
              </w:rPr>
              <w:t xml:space="preserve"> monitor and TROPOMI tropospheric O</w:t>
            </w:r>
            <w:r>
              <w:rPr>
                <w:rFonts w:ascii="Garamond" w:eastAsia="Garamond" w:hAnsi="Garamond" w:cs="Garamond"/>
                <w:sz w:val="20"/>
                <w:szCs w:val="20"/>
                <w:vertAlign w:val="subscript"/>
              </w:rPr>
              <w:t>3</w:t>
            </w:r>
            <w:r>
              <w:rPr>
                <w:rFonts w:ascii="Garamond" w:eastAsia="Garamond" w:hAnsi="Garamond" w:cs="Garamond"/>
              </w:rPr>
              <w:t xml:space="preserve"> data in areas surrounding this sensor (a), and TROPOMI NO</w:t>
            </w:r>
            <w:r>
              <w:rPr>
                <w:rFonts w:ascii="Garamond" w:eastAsia="Garamond" w:hAnsi="Garamond" w:cs="Garamond"/>
                <w:vertAlign w:val="subscript"/>
              </w:rPr>
              <w:t>2</w:t>
            </w:r>
            <w:r>
              <w:rPr>
                <w:rFonts w:ascii="Garamond" w:eastAsia="Garamond" w:hAnsi="Garamond" w:cs="Garamond"/>
              </w:rPr>
              <w:t xml:space="preserve"> data (b).</w:t>
            </w:r>
          </w:p>
        </w:tc>
      </w:tr>
    </w:tbl>
    <w:p w14:paraId="00000091" w14:textId="77777777" w:rsidR="007F0CF5" w:rsidRDefault="00652E1B">
      <w:pPr>
        <w:spacing w:after="0" w:line="240" w:lineRule="auto"/>
        <w:rPr>
          <w:rFonts w:ascii="Garamond" w:eastAsia="Garamond" w:hAnsi="Garamond" w:cs="Garamond"/>
          <w:b/>
          <w:i/>
        </w:rPr>
      </w:pPr>
      <w:r>
        <w:rPr>
          <w:rFonts w:ascii="Garamond" w:eastAsia="Garamond" w:hAnsi="Garamond" w:cs="Garamond"/>
          <w:b/>
          <w:i/>
        </w:rPr>
        <w:t>4.3 HYSPLIT back trajectory results</w:t>
      </w:r>
    </w:p>
    <w:p w14:paraId="00000092" w14:textId="77777777" w:rsidR="007F0CF5" w:rsidRDefault="00652E1B">
      <w:pPr>
        <w:spacing w:after="0" w:line="240" w:lineRule="auto"/>
        <w:rPr>
          <w:rFonts w:ascii="Garamond" w:eastAsia="Garamond" w:hAnsi="Garamond" w:cs="Garamond"/>
          <w:i/>
        </w:rPr>
      </w:pPr>
      <w:r>
        <w:rPr>
          <w:rFonts w:ascii="Garamond" w:eastAsia="Garamond" w:hAnsi="Garamond" w:cs="Garamond"/>
          <w:i/>
        </w:rPr>
        <w:t>4.3.1 Baseline dates</w:t>
      </w:r>
    </w:p>
    <w:p w14:paraId="00000093" w14:textId="77777777" w:rsidR="007F0CF5" w:rsidRDefault="00652E1B">
      <w:pPr>
        <w:spacing w:after="0" w:line="240" w:lineRule="auto"/>
        <w:rPr>
          <w:rFonts w:ascii="Garamond" w:eastAsia="Garamond" w:hAnsi="Garamond" w:cs="Garamond"/>
          <w:i/>
          <w:color w:val="000000"/>
        </w:rPr>
      </w:pPr>
      <w:r>
        <w:rPr>
          <w:rFonts w:ascii="Garamond" w:eastAsia="Garamond" w:hAnsi="Garamond" w:cs="Garamond"/>
          <w:color w:val="000000"/>
        </w:rPr>
        <w:t xml:space="preserve">A random sample of four HYSPLIT back-trajectories preceding low-medium ozone days in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showed consistent patterns among particle movement. However, slight variations exist as particles traveled from south or southeast of </w:t>
      </w:r>
      <w:proofErr w:type="spellStart"/>
      <w:r>
        <w:rPr>
          <w:rFonts w:ascii="Garamond" w:eastAsia="Garamond" w:hAnsi="Garamond" w:cs="Garamond"/>
          <w:color w:val="000000"/>
        </w:rPr>
        <w:t>Seiling</w:t>
      </w:r>
      <w:proofErr w:type="spellEnd"/>
      <w:r>
        <w:rPr>
          <w:rFonts w:ascii="Garamond" w:eastAsia="Garamond" w:hAnsi="Garamond" w:cs="Garamond"/>
          <w:color w:val="000000"/>
        </w:rPr>
        <w:t>, avoiding Oklahoma City, Dallas, and the Texas panhandle. These are areas of consistent NO</w:t>
      </w:r>
      <w:r>
        <w:rPr>
          <w:rFonts w:ascii="Garamond" w:eastAsia="Garamond" w:hAnsi="Garamond" w:cs="Garamond"/>
          <w:color w:val="000000"/>
          <w:vertAlign w:val="subscript"/>
        </w:rPr>
        <w:t>2</w:t>
      </w:r>
      <w:r>
        <w:rPr>
          <w:rFonts w:ascii="Garamond" w:eastAsia="Garamond" w:hAnsi="Garamond" w:cs="Garamond"/>
          <w:color w:val="000000"/>
        </w:rPr>
        <w:t xml:space="preserve"> hotspots regionally (Figure 6a-d). The trajectory results suggest that particles originated from southern Texas and the Gulf of Mexico (Appendix A).</w:t>
      </w:r>
    </w:p>
    <w:tbl>
      <w:tblPr>
        <w:tblStyle w:val="afa"/>
        <w:tblW w:w="9360"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0"/>
      </w:tblGrid>
      <w:tr w:rsidR="007F0CF5" w14:paraId="1DB8E01D" w14:textId="77777777">
        <w:trPr>
          <w:trHeight w:val="3501"/>
        </w:trPr>
        <w:tc>
          <w:tcPr>
            <w:tcW w:w="4680" w:type="dxa"/>
            <w:tcBorders>
              <w:top w:val="nil"/>
              <w:left w:val="nil"/>
              <w:bottom w:val="nil"/>
              <w:right w:val="nil"/>
            </w:tcBorders>
          </w:tcPr>
          <w:p w14:paraId="00000094" w14:textId="77777777" w:rsidR="007F0CF5" w:rsidRDefault="00652E1B">
            <w:pPr>
              <w:jc w:val="center"/>
            </w:pPr>
            <w:r>
              <w:rPr>
                <w:rFonts w:ascii="Garamond" w:eastAsia="Garamond" w:hAnsi="Garamond" w:cs="Garamond"/>
                <w:b/>
              </w:rPr>
              <w:lastRenderedPageBreak/>
              <w:t>(a)</w:t>
            </w:r>
          </w:p>
          <w:p w14:paraId="00000095" w14:textId="77777777" w:rsidR="007F0CF5" w:rsidRDefault="00652E1B">
            <w:pPr>
              <w:jc w:val="center"/>
            </w:pPr>
            <w:r>
              <w:rPr>
                <w:noProof/>
              </w:rPr>
              <w:drawing>
                <wp:inline distT="0" distB="0" distL="0" distR="0" wp14:anchorId="77600E06" wp14:editId="3B06E0F5">
                  <wp:extent cx="2460931" cy="1783532"/>
                  <wp:effectExtent l="0" t="0" r="0" b="0"/>
                  <wp:docPr id="21274860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460931" cy="1783532"/>
                          </a:xfrm>
                          <a:prstGeom prst="rect">
                            <a:avLst/>
                          </a:prstGeom>
                          <a:ln/>
                        </pic:spPr>
                      </pic:pic>
                    </a:graphicData>
                  </a:graphic>
                </wp:inline>
              </w:drawing>
            </w:r>
            <w:r>
              <w:rPr>
                <w:rFonts w:ascii="Garamond" w:eastAsia="Garamond" w:hAnsi="Garamond" w:cs="Garamond"/>
              </w:rPr>
              <w:t xml:space="preserve"> </w:t>
            </w:r>
          </w:p>
        </w:tc>
        <w:tc>
          <w:tcPr>
            <w:tcW w:w="4680" w:type="dxa"/>
            <w:tcBorders>
              <w:top w:val="nil"/>
              <w:left w:val="nil"/>
              <w:bottom w:val="nil"/>
              <w:right w:val="nil"/>
            </w:tcBorders>
          </w:tcPr>
          <w:p w14:paraId="00000096" w14:textId="77777777" w:rsidR="007F0CF5" w:rsidRDefault="00652E1B">
            <w:pPr>
              <w:jc w:val="center"/>
            </w:pPr>
            <w:r>
              <w:rPr>
                <w:rFonts w:ascii="Garamond" w:eastAsia="Garamond" w:hAnsi="Garamond" w:cs="Garamond"/>
                <w:b/>
              </w:rPr>
              <w:t>(b)</w:t>
            </w:r>
            <w:r>
              <w:rPr>
                <w:rFonts w:ascii="Garamond" w:eastAsia="Garamond" w:hAnsi="Garamond" w:cs="Garamond"/>
              </w:rPr>
              <w:t xml:space="preserve"> </w:t>
            </w:r>
          </w:p>
          <w:p w14:paraId="00000097" w14:textId="77777777" w:rsidR="007F0CF5" w:rsidRDefault="00652E1B">
            <w:pPr>
              <w:jc w:val="center"/>
            </w:pPr>
            <w:r>
              <w:rPr>
                <w:noProof/>
              </w:rPr>
              <w:drawing>
                <wp:inline distT="0" distB="0" distL="0" distR="0" wp14:anchorId="11F0FCAF" wp14:editId="651A8BB5">
                  <wp:extent cx="2390775" cy="1782370"/>
                  <wp:effectExtent l="0" t="0" r="0" b="0"/>
                  <wp:docPr id="21274860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2390775" cy="1782370"/>
                          </a:xfrm>
                          <a:prstGeom prst="rect">
                            <a:avLst/>
                          </a:prstGeom>
                          <a:ln/>
                        </pic:spPr>
                      </pic:pic>
                    </a:graphicData>
                  </a:graphic>
                </wp:inline>
              </w:drawing>
            </w:r>
          </w:p>
        </w:tc>
      </w:tr>
      <w:tr w:rsidR="007F0CF5" w14:paraId="587A7AD8" w14:textId="77777777">
        <w:trPr>
          <w:trHeight w:val="3225"/>
        </w:trPr>
        <w:tc>
          <w:tcPr>
            <w:tcW w:w="4680" w:type="dxa"/>
            <w:tcBorders>
              <w:top w:val="nil"/>
              <w:left w:val="nil"/>
              <w:bottom w:val="nil"/>
              <w:right w:val="nil"/>
            </w:tcBorders>
          </w:tcPr>
          <w:p w14:paraId="00000098" w14:textId="77777777" w:rsidR="007F0CF5" w:rsidRDefault="00652E1B">
            <w:pPr>
              <w:jc w:val="center"/>
            </w:pPr>
            <w:r>
              <w:rPr>
                <w:rFonts w:ascii="Garamond" w:eastAsia="Garamond" w:hAnsi="Garamond" w:cs="Garamond"/>
                <w:b/>
                <w:color w:val="000000"/>
              </w:rPr>
              <w:t>(c)</w:t>
            </w:r>
            <w:r>
              <w:rPr>
                <w:rFonts w:ascii="Garamond" w:eastAsia="Garamond" w:hAnsi="Garamond" w:cs="Garamond"/>
                <w:color w:val="000000"/>
              </w:rPr>
              <w:t xml:space="preserve"> </w:t>
            </w:r>
          </w:p>
          <w:p w14:paraId="00000099" w14:textId="77777777" w:rsidR="007F0CF5" w:rsidRDefault="00652E1B">
            <w:pPr>
              <w:jc w:val="center"/>
            </w:pPr>
            <w:r>
              <w:rPr>
                <w:noProof/>
              </w:rPr>
              <w:drawing>
                <wp:inline distT="0" distB="0" distL="0" distR="0" wp14:anchorId="466E7931" wp14:editId="172C2FDC">
                  <wp:extent cx="2282273" cy="1590675"/>
                  <wp:effectExtent l="0" t="0" r="0" b="0"/>
                  <wp:docPr id="21274860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282273" cy="1590675"/>
                          </a:xfrm>
                          <a:prstGeom prst="rect">
                            <a:avLst/>
                          </a:prstGeom>
                          <a:ln/>
                        </pic:spPr>
                      </pic:pic>
                    </a:graphicData>
                  </a:graphic>
                </wp:inline>
              </w:drawing>
            </w:r>
            <w:r>
              <w:t xml:space="preserve"> </w:t>
            </w:r>
          </w:p>
        </w:tc>
        <w:tc>
          <w:tcPr>
            <w:tcW w:w="4680" w:type="dxa"/>
            <w:tcBorders>
              <w:top w:val="nil"/>
              <w:left w:val="nil"/>
              <w:bottom w:val="nil"/>
              <w:right w:val="nil"/>
            </w:tcBorders>
          </w:tcPr>
          <w:p w14:paraId="0000009A" w14:textId="77777777" w:rsidR="007F0CF5" w:rsidRDefault="00652E1B">
            <w:pPr>
              <w:jc w:val="center"/>
            </w:pPr>
            <w:r>
              <w:rPr>
                <w:rFonts w:ascii="Garamond" w:eastAsia="Garamond" w:hAnsi="Garamond" w:cs="Garamond"/>
                <w:b/>
                <w:color w:val="000000"/>
              </w:rPr>
              <w:t>(d)</w:t>
            </w:r>
            <w:r>
              <w:rPr>
                <w:rFonts w:ascii="Garamond" w:eastAsia="Garamond" w:hAnsi="Garamond" w:cs="Garamond"/>
                <w:color w:val="000000"/>
              </w:rPr>
              <w:t xml:space="preserve"> </w:t>
            </w:r>
          </w:p>
          <w:p w14:paraId="0000009B" w14:textId="77777777" w:rsidR="007F0CF5" w:rsidRDefault="00652E1B">
            <w:pPr>
              <w:jc w:val="center"/>
            </w:pPr>
            <w:r>
              <w:t xml:space="preserve">  </w:t>
            </w:r>
            <w:r>
              <w:rPr>
                <w:noProof/>
              </w:rPr>
              <w:drawing>
                <wp:inline distT="0" distB="0" distL="0" distR="0" wp14:anchorId="1534C359" wp14:editId="2436D831">
                  <wp:extent cx="2190554" cy="1615727"/>
                  <wp:effectExtent l="0" t="0" r="0" b="0"/>
                  <wp:docPr id="21274860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2190554" cy="1615727"/>
                          </a:xfrm>
                          <a:prstGeom prst="rect">
                            <a:avLst/>
                          </a:prstGeom>
                          <a:ln/>
                        </pic:spPr>
                      </pic:pic>
                    </a:graphicData>
                  </a:graphic>
                </wp:inline>
              </w:drawing>
            </w:r>
          </w:p>
        </w:tc>
      </w:tr>
      <w:tr w:rsidR="007F0CF5" w14:paraId="6DC7A727" w14:textId="77777777">
        <w:trPr>
          <w:trHeight w:val="1155"/>
        </w:trPr>
        <w:tc>
          <w:tcPr>
            <w:tcW w:w="4680" w:type="dxa"/>
            <w:tcBorders>
              <w:top w:val="nil"/>
              <w:left w:val="nil"/>
              <w:bottom w:val="nil"/>
              <w:right w:val="nil"/>
            </w:tcBorders>
          </w:tcPr>
          <w:p w14:paraId="0000009C" w14:textId="77777777" w:rsidR="007F0CF5" w:rsidRDefault="00652E1B">
            <w:pPr>
              <w:jc w:val="center"/>
            </w:pPr>
            <w:r>
              <w:t xml:space="preserve"> </w:t>
            </w:r>
            <w:r>
              <w:rPr>
                <w:noProof/>
              </w:rPr>
              <w:drawing>
                <wp:inline distT="0" distB="0" distL="0" distR="0" wp14:anchorId="6710A5BE" wp14:editId="04B350FB">
                  <wp:extent cx="1819275" cy="776520"/>
                  <wp:effectExtent l="0" t="0" r="0" b="0"/>
                  <wp:docPr id="21274860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1819275" cy="776520"/>
                          </a:xfrm>
                          <a:prstGeom prst="rect">
                            <a:avLst/>
                          </a:prstGeom>
                          <a:ln/>
                        </pic:spPr>
                      </pic:pic>
                    </a:graphicData>
                  </a:graphic>
                </wp:inline>
              </w:drawing>
            </w:r>
            <w:r>
              <w:rPr>
                <w:noProof/>
              </w:rPr>
              <w:drawing>
                <wp:inline distT="0" distB="0" distL="0" distR="0" wp14:anchorId="6E365053" wp14:editId="34B46143">
                  <wp:extent cx="834266" cy="485775"/>
                  <wp:effectExtent l="0" t="0" r="0" b="0"/>
                  <wp:docPr id="21274860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834266" cy="485775"/>
                          </a:xfrm>
                          <a:prstGeom prst="rect">
                            <a:avLst/>
                          </a:prstGeom>
                          <a:ln/>
                        </pic:spPr>
                      </pic:pic>
                    </a:graphicData>
                  </a:graphic>
                </wp:inline>
              </w:drawing>
            </w:r>
          </w:p>
        </w:tc>
        <w:tc>
          <w:tcPr>
            <w:tcW w:w="4680" w:type="dxa"/>
            <w:tcBorders>
              <w:top w:val="nil"/>
              <w:left w:val="nil"/>
              <w:bottom w:val="nil"/>
              <w:right w:val="nil"/>
            </w:tcBorders>
          </w:tcPr>
          <w:p w14:paraId="0000009D" w14:textId="77777777" w:rsidR="007F0CF5" w:rsidRDefault="00652E1B">
            <w:r>
              <w:rPr>
                <w:rFonts w:ascii="Garamond" w:eastAsia="Garamond" w:hAnsi="Garamond" w:cs="Garamond"/>
                <w:i/>
                <w:color w:val="000000"/>
              </w:rPr>
              <w:t xml:space="preserve">Figure 6. </w:t>
            </w:r>
            <w:r>
              <w:rPr>
                <w:rFonts w:ascii="Garamond" w:eastAsia="Garamond" w:hAnsi="Garamond" w:cs="Garamond"/>
                <w:color w:val="000000"/>
              </w:rPr>
              <w:t>Baseline sample NO</w:t>
            </w:r>
            <w:r>
              <w:rPr>
                <w:rFonts w:ascii="Garamond" w:eastAsia="Garamond" w:hAnsi="Garamond" w:cs="Garamond"/>
                <w:color w:val="000000"/>
                <w:vertAlign w:val="subscript"/>
              </w:rPr>
              <w:t>2</w:t>
            </w:r>
            <w:r>
              <w:rPr>
                <w:rFonts w:ascii="Garamond" w:eastAsia="Garamond" w:hAnsi="Garamond" w:cs="Garamond"/>
                <w:color w:val="000000"/>
              </w:rPr>
              <w:t xml:space="preserve"> data for May 13, 2018 (a), June 10, 2018 (b), July 1, 2018 (c), and June 5, 2019 (d), overlaid with HYSPLIT particle trajectories one day prior to low ozone measurements in </w:t>
            </w:r>
            <w:proofErr w:type="spellStart"/>
            <w:r>
              <w:rPr>
                <w:rFonts w:ascii="Garamond" w:eastAsia="Garamond" w:hAnsi="Garamond" w:cs="Garamond"/>
                <w:color w:val="000000"/>
              </w:rPr>
              <w:t>Seiling</w:t>
            </w:r>
            <w:proofErr w:type="spellEnd"/>
            <w:r>
              <w:rPr>
                <w:rFonts w:ascii="Garamond" w:eastAsia="Garamond" w:hAnsi="Garamond" w:cs="Garamond"/>
                <w:color w:val="000000"/>
              </w:rPr>
              <w:t>.</w:t>
            </w:r>
          </w:p>
        </w:tc>
      </w:tr>
    </w:tbl>
    <w:p w14:paraId="0000009E" w14:textId="77777777" w:rsidR="007F0CF5" w:rsidRDefault="00652E1B">
      <w:pPr>
        <w:spacing w:after="0" w:line="240" w:lineRule="auto"/>
        <w:rPr>
          <w:rFonts w:ascii="Garamond" w:eastAsia="Garamond" w:hAnsi="Garamond" w:cs="Garamond"/>
        </w:rPr>
      </w:pPr>
      <w:r>
        <w:rPr>
          <w:rFonts w:ascii="Garamond" w:eastAsia="Garamond" w:hAnsi="Garamond" w:cs="Garamond"/>
          <w:i/>
          <w:color w:val="000000"/>
        </w:rPr>
        <w:t>4.3.2 Spike dates</w:t>
      </w:r>
    </w:p>
    <w:p w14:paraId="0000009F" w14:textId="77777777" w:rsidR="007F0CF5" w:rsidRDefault="00652E1B">
      <w:pPr>
        <w:spacing w:after="0" w:line="240" w:lineRule="auto"/>
        <w:rPr>
          <w:rFonts w:ascii="Garamond" w:eastAsia="Garamond" w:hAnsi="Garamond" w:cs="Garamond"/>
        </w:rPr>
      </w:pPr>
      <w:r>
        <w:rPr>
          <w:rFonts w:ascii="Garamond" w:eastAsia="Garamond" w:hAnsi="Garamond" w:cs="Garamond"/>
        </w:rPr>
        <w:t>Below, the HYSPLIT trajectories (Appendix B) are presented overlaid with EO pollutant maps for NO</w:t>
      </w:r>
      <w:r>
        <w:rPr>
          <w:rFonts w:ascii="Garamond" w:eastAsia="Garamond" w:hAnsi="Garamond" w:cs="Garamond"/>
          <w:vertAlign w:val="subscript"/>
        </w:rPr>
        <w:t>2</w:t>
      </w:r>
      <w:r>
        <w:rPr>
          <w:rFonts w:ascii="Garamond" w:eastAsia="Garamond" w:hAnsi="Garamond" w:cs="Garamond"/>
        </w:rPr>
        <w:t xml:space="preserve"> and TOC on days preceding spike days where potential interactions occurred. In general, we observed that HYSPLIT trajectories passed through regions of elevated NO</w:t>
      </w:r>
      <w:r>
        <w:rPr>
          <w:rFonts w:ascii="Garamond" w:eastAsia="Garamond" w:hAnsi="Garamond" w:cs="Garamond"/>
          <w:vertAlign w:val="subscript"/>
        </w:rPr>
        <w:t>2</w:t>
      </w:r>
      <w:r>
        <w:rPr>
          <w:rFonts w:ascii="Garamond" w:eastAsia="Garamond" w:hAnsi="Garamond" w:cs="Garamond"/>
        </w:rPr>
        <w:t xml:space="preserve"> on the day prior to a spike day. There was no distinct pattern with TOC concentrations. On May 25, particles traveled through a region of high TOC values south and west of Dallas, while particles did not appear to travel directly through an area of high NO</w:t>
      </w:r>
      <w:r>
        <w:rPr>
          <w:rFonts w:ascii="Garamond" w:eastAsia="Garamond" w:hAnsi="Garamond" w:cs="Garamond"/>
          <w:vertAlign w:val="subscript"/>
        </w:rPr>
        <w:t>2</w:t>
      </w:r>
      <w:r>
        <w:rPr>
          <w:rFonts w:ascii="Garamond" w:eastAsia="Garamond" w:hAnsi="Garamond" w:cs="Garamond"/>
        </w:rPr>
        <w:t xml:space="preserve"> concentration (Fig.7a, b).</w:t>
      </w:r>
      <w:r>
        <w:rPr>
          <w:rFonts w:ascii="Garamond" w:eastAsia="Garamond" w:hAnsi="Garamond" w:cs="Garamond"/>
          <w:i/>
        </w:rPr>
        <w:t xml:space="preserve"> </w:t>
      </w:r>
      <w:r>
        <w:rPr>
          <w:rFonts w:ascii="Garamond" w:eastAsia="Garamond" w:hAnsi="Garamond" w:cs="Garamond"/>
        </w:rPr>
        <w:t>On June 4 particles moved from north to south across the midwestern states. The maps suggest interaction of high TOC and NO</w:t>
      </w:r>
      <w:r>
        <w:rPr>
          <w:rFonts w:ascii="Garamond" w:eastAsia="Garamond" w:hAnsi="Garamond" w:cs="Garamond"/>
          <w:vertAlign w:val="subscript"/>
        </w:rPr>
        <w:t>2</w:t>
      </w:r>
      <w:r>
        <w:rPr>
          <w:rFonts w:ascii="Garamond" w:eastAsia="Garamond" w:hAnsi="Garamond" w:cs="Garamond"/>
        </w:rPr>
        <w:t xml:space="preserve"> values on June 4 in Oklahoma one day prior to spike day (Fig.7c, d)</w:t>
      </w:r>
      <w:r>
        <w:rPr>
          <w:rFonts w:ascii="Garamond" w:eastAsia="Garamond" w:hAnsi="Garamond" w:cs="Garamond"/>
          <w:i/>
        </w:rPr>
        <w:t xml:space="preserve">. </w:t>
      </w:r>
      <w:r>
        <w:rPr>
          <w:rFonts w:ascii="Garamond" w:eastAsia="Garamond" w:hAnsi="Garamond" w:cs="Garamond"/>
        </w:rPr>
        <w:t>On July 17, the visualizations suggest an interaction of high TOC values in a region west of Dallas two days prior to spike day, while particles passed through a region of high NO</w:t>
      </w:r>
      <w:r>
        <w:rPr>
          <w:rFonts w:ascii="Garamond" w:eastAsia="Garamond" w:hAnsi="Garamond" w:cs="Garamond"/>
          <w:vertAlign w:val="subscript"/>
        </w:rPr>
        <w:t>2</w:t>
      </w:r>
      <w:r>
        <w:rPr>
          <w:rFonts w:ascii="Garamond" w:eastAsia="Garamond" w:hAnsi="Garamond" w:cs="Garamond"/>
        </w:rPr>
        <w:t xml:space="preserve"> values on July 18, one day prior to a spike day (Fig.7e, f). Preceding the July 28 spike, visualizations suggest no clear interaction of particles with high TOC values along the trajectory, while on July 26, the particle trajectory passes an area of high NO</w:t>
      </w:r>
      <w:r>
        <w:rPr>
          <w:rFonts w:ascii="Garamond" w:eastAsia="Garamond" w:hAnsi="Garamond" w:cs="Garamond"/>
          <w:vertAlign w:val="subscript"/>
        </w:rPr>
        <w:t>2</w:t>
      </w:r>
      <w:r>
        <w:rPr>
          <w:rFonts w:ascii="Garamond" w:eastAsia="Garamond" w:hAnsi="Garamond" w:cs="Garamond"/>
        </w:rPr>
        <w:t xml:space="preserve"> values northeast of Oklahoma (Fig.7g, h). Preceding the August 3 spike, visualizations suggest an interaction of particles and high TOC values along the trajectory with exception to the day prior to the spike date, while particles pass through high levels of NO</w:t>
      </w:r>
      <w:r>
        <w:rPr>
          <w:rFonts w:ascii="Garamond" w:eastAsia="Garamond" w:hAnsi="Garamond" w:cs="Garamond"/>
          <w:vertAlign w:val="subscript"/>
        </w:rPr>
        <w:t>2</w:t>
      </w:r>
      <w:r>
        <w:rPr>
          <w:rFonts w:ascii="Garamond" w:eastAsia="Garamond" w:hAnsi="Garamond" w:cs="Garamond"/>
        </w:rPr>
        <w:t xml:space="preserve"> in the Dallas area one day before a spike (Fig.7i, j). It is worth noting that spike date trajectories passing through Dallas (Fig 7b, d, j) had the highest daily maximum in-situ ozone levels in </w:t>
      </w:r>
      <w:proofErr w:type="spellStart"/>
      <w:r>
        <w:rPr>
          <w:rFonts w:ascii="Garamond" w:eastAsia="Garamond" w:hAnsi="Garamond" w:cs="Garamond"/>
        </w:rPr>
        <w:t>Seiling</w:t>
      </w:r>
      <w:proofErr w:type="spellEnd"/>
      <w:r>
        <w:rPr>
          <w:rFonts w:ascii="Garamond" w:eastAsia="Garamond" w:hAnsi="Garamond" w:cs="Garamond"/>
        </w:rPr>
        <w:t xml:space="preserve">. </w:t>
      </w:r>
    </w:p>
    <w:p w14:paraId="000000A0" w14:textId="77777777" w:rsidR="007F0CF5" w:rsidRDefault="00652E1B">
      <w:r>
        <w:br w:type="page"/>
      </w:r>
    </w:p>
    <w:tbl>
      <w:tblPr>
        <w:tblStyle w:val="afb"/>
        <w:tblW w:w="936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4905"/>
        <w:gridCol w:w="4455"/>
      </w:tblGrid>
      <w:tr w:rsidR="007F0CF5" w14:paraId="1F647895" w14:textId="77777777">
        <w:tc>
          <w:tcPr>
            <w:tcW w:w="4905" w:type="dxa"/>
          </w:tcPr>
          <w:p w14:paraId="000000A1" w14:textId="77777777" w:rsidR="007F0CF5" w:rsidRDefault="00652E1B">
            <w:pPr>
              <w:jc w:val="center"/>
              <w:rPr>
                <w:rFonts w:ascii="Garamond" w:eastAsia="Garamond" w:hAnsi="Garamond" w:cs="Garamond"/>
              </w:rPr>
            </w:pPr>
            <w:r>
              <w:rPr>
                <w:rFonts w:ascii="Garamond" w:eastAsia="Garamond" w:hAnsi="Garamond" w:cs="Garamond"/>
                <w:b/>
              </w:rPr>
              <w:lastRenderedPageBreak/>
              <w:t>(a)</w:t>
            </w:r>
          </w:p>
          <w:p w14:paraId="000000A2" w14:textId="77777777" w:rsidR="007F0CF5" w:rsidRDefault="00652E1B">
            <w:pPr>
              <w:jc w:val="center"/>
            </w:pPr>
            <w:r>
              <w:rPr>
                <w:noProof/>
              </w:rPr>
              <w:drawing>
                <wp:inline distT="0" distB="0" distL="0" distR="0" wp14:anchorId="07040A68" wp14:editId="410FDAB3">
                  <wp:extent cx="2091502" cy="1452822"/>
                  <wp:effectExtent l="0" t="0" r="0" b="0"/>
                  <wp:docPr id="212748604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4"/>
                          <a:srcRect/>
                          <a:stretch>
                            <a:fillRect/>
                          </a:stretch>
                        </pic:blipFill>
                        <pic:spPr>
                          <a:xfrm>
                            <a:off x="0" y="0"/>
                            <a:ext cx="2091502" cy="1452822"/>
                          </a:xfrm>
                          <a:prstGeom prst="rect">
                            <a:avLst/>
                          </a:prstGeom>
                          <a:ln/>
                        </pic:spPr>
                      </pic:pic>
                    </a:graphicData>
                  </a:graphic>
                </wp:inline>
              </w:drawing>
            </w:r>
          </w:p>
        </w:tc>
        <w:tc>
          <w:tcPr>
            <w:tcW w:w="4455" w:type="dxa"/>
          </w:tcPr>
          <w:p w14:paraId="000000A3" w14:textId="77777777" w:rsidR="007F0CF5" w:rsidRDefault="00652E1B">
            <w:pPr>
              <w:jc w:val="center"/>
              <w:rPr>
                <w:rFonts w:ascii="Garamond" w:eastAsia="Garamond" w:hAnsi="Garamond" w:cs="Garamond"/>
              </w:rPr>
            </w:pPr>
            <w:r>
              <w:rPr>
                <w:rFonts w:ascii="Garamond" w:eastAsia="Garamond" w:hAnsi="Garamond" w:cs="Garamond"/>
                <w:b/>
              </w:rPr>
              <w:t>(b)</w:t>
            </w:r>
          </w:p>
          <w:p w14:paraId="000000A4" w14:textId="77777777" w:rsidR="007F0CF5" w:rsidRDefault="00652E1B">
            <w:pPr>
              <w:jc w:val="center"/>
            </w:pPr>
            <w:r>
              <w:rPr>
                <w:noProof/>
              </w:rPr>
              <w:drawing>
                <wp:inline distT="0" distB="0" distL="0" distR="0" wp14:anchorId="1845D13B" wp14:editId="497893DB">
                  <wp:extent cx="1987870" cy="1380836"/>
                  <wp:effectExtent l="0" t="0" r="0" b="0"/>
                  <wp:docPr id="212748604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5"/>
                          <a:srcRect/>
                          <a:stretch>
                            <a:fillRect/>
                          </a:stretch>
                        </pic:blipFill>
                        <pic:spPr>
                          <a:xfrm>
                            <a:off x="0" y="0"/>
                            <a:ext cx="1987870" cy="1380836"/>
                          </a:xfrm>
                          <a:prstGeom prst="rect">
                            <a:avLst/>
                          </a:prstGeom>
                          <a:ln/>
                        </pic:spPr>
                      </pic:pic>
                    </a:graphicData>
                  </a:graphic>
                </wp:inline>
              </w:drawing>
            </w:r>
          </w:p>
        </w:tc>
      </w:tr>
      <w:tr w:rsidR="007F0CF5" w14:paraId="6C72B7E1" w14:textId="77777777">
        <w:tc>
          <w:tcPr>
            <w:tcW w:w="4905" w:type="dxa"/>
          </w:tcPr>
          <w:p w14:paraId="000000A5" w14:textId="77777777" w:rsidR="007F0CF5" w:rsidRDefault="00652E1B">
            <w:pPr>
              <w:jc w:val="center"/>
              <w:rPr>
                <w:rFonts w:ascii="Garamond" w:eastAsia="Garamond" w:hAnsi="Garamond" w:cs="Garamond"/>
                <w:b/>
              </w:rPr>
            </w:pPr>
            <w:r>
              <w:rPr>
                <w:rFonts w:ascii="Garamond" w:eastAsia="Garamond" w:hAnsi="Garamond" w:cs="Garamond"/>
                <w:b/>
              </w:rPr>
              <w:t>(c)</w:t>
            </w:r>
          </w:p>
          <w:p w14:paraId="000000A6" w14:textId="77777777" w:rsidR="007F0CF5" w:rsidRDefault="00652E1B">
            <w:pPr>
              <w:jc w:val="center"/>
            </w:pPr>
            <w:r>
              <w:rPr>
                <w:noProof/>
              </w:rPr>
              <w:drawing>
                <wp:inline distT="0" distB="0" distL="0" distR="0" wp14:anchorId="31CD2714" wp14:editId="26610109">
                  <wp:extent cx="2102556" cy="1460500"/>
                  <wp:effectExtent l="0" t="0" r="0" b="0"/>
                  <wp:docPr id="21274860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6"/>
                          <a:srcRect/>
                          <a:stretch>
                            <a:fillRect/>
                          </a:stretch>
                        </pic:blipFill>
                        <pic:spPr>
                          <a:xfrm>
                            <a:off x="0" y="0"/>
                            <a:ext cx="2102556" cy="1460500"/>
                          </a:xfrm>
                          <a:prstGeom prst="rect">
                            <a:avLst/>
                          </a:prstGeom>
                          <a:ln/>
                        </pic:spPr>
                      </pic:pic>
                    </a:graphicData>
                  </a:graphic>
                </wp:inline>
              </w:drawing>
            </w:r>
          </w:p>
        </w:tc>
        <w:tc>
          <w:tcPr>
            <w:tcW w:w="4455" w:type="dxa"/>
          </w:tcPr>
          <w:p w14:paraId="000000A7" w14:textId="77777777" w:rsidR="007F0CF5" w:rsidRDefault="00652E1B">
            <w:pPr>
              <w:jc w:val="center"/>
              <w:rPr>
                <w:rFonts w:ascii="Garamond" w:eastAsia="Garamond" w:hAnsi="Garamond" w:cs="Garamond"/>
                <w:b/>
              </w:rPr>
            </w:pPr>
            <w:r>
              <w:rPr>
                <w:rFonts w:ascii="Garamond" w:eastAsia="Garamond" w:hAnsi="Garamond" w:cs="Garamond"/>
                <w:b/>
              </w:rPr>
              <w:t>(d)</w:t>
            </w:r>
          </w:p>
          <w:p w14:paraId="000000A8" w14:textId="77777777" w:rsidR="007F0CF5" w:rsidRDefault="00652E1B">
            <w:pPr>
              <w:jc w:val="center"/>
            </w:pPr>
            <w:r>
              <w:rPr>
                <w:noProof/>
              </w:rPr>
              <w:drawing>
                <wp:inline distT="0" distB="0" distL="0" distR="0" wp14:anchorId="727176C8" wp14:editId="05E6BF8F">
                  <wp:extent cx="2112112" cy="1467139"/>
                  <wp:effectExtent l="0" t="0" r="0" b="0"/>
                  <wp:docPr id="212748605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7"/>
                          <a:srcRect/>
                          <a:stretch>
                            <a:fillRect/>
                          </a:stretch>
                        </pic:blipFill>
                        <pic:spPr>
                          <a:xfrm>
                            <a:off x="0" y="0"/>
                            <a:ext cx="2112112" cy="1467139"/>
                          </a:xfrm>
                          <a:prstGeom prst="rect">
                            <a:avLst/>
                          </a:prstGeom>
                          <a:ln/>
                        </pic:spPr>
                      </pic:pic>
                    </a:graphicData>
                  </a:graphic>
                </wp:inline>
              </w:drawing>
            </w:r>
          </w:p>
        </w:tc>
      </w:tr>
      <w:tr w:rsidR="007F0CF5" w14:paraId="08052515" w14:textId="77777777">
        <w:tc>
          <w:tcPr>
            <w:tcW w:w="4905" w:type="dxa"/>
          </w:tcPr>
          <w:p w14:paraId="000000A9" w14:textId="77777777" w:rsidR="007F0CF5" w:rsidRDefault="00652E1B">
            <w:pPr>
              <w:jc w:val="center"/>
              <w:rPr>
                <w:rFonts w:ascii="Garamond" w:eastAsia="Garamond" w:hAnsi="Garamond" w:cs="Garamond"/>
                <w:b/>
              </w:rPr>
            </w:pPr>
            <w:r>
              <w:rPr>
                <w:rFonts w:ascii="Garamond" w:eastAsia="Garamond" w:hAnsi="Garamond" w:cs="Garamond"/>
                <w:b/>
              </w:rPr>
              <w:t>(e)</w:t>
            </w:r>
          </w:p>
          <w:p w14:paraId="000000AA" w14:textId="77777777" w:rsidR="007F0CF5" w:rsidRDefault="00652E1B">
            <w:pPr>
              <w:jc w:val="center"/>
            </w:pPr>
            <w:r>
              <w:rPr>
                <w:noProof/>
              </w:rPr>
              <w:drawing>
                <wp:inline distT="0" distB="0" distL="0" distR="0" wp14:anchorId="004F8FD1" wp14:editId="074D079E">
                  <wp:extent cx="2092661" cy="1457508"/>
                  <wp:effectExtent l="0" t="0" r="0" b="0"/>
                  <wp:docPr id="212748605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8"/>
                          <a:srcRect/>
                          <a:stretch>
                            <a:fillRect/>
                          </a:stretch>
                        </pic:blipFill>
                        <pic:spPr>
                          <a:xfrm>
                            <a:off x="0" y="0"/>
                            <a:ext cx="2092661" cy="1457508"/>
                          </a:xfrm>
                          <a:prstGeom prst="rect">
                            <a:avLst/>
                          </a:prstGeom>
                          <a:ln/>
                        </pic:spPr>
                      </pic:pic>
                    </a:graphicData>
                  </a:graphic>
                </wp:inline>
              </w:drawing>
            </w:r>
          </w:p>
        </w:tc>
        <w:tc>
          <w:tcPr>
            <w:tcW w:w="4455" w:type="dxa"/>
          </w:tcPr>
          <w:p w14:paraId="000000AB" w14:textId="77777777" w:rsidR="007F0CF5" w:rsidRDefault="00652E1B">
            <w:pPr>
              <w:jc w:val="center"/>
              <w:rPr>
                <w:rFonts w:ascii="Garamond" w:eastAsia="Garamond" w:hAnsi="Garamond" w:cs="Garamond"/>
                <w:b/>
              </w:rPr>
            </w:pPr>
            <w:r>
              <w:rPr>
                <w:rFonts w:ascii="Garamond" w:eastAsia="Garamond" w:hAnsi="Garamond" w:cs="Garamond"/>
                <w:b/>
              </w:rPr>
              <w:t>(f)</w:t>
            </w:r>
          </w:p>
          <w:p w14:paraId="000000AC" w14:textId="77777777" w:rsidR="007F0CF5" w:rsidRDefault="00652E1B">
            <w:pPr>
              <w:jc w:val="center"/>
            </w:pPr>
            <w:r>
              <w:rPr>
                <w:noProof/>
              </w:rPr>
              <w:drawing>
                <wp:inline distT="0" distB="0" distL="0" distR="0" wp14:anchorId="3129DED7" wp14:editId="2E56A6EE">
                  <wp:extent cx="2016542" cy="1400752"/>
                  <wp:effectExtent l="0" t="0" r="0" b="0"/>
                  <wp:docPr id="212748605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9"/>
                          <a:srcRect/>
                          <a:stretch>
                            <a:fillRect/>
                          </a:stretch>
                        </pic:blipFill>
                        <pic:spPr>
                          <a:xfrm>
                            <a:off x="0" y="0"/>
                            <a:ext cx="2016542" cy="1400752"/>
                          </a:xfrm>
                          <a:prstGeom prst="rect">
                            <a:avLst/>
                          </a:prstGeom>
                          <a:ln/>
                        </pic:spPr>
                      </pic:pic>
                    </a:graphicData>
                  </a:graphic>
                </wp:inline>
              </w:drawing>
            </w:r>
          </w:p>
        </w:tc>
      </w:tr>
      <w:tr w:rsidR="007F0CF5" w14:paraId="486C514C" w14:textId="77777777">
        <w:tc>
          <w:tcPr>
            <w:tcW w:w="4905" w:type="dxa"/>
          </w:tcPr>
          <w:p w14:paraId="000000AD" w14:textId="77777777" w:rsidR="007F0CF5" w:rsidRDefault="00652E1B">
            <w:pPr>
              <w:jc w:val="center"/>
              <w:rPr>
                <w:rFonts w:ascii="Garamond" w:eastAsia="Garamond" w:hAnsi="Garamond" w:cs="Garamond"/>
                <w:b/>
              </w:rPr>
            </w:pPr>
            <w:r>
              <w:rPr>
                <w:rFonts w:ascii="Garamond" w:eastAsia="Garamond" w:hAnsi="Garamond" w:cs="Garamond"/>
                <w:b/>
              </w:rPr>
              <w:t>(g)</w:t>
            </w:r>
          </w:p>
          <w:p w14:paraId="000000AE" w14:textId="77777777" w:rsidR="007F0CF5" w:rsidRDefault="00652E1B">
            <w:pPr>
              <w:jc w:val="center"/>
              <w:rPr>
                <w:rFonts w:ascii="Garamond" w:eastAsia="Garamond" w:hAnsi="Garamond" w:cs="Garamond"/>
                <w:b/>
              </w:rPr>
            </w:pPr>
            <w:r>
              <w:rPr>
                <w:noProof/>
              </w:rPr>
              <w:drawing>
                <wp:inline distT="0" distB="0" distL="0" distR="0" wp14:anchorId="4D4EB1F8" wp14:editId="5F0E4D72">
                  <wp:extent cx="2083441" cy="1447223"/>
                  <wp:effectExtent l="0" t="0" r="0" b="0"/>
                  <wp:docPr id="21274860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2083441" cy="1447223"/>
                          </a:xfrm>
                          <a:prstGeom prst="rect">
                            <a:avLst/>
                          </a:prstGeom>
                          <a:ln/>
                        </pic:spPr>
                      </pic:pic>
                    </a:graphicData>
                  </a:graphic>
                </wp:inline>
              </w:drawing>
            </w:r>
          </w:p>
        </w:tc>
        <w:tc>
          <w:tcPr>
            <w:tcW w:w="4455" w:type="dxa"/>
          </w:tcPr>
          <w:p w14:paraId="000000AF" w14:textId="77777777" w:rsidR="007F0CF5" w:rsidRDefault="00652E1B">
            <w:pPr>
              <w:jc w:val="center"/>
              <w:rPr>
                <w:rFonts w:ascii="Garamond" w:eastAsia="Garamond" w:hAnsi="Garamond" w:cs="Garamond"/>
                <w:b/>
              </w:rPr>
            </w:pPr>
            <w:r>
              <w:rPr>
                <w:rFonts w:ascii="Garamond" w:eastAsia="Garamond" w:hAnsi="Garamond" w:cs="Garamond"/>
                <w:b/>
              </w:rPr>
              <w:t>(h)</w:t>
            </w:r>
          </w:p>
          <w:p w14:paraId="000000B0" w14:textId="77777777" w:rsidR="007F0CF5" w:rsidRDefault="00652E1B">
            <w:pPr>
              <w:jc w:val="center"/>
            </w:pPr>
            <w:r>
              <w:rPr>
                <w:noProof/>
              </w:rPr>
              <w:drawing>
                <wp:inline distT="0" distB="0" distL="0" distR="0" wp14:anchorId="42BE088C" wp14:editId="0F5ABF8D">
                  <wp:extent cx="2045578" cy="1423954"/>
                  <wp:effectExtent l="0" t="0" r="0" b="0"/>
                  <wp:docPr id="21274860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2045578" cy="1423954"/>
                          </a:xfrm>
                          <a:prstGeom prst="rect">
                            <a:avLst/>
                          </a:prstGeom>
                          <a:ln/>
                        </pic:spPr>
                      </pic:pic>
                    </a:graphicData>
                  </a:graphic>
                </wp:inline>
              </w:drawing>
            </w:r>
          </w:p>
        </w:tc>
      </w:tr>
      <w:tr w:rsidR="007F0CF5" w14:paraId="7E77B310" w14:textId="77777777">
        <w:tc>
          <w:tcPr>
            <w:tcW w:w="4905" w:type="dxa"/>
          </w:tcPr>
          <w:p w14:paraId="000000B1" w14:textId="77777777" w:rsidR="007F0CF5" w:rsidRDefault="00652E1B">
            <w:pPr>
              <w:jc w:val="center"/>
              <w:rPr>
                <w:rFonts w:ascii="Garamond" w:eastAsia="Garamond" w:hAnsi="Garamond" w:cs="Garamond"/>
                <w:b/>
              </w:rPr>
            </w:pPr>
            <w:r>
              <w:rPr>
                <w:rFonts w:ascii="Garamond" w:eastAsia="Garamond" w:hAnsi="Garamond" w:cs="Garamond"/>
                <w:b/>
              </w:rPr>
              <w:t>(</w:t>
            </w:r>
            <w:proofErr w:type="spellStart"/>
            <w:r>
              <w:rPr>
                <w:rFonts w:ascii="Garamond" w:eastAsia="Garamond" w:hAnsi="Garamond" w:cs="Garamond"/>
                <w:b/>
              </w:rPr>
              <w:t>i</w:t>
            </w:r>
            <w:proofErr w:type="spellEnd"/>
            <w:r>
              <w:rPr>
                <w:rFonts w:ascii="Garamond" w:eastAsia="Garamond" w:hAnsi="Garamond" w:cs="Garamond"/>
                <w:b/>
              </w:rPr>
              <w:t>)</w:t>
            </w:r>
          </w:p>
          <w:p w14:paraId="000000B2" w14:textId="77777777" w:rsidR="007F0CF5" w:rsidRDefault="00652E1B">
            <w:pPr>
              <w:jc w:val="center"/>
              <w:rPr>
                <w:rFonts w:ascii="Times New Roman" w:eastAsia="Times New Roman" w:hAnsi="Times New Roman" w:cs="Times New Roman"/>
                <w:color w:val="000000"/>
              </w:rPr>
            </w:pPr>
            <w:r>
              <w:rPr>
                <w:noProof/>
              </w:rPr>
              <w:drawing>
                <wp:inline distT="0" distB="0" distL="0" distR="0" wp14:anchorId="27732BC9" wp14:editId="08639444">
                  <wp:extent cx="1958883" cy="1345559"/>
                  <wp:effectExtent l="0" t="0" r="0" b="0"/>
                  <wp:docPr id="2127486018" name="image3.jpg" descr="Inserting image..."/>
                  <wp:cNvGraphicFramePr/>
                  <a:graphic xmlns:a="http://schemas.openxmlformats.org/drawingml/2006/main">
                    <a:graphicData uri="http://schemas.openxmlformats.org/drawingml/2006/picture">
                      <pic:pic xmlns:pic="http://schemas.openxmlformats.org/drawingml/2006/picture">
                        <pic:nvPicPr>
                          <pic:cNvPr id="0" name="image3.jpg" descr="Inserting image..."/>
                          <pic:cNvPicPr preferRelativeResize="0"/>
                        </pic:nvPicPr>
                        <pic:blipFill>
                          <a:blip r:embed="rId32"/>
                          <a:srcRect/>
                          <a:stretch>
                            <a:fillRect/>
                          </a:stretch>
                        </pic:blipFill>
                        <pic:spPr>
                          <a:xfrm>
                            <a:off x="0" y="0"/>
                            <a:ext cx="1958883" cy="1345559"/>
                          </a:xfrm>
                          <a:prstGeom prst="rect">
                            <a:avLst/>
                          </a:prstGeom>
                          <a:ln/>
                        </pic:spPr>
                      </pic:pic>
                    </a:graphicData>
                  </a:graphic>
                </wp:inline>
              </w:drawing>
            </w:r>
          </w:p>
        </w:tc>
        <w:tc>
          <w:tcPr>
            <w:tcW w:w="4455" w:type="dxa"/>
          </w:tcPr>
          <w:p w14:paraId="000000B3" w14:textId="77777777" w:rsidR="007F0CF5" w:rsidRDefault="00652E1B">
            <w:pPr>
              <w:jc w:val="center"/>
              <w:rPr>
                <w:rFonts w:ascii="Garamond" w:eastAsia="Garamond" w:hAnsi="Garamond" w:cs="Garamond"/>
                <w:b/>
              </w:rPr>
            </w:pPr>
            <w:r>
              <w:rPr>
                <w:rFonts w:ascii="Garamond" w:eastAsia="Garamond" w:hAnsi="Garamond" w:cs="Garamond"/>
                <w:b/>
              </w:rPr>
              <w:t>(j)</w:t>
            </w:r>
          </w:p>
          <w:p w14:paraId="000000B4" w14:textId="77777777" w:rsidR="007F0CF5" w:rsidRDefault="00652E1B">
            <w:pPr>
              <w:jc w:val="center"/>
              <w:rPr>
                <w:rFonts w:ascii="Garamond" w:eastAsia="Garamond" w:hAnsi="Garamond" w:cs="Garamond"/>
                <w:b/>
              </w:rPr>
            </w:pPr>
            <w:r>
              <w:rPr>
                <w:noProof/>
              </w:rPr>
              <w:drawing>
                <wp:inline distT="0" distB="0" distL="0" distR="0" wp14:anchorId="6F3BAACC" wp14:editId="5F1459DB">
                  <wp:extent cx="2045213" cy="1420668"/>
                  <wp:effectExtent l="0" t="0" r="0" b="0"/>
                  <wp:docPr id="21274860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3"/>
                          <a:srcRect/>
                          <a:stretch>
                            <a:fillRect/>
                          </a:stretch>
                        </pic:blipFill>
                        <pic:spPr>
                          <a:xfrm>
                            <a:off x="0" y="0"/>
                            <a:ext cx="2045213" cy="1420668"/>
                          </a:xfrm>
                          <a:prstGeom prst="rect">
                            <a:avLst/>
                          </a:prstGeom>
                          <a:ln/>
                        </pic:spPr>
                      </pic:pic>
                    </a:graphicData>
                  </a:graphic>
                </wp:inline>
              </w:drawing>
            </w:r>
          </w:p>
        </w:tc>
      </w:tr>
      <w:tr w:rsidR="007F0CF5" w14:paraId="511D6093" w14:textId="77777777">
        <w:tc>
          <w:tcPr>
            <w:tcW w:w="9360" w:type="dxa"/>
            <w:gridSpan w:val="2"/>
          </w:tcPr>
          <w:p w14:paraId="000000B5" w14:textId="77777777" w:rsidR="007F0CF5" w:rsidRDefault="00652E1B">
            <w:pPr>
              <w:jc w:val="center"/>
              <w:rPr>
                <w:rFonts w:ascii="Garamond" w:eastAsia="Garamond" w:hAnsi="Garamond" w:cs="Garamond"/>
              </w:rPr>
            </w:pPr>
            <w:r>
              <w:rPr>
                <w:rFonts w:ascii="Garamond" w:eastAsia="Garamond" w:hAnsi="Garamond" w:cs="Garamond"/>
                <w:i/>
              </w:rPr>
              <w:lastRenderedPageBreak/>
              <w:t xml:space="preserve">Figure 7. </w:t>
            </w:r>
            <w:r>
              <w:rPr>
                <w:rFonts w:ascii="Garamond" w:eastAsia="Garamond" w:hAnsi="Garamond" w:cs="Garamond"/>
              </w:rPr>
              <w:t>Potential interactions of TOC and NO</w:t>
            </w:r>
            <w:r>
              <w:rPr>
                <w:rFonts w:ascii="Garamond" w:eastAsia="Garamond" w:hAnsi="Garamond" w:cs="Garamond"/>
                <w:vertAlign w:val="subscript"/>
              </w:rPr>
              <w:t>2</w:t>
            </w:r>
            <w:r>
              <w:rPr>
                <w:rFonts w:ascii="Garamond" w:eastAsia="Garamond" w:hAnsi="Garamond" w:cs="Garamond"/>
              </w:rPr>
              <w:t xml:space="preserve"> pollutants and concentrations of atmospheric particles depicted as polygons generated by the HYSPLIT software (a-j).</w:t>
            </w:r>
          </w:p>
        </w:tc>
      </w:tr>
    </w:tbl>
    <w:p w14:paraId="000000B8" w14:textId="6A5B53F5" w:rsidR="007F0CF5" w:rsidRDefault="0F2829D8" w:rsidP="1508864B">
      <w:pPr>
        <w:spacing w:after="0" w:line="240" w:lineRule="auto"/>
        <w:rPr>
          <w:rFonts w:ascii="Garamond" w:eastAsia="Garamond" w:hAnsi="Garamond" w:cs="Garamond"/>
        </w:rPr>
      </w:pPr>
      <w:r w:rsidRPr="1508864B">
        <w:rPr>
          <w:rFonts w:ascii="Garamond" w:eastAsia="Garamond" w:hAnsi="Garamond" w:cs="Garamond"/>
        </w:rPr>
        <w:t>Given these comparisons and cross validation between daily NO</w:t>
      </w:r>
      <w:r w:rsidRPr="1508864B">
        <w:rPr>
          <w:rFonts w:ascii="Garamond" w:eastAsia="Garamond" w:hAnsi="Garamond" w:cs="Garamond"/>
          <w:vertAlign w:val="subscript"/>
        </w:rPr>
        <w:t>2</w:t>
      </w:r>
      <w:r w:rsidRPr="1508864B">
        <w:rPr>
          <w:rFonts w:ascii="Garamond" w:eastAsia="Garamond" w:hAnsi="Garamond" w:cs="Garamond"/>
        </w:rPr>
        <w:t xml:space="preserve"> concentrations and hypothetical HYSPLIT trajectories, it is possible that some spikes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in 2018 could arise from weather patterns bringing NO</w:t>
      </w:r>
      <w:r w:rsidRPr="1508864B">
        <w:rPr>
          <w:rFonts w:ascii="Garamond" w:eastAsia="Garamond" w:hAnsi="Garamond" w:cs="Garamond"/>
          <w:vertAlign w:val="subscript"/>
        </w:rPr>
        <w:t>2</w:t>
      </w:r>
      <w:r w:rsidRPr="1508864B">
        <w:rPr>
          <w:rFonts w:ascii="Garamond" w:eastAsia="Garamond" w:hAnsi="Garamond" w:cs="Garamond"/>
        </w:rPr>
        <w:t xml:space="preserve"> in from Kansas City, Amarillo, and Dallas and days where NO</w:t>
      </w:r>
      <w:r w:rsidRPr="1508864B">
        <w:rPr>
          <w:rFonts w:ascii="Garamond" w:eastAsia="Garamond" w:hAnsi="Garamond" w:cs="Garamond"/>
          <w:vertAlign w:val="subscript"/>
        </w:rPr>
        <w:t>2</w:t>
      </w:r>
      <w:r w:rsidRPr="1508864B">
        <w:rPr>
          <w:rFonts w:ascii="Garamond" w:eastAsia="Garamond" w:hAnsi="Garamond" w:cs="Garamond"/>
        </w:rPr>
        <w:t xml:space="preserve"> is high in these areas. On days where wind patterns travel from the Gulf of Mexico, up through southern Texas and between Amarillo and Dallas, ground ozone levels in the summer of 2018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were much lower. It is unclear where exactly ozone formation is occurring, and to what degree extremely hot and dry weather events could be affecting these scenarios.</w:t>
      </w:r>
    </w:p>
    <w:p w14:paraId="000000B9" w14:textId="77777777" w:rsidR="007F0CF5" w:rsidRDefault="007F0CF5">
      <w:pPr>
        <w:spacing w:after="0" w:line="240" w:lineRule="auto"/>
        <w:rPr>
          <w:rFonts w:ascii="Garamond" w:eastAsia="Garamond" w:hAnsi="Garamond" w:cs="Garamond"/>
        </w:rPr>
      </w:pPr>
    </w:p>
    <w:p w14:paraId="000000BA" w14:textId="77777777" w:rsidR="007F0CF5" w:rsidRDefault="00652E1B">
      <w:pPr>
        <w:spacing w:after="0" w:line="240" w:lineRule="auto"/>
        <w:rPr>
          <w:rFonts w:ascii="Garamond" w:eastAsia="Garamond" w:hAnsi="Garamond" w:cs="Garamond"/>
          <w:i/>
          <w:color w:val="000000"/>
        </w:rPr>
      </w:pPr>
      <w:r>
        <w:rPr>
          <w:rFonts w:ascii="Garamond" w:eastAsia="Garamond" w:hAnsi="Garamond" w:cs="Garamond"/>
          <w:i/>
          <w:color w:val="000000"/>
        </w:rPr>
        <w:t>4.3.3. Statistical and Machine Learning Model Results</w:t>
      </w:r>
    </w:p>
    <w:p w14:paraId="000000BB" w14:textId="77777777" w:rsidR="007F0CF5" w:rsidRDefault="00652E1B">
      <w:pPr>
        <w:spacing w:after="0" w:line="240" w:lineRule="auto"/>
        <w:rPr>
          <w:rFonts w:ascii="Garamond" w:eastAsia="Garamond" w:hAnsi="Garamond" w:cs="Garamond"/>
          <w:color w:val="000000"/>
        </w:rPr>
      </w:pPr>
      <w:r>
        <w:rPr>
          <w:rFonts w:ascii="Garamond" w:eastAsia="Garamond" w:hAnsi="Garamond" w:cs="Garamond"/>
          <w:color w:val="000000"/>
        </w:rPr>
        <w:t>Both the statistical and machine learning models for the study area had high accuracy with the lowest Mean Squared Error (MSE) coming from the random forest model at 0.36 (Table C1) and the lowest MSE from the statistical models coming from the robust linear regression model, 0.</w:t>
      </w:r>
      <w:r>
        <w:rPr>
          <w:rFonts w:ascii="Garamond" w:eastAsia="Garamond" w:hAnsi="Garamond" w:cs="Garamond"/>
        </w:rPr>
        <w:t>82</w:t>
      </w:r>
      <w:r>
        <w:rPr>
          <w:rFonts w:ascii="Garamond" w:eastAsia="Garamond" w:hAnsi="Garamond" w:cs="Garamond"/>
          <w:color w:val="000000"/>
        </w:rPr>
        <w:t xml:space="preserve"> (Table C</w:t>
      </w:r>
      <w:r>
        <w:rPr>
          <w:rFonts w:ascii="Garamond" w:eastAsia="Garamond" w:hAnsi="Garamond" w:cs="Garamond"/>
        </w:rPr>
        <w:t>1</w:t>
      </w:r>
      <w:r>
        <w:rPr>
          <w:rFonts w:ascii="Garamond" w:eastAsia="Garamond" w:hAnsi="Garamond" w:cs="Garamond"/>
          <w:color w:val="000000"/>
        </w:rPr>
        <w:t xml:space="preserve">). The ability of the random forest to learn complex non-linear </w:t>
      </w:r>
      <w:r>
        <w:rPr>
          <w:rFonts w:ascii="Garamond" w:eastAsia="Garamond" w:hAnsi="Garamond" w:cs="Garamond"/>
        </w:rPr>
        <w:t>relationships</w:t>
      </w:r>
      <w:r>
        <w:rPr>
          <w:rFonts w:ascii="Garamond" w:eastAsia="Garamond" w:hAnsi="Garamond" w:cs="Garamond"/>
          <w:color w:val="000000"/>
        </w:rPr>
        <w:t xml:space="preserve"> results in higher performance compared to the linear and general linear models. </w:t>
      </w:r>
    </w:p>
    <w:p w14:paraId="000000BC" w14:textId="77777777" w:rsidR="007F0CF5" w:rsidRDefault="007F0CF5">
      <w:pPr>
        <w:spacing w:after="0" w:line="240" w:lineRule="auto"/>
        <w:rPr>
          <w:rFonts w:ascii="Garamond" w:eastAsia="Garamond" w:hAnsi="Garamond" w:cs="Garamond"/>
          <w:color w:val="000000"/>
        </w:rPr>
      </w:pPr>
    </w:p>
    <w:p w14:paraId="000000BD" w14:textId="77777777" w:rsidR="007F0CF5" w:rsidRDefault="00652E1B">
      <w:pPr>
        <w:spacing w:after="0" w:line="240" w:lineRule="auto"/>
        <w:rPr>
          <w:rFonts w:ascii="Garamond" w:eastAsia="Garamond" w:hAnsi="Garamond" w:cs="Garamond"/>
          <w:color w:val="000000"/>
        </w:rPr>
      </w:pPr>
      <w:r>
        <w:rPr>
          <w:rFonts w:ascii="Garamond" w:eastAsia="Garamond" w:hAnsi="Garamond" w:cs="Garamond"/>
          <w:color w:val="000000"/>
        </w:rPr>
        <w:t xml:space="preserve">The machine learning models identified humidity as the most important feature. This feature importance was determined by the amount of variation explained by the inclusion of the different predictor variables. Through this method of feature importance identification, humidity was the most important variable according to both the random forest and </w:t>
      </w:r>
      <w:proofErr w:type="spellStart"/>
      <w:r>
        <w:rPr>
          <w:rFonts w:ascii="Garamond" w:eastAsia="Garamond" w:hAnsi="Garamond" w:cs="Garamond"/>
        </w:rPr>
        <w:t>XGBoost</w:t>
      </w:r>
      <w:proofErr w:type="spellEnd"/>
      <w:r>
        <w:rPr>
          <w:rFonts w:ascii="Garamond" w:eastAsia="Garamond" w:hAnsi="Garamond" w:cs="Garamond"/>
          <w:color w:val="000000"/>
        </w:rPr>
        <w:t xml:space="preserve"> models. Longitude and date were identified as the next two most important variables by both the random forest and </w:t>
      </w:r>
      <w:proofErr w:type="spellStart"/>
      <w:r>
        <w:rPr>
          <w:rFonts w:ascii="Garamond" w:eastAsia="Garamond" w:hAnsi="Garamond" w:cs="Garamond"/>
        </w:rPr>
        <w:t>XGBoost</w:t>
      </w:r>
      <w:proofErr w:type="spellEnd"/>
      <w:r>
        <w:rPr>
          <w:rFonts w:ascii="Garamond" w:eastAsia="Garamond" w:hAnsi="Garamond" w:cs="Garamond"/>
          <w:color w:val="000000"/>
        </w:rPr>
        <w:t xml:space="preserve"> models. The earth observation values had mid-level feature importance falling from 0.0214 to 0.0625 (Figure C1). These features were also modeled qualitatively with the HYSPLIT model which displayed instances where particles aligned with the earth observations. </w:t>
      </w:r>
    </w:p>
    <w:p w14:paraId="000000BE" w14:textId="77777777" w:rsidR="007F0CF5" w:rsidRDefault="007F0CF5">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Garamond" w:hAnsi="Garamond" w:cs="Garamond"/>
          <w:color w:val="000000"/>
        </w:rPr>
      </w:pPr>
    </w:p>
    <w:p w14:paraId="000000BF" w14:textId="74EF0514" w:rsidR="007F0CF5" w:rsidRDefault="0F2829D8" w:rsidP="1508864B">
      <w:pPr>
        <w:pBdr>
          <w:top w:val="nil"/>
          <w:left w:val="nil"/>
          <w:bottom w:val="nil"/>
          <w:right w:val="nil"/>
          <w:between w:val="nil"/>
        </w:pBd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Regarding the statistical significance of variables, our team used the robust regression which had the lowest MSE to identify the key predictors of ground ozone. The robust regression model identified Latitude, Average TOC Ozone, Ground Temperature, Air Temperature, pressure, humidity, precipitation, and mean elevation as having been statistically significant at the 5% level (Table C4). Interestingly, the robust linear regression model </w:t>
      </w:r>
      <w:r w:rsidRPr="1508864B">
        <w:rPr>
          <w:rFonts w:ascii="Garamond" w:eastAsia="Garamond" w:hAnsi="Garamond" w:cs="Garamond"/>
        </w:rPr>
        <w:t>did not</w:t>
      </w:r>
      <w:r w:rsidRPr="1508864B">
        <w:rPr>
          <w:rFonts w:ascii="Garamond" w:eastAsia="Garamond" w:hAnsi="Garamond" w:cs="Garamond"/>
          <w:color w:val="000000" w:themeColor="text1"/>
        </w:rPr>
        <w:t xml:space="preserve"> identify date, windspeed, or latitude which were in the top five most important features according to the machine learning models. </w:t>
      </w:r>
    </w:p>
    <w:p w14:paraId="000000C0" w14:textId="77777777" w:rsidR="007F0CF5" w:rsidRDefault="007F0CF5">
      <w:pPr>
        <w:spacing w:after="0" w:line="240" w:lineRule="auto"/>
        <w:rPr>
          <w:rFonts w:ascii="Garamond" w:eastAsia="Garamond" w:hAnsi="Garamond" w:cs="Garamond"/>
          <w:color w:val="000000"/>
        </w:rPr>
      </w:pPr>
    </w:p>
    <w:p w14:paraId="000000C1" w14:textId="77777777" w:rsidR="007F0CF5" w:rsidRDefault="00652E1B">
      <w:pPr>
        <w:spacing w:after="0" w:line="240" w:lineRule="auto"/>
        <w:rPr>
          <w:rFonts w:ascii="Times New Roman" w:eastAsia="Times New Roman" w:hAnsi="Times New Roman" w:cs="Times New Roman"/>
          <w:color w:val="000000"/>
        </w:rPr>
      </w:pPr>
      <w:r>
        <w:rPr>
          <w:rFonts w:ascii="Garamond" w:eastAsia="Garamond" w:hAnsi="Garamond" w:cs="Garamond"/>
          <w:color w:val="000000"/>
        </w:rPr>
        <w:t xml:space="preserve">For the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model, the linear statistical model was highly accurate with a R-squared of 74.8% (Table C2) which surpassed the r-squared values of the robust linear model for the study area. In the </w:t>
      </w:r>
      <w:proofErr w:type="spellStart"/>
      <w:r>
        <w:rPr>
          <w:rFonts w:ascii="Garamond" w:eastAsia="Garamond" w:hAnsi="Garamond" w:cs="Garamond"/>
          <w:color w:val="000000"/>
        </w:rPr>
        <w:t>Seiling</w:t>
      </w:r>
      <w:proofErr w:type="spellEnd"/>
      <w:r>
        <w:rPr>
          <w:rFonts w:ascii="Garamond" w:eastAsia="Garamond" w:hAnsi="Garamond" w:cs="Garamond"/>
          <w:color w:val="000000"/>
        </w:rPr>
        <w:t xml:space="preserve"> linear model, the most statistically significant terms were average carbon dioxide, precipitation, and </w:t>
      </w:r>
      <w:r>
        <w:rPr>
          <w:rFonts w:ascii="Garamond" w:eastAsia="Garamond" w:hAnsi="Garamond" w:cs="Garamond"/>
        </w:rPr>
        <w:t>wind speed</w:t>
      </w:r>
      <w:r>
        <w:rPr>
          <w:rFonts w:ascii="Garamond" w:eastAsia="Garamond" w:hAnsi="Garamond" w:cs="Garamond"/>
          <w:color w:val="000000"/>
        </w:rPr>
        <w:t xml:space="preserve"> (Table C5). The high comparative r-squared of the linear model points to the impact of location on ozone formation. Also, the r-squared of the random forest model was not above that of the linear model, yet the random forest had a lower mean square error of 0.5724 </w:t>
      </w:r>
      <w:r>
        <w:rPr>
          <w:rFonts w:ascii="Garamond" w:eastAsia="Garamond" w:hAnsi="Garamond" w:cs="Garamond"/>
        </w:rPr>
        <w:t>(Table C2)</w:t>
      </w:r>
      <w:r>
        <w:rPr>
          <w:rFonts w:ascii="Garamond" w:eastAsia="Garamond" w:hAnsi="Garamond" w:cs="Garamond"/>
          <w:color w:val="000000"/>
        </w:rPr>
        <w:t xml:space="preserve"> compared to the mean square error of .6811(</w:t>
      </w:r>
      <w:r>
        <w:rPr>
          <w:rFonts w:ascii="Garamond" w:eastAsia="Garamond" w:hAnsi="Garamond" w:cs="Garamond"/>
        </w:rPr>
        <w:t>Table C2)</w:t>
      </w:r>
      <w:r>
        <w:rPr>
          <w:rFonts w:ascii="Garamond" w:eastAsia="Garamond" w:hAnsi="Garamond" w:cs="Garamond"/>
          <w:color w:val="000000"/>
        </w:rPr>
        <w:t xml:space="preserve"> in the linear model.  In conclusion, the high predictive power of the linear model indicates more straightforward interactions between pollutants and a high influence of location and regional properties on ozone formation</w:t>
      </w:r>
    </w:p>
    <w:p w14:paraId="000000C2" w14:textId="77777777" w:rsidR="007F0CF5" w:rsidRDefault="007F0CF5">
      <w:pPr>
        <w:spacing w:after="0" w:line="240" w:lineRule="auto"/>
        <w:rPr>
          <w:rFonts w:ascii="Garamond" w:eastAsia="Garamond" w:hAnsi="Garamond" w:cs="Garamond"/>
          <w:color w:val="000000"/>
        </w:rPr>
      </w:pPr>
    </w:p>
    <w:p w14:paraId="000000C3" w14:textId="77777777" w:rsidR="007F0CF5" w:rsidRDefault="00652E1B">
      <w:pPr>
        <w:spacing w:after="0" w:line="240" w:lineRule="auto"/>
        <w:rPr>
          <w:rFonts w:ascii="Garamond" w:eastAsia="Garamond" w:hAnsi="Garamond" w:cs="Garamond"/>
          <w:i/>
        </w:rPr>
      </w:pPr>
      <w:r>
        <w:rPr>
          <w:rFonts w:ascii="Garamond" w:eastAsia="Garamond" w:hAnsi="Garamond" w:cs="Garamond"/>
          <w:i/>
        </w:rPr>
        <w:t>4.3.4. Feature Importance Evaluation</w:t>
      </w:r>
    </w:p>
    <w:p w14:paraId="000000C4" w14:textId="77777777" w:rsidR="007F0CF5" w:rsidRDefault="0F2829D8">
      <w:pPr>
        <w:spacing w:after="0" w:line="240" w:lineRule="auto"/>
        <w:rPr>
          <w:rFonts w:ascii="Garamond" w:eastAsia="Garamond" w:hAnsi="Garamond" w:cs="Garamond"/>
        </w:rPr>
      </w:pPr>
      <w:bookmarkStart w:id="3" w:name="_heading=h.3znysh7"/>
      <w:bookmarkEnd w:id="3"/>
      <w:r w:rsidRPr="1508864B">
        <w:rPr>
          <w:rFonts w:ascii="Garamond" w:eastAsia="Garamond" w:hAnsi="Garamond" w:cs="Garamond"/>
        </w:rPr>
        <w:t>Of our six models, the most accurate was the random forest model, meanwhile the most accurate statistical model was the robust regression. It should be noted that across all the statistical models, predictors: air temperature, ground temperature, humidity, and the interaction between total column Ozone and humidity, explained the most variance in ground ozone, with p values of .005, .001, .020, .028, respectively. Predictors for fire intensity: fire event, weekend, and the number of power producers within 15 km of the monitor, showed limited to no contribution to changes in ground ozone.</w:t>
      </w:r>
    </w:p>
    <w:p w14:paraId="5EE05FBE" w14:textId="180AFD13" w:rsidR="1508864B" w:rsidRDefault="1508864B" w:rsidP="1508864B">
      <w:pPr>
        <w:spacing w:after="0" w:line="240" w:lineRule="auto"/>
        <w:rPr>
          <w:rFonts w:ascii="Garamond" w:eastAsia="Garamond" w:hAnsi="Garamond" w:cs="Garamond"/>
        </w:rPr>
      </w:pPr>
    </w:p>
    <w:p w14:paraId="000000C5" w14:textId="77777777" w:rsidR="007F0CF5" w:rsidRDefault="00652E1B">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4.4 Future Work</w:t>
      </w:r>
    </w:p>
    <w:p w14:paraId="000000C6"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lastRenderedPageBreak/>
        <w:t>Our ozone model identified variables most likely to predict current ozone levels but did not capture ozone formation dynamics. While it can tell us how influential a given factor is on ozone concentrations in a certain area, it cannot tell us where and when that ozone was formed. In general, more statistical models could be developed to track how emission of primary pollutants, like methane, in one location could account for the variation of ground level ozone in another location.</w:t>
      </w:r>
    </w:p>
    <w:p w14:paraId="000000C7"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8" w14:textId="6386CC78" w:rsidR="007F0CF5" w:rsidRDefault="0F2829D8">
      <w:pPr>
        <w:pBdr>
          <w:top w:val="nil"/>
          <w:left w:val="nil"/>
          <w:bottom w:val="nil"/>
          <w:right w:val="nil"/>
          <w:between w:val="nil"/>
        </w:pBdr>
        <w:spacing w:after="0" w:line="240" w:lineRule="auto"/>
        <w:rPr>
          <w:rFonts w:ascii="Garamond" w:eastAsia="Garamond" w:hAnsi="Garamond" w:cs="Garamond"/>
          <w:color w:val="000000"/>
        </w:rPr>
      </w:pPr>
      <w:bookmarkStart w:id="4" w:name="_heading=h.2et92p0"/>
      <w:bookmarkEnd w:id="4"/>
      <w:r w:rsidRPr="1508864B">
        <w:rPr>
          <w:rFonts w:ascii="Garamond" w:eastAsia="Garamond" w:hAnsi="Garamond" w:cs="Garamond"/>
          <w:color w:val="000000" w:themeColor="text1"/>
        </w:rPr>
        <w:t xml:space="preserve">One possible direction would be to develop a model that captures the spatiotemporal dynamics of ozone formation to further explore the influence of climate change. Our analyses indicate that ozone levels are highly correlated with humidity and energy sector activity. As summers become drier and warmer due to climate change, ozone formation dynamics may also shift, regardless of successful efforts to marginally curb emissions. Therefore, one line of inquiry would be to explore whether marginal decreases in precursor pollution levels in hotspot areas will be enough to reduce ozone levels, or does the influence of meteorological factors suggest that these efforts will be outweighed by increasing severity of weather? By developing a forecasting model to address </w:t>
      </w:r>
      <w:r w:rsidRPr="1508864B">
        <w:rPr>
          <w:rFonts w:ascii="Garamond" w:eastAsia="Garamond" w:hAnsi="Garamond" w:cs="Garamond"/>
        </w:rPr>
        <w:t>this</w:t>
      </w:r>
      <w:r w:rsidRPr="1508864B">
        <w:rPr>
          <w:rFonts w:ascii="Garamond" w:eastAsia="Garamond" w:hAnsi="Garamond" w:cs="Garamond"/>
          <w:color w:val="000000" w:themeColor="text1"/>
        </w:rPr>
        <w:t xml:space="preserve"> we could help predict where and when ozone spikes will occur. </w:t>
      </w:r>
    </w:p>
    <w:p w14:paraId="000000C9"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A"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Another element that could be further explored in future DEVELOP projects is developing a higher resolution temporal analysis. This could involve leveraging the temporal resolution of various reanalysis products or building downscaling models that can predict EO pollutant data at the hourly level, instead of the daily level. Since air quality fluctuates so rapidly, reinvestigating the questions set forward by this paper would allow community and policy partners to gain a better understanding of emission transport and the duration of air quality spikes.</w:t>
      </w:r>
    </w:p>
    <w:p w14:paraId="000000CB"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C"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Finally, additional quantitative analysis could be applied to our qualitative analysis of HYSPLIT trajectories in conjunction with EO data measurements. This could be done by using the HYSPLIT polygons as input features to join EO measurements spatially. This design could aid in future modeling scenarios.</w:t>
      </w:r>
    </w:p>
    <w:p w14:paraId="000000CD" w14:textId="77777777" w:rsidR="007F0CF5" w:rsidRDefault="007F0CF5">
      <w:pPr>
        <w:pBdr>
          <w:top w:val="nil"/>
          <w:left w:val="nil"/>
          <w:bottom w:val="nil"/>
          <w:right w:val="nil"/>
          <w:between w:val="nil"/>
        </w:pBdr>
        <w:spacing w:after="0" w:line="240" w:lineRule="auto"/>
        <w:rPr>
          <w:rFonts w:ascii="Garamond" w:eastAsia="Garamond" w:hAnsi="Garamond" w:cs="Garamond"/>
          <w:color w:val="000000"/>
        </w:rPr>
      </w:pPr>
    </w:p>
    <w:p w14:paraId="000000CE" w14:textId="77777777" w:rsidR="007F0CF5" w:rsidRDefault="00652E1B">
      <w:pPr>
        <w:pStyle w:val="Heading1"/>
        <w:spacing w:before="0" w:line="240" w:lineRule="auto"/>
        <w:rPr>
          <w:rFonts w:ascii="Garamond" w:eastAsia="Garamond" w:hAnsi="Garamond" w:cs="Garamond"/>
          <w:highlight w:val="cyan"/>
        </w:rPr>
      </w:pPr>
      <w:r>
        <w:rPr>
          <w:rFonts w:ascii="Garamond" w:eastAsia="Garamond" w:hAnsi="Garamond" w:cs="Garamond"/>
        </w:rPr>
        <w:t>5. Conclusions</w:t>
      </w:r>
    </w:p>
    <w:p w14:paraId="000000CF"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The work conducted throughout this term has showed novel insights into ground level ozone, its sources, and its causes. This study shed light on where </w:t>
      </w:r>
      <w:proofErr w:type="spellStart"/>
      <w:r>
        <w:rPr>
          <w:rFonts w:ascii="Garamond" w:eastAsia="Garamond" w:hAnsi="Garamond" w:cs="Garamond"/>
        </w:rPr>
        <w:t>Seiling’s</w:t>
      </w:r>
      <w:proofErr w:type="spellEnd"/>
      <w:r>
        <w:rPr>
          <w:rFonts w:ascii="Garamond" w:eastAsia="Garamond" w:hAnsi="Garamond" w:cs="Garamond"/>
        </w:rPr>
        <w:t xml:space="preserve"> ground ozone could have originated from, meteorological and other EO product predictors of ground ozone, and the differences between modeling ground ozone in </w:t>
      </w:r>
      <w:proofErr w:type="spellStart"/>
      <w:r>
        <w:rPr>
          <w:rFonts w:ascii="Garamond" w:eastAsia="Garamond" w:hAnsi="Garamond" w:cs="Garamond"/>
        </w:rPr>
        <w:t>Seiling</w:t>
      </w:r>
      <w:proofErr w:type="spellEnd"/>
      <w:r>
        <w:rPr>
          <w:rFonts w:ascii="Garamond" w:eastAsia="Garamond" w:hAnsi="Garamond" w:cs="Garamond"/>
        </w:rPr>
        <w:t xml:space="preserve"> and the larger study area. This study also raised questions about the impact of climate change on future ozone spikes and methods to improve ground ozone models including temporal lag and spatial elements.</w:t>
      </w:r>
    </w:p>
    <w:p w14:paraId="000000D0" w14:textId="77777777" w:rsidR="007F0CF5" w:rsidRDefault="007F0CF5">
      <w:pPr>
        <w:spacing w:after="0" w:line="240" w:lineRule="auto"/>
        <w:rPr>
          <w:rFonts w:ascii="Garamond" w:eastAsia="Garamond" w:hAnsi="Garamond" w:cs="Garamond"/>
        </w:rPr>
      </w:pPr>
    </w:p>
    <w:p w14:paraId="000000D1" w14:textId="4A4A8BC3" w:rsidR="007F0CF5" w:rsidRDefault="0F2829D8">
      <w:pPr>
        <w:spacing w:after="0" w:line="240" w:lineRule="auto"/>
        <w:rPr>
          <w:rFonts w:ascii="Garamond" w:eastAsia="Garamond" w:hAnsi="Garamond" w:cs="Garamond"/>
        </w:rPr>
      </w:pPr>
      <w:r w:rsidRPr="1508864B">
        <w:rPr>
          <w:rFonts w:ascii="Garamond" w:eastAsia="Garamond" w:hAnsi="Garamond" w:cs="Garamond"/>
        </w:rPr>
        <w:t xml:space="preserve">Through exploratory data analysis, our team determined general directions of precursors and total ozone column plumes corresponding to ozone spikes in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We were also able to identify emission sources and weather patterns that might be leading to anomalous ozone levels in </w:t>
      </w:r>
      <w:proofErr w:type="spellStart"/>
      <w:r w:rsidRPr="1508864B">
        <w:rPr>
          <w:rFonts w:ascii="Garamond" w:eastAsia="Garamond" w:hAnsi="Garamond" w:cs="Garamond"/>
        </w:rPr>
        <w:t>Seiling</w:t>
      </w:r>
      <w:proofErr w:type="spellEnd"/>
      <w:r w:rsidRPr="1508864B">
        <w:rPr>
          <w:rFonts w:ascii="Garamond" w:eastAsia="Garamond" w:hAnsi="Garamond" w:cs="Garamond"/>
        </w:rPr>
        <w:t>, by using HYSPLIT back trajectories, and overlaying concentration plot outputs onto NO</w:t>
      </w:r>
      <w:r w:rsidRPr="1508864B">
        <w:rPr>
          <w:rFonts w:ascii="Garamond" w:eastAsia="Garamond" w:hAnsi="Garamond" w:cs="Garamond"/>
          <w:vertAlign w:val="subscript"/>
        </w:rPr>
        <w:t>2</w:t>
      </w:r>
      <w:r w:rsidRPr="1508864B">
        <w:rPr>
          <w:rFonts w:ascii="Garamond" w:eastAsia="Garamond" w:hAnsi="Garamond" w:cs="Garamond"/>
        </w:rPr>
        <w:t xml:space="preserve"> and TOC column densities. This process was conducted for multiple baseline days where daily maximum ozone levels reported from the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monitor did not exceed 0.055ppm. These baselines served as a comparison for patterns exhibited on spike dates. Through this comparison, our team was able to identify that wind patterns moving through Amarillo and the western panhandle, Dallas, as Kansas City 1-2 days prior to spikes, could have potentially brought high NO</w:t>
      </w:r>
      <w:r w:rsidRPr="1508864B">
        <w:rPr>
          <w:rFonts w:ascii="Garamond" w:eastAsia="Garamond" w:hAnsi="Garamond" w:cs="Garamond"/>
          <w:vertAlign w:val="subscript"/>
        </w:rPr>
        <w:t>2</w:t>
      </w:r>
      <w:r w:rsidRPr="1508864B">
        <w:rPr>
          <w:rFonts w:ascii="Garamond" w:eastAsia="Garamond" w:hAnsi="Garamond" w:cs="Garamond"/>
        </w:rPr>
        <w:t xml:space="preserve"> concentrations towards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leading to ground ozone formation. Our model indicated that extreme hot and dry weather are also strong pieces of the story.</w:t>
      </w:r>
    </w:p>
    <w:p w14:paraId="000000D2" w14:textId="77777777" w:rsidR="007F0CF5" w:rsidRDefault="007F0CF5">
      <w:pPr>
        <w:spacing w:after="0" w:line="240" w:lineRule="auto"/>
        <w:rPr>
          <w:rFonts w:ascii="Garamond" w:eastAsia="Garamond" w:hAnsi="Garamond" w:cs="Garamond"/>
        </w:rPr>
      </w:pPr>
    </w:p>
    <w:p w14:paraId="000000D3" w14:textId="77777777" w:rsidR="007F0CF5" w:rsidRDefault="00652E1B">
      <w:pPr>
        <w:spacing w:after="0" w:line="240" w:lineRule="auto"/>
        <w:rPr>
          <w:rFonts w:ascii="Garamond" w:eastAsia="Garamond" w:hAnsi="Garamond" w:cs="Garamond"/>
        </w:rPr>
      </w:pPr>
      <w:r>
        <w:rPr>
          <w:rFonts w:ascii="Garamond" w:eastAsia="Garamond" w:hAnsi="Garamond" w:cs="Garamond"/>
        </w:rPr>
        <w:t xml:space="preserve">Of the six models utilized for the study area pollutant regression analysis, the most accurate was the random forest model. Equated to the other models, the mean squared error (MSE) is 0.36, compared with the linear model, with an MSE of </w:t>
      </w:r>
      <w:r>
        <w:rPr>
          <w:rFonts w:ascii="Garamond" w:eastAsia="Garamond" w:hAnsi="Garamond" w:cs="Garamond"/>
          <w:color w:val="000000"/>
        </w:rPr>
        <w:t>0.82</w:t>
      </w:r>
      <w:r>
        <w:rPr>
          <w:rFonts w:ascii="Garamond" w:eastAsia="Garamond" w:hAnsi="Garamond" w:cs="Garamond"/>
        </w:rPr>
        <w:t xml:space="preserve"> respectively. It should be noted that across all three models, predictors of humidity, latitude, and distance to petroleum explain the most variance in ground ozone. These values are statistically significant with p values of &lt; 0.00001, 0.002, and &lt; 0.00001 respectively (Table C4). Such analysis assists in identifying which pollutants have the greatest impact on the creation and transport of ozone and </w:t>
      </w:r>
      <w:r>
        <w:rPr>
          <w:rFonts w:ascii="Garamond" w:eastAsia="Garamond" w:hAnsi="Garamond" w:cs="Garamond"/>
        </w:rPr>
        <w:lastRenderedPageBreak/>
        <w:t>should be traced accordingly. It is worth noting, that due to availability of TROPOMI data, pollutant concentrations used as model predictors varied in atmospheric column. While HCHO and NO</w:t>
      </w:r>
      <w:r>
        <w:rPr>
          <w:rFonts w:ascii="Garamond" w:eastAsia="Garamond" w:hAnsi="Garamond" w:cs="Garamond"/>
          <w:vertAlign w:val="subscript"/>
        </w:rPr>
        <w:t>2</w:t>
      </w:r>
      <w:r>
        <w:rPr>
          <w:rFonts w:ascii="Garamond" w:eastAsia="Garamond" w:hAnsi="Garamond" w:cs="Garamond"/>
        </w:rPr>
        <w:t xml:space="preserve"> were tropospheric column densities, CO and O</w:t>
      </w:r>
      <w:r>
        <w:rPr>
          <w:rFonts w:ascii="Garamond" w:eastAsia="Garamond" w:hAnsi="Garamond" w:cs="Garamond"/>
          <w:vertAlign w:val="subscript"/>
        </w:rPr>
        <w:t>3</w:t>
      </w:r>
      <w:r>
        <w:rPr>
          <w:rFonts w:ascii="Garamond" w:eastAsia="Garamond" w:hAnsi="Garamond" w:cs="Garamond"/>
        </w:rPr>
        <w:t xml:space="preserve"> were total column densities. </w:t>
      </w:r>
    </w:p>
    <w:p w14:paraId="000000D4" w14:textId="77777777" w:rsidR="007F0CF5" w:rsidRDefault="007F0CF5">
      <w:pPr>
        <w:spacing w:after="0" w:line="240" w:lineRule="auto"/>
        <w:rPr>
          <w:rFonts w:ascii="Garamond" w:eastAsia="Garamond" w:hAnsi="Garamond" w:cs="Garamond"/>
        </w:rPr>
      </w:pPr>
    </w:p>
    <w:p w14:paraId="000000D5" w14:textId="11097866" w:rsidR="007F0CF5" w:rsidRDefault="0F2829D8">
      <w:pPr>
        <w:spacing w:after="0" w:line="240" w:lineRule="auto"/>
        <w:rPr>
          <w:rFonts w:ascii="Garamond" w:eastAsia="Garamond" w:hAnsi="Garamond" w:cs="Garamond"/>
        </w:rPr>
      </w:pPr>
      <w:r w:rsidRPr="1508864B">
        <w:rPr>
          <w:rFonts w:ascii="Garamond" w:eastAsia="Garamond" w:hAnsi="Garamond" w:cs="Garamond"/>
        </w:rPr>
        <w:t>This work will assist the Oklahoma DEQ guide the placement of new air quality monitors throughout the state, regulate large emitters, strategize more effective emissions reduction programs in the future and, if needed, adopt guidelines that will reduce air pollutants.  Given the results of integrated HYSPLIT and EO analysis, our team recommends that NO</w:t>
      </w:r>
      <w:r w:rsidRPr="1508864B">
        <w:rPr>
          <w:rFonts w:ascii="Garamond" w:eastAsia="Garamond" w:hAnsi="Garamond" w:cs="Garamond"/>
          <w:vertAlign w:val="subscript"/>
        </w:rPr>
        <w:t xml:space="preserve">2 </w:t>
      </w:r>
      <w:r w:rsidRPr="1508864B">
        <w:rPr>
          <w:rFonts w:ascii="Garamond" w:eastAsia="Garamond" w:hAnsi="Garamond" w:cs="Garamond"/>
        </w:rPr>
        <w:t xml:space="preserve">and CO sensors be placed to the Southeast of </w:t>
      </w:r>
      <w:proofErr w:type="spellStart"/>
      <w:r w:rsidRPr="1508864B">
        <w:rPr>
          <w:rFonts w:ascii="Garamond" w:eastAsia="Garamond" w:hAnsi="Garamond" w:cs="Garamond"/>
        </w:rPr>
        <w:t>Seiling</w:t>
      </w:r>
      <w:proofErr w:type="spellEnd"/>
      <w:r w:rsidRPr="1508864B">
        <w:rPr>
          <w:rFonts w:ascii="Garamond" w:eastAsia="Garamond" w:hAnsi="Garamond" w:cs="Garamond"/>
        </w:rPr>
        <w:t xml:space="preserve">, </w:t>
      </w:r>
      <w:proofErr w:type="gramStart"/>
      <w:r w:rsidRPr="1508864B">
        <w:rPr>
          <w:rFonts w:ascii="Garamond" w:eastAsia="Garamond" w:hAnsi="Garamond" w:cs="Garamond"/>
        </w:rPr>
        <w:t>in order to</w:t>
      </w:r>
      <w:proofErr w:type="gramEnd"/>
      <w:r w:rsidRPr="1508864B">
        <w:rPr>
          <w:rFonts w:ascii="Garamond" w:eastAsia="Garamond" w:hAnsi="Garamond" w:cs="Garamond"/>
        </w:rPr>
        <w:t xml:space="preserve"> detect high precursor concentration levels coming from Dallas and western panhandle of Texas.</w:t>
      </w:r>
    </w:p>
    <w:p w14:paraId="000000D6" w14:textId="77777777" w:rsidR="007F0CF5" w:rsidRDefault="007F0CF5">
      <w:pPr>
        <w:spacing w:after="0" w:line="240" w:lineRule="auto"/>
        <w:rPr>
          <w:rFonts w:ascii="Garamond" w:eastAsia="Garamond" w:hAnsi="Garamond" w:cs="Garamond"/>
        </w:rPr>
      </w:pPr>
    </w:p>
    <w:p w14:paraId="000000D7" w14:textId="77777777" w:rsidR="007F0CF5" w:rsidRDefault="00652E1B">
      <w:pPr>
        <w:pStyle w:val="Heading1"/>
        <w:spacing w:before="0" w:line="240" w:lineRule="auto"/>
        <w:rPr>
          <w:rFonts w:ascii="Garamond" w:eastAsia="Garamond" w:hAnsi="Garamond" w:cs="Garamond"/>
          <w:highlight w:val="cyan"/>
        </w:rPr>
      </w:pPr>
      <w:bookmarkStart w:id="5" w:name="_heading=h.tyjcwt" w:colFirst="0" w:colLast="0"/>
      <w:bookmarkEnd w:id="5"/>
      <w:r>
        <w:rPr>
          <w:rFonts w:ascii="Garamond" w:eastAsia="Garamond" w:hAnsi="Garamond" w:cs="Garamond"/>
        </w:rPr>
        <w:t>6. Acknowledgments</w:t>
      </w:r>
    </w:p>
    <w:p w14:paraId="000000D8" w14:textId="2DBF69C2" w:rsidR="007F0CF5" w:rsidRDefault="0F2829D8">
      <w:pPr>
        <w:spacing w:after="0" w:line="240" w:lineRule="auto"/>
        <w:rPr>
          <w:rFonts w:ascii="Garamond" w:eastAsia="Garamond" w:hAnsi="Garamond" w:cs="Garamond"/>
          <w:color w:val="000000"/>
        </w:rPr>
      </w:pPr>
      <w:r w:rsidRPr="1508864B">
        <w:rPr>
          <w:rFonts w:ascii="Garamond" w:eastAsia="Garamond" w:hAnsi="Garamond" w:cs="Garamond"/>
          <w:color w:val="000000" w:themeColor="text1"/>
        </w:rPr>
        <w:t xml:space="preserve">The NASA Develop Oklahoma Health and Air Quality team would like to thank our partners: Carrie Schroeder, Thomas Richardson, Camas Frey, Daniel Ross, Grant </w:t>
      </w:r>
      <w:proofErr w:type="spellStart"/>
      <w:r w:rsidRPr="1508864B">
        <w:rPr>
          <w:rFonts w:ascii="Garamond" w:eastAsia="Garamond" w:hAnsi="Garamond" w:cs="Garamond"/>
          <w:color w:val="000000" w:themeColor="text1"/>
        </w:rPr>
        <w:t>Loney</w:t>
      </w:r>
      <w:proofErr w:type="spellEnd"/>
      <w:r w:rsidRPr="1508864B">
        <w:rPr>
          <w:rFonts w:ascii="Garamond" w:eastAsia="Garamond" w:hAnsi="Garamond" w:cs="Garamond"/>
          <w:color w:val="000000" w:themeColor="text1"/>
        </w:rPr>
        <w:t xml:space="preserve">, and Cecelia </w:t>
      </w:r>
      <w:proofErr w:type="spellStart"/>
      <w:r w:rsidRPr="1508864B">
        <w:rPr>
          <w:rFonts w:ascii="Garamond" w:eastAsia="Garamond" w:hAnsi="Garamond" w:cs="Garamond"/>
          <w:color w:val="000000" w:themeColor="text1"/>
        </w:rPr>
        <w:t>Kleman</w:t>
      </w:r>
      <w:proofErr w:type="spellEnd"/>
      <w:r w:rsidRPr="1508864B">
        <w:rPr>
          <w:rFonts w:ascii="Garamond" w:eastAsia="Garamond" w:hAnsi="Garamond" w:cs="Garamond"/>
          <w:color w:val="000000" w:themeColor="text1"/>
        </w:rPr>
        <w:t xml:space="preserve"> of the Oklahoma Department of Environmental Quality for their excitement and contributions to this project. We would also like to thank our Fellow Erica </w:t>
      </w:r>
      <w:proofErr w:type="spellStart"/>
      <w:r w:rsidRPr="1508864B">
        <w:rPr>
          <w:rFonts w:ascii="Garamond" w:eastAsia="Garamond" w:hAnsi="Garamond" w:cs="Garamond"/>
          <w:color w:val="000000" w:themeColor="text1"/>
        </w:rPr>
        <w:t>Carcelén</w:t>
      </w:r>
      <w:proofErr w:type="spellEnd"/>
      <w:r w:rsidRPr="1508864B">
        <w:rPr>
          <w:rFonts w:ascii="Garamond" w:eastAsia="Garamond" w:hAnsi="Garamond" w:cs="Garamond"/>
          <w:color w:val="000000" w:themeColor="text1"/>
        </w:rPr>
        <w:t xml:space="preserve">, mentor Ben Holt, and advisors Le Kuai and </w:t>
      </w:r>
      <w:proofErr w:type="spellStart"/>
      <w:r w:rsidRPr="1508864B">
        <w:rPr>
          <w:rFonts w:ascii="Garamond" w:eastAsia="Garamond" w:hAnsi="Garamond" w:cs="Garamond"/>
          <w:color w:val="000000" w:themeColor="text1"/>
        </w:rPr>
        <w:t>Heidar</w:t>
      </w:r>
      <w:proofErr w:type="spellEnd"/>
      <w:r w:rsidRPr="1508864B">
        <w:rPr>
          <w:rFonts w:ascii="Garamond" w:eastAsia="Garamond" w:hAnsi="Garamond" w:cs="Garamond"/>
          <w:color w:val="000000" w:themeColor="text1"/>
        </w:rPr>
        <w:t xml:space="preserve"> </w:t>
      </w:r>
      <w:proofErr w:type="spellStart"/>
      <w:r w:rsidRPr="1508864B">
        <w:rPr>
          <w:rFonts w:ascii="Garamond" w:eastAsia="Garamond" w:hAnsi="Garamond" w:cs="Garamond"/>
          <w:color w:val="000000" w:themeColor="text1"/>
        </w:rPr>
        <w:t>Thrastarson</w:t>
      </w:r>
      <w:proofErr w:type="spellEnd"/>
      <w:r w:rsidRPr="1508864B">
        <w:rPr>
          <w:rFonts w:ascii="Garamond" w:eastAsia="Garamond" w:hAnsi="Garamond" w:cs="Garamond"/>
          <w:color w:val="000000" w:themeColor="text1"/>
        </w:rPr>
        <w:t xml:space="preserve"> for their guidance and support. </w:t>
      </w:r>
    </w:p>
    <w:p w14:paraId="000000D9" w14:textId="77777777" w:rsidR="007F0CF5" w:rsidRDefault="007F0CF5">
      <w:pPr>
        <w:spacing w:after="0" w:line="240" w:lineRule="auto"/>
        <w:rPr>
          <w:rFonts w:ascii="Garamond" w:eastAsia="Garamond" w:hAnsi="Garamond" w:cs="Garamond"/>
          <w:color w:val="000000"/>
        </w:rPr>
      </w:pPr>
    </w:p>
    <w:p w14:paraId="000000DA" w14:textId="77777777" w:rsidR="007F0CF5" w:rsidRDefault="00652E1B">
      <w:pPr>
        <w:spacing w:line="240" w:lineRule="auto"/>
        <w:rPr>
          <w:rFonts w:ascii="Garamond" w:eastAsia="Garamond" w:hAnsi="Garamond" w:cs="Garamond"/>
          <w:color w:val="000000"/>
        </w:rPr>
      </w:pPr>
      <w:r>
        <w:rPr>
          <w:rFonts w:ascii="Garamond" w:eastAsia="Garamond" w:hAnsi="Garamond" w:cs="Garamond"/>
          <w:color w:val="000000"/>
        </w:rPr>
        <w:t>This material contains modified Copernicus Sentinel data 2018, processed by ESA.</w:t>
      </w:r>
    </w:p>
    <w:p w14:paraId="000000DB" w14:textId="77777777" w:rsidR="007F0CF5" w:rsidRDefault="00652E1B">
      <w:pPr>
        <w:spacing w:after="0" w:line="240" w:lineRule="auto"/>
        <w:rPr>
          <w:rFonts w:ascii="Garamond" w:eastAsia="Garamond" w:hAnsi="Garamond" w:cs="Garamond"/>
        </w:rPr>
      </w:pPr>
      <w:r>
        <w:rPr>
          <w:rFonts w:ascii="Garamond" w:eastAsia="Garamond" w:hAnsi="Garamond" w:cs="Garamond"/>
          <w:color w:val="000000"/>
        </w:rPr>
        <w:t xml:space="preserve">Any opinions, findings, and conclusions or recommendations expressed in this material are those of the author(s) and do not necessarily reflect the views of the National Aeronautics and Space Administration. </w:t>
      </w:r>
      <w:r>
        <w:rPr>
          <w:rFonts w:ascii="Garamond" w:eastAsia="Garamond" w:hAnsi="Garamond" w:cs="Garamond"/>
        </w:rPr>
        <w:t>This material is based upon work supported by NASA through contract NNL16AA05C.</w:t>
      </w:r>
    </w:p>
    <w:p w14:paraId="000000DC" w14:textId="77777777" w:rsidR="007F0CF5" w:rsidRDefault="007F0CF5">
      <w:pPr>
        <w:pStyle w:val="Heading1"/>
        <w:spacing w:before="0" w:line="240" w:lineRule="auto"/>
        <w:rPr>
          <w:rFonts w:ascii="Garamond" w:eastAsia="Garamond" w:hAnsi="Garamond" w:cs="Garamond"/>
          <w:sz w:val="22"/>
          <w:szCs w:val="22"/>
        </w:rPr>
      </w:pPr>
      <w:bookmarkStart w:id="6" w:name="_heading=h.3dy6vkm" w:colFirst="0" w:colLast="0"/>
      <w:bookmarkEnd w:id="6"/>
    </w:p>
    <w:p w14:paraId="000000DD" w14:textId="77777777" w:rsidR="007F0CF5" w:rsidRDefault="00652E1B">
      <w:pPr>
        <w:pStyle w:val="Heading1"/>
        <w:spacing w:before="0" w:line="240" w:lineRule="auto"/>
        <w:rPr>
          <w:rFonts w:ascii="Garamond" w:eastAsia="Garamond" w:hAnsi="Garamond" w:cs="Garamond"/>
        </w:rPr>
      </w:pPr>
      <w:r>
        <w:rPr>
          <w:rFonts w:ascii="Garamond" w:eastAsia="Garamond" w:hAnsi="Garamond" w:cs="Garamond"/>
        </w:rPr>
        <w:t>7. Glossary</w:t>
      </w:r>
    </w:p>
    <w:p w14:paraId="000000DE" w14:textId="77777777" w:rsidR="007F0CF5" w:rsidRDefault="00652E1B">
      <w:pPr>
        <w:spacing w:after="0" w:line="240" w:lineRule="auto"/>
        <w:rPr>
          <w:rFonts w:ascii="Garamond" w:eastAsia="Garamond" w:hAnsi="Garamond" w:cs="Garamond"/>
        </w:rPr>
      </w:pPr>
      <w:r>
        <w:rPr>
          <w:rFonts w:ascii="Garamond" w:eastAsia="Garamond" w:hAnsi="Garamond" w:cs="Garamond"/>
          <w:b/>
        </w:rPr>
        <w:t>AOD</w:t>
      </w:r>
      <w:r>
        <w:rPr>
          <w:rFonts w:ascii="Garamond" w:eastAsia="Garamond" w:hAnsi="Garamond" w:cs="Garamond"/>
        </w:rPr>
        <w:t xml:space="preserve"> - aerosol optical depth</w:t>
      </w:r>
    </w:p>
    <w:p w14:paraId="000000DF" w14:textId="77777777" w:rsidR="007F0CF5" w:rsidRDefault="00652E1B">
      <w:pPr>
        <w:spacing w:after="0" w:line="240" w:lineRule="auto"/>
        <w:rPr>
          <w:rFonts w:ascii="Garamond" w:eastAsia="Garamond" w:hAnsi="Garamond" w:cs="Garamond"/>
        </w:rPr>
      </w:pPr>
      <w:r>
        <w:rPr>
          <w:rFonts w:ascii="Garamond" w:eastAsia="Garamond" w:hAnsi="Garamond" w:cs="Garamond"/>
          <w:b/>
        </w:rPr>
        <w:t>AQS</w:t>
      </w:r>
      <w:r>
        <w:rPr>
          <w:rFonts w:ascii="Garamond" w:eastAsia="Garamond" w:hAnsi="Garamond" w:cs="Garamond"/>
        </w:rPr>
        <w:t xml:space="preserve"> – air quality sensor</w:t>
      </w:r>
    </w:p>
    <w:p w14:paraId="000000E0" w14:textId="77777777" w:rsidR="007F0CF5" w:rsidRDefault="00652E1B">
      <w:pPr>
        <w:spacing w:after="0" w:line="240" w:lineRule="auto"/>
        <w:rPr>
          <w:rFonts w:ascii="Garamond" w:eastAsia="Garamond" w:hAnsi="Garamond" w:cs="Garamond"/>
        </w:rPr>
      </w:pPr>
      <w:r>
        <w:rPr>
          <w:rFonts w:ascii="Garamond" w:eastAsia="Garamond" w:hAnsi="Garamond" w:cs="Garamond"/>
          <w:b/>
        </w:rPr>
        <w:t>Chemical reanalysis</w:t>
      </w:r>
      <w:r>
        <w:rPr>
          <w:rFonts w:ascii="Garamond" w:eastAsia="Garamond" w:hAnsi="Garamond" w:cs="Garamond"/>
        </w:rPr>
        <w:t xml:space="preserve"> - technique that combines observational information from multiple satellite sensors and provides comprehensive information on tropospheric composition variations</w:t>
      </w:r>
    </w:p>
    <w:p w14:paraId="000000E1" w14:textId="77777777" w:rsidR="007F0CF5" w:rsidRDefault="00652E1B">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000000E2" w14:textId="77777777" w:rsidR="007F0CF5" w:rsidRDefault="00652E1B">
      <w:pPr>
        <w:spacing w:after="0" w:line="240" w:lineRule="auto"/>
        <w:rPr>
          <w:rFonts w:ascii="Garamond" w:eastAsia="Garamond" w:hAnsi="Garamond" w:cs="Garamond"/>
        </w:rPr>
      </w:pPr>
      <w:r>
        <w:rPr>
          <w:rFonts w:ascii="Garamond" w:eastAsia="Garamond" w:hAnsi="Garamond" w:cs="Garamond"/>
          <w:b/>
        </w:rPr>
        <w:t>In situ observations</w:t>
      </w:r>
      <w:r>
        <w:rPr>
          <w:rFonts w:ascii="Garamond" w:eastAsia="Garamond" w:hAnsi="Garamond" w:cs="Garamond"/>
        </w:rPr>
        <w:t>- observations made at the point where the measuring instrument is located</w:t>
      </w:r>
    </w:p>
    <w:p w14:paraId="000000E3" w14:textId="77777777" w:rsidR="007F0CF5" w:rsidRDefault="00652E1B">
      <w:pPr>
        <w:spacing w:after="0" w:line="240" w:lineRule="auto"/>
        <w:rPr>
          <w:rFonts w:ascii="Garamond" w:eastAsia="Garamond" w:hAnsi="Garamond" w:cs="Garamond"/>
        </w:rPr>
      </w:pPr>
      <w:r>
        <w:rPr>
          <w:rFonts w:ascii="Garamond" w:eastAsia="Garamond" w:hAnsi="Garamond" w:cs="Garamond"/>
          <w:b/>
        </w:rPr>
        <w:t>MERRA</w:t>
      </w:r>
      <w:r>
        <w:rPr>
          <w:rFonts w:ascii="Garamond" w:eastAsia="Garamond" w:hAnsi="Garamond" w:cs="Garamond"/>
        </w:rPr>
        <w:t xml:space="preserve"> - Modern-Era Retrospective analysis for Research and Applications</w:t>
      </w:r>
    </w:p>
    <w:p w14:paraId="000000E4" w14:textId="77777777" w:rsidR="007F0CF5" w:rsidRDefault="00652E1B">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p>
    <w:p w14:paraId="000000E5" w14:textId="77777777" w:rsidR="007F0CF5" w:rsidRDefault="00652E1B">
      <w:pPr>
        <w:spacing w:after="0" w:line="240" w:lineRule="auto"/>
        <w:rPr>
          <w:rFonts w:ascii="Garamond" w:eastAsia="Garamond" w:hAnsi="Garamond" w:cs="Garamond"/>
        </w:rPr>
      </w:pPr>
      <w:r>
        <w:rPr>
          <w:rFonts w:ascii="Garamond" w:eastAsia="Garamond" w:hAnsi="Garamond" w:cs="Garamond"/>
          <w:b/>
        </w:rPr>
        <w:t>OMI</w:t>
      </w:r>
      <w:r>
        <w:rPr>
          <w:rFonts w:ascii="Garamond" w:eastAsia="Garamond" w:hAnsi="Garamond" w:cs="Garamond"/>
        </w:rPr>
        <w:t xml:space="preserve"> – Ozone monitoring instrument</w:t>
      </w:r>
    </w:p>
    <w:p w14:paraId="000000E6" w14:textId="77777777" w:rsidR="007F0CF5" w:rsidRDefault="00652E1B">
      <w:pPr>
        <w:spacing w:after="0" w:line="240" w:lineRule="auto"/>
        <w:rPr>
          <w:rFonts w:ascii="Garamond" w:eastAsia="Garamond" w:hAnsi="Garamond" w:cs="Garamond"/>
        </w:rPr>
      </w:pPr>
      <w:r>
        <w:rPr>
          <w:rFonts w:ascii="Garamond" w:eastAsia="Garamond" w:hAnsi="Garamond" w:cs="Garamond"/>
          <w:b/>
        </w:rPr>
        <w:t>Remote sensing</w:t>
      </w:r>
      <w:r>
        <w:rPr>
          <w:rFonts w:ascii="Garamond" w:eastAsia="Garamond" w:hAnsi="Garamond" w:cs="Garamond"/>
        </w:rPr>
        <w:t xml:space="preserve"> – science of obtaining information about objects or areas from a distance, typically from aircraft or satellites</w:t>
      </w:r>
    </w:p>
    <w:p w14:paraId="000000E7" w14:textId="77777777" w:rsidR="007F0CF5" w:rsidRDefault="00652E1B">
      <w:pPr>
        <w:spacing w:after="0" w:line="240" w:lineRule="auto"/>
        <w:rPr>
          <w:rFonts w:ascii="Garamond" w:eastAsia="Garamond" w:hAnsi="Garamond" w:cs="Garamond"/>
        </w:rPr>
      </w:pPr>
      <w:r>
        <w:rPr>
          <w:rFonts w:ascii="Garamond" w:eastAsia="Garamond" w:hAnsi="Garamond" w:cs="Garamond"/>
          <w:b/>
        </w:rPr>
        <w:t>Temporal resolution</w:t>
      </w:r>
      <w:r>
        <w:rPr>
          <w:rFonts w:ascii="Garamond" w:eastAsia="Garamond" w:hAnsi="Garamond" w:cs="Garamond"/>
        </w:rPr>
        <w:t xml:space="preserve"> – denotes how frequently data of the same area is collected; Is typically referred to as the Revisit Time</w:t>
      </w:r>
    </w:p>
    <w:p w14:paraId="000000E8" w14:textId="77777777" w:rsidR="007F0CF5" w:rsidRDefault="00652E1B">
      <w:pPr>
        <w:spacing w:after="0" w:line="240" w:lineRule="auto"/>
        <w:rPr>
          <w:rFonts w:ascii="Garamond" w:eastAsia="Garamond" w:hAnsi="Garamond" w:cs="Garamond"/>
        </w:rPr>
      </w:pPr>
      <w:r>
        <w:rPr>
          <w:rFonts w:ascii="Garamond" w:eastAsia="Garamond" w:hAnsi="Garamond" w:cs="Garamond"/>
          <w:b/>
        </w:rPr>
        <w:t>TOC</w:t>
      </w:r>
      <w:r>
        <w:rPr>
          <w:rFonts w:ascii="Garamond" w:eastAsia="Garamond" w:hAnsi="Garamond" w:cs="Garamond"/>
        </w:rPr>
        <w:t xml:space="preserve"> – total ozone column</w:t>
      </w:r>
    </w:p>
    <w:p w14:paraId="000000E9" w14:textId="77777777" w:rsidR="007F0CF5" w:rsidRDefault="00652E1B">
      <w:pPr>
        <w:spacing w:after="0" w:line="240" w:lineRule="auto"/>
        <w:rPr>
          <w:rFonts w:ascii="Garamond" w:eastAsia="Garamond" w:hAnsi="Garamond" w:cs="Garamond"/>
        </w:rPr>
      </w:pPr>
      <w:r>
        <w:rPr>
          <w:rFonts w:ascii="Garamond" w:eastAsia="Garamond" w:hAnsi="Garamond" w:cs="Garamond"/>
          <w:b/>
        </w:rPr>
        <w:t>Troposphere</w:t>
      </w:r>
      <w:r>
        <w:rPr>
          <w:rFonts w:ascii="Garamond" w:eastAsia="Garamond" w:hAnsi="Garamond" w:cs="Garamond"/>
        </w:rPr>
        <w:t xml:space="preserve"> - the lowest region of the atmosphere, extending from the earth's surface to a height of about 3.7–6.2 miles, or 6–10 km, which is the lower boundary of the stratosphere</w:t>
      </w:r>
    </w:p>
    <w:p w14:paraId="000000EA" w14:textId="77777777" w:rsidR="007F0CF5" w:rsidRDefault="00652E1B">
      <w:pPr>
        <w:spacing w:line="240" w:lineRule="auto"/>
        <w:rPr>
          <w:rFonts w:ascii="Garamond" w:eastAsia="Garamond" w:hAnsi="Garamond" w:cs="Garamond"/>
        </w:rPr>
      </w:pPr>
      <w:r>
        <w:rPr>
          <w:rFonts w:ascii="Garamond" w:eastAsia="Garamond" w:hAnsi="Garamond" w:cs="Garamond"/>
          <w:b/>
        </w:rPr>
        <w:t>VOC</w:t>
      </w:r>
      <w:r>
        <w:rPr>
          <w:rFonts w:ascii="Garamond" w:eastAsia="Garamond" w:hAnsi="Garamond" w:cs="Garamond"/>
        </w:rPr>
        <w:t xml:space="preserve"> - volatile organic compound</w:t>
      </w:r>
    </w:p>
    <w:p w14:paraId="000000EB" w14:textId="77777777" w:rsidR="007F0CF5" w:rsidRDefault="0F2829D8">
      <w:pPr>
        <w:pStyle w:val="Heading1"/>
        <w:spacing w:before="0" w:line="240" w:lineRule="auto"/>
        <w:rPr>
          <w:rFonts w:ascii="Garamond" w:eastAsia="Garamond" w:hAnsi="Garamond" w:cs="Garamond"/>
          <w:highlight w:val="cyan"/>
        </w:rPr>
      </w:pPr>
      <w:r w:rsidRPr="1508864B">
        <w:rPr>
          <w:rFonts w:ascii="Garamond" w:eastAsia="Garamond" w:hAnsi="Garamond" w:cs="Garamond"/>
        </w:rPr>
        <w:t>8. References</w:t>
      </w:r>
    </w:p>
    <w:p w14:paraId="000000ED" w14:textId="77777777" w:rsidR="007F0CF5" w:rsidRDefault="00652E1B">
      <w:pPr>
        <w:spacing w:before="240"/>
        <w:ind w:left="720" w:hanging="720"/>
        <w:rPr>
          <w:rFonts w:ascii="Garamond" w:eastAsia="Garamond" w:hAnsi="Garamond" w:cs="Garamond"/>
        </w:rPr>
      </w:pPr>
      <w:r>
        <w:rPr>
          <w:rFonts w:ascii="Garamond" w:eastAsia="Garamond" w:hAnsi="Garamond" w:cs="Garamond"/>
        </w:rPr>
        <w:t xml:space="preserve">American Lung Association. (2021, April 20). </w:t>
      </w:r>
      <w:r>
        <w:rPr>
          <w:rFonts w:ascii="Garamond" w:eastAsia="Garamond" w:hAnsi="Garamond" w:cs="Garamond"/>
          <w:i/>
        </w:rPr>
        <w:t xml:space="preserve">New Report: Oklahoma's Air Quality Still Failing. </w:t>
      </w:r>
      <w:r>
        <w:rPr>
          <w:rFonts w:ascii="Garamond" w:eastAsia="Garamond" w:hAnsi="Garamond" w:cs="Garamond"/>
        </w:rPr>
        <w:t>Lung.org. https://www.lung.org/media/press-releases/ok-sota-2021</w:t>
      </w:r>
    </w:p>
    <w:p w14:paraId="000000EE" w14:textId="77777777" w:rsidR="007F0CF5" w:rsidRDefault="00652E1B">
      <w:pPr>
        <w:spacing w:line="240" w:lineRule="auto"/>
        <w:ind w:left="720" w:hanging="720"/>
        <w:rPr>
          <w:rFonts w:ascii="Garamond" w:eastAsia="Garamond" w:hAnsi="Garamond" w:cs="Garamond"/>
        </w:rPr>
      </w:pPr>
      <w:proofErr w:type="spellStart"/>
      <w:r>
        <w:rPr>
          <w:rFonts w:ascii="Garamond" w:eastAsia="Garamond" w:hAnsi="Garamond" w:cs="Garamond"/>
        </w:rPr>
        <w:t>Beaudoing</w:t>
      </w:r>
      <w:proofErr w:type="spellEnd"/>
      <w:r>
        <w:rPr>
          <w:rFonts w:ascii="Garamond" w:eastAsia="Garamond" w:hAnsi="Garamond" w:cs="Garamond"/>
        </w:rPr>
        <w:t xml:space="preserve">, H. and M. </w:t>
      </w:r>
      <w:proofErr w:type="spellStart"/>
      <w:r>
        <w:rPr>
          <w:rFonts w:ascii="Garamond" w:eastAsia="Garamond" w:hAnsi="Garamond" w:cs="Garamond"/>
        </w:rPr>
        <w:t>Rodell</w:t>
      </w:r>
      <w:proofErr w:type="spellEnd"/>
      <w:r>
        <w:rPr>
          <w:rFonts w:ascii="Garamond" w:eastAsia="Garamond" w:hAnsi="Garamond" w:cs="Garamond"/>
        </w:rPr>
        <w:t xml:space="preserve">, NASA/GSFC/HSL (2020), </w:t>
      </w:r>
      <w:r>
        <w:rPr>
          <w:rFonts w:ascii="Garamond" w:eastAsia="Garamond" w:hAnsi="Garamond" w:cs="Garamond"/>
          <w:i/>
        </w:rPr>
        <w:t xml:space="preserve">GLDAS Noah Land Surface Model L4 3 hourly 0.25 x 0.25-degree </w:t>
      </w:r>
      <w:r>
        <w:rPr>
          <w:rFonts w:ascii="Garamond" w:eastAsia="Garamond" w:hAnsi="Garamond" w:cs="Garamond"/>
        </w:rPr>
        <w:t xml:space="preserve">(V2.1), Greenbelt, Maryland, USA, Goddard Earth Sciences </w:t>
      </w:r>
      <w:proofErr w:type="gramStart"/>
      <w:r>
        <w:rPr>
          <w:rFonts w:ascii="Garamond" w:eastAsia="Garamond" w:hAnsi="Garamond" w:cs="Garamond"/>
        </w:rPr>
        <w:t>Data</w:t>
      </w:r>
      <w:proofErr w:type="gramEnd"/>
      <w:r>
        <w:rPr>
          <w:rFonts w:ascii="Garamond" w:eastAsia="Garamond" w:hAnsi="Garamond" w:cs="Garamond"/>
        </w:rPr>
        <w:t xml:space="preserve"> and Information </w:t>
      </w:r>
      <w:r>
        <w:rPr>
          <w:rFonts w:ascii="Garamond" w:eastAsia="Garamond" w:hAnsi="Garamond" w:cs="Garamond"/>
        </w:rPr>
        <w:lastRenderedPageBreak/>
        <w:t>Services Center (GES DISC), Accessed: October 1</w:t>
      </w:r>
      <w:r>
        <w:rPr>
          <w:rFonts w:ascii="Garamond" w:eastAsia="Garamond" w:hAnsi="Garamond" w:cs="Garamond"/>
          <w:vertAlign w:val="superscript"/>
        </w:rPr>
        <w:t>st</w:t>
      </w:r>
      <w:r>
        <w:rPr>
          <w:rFonts w:ascii="Garamond" w:eastAsia="Garamond" w:hAnsi="Garamond" w:cs="Garamond"/>
        </w:rPr>
        <w:t>, 2021, https://doi.org/</w:t>
      </w:r>
      <w:hyperlink r:id="rId34">
        <w:r>
          <w:rPr>
            <w:rFonts w:ascii="Garamond" w:eastAsia="Garamond" w:hAnsi="Garamond" w:cs="Garamond"/>
          </w:rPr>
          <w:t>10.5067/E7TYRXPJKWOQ</w:t>
        </w:r>
      </w:hyperlink>
    </w:p>
    <w:p w14:paraId="000000EF"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Brown, T. (2019, June 29) </w:t>
      </w:r>
      <w:r>
        <w:rPr>
          <w:rFonts w:ascii="Garamond" w:eastAsia="Garamond" w:hAnsi="Garamond" w:cs="Garamond"/>
          <w:i/>
        </w:rPr>
        <w:t>Oklahoma Air Quality Dips After Years of Steady Gains.</w:t>
      </w:r>
      <w:r>
        <w:rPr>
          <w:rFonts w:ascii="Garamond" w:eastAsia="Garamond" w:hAnsi="Garamond" w:cs="Garamond"/>
        </w:rPr>
        <w:t xml:space="preserve"> Oklahoma Watch.  </w:t>
      </w:r>
      <w:hyperlink r:id="rId35">
        <w:r>
          <w:rPr>
            <w:rFonts w:ascii="Garamond" w:eastAsia="Garamond" w:hAnsi="Garamond" w:cs="Garamond"/>
          </w:rPr>
          <w:t>https://oklahomawatch.org/2019/06/29/oklahoma-air-quality-dips-after-years-of-progress/</w:t>
        </w:r>
      </w:hyperlink>
    </w:p>
    <w:p w14:paraId="000000F0" w14:textId="77777777" w:rsidR="007F0CF5" w:rsidRDefault="007F0CF5">
      <w:pPr>
        <w:spacing w:after="0" w:line="240" w:lineRule="auto"/>
        <w:ind w:left="720" w:hanging="720"/>
        <w:rPr>
          <w:rFonts w:ascii="Garamond" w:eastAsia="Garamond" w:hAnsi="Garamond" w:cs="Garamond"/>
        </w:rPr>
      </w:pPr>
    </w:p>
    <w:p w14:paraId="000000F1" w14:textId="77777777" w:rsidR="007F0CF5" w:rsidRDefault="0F2829D8">
      <w:pPr>
        <w:spacing w:after="0" w:line="240" w:lineRule="auto"/>
        <w:ind w:left="720" w:hanging="720"/>
        <w:rPr>
          <w:rFonts w:ascii="Garamond" w:eastAsia="Garamond" w:hAnsi="Garamond" w:cs="Garamond"/>
        </w:rPr>
      </w:pPr>
      <w:r w:rsidRPr="1508864B">
        <w:rPr>
          <w:rFonts w:ascii="Garamond" w:eastAsia="Garamond" w:hAnsi="Garamond" w:cs="Garamond"/>
        </w:rPr>
        <w:t xml:space="preserve">Butcher, K. (2020, April 21) </w:t>
      </w:r>
      <w:r w:rsidRPr="1508864B">
        <w:rPr>
          <w:rFonts w:ascii="Garamond" w:eastAsia="Garamond" w:hAnsi="Garamond" w:cs="Garamond"/>
          <w:i/>
          <w:iCs/>
        </w:rPr>
        <w:t xml:space="preserve">2020 ‘State of the Air’ Report: Oklahoma City’s air quality worsened for ozone, particle pollution </w:t>
      </w:r>
      <w:r w:rsidRPr="1508864B">
        <w:rPr>
          <w:rFonts w:ascii="Garamond" w:eastAsia="Garamond" w:hAnsi="Garamond" w:cs="Garamond"/>
        </w:rPr>
        <w:t xml:space="preserve">Oklahoma’s News 4. </w:t>
      </w:r>
      <w:hyperlink r:id="rId36">
        <w:r w:rsidRPr="1508864B">
          <w:rPr>
            <w:rFonts w:ascii="Garamond" w:eastAsia="Garamond" w:hAnsi="Garamond" w:cs="Garamond"/>
          </w:rPr>
          <w:t>https://kfor.com/news/local/2020-state-of-the-air-report-oklahoma-citys-air-quality-worsened-for-ozone-particle-pollution/</w:t>
        </w:r>
      </w:hyperlink>
      <w:r w:rsidRPr="1508864B">
        <w:rPr>
          <w:rFonts w:ascii="Garamond" w:eastAsia="Garamond" w:hAnsi="Garamond" w:cs="Garamond"/>
        </w:rPr>
        <w:t xml:space="preserve"> </w:t>
      </w:r>
    </w:p>
    <w:p w14:paraId="5E979958" w14:textId="74D6D1D2" w:rsidR="007F0CF5" w:rsidRDefault="007F0CF5" w:rsidP="1508864B">
      <w:pPr>
        <w:spacing w:after="0" w:line="240" w:lineRule="auto"/>
        <w:ind w:left="720" w:hanging="720"/>
        <w:rPr>
          <w:rFonts w:ascii="Garamond" w:eastAsia="Garamond" w:hAnsi="Garamond" w:cs="Garamond"/>
        </w:rPr>
      </w:pPr>
    </w:p>
    <w:p w14:paraId="000000F3" w14:textId="4BE72771" w:rsidR="007F0CF5" w:rsidRDefault="0F2829D8">
      <w:pPr>
        <w:spacing w:line="240" w:lineRule="auto"/>
        <w:ind w:left="720" w:hanging="720"/>
        <w:rPr>
          <w:rFonts w:ascii="Helvetica Neue" w:eastAsia="Helvetica Neue" w:hAnsi="Helvetica Neue" w:cs="Helvetica Neue"/>
          <w:color w:val="333333"/>
          <w:sz w:val="21"/>
          <w:szCs w:val="21"/>
        </w:rPr>
      </w:pPr>
      <w:r w:rsidRPr="1508864B">
        <w:rPr>
          <w:rFonts w:ascii="Garamond" w:eastAsia="Garamond" w:hAnsi="Garamond" w:cs="Garamond"/>
        </w:rPr>
        <w:t xml:space="preserve">Copernicus Sentinel data processed by ESA, </w:t>
      </w:r>
      <w:proofErr w:type="spellStart"/>
      <w:r w:rsidRPr="1508864B">
        <w:rPr>
          <w:rFonts w:ascii="Garamond" w:eastAsia="Garamond" w:hAnsi="Garamond" w:cs="Garamond"/>
        </w:rPr>
        <w:t>Koninklijk</w:t>
      </w:r>
      <w:proofErr w:type="spellEnd"/>
      <w:r w:rsidRPr="1508864B">
        <w:rPr>
          <w:rFonts w:ascii="Garamond" w:eastAsia="Garamond" w:hAnsi="Garamond" w:cs="Garamond"/>
        </w:rPr>
        <w:t xml:space="preserve"> </w:t>
      </w:r>
      <w:proofErr w:type="spellStart"/>
      <w:r w:rsidRPr="1508864B">
        <w:rPr>
          <w:rFonts w:ascii="Garamond" w:eastAsia="Garamond" w:hAnsi="Garamond" w:cs="Garamond"/>
        </w:rPr>
        <w:t>Nederlands</w:t>
      </w:r>
      <w:proofErr w:type="spellEnd"/>
      <w:r w:rsidRPr="1508864B">
        <w:rPr>
          <w:rFonts w:ascii="Garamond" w:eastAsia="Garamond" w:hAnsi="Garamond" w:cs="Garamond"/>
        </w:rPr>
        <w:t xml:space="preserve"> </w:t>
      </w:r>
      <w:proofErr w:type="spellStart"/>
      <w:r w:rsidRPr="1508864B">
        <w:rPr>
          <w:rFonts w:ascii="Garamond" w:eastAsia="Garamond" w:hAnsi="Garamond" w:cs="Garamond"/>
        </w:rPr>
        <w:t>Meteorologisch</w:t>
      </w:r>
      <w:proofErr w:type="spellEnd"/>
      <w:r w:rsidRPr="1508864B">
        <w:rPr>
          <w:rFonts w:ascii="Garamond" w:eastAsia="Garamond" w:hAnsi="Garamond" w:cs="Garamond"/>
        </w:rPr>
        <w:t xml:space="preserve"> </w:t>
      </w:r>
      <w:proofErr w:type="spellStart"/>
      <w:r w:rsidRPr="1508864B">
        <w:rPr>
          <w:rFonts w:ascii="Garamond" w:eastAsia="Garamond" w:hAnsi="Garamond" w:cs="Garamond"/>
        </w:rPr>
        <w:t>Instituut</w:t>
      </w:r>
      <w:proofErr w:type="spellEnd"/>
      <w:r w:rsidRPr="1508864B">
        <w:rPr>
          <w:rFonts w:ascii="Garamond" w:eastAsia="Garamond" w:hAnsi="Garamond" w:cs="Garamond"/>
        </w:rPr>
        <w:t xml:space="preserve"> (KNMI) (2019). </w:t>
      </w:r>
      <w:r w:rsidRPr="1508864B">
        <w:rPr>
          <w:rFonts w:ascii="Garamond" w:eastAsia="Garamond" w:hAnsi="Garamond" w:cs="Garamond"/>
          <w:i/>
          <w:iCs/>
        </w:rPr>
        <w:t>Sentinel-5P TROPOMI Tropospheric NO</w:t>
      </w:r>
      <w:r w:rsidRPr="1508864B">
        <w:rPr>
          <w:rFonts w:ascii="Garamond" w:eastAsia="Garamond" w:hAnsi="Garamond" w:cs="Garamond"/>
          <w:i/>
          <w:iCs/>
          <w:vertAlign w:val="subscript"/>
        </w:rPr>
        <w:t>2</w:t>
      </w:r>
      <w:r w:rsidRPr="1508864B">
        <w:rPr>
          <w:rFonts w:ascii="Garamond" w:eastAsia="Garamond" w:hAnsi="Garamond" w:cs="Garamond"/>
          <w:i/>
          <w:iCs/>
        </w:rPr>
        <w:t xml:space="preserve"> 1-Orbit L2 7km x 3.5km </w:t>
      </w:r>
      <w:r w:rsidRPr="1508864B">
        <w:rPr>
          <w:rFonts w:ascii="Garamond" w:eastAsia="Garamond" w:hAnsi="Garamond" w:cs="Garamond"/>
        </w:rPr>
        <w:t>(V1) [Data set]. https://doi.org/10.5270/S5P-s4ljg54</w:t>
      </w:r>
    </w:p>
    <w:p w14:paraId="6680A6EE" w14:textId="20E26EDD" w:rsidR="0F2829D8" w:rsidRDefault="621871F2" w:rsidP="1508864B">
      <w:pPr>
        <w:spacing w:line="240" w:lineRule="auto"/>
        <w:ind w:left="720" w:hanging="720"/>
        <w:rPr>
          <w:rFonts w:ascii="Garamond" w:eastAsia="Garamond" w:hAnsi="Garamond" w:cs="Garamond"/>
        </w:rPr>
      </w:pPr>
      <w:r w:rsidRPr="280C6F44">
        <w:rPr>
          <w:rFonts w:ascii="Garamond" w:eastAsia="Garamond" w:hAnsi="Garamond" w:cs="Garamond"/>
        </w:rPr>
        <w:t xml:space="preserve">Copernicus Sentinel data (processed by ESA) (2019). </w:t>
      </w:r>
      <w:r w:rsidRPr="280C6F44">
        <w:rPr>
          <w:rFonts w:ascii="Garamond" w:eastAsia="Garamond" w:hAnsi="Garamond" w:cs="Garamond"/>
          <w:i/>
          <w:iCs/>
        </w:rPr>
        <w:t>Sentinel-5P TROPOMI Methane CH</w:t>
      </w:r>
      <w:r w:rsidRPr="280C6F44">
        <w:rPr>
          <w:rFonts w:ascii="Garamond" w:eastAsia="Garamond" w:hAnsi="Garamond" w:cs="Garamond"/>
          <w:i/>
          <w:iCs/>
          <w:vertAlign w:val="subscript"/>
        </w:rPr>
        <w:t xml:space="preserve">4 </w:t>
      </w:r>
      <w:r w:rsidRPr="280C6F44">
        <w:rPr>
          <w:rFonts w:ascii="Garamond" w:eastAsia="Garamond" w:hAnsi="Garamond" w:cs="Garamond"/>
          <w:i/>
          <w:iCs/>
        </w:rPr>
        <w:t xml:space="preserve">1-Orbit L2 7km x 7km </w:t>
      </w:r>
      <w:r w:rsidRPr="280C6F44">
        <w:rPr>
          <w:rFonts w:ascii="Garamond" w:eastAsia="Garamond" w:hAnsi="Garamond" w:cs="Garamond"/>
        </w:rPr>
        <w:t>(V</w:t>
      </w:r>
      <w:proofErr w:type="gramStart"/>
      <w:r w:rsidRPr="280C6F44">
        <w:rPr>
          <w:rFonts w:ascii="Garamond" w:eastAsia="Garamond" w:hAnsi="Garamond" w:cs="Garamond"/>
        </w:rPr>
        <w:t>1)[</w:t>
      </w:r>
      <w:proofErr w:type="gramEnd"/>
      <w:r w:rsidRPr="280C6F44">
        <w:rPr>
          <w:rFonts w:ascii="Garamond" w:eastAsia="Garamond" w:hAnsi="Garamond" w:cs="Garamond"/>
        </w:rPr>
        <w:t xml:space="preserve">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w:t>
      </w:r>
      <w:hyperlink r:id="rId37">
        <w:r w:rsidRPr="280C6F44">
          <w:rPr>
            <w:rStyle w:val="Hyperlink"/>
            <w:rFonts w:ascii="Garamond" w:eastAsia="Garamond" w:hAnsi="Garamond" w:cs="Garamond"/>
            <w:color w:val="auto"/>
            <w:u w:val="none"/>
          </w:rPr>
          <w:t>https://doi.org/10.5270/S5P-3p6lnwd</w:t>
        </w:r>
      </w:hyperlink>
    </w:p>
    <w:p w14:paraId="000000F5" w14:textId="1C31A35F" w:rsidR="007F0CF5" w:rsidRDefault="621871F2">
      <w:pPr>
        <w:spacing w:line="240" w:lineRule="auto"/>
        <w:ind w:left="720" w:hanging="720"/>
        <w:rPr>
          <w:rFonts w:ascii="Garamond" w:eastAsia="Garamond" w:hAnsi="Garamond" w:cs="Garamond"/>
        </w:rPr>
      </w:pPr>
      <w:r w:rsidRPr="280C6F44">
        <w:rPr>
          <w:rFonts w:ascii="Garamond" w:eastAsia="Garamond" w:hAnsi="Garamond" w:cs="Garamond"/>
        </w:rPr>
        <w:t xml:space="preserve">Copernicus Sentinel data processed by ESA, </w:t>
      </w:r>
      <w:proofErr w:type="spellStart"/>
      <w:r w:rsidRPr="280C6F44">
        <w:rPr>
          <w:rFonts w:ascii="Garamond" w:eastAsia="Garamond" w:hAnsi="Garamond" w:cs="Garamond"/>
        </w:rPr>
        <w:t>Koninklijk</w:t>
      </w:r>
      <w:proofErr w:type="spellEnd"/>
      <w:r w:rsidRPr="280C6F44">
        <w:rPr>
          <w:rFonts w:ascii="Garamond" w:eastAsia="Garamond" w:hAnsi="Garamond" w:cs="Garamond"/>
        </w:rPr>
        <w:t xml:space="preserve"> </w:t>
      </w:r>
      <w:proofErr w:type="spellStart"/>
      <w:r w:rsidRPr="280C6F44">
        <w:rPr>
          <w:rFonts w:ascii="Garamond" w:eastAsia="Garamond" w:hAnsi="Garamond" w:cs="Garamond"/>
        </w:rPr>
        <w:t>Nederlands</w:t>
      </w:r>
      <w:proofErr w:type="spellEnd"/>
      <w:r w:rsidRPr="280C6F44">
        <w:rPr>
          <w:rFonts w:ascii="Garamond" w:eastAsia="Garamond" w:hAnsi="Garamond" w:cs="Garamond"/>
        </w:rPr>
        <w:t xml:space="preserve"> </w:t>
      </w:r>
      <w:proofErr w:type="spellStart"/>
      <w:r w:rsidRPr="280C6F44">
        <w:rPr>
          <w:rFonts w:ascii="Garamond" w:eastAsia="Garamond" w:hAnsi="Garamond" w:cs="Garamond"/>
        </w:rPr>
        <w:t>Meteorologisch</w:t>
      </w:r>
      <w:proofErr w:type="spellEnd"/>
      <w:r w:rsidRPr="280C6F44">
        <w:rPr>
          <w:rFonts w:ascii="Garamond" w:eastAsia="Garamond" w:hAnsi="Garamond" w:cs="Garamond"/>
        </w:rPr>
        <w:t xml:space="preserve"> </w:t>
      </w:r>
      <w:proofErr w:type="spellStart"/>
      <w:r w:rsidRPr="280C6F44">
        <w:rPr>
          <w:rFonts w:ascii="Garamond" w:eastAsia="Garamond" w:hAnsi="Garamond" w:cs="Garamond"/>
        </w:rPr>
        <w:t>Instituut</w:t>
      </w:r>
      <w:proofErr w:type="spellEnd"/>
      <w:r w:rsidRPr="280C6F44">
        <w:rPr>
          <w:rFonts w:ascii="Garamond" w:eastAsia="Garamond" w:hAnsi="Garamond" w:cs="Garamond"/>
        </w:rPr>
        <w:t xml:space="preserve"> (KNMI)/Netherlands Institute for Space Research (SRON) (2019). </w:t>
      </w:r>
      <w:r w:rsidRPr="280C6F44">
        <w:rPr>
          <w:rFonts w:ascii="Garamond" w:eastAsia="Garamond" w:hAnsi="Garamond" w:cs="Garamond"/>
          <w:i/>
          <w:iCs/>
        </w:rPr>
        <w:t xml:space="preserve">Sentinel-5P TROPOMI Carbon Monoxide CO Column 1-Orbit L2 7km x 7km </w:t>
      </w:r>
      <w:r w:rsidRPr="280C6F44">
        <w:rPr>
          <w:rFonts w:ascii="Garamond" w:eastAsia="Garamond" w:hAnsi="Garamond" w:cs="Garamond"/>
        </w:rPr>
        <w:t xml:space="preserve">(V1) [Data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Retrieved October 1</w:t>
      </w:r>
      <w:r w:rsidRPr="280C6F44">
        <w:rPr>
          <w:rFonts w:ascii="Garamond" w:eastAsia="Garamond" w:hAnsi="Garamond" w:cs="Garamond"/>
          <w:vertAlign w:val="superscript"/>
        </w:rPr>
        <w:t>st</w:t>
      </w:r>
      <w:r w:rsidRPr="280C6F44">
        <w:rPr>
          <w:rFonts w:ascii="Garamond" w:eastAsia="Garamond" w:hAnsi="Garamond" w:cs="Garamond"/>
        </w:rPr>
        <w:t>, 2021 from https://doi.org/10.5270/S5P-1hkp7rp</w:t>
      </w:r>
    </w:p>
    <w:p w14:paraId="000000F6" w14:textId="466DCB87" w:rsidR="007F0CF5" w:rsidRDefault="621871F2">
      <w:pPr>
        <w:spacing w:line="240" w:lineRule="auto"/>
        <w:ind w:left="720" w:hanging="720"/>
        <w:rPr>
          <w:rFonts w:ascii="Garamond" w:eastAsia="Garamond" w:hAnsi="Garamond" w:cs="Garamond"/>
        </w:rPr>
      </w:pPr>
      <w:r w:rsidRPr="280C6F44">
        <w:rPr>
          <w:rFonts w:ascii="Garamond" w:eastAsia="Garamond" w:hAnsi="Garamond" w:cs="Garamond"/>
        </w:rPr>
        <w:t xml:space="preserve">Copernicus Sentinel data processed by ESA, German Aerospace Center (DLR) (2019). </w:t>
      </w:r>
      <w:r w:rsidRPr="280C6F44">
        <w:rPr>
          <w:rFonts w:ascii="Garamond" w:eastAsia="Garamond" w:hAnsi="Garamond" w:cs="Garamond"/>
          <w:i/>
          <w:iCs/>
        </w:rPr>
        <w:t xml:space="preserve">Sentinel-5P TROPOMI Tropospheric Formaldehyde HCHO 1-Orbit L2 7km x 3.5km </w:t>
      </w:r>
      <w:r w:rsidRPr="280C6F44">
        <w:rPr>
          <w:rFonts w:ascii="Garamond" w:eastAsia="Garamond" w:hAnsi="Garamond" w:cs="Garamond"/>
        </w:rPr>
        <w:t xml:space="preserve">(V1) [Data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https://doi.org/10.5270/S5P-tjlxfd2</w:t>
      </w:r>
    </w:p>
    <w:p w14:paraId="000000F7" w14:textId="30B2C43E" w:rsidR="007F0CF5" w:rsidRDefault="621871F2">
      <w:pPr>
        <w:spacing w:line="240" w:lineRule="auto"/>
        <w:ind w:left="720" w:hanging="720"/>
        <w:rPr>
          <w:rFonts w:ascii="Garamond" w:eastAsia="Garamond" w:hAnsi="Garamond" w:cs="Garamond"/>
          <w:color w:val="191A1B"/>
          <w:sz w:val="20"/>
          <w:szCs w:val="20"/>
        </w:rPr>
      </w:pPr>
      <w:r w:rsidRPr="280C6F44">
        <w:rPr>
          <w:rFonts w:ascii="Garamond" w:eastAsia="Garamond" w:hAnsi="Garamond" w:cs="Garamond"/>
        </w:rPr>
        <w:t xml:space="preserve">Copernicus Sentinel data processed by ESA, German Aerospace Center (DLR) (2019), </w:t>
      </w:r>
      <w:r w:rsidRPr="280C6F44">
        <w:rPr>
          <w:rFonts w:ascii="Garamond" w:eastAsia="Garamond" w:hAnsi="Garamond" w:cs="Garamond"/>
          <w:i/>
          <w:iCs/>
        </w:rPr>
        <w:t xml:space="preserve">Sentinel-5P TROPOMI Total Ozone Column 1-Orbit L2 7km x 3.5km </w:t>
      </w:r>
      <w:r w:rsidRPr="280C6F44">
        <w:rPr>
          <w:rFonts w:ascii="Garamond" w:eastAsia="Garamond" w:hAnsi="Garamond" w:cs="Garamond"/>
        </w:rPr>
        <w:t xml:space="preserve">(V1) [Data set]. Greenbelt, MD, USA, Goddard Earth Sciences </w:t>
      </w:r>
      <w:proofErr w:type="gramStart"/>
      <w:r w:rsidRPr="280C6F44">
        <w:rPr>
          <w:rFonts w:ascii="Garamond" w:eastAsia="Garamond" w:hAnsi="Garamond" w:cs="Garamond"/>
        </w:rPr>
        <w:t>Data</w:t>
      </w:r>
      <w:proofErr w:type="gramEnd"/>
      <w:r w:rsidRPr="280C6F44">
        <w:rPr>
          <w:rFonts w:ascii="Garamond" w:eastAsia="Garamond" w:hAnsi="Garamond" w:cs="Garamond"/>
        </w:rPr>
        <w:t xml:space="preserve"> and Information Services Center (GES DISC). </w:t>
      </w:r>
      <w:r w:rsidRPr="280C6F44">
        <w:rPr>
          <w:rFonts w:ascii="Garamond" w:eastAsia="Garamond" w:hAnsi="Garamond" w:cs="Garamond"/>
          <w:color w:val="191A1B"/>
        </w:rPr>
        <w:t>https://doi.org/1</w:t>
      </w:r>
      <w:r w:rsidR="280C6F44" w:rsidRPr="280C6F44">
        <w:rPr>
          <w:rFonts w:ascii="Garamond" w:eastAsia="Garamond" w:hAnsi="Garamond" w:cs="Garamond"/>
          <w:color w:val="191A1B"/>
        </w:rPr>
        <w:t>10.5270/S5P-fqouvyz</w:t>
      </w:r>
    </w:p>
    <w:p w14:paraId="000000F8" w14:textId="65FD34C5"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Crosman</w:t>
      </w:r>
      <w:proofErr w:type="spellEnd"/>
      <w:r w:rsidRPr="1508864B">
        <w:rPr>
          <w:rFonts w:ascii="Garamond" w:eastAsia="Garamond" w:hAnsi="Garamond" w:cs="Garamond"/>
        </w:rPr>
        <w:t xml:space="preserve">, E. (2021). Meteorological drivers of Permian Basin methane anomalies derived from TROPOMI. </w:t>
      </w:r>
      <w:r w:rsidRPr="1508864B">
        <w:rPr>
          <w:rFonts w:ascii="Garamond" w:eastAsia="Garamond" w:hAnsi="Garamond" w:cs="Garamond"/>
          <w:i/>
          <w:iCs/>
        </w:rPr>
        <w:t>Remote Sensing,</w:t>
      </w:r>
      <w:r w:rsidRPr="1508864B">
        <w:rPr>
          <w:rFonts w:ascii="Garamond" w:eastAsia="Garamond" w:hAnsi="Garamond" w:cs="Garamond"/>
        </w:rPr>
        <w:t xml:space="preserve"> </w:t>
      </w:r>
      <w:r w:rsidRPr="1508864B">
        <w:rPr>
          <w:rFonts w:ascii="Garamond" w:eastAsia="Garamond" w:hAnsi="Garamond" w:cs="Garamond"/>
          <w:i/>
          <w:iCs/>
        </w:rPr>
        <w:t>13</w:t>
      </w:r>
      <w:r w:rsidRPr="1508864B">
        <w:rPr>
          <w:rFonts w:ascii="Garamond" w:eastAsia="Garamond" w:hAnsi="Garamond" w:cs="Garamond"/>
        </w:rPr>
        <w:t xml:space="preserve">(5), 896. https://doi.org/10.3390/rs13050896 </w:t>
      </w:r>
    </w:p>
    <w:p w14:paraId="000000F9" w14:textId="77777777" w:rsidR="007F0CF5" w:rsidRDefault="007F0CF5" w:rsidP="1508864B">
      <w:pPr>
        <w:spacing w:after="0" w:line="240" w:lineRule="auto"/>
        <w:ind w:left="720" w:hanging="720"/>
        <w:rPr>
          <w:rFonts w:ascii="Garamond" w:eastAsia="Garamond" w:hAnsi="Garamond" w:cs="Garamond"/>
        </w:rPr>
      </w:pPr>
    </w:p>
    <w:p w14:paraId="000000FA" w14:textId="3C0B1739" w:rsidR="007F0CF5" w:rsidRDefault="0F2829D8" w:rsidP="1508864B">
      <w:pPr>
        <w:spacing w:after="0" w:line="240" w:lineRule="auto"/>
        <w:ind w:left="720" w:hanging="720"/>
        <w:rPr>
          <w:rFonts w:ascii="Garamond" w:eastAsia="Garamond" w:hAnsi="Garamond" w:cs="Garamond"/>
        </w:rPr>
      </w:pPr>
      <w:proofErr w:type="spellStart"/>
      <w:r w:rsidRPr="1508864B">
        <w:rPr>
          <w:rFonts w:ascii="Garamond" w:eastAsia="Garamond" w:hAnsi="Garamond" w:cs="Garamond"/>
          <w:highlight w:val="white"/>
        </w:rPr>
        <w:t>Dewitz</w:t>
      </w:r>
      <w:proofErr w:type="spellEnd"/>
      <w:r w:rsidRPr="1508864B">
        <w:rPr>
          <w:rFonts w:ascii="Garamond" w:eastAsia="Garamond" w:hAnsi="Garamond" w:cs="Garamond"/>
          <w:highlight w:val="white"/>
        </w:rPr>
        <w:t xml:space="preserve">, J. (2019). </w:t>
      </w:r>
      <w:r w:rsidRPr="1508864B">
        <w:rPr>
          <w:rFonts w:ascii="Garamond" w:eastAsia="Garamond" w:hAnsi="Garamond" w:cs="Garamond"/>
          <w:i/>
          <w:iCs/>
          <w:highlight w:val="white"/>
        </w:rPr>
        <w:t>National Land Cover Database (NLCD) 2016 Products</w:t>
      </w:r>
      <w:r w:rsidRPr="1508864B">
        <w:rPr>
          <w:rFonts w:ascii="Garamond" w:eastAsia="Garamond" w:hAnsi="Garamond" w:cs="Garamond"/>
          <w:highlight w:val="white"/>
        </w:rPr>
        <w:t xml:space="preserve"> (ver. 2.0, July 2020): U.S. Geological Survey.  https://doi.org/10.5066/P96HHBIE.</w:t>
      </w:r>
    </w:p>
    <w:p w14:paraId="000000FB" w14:textId="77777777" w:rsidR="007F0CF5" w:rsidRDefault="007F0CF5">
      <w:pPr>
        <w:spacing w:after="0" w:line="240" w:lineRule="auto"/>
        <w:ind w:left="720" w:hanging="720"/>
        <w:rPr>
          <w:rFonts w:ascii="Garamond" w:eastAsia="Garamond" w:hAnsi="Garamond" w:cs="Garamond"/>
        </w:rPr>
      </w:pPr>
    </w:p>
    <w:p w14:paraId="000000FC" w14:textId="2BB7CBFE"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Draxler</w:t>
      </w:r>
      <w:proofErr w:type="spellEnd"/>
      <w:r w:rsidRPr="1508864B">
        <w:rPr>
          <w:rFonts w:ascii="Garamond" w:eastAsia="Garamond" w:hAnsi="Garamond" w:cs="Garamond"/>
        </w:rPr>
        <w:t xml:space="preserve">, R., </w:t>
      </w:r>
      <w:proofErr w:type="spellStart"/>
      <w:r w:rsidRPr="1508864B">
        <w:rPr>
          <w:rFonts w:ascii="Garamond" w:eastAsia="Garamond" w:hAnsi="Garamond" w:cs="Garamond"/>
        </w:rPr>
        <w:t>Rolph</w:t>
      </w:r>
      <w:proofErr w:type="spellEnd"/>
      <w:r w:rsidRPr="1508864B">
        <w:rPr>
          <w:rFonts w:ascii="Garamond" w:eastAsia="Garamond" w:hAnsi="Garamond" w:cs="Garamond"/>
        </w:rPr>
        <w:t xml:space="preserve">, G., Stein, A., </w:t>
      </w:r>
      <w:proofErr w:type="spellStart"/>
      <w:r w:rsidRPr="1508864B">
        <w:rPr>
          <w:rFonts w:ascii="Garamond" w:eastAsia="Garamond" w:hAnsi="Garamond" w:cs="Garamond"/>
        </w:rPr>
        <w:t>Stunder</w:t>
      </w:r>
      <w:proofErr w:type="spellEnd"/>
      <w:r w:rsidRPr="1508864B">
        <w:rPr>
          <w:rFonts w:ascii="Garamond" w:eastAsia="Garamond" w:hAnsi="Garamond" w:cs="Garamond"/>
        </w:rPr>
        <w:t xml:space="preserve">, B., &amp; Taylor, A. (2020). </w:t>
      </w:r>
      <w:r w:rsidRPr="1508864B">
        <w:rPr>
          <w:rFonts w:ascii="Garamond" w:eastAsia="Garamond" w:hAnsi="Garamond" w:cs="Garamond"/>
          <w:i/>
          <w:iCs/>
        </w:rPr>
        <w:t>HYSPLIT User’s Guide 5.</w:t>
      </w:r>
      <w:r w:rsidRPr="1508864B">
        <w:rPr>
          <w:rFonts w:ascii="Garamond" w:eastAsia="Garamond" w:hAnsi="Garamond" w:cs="Garamond"/>
        </w:rPr>
        <w:t xml:space="preserve"> https://www.arl.noaa.gov/documents/reports/hysplit_user_guide.pdf</w:t>
      </w:r>
    </w:p>
    <w:p w14:paraId="000000FD" w14:textId="77777777" w:rsidR="007F0CF5" w:rsidRDefault="007F0CF5">
      <w:pPr>
        <w:spacing w:after="0" w:line="240" w:lineRule="auto"/>
        <w:ind w:left="720" w:hanging="720"/>
        <w:rPr>
          <w:rFonts w:ascii="Garamond" w:eastAsia="Garamond" w:hAnsi="Garamond" w:cs="Garamond"/>
        </w:rPr>
      </w:pPr>
    </w:p>
    <w:p w14:paraId="000000FE" w14:textId="36F3B3DD"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Garane</w:t>
      </w:r>
      <w:proofErr w:type="spellEnd"/>
      <w:r w:rsidRPr="1508864B">
        <w:rPr>
          <w:rFonts w:ascii="Garamond" w:eastAsia="Garamond" w:hAnsi="Garamond" w:cs="Garamond"/>
        </w:rPr>
        <w:t xml:space="preserve">, K., </w:t>
      </w:r>
      <w:proofErr w:type="spellStart"/>
      <w:r w:rsidRPr="1508864B">
        <w:rPr>
          <w:rFonts w:ascii="Garamond" w:eastAsia="Garamond" w:hAnsi="Garamond" w:cs="Garamond"/>
        </w:rPr>
        <w:t>Koukouli</w:t>
      </w:r>
      <w:proofErr w:type="spellEnd"/>
      <w:r w:rsidRPr="1508864B">
        <w:rPr>
          <w:rFonts w:ascii="Garamond" w:eastAsia="Garamond" w:hAnsi="Garamond" w:cs="Garamond"/>
        </w:rPr>
        <w:t xml:space="preserve">, M. E., </w:t>
      </w:r>
      <w:proofErr w:type="spellStart"/>
      <w:r w:rsidRPr="1508864B">
        <w:rPr>
          <w:rFonts w:ascii="Garamond" w:eastAsia="Garamond" w:hAnsi="Garamond" w:cs="Garamond"/>
        </w:rPr>
        <w:t>Verhoelst</w:t>
      </w:r>
      <w:proofErr w:type="spellEnd"/>
      <w:r w:rsidRPr="1508864B">
        <w:rPr>
          <w:rFonts w:ascii="Garamond" w:eastAsia="Garamond" w:hAnsi="Garamond" w:cs="Garamond"/>
        </w:rPr>
        <w:t xml:space="preserve">, T., Lerot, C., </w:t>
      </w:r>
      <w:proofErr w:type="spellStart"/>
      <w:r w:rsidRPr="1508864B">
        <w:rPr>
          <w:rFonts w:ascii="Garamond" w:eastAsia="Garamond" w:hAnsi="Garamond" w:cs="Garamond"/>
        </w:rPr>
        <w:t>Heue</w:t>
      </w:r>
      <w:proofErr w:type="spellEnd"/>
      <w:r w:rsidRPr="1508864B">
        <w:rPr>
          <w:rFonts w:ascii="Garamond" w:eastAsia="Garamond" w:hAnsi="Garamond" w:cs="Garamond"/>
        </w:rPr>
        <w:t xml:space="preserve">, K. P., </w:t>
      </w:r>
      <w:proofErr w:type="spellStart"/>
      <w:r w:rsidRPr="1508864B">
        <w:rPr>
          <w:rFonts w:ascii="Garamond" w:eastAsia="Garamond" w:hAnsi="Garamond" w:cs="Garamond"/>
        </w:rPr>
        <w:t>Fioletov</w:t>
      </w:r>
      <w:proofErr w:type="spellEnd"/>
      <w:r w:rsidRPr="1508864B">
        <w:rPr>
          <w:rFonts w:ascii="Garamond" w:eastAsia="Garamond" w:hAnsi="Garamond" w:cs="Garamond"/>
        </w:rPr>
        <w:t>, V.</w:t>
      </w:r>
      <w:proofErr w:type="gramStart"/>
      <w:r w:rsidRPr="1508864B">
        <w:rPr>
          <w:rFonts w:ascii="Garamond" w:eastAsia="Garamond" w:hAnsi="Garamond" w:cs="Garamond"/>
        </w:rPr>
        <w:t>,  &amp;</w:t>
      </w:r>
      <w:proofErr w:type="gramEnd"/>
      <w:r w:rsidRPr="1508864B">
        <w:rPr>
          <w:rFonts w:ascii="Garamond" w:eastAsia="Garamond" w:hAnsi="Garamond" w:cs="Garamond"/>
        </w:rPr>
        <w:t xml:space="preserve"> Zimmer, W. (2019). TROPOMI/S5P total ozone column data: Global ground-based validation and consistency with other satellite missions. </w:t>
      </w:r>
      <w:r w:rsidRPr="1508864B">
        <w:rPr>
          <w:rFonts w:ascii="Garamond" w:eastAsia="Garamond" w:hAnsi="Garamond" w:cs="Garamond"/>
          <w:i/>
          <w:iCs/>
        </w:rPr>
        <w:t>Atmospheric Measurement Techniques</w:t>
      </w:r>
      <w:r w:rsidRPr="1508864B">
        <w:rPr>
          <w:rFonts w:ascii="Garamond" w:eastAsia="Garamond" w:hAnsi="Garamond" w:cs="Garamond"/>
        </w:rPr>
        <w:t xml:space="preserve">, </w:t>
      </w:r>
      <w:r w:rsidRPr="1508864B">
        <w:rPr>
          <w:rFonts w:ascii="Garamond" w:eastAsia="Garamond" w:hAnsi="Garamond" w:cs="Garamond"/>
          <w:i/>
          <w:iCs/>
        </w:rPr>
        <w:t>12</w:t>
      </w:r>
      <w:r w:rsidRPr="1508864B">
        <w:rPr>
          <w:rFonts w:ascii="Garamond" w:eastAsia="Garamond" w:hAnsi="Garamond" w:cs="Garamond"/>
        </w:rPr>
        <w:t xml:space="preserve">(10), 5263–5287. </w:t>
      </w:r>
      <w:hyperlink r:id="rId38">
        <w:r w:rsidRPr="1508864B">
          <w:rPr>
            <w:rFonts w:ascii="Garamond" w:eastAsia="Garamond" w:hAnsi="Garamond" w:cs="Garamond"/>
          </w:rPr>
          <w:t>https://doi.org/10.5194/amt-12-5263-2019</w:t>
        </w:r>
      </w:hyperlink>
    </w:p>
    <w:p w14:paraId="000000FF" w14:textId="77777777" w:rsidR="007F0CF5" w:rsidRDefault="007F0CF5">
      <w:pPr>
        <w:spacing w:after="0" w:line="240" w:lineRule="auto"/>
        <w:ind w:left="720" w:hanging="720"/>
        <w:rPr>
          <w:rFonts w:ascii="Garamond" w:eastAsia="Garamond" w:hAnsi="Garamond" w:cs="Garamond"/>
        </w:rPr>
      </w:pPr>
    </w:p>
    <w:p w14:paraId="00000100"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Giglio, L., Justice, C., </w:t>
      </w:r>
      <w:proofErr w:type="spellStart"/>
      <w:r>
        <w:rPr>
          <w:rFonts w:ascii="Garamond" w:eastAsia="Garamond" w:hAnsi="Garamond" w:cs="Garamond"/>
        </w:rPr>
        <w:t>Boschetti</w:t>
      </w:r>
      <w:proofErr w:type="spellEnd"/>
      <w:r>
        <w:rPr>
          <w:rFonts w:ascii="Garamond" w:eastAsia="Garamond" w:hAnsi="Garamond" w:cs="Garamond"/>
        </w:rPr>
        <w:t>, L., Roy, D. (2015). MCD64A1 MODIS/</w:t>
      </w:r>
      <w:proofErr w:type="spellStart"/>
      <w:r>
        <w:rPr>
          <w:rFonts w:ascii="Garamond" w:eastAsia="Garamond" w:hAnsi="Garamond" w:cs="Garamond"/>
        </w:rPr>
        <w:t>Terra+Aqua</w:t>
      </w:r>
      <w:proofErr w:type="spellEnd"/>
      <w:r>
        <w:rPr>
          <w:rFonts w:ascii="Garamond" w:eastAsia="Garamond" w:hAnsi="Garamond" w:cs="Garamond"/>
        </w:rPr>
        <w:t xml:space="preserve"> Burned Area Monthly L3 Global 500m SIN Grid V006 [Data set]. NASA EOSDIS Land Processes DAAC. Retrieved October 1</w:t>
      </w:r>
      <w:r>
        <w:rPr>
          <w:rFonts w:ascii="Garamond" w:eastAsia="Garamond" w:hAnsi="Garamond" w:cs="Garamond"/>
          <w:vertAlign w:val="superscript"/>
        </w:rPr>
        <w:t>st</w:t>
      </w:r>
      <w:r>
        <w:rPr>
          <w:rFonts w:ascii="Garamond" w:eastAsia="Garamond" w:hAnsi="Garamond" w:cs="Garamond"/>
        </w:rPr>
        <w:t xml:space="preserve">, 2021 from https://doi.org/10.5067/MODIS/MCD64A1.006 </w:t>
      </w:r>
    </w:p>
    <w:p w14:paraId="00000101" w14:textId="77777777" w:rsidR="007F0CF5" w:rsidRDefault="007F0CF5">
      <w:pPr>
        <w:spacing w:after="0" w:line="240" w:lineRule="auto"/>
        <w:ind w:left="720" w:hanging="720"/>
        <w:rPr>
          <w:rFonts w:ascii="Garamond" w:eastAsia="Garamond" w:hAnsi="Garamond" w:cs="Garamond"/>
        </w:rPr>
      </w:pPr>
    </w:p>
    <w:p w14:paraId="00000102" w14:textId="77777777" w:rsidR="007F0CF5" w:rsidRDefault="00652E1B">
      <w:pPr>
        <w:spacing w:after="0" w:line="240" w:lineRule="auto"/>
        <w:ind w:left="720" w:hanging="720"/>
        <w:rPr>
          <w:rFonts w:ascii="Garamond" w:eastAsia="Garamond" w:hAnsi="Garamond" w:cs="Garamond"/>
        </w:rPr>
      </w:pPr>
      <w:proofErr w:type="spellStart"/>
      <w:r>
        <w:rPr>
          <w:rFonts w:ascii="Garamond" w:eastAsia="Garamond" w:hAnsi="Garamond" w:cs="Garamond"/>
        </w:rPr>
        <w:lastRenderedPageBreak/>
        <w:t>Ialongo</w:t>
      </w:r>
      <w:proofErr w:type="spellEnd"/>
      <w:r>
        <w:rPr>
          <w:rFonts w:ascii="Garamond" w:eastAsia="Garamond" w:hAnsi="Garamond" w:cs="Garamond"/>
        </w:rPr>
        <w:t xml:space="preserve">, I., </w:t>
      </w:r>
      <w:proofErr w:type="spellStart"/>
      <w:r>
        <w:rPr>
          <w:rFonts w:ascii="Garamond" w:eastAsia="Garamond" w:hAnsi="Garamond" w:cs="Garamond"/>
        </w:rPr>
        <w:t>Virta</w:t>
      </w:r>
      <w:proofErr w:type="spellEnd"/>
      <w:r>
        <w:rPr>
          <w:rFonts w:ascii="Garamond" w:eastAsia="Garamond" w:hAnsi="Garamond" w:cs="Garamond"/>
        </w:rPr>
        <w:t xml:space="preserve">, H., </w:t>
      </w:r>
      <w:proofErr w:type="spellStart"/>
      <w:r>
        <w:rPr>
          <w:rFonts w:ascii="Garamond" w:eastAsia="Garamond" w:hAnsi="Garamond" w:cs="Garamond"/>
        </w:rPr>
        <w:t>Eskes</w:t>
      </w:r>
      <w:proofErr w:type="spellEnd"/>
      <w:r>
        <w:rPr>
          <w:rFonts w:ascii="Garamond" w:eastAsia="Garamond" w:hAnsi="Garamond" w:cs="Garamond"/>
        </w:rPr>
        <w:t xml:space="preserve">, H., </w:t>
      </w:r>
      <w:proofErr w:type="spellStart"/>
      <w:r>
        <w:rPr>
          <w:rFonts w:ascii="Garamond" w:eastAsia="Garamond" w:hAnsi="Garamond" w:cs="Garamond"/>
        </w:rPr>
        <w:t>Hovila</w:t>
      </w:r>
      <w:proofErr w:type="spellEnd"/>
      <w:r>
        <w:rPr>
          <w:rFonts w:ascii="Garamond" w:eastAsia="Garamond" w:hAnsi="Garamond" w:cs="Garamond"/>
        </w:rPr>
        <w:t xml:space="preserve">, J., &amp; </w:t>
      </w:r>
      <w:proofErr w:type="spellStart"/>
      <w:r>
        <w:rPr>
          <w:rFonts w:ascii="Garamond" w:eastAsia="Garamond" w:hAnsi="Garamond" w:cs="Garamond"/>
        </w:rPr>
        <w:t>Douros</w:t>
      </w:r>
      <w:proofErr w:type="spellEnd"/>
      <w:r>
        <w:rPr>
          <w:rFonts w:ascii="Garamond" w:eastAsia="Garamond" w:hAnsi="Garamond" w:cs="Garamond"/>
        </w:rPr>
        <w:t xml:space="preserve">, J. (2020). Comparison of TROPOMI/Sentinel-5 Precursor NO 2 observations with ground-based measurements in Helsinki. </w:t>
      </w:r>
      <w:r>
        <w:rPr>
          <w:rFonts w:ascii="Garamond" w:eastAsia="Garamond" w:hAnsi="Garamond" w:cs="Garamond"/>
          <w:i/>
        </w:rPr>
        <w:t>Atmospheric Measurement Techniques</w:t>
      </w:r>
      <w:r>
        <w:rPr>
          <w:rFonts w:ascii="Garamond" w:eastAsia="Garamond" w:hAnsi="Garamond" w:cs="Garamond"/>
        </w:rPr>
        <w:t xml:space="preserve">, </w:t>
      </w:r>
      <w:r>
        <w:rPr>
          <w:rFonts w:ascii="Garamond" w:eastAsia="Garamond" w:hAnsi="Garamond" w:cs="Garamond"/>
          <w:i/>
        </w:rPr>
        <w:t>13</w:t>
      </w:r>
      <w:r>
        <w:rPr>
          <w:rFonts w:ascii="Garamond" w:eastAsia="Garamond" w:hAnsi="Garamond" w:cs="Garamond"/>
        </w:rPr>
        <w:t xml:space="preserve">(1), 205-218. https://doi.org/10.5194/amt-13-205-2020 </w:t>
      </w:r>
    </w:p>
    <w:p w14:paraId="00000103" w14:textId="77777777" w:rsidR="007F0CF5" w:rsidRDefault="007F0CF5">
      <w:pPr>
        <w:spacing w:after="0" w:line="240" w:lineRule="auto"/>
        <w:ind w:left="720" w:hanging="720"/>
        <w:rPr>
          <w:rFonts w:ascii="Garamond" w:eastAsia="Garamond" w:hAnsi="Garamond" w:cs="Garamond"/>
        </w:rPr>
      </w:pPr>
    </w:p>
    <w:p w14:paraId="00000104" w14:textId="2B1FC0CD" w:rsidR="007F0CF5" w:rsidRDefault="0F2829D8">
      <w:pPr>
        <w:spacing w:after="0" w:line="240" w:lineRule="auto"/>
        <w:ind w:left="720" w:hanging="720"/>
        <w:rPr>
          <w:rFonts w:ascii="Garamond" w:eastAsia="Garamond" w:hAnsi="Garamond" w:cs="Garamond"/>
        </w:rPr>
      </w:pPr>
      <w:proofErr w:type="spellStart"/>
      <w:r w:rsidRPr="1508864B">
        <w:rPr>
          <w:rFonts w:ascii="Garamond" w:eastAsia="Garamond" w:hAnsi="Garamond" w:cs="Garamond"/>
        </w:rPr>
        <w:t>Jeong</w:t>
      </w:r>
      <w:proofErr w:type="spellEnd"/>
      <w:r w:rsidRPr="1508864B">
        <w:rPr>
          <w:rFonts w:ascii="Garamond" w:eastAsia="Garamond" w:hAnsi="Garamond" w:cs="Garamond"/>
        </w:rPr>
        <w:t xml:space="preserve"> Y, Lee HW, &amp; Jeon W. (2020) Regional Differences of Primary Meteorological Factors Impacting O3 Variability in South Korea. </w:t>
      </w:r>
      <w:r w:rsidRPr="1508864B">
        <w:rPr>
          <w:rFonts w:ascii="Garamond" w:eastAsia="Garamond" w:hAnsi="Garamond" w:cs="Garamond"/>
          <w:i/>
          <w:iCs/>
        </w:rPr>
        <w:t>Atmosphere,</w:t>
      </w:r>
      <w:r w:rsidRPr="1508864B">
        <w:rPr>
          <w:rFonts w:ascii="Garamond" w:eastAsia="Garamond" w:hAnsi="Garamond" w:cs="Garamond"/>
        </w:rPr>
        <w:t xml:space="preserve"> 11(1):74. https://doi.org/10.3390/atmos11010074  </w:t>
      </w:r>
    </w:p>
    <w:p w14:paraId="00000105" w14:textId="77777777" w:rsidR="007F0CF5" w:rsidRDefault="007F0CF5">
      <w:pPr>
        <w:spacing w:after="0" w:line="240" w:lineRule="auto"/>
        <w:ind w:left="720" w:hanging="720"/>
        <w:rPr>
          <w:rFonts w:ascii="Garamond" w:eastAsia="Garamond" w:hAnsi="Garamond" w:cs="Garamond"/>
        </w:rPr>
      </w:pPr>
    </w:p>
    <w:p w14:paraId="00000106" w14:textId="20A220E4" w:rsidR="007F0CF5" w:rsidRDefault="0F2829D8" w:rsidP="1508864B">
      <w:pPr>
        <w:spacing w:line="240" w:lineRule="auto"/>
        <w:ind w:left="720" w:hanging="720"/>
        <w:rPr>
          <w:rFonts w:ascii="Garamond" w:eastAsia="Garamond" w:hAnsi="Garamond" w:cs="Garamond"/>
        </w:rPr>
      </w:pPr>
      <w:r w:rsidRPr="1508864B">
        <w:rPr>
          <w:rFonts w:ascii="Garamond" w:eastAsia="Garamond" w:hAnsi="Garamond" w:cs="Garamond"/>
        </w:rPr>
        <w:t xml:space="preserve">Levy, R., Hsu, C., e., 2015. </w:t>
      </w:r>
      <w:r w:rsidR="1508864B" w:rsidRPr="1508864B">
        <w:rPr>
          <w:rFonts w:ascii="Garamond" w:eastAsia="Garamond" w:hAnsi="Garamond" w:cs="Garamond"/>
          <w:i/>
          <w:iCs/>
        </w:rPr>
        <w:t>MOD04_L2 - MODIS/Terra Aerosol 5-Min L2 Swath 10km</w:t>
      </w:r>
      <w:r w:rsidRPr="1508864B">
        <w:rPr>
          <w:rFonts w:ascii="Garamond" w:eastAsia="Garamond" w:hAnsi="Garamond" w:cs="Garamond"/>
        </w:rPr>
        <w:t xml:space="preserve"> [Data set]. Adaptive NASA MODIS</w:t>
      </w:r>
      <w:r w:rsidR="1508864B" w:rsidRPr="1508864B">
        <w:rPr>
          <w:rFonts w:ascii="Garamond" w:eastAsia="Garamond" w:hAnsi="Garamond" w:cs="Garamond"/>
        </w:rPr>
        <w:t xml:space="preserve"> </w:t>
      </w:r>
      <w:r w:rsidRPr="1508864B">
        <w:rPr>
          <w:rFonts w:ascii="Garamond" w:eastAsia="Garamond" w:hAnsi="Garamond" w:cs="Garamond"/>
        </w:rPr>
        <w:t xml:space="preserve">Processing System, Goddard Space Flight Center, USA. </w:t>
      </w:r>
      <w:r w:rsidRPr="1508864B">
        <w:rPr>
          <w:rFonts w:ascii="Garamond" w:eastAsia="Garamond" w:hAnsi="Garamond" w:cs="Garamond"/>
          <w:color w:val="000000" w:themeColor="text1"/>
        </w:rPr>
        <w:t>https://dx.doi.org/10.5067/MODIS/MOD04_L2.061</w:t>
      </w:r>
    </w:p>
    <w:p w14:paraId="00000107" w14:textId="446464B9" w:rsidR="007F0CF5" w:rsidRDefault="0F2829D8">
      <w:pPr>
        <w:spacing w:line="240" w:lineRule="auto"/>
        <w:ind w:left="720" w:hanging="720"/>
        <w:rPr>
          <w:rFonts w:ascii="Garamond" w:eastAsia="Garamond" w:hAnsi="Garamond" w:cs="Garamond"/>
        </w:rPr>
      </w:pPr>
      <w:r w:rsidRPr="1508864B">
        <w:rPr>
          <w:rFonts w:ascii="Garamond" w:eastAsia="Garamond" w:hAnsi="Garamond" w:cs="Garamond"/>
        </w:rPr>
        <w:t xml:space="preserve">MODIS Science Team (2006), </w:t>
      </w:r>
      <w:r w:rsidRPr="1508864B">
        <w:rPr>
          <w:rFonts w:ascii="Garamond" w:eastAsia="Garamond" w:hAnsi="Garamond" w:cs="Garamond"/>
          <w:i/>
          <w:iCs/>
        </w:rPr>
        <w:t>MODIS/Aqua Aerosol 5-Min L2 Swath Subset 10km</w:t>
      </w:r>
      <w:r w:rsidRPr="1508864B">
        <w:rPr>
          <w:rFonts w:ascii="Garamond" w:eastAsia="Garamond" w:hAnsi="Garamond" w:cs="Garamond"/>
        </w:rPr>
        <w:t xml:space="preserve"> </w:t>
      </w:r>
      <w:r w:rsidRPr="1508864B">
        <w:rPr>
          <w:rFonts w:ascii="Garamond" w:eastAsia="Garamond" w:hAnsi="Garamond" w:cs="Garamond"/>
          <w:i/>
          <w:iCs/>
        </w:rPr>
        <w:t>along MLS.</w:t>
      </w:r>
      <w:r w:rsidRPr="1508864B">
        <w:rPr>
          <w:rFonts w:ascii="Garamond" w:eastAsia="Garamond" w:hAnsi="Garamond" w:cs="Garamond"/>
        </w:rPr>
        <w:t xml:space="preserve"> [Data set]. Greenbelt, MD, USA, Goddard Earth Sciences </w:t>
      </w:r>
      <w:proofErr w:type="gramStart"/>
      <w:r w:rsidRPr="1508864B">
        <w:rPr>
          <w:rFonts w:ascii="Garamond" w:eastAsia="Garamond" w:hAnsi="Garamond" w:cs="Garamond"/>
        </w:rPr>
        <w:t>Data</w:t>
      </w:r>
      <w:proofErr w:type="gramEnd"/>
      <w:r w:rsidRPr="1508864B">
        <w:rPr>
          <w:rFonts w:ascii="Garamond" w:eastAsia="Garamond" w:hAnsi="Garamond" w:cs="Garamond"/>
        </w:rPr>
        <w:t xml:space="preserve"> and Information Services Center (GES DISC.</w:t>
      </w:r>
      <w:r w:rsidR="1508864B" w:rsidRPr="1508864B">
        <w:rPr>
          <w:rFonts w:ascii="Garamond" w:eastAsia="Garamond" w:hAnsi="Garamond" w:cs="Garamond"/>
        </w:rPr>
        <w:t xml:space="preserve"> https://disc.gsfc.nasa.gov/datacollection/MAM04S0_002.html</w:t>
      </w:r>
    </w:p>
    <w:p w14:paraId="00000108" w14:textId="0EC35002" w:rsidR="007F0CF5" w:rsidRDefault="0F2829D8">
      <w:pPr>
        <w:spacing w:after="40" w:line="240" w:lineRule="auto"/>
        <w:ind w:left="720" w:hanging="720"/>
        <w:rPr>
          <w:rFonts w:ascii="Garamond" w:eastAsia="Garamond" w:hAnsi="Garamond" w:cs="Garamond"/>
        </w:rPr>
      </w:pPr>
      <w:r w:rsidRPr="1508864B">
        <w:rPr>
          <w:rFonts w:ascii="Garamond" w:eastAsia="Garamond" w:hAnsi="Garamond" w:cs="Garamond"/>
        </w:rPr>
        <w:t>Oklahoma Department of Environmental Quality (DEQ). (2019)</w:t>
      </w:r>
      <w:r w:rsidRPr="1508864B">
        <w:rPr>
          <w:rFonts w:ascii="Garamond" w:eastAsia="Garamond" w:hAnsi="Garamond" w:cs="Garamond"/>
          <w:i/>
          <w:iCs/>
        </w:rPr>
        <w:t xml:space="preserve"> Air Data Report 2019. </w:t>
      </w:r>
      <w:r w:rsidRPr="1508864B">
        <w:rPr>
          <w:rFonts w:ascii="Garamond" w:eastAsia="Garamond" w:hAnsi="Garamond" w:cs="Garamond"/>
        </w:rPr>
        <w:t>https://www.deq.ok.gov/wp-content/uploads/air-division/Monitoring_Air_Data_Report_2019.pdf</w:t>
      </w:r>
    </w:p>
    <w:p w14:paraId="00000109" w14:textId="7E6084E7" w:rsidR="007F0CF5" w:rsidRDefault="0F2829D8">
      <w:pPr>
        <w:spacing w:before="240" w:line="240" w:lineRule="auto"/>
        <w:ind w:left="720" w:hanging="720"/>
        <w:rPr>
          <w:rFonts w:ascii="Garamond" w:eastAsia="Garamond" w:hAnsi="Garamond" w:cs="Garamond"/>
        </w:rPr>
      </w:pPr>
      <w:proofErr w:type="spellStart"/>
      <w:r w:rsidRPr="1508864B">
        <w:rPr>
          <w:rFonts w:ascii="Garamond" w:eastAsia="Garamond" w:hAnsi="Garamond" w:cs="Garamond"/>
        </w:rPr>
        <w:t>Rodell</w:t>
      </w:r>
      <w:proofErr w:type="spellEnd"/>
      <w:r w:rsidRPr="1508864B">
        <w:rPr>
          <w:rFonts w:ascii="Garamond" w:eastAsia="Garamond" w:hAnsi="Garamond" w:cs="Garamond"/>
        </w:rPr>
        <w:t xml:space="preserve">, M., Houser, P. R., </w:t>
      </w:r>
      <w:proofErr w:type="spellStart"/>
      <w:r w:rsidRPr="1508864B">
        <w:rPr>
          <w:rFonts w:ascii="Garamond" w:eastAsia="Garamond" w:hAnsi="Garamond" w:cs="Garamond"/>
        </w:rPr>
        <w:t>Jambor</w:t>
      </w:r>
      <w:proofErr w:type="spellEnd"/>
      <w:r w:rsidRPr="1508864B">
        <w:rPr>
          <w:rFonts w:ascii="Garamond" w:eastAsia="Garamond" w:hAnsi="Garamond" w:cs="Garamond"/>
        </w:rPr>
        <w:t xml:space="preserve">, U., </w:t>
      </w:r>
      <w:proofErr w:type="spellStart"/>
      <w:r w:rsidRPr="1508864B">
        <w:rPr>
          <w:rFonts w:ascii="Garamond" w:eastAsia="Garamond" w:hAnsi="Garamond" w:cs="Garamond"/>
        </w:rPr>
        <w:t>Gottschalck</w:t>
      </w:r>
      <w:proofErr w:type="spellEnd"/>
      <w:r w:rsidRPr="1508864B">
        <w:rPr>
          <w:rFonts w:ascii="Garamond" w:eastAsia="Garamond" w:hAnsi="Garamond" w:cs="Garamond"/>
        </w:rPr>
        <w:t xml:space="preserve">, J., Mitchell, </w:t>
      </w:r>
      <w:proofErr w:type="spellStart"/>
      <w:proofErr w:type="gramStart"/>
      <w:r w:rsidRPr="1508864B">
        <w:rPr>
          <w:rFonts w:ascii="Garamond" w:eastAsia="Garamond" w:hAnsi="Garamond" w:cs="Garamond"/>
        </w:rPr>
        <w:t>K.,Meng</w:t>
      </w:r>
      <w:proofErr w:type="spellEnd"/>
      <w:proofErr w:type="gramEnd"/>
      <w:r w:rsidRPr="1508864B">
        <w:rPr>
          <w:rFonts w:ascii="Garamond" w:eastAsia="Garamond" w:hAnsi="Garamond" w:cs="Garamond"/>
        </w:rPr>
        <w:t xml:space="preserve">, C.-J.,  Arsenault, K., Cosgrove, B., Radakovich, J., </w:t>
      </w:r>
      <w:proofErr w:type="spellStart"/>
      <w:r w:rsidRPr="1508864B">
        <w:rPr>
          <w:rFonts w:ascii="Garamond" w:eastAsia="Garamond" w:hAnsi="Garamond" w:cs="Garamond"/>
        </w:rPr>
        <w:t>Bosilovich</w:t>
      </w:r>
      <w:proofErr w:type="spellEnd"/>
      <w:r w:rsidRPr="1508864B">
        <w:rPr>
          <w:rFonts w:ascii="Garamond" w:eastAsia="Garamond" w:hAnsi="Garamond" w:cs="Garamond"/>
        </w:rPr>
        <w:t xml:space="preserve">, M., </w:t>
      </w:r>
      <w:proofErr w:type="spellStart"/>
      <w:r w:rsidRPr="1508864B">
        <w:rPr>
          <w:rFonts w:ascii="Garamond" w:eastAsia="Garamond" w:hAnsi="Garamond" w:cs="Garamond"/>
        </w:rPr>
        <w:t>Entin</w:t>
      </w:r>
      <w:proofErr w:type="spellEnd"/>
      <w:r w:rsidRPr="1508864B">
        <w:rPr>
          <w:rFonts w:ascii="Garamond" w:eastAsia="Garamond" w:hAnsi="Garamond" w:cs="Garamond"/>
        </w:rPr>
        <w:t xml:space="preserve">, J.K.,  Walker, J. P., Lohmann, D., and Toll, D. (2004). The Global Land Data Assimilation System, </w:t>
      </w:r>
      <w:r w:rsidRPr="1508864B">
        <w:rPr>
          <w:rFonts w:ascii="Garamond" w:eastAsia="Garamond" w:hAnsi="Garamond" w:cs="Garamond"/>
          <w:i/>
          <w:iCs/>
        </w:rPr>
        <w:t>Bulletin of the American Meteorological Society</w:t>
      </w:r>
      <w:r w:rsidRPr="1508864B">
        <w:rPr>
          <w:rFonts w:ascii="Garamond" w:eastAsia="Garamond" w:hAnsi="Garamond" w:cs="Garamond"/>
        </w:rPr>
        <w:t>, 85(3), 381-394, https://doi.org/</w:t>
      </w:r>
      <w:hyperlink r:id="rId39">
        <w:r w:rsidRPr="1508864B">
          <w:rPr>
            <w:rFonts w:ascii="Garamond" w:eastAsia="Garamond" w:hAnsi="Garamond" w:cs="Garamond"/>
          </w:rPr>
          <w:t>10.1175/BAMS-85-3-381</w:t>
        </w:r>
      </w:hyperlink>
    </w:p>
    <w:p w14:paraId="0000010A" w14:textId="22C84FE7" w:rsidR="007F0CF5" w:rsidRDefault="0F2829D8">
      <w:pPr>
        <w:spacing w:line="240" w:lineRule="auto"/>
        <w:ind w:left="720" w:hanging="720"/>
        <w:rPr>
          <w:rFonts w:ascii="Garamond" w:eastAsia="Garamond" w:hAnsi="Garamond" w:cs="Garamond"/>
        </w:rPr>
      </w:pPr>
      <w:r w:rsidRPr="1508864B">
        <w:rPr>
          <w:rFonts w:ascii="Garamond" w:eastAsia="Garamond" w:hAnsi="Garamond" w:cs="Garamond"/>
        </w:rPr>
        <w:t xml:space="preserve">Stein, A. F., </w:t>
      </w:r>
      <w:proofErr w:type="spellStart"/>
      <w:r w:rsidRPr="1508864B">
        <w:rPr>
          <w:rFonts w:ascii="Garamond" w:eastAsia="Garamond" w:hAnsi="Garamond" w:cs="Garamond"/>
        </w:rPr>
        <w:t>Draxler</w:t>
      </w:r>
      <w:proofErr w:type="spellEnd"/>
      <w:r w:rsidRPr="1508864B">
        <w:rPr>
          <w:rFonts w:ascii="Garamond" w:eastAsia="Garamond" w:hAnsi="Garamond" w:cs="Garamond"/>
        </w:rPr>
        <w:t xml:space="preserve">, R. R., </w:t>
      </w:r>
      <w:proofErr w:type="spellStart"/>
      <w:r w:rsidRPr="1508864B">
        <w:rPr>
          <w:rFonts w:ascii="Garamond" w:eastAsia="Garamond" w:hAnsi="Garamond" w:cs="Garamond"/>
        </w:rPr>
        <w:t>Rolph</w:t>
      </w:r>
      <w:proofErr w:type="spellEnd"/>
      <w:r w:rsidRPr="1508864B">
        <w:rPr>
          <w:rFonts w:ascii="Garamond" w:eastAsia="Garamond" w:hAnsi="Garamond" w:cs="Garamond"/>
        </w:rPr>
        <w:t xml:space="preserve">, G. D., </w:t>
      </w:r>
      <w:proofErr w:type="spellStart"/>
      <w:r w:rsidRPr="1508864B">
        <w:rPr>
          <w:rFonts w:ascii="Garamond" w:eastAsia="Garamond" w:hAnsi="Garamond" w:cs="Garamond"/>
        </w:rPr>
        <w:t>Stunder</w:t>
      </w:r>
      <w:proofErr w:type="spellEnd"/>
      <w:r w:rsidRPr="1508864B">
        <w:rPr>
          <w:rFonts w:ascii="Garamond" w:eastAsia="Garamond" w:hAnsi="Garamond" w:cs="Garamond"/>
        </w:rPr>
        <w:t xml:space="preserve">, B. J., Cohen, M. D., &amp; Ngan, F. (2015). NOAA’s HYSPLIT atmospheric transport and dispersion modeling system. </w:t>
      </w:r>
      <w:r w:rsidRPr="1508864B">
        <w:rPr>
          <w:rFonts w:ascii="Garamond" w:eastAsia="Garamond" w:hAnsi="Garamond" w:cs="Garamond"/>
          <w:i/>
          <w:iCs/>
        </w:rPr>
        <w:t>Bulletin of the American Meteorological Society</w:t>
      </w:r>
      <w:r w:rsidRPr="1508864B">
        <w:rPr>
          <w:rFonts w:ascii="Garamond" w:eastAsia="Garamond" w:hAnsi="Garamond" w:cs="Garamond"/>
        </w:rPr>
        <w:t xml:space="preserve">, </w:t>
      </w:r>
      <w:r w:rsidRPr="1508864B">
        <w:rPr>
          <w:rFonts w:ascii="Garamond" w:eastAsia="Garamond" w:hAnsi="Garamond" w:cs="Garamond"/>
          <w:i/>
          <w:iCs/>
        </w:rPr>
        <w:t>96</w:t>
      </w:r>
      <w:r w:rsidRPr="1508864B">
        <w:rPr>
          <w:rFonts w:ascii="Garamond" w:eastAsia="Garamond" w:hAnsi="Garamond" w:cs="Garamond"/>
        </w:rPr>
        <w:t>(12), 2059-2077. https://doi.org/10.1175/BAMS-D-14-00110.1</w:t>
      </w:r>
    </w:p>
    <w:p w14:paraId="0000010B" w14:textId="158269B1" w:rsidR="007F0CF5" w:rsidRDefault="0F2829D8">
      <w:pPr>
        <w:spacing w:after="0" w:line="240" w:lineRule="auto"/>
        <w:ind w:left="720" w:hanging="720"/>
        <w:rPr>
          <w:rFonts w:ascii="Garamond" w:eastAsia="Garamond" w:hAnsi="Garamond" w:cs="Garamond"/>
        </w:rPr>
      </w:pPr>
      <w:r w:rsidRPr="1508864B">
        <w:rPr>
          <w:rFonts w:ascii="Garamond" w:eastAsia="Garamond" w:hAnsi="Garamond" w:cs="Garamond"/>
        </w:rPr>
        <w:t xml:space="preserve">United States. (2010) </w:t>
      </w:r>
      <w:r w:rsidRPr="1508864B">
        <w:rPr>
          <w:rFonts w:ascii="Garamond" w:eastAsia="Garamond" w:hAnsi="Garamond" w:cs="Garamond"/>
          <w:i/>
          <w:iCs/>
        </w:rPr>
        <w:t>U.S. Energy Information Administration EIA.</w:t>
      </w:r>
      <w:r w:rsidRPr="1508864B">
        <w:rPr>
          <w:rFonts w:ascii="Garamond" w:eastAsia="Garamond" w:hAnsi="Garamond" w:cs="Garamond"/>
        </w:rPr>
        <w:t xml:space="preserve"> United States. [Web Archive]. Library of Congress. https://www.loc.gov/item/lcwaN0015422/</w:t>
      </w:r>
    </w:p>
    <w:p w14:paraId="0000010C" w14:textId="77777777" w:rsidR="007F0CF5" w:rsidRDefault="007F0CF5">
      <w:pPr>
        <w:spacing w:after="0" w:line="240" w:lineRule="auto"/>
        <w:ind w:left="720" w:hanging="720"/>
        <w:rPr>
          <w:rFonts w:ascii="Garamond" w:eastAsia="Garamond" w:hAnsi="Garamond" w:cs="Garamond"/>
        </w:rPr>
      </w:pPr>
    </w:p>
    <w:p w14:paraId="0000010D"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United State Environmental Protection Agency (EPA). (2021, October). </w:t>
      </w:r>
      <w:r>
        <w:rPr>
          <w:rFonts w:ascii="Garamond" w:eastAsia="Garamond" w:hAnsi="Garamond" w:cs="Garamond"/>
          <w:i/>
        </w:rPr>
        <w:t xml:space="preserve">Ozone Concentrations. </w:t>
      </w:r>
      <w:r>
        <w:rPr>
          <w:rFonts w:ascii="Garamond" w:eastAsia="Garamond" w:hAnsi="Garamond" w:cs="Garamond"/>
        </w:rPr>
        <w:t xml:space="preserve">Retrieved from Report on the Environment: </w:t>
      </w:r>
      <w:hyperlink r:id="rId40">
        <w:r>
          <w:rPr>
            <w:rFonts w:ascii="Garamond" w:eastAsia="Garamond" w:hAnsi="Garamond" w:cs="Garamond"/>
          </w:rPr>
          <w:t>https://cfpub.epa.gov/roe/indicator_pdf.cfm?i=8</w:t>
        </w:r>
      </w:hyperlink>
    </w:p>
    <w:p w14:paraId="0000010E" w14:textId="77777777" w:rsidR="007F0CF5" w:rsidRDefault="007F0CF5">
      <w:pPr>
        <w:spacing w:after="0" w:line="240" w:lineRule="auto"/>
        <w:ind w:left="720"/>
        <w:rPr>
          <w:rFonts w:ascii="Garamond" w:eastAsia="Garamond" w:hAnsi="Garamond" w:cs="Garamond"/>
        </w:rPr>
      </w:pPr>
    </w:p>
    <w:p w14:paraId="0000010F" w14:textId="0B7CA99A" w:rsidR="007F0CF5" w:rsidRDefault="0F2829D8" w:rsidP="1508864B">
      <w:pPr>
        <w:spacing w:after="0" w:line="240" w:lineRule="auto"/>
        <w:ind w:left="720" w:hanging="720"/>
        <w:rPr>
          <w:rFonts w:ascii="Garamond" w:eastAsia="Garamond" w:hAnsi="Garamond" w:cs="Garamond"/>
        </w:rPr>
      </w:pPr>
      <w:r w:rsidRPr="1508864B">
        <w:rPr>
          <w:rFonts w:ascii="Garamond" w:eastAsia="Garamond" w:hAnsi="Garamond" w:cs="Garamond"/>
        </w:rPr>
        <w:t xml:space="preserve">United State Environmental Protection Agency (EPA). (2021, October). </w:t>
      </w:r>
      <w:r w:rsidRPr="1508864B">
        <w:rPr>
          <w:rFonts w:ascii="Garamond" w:eastAsia="Garamond" w:hAnsi="Garamond" w:cs="Garamond"/>
          <w:i/>
          <w:iCs/>
        </w:rPr>
        <w:t xml:space="preserve">Particulates, Daily CO, Daily NO2. </w:t>
      </w:r>
      <w:r w:rsidRPr="1508864B">
        <w:rPr>
          <w:rFonts w:ascii="Garamond" w:eastAsia="Garamond" w:hAnsi="Garamond" w:cs="Garamond"/>
        </w:rPr>
        <w:t>[Data set].</w:t>
      </w:r>
      <w:r w:rsidRPr="1508864B">
        <w:rPr>
          <w:rFonts w:ascii="Garamond" w:eastAsia="Garamond" w:hAnsi="Garamond" w:cs="Garamond"/>
          <w:i/>
          <w:iCs/>
        </w:rPr>
        <w:t xml:space="preserve"> </w:t>
      </w:r>
      <w:r w:rsidRPr="1508864B">
        <w:rPr>
          <w:rFonts w:ascii="Garamond" w:eastAsia="Garamond" w:hAnsi="Garamond" w:cs="Garamond"/>
        </w:rPr>
        <w:t>https://aqs.epa.gov/aqsweb/airdata/download_files.html</w:t>
      </w:r>
    </w:p>
    <w:p w14:paraId="00000110" w14:textId="77777777" w:rsidR="007F0CF5" w:rsidRDefault="007F0CF5">
      <w:pPr>
        <w:spacing w:after="0" w:line="240" w:lineRule="auto"/>
        <w:ind w:left="720" w:hanging="720"/>
        <w:rPr>
          <w:rFonts w:ascii="Garamond" w:eastAsia="Garamond" w:hAnsi="Garamond" w:cs="Garamond"/>
        </w:rPr>
      </w:pPr>
    </w:p>
    <w:p w14:paraId="00000111" w14:textId="77777777" w:rsidR="007F0CF5" w:rsidRDefault="00652E1B">
      <w:pPr>
        <w:spacing w:after="0" w:line="240" w:lineRule="auto"/>
        <w:ind w:left="720" w:hanging="720"/>
        <w:rPr>
          <w:rFonts w:ascii="Garamond" w:eastAsia="Garamond" w:hAnsi="Garamond" w:cs="Garamond"/>
        </w:rPr>
      </w:pPr>
      <w:r>
        <w:rPr>
          <w:rFonts w:ascii="Garamond" w:eastAsia="Garamond" w:hAnsi="Garamond" w:cs="Garamond"/>
        </w:rPr>
        <w:t xml:space="preserve">Wang, W., Liu, X., Bi, J., Liu, Y. (2022). A machine learning model to estimate ground-level ozone </w:t>
      </w:r>
      <w:r>
        <w:rPr>
          <w:rFonts w:ascii="Garamond" w:eastAsia="Garamond" w:hAnsi="Garamond" w:cs="Garamond"/>
        </w:rPr>
        <w:tab/>
        <w:t xml:space="preserve">concentrations in California using TROPOMI data and high-resolution meteorology. </w:t>
      </w:r>
      <w:r>
        <w:rPr>
          <w:rFonts w:ascii="Garamond" w:eastAsia="Garamond" w:hAnsi="Garamond" w:cs="Garamond"/>
          <w:i/>
        </w:rPr>
        <w:t>Environment International, 158</w:t>
      </w:r>
      <w:r>
        <w:rPr>
          <w:rFonts w:ascii="Garamond" w:eastAsia="Garamond" w:hAnsi="Garamond" w:cs="Garamond"/>
        </w:rPr>
        <w:t>, 106917. https://doi.org/10.1016/j.envint.2021.106917</w:t>
      </w:r>
    </w:p>
    <w:p w14:paraId="00000112" w14:textId="77777777" w:rsidR="007F0CF5" w:rsidRDefault="007F0CF5">
      <w:pPr>
        <w:spacing w:after="0" w:line="240" w:lineRule="auto"/>
        <w:rPr>
          <w:rFonts w:ascii="Garamond" w:eastAsia="Garamond" w:hAnsi="Garamond" w:cs="Garamond"/>
        </w:rPr>
      </w:pPr>
    </w:p>
    <w:p w14:paraId="00000113" w14:textId="77777777" w:rsidR="007F0CF5" w:rsidRDefault="00652E1B">
      <w:r>
        <w:br w:type="page"/>
      </w:r>
    </w:p>
    <w:p w14:paraId="00000114" w14:textId="77777777" w:rsidR="007F0CF5" w:rsidRDefault="00652E1B">
      <w:pPr>
        <w:pStyle w:val="Heading1"/>
        <w:spacing w:before="0" w:line="240" w:lineRule="auto"/>
        <w:rPr>
          <w:rFonts w:ascii="Garamond" w:eastAsia="Garamond" w:hAnsi="Garamond" w:cs="Garamond"/>
          <w:highlight w:val="cyan"/>
        </w:rPr>
      </w:pPr>
      <w:r>
        <w:rPr>
          <w:rFonts w:ascii="Garamond" w:eastAsia="Garamond" w:hAnsi="Garamond" w:cs="Garamond"/>
        </w:rPr>
        <w:lastRenderedPageBreak/>
        <w:t>9. Appendices</w:t>
      </w:r>
    </w:p>
    <w:p w14:paraId="00000115" w14:textId="77777777" w:rsidR="007F0CF5" w:rsidRDefault="00652E1B">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Appendix A</w:t>
      </w:r>
    </w:p>
    <w:p w14:paraId="00000116" w14:textId="77777777" w:rsidR="007F0CF5" w:rsidRDefault="007F0CF5">
      <w:pPr>
        <w:spacing w:after="0" w:line="240" w:lineRule="auto"/>
        <w:jc w:val="center"/>
        <w:rPr>
          <w:rFonts w:ascii="Garamond" w:eastAsia="Garamond" w:hAnsi="Garamond" w:cs="Garamond"/>
          <w:b/>
          <w:sz w:val="24"/>
          <w:szCs w:val="24"/>
        </w:rPr>
      </w:pPr>
    </w:p>
    <w:p w14:paraId="00000117" w14:textId="77777777" w:rsidR="007F0CF5" w:rsidRDefault="00652E1B">
      <w:pPr>
        <w:spacing w:after="0" w:line="240" w:lineRule="auto"/>
        <w:jc w:val="center"/>
        <w:rPr>
          <w:rFonts w:ascii="Garamond" w:eastAsia="Garamond" w:hAnsi="Garamond" w:cs="Garamond"/>
        </w:rPr>
      </w:pPr>
      <w:r>
        <w:rPr>
          <w:rFonts w:ascii="Garamond" w:eastAsia="Garamond" w:hAnsi="Garamond" w:cs="Garamond"/>
        </w:rPr>
        <w:t xml:space="preserve"> Panels a – b </w:t>
      </w:r>
      <w:proofErr w:type="gramStart"/>
      <w:r>
        <w:rPr>
          <w:rFonts w:ascii="Garamond" w:eastAsia="Garamond" w:hAnsi="Garamond" w:cs="Garamond"/>
        </w:rPr>
        <w:t>depict</w:t>
      </w:r>
      <w:proofErr w:type="gramEnd"/>
      <w:r>
        <w:rPr>
          <w:rFonts w:ascii="Garamond" w:eastAsia="Garamond" w:hAnsi="Garamond" w:cs="Garamond"/>
        </w:rPr>
        <w:t xml:space="preserve"> baseline 4-Day HYSPLIT Trajectories</w:t>
      </w:r>
    </w:p>
    <w:p w14:paraId="00000118" w14:textId="77777777" w:rsidR="007F0CF5" w:rsidRDefault="007F0CF5">
      <w:pPr>
        <w:spacing w:after="0" w:line="240" w:lineRule="auto"/>
        <w:jc w:val="center"/>
        <w:rPr>
          <w:rFonts w:ascii="Garamond" w:eastAsia="Garamond" w:hAnsi="Garamond" w:cs="Garamond"/>
          <w:b/>
          <w:sz w:val="24"/>
          <w:szCs w:val="24"/>
        </w:rPr>
      </w:pPr>
    </w:p>
    <w:tbl>
      <w:tblPr>
        <w:tblStyle w:val="afc"/>
        <w:tblW w:w="9457"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4905"/>
        <w:gridCol w:w="4552"/>
      </w:tblGrid>
      <w:tr w:rsidR="007F0CF5" w14:paraId="7D7F49ED" w14:textId="77777777">
        <w:tc>
          <w:tcPr>
            <w:tcW w:w="4905" w:type="dxa"/>
          </w:tcPr>
          <w:p w14:paraId="00000119" w14:textId="77777777" w:rsidR="007F0CF5" w:rsidRDefault="00652E1B">
            <w:pPr>
              <w:keepNext/>
              <w:jc w:val="center"/>
              <w:rPr>
                <w:rFonts w:ascii="Garamond" w:eastAsia="Garamond" w:hAnsi="Garamond" w:cs="Garamond"/>
              </w:rPr>
            </w:pPr>
            <w:r>
              <w:rPr>
                <w:rFonts w:ascii="Garamond" w:eastAsia="Garamond" w:hAnsi="Garamond" w:cs="Garamond"/>
                <w:b/>
              </w:rPr>
              <w:t>(a)</w:t>
            </w:r>
            <w:r>
              <w:rPr>
                <w:noProof/>
              </w:rPr>
              <w:drawing>
                <wp:inline distT="0" distB="0" distL="0" distR="0" wp14:anchorId="2AC8093E" wp14:editId="57174B77">
                  <wp:extent cx="2924581" cy="2040579"/>
                  <wp:effectExtent l="0" t="0" r="0" b="0"/>
                  <wp:docPr id="21274860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b="7669"/>
                          <a:stretch>
                            <a:fillRect/>
                          </a:stretch>
                        </pic:blipFill>
                        <pic:spPr>
                          <a:xfrm>
                            <a:off x="0" y="0"/>
                            <a:ext cx="2924581" cy="2040579"/>
                          </a:xfrm>
                          <a:prstGeom prst="rect">
                            <a:avLst/>
                          </a:prstGeom>
                          <a:ln/>
                        </pic:spPr>
                      </pic:pic>
                    </a:graphicData>
                  </a:graphic>
                </wp:inline>
              </w:drawing>
            </w:r>
            <w:r>
              <w:rPr>
                <w:rFonts w:ascii="Garamond" w:eastAsia="Garamond" w:hAnsi="Garamond" w:cs="Garamond"/>
              </w:rPr>
              <w:t>Simulation Start Date: July 2, 2018</w:t>
            </w:r>
          </w:p>
          <w:p w14:paraId="0000011A" w14:textId="77777777" w:rsidR="007F0CF5" w:rsidRDefault="00652E1B">
            <w:pPr>
              <w:jc w:val="center"/>
              <w:rPr>
                <w:rFonts w:ascii="Helvetica Neue" w:eastAsia="Helvetica Neue" w:hAnsi="Helvetica Neue" w:cs="Helvetica Neue"/>
                <w:color w:val="000000"/>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w:t>
            </w:r>
            <w:r>
              <w:rPr>
                <w:rFonts w:ascii="Helvetica Neue" w:eastAsia="Helvetica Neue" w:hAnsi="Helvetica Neue" w:cs="Helvetica Neue"/>
                <w:color w:val="000000"/>
              </w:rPr>
              <w:t xml:space="preserve"> </w:t>
            </w:r>
            <w:r>
              <w:rPr>
                <w:rFonts w:ascii="Garamond" w:eastAsia="Garamond" w:hAnsi="Garamond" w:cs="Garamond"/>
                <w:color w:val="000000"/>
              </w:rPr>
              <w:t>0.054ppm</w:t>
            </w:r>
          </w:p>
        </w:tc>
        <w:tc>
          <w:tcPr>
            <w:tcW w:w="4552" w:type="dxa"/>
          </w:tcPr>
          <w:p w14:paraId="0000011B" w14:textId="77777777" w:rsidR="007F0CF5" w:rsidRDefault="00652E1B">
            <w:pPr>
              <w:jc w:val="center"/>
              <w:rPr>
                <w:rFonts w:ascii="Garamond" w:eastAsia="Garamond" w:hAnsi="Garamond" w:cs="Garamond"/>
              </w:rPr>
            </w:pPr>
            <w:r>
              <w:rPr>
                <w:rFonts w:ascii="Garamond" w:eastAsia="Garamond" w:hAnsi="Garamond" w:cs="Garamond"/>
                <w:b/>
              </w:rPr>
              <w:t>(b)</w:t>
            </w:r>
            <w:r>
              <w:rPr>
                <w:noProof/>
              </w:rPr>
              <w:drawing>
                <wp:inline distT="0" distB="0" distL="0" distR="0" wp14:anchorId="33B6FA0F" wp14:editId="0DA3E586">
                  <wp:extent cx="2838450" cy="2004655"/>
                  <wp:effectExtent l="0" t="0" r="0" b="0"/>
                  <wp:docPr id="2127486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2838450" cy="2004655"/>
                          </a:xfrm>
                          <a:prstGeom prst="rect">
                            <a:avLst/>
                          </a:prstGeom>
                          <a:ln/>
                        </pic:spPr>
                      </pic:pic>
                    </a:graphicData>
                  </a:graphic>
                </wp:inline>
              </w:drawing>
            </w:r>
            <w:r>
              <w:rPr>
                <w:rFonts w:ascii="Garamond" w:eastAsia="Garamond" w:hAnsi="Garamond" w:cs="Garamond"/>
              </w:rPr>
              <w:t>Simulation Start Date: June 11, 2018</w:t>
            </w:r>
          </w:p>
          <w:p w14:paraId="0000011C" w14:textId="77777777" w:rsidR="007F0CF5" w:rsidRDefault="00652E1B">
            <w:pPr>
              <w:jc w:val="center"/>
              <w:rPr>
                <w:rFonts w:ascii="Helvetica Neue" w:eastAsia="Helvetica Neue" w:hAnsi="Helvetica Neue" w:cs="Helvetica Neue"/>
                <w:color w:val="000000"/>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0.046ppm</w:t>
            </w:r>
          </w:p>
          <w:p w14:paraId="0000011D" w14:textId="77777777" w:rsidR="007F0CF5" w:rsidRDefault="007F0CF5"/>
        </w:tc>
      </w:tr>
      <w:tr w:rsidR="007F0CF5" w14:paraId="1743FEE3" w14:textId="77777777">
        <w:trPr>
          <w:trHeight w:val="2775"/>
        </w:trPr>
        <w:tc>
          <w:tcPr>
            <w:tcW w:w="4905" w:type="dxa"/>
          </w:tcPr>
          <w:p w14:paraId="0000011E" w14:textId="77777777" w:rsidR="007F0CF5" w:rsidRDefault="00652E1B">
            <w:pPr>
              <w:jc w:val="center"/>
              <w:rPr>
                <w:rFonts w:ascii="Garamond" w:eastAsia="Garamond" w:hAnsi="Garamond" w:cs="Garamond"/>
              </w:rPr>
            </w:pPr>
            <w:r>
              <w:rPr>
                <w:rFonts w:ascii="Garamond" w:eastAsia="Garamond" w:hAnsi="Garamond" w:cs="Garamond"/>
                <w:b/>
              </w:rPr>
              <w:t>(c)</w:t>
            </w:r>
            <w:r>
              <w:rPr>
                <w:noProof/>
              </w:rPr>
              <w:drawing>
                <wp:inline distT="0" distB="0" distL="0" distR="0" wp14:anchorId="63A8F183" wp14:editId="63461264">
                  <wp:extent cx="2876550" cy="2031563"/>
                  <wp:effectExtent l="0" t="0" r="0" b="0"/>
                  <wp:docPr id="21274860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2876550" cy="2031563"/>
                          </a:xfrm>
                          <a:prstGeom prst="rect">
                            <a:avLst/>
                          </a:prstGeom>
                          <a:ln/>
                        </pic:spPr>
                      </pic:pic>
                    </a:graphicData>
                  </a:graphic>
                </wp:inline>
              </w:drawing>
            </w:r>
            <w:r>
              <w:rPr>
                <w:rFonts w:ascii="Garamond" w:eastAsia="Garamond" w:hAnsi="Garamond" w:cs="Garamond"/>
              </w:rPr>
              <w:t>Simulation Start Date: June 6, 2019</w:t>
            </w:r>
          </w:p>
          <w:p w14:paraId="0000011F" w14:textId="77777777" w:rsidR="007F0CF5" w:rsidRDefault="00652E1B">
            <w:pPr>
              <w:jc w:val="center"/>
              <w:rPr>
                <w:rFonts w:ascii="Garamond" w:eastAsia="Garamond" w:hAnsi="Garamond" w:cs="Garamond"/>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 0.034ppm</w:t>
            </w:r>
          </w:p>
          <w:p w14:paraId="00000120" w14:textId="77777777" w:rsidR="007F0CF5" w:rsidRDefault="007F0CF5">
            <w:pPr>
              <w:rPr>
                <w:rFonts w:ascii="Garamond" w:eastAsia="Garamond" w:hAnsi="Garamond" w:cs="Garamond"/>
              </w:rPr>
            </w:pPr>
          </w:p>
        </w:tc>
        <w:tc>
          <w:tcPr>
            <w:tcW w:w="4552" w:type="dxa"/>
          </w:tcPr>
          <w:p w14:paraId="00000121" w14:textId="77777777" w:rsidR="007F0CF5" w:rsidRDefault="00652E1B">
            <w:pPr>
              <w:jc w:val="center"/>
              <w:rPr>
                <w:rFonts w:ascii="Garamond" w:eastAsia="Garamond" w:hAnsi="Garamond" w:cs="Garamond"/>
              </w:rPr>
            </w:pPr>
            <w:r>
              <w:rPr>
                <w:rFonts w:ascii="Garamond" w:eastAsia="Garamond" w:hAnsi="Garamond" w:cs="Garamond"/>
                <w:b/>
              </w:rPr>
              <w:t>(d)</w:t>
            </w:r>
            <w:r>
              <w:rPr>
                <w:noProof/>
              </w:rPr>
              <w:drawing>
                <wp:inline distT="0" distB="0" distL="0" distR="0" wp14:anchorId="123C8470" wp14:editId="36B164B3">
                  <wp:extent cx="2838450" cy="2009775"/>
                  <wp:effectExtent l="0" t="0" r="0" b="0"/>
                  <wp:docPr id="21274860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2838450" cy="2009775"/>
                          </a:xfrm>
                          <a:prstGeom prst="rect">
                            <a:avLst/>
                          </a:prstGeom>
                          <a:ln/>
                        </pic:spPr>
                      </pic:pic>
                    </a:graphicData>
                  </a:graphic>
                </wp:inline>
              </w:drawing>
            </w:r>
            <w:r>
              <w:rPr>
                <w:rFonts w:ascii="Garamond" w:eastAsia="Garamond" w:hAnsi="Garamond" w:cs="Garamond"/>
              </w:rPr>
              <w:t>Simulation Start Date: May 14, 2018</w:t>
            </w:r>
          </w:p>
          <w:p w14:paraId="00000122" w14:textId="77777777" w:rsidR="007F0CF5" w:rsidRDefault="00652E1B">
            <w:pPr>
              <w:jc w:val="center"/>
              <w:rPr>
                <w:rFonts w:ascii="Helvetica Neue" w:eastAsia="Helvetica Neue" w:hAnsi="Helvetica Neue" w:cs="Helvetica Neue"/>
                <w:color w:val="000000"/>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0.037ppm</w:t>
            </w:r>
          </w:p>
          <w:p w14:paraId="00000123" w14:textId="77777777" w:rsidR="007F0CF5" w:rsidRDefault="007F0CF5">
            <w:pPr>
              <w:rPr>
                <w:rFonts w:ascii="Garamond" w:eastAsia="Garamond" w:hAnsi="Garamond" w:cs="Garamond"/>
              </w:rPr>
            </w:pPr>
          </w:p>
        </w:tc>
      </w:tr>
    </w:tbl>
    <w:p w14:paraId="00000124" w14:textId="77777777" w:rsidR="007F0CF5" w:rsidRDefault="007F0CF5"/>
    <w:p w14:paraId="00000125" w14:textId="77777777" w:rsidR="007F0CF5" w:rsidRDefault="00652E1B">
      <w:pPr>
        <w:jc w:val="center"/>
      </w:pPr>
      <w:r>
        <w:br w:type="page"/>
      </w:r>
      <w:r>
        <w:rPr>
          <w:rFonts w:ascii="Garamond" w:eastAsia="Garamond" w:hAnsi="Garamond" w:cs="Garamond"/>
          <w:b/>
          <w:sz w:val="24"/>
          <w:szCs w:val="24"/>
        </w:rPr>
        <w:lastRenderedPageBreak/>
        <w:t>Appendix B</w:t>
      </w:r>
    </w:p>
    <w:p w14:paraId="00000126" w14:textId="77777777" w:rsidR="007F0CF5" w:rsidRDefault="00652E1B">
      <w:pPr>
        <w:spacing w:after="0" w:line="240" w:lineRule="auto"/>
        <w:jc w:val="center"/>
        <w:rPr>
          <w:rFonts w:ascii="Garamond" w:eastAsia="Garamond" w:hAnsi="Garamond" w:cs="Garamond"/>
        </w:rPr>
      </w:pPr>
      <w:r>
        <w:rPr>
          <w:rFonts w:ascii="Garamond" w:eastAsia="Garamond" w:hAnsi="Garamond" w:cs="Garamond"/>
        </w:rPr>
        <w:t xml:space="preserve">Panels a – e </w:t>
      </w:r>
      <w:proofErr w:type="gramStart"/>
      <w:r>
        <w:rPr>
          <w:rFonts w:ascii="Garamond" w:eastAsia="Garamond" w:hAnsi="Garamond" w:cs="Garamond"/>
        </w:rPr>
        <w:t>depict</w:t>
      </w:r>
      <w:proofErr w:type="gramEnd"/>
      <w:r>
        <w:rPr>
          <w:rFonts w:ascii="Garamond" w:eastAsia="Garamond" w:hAnsi="Garamond" w:cs="Garamond"/>
        </w:rPr>
        <w:t xml:space="preserve"> spike Date 4-Day HYSPLIT Trajectories</w:t>
      </w:r>
    </w:p>
    <w:p w14:paraId="00000127" w14:textId="77777777" w:rsidR="007F0CF5" w:rsidRDefault="007F0CF5">
      <w:pPr>
        <w:spacing w:after="0" w:line="240" w:lineRule="auto"/>
        <w:jc w:val="center"/>
        <w:rPr>
          <w:rFonts w:ascii="Garamond" w:eastAsia="Garamond" w:hAnsi="Garamond" w:cs="Garamond"/>
          <w:b/>
          <w:sz w:val="24"/>
          <w:szCs w:val="24"/>
        </w:rPr>
      </w:pPr>
    </w:p>
    <w:tbl>
      <w:tblPr>
        <w:tblStyle w:val="afd"/>
        <w:tblW w:w="9360" w:type="dxa"/>
        <w:jc w:val="center"/>
        <w:tblBorders>
          <w:top w:val="nil"/>
          <w:left w:val="nil"/>
          <w:bottom w:val="nil"/>
          <w:right w:val="nil"/>
          <w:insideH w:val="nil"/>
          <w:insideV w:val="nil"/>
        </w:tblBorders>
        <w:tblLayout w:type="fixed"/>
        <w:tblLook w:val="0600" w:firstRow="0" w:lastRow="0" w:firstColumn="0" w:lastColumn="0" w:noHBand="1" w:noVBand="1"/>
      </w:tblPr>
      <w:tblGrid>
        <w:gridCol w:w="4680"/>
        <w:gridCol w:w="2880"/>
        <w:gridCol w:w="1800"/>
      </w:tblGrid>
      <w:tr w:rsidR="007F0CF5" w14:paraId="2696129F" w14:textId="77777777">
        <w:trPr>
          <w:jc w:val="center"/>
        </w:trPr>
        <w:tc>
          <w:tcPr>
            <w:tcW w:w="4680" w:type="dxa"/>
          </w:tcPr>
          <w:p w14:paraId="00000128" w14:textId="77777777" w:rsidR="007F0CF5" w:rsidRDefault="00652E1B">
            <w:pPr>
              <w:jc w:val="center"/>
              <w:rPr>
                <w:rFonts w:ascii="Garamond" w:eastAsia="Garamond" w:hAnsi="Garamond" w:cs="Garamond"/>
                <w:color w:val="000000"/>
              </w:rPr>
            </w:pPr>
            <w:r>
              <w:rPr>
                <w:rFonts w:ascii="Garamond" w:eastAsia="Garamond" w:hAnsi="Garamond" w:cs="Garamond"/>
                <w:b/>
              </w:rPr>
              <w:t>(a)</w:t>
            </w:r>
            <w:r>
              <w:rPr>
                <w:rFonts w:ascii="Garamond" w:eastAsia="Garamond" w:hAnsi="Garamond" w:cs="Garamond"/>
                <w:noProof/>
              </w:rPr>
              <w:drawing>
                <wp:inline distT="0" distB="0" distL="0" distR="0" wp14:anchorId="4E7100B7" wp14:editId="60355694">
                  <wp:extent cx="2828925" cy="1997928"/>
                  <wp:effectExtent l="0" t="0" r="0" b="0"/>
                  <wp:docPr id="21274860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2828925" cy="1997928"/>
                          </a:xfrm>
                          <a:prstGeom prst="rect">
                            <a:avLst/>
                          </a:prstGeom>
                          <a:ln/>
                        </pic:spPr>
                      </pic:pic>
                    </a:graphicData>
                  </a:graphic>
                </wp:inline>
              </w:drawing>
            </w:r>
            <w:r>
              <w:rPr>
                <w:rFonts w:ascii="Garamond" w:eastAsia="Garamond" w:hAnsi="Garamond" w:cs="Garamond"/>
              </w:rPr>
              <w:t>Simulation Start Date: May 26</w:t>
            </w:r>
            <w:r>
              <w:rPr>
                <w:rFonts w:ascii="Garamond" w:eastAsia="Garamond" w:hAnsi="Garamond" w:cs="Garamond"/>
                <w:vertAlign w:val="superscript"/>
              </w:rPr>
              <w:t>th</w:t>
            </w:r>
            <w:r>
              <w:rPr>
                <w:rFonts w:ascii="Garamond" w:eastAsia="Garamond" w:hAnsi="Garamond" w:cs="Garamond"/>
              </w:rPr>
              <w:t>, 2018</w:t>
            </w:r>
          </w:p>
          <w:p w14:paraId="00000129" w14:textId="77777777" w:rsidR="007F0CF5" w:rsidRDefault="00652E1B">
            <w:pPr>
              <w:jc w:val="center"/>
              <w:rPr>
                <w:rFonts w:ascii="Garamond" w:eastAsia="Garamond" w:hAnsi="Garamond" w:cs="Garamond"/>
                <w:color w:val="000000"/>
              </w:rPr>
            </w:pPr>
            <w:r>
              <w:rPr>
                <w:rFonts w:ascii="Garamond" w:eastAsia="Garamond" w:hAnsi="Garamond" w:cs="Garamond"/>
              </w:rPr>
              <w:t xml:space="preserve">Daily Max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0.073ppm</w:t>
            </w:r>
          </w:p>
          <w:p w14:paraId="0000012A" w14:textId="77777777" w:rsidR="007F0CF5" w:rsidRDefault="007F0CF5">
            <w:pPr>
              <w:rPr>
                <w:rFonts w:ascii="Garamond" w:eastAsia="Garamond" w:hAnsi="Garamond" w:cs="Garamond"/>
              </w:rPr>
            </w:pPr>
          </w:p>
        </w:tc>
        <w:tc>
          <w:tcPr>
            <w:tcW w:w="4680" w:type="dxa"/>
            <w:gridSpan w:val="2"/>
          </w:tcPr>
          <w:p w14:paraId="0000012B" w14:textId="77777777" w:rsidR="007F0CF5" w:rsidRDefault="00652E1B">
            <w:pPr>
              <w:jc w:val="center"/>
              <w:rPr>
                <w:rFonts w:ascii="Garamond" w:eastAsia="Garamond" w:hAnsi="Garamond" w:cs="Garamond"/>
              </w:rPr>
            </w:pPr>
            <w:r>
              <w:rPr>
                <w:rFonts w:ascii="Garamond" w:eastAsia="Garamond" w:hAnsi="Garamond" w:cs="Garamond"/>
                <w:b/>
              </w:rPr>
              <w:t>(b)</w:t>
            </w:r>
            <w:r>
              <w:rPr>
                <w:rFonts w:ascii="Garamond" w:eastAsia="Garamond" w:hAnsi="Garamond" w:cs="Garamond"/>
                <w:noProof/>
              </w:rPr>
              <w:drawing>
                <wp:inline distT="0" distB="0" distL="0" distR="0" wp14:anchorId="79474D65" wp14:editId="3F710F88">
                  <wp:extent cx="2828925" cy="1997928"/>
                  <wp:effectExtent l="0" t="0" r="0" b="0"/>
                  <wp:docPr id="21274860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2828925" cy="1997928"/>
                          </a:xfrm>
                          <a:prstGeom prst="rect">
                            <a:avLst/>
                          </a:prstGeom>
                          <a:ln/>
                        </pic:spPr>
                      </pic:pic>
                    </a:graphicData>
                  </a:graphic>
                </wp:inline>
              </w:drawing>
            </w:r>
            <w:r>
              <w:rPr>
                <w:rFonts w:ascii="Garamond" w:eastAsia="Garamond" w:hAnsi="Garamond" w:cs="Garamond"/>
              </w:rPr>
              <w:t>Simulation Start Date: June 5</w:t>
            </w:r>
            <w:r>
              <w:rPr>
                <w:rFonts w:ascii="Garamond" w:eastAsia="Garamond" w:hAnsi="Garamond" w:cs="Garamond"/>
                <w:vertAlign w:val="superscript"/>
              </w:rPr>
              <w:t>th</w:t>
            </w:r>
            <w:r>
              <w:rPr>
                <w:rFonts w:ascii="Garamond" w:eastAsia="Garamond" w:hAnsi="Garamond" w:cs="Garamond"/>
              </w:rPr>
              <w:t>, 2018</w:t>
            </w:r>
          </w:p>
          <w:p w14:paraId="0000012C" w14:textId="77777777" w:rsidR="007F0CF5" w:rsidRDefault="00652E1B">
            <w:pPr>
              <w:jc w:val="center"/>
              <w:rPr>
                <w:rFonts w:ascii="Garamond" w:eastAsia="Garamond" w:hAnsi="Garamond" w:cs="Garamond"/>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0.074ppm</w:t>
            </w:r>
          </w:p>
          <w:p w14:paraId="0000012D" w14:textId="77777777" w:rsidR="007F0CF5" w:rsidRDefault="007F0CF5">
            <w:pPr>
              <w:rPr>
                <w:rFonts w:ascii="Garamond" w:eastAsia="Garamond" w:hAnsi="Garamond" w:cs="Garamond"/>
              </w:rPr>
            </w:pPr>
          </w:p>
        </w:tc>
      </w:tr>
      <w:tr w:rsidR="007F0CF5" w14:paraId="66553487" w14:textId="77777777">
        <w:trPr>
          <w:jc w:val="center"/>
        </w:trPr>
        <w:tc>
          <w:tcPr>
            <w:tcW w:w="4680" w:type="dxa"/>
          </w:tcPr>
          <w:p w14:paraId="0000012F" w14:textId="77777777" w:rsidR="007F0CF5" w:rsidRDefault="00652E1B">
            <w:pPr>
              <w:jc w:val="center"/>
              <w:rPr>
                <w:rFonts w:ascii="Garamond" w:eastAsia="Garamond" w:hAnsi="Garamond" w:cs="Garamond"/>
              </w:rPr>
            </w:pPr>
            <w:r>
              <w:rPr>
                <w:rFonts w:ascii="Garamond" w:eastAsia="Garamond" w:hAnsi="Garamond" w:cs="Garamond"/>
                <w:b/>
              </w:rPr>
              <w:t>(c)</w:t>
            </w:r>
            <w:r>
              <w:rPr>
                <w:rFonts w:ascii="Garamond" w:eastAsia="Garamond" w:hAnsi="Garamond" w:cs="Garamond"/>
                <w:b/>
                <w:noProof/>
              </w:rPr>
              <w:drawing>
                <wp:inline distT="0" distB="0" distL="0" distR="0" wp14:anchorId="6F6DA759" wp14:editId="5CBA0475">
                  <wp:extent cx="2828925" cy="1911893"/>
                  <wp:effectExtent l="0" t="0" r="0" b="0"/>
                  <wp:docPr id="21274860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2828925" cy="1911893"/>
                          </a:xfrm>
                          <a:prstGeom prst="rect">
                            <a:avLst/>
                          </a:prstGeom>
                          <a:ln/>
                        </pic:spPr>
                      </pic:pic>
                    </a:graphicData>
                  </a:graphic>
                </wp:inline>
              </w:drawing>
            </w:r>
            <w:r>
              <w:rPr>
                <w:rFonts w:ascii="Garamond" w:eastAsia="Garamond" w:hAnsi="Garamond" w:cs="Garamond"/>
              </w:rPr>
              <w:t>Simulation Start Date: July 18</w:t>
            </w:r>
            <w:r>
              <w:rPr>
                <w:rFonts w:ascii="Garamond" w:eastAsia="Garamond" w:hAnsi="Garamond" w:cs="Garamond"/>
                <w:vertAlign w:val="superscript"/>
              </w:rPr>
              <w:t>th</w:t>
            </w:r>
            <w:r>
              <w:rPr>
                <w:rFonts w:ascii="Garamond" w:eastAsia="Garamond" w:hAnsi="Garamond" w:cs="Garamond"/>
              </w:rPr>
              <w:t>, 2018</w:t>
            </w:r>
          </w:p>
          <w:p w14:paraId="00000130" w14:textId="77777777" w:rsidR="007F0CF5" w:rsidRDefault="00652E1B">
            <w:pPr>
              <w:jc w:val="center"/>
              <w:rPr>
                <w:rFonts w:ascii="Garamond" w:eastAsia="Garamond" w:hAnsi="Garamond" w:cs="Garamond"/>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xml:space="preserve">: 0.070ppm   </w:t>
            </w:r>
          </w:p>
          <w:p w14:paraId="00000131" w14:textId="77777777" w:rsidR="007F0CF5" w:rsidRDefault="00652E1B">
            <w:pPr>
              <w:ind w:right="-4347"/>
              <w:jc w:val="center"/>
              <w:rPr>
                <w:rFonts w:ascii="Garamond" w:eastAsia="Garamond" w:hAnsi="Garamond" w:cs="Garamond"/>
                <w:b/>
              </w:rPr>
            </w:pPr>
            <w:r>
              <w:rPr>
                <w:rFonts w:ascii="Garamond" w:eastAsia="Garamond" w:hAnsi="Garamond" w:cs="Garamond"/>
                <w:b/>
              </w:rPr>
              <w:t xml:space="preserve">  (e)        </w:t>
            </w:r>
          </w:p>
        </w:tc>
        <w:tc>
          <w:tcPr>
            <w:tcW w:w="4680" w:type="dxa"/>
            <w:gridSpan w:val="2"/>
          </w:tcPr>
          <w:p w14:paraId="00000132" w14:textId="77777777" w:rsidR="007F0CF5" w:rsidRDefault="00652E1B">
            <w:pPr>
              <w:jc w:val="center"/>
              <w:rPr>
                <w:rFonts w:ascii="Garamond" w:eastAsia="Garamond" w:hAnsi="Garamond" w:cs="Garamond"/>
              </w:rPr>
            </w:pPr>
            <w:r>
              <w:rPr>
                <w:rFonts w:ascii="Garamond" w:eastAsia="Garamond" w:hAnsi="Garamond" w:cs="Garamond"/>
                <w:b/>
              </w:rPr>
              <w:t>(d)</w:t>
            </w:r>
            <w:r>
              <w:rPr>
                <w:rFonts w:ascii="Garamond" w:eastAsia="Garamond" w:hAnsi="Garamond" w:cs="Garamond"/>
                <w:b/>
                <w:noProof/>
              </w:rPr>
              <w:drawing>
                <wp:inline distT="0" distB="0" distL="0" distR="0" wp14:anchorId="6749D18C" wp14:editId="15F8C7EC">
                  <wp:extent cx="2909752" cy="1924508"/>
                  <wp:effectExtent l="0" t="0" r="0" b="0"/>
                  <wp:docPr id="21274860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2909752" cy="1924508"/>
                          </a:xfrm>
                          <a:prstGeom prst="rect">
                            <a:avLst/>
                          </a:prstGeom>
                          <a:ln/>
                        </pic:spPr>
                      </pic:pic>
                    </a:graphicData>
                  </a:graphic>
                </wp:inline>
              </w:drawing>
            </w:r>
            <w:r>
              <w:rPr>
                <w:rFonts w:ascii="Garamond" w:eastAsia="Garamond" w:hAnsi="Garamond" w:cs="Garamond"/>
              </w:rPr>
              <w:t>Simulation Start Date: July 28,</w:t>
            </w:r>
            <w:r>
              <w:rPr>
                <w:rFonts w:ascii="Garamond" w:eastAsia="Garamond" w:hAnsi="Garamond" w:cs="Garamond"/>
                <w:vertAlign w:val="superscript"/>
              </w:rPr>
              <w:t xml:space="preserve"> </w:t>
            </w:r>
            <w:r>
              <w:rPr>
                <w:rFonts w:ascii="Garamond" w:eastAsia="Garamond" w:hAnsi="Garamond" w:cs="Garamond"/>
              </w:rPr>
              <w:t>2018</w:t>
            </w:r>
          </w:p>
          <w:p w14:paraId="00000133" w14:textId="77777777" w:rsidR="007F0CF5" w:rsidRDefault="00652E1B">
            <w:pPr>
              <w:jc w:val="center"/>
              <w:rPr>
                <w:rFonts w:ascii="Garamond" w:eastAsia="Garamond" w:hAnsi="Garamond" w:cs="Garamond"/>
                <w:b/>
                <w:color w:val="000000"/>
              </w:rPr>
            </w:pPr>
            <w:r>
              <w:rPr>
                <w:rFonts w:ascii="Garamond" w:eastAsia="Garamond" w:hAnsi="Garamond" w:cs="Garamond"/>
              </w:rPr>
              <w:t xml:space="preserve">Ground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0.070ppm</w:t>
            </w:r>
          </w:p>
        </w:tc>
      </w:tr>
      <w:tr w:rsidR="007F0CF5" w14:paraId="6DCD05EB" w14:textId="77777777">
        <w:trPr>
          <w:gridAfter w:val="1"/>
          <w:wAfter w:w="1800" w:type="dxa"/>
          <w:jc w:val="center"/>
        </w:trPr>
        <w:tc>
          <w:tcPr>
            <w:tcW w:w="7560" w:type="dxa"/>
            <w:gridSpan w:val="2"/>
          </w:tcPr>
          <w:p w14:paraId="00000135" w14:textId="77777777" w:rsidR="007F0CF5" w:rsidRDefault="00652E1B">
            <w:pPr>
              <w:jc w:val="center"/>
              <w:rPr>
                <w:rFonts w:ascii="Garamond" w:eastAsia="Garamond" w:hAnsi="Garamond" w:cs="Garamond"/>
              </w:rPr>
            </w:pPr>
            <w:r>
              <w:rPr>
                <w:rFonts w:ascii="Garamond" w:eastAsia="Garamond" w:hAnsi="Garamond" w:cs="Garamond"/>
              </w:rPr>
              <w:t xml:space="preserve">                               </w:t>
            </w:r>
            <w:r>
              <w:rPr>
                <w:noProof/>
              </w:rPr>
              <w:drawing>
                <wp:inline distT="0" distB="0" distL="0" distR="0" wp14:anchorId="041A56F8" wp14:editId="01871E59">
                  <wp:extent cx="2853144" cy="1979086"/>
                  <wp:effectExtent l="0" t="0" r="0" b="0"/>
                  <wp:docPr id="2127486039" name="image21.png" descr="Diagram,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Diagram, map&#10;&#10;Description automatically generated"/>
                          <pic:cNvPicPr preferRelativeResize="0"/>
                        </pic:nvPicPr>
                        <pic:blipFill>
                          <a:blip r:embed="rId49"/>
                          <a:srcRect/>
                          <a:stretch>
                            <a:fillRect/>
                          </a:stretch>
                        </pic:blipFill>
                        <pic:spPr>
                          <a:xfrm>
                            <a:off x="0" y="0"/>
                            <a:ext cx="2853144" cy="1979086"/>
                          </a:xfrm>
                          <a:prstGeom prst="rect">
                            <a:avLst/>
                          </a:prstGeom>
                          <a:ln/>
                        </pic:spPr>
                      </pic:pic>
                    </a:graphicData>
                  </a:graphic>
                </wp:inline>
              </w:drawing>
            </w:r>
          </w:p>
        </w:tc>
      </w:tr>
    </w:tbl>
    <w:p w14:paraId="00000137" w14:textId="77777777" w:rsidR="007F0CF5" w:rsidRDefault="00652E1B">
      <w:pPr>
        <w:spacing w:after="0" w:line="480" w:lineRule="auto"/>
        <w:jc w:val="center"/>
        <w:rPr>
          <w:rFonts w:ascii="Garamond" w:eastAsia="Garamond" w:hAnsi="Garamond" w:cs="Garamond"/>
        </w:rPr>
      </w:pPr>
      <w:r>
        <w:rPr>
          <w:rFonts w:ascii="Garamond" w:eastAsia="Garamond" w:hAnsi="Garamond" w:cs="Garamond"/>
        </w:rPr>
        <w:t xml:space="preserve">Simulation Start Date: August 3rd, 2018, Ground Ozone in </w:t>
      </w:r>
      <w:proofErr w:type="spellStart"/>
      <w:r>
        <w:rPr>
          <w:rFonts w:ascii="Garamond" w:eastAsia="Garamond" w:hAnsi="Garamond" w:cs="Garamond"/>
        </w:rPr>
        <w:t>Seiling</w:t>
      </w:r>
      <w:proofErr w:type="spellEnd"/>
      <w:r>
        <w:rPr>
          <w:rFonts w:ascii="Garamond" w:eastAsia="Garamond" w:hAnsi="Garamond" w:cs="Garamond"/>
        </w:rPr>
        <w:t xml:space="preserve">: </w:t>
      </w:r>
      <w:r>
        <w:rPr>
          <w:rFonts w:ascii="Garamond" w:eastAsia="Garamond" w:hAnsi="Garamond" w:cs="Garamond"/>
          <w:color w:val="000000"/>
        </w:rPr>
        <w:t>0.075ppm</w:t>
      </w:r>
    </w:p>
    <w:p w14:paraId="00000138" w14:textId="77777777" w:rsidR="007F0CF5" w:rsidRDefault="00652E1B">
      <w:pPr>
        <w:spacing w:after="0" w:line="480" w:lineRule="auto"/>
        <w:jc w:val="center"/>
        <w:rPr>
          <w:rFonts w:ascii="Garamond" w:eastAsia="Garamond" w:hAnsi="Garamond" w:cs="Garamond"/>
        </w:rPr>
      </w:pPr>
      <w:r>
        <w:rPr>
          <w:rFonts w:ascii="Garamond" w:eastAsia="Garamond" w:hAnsi="Garamond" w:cs="Garamond"/>
          <w:b/>
          <w:sz w:val="24"/>
          <w:szCs w:val="24"/>
        </w:rPr>
        <w:lastRenderedPageBreak/>
        <w:t>Appendix C</w:t>
      </w:r>
    </w:p>
    <w:p w14:paraId="00000139"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C1</w:t>
      </w:r>
    </w:p>
    <w:p w14:paraId="0000013A" w14:textId="77777777" w:rsidR="007F0CF5" w:rsidRDefault="00652E1B">
      <w:pPr>
        <w:pBdr>
          <w:top w:val="nil"/>
          <w:left w:val="nil"/>
          <w:bottom w:val="nil"/>
          <w:right w:val="nil"/>
          <w:between w:val="nil"/>
        </w:pBdr>
        <w:spacing w:line="240" w:lineRule="auto"/>
        <w:rPr>
          <w:rFonts w:ascii="Garamond" w:eastAsia="Garamond" w:hAnsi="Garamond" w:cs="Garamond"/>
          <w:i/>
          <w:color w:val="000000"/>
        </w:rPr>
      </w:pPr>
      <w:r>
        <w:rPr>
          <w:rFonts w:ascii="Garamond" w:eastAsia="Garamond" w:hAnsi="Garamond" w:cs="Garamond"/>
          <w:i/>
          <w:color w:val="000000"/>
        </w:rPr>
        <w:t>Key evaluation metrics from the model outputs from the best performing models from the study area.  (left) Results for random forest. (right) Results for robust regression.</w:t>
      </w:r>
    </w:p>
    <w:tbl>
      <w:tblPr>
        <w:tblStyle w:val="afe"/>
        <w:tblW w:w="9350" w:type="dxa"/>
        <w:tblBorders>
          <w:top w:val="nil"/>
          <w:left w:val="nil"/>
          <w:bottom w:val="nil"/>
          <w:right w:val="nil"/>
          <w:insideH w:val="nil"/>
          <w:insideV w:val="nil"/>
        </w:tblBorders>
        <w:tblLayout w:type="fixed"/>
        <w:tblLook w:val="0400" w:firstRow="0" w:lastRow="0" w:firstColumn="0" w:lastColumn="0" w:noHBand="0" w:noVBand="1"/>
      </w:tblPr>
      <w:tblGrid>
        <w:gridCol w:w="3955"/>
        <w:gridCol w:w="5395"/>
      </w:tblGrid>
      <w:tr w:rsidR="007F0CF5" w14:paraId="55AE68F5" w14:textId="77777777">
        <w:tc>
          <w:tcPr>
            <w:tcW w:w="3955" w:type="dxa"/>
          </w:tcPr>
          <w:p w14:paraId="0000013B" w14:textId="77777777" w:rsidR="007F0CF5" w:rsidRDefault="00652E1B">
            <w:pPr>
              <w:rPr>
                <w:rFonts w:ascii="Garamond" w:eastAsia="Garamond" w:hAnsi="Garamond" w:cs="Garamond"/>
                <w:i/>
                <w:color w:val="000000"/>
              </w:rPr>
            </w:pPr>
            <w:r>
              <w:rPr>
                <w:rFonts w:ascii="Garamond" w:eastAsia="Garamond" w:hAnsi="Garamond" w:cs="Garamond"/>
                <w:i/>
                <w:color w:val="000000"/>
              </w:rPr>
              <w:t xml:space="preserve">Study area results for random Forest </w:t>
            </w:r>
          </w:p>
          <w:tbl>
            <w:tblPr>
              <w:tblStyle w:val="aff"/>
              <w:tblW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810"/>
            </w:tblGrid>
            <w:tr w:rsidR="007F0CF5" w14:paraId="6D68F145" w14:textId="77777777">
              <w:tc>
                <w:tcPr>
                  <w:tcW w:w="2605" w:type="dxa"/>
                </w:tcPr>
                <w:p w14:paraId="0000013C"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810" w:type="dxa"/>
                </w:tcPr>
                <w:p w14:paraId="0000013D"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6DFCC94B" w14:textId="77777777">
              <w:tc>
                <w:tcPr>
                  <w:tcW w:w="2605" w:type="dxa"/>
                </w:tcPr>
                <w:p w14:paraId="0000013E"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810" w:type="dxa"/>
                </w:tcPr>
                <w:p w14:paraId="0000013F" w14:textId="77777777" w:rsidR="007F0CF5" w:rsidRDefault="00652E1B">
                  <w:pPr>
                    <w:rPr>
                      <w:rFonts w:ascii="Garamond" w:eastAsia="Garamond" w:hAnsi="Garamond" w:cs="Garamond"/>
                      <w:color w:val="000000"/>
                    </w:rPr>
                  </w:pPr>
                  <w:r>
                    <w:rPr>
                      <w:rFonts w:ascii="Garamond" w:eastAsia="Garamond" w:hAnsi="Garamond" w:cs="Garamond"/>
                      <w:color w:val="000000"/>
                    </w:rPr>
                    <w:t>0.36</w:t>
                  </w:r>
                </w:p>
              </w:tc>
            </w:tr>
            <w:tr w:rsidR="007F0CF5" w14:paraId="15C32B60" w14:textId="77777777">
              <w:tc>
                <w:tcPr>
                  <w:tcW w:w="2605" w:type="dxa"/>
                </w:tcPr>
                <w:p w14:paraId="00000140"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810" w:type="dxa"/>
                </w:tcPr>
                <w:p w14:paraId="00000141" w14:textId="77777777" w:rsidR="007F0CF5" w:rsidRDefault="00652E1B">
                  <w:pPr>
                    <w:rPr>
                      <w:rFonts w:ascii="Garamond" w:eastAsia="Garamond" w:hAnsi="Garamond" w:cs="Garamond"/>
                      <w:color w:val="000000"/>
                    </w:rPr>
                  </w:pPr>
                  <w:r>
                    <w:rPr>
                      <w:rFonts w:ascii="Garamond" w:eastAsia="Garamond" w:hAnsi="Garamond" w:cs="Garamond"/>
                      <w:color w:val="000000"/>
                    </w:rPr>
                    <w:t>71.72</w:t>
                  </w:r>
                </w:p>
              </w:tc>
            </w:tr>
            <w:tr w:rsidR="007F0CF5" w14:paraId="7B63AF5A" w14:textId="77777777">
              <w:tc>
                <w:tcPr>
                  <w:tcW w:w="2605" w:type="dxa"/>
                </w:tcPr>
                <w:p w14:paraId="00000142"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810" w:type="dxa"/>
                </w:tcPr>
                <w:p w14:paraId="00000143" w14:textId="77777777" w:rsidR="007F0CF5" w:rsidRDefault="00652E1B">
                  <w:pPr>
                    <w:rPr>
                      <w:rFonts w:ascii="Garamond" w:eastAsia="Garamond" w:hAnsi="Garamond" w:cs="Garamond"/>
                      <w:color w:val="000000"/>
                    </w:rPr>
                  </w:pPr>
                  <w:r>
                    <w:rPr>
                      <w:rFonts w:ascii="Garamond" w:eastAsia="Garamond" w:hAnsi="Garamond" w:cs="Garamond"/>
                      <w:color w:val="000000"/>
                    </w:rPr>
                    <w:t>0.44</w:t>
                  </w:r>
                </w:p>
              </w:tc>
            </w:tr>
          </w:tbl>
          <w:p w14:paraId="00000144" w14:textId="77777777" w:rsidR="007F0CF5" w:rsidRDefault="00652E1B">
            <w:pPr>
              <w:rPr>
                <w:rFonts w:ascii="Garamond" w:eastAsia="Garamond" w:hAnsi="Garamond" w:cs="Garamond"/>
                <w:color w:val="000000"/>
              </w:rPr>
            </w:pPr>
            <w:r>
              <w:rPr>
                <w:rFonts w:ascii="Garamond" w:eastAsia="Garamond" w:hAnsi="Garamond" w:cs="Garamond"/>
                <w:b/>
                <w:i/>
                <w:color w:val="000000"/>
              </w:rPr>
              <w:t xml:space="preserve">                     </w:t>
            </w:r>
          </w:p>
        </w:tc>
        <w:tc>
          <w:tcPr>
            <w:tcW w:w="5395" w:type="dxa"/>
          </w:tcPr>
          <w:p w14:paraId="00000145" w14:textId="77777777" w:rsidR="007F0CF5" w:rsidRDefault="00652E1B">
            <w:pPr>
              <w:rPr>
                <w:rFonts w:ascii="Garamond" w:eastAsia="Garamond" w:hAnsi="Garamond" w:cs="Garamond"/>
                <w:i/>
                <w:color w:val="000000"/>
              </w:rPr>
            </w:pPr>
            <w:r>
              <w:rPr>
                <w:rFonts w:ascii="Garamond" w:eastAsia="Garamond" w:hAnsi="Garamond" w:cs="Garamond"/>
                <w:b/>
                <w:i/>
                <w:color w:val="000000"/>
              </w:rPr>
              <w:t xml:space="preserve"> </w:t>
            </w:r>
            <w:r>
              <w:rPr>
                <w:rFonts w:ascii="Garamond" w:eastAsia="Garamond" w:hAnsi="Garamond" w:cs="Garamond"/>
                <w:i/>
                <w:color w:val="000000"/>
              </w:rPr>
              <w:t xml:space="preserve">Study area results for robust regression </w:t>
            </w:r>
          </w:p>
          <w:tbl>
            <w:tblPr>
              <w:tblStyle w:val="aff0"/>
              <w:tblW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810"/>
            </w:tblGrid>
            <w:tr w:rsidR="007F0CF5" w14:paraId="3A4B19B7" w14:textId="77777777">
              <w:tc>
                <w:tcPr>
                  <w:tcW w:w="2605" w:type="dxa"/>
                </w:tcPr>
                <w:p w14:paraId="00000146"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810" w:type="dxa"/>
                </w:tcPr>
                <w:p w14:paraId="00000147"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6E264B6F" w14:textId="77777777">
              <w:tc>
                <w:tcPr>
                  <w:tcW w:w="2605" w:type="dxa"/>
                </w:tcPr>
                <w:p w14:paraId="00000148"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810" w:type="dxa"/>
                </w:tcPr>
                <w:p w14:paraId="00000149" w14:textId="77777777" w:rsidR="007F0CF5" w:rsidRDefault="00652E1B">
                  <w:pPr>
                    <w:rPr>
                      <w:rFonts w:ascii="Garamond" w:eastAsia="Garamond" w:hAnsi="Garamond" w:cs="Garamond"/>
                      <w:color w:val="000000"/>
                    </w:rPr>
                  </w:pPr>
                  <w:r>
                    <w:rPr>
                      <w:rFonts w:ascii="Garamond" w:eastAsia="Garamond" w:hAnsi="Garamond" w:cs="Garamond"/>
                      <w:color w:val="000000"/>
                    </w:rPr>
                    <w:t>0.82</w:t>
                  </w:r>
                </w:p>
              </w:tc>
            </w:tr>
            <w:tr w:rsidR="007F0CF5" w14:paraId="4E28C5E1" w14:textId="77777777">
              <w:tc>
                <w:tcPr>
                  <w:tcW w:w="2605" w:type="dxa"/>
                </w:tcPr>
                <w:p w14:paraId="0000014A"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810" w:type="dxa"/>
                </w:tcPr>
                <w:p w14:paraId="0000014B" w14:textId="77777777" w:rsidR="007F0CF5" w:rsidRDefault="00652E1B">
                  <w:pPr>
                    <w:rPr>
                      <w:rFonts w:ascii="Garamond" w:eastAsia="Garamond" w:hAnsi="Garamond" w:cs="Garamond"/>
                      <w:color w:val="000000"/>
                    </w:rPr>
                  </w:pPr>
                  <w:r>
                    <w:rPr>
                      <w:rFonts w:ascii="Garamond" w:eastAsia="Garamond" w:hAnsi="Garamond" w:cs="Garamond"/>
                      <w:color w:val="000000"/>
                    </w:rPr>
                    <w:t>36.87</w:t>
                  </w:r>
                </w:p>
              </w:tc>
            </w:tr>
            <w:tr w:rsidR="007F0CF5" w14:paraId="0D3C1997" w14:textId="77777777">
              <w:tc>
                <w:tcPr>
                  <w:tcW w:w="2605" w:type="dxa"/>
                </w:tcPr>
                <w:p w14:paraId="0000014C"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810" w:type="dxa"/>
                </w:tcPr>
                <w:p w14:paraId="0000014D" w14:textId="77777777" w:rsidR="007F0CF5" w:rsidRDefault="00652E1B">
                  <w:pPr>
                    <w:rPr>
                      <w:rFonts w:ascii="Garamond" w:eastAsia="Garamond" w:hAnsi="Garamond" w:cs="Garamond"/>
                      <w:color w:val="000000"/>
                    </w:rPr>
                  </w:pPr>
                  <w:r>
                    <w:rPr>
                      <w:rFonts w:ascii="Garamond" w:eastAsia="Garamond" w:hAnsi="Garamond" w:cs="Garamond"/>
                      <w:color w:val="000000"/>
                    </w:rPr>
                    <w:t>0.64</w:t>
                  </w:r>
                </w:p>
              </w:tc>
            </w:tr>
          </w:tbl>
          <w:p w14:paraId="0000014E" w14:textId="77777777" w:rsidR="007F0CF5" w:rsidRDefault="007F0CF5">
            <w:pPr>
              <w:rPr>
                <w:rFonts w:ascii="Garamond" w:eastAsia="Garamond" w:hAnsi="Garamond" w:cs="Garamond"/>
                <w:color w:val="000000"/>
              </w:rPr>
            </w:pPr>
          </w:p>
        </w:tc>
      </w:tr>
    </w:tbl>
    <w:p w14:paraId="0000014F"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C2</w:t>
      </w:r>
    </w:p>
    <w:p w14:paraId="00000150" w14:textId="77777777" w:rsidR="007F0CF5" w:rsidRDefault="00652E1B">
      <w:pPr>
        <w:pBdr>
          <w:top w:val="nil"/>
          <w:left w:val="nil"/>
          <w:bottom w:val="nil"/>
          <w:right w:val="nil"/>
          <w:between w:val="nil"/>
        </w:pBdr>
        <w:spacing w:line="240" w:lineRule="auto"/>
        <w:rPr>
          <w:rFonts w:ascii="Garamond" w:eastAsia="Garamond" w:hAnsi="Garamond" w:cs="Garamond"/>
          <w:i/>
          <w:color w:val="000000"/>
        </w:rPr>
      </w:pPr>
      <w:r>
        <w:rPr>
          <w:rFonts w:ascii="Garamond" w:eastAsia="Garamond" w:hAnsi="Garamond" w:cs="Garamond"/>
          <w:i/>
          <w:color w:val="000000"/>
        </w:rPr>
        <w:t xml:space="preserve">Key evaluation metrics from the model outputs from the best performing models from the </w:t>
      </w:r>
      <w:proofErr w:type="spellStart"/>
      <w:r>
        <w:rPr>
          <w:rFonts w:ascii="Garamond" w:eastAsia="Garamond" w:hAnsi="Garamond" w:cs="Garamond"/>
          <w:i/>
          <w:color w:val="000000"/>
        </w:rPr>
        <w:t>Seiling</w:t>
      </w:r>
      <w:proofErr w:type="spellEnd"/>
      <w:r>
        <w:rPr>
          <w:rFonts w:ascii="Garamond" w:eastAsia="Garamond" w:hAnsi="Garamond" w:cs="Garamond"/>
          <w:i/>
          <w:color w:val="000000"/>
        </w:rPr>
        <w:t>. (left) Results for random forest. (right) Results for robust regression.</w:t>
      </w:r>
    </w:p>
    <w:tbl>
      <w:tblPr>
        <w:tblStyle w:val="aff1"/>
        <w:tblW w:w="9069" w:type="dxa"/>
        <w:tblBorders>
          <w:top w:val="nil"/>
          <w:left w:val="nil"/>
          <w:bottom w:val="nil"/>
          <w:right w:val="nil"/>
          <w:insideH w:val="nil"/>
          <w:insideV w:val="nil"/>
        </w:tblBorders>
        <w:tblLayout w:type="fixed"/>
        <w:tblLook w:val="0400" w:firstRow="0" w:lastRow="0" w:firstColumn="0" w:lastColumn="0" w:noHBand="0" w:noVBand="1"/>
      </w:tblPr>
      <w:tblGrid>
        <w:gridCol w:w="3836"/>
        <w:gridCol w:w="5233"/>
      </w:tblGrid>
      <w:tr w:rsidR="007F0CF5" w14:paraId="173CBEF0" w14:textId="77777777">
        <w:trPr>
          <w:trHeight w:val="1548"/>
        </w:trPr>
        <w:tc>
          <w:tcPr>
            <w:tcW w:w="3836" w:type="dxa"/>
          </w:tcPr>
          <w:p w14:paraId="00000151" w14:textId="77777777" w:rsidR="007F0CF5" w:rsidRDefault="00652E1B">
            <w:pPr>
              <w:rPr>
                <w:rFonts w:ascii="Garamond" w:eastAsia="Garamond" w:hAnsi="Garamond" w:cs="Garamond"/>
                <w:i/>
                <w:color w:val="000000"/>
              </w:rPr>
            </w:pPr>
            <w:proofErr w:type="spellStart"/>
            <w:r>
              <w:rPr>
                <w:rFonts w:ascii="Garamond" w:eastAsia="Garamond" w:hAnsi="Garamond" w:cs="Garamond"/>
                <w:i/>
              </w:rPr>
              <w:t>Seiling</w:t>
            </w:r>
            <w:proofErr w:type="spellEnd"/>
            <w:r>
              <w:rPr>
                <w:rFonts w:ascii="Garamond" w:eastAsia="Garamond" w:hAnsi="Garamond" w:cs="Garamond"/>
                <w:i/>
                <w:color w:val="000000"/>
              </w:rPr>
              <w:t xml:space="preserve"> Model results for random forest </w:t>
            </w:r>
          </w:p>
          <w:tbl>
            <w:tblPr>
              <w:tblStyle w:val="aff2"/>
              <w:tblW w:w="3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6"/>
              <w:gridCol w:w="785"/>
            </w:tblGrid>
            <w:tr w:rsidR="007F0CF5" w14:paraId="1EFD5433" w14:textId="77777777">
              <w:trPr>
                <w:trHeight w:val="115"/>
              </w:trPr>
              <w:tc>
                <w:tcPr>
                  <w:tcW w:w="2526" w:type="dxa"/>
                </w:tcPr>
                <w:p w14:paraId="00000152"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785" w:type="dxa"/>
                </w:tcPr>
                <w:p w14:paraId="00000153"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7793F028" w14:textId="77777777">
              <w:trPr>
                <w:trHeight w:val="108"/>
              </w:trPr>
              <w:tc>
                <w:tcPr>
                  <w:tcW w:w="2526" w:type="dxa"/>
                </w:tcPr>
                <w:p w14:paraId="00000154"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785" w:type="dxa"/>
                </w:tcPr>
                <w:p w14:paraId="00000155" w14:textId="77777777" w:rsidR="007F0CF5" w:rsidRDefault="00652E1B">
                  <w:pPr>
                    <w:rPr>
                      <w:rFonts w:ascii="Garamond" w:eastAsia="Garamond" w:hAnsi="Garamond" w:cs="Garamond"/>
                      <w:color w:val="000000"/>
                    </w:rPr>
                  </w:pPr>
                  <w:r>
                    <w:rPr>
                      <w:rFonts w:ascii="Garamond" w:eastAsia="Garamond" w:hAnsi="Garamond" w:cs="Garamond"/>
                      <w:color w:val="000000"/>
                    </w:rPr>
                    <w:t>0.57</w:t>
                  </w:r>
                </w:p>
              </w:tc>
            </w:tr>
            <w:tr w:rsidR="007F0CF5" w14:paraId="01712140" w14:textId="77777777">
              <w:trPr>
                <w:trHeight w:val="115"/>
              </w:trPr>
              <w:tc>
                <w:tcPr>
                  <w:tcW w:w="2526" w:type="dxa"/>
                </w:tcPr>
                <w:p w14:paraId="00000156"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785" w:type="dxa"/>
                </w:tcPr>
                <w:p w14:paraId="00000157" w14:textId="77777777" w:rsidR="007F0CF5" w:rsidRDefault="00652E1B">
                  <w:pPr>
                    <w:rPr>
                      <w:rFonts w:ascii="Garamond" w:eastAsia="Garamond" w:hAnsi="Garamond" w:cs="Garamond"/>
                      <w:color w:val="000000"/>
                    </w:rPr>
                  </w:pPr>
                  <w:r>
                    <w:rPr>
                      <w:rFonts w:ascii="Garamond" w:eastAsia="Garamond" w:hAnsi="Garamond" w:cs="Garamond"/>
                      <w:color w:val="000000"/>
                    </w:rPr>
                    <w:t>65.84</w:t>
                  </w:r>
                </w:p>
              </w:tc>
            </w:tr>
            <w:tr w:rsidR="007F0CF5" w14:paraId="6C154B52" w14:textId="77777777">
              <w:trPr>
                <w:trHeight w:val="108"/>
              </w:trPr>
              <w:tc>
                <w:tcPr>
                  <w:tcW w:w="2526" w:type="dxa"/>
                </w:tcPr>
                <w:p w14:paraId="00000158"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785" w:type="dxa"/>
                </w:tcPr>
                <w:p w14:paraId="00000159" w14:textId="77777777" w:rsidR="007F0CF5" w:rsidRDefault="00652E1B">
                  <w:pPr>
                    <w:rPr>
                      <w:rFonts w:ascii="Garamond" w:eastAsia="Garamond" w:hAnsi="Garamond" w:cs="Garamond"/>
                      <w:color w:val="000000"/>
                    </w:rPr>
                  </w:pPr>
                  <w:r>
                    <w:rPr>
                      <w:rFonts w:ascii="Garamond" w:eastAsia="Garamond" w:hAnsi="Garamond" w:cs="Garamond"/>
                      <w:color w:val="000000"/>
                    </w:rPr>
                    <w:t>0.59</w:t>
                  </w:r>
                </w:p>
              </w:tc>
            </w:tr>
          </w:tbl>
          <w:p w14:paraId="0000015A" w14:textId="77777777" w:rsidR="007F0CF5" w:rsidRDefault="007F0CF5">
            <w:pPr>
              <w:rPr>
                <w:rFonts w:ascii="Garamond" w:eastAsia="Garamond" w:hAnsi="Garamond" w:cs="Garamond"/>
                <w:color w:val="000000"/>
              </w:rPr>
            </w:pPr>
          </w:p>
        </w:tc>
        <w:tc>
          <w:tcPr>
            <w:tcW w:w="5233" w:type="dxa"/>
          </w:tcPr>
          <w:p w14:paraId="0000015B" w14:textId="77777777" w:rsidR="007F0CF5" w:rsidRDefault="00652E1B">
            <w:pPr>
              <w:rPr>
                <w:rFonts w:ascii="Garamond" w:eastAsia="Garamond" w:hAnsi="Garamond" w:cs="Garamond"/>
                <w:i/>
                <w:color w:val="000000"/>
              </w:rPr>
            </w:pPr>
            <w:r>
              <w:rPr>
                <w:rFonts w:ascii="Garamond" w:eastAsia="Garamond" w:hAnsi="Garamond" w:cs="Garamond"/>
                <w:b/>
                <w:i/>
                <w:color w:val="000000"/>
              </w:rPr>
              <w:t xml:space="preserve"> </w:t>
            </w:r>
            <w:proofErr w:type="spellStart"/>
            <w:r>
              <w:rPr>
                <w:rFonts w:ascii="Garamond" w:eastAsia="Garamond" w:hAnsi="Garamond" w:cs="Garamond"/>
                <w:i/>
                <w:color w:val="000000"/>
              </w:rPr>
              <w:t>S</w:t>
            </w:r>
            <w:r>
              <w:rPr>
                <w:rFonts w:ascii="Garamond" w:eastAsia="Garamond" w:hAnsi="Garamond" w:cs="Garamond"/>
                <w:i/>
              </w:rPr>
              <w:t>eiling</w:t>
            </w:r>
            <w:proofErr w:type="spellEnd"/>
            <w:r>
              <w:rPr>
                <w:rFonts w:ascii="Garamond" w:eastAsia="Garamond" w:hAnsi="Garamond" w:cs="Garamond"/>
                <w:i/>
              </w:rPr>
              <w:t xml:space="preserve"> Model</w:t>
            </w:r>
            <w:r>
              <w:rPr>
                <w:rFonts w:ascii="Garamond" w:eastAsia="Garamond" w:hAnsi="Garamond" w:cs="Garamond"/>
                <w:i/>
                <w:color w:val="000000"/>
              </w:rPr>
              <w:t xml:space="preserve"> results for robust regression </w:t>
            </w:r>
          </w:p>
          <w:tbl>
            <w:tblPr>
              <w:tblStyle w:val="aff3"/>
              <w:tblW w:w="3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6"/>
              <w:gridCol w:w="785"/>
            </w:tblGrid>
            <w:tr w:rsidR="007F0CF5" w14:paraId="07F7760A" w14:textId="77777777">
              <w:trPr>
                <w:trHeight w:val="115"/>
              </w:trPr>
              <w:tc>
                <w:tcPr>
                  <w:tcW w:w="2526" w:type="dxa"/>
                </w:tcPr>
                <w:p w14:paraId="0000015C" w14:textId="77777777" w:rsidR="007F0CF5" w:rsidRDefault="00652E1B">
                  <w:pPr>
                    <w:rPr>
                      <w:rFonts w:ascii="Garamond" w:eastAsia="Garamond" w:hAnsi="Garamond" w:cs="Garamond"/>
                      <w:b/>
                      <w:i/>
                      <w:color w:val="000000"/>
                    </w:rPr>
                  </w:pPr>
                  <w:r>
                    <w:rPr>
                      <w:rFonts w:ascii="Garamond" w:eastAsia="Garamond" w:hAnsi="Garamond" w:cs="Garamond"/>
                      <w:b/>
                      <w:i/>
                      <w:color w:val="000000"/>
                    </w:rPr>
                    <w:t>Model Evaluation Metric</w:t>
                  </w:r>
                </w:p>
              </w:tc>
              <w:tc>
                <w:tcPr>
                  <w:tcW w:w="785" w:type="dxa"/>
                </w:tcPr>
                <w:p w14:paraId="0000015D" w14:textId="77777777" w:rsidR="007F0CF5" w:rsidRDefault="00652E1B">
                  <w:pPr>
                    <w:rPr>
                      <w:rFonts w:ascii="Garamond" w:eastAsia="Garamond" w:hAnsi="Garamond" w:cs="Garamond"/>
                      <w:b/>
                      <w:i/>
                      <w:color w:val="000000"/>
                    </w:rPr>
                  </w:pPr>
                  <w:r>
                    <w:rPr>
                      <w:rFonts w:ascii="Garamond" w:eastAsia="Garamond" w:hAnsi="Garamond" w:cs="Garamond"/>
                      <w:b/>
                      <w:i/>
                      <w:color w:val="000000"/>
                    </w:rPr>
                    <w:t>Score</w:t>
                  </w:r>
                </w:p>
              </w:tc>
            </w:tr>
            <w:tr w:rsidR="007F0CF5" w14:paraId="3B781634" w14:textId="77777777">
              <w:trPr>
                <w:trHeight w:val="108"/>
              </w:trPr>
              <w:tc>
                <w:tcPr>
                  <w:tcW w:w="2526" w:type="dxa"/>
                </w:tcPr>
                <w:p w14:paraId="0000015E" w14:textId="77777777" w:rsidR="007F0CF5" w:rsidRDefault="00652E1B">
                  <w:pPr>
                    <w:rPr>
                      <w:rFonts w:ascii="Garamond" w:eastAsia="Garamond" w:hAnsi="Garamond" w:cs="Garamond"/>
                      <w:color w:val="000000"/>
                    </w:rPr>
                  </w:pPr>
                  <w:r>
                    <w:rPr>
                      <w:rFonts w:ascii="Garamond" w:eastAsia="Garamond" w:hAnsi="Garamond" w:cs="Garamond"/>
                      <w:color w:val="000000"/>
                    </w:rPr>
                    <w:t>Mean Square Error (MSE)</w:t>
                  </w:r>
                </w:p>
              </w:tc>
              <w:tc>
                <w:tcPr>
                  <w:tcW w:w="785" w:type="dxa"/>
                </w:tcPr>
                <w:p w14:paraId="0000015F" w14:textId="77777777" w:rsidR="007F0CF5" w:rsidRDefault="00652E1B">
                  <w:pPr>
                    <w:rPr>
                      <w:rFonts w:ascii="Garamond" w:eastAsia="Garamond" w:hAnsi="Garamond" w:cs="Garamond"/>
                      <w:color w:val="000000"/>
                    </w:rPr>
                  </w:pPr>
                  <w:r>
                    <w:rPr>
                      <w:rFonts w:ascii="Garamond" w:eastAsia="Garamond" w:hAnsi="Garamond" w:cs="Garamond"/>
                      <w:color w:val="000000"/>
                    </w:rPr>
                    <w:t>0.68</w:t>
                  </w:r>
                </w:p>
              </w:tc>
            </w:tr>
            <w:tr w:rsidR="007F0CF5" w14:paraId="08F8A80E" w14:textId="77777777">
              <w:trPr>
                <w:trHeight w:val="115"/>
              </w:trPr>
              <w:tc>
                <w:tcPr>
                  <w:tcW w:w="2526" w:type="dxa"/>
                </w:tcPr>
                <w:p w14:paraId="00000160" w14:textId="77777777" w:rsidR="007F0CF5" w:rsidRDefault="00652E1B">
                  <w:pPr>
                    <w:rPr>
                      <w:rFonts w:ascii="Garamond" w:eastAsia="Garamond" w:hAnsi="Garamond" w:cs="Garamond"/>
                      <w:color w:val="000000"/>
                    </w:rPr>
                  </w:pPr>
                  <w:r>
                    <w:rPr>
                      <w:rFonts w:ascii="Garamond" w:eastAsia="Garamond" w:hAnsi="Garamond" w:cs="Garamond"/>
                      <w:color w:val="000000"/>
                    </w:rPr>
                    <w:t>R-squared for Linear Model</w:t>
                  </w:r>
                </w:p>
              </w:tc>
              <w:tc>
                <w:tcPr>
                  <w:tcW w:w="785" w:type="dxa"/>
                </w:tcPr>
                <w:p w14:paraId="00000161" w14:textId="77777777" w:rsidR="007F0CF5" w:rsidRDefault="00652E1B">
                  <w:pPr>
                    <w:rPr>
                      <w:rFonts w:ascii="Garamond" w:eastAsia="Garamond" w:hAnsi="Garamond" w:cs="Garamond"/>
                      <w:color w:val="000000"/>
                    </w:rPr>
                  </w:pPr>
                  <w:r>
                    <w:rPr>
                      <w:rFonts w:ascii="Garamond" w:eastAsia="Garamond" w:hAnsi="Garamond" w:cs="Garamond"/>
                      <w:color w:val="000000"/>
                    </w:rPr>
                    <w:t>74.8</w:t>
                  </w:r>
                </w:p>
              </w:tc>
            </w:tr>
            <w:tr w:rsidR="007F0CF5" w14:paraId="4653C86C" w14:textId="77777777">
              <w:trPr>
                <w:trHeight w:val="108"/>
              </w:trPr>
              <w:tc>
                <w:tcPr>
                  <w:tcW w:w="2526" w:type="dxa"/>
                </w:tcPr>
                <w:p w14:paraId="00000162" w14:textId="77777777" w:rsidR="007F0CF5" w:rsidRDefault="00652E1B">
                  <w:pPr>
                    <w:rPr>
                      <w:rFonts w:ascii="Garamond" w:eastAsia="Garamond" w:hAnsi="Garamond" w:cs="Garamond"/>
                      <w:color w:val="000000"/>
                    </w:rPr>
                  </w:pPr>
                  <w:r>
                    <w:rPr>
                      <w:rFonts w:ascii="Garamond" w:eastAsia="Garamond" w:hAnsi="Garamond" w:cs="Garamond"/>
                      <w:color w:val="000000"/>
                    </w:rPr>
                    <w:t xml:space="preserve">Mean Absolute Error </w:t>
                  </w:r>
                </w:p>
              </w:tc>
              <w:tc>
                <w:tcPr>
                  <w:tcW w:w="785" w:type="dxa"/>
                </w:tcPr>
                <w:p w14:paraId="00000163" w14:textId="77777777" w:rsidR="007F0CF5" w:rsidRDefault="00652E1B">
                  <w:pPr>
                    <w:rPr>
                      <w:rFonts w:ascii="Garamond" w:eastAsia="Garamond" w:hAnsi="Garamond" w:cs="Garamond"/>
                      <w:color w:val="000000"/>
                    </w:rPr>
                  </w:pPr>
                  <w:r>
                    <w:rPr>
                      <w:rFonts w:ascii="Garamond" w:eastAsia="Garamond" w:hAnsi="Garamond" w:cs="Garamond"/>
                      <w:color w:val="000000"/>
                    </w:rPr>
                    <w:t>0.62</w:t>
                  </w:r>
                </w:p>
              </w:tc>
            </w:tr>
          </w:tbl>
          <w:p w14:paraId="00000164" w14:textId="77777777" w:rsidR="007F0CF5" w:rsidRDefault="007F0CF5">
            <w:pPr>
              <w:rPr>
                <w:rFonts w:ascii="Garamond" w:eastAsia="Garamond" w:hAnsi="Garamond" w:cs="Garamond"/>
                <w:color w:val="000000"/>
              </w:rPr>
            </w:pPr>
          </w:p>
        </w:tc>
      </w:tr>
    </w:tbl>
    <w:p w14:paraId="00000165" w14:textId="77777777" w:rsidR="007F0CF5" w:rsidRDefault="007F0CF5">
      <w:pPr>
        <w:pBdr>
          <w:top w:val="nil"/>
          <w:left w:val="nil"/>
          <w:bottom w:val="nil"/>
          <w:right w:val="nil"/>
          <w:between w:val="nil"/>
        </w:pBdr>
        <w:spacing w:after="0"/>
        <w:ind w:left="720"/>
        <w:jc w:val="center"/>
        <w:rPr>
          <w:rFonts w:ascii="Garamond" w:eastAsia="Garamond" w:hAnsi="Garamond" w:cs="Garamond"/>
          <w:b/>
          <w:color w:val="000000"/>
        </w:rPr>
      </w:pPr>
    </w:p>
    <w:p w14:paraId="00000166" w14:textId="77777777" w:rsidR="007F0CF5" w:rsidRDefault="007F0CF5">
      <w:pPr>
        <w:pBdr>
          <w:top w:val="nil"/>
          <w:left w:val="nil"/>
          <w:bottom w:val="nil"/>
          <w:right w:val="nil"/>
          <w:between w:val="nil"/>
        </w:pBdr>
        <w:spacing w:after="0"/>
        <w:ind w:left="720"/>
        <w:jc w:val="center"/>
        <w:rPr>
          <w:rFonts w:ascii="Garamond" w:eastAsia="Garamond" w:hAnsi="Garamond" w:cs="Garamond"/>
          <w:b/>
          <w:color w:val="000000"/>
        </w:rPr>
      </w:pPr>
    </w:p>
    <w:p w14:paraId="00000167" w14:textId="77777777" w:rsidR="007F0CF5" w:rsidRDefault="00652E1B">
      <w:pPr>
        <w:pBdr>
          <w:top w:val="nil"/>
          <w:left w:val="nil"/>
          <w:bottom w:val="nil"/>
          <w:right w:val="nil"/>
          <w:between w:val="nil"/>
        </w:pBdr>
        <w:ind w:left="720"/>
        <w:rPr>
          <w:rFonts w:ascii="Garamond" w:eastAsia="Garamond" w:hAnsi="Garamond" w:cs="Garamond"/>
          <w:b/>
          <w:color w:val="000000"/>
        </w:rPr>
      </w:pPr>
      <w:r>
        <w:rPr>
          <w:rFonts w:ascii="Garamond" w:eastAsia="Garamond" w:hAnsi="Garamond" w:cs="Garamond"/>
          <w:b/>
          <w:color w:val="000000"/>
        </w:rPr>
        <w:t xml:space="preserve">(a)                                                                     </w:t>
      </w:r>
      <w:proofErr w:type="gramStart"/>
      <w:r>
        <w:rPr>
          <w:rFonts w:ascii="Garamond" w:eastAsia="Garamond" w:hAnsi="Garamond" w:cs="Garamond"/>
          <w:b/>
          <w:color w:val="000000"/>
        </w:rPr>
        <w:t xml:space="preserve">   (</w:t>
      </w:r>
      <w:proofErr w:type="gramEnd"/>
      <w:r>
        <w:rPr>
          <w:rFonts w:ascii="Garamond" w:eastAsia="Garamond" w:hAnsi="Garamond" w:cs="Garamond"/>
          <w:b/>
          <w:color w:val="000000"/>
        </w:rPr>
        <w:t>b)</w:t>
      </w:r>
    </w:p>
    <w:tbl>
      <w:tblPr>
        <w:tblStyle w:val="aff4"/>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7F0CF5" w14:paraId="1075BFA7" w14:textId="77777777">
        <w:tc>
          <w:tcPr>
            <w:tcW w:w="4680" w:type="dxa"/>
          </w:tcPr>
          <w:p w14:paraId="00000168" w14:textId="77777777" w:rsidR="007F0CF5" w:rsidRDefault="00652E1B">
            <w:pPr>
              <w:rPr>
                <w:rFonts w:ascii="Garamond" w:eastAsia="Garamond" w:hAnsi="Garamond" w:cs="Garamond"/>
                <w:b/>
                <w:i/>
                <w:color w:val="000000"/>
              </w:rPr>
            </w:pPr>
            <w:r>
              <w:rPr>
                <w:noProof/>
              </w:rPr>
              <w:drawing>
                <wp:inline distT="0" distB="0" distL="0" distR="0" wp14:anchorId="37A3DCED" wp14:editId="245F4A77">
                  <wp:extent cx="2920250" cy="2807732"/>
                  <wp:effectExtent l="0" t="0" r="0" b="0"/>
                  <wp:docPr id="2127486041" name="image26.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Chart, bar chart&#10;&#10;Description automatically generated"/>
                          <pic:cNvPicPr preferRelativeResize="0"/>
                        </pic:nvPicPr>
                        <pic:blipFill>
                          <a:blip r:embed="rId50"/>
                          <a:srcRect/>
                          <a:stretch>
                            <a:fillRect/>
                          </a:stretch>
                        </pic:blipFill>
                        <pic:spPr>
                          <a:xfrm>
                            <a:off x="0" y="0"/>
                            <a:ext cx="2920250" cy="2807732"/>
                          </a:xfrm>
                          <a:prstGeom prst="rect">
                            <a:avLst/>
                          </a:prstGeom>
                          <a:ln/>
                        </pic:spPr>
                      </pic:pic>
                    </a:graphicData>
                  </a:graphic>
                </wp:inline>
              </w:drawing>
            </w:r>
          </w:p>
        </w:tc>
        <w:tc>
          <w:tcPr>
            <w:tcW w:w="4680" w:type="dxa"/>
          </w:tcPr>
          <w:p w14:paraId="00000169" w14:textId="77777777" w:rsidR="007F0CF5" w:rsidRDefault="00652E1B">
            <w:pPr>
              <w:rPr>
                <w:rFonts w:ascii="Garamond" w:eastAsia="Garamond" w:hAnsi="Garamond" w:cs="Garamond"/>
                <w:b/>
                <w:i/>
                <w:color w:val="000000"/>
              </w:rPr>
            </w:pPr>
            <w:r>
              <w:rPr>
                <w:noProof/>
              </w:rPr>
              <w:drawing>
                <wp:inline distT="0" distB="0" distL="0" distR="0" wp14:anchorId="76B8786A" wp14:editId="1DF07BC3">
                  <wp:extent cx="2886064" cy="2800076"/>
                  <wp:effectExtent l="0" t="0" r="0" b="0"/>
                  <wp:docPr id="2127486044" name="image3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Chart&#10;&#10;Description automatically generated"/>
                          <pic:cNvPicPr preferRelativeResize="0"/>
                        </pic:nvPicPr>
                        <pic:blipFill>
                          <a:blip r:embed="rId51"/>
                          <a:srcRect/>
                          <a:stretch>
                            <a:fillRect/>
                          </a:stretch>
                        </pic:blipFill>
                        <pic:spPr>
                          <a:xfrm>
                            <a:off x="0" y="0"/>
                            <a:ext cx="2886064" cy="2800076"/>
                          </a:xfrm>
                          <a:prstGeom prst="rect">
                            <a:avLst/>
                          </a:prstGeom>
                          <a:ln/>
                        </pic:spPr>
                      </pic:pic>
                    </a:graphicData>
                  </a:graphic>
                </wp:inline>
              </w:drawing>
            </w:r>
          </w:p>
        </w:tc>
      </w:tr>
    </w:tbl>
    <w:p w14:paraId="0000016A" w14:textId="77777777" w:rsidR="007F0CF5" w:rsidRDefault="00652E1B">
      <w:pPr>
        <w:jc w:val="center"/>
        <w:rPr>
          <w:rFonts w:ascii="Garamond" w:eastAsia="Garamond" w:hAnsi="Garamond" w:cs="Garamond"/>
        </w:rPr>
      </w:pPr>
      <w:r>
        <w:rPr>
          <w:rFonts w:ascii="Garamond" w:eastAsia="Garamond" w:hAnsi="Garamond" w:cs="Garamond"/>
          <w:i/>
        </w:rPr>
        <w:t>Figure C</w:t>
      </w:r>
      <w:r>
        <w:rPr>
          <w:rFonts w:ascii="Times New Roman" w:eastAsia="Times New Roman" w:hAnsi="Times New Roman" w:cs="Times New Roman"/>
          <w:i/>
        </w:rPr>
        <w:t>1</w:t>
      </w:r>
      <w:r>
        <w:rPr>
          <w:rFonts w:ascii="Garamond" w:eastAsia="Garamond" w:hAnsi="Garamond" w:cs="Garamond"/>
          <w:i/>
        </w:rPr>
        <w:t>.</w:t>
      </w:r>
      <w:r>
        <w:rPr>
          <w:rFonts w:ascii="Garamond" w:eastAsia="Garamond" w:hAnsi="Garamond" w:cs="Garamond"/>
        </w:rPr>
        <w:t xml:space="preserve"> Feature Importance for Random Forest for Study Area (a) and </w:t>
      </w:r>
      <w:proofErr w:type="spellStart"/>
      <w:r>
        <w:rPr>
          <w:rFonts w:ascii="Garamond" w:eastAsia="Garamond" w:hAnsi="Garamond" w:cs="Garamond"/>
        </w:rPr>
        <w:t>Seiling</w:t>
      </w:r>
      <w:proofErr w:type="spellEnd"/>
      <w:r>
        <w:rPr>
          <w:rFonts w:ascii="Garamond" w:eastAsia="Garamond" w:hAnsi="Garamond" w:cs="Garamond"/>
        </w:rPr>
        <w:t xml:space="preserve"> (b)</w:t>
      </w:r>
    </w:p>
    <w:p w14:paraId="0000016B" w14:textId="77777777" w:rsidR="007F0CF5" w:rsidRDefault="007F0CF5">
      <w:pPr>
        <w:rPr>
          <w:rFonts w:ascii="Garamond" w:eastAsia="Garamond" w:hAnsi="Garamond" w:cs="Garamond"/>
          <w:color w:val="000000"/>
        </w:rPr>
      </w:pPr>
    </w:p>
    <w:p w14:paraId="0000016C" w14:textId="77777777" w:rsidR="007F0CF5" w:rsidRDefault="007F0CF5">
      <w:pPr>
        <w:rPr>
          <w:rFonts w:ascii="Garamond" w:eastAsia="Garamond" w:hAnsi="Garamond" w:cs="Garamond"/>
          <w:color w:val="000000"/>
        </w:rPr>
      </w:pPr>
    </w:p>
    <w:p w14:paraId="0000016D" w14:textId="77777777" w:rsidR="007F0CF5" w:rsidRDefault="00652E1B">
      <w:r>
        <w:rPr>
          <w:rFonts w:ascii="Garamond" w:eastAsia="Garamond" w:hAnsi="Garamond" w:cs="Garamond"/>
          <w:color w:val="000000"/>
        </w:rPr>
        <w:lastRenderedPageBreak/>
        <w:t>The tables below are the key values from the statistical model outputs. The variables below are “</w:t>
      </w:r>
      <w:proofErr w:type="spellStart"/>
      <w:r>
        <w:rPr>
          <w:rFonts w:ascii="Garamond" w:eastAsia="Garamond" w:hAnsi="Garamond" w:cs="Garamond"/>
          <w:color w:val="000000"/>
        </w:rPr>
        <w:t>coef</w:t>
      </w:r>
      <w:proofErr w:type="spellEnd"/>
      <w:r>
        <w:rPr>
          <w:rFonts w:ascii="Garamond" w:eastAsia="Garamond" w:hAnsi="Garamond" w:cs="Garamond"/>
          <w:color w:val="000000"/>
        </w:rPr>
        <w:t xml:space="preserve">” representing the coefficient value of the explanatory variable in the given regression, “std err” representing the standard error of the given explanatory variable, “Z” representing the Z-value of the coefficient of the given explanatory variable, and “P&gt;|Z|” representing the P-value of the given Z-value for the explanatory variable. </w:t>
      </w:r>
    </w:p>
    <w:p w14:paraId="0000016E" w14:textId="77777777" w:rsidR="007F0CF5" w:rsidRDefault="00652E1B">
      <w:pPr>
        <w:spacing w:after="0" w:line="240" w:lineRule="auto"/>
        <w:rPr>
          <w:rFonts w:ascii="Garamond" w:eastAsia="Garamond" w:hAnsi="Garamond" w:cs="Garamond"/>
        </w:rPr>
      </w:pPr>
      <w:r>
        <w:rPr>
          <w:rFonts w:ascii="Garamond" w:eastAsia="Garamond" w:hAnsi="Garamond" w:cs="Garamond"/>
        </w:rPr>
        <w:t>Table C3</w:t>
      </w:r>
    </w:p>
    <w:p w14:paraId="0000016F" w14:textId="77777777" w:rsidR="007F0CF5" w:rsidRDefault="00652E1B">
      <w:pPr>
        <w:spacing w:after="0" w:line="240" w:lineRule="auto"/>
        <w:rPr>
          <w:rFonts w:ascii="Garamond" w:eastAsia="Garamond" w:hAnsi="Garamond" w:cs="Garamond"/>
          <w:b/>
          <w:i/>
          <w:color w:val="000000"/>
        </w:rPr>
      </w:pPr>
      <w:r>
        <w:rPr>
          <w:rFonts w:ascii="Garamond" w:eastAsia="Garamond" w:hAnsi="Garamond" w:cs="Garamond"/>
          <w:i/>
        </w:rPr>
        <w:t xml:space="preserve">Study area linear regression output of all statistically significant variables </w:t>
      </w:r>
      <w:r>
        <w:rPr>
          <w:rFonts w:ascii="Garamond" w:eastAsia="Garamond" w:hAnsi="Garamond" w:cs="Garamond"/>
          <w:i/>
          <w:color w:val="000000"/>
        </w:rPr>
        <w:t>at the .05 significance level.</w:t>
      </w:r>
    </w:p>
    <w:tbl>
      <w:tblPr>
        <w:tblStyle w:val="aff5"/>
        <w:tblW w:w="6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1243"/>
        <w:gridCol w:w="1080"/>
        <w:gridCol w:w="1080"/>
        <w:gridCol w:w="900"/>
      </w:tblGrid>
      <w:tr w:rsidR="007F0CF5" w14:paraId="10462191" w14:textId="77777777" w:rsidTr="007F0CF5">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1727" w:type="dxa"/>
          </w:tcPr>
          <w:p w14:paraId="0000017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variable name</w:t>
            </w:r>
          </w:p>
        </w:tc>
        <w:tc>
          <w:tcPr>
            <w:tcW w:w="1243" w:type="dxa"/>
          </w:tcPr>
          <w:p w14:paraId="00000171"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proofErr w:type="spellStart"/>
            <w:r>
              <w:rPr>
                <w:rFonts w:ascii="Garamond" w:eastAsia="Garamond" w:hAnsi="Garamond" w:cs="Garamond"/>
                <w:color w:val="000000"/>
                <w:sz w:val="22"/>
                <w:szCs w:val="22"/>
              </w:rPr>
              <w:t>coef</w:t>
            </w:r>
            <w:proofErr w:type="spellEnd"/>
          </w:p>
        </w:tc>
        <w:tc>
          <w:tcPr>
            <w:tcW w:w="1080" w:type="dxa"/>
          </w:tcPr>
          <w:p w14:paraId="00000172"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std err</w:t>
            </w:r>
          </w:p>
        </w:tc>
        <w:tc>
          <w:tcPr>
            <w:tcW w:w="1080" w:type="dxa"/>
          </w:tcPr>
          <w:p w14:paraId="00000173"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z</w:t>
            </w:r>
          </w:p>
        </w:tc>
        <w:tc>
          <w:tcPr>
            <w:tcW w:w="900" w:type="dxa"/>
          </w:tcPr>
          <w:p w14:paraId="00000174"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P&gt;|z|</w:t>
            </w:r>
          </w:p>
        </w:tc>
      </w:tr>
      <w:tr w:rsidR="007F0CF5" w14:paraId="6D827E7B"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75"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Intercept</w:t>
            </w:r>
          </w:p>
        </w:tc>
        <w:tc>
          <w:tcPr>
            <w:tcW w:w="1243" w:type="dxa"/>
          </w:tcPr>
          <w:p w14:paraId="0000017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-44670</w:t>
            </w:r>
          </w:p>
        </w:tc>
        <w:tc>
          <w:tcPr>
            <w:tcW w:w="1080" w:type="dxa"/>
          </w:tcPr>
          <w:p w14:paraId="0000017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14600</w:t>
            </w:r>
          </w:p>
        </w:tc>
        <w:tc>
          <w:tcPr>
            <w:tcW w:w="1080" w:type="dxa"/>
          </w:tcPr>
          <w:p w14:paraId="0000017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-3.052</w:t>
            </w:r>
          </w:p>
        </w:tc>
        <w:tc>
          <w:tcPr>
            <w:tcW w:w="900" w:type="dxa"/>
          </w:tcPr>
          <w:p w14:paraId="0000017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0.002</w:t>
            </w:r>
          </w:p>
        </w:tc>
      </w:tr>
      <w:tr w:rsidR="007F0CF5" w14:paraId="423B2779"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7A"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Latitude</w:t>
            </w:r>
          </w:p>
        </w:tc>
        <w:tc>
          <w:tcPr>
            <w:tcW w:w="1243" w:type="dxa"/>
          </w:tcPr>
          <w:p w14:paraId="0000017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0.0988</w:t>
            </w:r>
          </w:p>
        </w:tc>
        <w:tc>
          <w:tcPr>
            <w:tcW w:w="1080" w:type="dxa"/>
          </w:tcPr>
          <w:p w14:paraId="0000017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0.021</w:t>
            </w:r>
          </w:p>
        </w:tc>
        <w:tc>
          <w:tcPr>
            <w:tcW w:w="1080" w:type="dxa"/>
          </w:tcPr>
          <w:p w14:paraId="0000017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4.808</w:t>
            </w:r>
          </w:p>
        </w:tc>
        <w:tc>
          <w:tcPr>
            <w:tcW w:w="900" w:type="dxa"/>
          </w:tcPr>
          <w:p w14:paraId="0000017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72663149"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7F"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Longitude</w:t>
            </w:r>
          </w:p>
        </w:tc>
        <w:tc>
          <w:tcPr>
            <w:tcW w:w="1243" w:type="dxa"/>
          </w:tcPr>
          <w:p w14:paraId="0000018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-0.1099</w:t>
            </w:r>
          </w:p>
        </w:tc>
        <w:tc>
          <w:tcPr>
            <w:tcW w:w="1080" w:type="dxa"/>
          </w:tcPr>
          <w:p w14:paraId="0000018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0.028</w:t>
            </w:r>
          </w:p>
        </w:tc>
        <w:tc>
          <w:tcPr>
            <w:tcW w:w="1080" w:type="dxa"/>
          </w:tcPr>
          <w:p w14:paraId="0000018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-3.972</w:t>
            </w:r>
          </w:p>
        </w:tc>
        <w:tc>
          <w:tcPr>
            <w:tcW w:w="900" w:type="dxa"/>
          </w:tcPr>
          <w:p w14:paraId="0000018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557D9FAD"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84"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Date</w:t>
            </w:r>
          </w:p>
        </w:tc>
        <w:tc>
          <w:tcPr>
            <w:tcW w:w="1243" w:type="dxa"/>
          </w:tcPr>
          <w:p w14:paraId="0000018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0.0022</w:t>
            </w:r>
          </w:p>
        </w:tc>
        <w:tc>
          <w:tcPr>
            <w:tcW w:w="1080" w:type="dxa"/>
          </w:tcPr>
          <w:p w14:paraId="0000018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0.001</w:t>
            </w:r>
          </w:p>
        </w:tc>
        <w:tc>
          <w:tcPr>
            <w:tcW w:w="1080" w:type="dxa"/>
          </w:tcPr>
          <w:p w14:paraId="0000018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3.052</w:t>
            </w:r>
          </w:p>
        </w:tc>
        <w:tc>
          <w:tcPr>
            <w:tcW w:w="900" w:type="dxa"/>
          </w:tcPr>
          <w:p w14:paraId="0000018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4F6387E3"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89"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AOD</w:t>
            </w:r>
          </w:p>
        </w:tc>
        <w:tc>
          <w:tcPr>
            <w:tcW w:w="1243" w:type="dxa"/>
          </w:tcPr>
          <w:p w14:paraId="0000018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0.0028</w:t>
            </w:r>
          </w:p>
        </w:tc>
        <w:tc>
          <w:tcPr>
            <w:tcW w:w="1080" w:type="dxa"/>
          </w:tcPr>
          <w:p w14:paraId="0000018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0.001</w:t>
            </w:r>
          </w:p>
        </w:tc>
        <w:tc>
          <w:tcPr>
            <w:tcW w:w="1080" w:type="dxa"/>
          </w:tcPr>
          <w:p w14:paraId="0000018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2.979</w:t>
            </w:r>
          </w:p>
        </w:tc>
        <w:tc>
          <w:tcPr>
            <w:tcW w:w="900" w:type="dxa"/>
          </w:tcPr>
          <w:p w14:paraId="0000018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0.003</w:t>
            </w:r>
          </w:p>
        </w:tc>
      </w:tr>
      <w:tr w:rsidR="007F0CF5" w14:paraId="3860F9B7"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8E"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Air temperature</w:t>
            </w:r>
          </w:p>
        </w:tc>
        <w:tc>
          <w:tcPr>
            <w:tcW w:w="1243" w:type="dxa"/>
          </w:tcPr>
          <w:p w14:paraId="0000018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-0.2374</w:t>
            </w:r>
          </w:p>
        </w:tc>
        <w:tc>
          <w:tcPr>
            <w:tcW w:w="1080" w:type="dxa"/>
          </w:tcPr>
          <w:p w14:paraId="0000019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0.041</w:t>
            </w:r>
          </w:p>
        </w:tc>
        <w:tc>
          <w:tcPr>
            <w:tcW w:w="1080" w:type="dxa"/>
          </w:tcPr>
          <w:p w14:paraId="0000019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-5.739</w:t>
            </w:r>
          </w:p>
        </w:tc>
        <w:tc>
          <w:tcPr>
            <w:tcW w:w="900" w:type="dxa"/>
          </w:tcPr>
          <w:p w14:paraId="0000019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7B58AAAF"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9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Temperature</w:t>
            </w:r>
          </w:p>
        </w:tc>
        <w:tc>
          <w:tcPr>
            <w:tcW w:w="1243" w:type="dxa"/>
          </w:tcPr>
          <w:p w14:paraId="0000019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0.1734</w:t>
            </w:r>
          </w:p>
        </w:tc>
        <w:tc>
          <w:tcPr>
            <w:tcW w:w="1080" w:type="dxa"/>
          </w:tcPr>
          <w:p w14:paraId="0000019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0.061</w:t>
            </w:r>
          </w:p>
        </w:tc>
        <w:tc>
          <w:tcPr>
            <w:tcW w:w="1080" w:type="dxa"/>
          </w:tcPr>
          <w:p w14:paraId="0000019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2.85</w:t>
            </w:r>
          </w:p>
        </w:tc>
        <w:tc>
          <w:tcPr>
            <w:tcW w:w="900" w:type="dxa"/>
          </w:tcPr>
          <w:p w14:paraId="0000019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0.005</w:t>
            </w:r>
          </w:p>
        </w:tc>
      </w:tr>
      <w:tr w:rsidR="007F0CF5" w14:paraId="1398E72D"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9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Pressure</w:t>
            </w:r>
          </w:p>
        </w:tc>
        <w:tc>
          <w:tcPr>
            <w:tcW w:w="1243" w:type="dxa"/>
          </w:tcPr>
          <w:p w14:paraId="0000019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1.00E-04</w:t>
            </w:r>
          </w:p>
        </w:tc>
        <w:tc>
          <w:tcPr>
            <w:tcW w:w="1080" w:type="dxa"/>
          </w:tcPr>
          <w:p w14:paraId="0000019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2.40E-05</w:t>
            </w:r>
          </w:p>
        </w:tc>
        <w:tc>
          <w:tcPr>
            <w:tcW w:w="1080" w:type="dxa"/>
          </w:tcPr>
          <w:p w14:paraId="0000019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4.841</w:t>
            </w:r>
          </w:p>
        </w:tc>
        <w:tc>
          <w:tcPr>
            <w:tcW w:w="900" w:type="dxa"/>
          </w:tcPr>
          <w:p w14:paraId="0000019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6BE95687"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9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Humidity</w:t>
            </w:r>
          </w:p>
        </w:tc>
        <w:tc>
          <w:tcPr>
            <w:tcW w:w="1243" w:type="dxa"/>
          </w:tcPr>
          <w:p w14:paraId="0000019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-1129.23</w:t>
            </w:r>
          </w:p>
        </w:tc>
        <w:tc>
          <w:tcPr>
            <w:tcW w:w="1080" w:type="dxa"/>
          </w:tcPr>
          <w:p w14:paraId="0000019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356.146</w:t>
            </w:r>
          </w:p>
        </w:tc>
        <w:tc>
          <w:tcPr>
            <w:tcW w:w="1080" w:type="dxa"/>
          </w:tcPr>
          <w:p w14:paraId="000001A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-3.171</w:t>
            </w:r>
          </w:p>
        </w:tc>
        <w:tc>
          <w:tcPr>
            <w:tcW w:w="900" w:type="dxa"/>
          </w:tcPr>
          <w:p w14:paraId="000001A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71A9672F"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A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Precipitation</w:t>
            </w:r>
          </w:p>
        </w:tc>
        <w:tc>
          <w:tcPr>
            <w:tcW w:w="1243" w:type="dxa"/>
          </w:tcPr>
          <w:p w14:paraId="000001A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5746.815</w:t>
            </w:r>
          </w:p>
        </w:tc>
        <w:tc>
          <w:tcPr>
            <w:tcW w:w="1080" w:type="dxa"/>
          </w:tcPr>
          <w:p w14:paraId="000001A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1190.166</w:t>
            </w:r>
          </w:p>
        </w:tc>
        <w:tc>
          <w:tcPr>
            <w:tcW w:w="1080" w:type="dxa"/>
          </w:tcPr>
          <w:p w14:paraId="000001A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4.829</w:t>
            </w:r>
          </w:p>
        </w:tc>
        <w:tc>
          <w:tcPr>
            <w:tcW w:w="900" w:type="dxa"/>
          </w:tcPr>
          <w:p w14:paraId="000001A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0AE876E1"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A7"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 xml:space="preserve">Elevation </w:t>
            </w:r>
            <w:proofErr w:type="gramStart"/>
            <w:r>
              <w:rPr>
                <w:rFonts w:ascii="Garamond" w:eastAsia="Garamond" w:hAnsi="Garamond" w:cs="Garamond"/>
                <w:color w:val="000000"/>
                <w:sz w:val="22"/>
                <w:szCs w:val="22"/>
              </w:rPr>
              <w:t>mean</w:t>
            </w:r>
            <w:proofErr w:type="gramEnd"/>
          </w:p>
        </w:tc>
        <w:tc>
          <w:tcPr>
            <w:tcW w:w="1243" w:type="dxa"/>
          </w:tcPr>
          <w:p w14:paraId="000001A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7.00E-04</w:t>
            </w:r>
          </w:p>
        </w:tc>
        <w:tc>
          <w:tcPr>
            <w:tcW w:w="1080" w:type="dxa"/>
          </w:tcPr>
          <w:p w14:paraId="000001A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c>
          <w:tcPr>
            <w:tcW w:w="1080" w:type="dxa"/>
          </w:tcPr>
          <w:p w14:paraId="000001A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4.156</w:t>
            </w:r>
          </w:p>
        </w:tc>
        <w:tc>
          <w:tcPr>
            <w:tcW w:w="900" w:type="dxa"/>
          </w:tcPr>
          <w:p w14:paraId="000001A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13255282"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AC"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O3: humidity</w:t>
            </w:r>
          </w:p>
        </w:tc>
        <w:tc>
          <w:tcPr>
            <w:tcW w:w="1243" w:type="dxa"/>
          </w:tcPr>
          <w:p w14:paraId="000001A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7947.549</w:t>
            </w:r>
          </w:p>
        </w:tc>
        <w:tc>
          <w:tcPr>
            <w:tcW w:w="1080" w:type="dxa"/>
          </w:tcPr>
          <w:p w14:paraId="000001A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2612.363</w:t>
            </w:r>
          </w:p>
        </w:tc>
        <w:tc>
          <w:tcPr>
            <w:tcW w:w="1080" w:type="dxa"/>
          </w:tcPr>
          <w:p w14:paraId="000001A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3.042</w:t>
            </w:r>
          </w:p>
        </w:tc>
        <w:tc>
          <w:tcPr>
            <w:tcW w:w="900" w:type="dxa"/>
          </w:tcPr>
          <w:p w14:paraId="000001B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19DB049E"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B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AOD: humidity</w:t>
            </w:r>
          </w:p>
        </w:tc>
        <w:tc>
          <w:tcPr>
            <w:tcW w:w="1243" w:type="dxa"/>
          </w:tcPr>
          <w:p w14:paraId="000001B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-0.2122</w:t>
            </w:r>
          </w:p>
        </w:tc>
        <w:tc>
          <w:tcPr>
            <w:tcW w:w="1080" w:type="dxa"/>
          </w:tcPr>
          <w:p w14:paraId="000001B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0.068</w:t>
            </w:r>
          </w:p>
        </w:tc>
        <w:tc>
          <w:tcPr>
            <w:tcW w:w="1080" w:type="dxa"/>
          </w:tcPr>
          <w:p w14:paraId="000001B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-3.112</w:t>
            </w:r>
          </w:p>
        </w:tc>
        <w:tc>
          <w:tcPr>
            <w:tcW w:w="900" w:type="dxa"/>
          </w:tcPr>
          <w:p w14:paraId="000001B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0.002</w:t>
            </w:r>
          </w:p>
        </w:tc>
      </w:tr>
      <w:tr w:rsidR="007F0CF5" w14:paraId="024CEE81"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B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Dist. to natural gas</w:t>
            </w:r>
          </w:p>
        </w:tc>
        <w:tc>
          <w:tcPr>
            <w:tcW w:w="1243" w:type="dxa"/>
          </w:tcPr>
          <w:p w14:paraId="000001B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1.54E-06</w:t>
            </w:r>
          </w:p>
        </w:tc>
        <w:tc>
          <w:tcPr>
            <w:tcW w:w="1080" w:type="dxa"/>
          </w:tcPr>
          <w:p w14:paraId="000001B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6.87E-07</w:t>
            </w:r>
          </w:p>
        </w:tc>
        <w:tc>
          <w:tcPr>
            <w:tcW w:w="1080" w:type="dxa"/>
          </w:tcPr>
          <w:p w14:paraId="000001B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2.248</w:t>
            </w:r>
          </w:p>
        </w:tc>
        <w:tc>
          <w:tcPr>
            <w:tcW w:w="900" w:type="dxa"/>
          </w:tcPr>
          <w:p w14:paraId="000001B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0.025</w:t>
            </w:r>
          </w:p>
        </w:tc>
      </w:tr>
      <w:tr w:rsidR="007F0CF5" w14:paraId="5C667AD1" w14:textId="77777777" w:rsidTr="007F0CF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BB"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Dist. to petroleum</w:t>
            </w:r>
          </w:p>
        </w:tc>
        <w:tc>
          <w:tcPr>
            <w:tcW w:w="1243" w:type="dxa"/>
          </w:tcPr>
          <w:p w14:paraId="000001B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-2.95E-06</w:t>
            </w:r>
          </w:p>
        </w:tc>
        <w:tc>
          <w:tcPr>
            <w:tcW w:w="1080" w:type="dxa"/>
          </w:tcPr>
          <w:p w14:paraId="000001B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6.17E-07</w:t>
            </w:r>
          </w:p>
        </w:tc>
        <w:tc>
          <w:tcPr>
            <w:tcW w:w="1080" w:type="dxa"/>
          </w:tcPr>
          <w:p w14:paraId="000001B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-4.774</w:t>
            </w:r>
          </w:p>
        </w:tc>
        <w:tc>
          <w:tcPr>
            <w:tcW w:w="900" w:type="dxa"/>
          </w:tcPr>
          <w:p w14:paraId="000001B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w:t>
            </w:r>
          </w:p>
        </w:tc>
      </w:tr>
      <w:tr w:rsidR="007F0CF5" w14:paraId="6282875B" w14:textId="77777777" w:rsidTr="007F0CF5">
        <w:trPr>
          <w:trHeight w:val="361"/>
        </w:trPr>
        <w:tc>
          <w:tcPr>
            <w:cnfStyle w:val="001000000000" w:firstRow="0" w:lastRow="0" w:firstColumn="1" w:lastColumn="0" w:oddVBand="0" w:evenVBand="0" w:oddHBand="0" w:evenHBand="0" w:firstRowFirstColumn="0" w:firstRowLastColumn="0" w:lastRowFirstColumn="0" w:lastRowLastColumn="0"/>
            <w:tcW w:w="1727" w:type="dxa"/>
          </w:tcPr>
          <w:p w14:paraId="000001C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Power in 15km Radius</w:t>
            </w:r>
          </w:p>
        </w:tc>
        <w:tc>
          <w:tcPr>
            <w:tcW w:w="1243" w:type="dxa"/>
          </w:tcPr>
          <w:p w14:paraId="000001C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0.0819</w:t>
            </w:r>
          </w:p>
        </w:tc>
        <w:tc>
          <w:tcPr>
            <w:tcW w:w="1080" w:type="dxa"/>
          </w:tcPr>
          <w:p w14:paraId="000001C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0.027</w:t>
            </w:r>
          </w:p>
        </w:tc>
        <w:tc>
          <w:tcPr>
            <w:tcW w:w="1080" w:type="dxa"/>
          </w:tcPr>
          <w:p w14:paraId="000001C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3.002</w:t>
            </w:r>
          </w:p>
        </w:tc>
        <w:tc>
          <w:tcPr>
            <w:tcW w:w="900" w:type="dxa"/>
          </w:tcPr>
          <w:p w14:paraId="000001C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Pr>
                <w:rFonts w:ascii="Garamond" w:eastAsia="Garamond" w:hAnsi="Garamond" w:cs="Garamond"/>
                <w:color w:val="000000"/>
              </w:rPr>
              <w:t>0.003</w:t>
            </w:r>
          </w:p>
        </w:tc>
      </w:tr>
    </w:tbl>
    <w:p w14:paraId="000001C5" w14:textId="77777777" w:rsidR="007F0CF5" w:rsidRDefault="007F0CF5">
      <w:pPr>
        <w:spacing w:after="0" w:line="240" w:lineRule="auto"/>
        <w:rPr>
          <w:rFonts w:ascii="Garamond" w:eastAsia="Garamond" w:hAnsi="Garamond" w:cs="Garamond"/>
        </w:rPr>
      </w:pPr>
    </w:p>
    <w:p w14:paraId="000001C6" w14:textId="77777777" w:rsidR="007F0CF5" w:rsidRDefault="00652E1B">
      <w:pPr>
        <w:spacing w:after="0" w:line="240" w:lineRule="auto"/>
        <w:rPr>
          <w:rFonts w:ascii="Garamond" w:eastAsia="Garamond" w:hAnsi="Garamond" w:cs="Garamond"/>
        </w:rPr>
      </w:pPr>
      <w:r>
        <w:rPr>
          <w:rFonts w:ascii="Garamond" w:eastAsia="Garamond" w:hAnsi="Garamond" w:cs="Garamond"/>
        </w:rPr>
        <w:t>Table C4</w:t>
      </w:r>
    </w:p>
    <w:p w14:paraId="000001C7" w14:textId="77777777" w:rsidR="007F0CF5" w:rsidRDefault="00652E1B">
      <w:pPr>
        <w:spacing w:after="0" w:line="240" w:lineRule="auto"/>
        <w:rPr>
          <w:rFonts w:ascii="Garamond" w:eastAsia="Garamond" w:hAnsi="Garamond" w:cs="Garamond"/>
          <w:i/>
        </w:rPr>
      </w:pPr>
      <w:r>
        <w:rPr>
          <w:rFonts w:ascii="Garamond" w:eastAsia="Garamond" w:hAnsi="Garamond" w:cs="Garamond"/>
          <w:i/>
        </w:rPr>
        <w:t>Study area robust regression model full output</w:t>
      </w:r>
    </w:p>
    <w:tbl>
      <w:tblPr>
        <w:tblStyle w:val="aff6"/>
        <w:tblW w:w="6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3"/>
        <w:gridCol w:w="1053"/>
        <w:gridCol w:w="1053"/>
        <w:gridCol w:w="960"/>
        <w:gridCol w:w="960"/>
      </w:tblGrid>
      <w:tr w:rsidR="007F0CF5" w14:paraId="448FA053" w14:textId="77777777" w:rsidTr="007F0CF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993" w:type="dxa"/>
          </w:tcPr>
          <w:p w14:paraId="000001C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variable name</w:t>
            </w:r>
          </w:p>
        </w:tc>
        <w:tc>
          <w:tcPr>
            <w:tcW w:w="1053" w:type="dxa"/>
          </w:tcPr>
          <w:p w14:paraId="000001C9"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proofErr w:type="spellStart"/>
            <w:r>
              <w:rPr>
                <w:rFonts w:ascii="Garamond" w:eastAsia="Garamond" w:hAnsi="Garamond" w:cs="Garamond"/>
                <w:color w:val="000000"/>
                <w:sz w:val="22"/>
                <w:szCs w:val="22"/>
              </w:rPr>
              <w:t>coef</w:t>
            </w:r>
            <w:proofErr w:type="spellEnd"/>
          </w:p>
        </w:tc>
        <w:tc>
          <w:tcPr>
            <w:tcW w:w="1053" w:type="dxa"/>
          </w:tcPr>
          <w:p w14:paraId="000001CA"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std err</w:t>
            </w:r>
          </w:p>
        </w:tc>
        <w:tc>
          <w:tcPr>
            <w:tcW w:w="960" w:type="dxa"/>
          </w:tcPr>
          <w:p w14:paraId="000001CB"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z</w:t>
            </w:r>
          </w:p>
        </w:tc>
        <w:tc>
          <w:tcPr>
            <w:tcW w:w="960" w:type="dxa"/>
          </w:tcPr>
          <w:p w14:paraId="000001CC"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P&gt;|z|</w:t>
            </w:r>
          </w:p>
        </w:tc>
      </w:tr>
      <w:tr w:rsidR="007F0CF5" w14:paraId="55066A11"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C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Intercept</w:t>
            </w:r>
          </w:p>
        </w:tc>
        <w:tc>
          <w:tcPr>
            <w:tcW w:w="1053" w:type="dxa"/>
          </w:tcPr>
          <w:p w14:paraId="000001C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-19680</w:t>
            </w:r>
          </w:p>
        </w:tc>
        <w:tc>
          <w:tcPr>
            <w:tcW w:w="1053" w:type="dxa"/>
          </w:tcPr>
          <w:p w14:paraId="000001C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13100</w:t>
            </w:r>
          </w:p>
        </w:tc>
        <w:tc>
          <w:tcPr>
            <w:tcW w:w="960" w:type="dxa"/>
          </w:tcPr>
          <w:p w14:paraId="000001D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-1.504</w:t>
            </w:r>
          </w:p>
        </w:tc>
        <w:tc>
          <w:tcPr>
            <w:tcW w:w="960" w:type="dxa"/>
          </w:tcPr>
          <w:p w14:paraId="000001D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0.133</w:t>
            </w:r>
          </w:p>
        </w:tc>
      </w:tr>
      <w:tr w:rsidR="007F0CF5" w14:paraId="721FE6D0"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D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Latitude</w:t>
            </w:r>
          </w:p>
        </w:tc>
        <w:tc>
          <w:tcPr>
            <w:tcW w:w="1053" w:type="dxa"/>
          </w:tcPr>
          <w:p w14:paraId="000001D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w:t>
            </w:r>
          </w:p>
        </w:tc>
        <w:tc>
          <w:tcPr>
            <w:tcW w:w="1053" w:type="dxa"/>
          </w:tcPr>
          <w:p w14:paraId="000001D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0.016</w:t>
            </w:r>
          </w:p>
        </w:tc>
        <w:tc>
          <w:tcPr>
            <w:tcW w:w="960" w:type="dxa"/>
          </w:tcPr>
          <w:p w14:paraId="000001D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5.734</w:t>
            </w:r>
          </w:p>
        </w:tc>
        <w:tc>
          <w:tcPr>
            <w:tcW w:w="960" w:type="dxa"/>
          </w:tcPr>
          <w:p w14:paraId="000001D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4CE6B532"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D7"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Longitude</w:t>
            </w:r>
          </w:p>
        </w:tc>
        <w:tc>
          <w:tcPr>
            <w:tcW w:w="1053" w:type="dxa"/>
          </w:tcPr>
          <w:p w14:paraId="000001D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-0.0185</w:t>
            </w:r>
          </w:p>
        </w:tc>
        <w:tc>
          <w:tcPr>
            <w:tcW w:w="1053" w:type="dxa"/>
          </w:tcPr>
          <w:p w14:paraId="000001D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0.018</w:t>
            </w:r>
          </w:p>
        </w:tc>
        <w:tc>
          <w:tcPr>
            <w:tcW w:w="960" w:type="dxa"/>
          </w:tcPr>
          <w:p w14:paraId="000001D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-1.002</w:t>
            </w:r>
          </w:p>
        </w:tc>
        <w:tc>
          <w:tcPr>
            <w:tcW w:w="960" w:type="dxa"/>
          </w:tcPr>
          <w:p w14:paraId="000001D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0.316</w:t>
            </w:r>
          </w:p>
        </w:tc>
      </w:tr>
      <w:tr w:rsidR="007F0CF5" w14:paraId="49C20DEA"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DC"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date</w:t>
            </w:r>
          </w:p>
        </w:tc>
        <w:tc>
          <w:tcPr>
            <w:tcW w:w="1053" w:type="dxa"/>
          </w:tcPr>
          <w:p w14:paraId="000001D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1053" w:type="dxa"/>
          </w:tcPr>
          <w:p w14:paraId="000001D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1D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1.503</w:t>
            </w:r>
          </w:p>
        </w:tc>
        <w:tc>
          <w:tcPr>
            <w:tcW w:w="960" w:type="dxa"/>
          </w:tcPr>
          <w:p w14:paraId="000001E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0.133</w:t>
            </w:r>
          </w:p>
        </w:tc>
      </w:tr>
      <w:tr w:rsidR="007F0CF5" w14:paraId="349CA02D"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E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AOD</w:t>
            </w:r>
          </w:p>
        </w:tc>
        <w:tc>
          <w:tcPr>
            <w:tcW w:w="1053" w:type="dxa"/>
          </w:tcPr>
          <w:p w14:paraId="000001E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2.00E-04</w:t>
            </w:r>
          </w:p>
        </w:tc>
        <w:tc>
          <w:tcPr>
            <w:tcW w:w="1053" w:type="dxa"/>
          </w:tcPr>
          <w:p w14:paraId="000001E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c>
          <w:tcPr>
            <w:tcW w:w="960" w:type="dxa"/>
          </w:tcPr>
          <w:p w14:paraId="000001E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0.825</w:t>
            </w:r>
          </w:p>
        </w:tc>
        <w:tc>
          <w:tcPr>
            <w:tcW w:w="960" w:type="dxa"/>
          </w:tcPr>
          <w:p w14:paraId="000001E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0.41</w:t>
            </w:r>
          </w:p>
        </w:tc>
      </w:tr>
      <w:tr w:rsidR="007F0CF5" w14:paraId="77B9B3D6"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E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CO</w:t>
            </w:r>
          </w:p>
        </w:tc>
        <w:tc>
          <w:tcPr>
            <w:tcW w:w="1053" w:type="dxa"/>
          </w:tcPr>
          <w:p w14:paraId="000001E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-4.8465</w:t>
            </w:r>
          </w:p>
        </w:tc>
        <w:tc>
          <w:tcPr>
            <w:tcW w:w="1053" w:type="dxa"/>
          </w:tcPr>
          <w:p w14:paraId="000001E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8.974</w:t>
            </w:r>
          </w:p>
        </w:tc>
        <w:tc>
          <w:tcPr>
            <w:tcW w:w="960" w:type="dxa"/>
          </w:tcPr>
          <w:p w14:paraId="000001E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-0.54</w:t>
            </w:r>
          </w:p>
        </w:tc>
        <w:tc>
          <w:tcPr>
            <w:tcW w:w="960" w:type="dxa"/>
          </w:tcPr>
          <w:p w14:paraId="000001E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0.589</w:t>
            </w:r>
          </w:p>
        </w:tc>
      </w:tr>
      <w:tr w:rsidR="007F0CF5" w14:paraId="2A35229D"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EB"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Fire event</w:t>
            </w:r>
          </w:p>
        </w:tc>
        <w:tc>
          <w:tcPr>
            <w:tcW w:w="1053" w:type="dxa"/>
          </w:tcPr>
          <w:p w14:paraId="000001E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-3.8098</w:t>
            </w:r>
          </w:p>
        </w:tc>
        <w:tc>
          <w:tcPr>
            <w:tcW w:w="1053" w:type="dxa"/>
          </w:tcPr>
          <w:p w14:paraId="000001E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6.56</w:t>
            </w:r>
          </w:p>
        </w:tc>
        <w:tc>
          <w:tcPr>
            <w:tcW w:w="960" w:type="dxa"/>
          </w:tcPr>
          <w:p w14:paraId="000001E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-0.581</w:t>
            </w:r>
          </w:p>
        </w:tc>
        <w:tc>
          <w:tcPr>
            <w:tcW w:w="960" w:type="dxa"/>
          </w:tcPr>
          <w:p w14:paraId="000001E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0.561</w:t>
            </w:r>
          </w:p>
        </w:tc>
      </w:tr>
      <w:tr w:rsidR="007F0CF5" w14:paraId="537D9CE7"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Fire intensity</w:t>
            </w:r>
          </w:p>
        </w:tc>
        <w:tc>
          <w:tcPr>
            <w:tcW w:w="1053" w:type="dxa"/>
          </w:tcPr>
          <w:p w14:paraId="000001F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0.0745</w:t>
            </w:r>
          </w:p>
        </w:tc>
        <w:tc>
          <w:tcPr>
            <w:tcW w:w="1053" w:type="dxa"/>
          </w:tcPr>
          <w:p w14:paraId="000001F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0.085</w:t>
            </w:r>
          </w:p>
        </w:tc>
        <w:tc>
          <w:tcPr>
            <w:tcW w:w="960" w:type="dxa"/>
          </w:tcPr>
          <w:p w14:paraId="000001F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0.878</w:t>
            </w:r>
          </w:p>
        </w:tc>
        <w:tc>
          <w:tcPr>
            <w:tcW w:w="960" w:type="dxa"/>
          </w:tcPr>
          <w:p w14:paraId="000001F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0.38</w:t>
            </w:r>
          </w:p>
        </w:tc>
      </w:tr>
      <w:tr w:rsidR="007F0CF5" w14:paraId="14F928C8"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5"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NO</w:t>
            </w:r>
            <w:r>
              <w:rPr>
                <w:rFonts w:ascii="Garamond" w:eastAsia="Garamond" w:hAnsi="Garamond" w:cs="Garamond"/>
                <w:color w:val="000000"/>
                <w:sz w:val="22"/>
                <w:szCs w:val="22"/>
                <w:vertAlign w:val="subscript"/>
              </w:rPr>
              <w:t>2</w:t>
            </w:r>
          </w:p>
        </w:tc>
        <w:tc>
          <w:tcPr>
            <w:tcW w:w="1053" w:type="dxa"/>
          </w:tcPr>
          <w:p w14:paraId="000001F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-244700</w:t>
            </w:r>
          </w:p>
        </w:tc>
        <w:tc>
          <w:tcPr>
            <w:tcW w:w="1053" w:type="dxa"/>
          </w:tcPr>
          <w:p w14:paraId="000001F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185000</w:t>
            </w:r>
          </w:p>
        </w:tc>
        <w:tc>
          <w:tcPr>
            <w:tcW w:w="960" w:type="dxa"/>
          </w:tcPr>
          <w:p w14:paraId="000001F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-1.326</w:t>
            </w:r>
          </w:p>
        </w:tc>
        <w:tc>
          <w:tcPr>
            <w:tcW w:w="960" w:type="dxa"/>
          </w:tcPr>
          <w:p w14:paraId="000001F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0.185</w:t>
            </w:r>
          </w:p>
        </w:tc>
      </w:tr>
      <w:tr w:rsidR="007F0CF5" w14:paraId="359E327C"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A"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O</w:t>
            </w:r>
            <w:r>
              <w:rPr>
                <w:rFonts w:ascii="Garamond" w:eastAsia="Garamond" w:hAnsi="Garamond" w:cs="Garamond"/>
                <w:color w:val="000000"/>
                <w:sz w:val="22"/>
                <w:szCs w:val="22"/>
                <w:vertAlign w:val="subscript"/>
              </w:rPr>
              <w:t>3</w:t>
            </w:r>
          </w:p>
        </w:tc>
        <w:tc>
          <w:tcPr>
            <w:tcW w:w="1053" w:type="dxa"/>
          </w:tcPr>
          <w:p w14:paraId="000001F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-79.5164</w:t>
            </w:r>
          </w:p>
        </w:tc>
        <w:tc>
          <w:tcPr>
            <w:tcW w:w="1053" w:type="dxa"/>
          </w:tcPr>
          <w:p w14:paraId="000001F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39.55</w:t>
            </w:r>
          </w:p>
        </w:tc>
        <w:tc>
          <w:tcPr>
            <w:tcW w:w="960" w:type="dxa"/>
          </w:tcPr>
          <w:p w14:paraId="000001F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-2.011</w:t>
            </w:r>
          </w:p>
        </w:tc>
        <w:tc>
          <w:tcPr>
            <w:tcW w:w="960" w:type="dxa"/>
          </w:tcPr>
          <w:p w14:paraId="000001F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0.044</w:t>
            </w:r>
          </w:p>
        </w:tc>
      </w:tr>
      <w:tr w:rsidR="007F0CF5" w14:paraId="110390D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1FF"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lastRenderedPageBreak/>
              <w:t>Air temperature</w:t>
            </w:r>
          </w:p>
        </w:tc>
        <w:tc>
          <w:tcPr>
            <w:tcW w:w="1053" w:type="dxa"/>
          </w:tcPr>
          <w:p w14:paraId="0000020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-0.3059</w:t>
            </w:r>
          </w:p>
        </w:tc>
        <w:tc>
          <w:tcPr>
            <w:tcW w:w="1053" w:type="dxa"/>
          </w:tcPr>
          <w:p w14:paraId="0000020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0.036</w:t>
            </w:r>
          </w:p>
        </w:tc>
        <w:tc>
          <w:tcPr>
            <w:tcW w:w="960" w:type="dxa"/>
          </w:tcPr>
          <w:p w14:paraId="0000020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-8.61</w:t>
            </w:r>
          </w:p>
        </w:tc>
        <w:tc>
          <w:tcPr>
            <w:tcW w:w="960" w:type="dxa"/>
          </w:tcPr>
          <w:p w14:paraId="0000020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50D97BF9"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04"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Ground temperature</w:t>
            </w:r>
          </w:p>
        </w:tc>
        <w:tc>
          <w:tcPr>
            <w:tcW w:w="1053" w:type="dxa"/>
          </w:tcPr>
          <w:p w14:paraId="0000020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0.3353</w:t>
            </w:r>
          </w:p>
        </w:tc>
        <w:tc>
          <w:tcPr>
            <w:tcW w:w="1053" w:type="dxa"/>
          </w:tcPr>
          <w:p w14:paraId="0000020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0.034</w:t>
            </w:r>
          </w:p>
        </w:tc>
        <w:tc>
          <w:tcPr>
            <w:tcW w:w="960" w:type="dxa"/>
          </w:tcPr>
          <w:p w14:paraId="0000020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9.748</w:t>
            </w:r>
          </w:p>
        </w:tc>
        <w:tc>
          <w:tcPr>
            <w:tcW w:w="960" w:type="dxa"/>
          </w:tcPr>
          <w:p w14:paraId="0000020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4275EBCE"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09"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pressure</w:t>
            </w:r>
          </w:p>
        </w:tc>
        <w:tc>
          <w:tcPr>
            <w:tcW w:w="1053" w:type="dxa"/>
          </w:tcPr>
          <w:p w14:paraId="0000020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6.54E-05</w:t>
            </w:r>
          </w:p>
        </w:tc>
        <w:tc>
          <w:tcPr>
            <w:tcW w:w="1053" w:type="dxa"/>
          </w:tcPr>
          <w:p w14:paraId="0000020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2.03E-05</w:t>
            </w:r>
          </w:p>
        </w:tc>
        <w:tc>
          <w:tcPr>
            <w:tcW w:w="960" w:type="dxa"/>
          </w:tcPr>
          <w:p w14:paraId="0000020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3.223</w:t>
            </w:r>
          </w:p>
        </w:tc>
        <w:tc>
          <w:tcPr>
            <w:tcW w:w="960" w:type="dxa"/>
          </w:tcPr>
          <w:p w14:paraId="0000020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r>
      <w:tr w:rsidR="007F0CF5" w14:paraId="40E40A57"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0E"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humidity</w:t>
            </w:r>
          </w:p>
        </w:tc>
        <w:tc>
          <w:tcPr>
            <w:tcW w:w="1053" w:type="dxa"/>
          </w:tcPr>
          <w:p w14:paraId="0000020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-1669.15</w:t>
            </w:r>
          </w:p>
        </w:tc>
        <w:tc>
          <w:tcPr>
            <w:tcW w:w="1053" w:type="dxa"/>
          </w:tcPr>
          <w:p w14:paraId="0000021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261.486</w:t>
            </w:r>
          </w:p>
        </w:tc>
        <w:tc>
          <w:tcPr>
            <w:tcW w:w="960" w:type="dxa"/>
          </w:tcPr>
          <w:p w14:paraId="0000021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-6.383</w:t>
            </w:r>
          </w:p>
        </w:tc>
        <w:tc>
          <w:tcPr>
            <w:tcW w:w="960" w:type="dxa"/>
          </w:tcPr>
          <w:p w14:paraId="0000021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076D708B"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1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precipitation</w:t>
            </w:r>
          </w:p>
        </w:tc>
        <w:tc>
          <w:tcPr>
            <w:tcW w:w="1053" w:type="dxa"/>
          </w:tcPr>
          <w:p w14:paraId="0000021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7285.493</w:t>
            </w:r>
          </w:p>
        </w:tc>
        <w:tc>
          <w:tcPr>
            <w:tcW w:w="1053" w:type="dxa"/>
          </w:tcPr>
          <w:p w14:paraId="0000021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1255.771</w:t>
            </w:r>
          </w:p>
        </w:tc>
        <w:tc>
          <w:tcPr>
            <w:tcW w:w="960" w:type="dxa"/>
          </w:tcPr>
          <w:p w14:paraId="0000021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5.802</w:t>
            </w:r>
          </w:p>
        </w:tc>
        <w:tc>
          <w:tcPr>
            <w:tcW w:w="960" w:type="dxa"/>
          </w:tcPr>
          <w:p w14:paraId="0000021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0C833C2C"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1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windspeed</w:t>
            </w:r>
          </w:p>
        </w:tc>
        <w:tc>
          <w:tcPr>
            <w:tcW w:w="1053" w:type="dxa"/>
          </w:tcPr>
          <w:p w14:paraId="0000021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0.0251</w:t>
            </w:r>
          </w:p>
        </w:tc>
        <w:tc>
          <w:tcPr>
            <w:tcW w:w="1053" w:type="dxa"/>
          </w:tcPr>
          <w:p w14:paraId="0000021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0.032</w:t>
            </w:r>
          </w:p>
        </w:tc>
        <w:tc>
          <w:tcPr>
            <w:tcW w:w="960" w:type="dxa"/>
          </w:tcPr>
          <w:p w14:paraId="0000021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0.785</w:t>
            </w:r>
          </w:p>
        </w:tc>
        <w:tc>
          <w:tcPr>
            <w:tcW w:w="960" w:type="dxa"/>
          </w:tcPr>
          <w:p w14:paraId="0000021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0.433</w:t>
            </w:r>
          </w:p>
        </w:tc>
      </w:tr>
      <w:tr w:rsidR="007F0CF5" w14:paraId="21A815E4"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1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mean elevation</w:t>
            </w:r>
          </w:p>
        </w:tc>
        <w:tc>
          <w:tcPr>
            <w:tcW w:w="1053" w:type="dxa"/>
          </w:tcPr>
          <w:p w14:paraId="0000021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5.00E-04</w:t>
            </w:r>
          </w:p>
        </w:tc>
        <w:tc>
          <w:tcPr>
            <w:tcW w:w="1053" w:type="dxa"/>
          </w:tcPr>
          <w:p w14:paraId="0000021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c>
          <w:tcPr>
            <w:tcW w:w="960" w:type="dxa"/>
          </w:tcPr>
          <w:p w14:paraId="0000022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3.493</w:t>
            </w:r>
          </w:p>
        </w:tc>
        <w:tc>
          <w:tcPr>
            <w:tcW w:w="960" w:type="dxa"/>
          </w:tcPr>
          <w:p w14:paraId="0000022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485C7E41"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2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Land cover</w:t>
            </w:r>
          </w:p>
        </w:tc>
        <w:tc>
          <w:tcPr>
            <w:tcW w:w="1053" w:type="dxa"/>
          </w:tcPr>
          <w:p w14:paraId="0000022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7.00E-04</w:t>
            </w:r>
          </w:p>
        </w:tc>
        <w:tc>
          <w:tcPr>
            <w:tcW w:w="1053" w:type="dxa"/>
          </w:tcPr>
          <w:p w14:paraId="0000022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2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0.446</w:t>
            </w:r>
          </w:p>
        </w:tc>
        <w:tc>
          <w:tcPr>
            <w:tcW w:w="960" w:type="dxa"/>
          </w:tcPr>
          <w:p w14:paraId="0000022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0.655</w:t>
            </w:r>
          </w:p>
        </w:tc>
      </w:tr>
      <w:tr w:rsidR="007F0CF5" w14:paraId="1F6466D2"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27"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weekend</w:t>
            </w:r>
          </w:p>
        </w:tc>
        <w:tc>
          <w:tcPr>
            <w:tcW w:w="1053" w:type="dxa"/>
          </w:tcPr>
          <w:p w14:paraId="0000022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-0.3466</w:t>
            </w:r>
          </w:p>
        </w:tc>
        <w:tc>
          <w:tcPr>
            <w:tcW w:w="1053" w:type="dxa"/>
          </w:tcPr>
          <w:p w14:paraId="0000022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0.073</w:t>
            </w:r>
          </w:p>
        </w:tc>
        <w:tc>
          <w:tcPr>
            <w:tcW w:w="960" w:type="dxa"/>
          </w:tcPr>
          <w:p w14:paraId="0000022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-4.741</w:t>
            </w:r>
          </w:p>
        </w:tc>
        <w:tc>
          <w:tcPr>
            <w:tcW w:w="960" w:type="dxa"/>
          </w:tcPr>
          <w:p w14:paraId="0000022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69C94CA5"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2C"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Fire event: humidity</w:t>
            </w:r>
          </w:p>
        </w:tc>
        <w:tc>
          <w:tcPr>
            <w:tcW w:w="1053" w:type="dxa"/>
          </w:tcPr>
          <w:p w14:paraId="0000022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69.0523</w:t>
            </w:r>
          </w:p>
        </w:tc>
        <w:tc>
          <w:tcPr>
            <w:tcW w:w="1053" w:type="dxa"/>
          </w:tcPr>
          <w:p w14:paraId="0000022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106.36</w:t>
            </w:r>
          </w:p>
        </w:tc>
        <w:tc>
          <w:tcPr>
            <w:tcW w:w="960" w:type="dxa"/>
          </w:tcPr>
          <w:p w14:paraId="0000022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0.649</w:t>
            </w:r>
          </w:p>
        </w:tc>
        <w:tc>
          <w:tcPr>
            <w:tcW w:w="960" w:type="dxa"/>
          </w:tcPr>
          <w:p w14:paraId="0000023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0.516</w:t>
            </w:r>
          </w:p>
        </w:tc>
      </w:tr>
      <w:tr w:rsidR="007F0CF5" w14:paraId="6A8E4548"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3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 xml:space="preserve">Latitude: </w:t>
            </w:r>
            <w:proofErr w:type="spellStart"/>
            <w:r>
              <w:rPr>
                <w:rFonts w:ascii="Garamond" w:eastAsia="Garamond" w:hAnsi="Garamond" w:cs="Garamond"/>
                <w:color w:val="000000"/>
                <w:sz w:val="22"/>
                <w:szCs w:val="22"/>
              </w:rPr>
              <w:t>fire_event</w:t>
            </w:r>
            <w:proofErr w:type="spellEnd"/>
          </w:p>
        </w:tc>
        <w:tc>
          <w:tcPr>
            <w:tcW w:w="1053" w:type="dxa"/>
          </w:tcPr>
          <w:p w14:paraId="0000023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0.0849</w:t>
            </w:r>
          </w:p>
        </w:tc>
        <w:tc>
          <w:tcPr>
            <w:tcW w:w="1053" w:type="dxa"/>
          </w:tcPr>
          <w:p w14:paraId="0000023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0.156</w:t>
            </w:r>
          </w:p>
        </w:tc>
        <w:tc>
          <w:tcPr>
            <w:tcW w:w="960" w:type="dxa"/>
          </w:tcPr>
          <w:p w14:paraId="0000023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0.544</w:t>
            </w:r>
          </w:p>
        </w:tc>
        <w:tc>
          <w:tcPr>
            <w:tcW w:w="960" w:type="dxa"/>
          </w:tcPr>
          <w:p w14:paraId="0000023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0.586</w:t>
            </w:r>
          </w:p>
        </w:tc>
      </w:tr>
      <w:tr w:rsidR="007F0CF5" w14:paraId="6F04D836"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3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 NO</w:t>
            </w:r>
            <w:r>
              <w:rPr>
                <w:rFonts w:ascii="Garamond" w:eastAsia="Garamond" w:hAnsi="Garamond" w:cs="Garamond"/>
                <w:color w:val="000000"/>
                <w:sz w:val="22"/>
                <w:szCs w:val="22"/>
                <w:vertAlign w:val="subscript"/>
              </w:rPr>
              <w:t>2</w:t>
            </w:r>
            <w:r>
              <w:rPr>
                <w:rFonts w:ascii="Garamond" w:eastAsia="Garamond" w:hAnsi="Garamond" w:cs="Garamond"/>
                <w:color w:val="000000"/>
                <w:sz w:val="22"/>
                <w:szCs w:val="22"/>
              </w:rPr>
              <w:t>: Avg O3</w:t>
            </w:r>
          </w:p>
        </w:tc>
        <w:tc>
          <w:tcPr>
            <w:tcW w:w="1053" w:type="dxa"/>
          </w:tcPr>
          <w:p w14:paraId="0000023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1853000</w:t>
            </w:r>
          </w:p>
        </w:tc>
        <w:tc>
          <w:tcPr>
            <w:tcW w:w="1053" w:type="dxa"/>
          </w:tcPr>
          <w:p w14:paraId="0000023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1350000</w:t>
            </w:r>
          </w:p>
        </w:tc>
        <w:tc>
          <w:tcPr>
            <w:tcW w:w="960" w:type="dxa"/>
          </w:tcPr>
          <w:p w14:paraId="0000023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1.369</w:t>
            </w:r>
          </w:p>
        </w:tc>
        <w:tc>
          <w:tcPr>
            <w:tcW w:w="960" w:type="dxa"/>
          </w:tcPr>
          <w:p w14:paraId="0000023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0.171</w:t>
            </w:r>
          </w:p>
        </w:tc>
      </w:tr>
      <w:tr w:rsidR="007F0CF5" w14:paraId="27E76F87"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3" w:type="dxa"/>
          </w:tcPr>
          <w:p w14:paraId="0000023B"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AvgO</w:t>
            </w:r>
            <w:r>
              <w:rPr>
                <w:rFonts w:ascii="Garamond" w:eastAsia="Garamond" w:hAnsi="Garamond" w:cs="Garamond"/>
                <w:color w:val="000000"/>
                <w:sz w:val="22"/>
                <w:szCs w:val="22"/>
                <w:vertAlign w:val="subscript"/>
              </w:rPr>
              <w:t>3</w:t>
            </w:r>
            <w:r>
              <w:rPr>
                <w:rFonts w:ascii="Garamond" w:eastAsia="Garamond" w:hAnsi="Garamond" w:cs="Garamond"/>
                <w:color w:val="000000"/>
                <w:sz w:val="22"/>
                <w:szCs w:val="22"/>
              </w:rPr>
              <w:t>: humidity</w:t>
            </w:r>
          </w:p>
        </w:tc>
        <w:tc>
          <w:tcPr>
            <w:tcW w:w="1053" w:type="dxa"/>
          </w:tcPr>
          <w:p w14:paraId="0000023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11510</w:t>
            </w:r>
          </w:p>
        </w:tc>
        <w:tc>
          <w:tcPr>
            <w:tcW w:w="1053" w:type="dxa"/>
          </w:tcPr>
          <w:p w14:paraId="0000023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1902.22</w:t>
            </w:r>
          </w:p>
        </w:tc>
        <w:tc>
          <w:tcPr>
            <w:tcW w:w="960" w:type="dxa"/>
          </w:tcPr>
          <w:p w14:paraId="0000023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6.049</w:t>
            </w:r>
          </w:p>
        </w:tc>
        <w:tc>
          <w:tcPr>
            <w:tcW w:w="960" w:type="dxa"/>
          </w:tcPr>
          <w:p w14:paraId="0000023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bl>
    <w:p w14:paraId="00000240" w14:textId="77777777" w:rsidR="007F0CF5" w:rsidRDefault="007F0CF5">
      <w:pPr>
        <w:pBdr>
          <w:top w:val="nil"/>
          <w:left w:val="nil"/>
          <w:bottom w:val="nil"/>
          <w:right w:val="nil"/>
          <w:between w:val="nil"/>
        </w:pBdr>
        <w:spacing w:line="240" w:lineRule="auto"/>
        <w:rPr>
          <w:rFonts w:ascii="Garamond" w:eastAsia="Garamond" w:hAnsi="Garamond" w:cs="Garamond"/>
          <w:color w:val="000000"/>
        </w:rPr>
      </w:pPr>
    </w:p>
    <w:p w14:paraId="00000241" w14:textId="77777777" w:rsidR="007F0CF5" w:rsidRDefault="00652E1B">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Table C5</w:t>
      </w:r>
    </w:p>
    <w:p w14:paraId="00000242" w14:textId="77777777" w:rsidR="007F0CF5" w:rsidRDefault="00652E1B">
      <w:pPr>
        <w:pBdr>
          <w:top w:val="nil"/>
          <w:left w:val="nil"/>
          <w:bottom w:val="nil"/>
          <w:right w:val="nil"/>
          <w:between w:val="nil"/>
        </w:pBdr>
        <w:spacing w:line="240" w:lineRule="auto"/>
        <w:rPr>
          <w:rFonts w:ascii="Garamond" w:eastAsia="Garamond" w:hAnsi="Garamond" w:cs="Garamond"/>
          <w:i/>
          <w:color w:val="000000"/>
        </w:rPr>
      </w:pPr>
      <w:proofErr w:type="spellStart"/>
      <w:r>
        <w:rPr>
          <w:rFonts w:ascii="Garamond" w:eastAsia="Garamond" w:hAnsi="Garamond" w:cs="Garamond"/>
          <w:i/>
          <w:color w:val="000000"/>
        </w:rPr>
        <w:t>Seiling</w:t>
      </w:r>
      <w:proofErr w:type="spellEnd"/>
      <w:r>
        <w:rPr>
          <w:rFonts w:ascii="Garamond" w:eastAsia="Garamond" w:hAnsi="Garamond" w:cs="Garamond"/>
          <w:i/>
          <w:color w:val="000000"/>
        </w:rPr>
        <w:t xml:space="preserve"> linear regression model full output</w:t>
      </w:r>
    </w:p>
    <w:tbl>
      <w:tblPr>
        <w:tblStyle w:val="aff7"/>
        <w:tblW w:w="6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053"/>
        <w:gridCol w:w="1053"/>
        <w:gridCol w:w="960"/>
        <w:gridCol w:w="960"/>
      </w:tblGrid>
      <w:tr w:rsidR="007F0CF5" w14:paraId="74AE54B3" w14:textId="77777777" w:rsidTr="007F0CF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000" w:type="dxa"/>
          </w:tcPr>
          <w:p w14:paraId="0000024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variable name</w:t>
            </w:r>
          </w:p>
        </w:tc>
        <w:tc>
          <w:tcPr>
            <w:tcW w:w="1053" w:type="dxa"/>
          </w:tcPr>
          <w:p w14:paraId="00000244"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proofErr w:type="spellStart"/>
            <w:r>
              <w:rPr>
                <w:rFonts w:ascii="Garamond" w:eastAsia="Garamond" w:hAnsi="Garamond" w:cs="Garamond"/>
                <w:color w:val="000000"/>
                <w:sz w:val="22"/>
                <w:szCs w:val="22"/>
              </w:rPr>
              <w:t>coef</w:t>
            </w:r>
            <w:proofErr w:type="spellEnd"/>
          </w:p>
        </w:tc>
        <w:tc>
          <w:tcPr>
            <w:tcW w:w="1053" w:type="dxa"/>
          </w:tcPr>
          <w:p w14:paraId="00000245"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std err</w:t>
            </w:r>
          </w:p>
        </w:tc>
        <w:tc>
          <w:tcPr>
            <w:tcW w:w="960" w:type="dxa"/>
          </w:tcPr>
          <w:p w14:paraId="00000246"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z</w:t>
            </w:r>
          </w:p>
        </w:tc>
        <w:tc>
          <w:tcPr>
            <w:tcW w:w="960" w:type="dxa"/>
          </w:tcPr>
          <w:p w14:paraId="00000247" w14:textId="77777777" w:rsidR="007F0CF5" w:rsidRDefault="00652E1B">
            <w:pPr>
              <w:jc w:val="right"/>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sz w:val="22"/>
                <w:szCs w:val="22"/>
              </w:rPr>
              <w:t>P&gt;|z|</w:t>
            </w:r>
          </w:p>
        </w:tc>
      </w:tr>
      <w:tr w:rsidR="007F0CF5" w14:paraId="5EF43BE1"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48"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Intercept</w:t>
            </w:r>
          </w:p>
        </w:tc>
        <w:tc>
          <w:tcPr>
            <w:tcW w:w="1053" w:type="dxa"/>
          </w:tcPr>
          <w:p w14:paraId="0000024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19.8553</w:t>
            </w:r>
          </w:p>
        </w:tc>
        <w:tc>
          <w:tcPr>
            <w:tcW w:w="1053" w:type="dxa"/>
          </w:tcPr>
          <w:p w14:paraId="0000024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11.625</w:t>
            </w:r>
          </w:p>
        </w:tc>
        <w:tc>
          <w:tcPr>
            <w:tcW w:w="960" w:type="dxa"/>
          </w:tcPr>
          <w:p w14:paraId="0000024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1.708</w:t>
            </w:r>
          </w:p>
        </w:tc>
        <w:tc>
          <w:tcPr>
            <w:tcW w:w="960" w:type="dxa"/>
          </w:tcPr>
          <w:p w14:paraId="0000024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0.091</w:t>
            </w:r>
          </w:p>
        </w:tc>
      </w:tr>
      <w:tr w:rsidR="007F0CF5" w14:paraId="5AAA1375"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4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date</w:t>
            </w:r>
          </w:p>
        </w:tc>
        <w:tc>
          <w:tcPr>
            <w:tcW w:w="1053" w:type="dxa"/>
          </w:tcPr>
          <w:p w14:paraId="0000024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-0.0013</w:t>
            </w:r>
          </w:p>
        </w:tc>
        <w:tc>
          <w:tcPr>
            <w:tcW w:w="1053" w:type="dxa"/>
          </w:tcPr>
          <w:p w14:paraId="0000024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5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-1.711</w:t>
            </w:r>
          </w:p>
        </w:tc>
        <w:tc>
          <w:tcPr>
            <w:tcW w:w="960" w:type="dxa"/>
          </w:tcPr>
          <w:p w14:paraId="0000025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w:t>
            </w:r>
          </w:p>
        </w:tc>
      </w:tr>
      <w:tr w:rsidR="007F0CF5" w14:paraId="49B95ED9"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52"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avgCO</w:t>
            </w:r>
            <w:proofErr w:type="spellEnd"/>
          </w:p>
        </w:tc>
        <w:tc>
          <w:tcPr>
            <w:tcW w:w="1053" w:type="dxa"/>
          </w:tcPr>
          <w:p w14:paraId="0000025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47.1696</w:t>
            </w:r>
          </w:p>
        </w:tc>
        <w:tc>
          <w:tcPr>
            <w:tcW w:w="1053" w:type="dxa"/>
          </w:tcPr>
          <w:p w14:paraId="0000025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23.66</w:t>
            </w:r>
          </w:p>
        </w:tc>
        <w:tc>
          <w:tcPr>
            <w:tcW w:w="960" w:type="dxa"/>
          </w:tcPr>
          <w:p w14:paraId="0000025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1.994</w:t>
            </w:r>
          </w:p>
        </w:tc>
        <w:tc>
          <w:tcPr>
            <w:tcW w:w="960" w:type="dxa"/>
          </w:tcPr>
          <w:p w14:paraId="0000025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0.049</w:t>
            </w:r>
          </w:p>
        </w:tc>
      </w:tr>
      <w:tr w:rsidR="007F0CF5" w14:paraId="67788186"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57"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fire_event</w:t>
            </w:r>
            <w:proofErr w:type="spellEnd"/>
          </w:p>
        </w:tc>
        <w:tc>
          <w:tcPr>
            <w:tcW w:w="1053" w:type="dxa"/>
          </w:tcPr>
          <w:p w14:paraId="0000025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6.00E-04</w:t>
            </w:r>
          </w:p>
        </w:tc>
        <w:tc>
          <w:tcPr>
            <w:tcW w:w="1053" w:type="dxa"/>
          </w:tcPr>
          <w:p w14:paraId="0000025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5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1.127</w:t>
            </w:r>
          </w:p>
        </w:tc>
        <w:tc>
          <w:tcPr>
            <w:tcW w:w="960" w:type="dxa"/>
          </w:tcPr>
          <w:p w14:paraId="0000025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0.262</w:t>
            </w:r>
          </w:p>
        </w:tc>
      </w:tr>
      <w:tr w:rsidR="007F0CF5" w14:paraId="150DD197"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5C"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fire_intensity</w:t>
            </w:r>
            <w:proofErr w:type="spellEnd"/>
          </w:p>
        </w:tc>
        <w:tc>
          <w:tcPr>
            <w:tcW w:w="1053" w:type="dxa"/>
          </w:tcPr>
          <w:p w14:paraId="0000025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7.00E-04</w:t>
            </w:r>
          </w:p>
        </w:tc>
        <w:tc>
          <w:tcPr>
            <w:tcW w:w="1053" w:type="dxa"/>
          </w:tcPr>
          <w:p w14:paraId="0000025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0.001</w:t>
            </w:r>
          </w:p>
        </w:tc>
        <w:tc>
          <w:tcPr>
            <w:tcW w:w="960" w:type="dxa"/>
          </w:tcPr>
          <w:p w14:paraId="0000025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1.209</w:t>
            </w:r>
          </w:p>
        </w:tc>
        <w:tc>
          <w:tcPr>
            <w:tcW w:w="960" w:type="dxa"/>
          </w:tcPr>
          <w:p w14:paraId="0000026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0.23</w:t>
            </w:r>
          </w:p>
        </w:tc>
      </w:tr>
      <w:tr w:rsidR="007F0CF5" w14:paraId="4E2E5483"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61"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avgNO2</w:t>
            </w:r>
          </w:p>
        </w:tc>
        <w:tc>
          <w:tcPr>
            <w:tcW w:w="1053" w:type="dxa"/>
          </w:tcPr>
          <w:p w14:paraId="0000026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-163300</w:t>
            </w:r>
          </w:p>
        </w:tc>
        <w:tc>
          <w:tcPr>
            <w:tcW w:w="1053" w:type="dxa"/>
          </w:tcPr>
          <w:p w14:paraId="0000026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134000</w:t>
            </w:r>
          </w:p>
        </w:tc>
        <w:tc>
          <w:tcPr>
            <w:tcW w:w="960" w:type="dxa"/>
          </w:tcPr>
          <w:p w14:paraId="0000026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-1.22</w:t>
            </w:r>
          </w:p>
        </w:tc>
        <w:tc>
          <w:tcPr>
            <w:tcW w:w="960" w:type="dxa"/>
          </w:tcPr>
          <w:p w14:paraId="0000026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0.225</w:t>
            </w:r>
          </w:p>
        </w:tc>
      </w:tr>
      <w:tr w:rsidR="007F0CF5" w14:paraId="626D0A71"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66"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avgO3</w:t>
            </w:r>
          </w:p>
        </w:tc>
        <w:tc>
          <w:tcPr>
            <w:tcW w:w="1053" w:type="dxa"/>
          </w:tcPr>
          <w:p w14:paraId="0000026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-31.9488</w:t>
            </w:r>
          </w:p>
        </w:tc>
        <w:tc>
          <w:tcPr>
            <w:tcW w:w="1053" w:type="dxa"/>
          </w:tcPr>
          <w:p w14:paraId="0000026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27.696</w:t>
            </w:r>
          </w:p>
        </w:tc>
        <w:tc>
          <w:tcPr>
            <w:tcW w:w="960" w:type="dxa"/>
          </w:tcPr>
          <w:p w14:paraId="0000026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-1.154</w:t>
            </w:r>
          </w:p>
        </w:tc>
        <w:tc>
          <w:tcPr>
            <w:tcW w:w="960" w:type="dxa"/>
          </w:tcPr>
          <w:p w14:paraId="0000026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0.251</w:t>
            </w:r>
          </w:p>
        </w:tc>
      </w:tr>
      <w:tr w:rsidR="007F0CF5" w14:paraId="0C367DA0"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6B"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air_temp</w:t>
            </w:r>
            <w:proofErr w:type="spellEnd"/>
          </w:p>
        </w:tc>
        <w:tc>
          <w:tcPr>
            <w:tcW w:w="1053" w:type="dxa"/>
          </w:tcPr>
          <w:p w14:paraId="0000026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-0.025</w:t>
            </w:r>
          </w:p>
        </w:tc>
        <w:tc>
          <w:tcPr>
            <w:tcW w:w="1053" w:type="dxa"/>
          </w:tcPr>
          <w:p w14:paraId="0000026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0.102</w:t>
            </w:r>
          </w:p>
        </w:tc>
        <w:tc>
          <w:tcPr>
            <w:tcW w:w="960" w:type="dxa"/>
          </w:tcPr>
          <w:p w14:paraId="0000026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-0.246</w:t>
            </w:r>
          </w:p>
        </w:tc>
        <w:tc>
          <w:tcPr>
            <w:tcW w:w="960" w:type="dxa"/>
          </w:tcPr>
          <w:p w14:paraId="0000026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0.807</w:t>
            </w:r>
          </w:p>
        </w:tc>
      </w:tr>
      <w:tr w:rsidR="007F0CF5" w14:paraId="217E1E2C"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0"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temp</w:t>
            </w:r>
          </w:p>
        </w:tc>
        <w:tc>
          <w:tcPr>
            <w:tcW w:w="1053" w:type="dxa"/>
          </w:tcPr>
          <w:p w14:paraId="0000027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0.1215</w:t>
            </w:r>
          </w:p>
        </w:tc>
        <w:tc>
          <w:tcPr>
            <w:tcW w:w="1053" w:type="dxa"/>
          </w:tcPr>
          <w:p w14:paraId="0000027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0.102</w:t>
            </w:r>
          </w:p>
        </w:tc>
        <w:tc>
          <w:tcPr>
            <w:tcW w:w="960" w:type="dxa"/>
          </w:tcPr>
          <w:p w14:paraId="0000027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1.186</w:t>
            </w:r>
          </w:p>
        </w:tc>
        <w:tc>
          <w:tcPr>
            <w:tcW w:w="960" w:type="dxa"/>
          </w:tcPr>
          <w:p w14:paraId="0000027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0.238</w:t>
            </w:r>
          </w:p>
        </w:tc>
      </w:tr>
      <w:tr w:rsidR="007F0CF5" w14:paraId="7E58368D"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5"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pressure</w:t>
            </w:r>
          </w:p>
        </w:tc>
        <w:tc>
          <w:tcPr>
            <w:tcW w:w="1053" w:type="dxa"/>
          </w:tcPr>
          <w:p w14:paraId="0000027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8.15E-05</w:t>
            </w:r>
          </w:p>
        </w:tc>
        <w:tc>
          <w:tcPr>
            <w:tcW w:w="1053" w:type="dxa"/>
          </w:tcPr>
          <w:p w14:paraId="0000027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c>
          <w:tcPr>
            <w:tcW w:w="960" w:type="dxa"/>
          </w:tcPr>
          <w:p w14:paraId="00000278"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0.489</w:t>
            </w:r>
          </w:p>
        </w:tc>
        <w:tc>
          <w:tcPr>
            <w:tcW w:w="960" w:type="dxa"/>
          </w:tcPr>
          <w:p w14:paraId="00000279"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0.626</w:t>
            </w:r>
          </w:p>
        </w:tc>
      </w:tr>
      <w:tr w:rsidR="007F0CF5" w14:paraId="1931C4B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A"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humidity</w:t>
            </w:r>
          </w:p>
        </w:tc>
        <w:tc>
          <w:tcPr>
            <w:tcW w:w="1053" w:type="dxa"/>
          </w:tcPr>
          <w:p w14:paraId="0000027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-443.007</w:t>
            </w:r>
          </w:p>
        </w:tc>
        <w:tc>
          <w:tcPr>
            <w:tcW w:w="1053" w:type="dxa"/>
          </w:tcPr>
          <w:p w14:paraId="0000027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258.732</w:t>
            </w:r>
          </w:p>
        </w:tc>
        <w:tc>
          <w:tcPr>
            <w:tcW w:w="960" w:type="dxa"/>
          </w:tcPr>
          <w:p w14:paraId="0000027D"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-1.712</w:t>
            </w:r>
          </w:p>
        </w:tc>
        <w:tc>
          <w:tcPr>
            <w:tcW w:w="960" w:type="dxa"/>
          </w:tcPr>
          <w:p w14:paraId="0000027E"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w:t>
            </w:r>
          </w:p>
        </w:tc>
      </w:tr>
      <w:tr w:rsidR="007F0CF5" w14:paraId="2555A13D"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7F"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precip</w:t>
            </w:r>
            <w:proofErr w:type="spellEnd"/>
          </w:p>
        </w:tc>
        <w:tc>
          <w:tcPr>
            <w:tcW w:w="1053" w:type="dxa"/>
          </w:tcPr>
          <w:p w14:paraId="0000028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3365.689</w:t>
            </w:r>
          </w:p>
        </w:tc>
        <w:tc>
          <w:tcPr>
            <w:tcW w:w="1053" w:type="dxa"/>
          </w:tcPr>
          <w:p w14:paraId="0000028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1652.147</w:t>
            </w:r>
          </w:p>
        </w:tc>
        <w:tc>
          <w:tcPr>
            <w:tcW w:w="960" w:type="dxa"/>
          </w:tcPr>
          <w:p w14:paraId="00000282"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2.037</w:t>
            </w:r>
          </w:p>
        </w:tc>
        <w:tc>
          <w:tcPr>
            <w:tcW w:w="960" w:type="dxa"/>
          </w:tcPr>
          <w:p w14:paraId="00000283"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0.044</w:t>
            </w:r>
          </w:p>
        </w:tc>
      </w:tr>
      <w:tr w:rsidR="007F0CF5" w14:paraId="6117706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84"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windspeed</w:t>
            </w:r>
          </w:p>
        </w:tc>
        <w:tc>
          <w:tcPr>
            <w:tcW w:w="1053" w:type="dxa"/>
          </w:tcPr>
          <w:p w14:paraId="0000028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-0.1509</w:t>
            </w:r>
          </w:p>
        </w:tc>
        <w:tc>
          <w:tcPr>
            <w:tcW w:w="1053" w:type="dxa"/>
          </w:tcPr>
          <w:p w14:paraId="0000028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0.039</w:t>
            </w:r>
          </w:p>
        </w:tc>
        <w:tc>
          <w:tcPr>
            <w:tcW w:w="960" w:type="dxa"/>
          </w:tcPr>
          <w:p w14:paraId="00000287"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-3.833</w:t>
            </w:r>
          </w:p>
        </w:tc>
        <w:tc>
          <w:tcPr>
            <w:tcW w:w="960" w:type="dxa"/>
          </w:tcPr>
          <w:p w14:paraId="00000288"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w:t>
            </w:r>
          </w:p>
        </w:tc>
      </w:tr>
      <w:tr w:rsidR="007F0CF5" w14:paraId="5B4132E8"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89"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weekend</w:t>
            </w:r>
          </w:p>
        </w:tc>
        <w:tc>
          <w:tcPr>
            <w:tcW w:w="1053" w:type="dxa"/>
          </w:tcPr>
          <w:p w14:paraId="0000028A"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-0.2637</w:t>
            </w:r>
          </w:p>
        </w:tc>
        <w:tc>
          <w:tcPr>
            <w:tcW w:w="1053" w:type="dxa"/>
          </w:tcPr>
          <w:p w14:paraId="0000028B"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0.149</w:t>
            </w:r>
          </w:p>
        </w:tc>
        <w:tc>
          <w:tcPr>
            <w:tcW w:w="960" w:type="dxa"/>
          </w:tcPr>
          <w:p w14:paraId="0000028C"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-1.771</w:t>
            </w:r>
          </w:p>
        </w:tc>
        <w:tc>
          <w:tcPr>
            <w:tcW w:w="960" w:type="dxa"/>
          </w:tcPr>
          <w:p w14:paraId="0000028D"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0.08</w:t>
            </w:r>
          </w:p>
        </w:tc>
      </w:tr>
      <w:tr w:rsidR="007F0CF5" w14:paraId="6F4ACD4A"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8E" w14:textId="77777777" w:rsidR="007F0CF5" w:rsidRDefault="00652E1B">
            <w:pPr>
              <w:rPr>
                <w:rFonts w:ascii="Garamond" w:eastAsia="Garamond" w:hAnsi="Garamond" w:cs="Garamond"/>
                <w:color w:val="000000"/>
              </w:rPr>
            </w:pPr>
            <w:proofErr w:type="spellStart"/>
            <w:r>
              <w:rPr>
                <w:rFonts w:ascii="Garamond" w:eastAsia="Garamond" w:hAnsi="Garamond" w:cs="Garamond"/>
                <w:color w:val="000000"/>
                <w:sz w:val="22"/>
                <w:szCs w:val="22"/>
              </w:rPr>
              <w:t>fire_event</w:t>
            </w:r>
            <w:proofErr w:type="spellEnd"/>
            <w:r>
              <w:rPr>
                <w:rFonts w:ascii="Garamond" w:eastAsia="Garamond" w:hAnsi="Garamond" w:cs="Garamond"/>
                <w:color w:val="000000"/>
                <w:sz w:val="22"/>
                <w:szCs w:val="22"/>
              </w:rPr>
              <w:t>: humidity</w:t>
            </w:r>
          </w:p>
        </w:tc>
        <w:tc>
          <w:tcPr>
            <w:tcW w:w="1053" w:type="dxa"/>
          </w:tcPr>
          <w:p w14:paraId="0000028F"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9.29E-06</w:t>
            </w:r>
          </w:p>
        </w:tc>
        <w:tc>
          <w:tcPr>
            <w:tcW w:w="1053" w:type="dxa"/>
          </w:tcPr>
          <w:p w14:paraId="00000290"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7.98E-06</w:t>
            </w:r>
          </w:p>
        </w:tc>
        <w:tc>
          <w:tcPr>
            <w:tcW w:w="960" w:type="dxa"/>
          </w:tcPr>
          <w:p w14:paraId="00000291"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1.164</w:t>
            </w:r>
          </w:p>
        </w:tc>
        <w:tc>
          <w:tcPr>
            <w:tcW w:w="960" w:type="dxa"/>
          </w:tcPr>
          <w:p w14:paraId="00000292"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0.247</w:t>
            </w:r>
          </w:p>
        </w:tc>
      </w:tr>
      <w:tr w:rsidR="007F0CF5" w14:paraId="23B27603"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93"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Latitude</w:t>
            </w:r>
          </w:p>
        </w:tc>
        <w:tc>
          <w:tcPr>
            <w:tcW w:w="1053" w:type="dxa"/>
          </w:tcPr>
          <w:p w14:paraId="00000294"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717.9255</w:t>
            </w:r>
          </w:p>
        </w:tc>
        <w:tc>
          <w:tcPr>
            <w:tcW w:w="1053" w:type="dxa"/>
          </w:tcPr>
          <w:p w14:paraId="00000295"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420.34</w:t>
            </w:r>
          </w:p>
        </w:tc>
        <w:tc>
          <w:tcPr>
            <w:tcW w:w="960" w:type="dxa"/>
          </w:tcPr>
          <w:p w14:paraId="00000296"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1.708</w:t>
            </w:r>
          </w:p>
        </w:tc>
        <w:tc>
          <w:tcPr>
            <w:tcW w:w="960" w:type="dxa"/>
          </w:tcPr>
          <w:p w14:paraId="00000297"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0.091</w:t>
            </w:r>
          </w:p>
        </w:tc>
      </w:tr>
      <w:tr w:rsidR="007F0CF5" w14:paraId="10661ABF"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98" w14:textId="77777777" w:rsidR="007F0CF5" w:rsidRDefault="00652E1B">
            <w:pPr>
              <w:rPr>
                <w:rFonts w:ascii="Garamond" w:eastAsia="Garamond" w:hAnsi="Garamond" w:cs="Garamond"/>
                <w:color w:val="000000"/>
              </w:rPr>
            </w:pPr>
            <w:proofErr w:type="spellStart"/>
            <w:proofErr w:type="gramStart"/>
            <w:r>
              <w:rPr>
                <w:rFonts w:ascii="Garamond" w:eastAsia="Garamond" w:hAnsi="Garamond" w:cs="Garamond"/>
                <w:color w:val="000000"/>
                <w:sz w:val="22"/>
                <w:szCs w:val="22"/>
              </w:rPr>
              <w:t>Latitude:fire</w:t>
            </w:r>
            <w:proofErr w:type="gramEnd"/>
            <w:r>
              <w:rPr>
                <w:rFonts w:ascii="Garamond" w:eastAsia="Garamond" w:hAnsi="Garamond" w:cs="Garamond"/>
                <w:color w:val="000000"/>
                <w:sz w:val="22"/>
                <w:szCs w:val="22"/>
              </w:rPr>
              <w:t>_event</w:t>
            </w:r>
            <w:proofErr w:type="spellEnd"/>
          </w:p>
        </w:tc>
        <w:tc>
          <w:tcPr>
            <w:tcW w:w="1053" w:type="dxa"/>
          </w:tcPr>
          <w:p w14:paraId="00000299"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0.0238</w:t>
            </w:r>
          </w:p>
        </w:tc>
        <w:tc>
          <w:tcPr>
            <w:tcW w:w="1053" w:type="dxa"/>
          </w:tcPr>
          <w:p w14:paraId="0000029A"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0.021</w:t>
            </w:r>
          </w:p>
        </w:tc>
        <w:tc>
          <w:tcPr>
            <w:tcW w:w="960" w:type="dxa"/>
          </w:tcPr>
          <w:p w14:paraId="0000029B"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1.152</w:t>
            </w:r>
          </w:p>
        </w:tc>
        <w:tc>
          <w:tcPr>
            <w:tcW w:w="960" w:type="dxa"/>
          </w:tcPr>
          <w:p w14:paraId="0000029C"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0.252</w:t>
            </w:r>
          </w:p>
        </w:tc>
      </w:tr>
      <w:tr w:rsidR="007F0CF5" w14:paraId="381CDA11" w14:textId="77777777" w:rsidTr="007F0CF5">
        <w:trPr>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9D"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avgNO2: avgO3</w:t>
            </w:r>
          </w:p>
        </w:tc>
        <w:tc>
          <w:tcPr>
            <w:tcW w:w="1053" w:type="dxa"/>
          </w:tcPr>
          <w:p w14:paraId="0000029E"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1279000</w:t>
            </w:r>
          </w:p>
        </w:tc>
        <w:tc>
          <w:tcPr>
            <w:tcW w:w="1053" w:type="dxa"/>
          </w:tcPr>
          <w:p w14:paraId="0000029F"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1040000</w:t>
            </w:r>
          </w:p>
        </w:tc>
        <w:tc>
          <w:tcPr>
            <w:tcW w:w="960" w:type="dxa"/>
          </w:tcPr>
          <w:p w14:paraId="000002A0"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1.235</w:t>
            </w:r>
          </w:p>
        </w:tc>
        <w:tc>
          <w:tcPr>
            <w:tcW w:w="960" w:type="dxa"/>
          </w:tcPr>
          <w:p w14:paraId="000002A1" w14:textId="77777777" w:rsidR="007F0CF5" w:rsidRDefault="00652E1B">
            <w:pPr>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0.22</w:t>
            </w:r>
          </w:p>
        </w:tc>
      </w:tr>
      <w:tr w:rsidR="007F0CF5" w14:paraId="45E69F5C" w14:textId="77777777" w:rsidTr="007F0C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dxa"/>
          </w:tcPr>
          <w:p w14:paraId="000002A2" w14:textId="77777777" w:rsidR="007F0CF5" w:rsidRDefault="00652E1B">
            <w:pPr>
              <w:rPr>
                <w:rFonts w:ascii="Garamond" w:eastAsia="Garamond" w:hAnsi="Garamond" w:cs="Garamond"/>
                <w:color w:val="000000"/>
              </w:rPr>
            </w:pPr>
            <w:r>
              <w:rPr>
                <w:rFonts w:ascii="Garamond" w:eastAsia="Garamond" w:hAnsi="Garamond" w:cs="Garamond"/>
                <w:color w:val="000000"/>
                <w:sz w:val="22"/>
                <w:szCs w:val="22"/>
              </w:rPr>
              <w:t>avgO3: humidity</w:t>
            </w:r>
          </w:p>
        </w:tc>
        <w:tc>
          <w:tcPr>
            <w:tcW w:w="1053" w:type="dxa"/>
          </w:tcPr>
          <w:p w14:paraId="000002A3"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2395.277</w:t>
            </w:r>
          </w:p>
        </w:tc>
        <w:tc>
          <w:tcPr>
            <w:tcW w:w="1053" w:type="dxa"/>
          </w:tcPr>
          <w:p w14:paraId="000002A4"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2007.77</w:t>
            </w:r>
          </w:p>
        </w:tc>
        <w:tc>
          <w:tcPr>
            <w:tcW w:w="960" w:type="dxa"/>
          </w:tcPr>
          <w:p w14:paraId="000002A5"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1.193</w:t>
            </w:r>
          </w:p>
        </w:tc>
        <w:tc>
          <w:tcPr>
            <w:tcW w:w="960" w:type="dxa"/>
          </w:tcPr>
          <w:p w14:paraId="000002A6" w14:textId="77777777" w:rsidR="007F0CF5" w:rsidRDefault="00652E1B">
            <w:pPr>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000000"/>
              </w:rPr>
            </w:pPr>
            <w:r>
              <w:rPr>
                <w:rFonts w:ascii="Garamond" w:eastAsia="Garamond" w:hAnsi="Garamond" w:cs="Garamond"/>
                <w:color w:val="000000"/>
              </w:rPr>
              <w:t>0.236</w:t>
            </w:r>
          </w:p>
        </w:tc>
      </w:tr>
    </w:tbl>
    <w:p w14:paraId="000002A7" w14:textId="77777777" w:rsidR="007F0CF5" w:rsidRDefault="007F0CF5">
      <w:pPr>
        <w:spacing w:after="0" w:line="240" w:lineRule="auto"/>
      </w:pPr>
    </w:p>
    <w:p w14:paraId="000002A8" w14:textId="77777777" w:rsidR="007F0CF5" w:rsidRDefault="00652E1B">
      <w:r>
        <w:br w:type="page"/>
      </w:r>
    </w:p>
    <w:p w14:paraId="000002A9" w14:textId="77777777" w:rsidR="007F0CF5" w:rsidRDefault="00652E1B">
      <w:pPr>
        <w:jc w:val="center"/>
        <w:rPr>
          <w:rFonts w:ascii="Garamond" w:eastAsia="Garamond" w:hAnsi="Garamond" w:cs="Garamond"/>
          <w:b/>
          <w:sz w:val="24"/>
          <w:szCs w:val="24"/>
        </w:rPr>
      </w:pPr>
      <w:r>
        <w:rPr>
          <w:rFonts w:ascii="Garamond" w:eastAsia="Garamond" w:hAnsi="Garamond" w:cs="Garamond"/>
          <w:b/>
          <w:sz w:val="24"/>
          <w:szCs w:val="24"/>
        </w:rPr>
        <w:lastRenderedPageBreak/>
        <w:t>Appendix D</w:t>
      </w:r>
    </w:p>
    <w:p w14:paraId="000002AA" w14:textId="77777777" w:rsidR="007F0CF5" w:rsidRDefault="00652E1B">
      <w:pPr>
        <w:rPr>
          <w:rFonts w:ascii="Garamond" w:eastAsia="Garamond" w:hAnsi="Garamond" w:cs="Garamond"/>
          <w:b/>
        </w:rPr>
      </w:pPr>
      <w:r>
        <w:rPr>
          <w:rFonts w:ascii="Garamond" w:eastAsia="Garamond" w:hAnsi="Garamond" w:cs="Garamond"/>
        </w:rPr>
        <w:t xml:space="preserve">The graph below shows hourly ozone levels recorded by monitors at </w:t>
      </w:r>
      <w:proofErr w:type="spellStart"/>
      <w:r>
        <w:rPr>
          <w:rFonts w:ascii="Garamond" w:eastAsia="Garamond" w:hAnsi="Garamond" w:cs="Garamond"/>
        </w:rPr>
        <w:t>Seiling</w:t>
      </w:r>
      <w:proofErr w:type="spellEnd"/>
      <w:r>
        <w:rPr>
          <w:rFonts w:ascii="Garamond" w:eastAsia="Garamond" w:hAnsi="Garamond" w:cs="Garamond"/>
        </w:rPr>
        <w:t xml:space="preserve"> (Dewey County), Oklahoma City, Tulsa, and McAlester (Pittsburg County). The McAlester monitor was used as a baseline in this initial exploration, given that it is similarly unpopulated and rural to </w:t>
      </w:r>
      <w:proofErr w:type="spellStart"/>
      <w:r>
        <w:rPr>
          <w:rFonts w:ascii="Garamond" w:eastAsia="Garamond" w:hAnsi="Garamond" w:cs="Garamond"/>
        </w:rPr>
        <w:t>Seiling</w:t>
      </w:r>
      <w:proofErr w:type="spellEnd"/>
      <w:r>
        <w:rPr>
          <w:rFonts w:ascii="Garamond" w:eastAsia="Garamond" w:hAnsi="Garamond" w:cs="Garamond"/>
        </w:rPr>
        <w:t xml:space="preserve">. The graph exhibits how ozone levels in </w:t>
      </w:r>
      <w:proofErr w:type="spellStart"/>
      <w:r>
        <w:rPr>
          <w:rFonts w:ascii="Garamond" w:eastAsia="Garamond" w:hAnsi="Garamond" w:cs="Garamond"/>
        </w:rPr>
        <w:t>Seiling</w:t>
      </w:r>
      <w:proofErr w:type="spellEnd"/>
      <w:r>
        <w:rPr>
          <w:rFonts w:ascii="Garamond" w:eastAsia="Garamond" w:hAnsi="Garamond" w:cs="Garamond"/>
        </w:rPr>
        <w:t xml:space="preserve"> were elevated compared to urban Oklahoma City and Tulsa, where such levels are to be expected.</w:t>
      </w:r>
      <w:r>
        <w:rPr>
          <w:rFonts w:ascii="Garamond" w:eastAsia="Garamond" w:hAnsi="Garamond" w:cs="Garamond"/>
          <w:b/>
        </w:rPr>
        <w:t xml:space="preserve"> </w:t>
      </w:r>
    </w:p>
    <w:p w14:paraId="000002AB" w14:textId="77777777" w:rsidR="007F0CF5" w:rsidRDefault="00652E1B">
      <w:pPr>
        <w:jc w:val="center"/>
      </w:pPr>
      <w:r>
        <w:rPr>
          <w:noProof/>
        </w:rPr>
        <w:drawing>
          <wp:inline distT="0" distB="0" distL="0" distR="0" wp14:anchorId="2DC8A80E" wp14:editId="05E3EE1E">
            <wp:extent cx="4572000" cy="2914650"/>
            <wp:effectExtent l="0" t="0" r="0" b="0"/>
            <wp:docPr id="21274860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2"/>
                    <a:srcRect/>
                    <a:stretch>
                      <a:fillRect/>
                    </a:stretch>
                  </pic:blipFill>
                  <pic:spPr>
                    <a:xfrm>
                      <a:off x="0" y="0"/>
                      <a:ext cx="4572000" cy="2914650"/>
                    </a:xfrm>
                    <a:prstGeom prst="rect">
                      <a:avLst/>
                    </a:prstGeom>
                    <a:ln/>
                  </pic:spPr>
                </pic:pic>
              </a:graphicData>
            </a:graphic>
          </wp:inline>
        </w:drawing>
      </w:r>
    </w:p>
    <w:p w14:paraId="000002AC" w14:textId="77777777" w:rsidR="007F0CF5" w:rsidRDefault="007F0CF5">
      <w:pPr>
        <w:rPr>
          <w:rFonts w:ascii="Garamond" w:eastAsia="Garamond" w:hAnsi="Garamond" w:cs="Garamond"/>
          <w:sz w:val="24"/>
          <w:szCs w:val="24"/>
        </w:rPr>
      </w:pPr>
    </w:p>
    <w:p w14:paraId="000002AD" w14:textId="77777777" w:rsidR="007F0CF5" w:rsidRDefault="007F0CF5">
      <w:pPr>
        <w:rPr>
          <w:rFonts w:ascii="Garamond" w:eastAsia="Garamond" w:hAnsi="Garamond" w:cs="Garamond"/>
          <w:i/>
        </w:rPr>
      </w:pPr>
    </w:p>
    <w:sectPr w:rsidR="007F0CF5">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11A01" w14:textId="77777777" w:rsidR="003B3C80" w:rsidRDefault="003B3C80">
      <w:pPr>
        <w:spacing w:after="0" w:line="240" w:lineRule="auto"/>
      </w:pPr>
      <w:r>
        <w:separator/>
      </w:r>
    </w:p>
  </w:endnote>
  <w:endnote w:type="continuationSeparator" w:id="0">
    <w:p w14:paraId="2E5F29BE" w14:textId="77777777" w:rsidR="003B3C80" w:rsidRDefault="003B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6" w14:textId="77777777" w:rsidR="006B773B" w:rsidRDefault="006B773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000002B7" w14:textId="77777777" w:rsidR="006B773B" w:rsidRDefault="006B773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4" w14:textId="0BD535A7" w:rsidR="006B773B" w:rsidRDefault="006B773B">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w:t>
    </w:r>
    <w:r>
      <w:rPr>
        <w:rFonts w:ascii="Garamond" w:eastAsia="Garamond" w:hAnsi="Garamond" w:cs="Garamond"/>
        <w:color w:val="000000"/>
      </w:rPr>
      <w:fldChar w:fldCharType="end"/>
    </w:r>
  </w:p>
  <w:p w14:paraId="000002B5" w14:textId="77777777" w:rsidR="006B773B" w:rsidRDefault="006B773B">
    <w:pPr>
      <w:pBdr>
        <w:top w:val="nil"/>
        <w:left w:val="nil"/>
        <w:bottom w:val="nil"/>
        <w:right w:val="nil"/>
        <w:between w:val="nil"/>
      </w:pBdr>
      <w:tabs>
        <w:tab w:val="center" w:pos="4680"/>
        <w:tab w:val="right" w:pos="9360"/>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8" w14:textId="77777777" w:rsidR="006B773B" w:rsidRDefault="006B773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487A2" w14:textId="77777777" w:rsidR="003B3C80" w:rsidRDefault="003B3C80">
      <w:pPr>
        <w:spacing w:after="0" w:line="240" w:lineRule="auto"/>
      </w:pPr>
      <w:r>
        <w:separator/>
      </w:r>
    </w:p>
  </w:footnote>
  <w:footnote w:type="continuationSeparator" w:id="0">
    <w:p w14:paraId="10937990" w14:textId="77777777" w:rsidR="003B3C80" w:rsidRDefault="003B3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B2" w14:textId="77777777" w:rsidR="006B773B" w:rsidRDefault="006B773B">
    <w:pPr>
      <w:widowControl w:val="0"/>
      <w:pBdr>
        <w:top w:val="nil"/>
        <w:left w:val="nil"/>
        <w:bottom w:val="nil"/>
        <w:right w:val="nil"/>
        <w:between w:val="nil"/>
      </w:pBdr>
      <w:spacing w:after="0"/>
      <w:rPr>
        <w:rFonts w:ascii="Garamond" w:eastAsia="Garamond" w:hAnsi="Garamond" w:cs="Garamond"/>
        <w:b/>
        <w:color w:val="000000"/>
        <w:sz w:val="32"/>
        <w:szCs w:val="32"/>
      </w:rPr>
    </w:pPr>
  </w:p>
  <w:p w14:paraId="000002B3" w14:textId="77777777" w:rsidR="006B773B" w:rsidRDefault="006B773B">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AE" w14:textId="77777777" w:rsidR="006B773B" w:rsidRDefault="006B773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2AF" w14:textId="77777777" w:rsidR="006B773B" w:rsidRDefault="006B773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California- Jet Propulsion Laboratory (JPL)</w:t>
    </w:r>
    <w:r>
      <w:rPr>
        <w:noProof/>
      </w:rPr>
      <w:drawing>
        <wp:anchor distT="0" distB="0" distL="114300" distR="114300" simplePos="0" relativeHeight="251658240" behindDoc="0" locked="0" layoutInCell="1" hidden="0" allowOverlap="1" wp14:anchorId="14329DE3" wp14:editId="74DFCEA6">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21274860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2B0" w14:textId="77777777" w:rsidR="006B773B" w:rsidRDefault="006B773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2021</w:t>
    </w:r>
  </w:p>
  <w:p w14:paraId="000002B1" w14:textId="77777777" w:rsidR="006B773B" w:rsidRDefault="006B773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CF5"/>
    <w:rsid w:val="00046893"/>
    <w:rsid w:val="001B487F"/>
    <w:rsid w:val="0020A5B8"/>
    <w:rsid w:val="002749B2"/>
    <w:rsid w:val="00280709"/>
    <w:rsid w:val="00367A75"/>
    <w:rsid w:val="003B3C80"/>
    <w:rsid w:val="004300F0"/>
    <w:rsid w:val="004F6037"/>
    <w:rsid w:val="00652E1B"/>
    <w:rsid w:val="006B773B"/>
    <w:rsid w:val="0075400C"/>
    <w:rsid w:val="007F0CF5"/>
    <w:rsid w:val="0081595D"/>
    <w:rsid w:val="008F4BAA"/>
    <w:rsid w:val="00B33F76"/>
    <w:rsid w:val="00C306B3"/>
    <w:rsid w:val="00EE57BB"/>
    <w:rsid w:val="00FA6EF1"/>
    <w:rsid w:val="0173504A"/>
    <w:rsid w:val="018C78A7"/>
    <w:rsid w:val="01BAC1BF"/>
    <w:rsid w:val="01F88E57"/>
    <w:rsid w:val="02C9B9DE"/>
    <w:rsid w:val="03284908"/>
    <w:rsid w:val="0453831D"/>
    <w:rsid w:val="04D93A24"/>
    <w:rsid w:val="04F26281"/>
    <w:rsid w:val="057483F8"/>
    <w:rsid w:val="07A35D56"/>
    <w:rsid w:val="07FF98F5"/>
    <w:rsid w:val="09585614"/>
    <w:rsid w:val="09A6AFE0"/>
    <w:rsid w:val="09B498CD"/>
    <w:rsid w:val="0A2B0324"/>
    <w:rsid w:val="0AC616A9"/>
    <w:rsid w:val="0B23119D"/>
    <w:rsid w:val="0B61A405"/>
    <w:rsid w:val="0D29C862"/>
    <w:rsid w:val="0D358A1A"/>
    <w:rsid w:val="0E8809F0"/>
    <w:rsid w:val="0F1CBC6C"/>
    <w:rsid w:val="0F2829D8"/>
    <w:rsid w:val="0FC79798"/>
    <w:rsid w:val="101B1C63"/>
    <w:rsid w:val="1022B5F9"/>
    <w:rsid w:val="1023DA51"/>
    <w:rsid w:val="106D2ADC"/>
    <w:rsid w:val="1114A7EC"/>
    <w:rsid w:val="115853A1"/>
    <w:rsid w:val="1264FE8B"/>
    <w:rsid w:val="128C07C0"/>
    <w:rsid w:val="134C3160"/>
    <w:rsid w:val="135D1942"/>
    <w:rsid w:val="1366678E"/>
    <w:rsid w:val="14C9025C"/>
    <w:rsid w:val="1508864B"/>
    <w:rsid w:val="154C4E4A"/>
    <w:rsid w:val="15CE0026"/>
    <w:rsid w:val="15E4D53B"/>
    <w:rsid w:val="18308A65"/>
    <w:rsid w:val="19555181"/>
    <w:rsid w:val="19DDA035"/>
    <w:rsid w:val="1A3586B1"/>
    <w:rsid w:val="1A4126EE"/>
    <w:rsid w:val="1A71F99D"/>
    <w:rsid w:val="1A9D69A7"/>
    <w:rsid w:val="1AC17E7F"/>
    <w:rsid w:val="1C473CFA"/>
    <w:rsid w:val="1D19EA0A"/>
    <w:rsid w:val="1E8CEBC9"/>
    <w:rsid w:val="1EC34949"/>
    <w:rsid w:val="1F70DACA"/>
    <w:rsid w:val="2044EA96"/>
    <w:rsid w:val="20B38508"/>
    <w:rsid w:val="22935AD1"/>
    <w:rsid w:val="22E8A604"/>
    <w:rsid w:val="244C3973"/>
    <w:rsid w:val="24E3B9AD"/>
    <w:rsid w:val="25EFF040"/>
    <w:rsid w:val="260FA569"/>
    <w:rsid w:val="270E6F1F"/>
    <w:rsid w:val="277BECAF"/>
    <w:rsid w:val="280C6F44"/>
    <w:rsid w:val="29DD36EB"/>
    <w:rsid w:val="2AA65A3C"/>
    <w:rsid w:val="2C422A9D"/>
    <w:rsid w:val="2C4F5DD2"/>
    <w:rsid w:val="2DFE0834"/>
    <w:rsid w:val="2F27F0F2"/>
    <w:rsid w:val="3111941E"/>
    <w:rsid w:val="317FAD9F"/>
    <w:rsid w:val="31C72950"/>
    <w:rsid w:val="31D1F981"/>
    <w:rsid w:val="32B16C21"/>
    <w:rsid w:val="32D17957"/>
    <w:rsid w:val="33145AC3"/>
    <w:rsid w:val="346D49B8"/>
    <w:rsid w:val="3588C288"/>
    <w:rsid w:val="35E50541"/>
    <w:rsid w:val="3646EDCB"/>
    <w:rsid w:val="37921079"/>
    <w:rsid w:val="3799FDFF"/>
    <w:rsid w:val="380C9F74"/>
    <w:rsid w:val="385F77DA"/>
    <w:rsid w:val="39248C6F"/>
    <w:rsid w:val="3935CE60"/>
    <w:rsid w:val="3A299153"/>
    <w:rsid w:val="3BEC63CF"/>
    <w:rsid w:val="3BF8040C"/>
    <w:rsid w:val="3C5F3340"/>
    <w:rsid w:val="3D62D044"/>
    <w:rsid w:val="3D9BC1F3"/>
    <w:rsid w:val="3EF7070F"/>
    <w:rsid w:val="3FA50FE4"/>
    <w:rsid w:val="406A89BF"/>
    <w:rsid w:val="4147A973"/>
    <w:rsid w:val="42CE74C4"/>
    <w:rsid w:val="44A770A8"/>
    <w:rsid w:val="4524D285"/>
    <w:rsid w:val="459ACDF9"/>
    <w:rsid w:val="46145168"/>
    <w:rsid w:val="462B9618"/>
    <w:rsid w:val="46A4F6C2"/>
    <w:rsid w:val="47A1E5E7"/>
    <w:rsid w:val="48070B2B"/>
    <w:rsid w:val="486F1A77"/>
    <w:rsid w:val="48984F17"/>
    <w:rsid w:val="4AA4A493"/>
    <w:rsid w:val="4BCFE4E5"/>
    <w:rsid w:val="4C59DD5B"/>
    <w:rsid w:val="4CE494E3"/>
    <w:rsid w:val="4E3E6D4A"/>
    <w:rsid w:val="4EF9FDE3"/>
    <w:rsid w:val="51D75F1E"/>
    <w:rsid w:val="521C7DEA"/>
    <w:rsid w:val="526F3967"/>
    <w:rsid w:val="53BC2D15"/>
    <w:rsid w:val="54B94473"/>
    <w:rsid w:val="559B939F"/>
    <w:rsid w:val="56B071F5"/>
    <w:rsid w:val="57348B4E"/>
    <w:rsid w:val="573498E3"/>
    <w:rsid w:val="581A3A3C"/>
    <w:rsid w:val="59CF32FA"/>
    <w:rsid w:val="5A63B2A5"/>
    <w:rsid w:val="5BE20CA0"/>
    <w:rsid w:val="5C2E3C58"/>
    <w:rsid w:val="5D6AFCE1"/>
    <w:rsid w:val="5DCA0CB9"/>
    <w:rsid w:val="5E601507"/>
    <w:rsid w:val="5E897BC0"/>
    <w:rsid w:val="5EE1D895"/>
    <w:rsid w:val="5FEABC43"/>
    <w:rsid w:val="60A29DA3"/>
    <w:rsid w:val="60E665A2"/>
    <w:rsid w:val="62083E80"/>
    <w:rsid w:val="621871F2"/>
    <w:rsid w:val="62856EE3"/>
    <w:rsid w:val="6511E5A1"/>
    <w:rsid w:val="662A708F"/>
    <w:rsid w:val="6644DD0C"/>
    <w:rsid w:val="66AB587E"/>
    <w:rsid w:val="66ADB602"/>
    <w:rsid w:val="66EE56D3"/>
    <w:rsid w:val="66FAAF08"/>
    <w:rsid w:val="68305E06"/>
    <w:rsid w:val="687C138B"/>
    <w:rsid w:val="68B0B597"/>
    <w:rsid w:val="68D47060"/>
    <w:rsid w:val="699352E3"/>
    <w:rsid w:val="69FB198F"/>
    <w:rsid w:val="6A8F6764"/>
    <w:rsid w:val="6B8C8120"/>
    <w:rsid w:val="6BD76E77"/>
    <w:rsid w:val="6BDF080D"/>
    <w:rsid w:val="6C6621B2"/>
    <w:rsid w:val="6D285181"/>
    <w:rsid w:val="6DC1FA6C"/>
    <w:rsid w:val="6E01F213"/>
    <w:rsid w:val="6F1FF71B"/>
    <w:rsid w:val="6FB27E88"/>
    <w:rsid w:val="6FB5BBE1"/>
    <w:rsid w:val="71A3799C"/>
    <w:rsid w:val="71DF2DD2"/>
    <w:rsid w:val="738E3C3C"/>
    <w:rsid w:val="75D58A35"/>
    <w:rsid w:val="77A661E8"/>
    <w:rsid w:val="7813DF78"/>
    <w:rsid w:val="79423249"/>
    <w:rsid w:val="7A905FDB"/>
    <w:rsid w:val="7AF863F0"/>
    <w:rsid w:val="7B3A3E49"/>
    <w:rsid w:val="7D1D0F89"/>
    <w:rsid w:val="7FF0A845"/>
    <w:rsid w:val="7FF4870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6A17"/>
  <w15:docId w15:val="{0C81988E-7997-432D-B7EA-A5CFE3D6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zh-CN"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DB3"/>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DD1EC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4Char">
    <w:name w:val="Heading 4 Char"/>
    <w:basedOn w:val="DefaultParagraphFont"/>
    <w:link w:val="Heading4"/>
    <w:uiPriority w:val="9"/>
    <w:rsid w:val="00DD1ECC"/>
    <w:rPr>
      <w:rFonts w:asciiTheme="majorHAnsi" w:eastAsiaTheme="majorEastAsia" w:hAnsiTheme="majorHAnsi" w:cstheme="majorBidi"/>
      <w:i/>
      <w:iCs/>
      <w:color w:val="365F91" w:themeColor="accent1" w:themeShade="BF"/>
    </w:rPr>
  </w:style>
  <w:style w:type="character" w:styleId="Mention">
    <w:name w:val="Mention"/>
    <w:basedOn w:val="DefaultParagraphFont"/>
    <w:uiPriority w:val="99"/>
    <w:unhideWhenUsed/>
    <w:rsid w:val="00DD1ECC"/>
    <w:rPr>
      <w:color w:val="2B579A"/>
      <w:shd w:val="clear" w:color="auto" w:fill="E6E6E6"/>
    </w:rPr>
  </w:style>
  <w:style w:type="character" w:customStyle="1" w:styleId="normaltextrun">
    <w:name w:val="normaltextrun"/>
    <w:basedOn w:val="DefaultParagraphFont"/>
    <w:rsid w:val="00DD1ECC"/>
  </w:style>
  <w:style w:type="character" w:customStyle="1" w:styleId="eop">
    <w:name w:val="eop"/>
    <w:basedOn w:val="DefaultParagraphFont"/>
    <w:rsid w:val="00DD1ECC"/>
  </w:style>
  <w:style w:type="paragraph" w:styleId="Revision">
    <w:name w:val="Revision"/>
    <w:hidden/>
    <w:uiPriority w:val="99"/>
    <w:semiHidden/>
    <w:rsid w:val="00277A3F"/>
    <w:pPr>
      <w:spacing w:after="0" w:line="240" w:lineRule="auto"/>
    </w:pPr>
  </w:style>
  <w:style w:type="character" w:styleId="UnresolvedMention">
    <w:name w:val="Unresolved Mention"/>
    <w:basedOn w:val="DefaultParagraphFont"/>
    <w:uiPriority w:val="99"/>
    <w:semiHidden/>
    <w:unhideWhenUsed/>
    <w:rsid w:val="00D80642"/>
    <w:rPr>
      <w:color w:val="605E5C"/>
      <w:shd w:val="clear" w:color="auto" w:fill="E1DFDD"/>
    </w:rPr>
  </w:style>
  <w:style w:type="paragraph" w:styleId="HTMLPreformatted">
    <w:name w:val="HTML Preformatted"/>
    <w:basedOn w:val="Normal"/>
    <w:link w:val="HTMLPreformattedChar"/>
    <w:uiPriority w:val="99"/>
    <w:unhideWhenUsed/>
    <w:rsid w:val="000B3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B34BC"/>
    <w:rPr>
      <w:rFonts w:ascii="Courier New" w:eastAsia="Times New Roman" w:hAnsi="Courier New" w:cs="Courier New"/>
      <w:sz w:val="20"/>
      <w:szCs w:val="20"/>
      <w:lang w:eastAsia="zh-CN" w:bidi="th-TH"/>
    </w:rPr>
  </w:style>
  <w:style w:type="table" w:styleId="PlainTable3">
    <w:name w:val="Plain Table 3"/>
    <w:basedOn w:val="TableNormal"/>
    <w:uiPriority w:val="43"/>
    <w:rsid w:val="00F243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43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906D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0">
    <w:basedOn w:val="TableNormal"/>
    <w:pPr>
      <w:spacing w:after="0" w:line="240" w:lineRule="auto"/>
    </w:pPr>
    <w:tblPr>
      <w:tblStyleRowBandSize w:val="1"/>
      <w:tblStyleColBandSize w:val="1"/>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1">
    <w:basedOn w:val="TableNormal"/>
    <w:pPr>
      <w:spacing w:after="0" w:line="240" w:lineRule="auto"/>
    </w:pPr>
    <w:tblPr>
      <w:tblStyleRowBandSize w:val="1"/>
      <w:tblStyleColBandSize w:val="1"/>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character" w:styleId="PageNumber">
    <w:name w:val="page number"/>
    <w:basedOn w:val="DefaultParagraphFont"/>
    <w:uiPriority w:val="99"/>
    <w:semiHidden/>
    <w:unhideWhenUsed/>
    <w:rsid w:val="005101E9"/>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6">
    <w:basedOn w:val="TableNormal"/>
    <w:pPr>
      <w:spacing w:after="0" w:line="240" w:lineRule="auto"/>
    </w:pPr>
    <w:tblPr>
      <w:tblStyleRowBandSize w:val="1"/>
      <w:tblStyleColBandSize w:val="1"/>
      <w:tblCellMar>
        <w:left w:w="115" w:type="dxa"/>
        <w:right w:w="115" w:type="dxa"/>
      </w:tblCellMar>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7">
    <w:basedOn w:val="TableNormal"/>
    <w:pPr>
      <w:spacing w:after="0" w:line="240" w:lineRule="auto"/>
    </w:pPr>
    <w:tblPr>
      <w:tblStyleRowBandSize w:val="1"/>
      <w:tblStyleColBandSize w:val="1"/>
      <w:tblCellMar>
        <w:left w:w="115" w:type="dxa"/>
        <w:right w:w="115" w:type="dxa"/>
      </w:tblCellMar>
    </w:tblPr>
    <w:tblStylePr w:type="firstRow">
      <w:rPr>
        <w:rFonts w:ascii="Arial" w:eastAsia="Arial" w:hAnsi="Arial" w:cs="Arial"/>
        <w:i/>
        <w:sz w:val="26"/>
        <w:szCs w:val="26"/>
      </w:rPr>
      <w:tblPr/>
      <w:tcPr>
        <w:tcBorders>
          <w:bottom w:val="single" w:sz="4" w:space="0" w:color="7F7F7F"/>
        </w:tcBorders>
        <w:shd w:val="clear" w:color="auto" w:fill="FFFFFF"/>
      </w:tcPr>
    </w:tblStylePr>
    <w:tblStylePr w:type="lastRow">
      <w:rPr>
        <w:rFonts w:ascii="Arial" w:eastAsia="Arial" w:hAnsi="Arial" w:cs="Arial"/>
        <w:i/>
        <w:sz w:val="26"/>
        <w:szCs w:val="26"/>
      </w:rPr>
      <w:tblPr/>
      <w:tcPr>
        <w:tcBorders>
          <w:top w:val="single" w:sz="4" w:space="0" w:color="7F7F7F"/>
        </w:tcBorders>
        <w:shd w:val="clear" w:color="auto" w:fill="FFFFFF"/>
      </w:tcPr>
    </w:tblStylePr>
    <w:tblStylePr w:type="firstCol">
      <w:pPr>
        <w:jc w:val="right"/>
      </w:pPr>
      <w:rPr>
        <w:rFonts w:ascii="Arial" w:eastAsia="Arial" w:hAnsi="Arial" w:cs="Arial"/>
        <w:i/>
        <w:sz w:val="26"/>
        <w:szCs w:val="26"/>
      </w:rPr>
      <w:tblPr/>
      <w:tcPr>
        <w:tcBorders>
          <w:right w:val="single" w:sz="4" w:space="0" w:color="7F7F7F"/>
        </w:tcBorders>
        <w:shd w:val="clear" w:color="auto" w:fill="FFFFFF"/>
      </w:tcPr>
    </w:tblStylePr>
    <w:tblStylePr w:type="lastCol">
      <w:rPr>
        <w:rFonts w:ascii="Arial" w:eastAsia="Arial" w:hAnsi="Arial" w:cs="Arial"/>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s://doi.org/10.1175/BAMS-85-3-381" TargetMode="External"/><Relationship Id="rId21" Type="http://schemas.openxmlformats.org/officeDocument/2006/relationships/image" Target="media/image12.png"/><Relationship Id="rId34" Type="http://schemas.openxmlformats.org/officeDocument/2006/relationships/hyperlink" Target="https://doi.org/10.5067/E7TYRXPJKWOQ"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yperlink" Target="https://doi.org/10.5270/S5P-3p6lnwd" TargetMode="External"/><Relationship Id="rId40" Type="http://schemas.openxmlformats.org/officeDocument/2006/relationships/hyperlink" Target="https://cfpub.epa.gov/roe/indicator_pdf.cfm?i=8" TargetMode="External"/><Relationship Id="rId45"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s://oklahomawatch.org/2019/06/29/oklahoma-air-quality-dips-after-years-of-progress/"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yperlink" Target="https://doi.org/10.5194/amt-12-5263-2019" TargetMode="External"/><Relationship Id="rId46" Type="http://schemas.openxmlformats.org/officeDocument/2006/relationships/image" Target="media/image30.png"/><Relationship Id="rId59"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yperlink" Target="https://kfor.com/news/local/2020-state-of-the-air-report-oklahoma-citys-air-quality-worsened-for-ozone-particle-pollution/" TargetMode="External"/><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image" Target="media/image22.jp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0EB50B1A-683F-4D99-A280-C7E9AEBF5FEB}"/>
      </w:docPartPr>
      <w:docPartBody>
        <w:p w:rsidR="001A4181" w:rsidRDefault="001A418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4181"/>
    <w:rsid w:val="001A4181"/>
    <w:rsid w:val="00456D9B"/>
    <w:rsid w:val="00744B30"/>
    <w:rsid w:val="009C0520"/>
    <w:rsid w:val="00D0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Erica Carcelen</DisplayName>
        <AccountId>156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ZNEeFcmi18VGWRSHeovYv3k4stg==">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F9B11F-8C11-451E-81BD-A3F9BDB7E6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3B7C64-FFDA-4901-B70E-D65C4C14E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92A7DCF-D0DB-4500-88AA-56AF4F8B98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7098</Words>
  <Characters>40459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Byles, Robert C. (LARC-E3)[SSAI DEVELOP]</cp:lastModifiedBy>
  <cp:revision>2</cp:revision>
  <dcterms:created xsi:type="dcterms:W3CDTF">2022-03-01T23:32:00Z</dcterms:created>
  <dcterms:modified xsi:type="dcterms:W3CDTF">2022-03-01T23:32:00Z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70300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