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4E66629"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sz w:val="32"/>
        </w:rPr>
        <w:t>Goddard Space Flight Center</w:t>
      </w:r>
    </w:p>
    <w:p w14:paraId="15E9DBE2"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i/>
          <w:sz w:val="32"/>
        </w:rPr>
        <w:t xml:space="preserve">Summer </w:t>
      </w:r>
      <w:commentRangeStart w:id="1"/>
      <w:r w:rsidRPr="003F56BA">
        <w:rPr>
          <w:rFonts w:ascii="Century Gothic" w:hAnsi="Century Gothic" w:cs="Arial"/>
          <w:i/>
          <w:sz w:val="32"/>
        </w:rPr>
        <w:t>2015</w:t>
      </w:r>
      <w:commentRangeEnd w:id="1"/>
      <w:r w:rsidRPr="003F56BA">
        <w:rPr>
          <w:rFonts w:ascii="Century Gothic" w:hAnsi="Century Gothic" w:cs="Arial"/>
          <w:sz w:val="32"/>
        </w:rPr>
        <w:commentReference w:id="1"/>
      </w:r>
    </w:p>
    <w:p w14:paraId="47A52E4A"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sz w:val="32"/>
        </w:rPr>
        <w:t xml:space="preserve"> </w:t>
      </w:r>
    </w:p>
    <w:p w14:paraId="26EDA7C6"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sz w:val="32"/>
        </w:rPr>
        <w:t>Himalayan Disasters II</w:t>
      </w:r>
    </w:p>
    <w:p w14:paraId="064A1712"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i/>
          <w:sz w:val="32"/>
        </w:rPr>
        <w:t>Utilizing a Landslide Identification Product and a Hazard Assessment Model for Enhanced Landslide Detection</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2"/>
      <w:r w:rsidR="00FB5846" w:rsidRPr="0064280B">
        <w:rPr>
          <w:rFonts w:ascii="Century Gothic" w:hAnsi="Century Gothic" w:cs="Arial"/>
          <w:b/>
          <w:sz w:val="32"/>
        </w:rPr>
        <w:t xml:space="preserve">Technical Report </w:t>
      </w:r>
      <w:commentRangeEnd w:id="2"/>
      <w:r w:rsidR="00FC670A">
        <w:rPr>
          <w:rStyle w:val="CommentReference"/>
        </w:rPr>
        <w:commentReference w:id="2"/>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7777777" w:rsidR="0041150E"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1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77777777" w:rsidR="00B265D9"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 xml:space="preserve">Author </w:t>
      </w:r>
      <w:r w:rsidR="00916AAB" w:rsidRPr="00FC670A">
        <w:rPr>
          <w:rFonts w:ascii="Century Gothic" w:hAnsi="Century Gothic" w:cs="Arial"/>
          <w:sz w:val="20"/>
          <w:szCs w:val="20"/>
        </w:rPr>
        <w:t>2</w:t>
      </w:r>
    </w:p>
    <w:p w14:paraId="28B20EB9"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3</w:t>
      </w:r>
    </w:p>
    <w:p w14:paraId="51EBA91F" w14:textId="77777777" w:rsidR="00FC670A" w:rsidRPr="00FC670A" w:rsidRDefault="00FC670A" w:rsidP="00FC670A">
      <w:pPr>
        <w:spacing w:after="0" w:line="240" w:lineRule="auto"/>
        <w:jc w:val="center"/>
        <w:rPr>
          <w:rFonts w:ascii="Century Gothic" w:hAnsi="Century Gothic" w:cs="Arial"/>
          <w:sz w:val="20"/>
          <w:szCs w:val="20"/>
        </w:rPr>
      </w:pPr>
      <w:r w:rsidRPr="00FC670A">
        <w:rPr>
          <w:rFonts w:ascii="Century Gothic" w:hAnsi="Century Gothic" w:cs="Arial"/>
          <w:sz w:val="20"/>
          <w:szCs w:val="20"/>
        </w:rPr>
        <w:t>Author 4</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72A023CC"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Justin Roberts-Pierel (Project Lead)</w:t>
      </w:r>
    </w:p>
    <w:p w14:paraId="048A4BB7"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Aakash Ahamed</w:t>
      </w:r>
    </w:p>
    <w:p w14:paraId="48874FAC"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Jessica Fayne</w:t>
      </w:r>
    </w:p>
    <w:p w14:paraId="0A084910" w14:textId="77777777" w:rsidR="003F56BA" w:rsidRPr="003F56BA" w:rsidRDefault="003F56BA" w:rsidP="003F56BA">
      <w:pPr>
        <w:spacing w:after="0" w:line="240" w:lineRule="auto"/>
        <w:jc w:val="center"/>
        <w:rPr>
          <w:rFonts w:ascii="Century Gothic" w:hAnsi="Century Gothic" w:cs="Arial"/>
          <w:sz w:val="20"/>
          <w:szCs w:val="20"/>
        </w:rPr>
      </w:pPr>
    </w:p>
    <w:p w14:paraId="7AE79A8A" w14:textId="77777777" w:rsidR="003F56BA" w:rsidRPr="003F56BA" w:rsidRDefault="003F56BA" w:rsidP="003F56BA">
      <w:pPr>
        <w:spacing w:after="0" w:line="240" w:lineRule="auto"/>
        <w:jc w:val="center"/>
        <w:rPr>
          <w:rFonts w:ascii="Century Gothic" w:hAnsi="Century Gothic" w:cs="Arial"/>
          <w:sz w:val="20"/>
          <w:szCs w:val="20"/>
        </w:rPr>
      </w:pPr>
    </w:p>
    <w:p w14:paraId="22209506" w14:textId="77777777" w:rsidR="003F56BA" w:rsidRPr="003F56BA" w:rsidRDefault="003F56BA" w:rsidP="003F56BA">
      <w:pPr>
        <w:spacing w:after="0" w:line="240" w:lineRule="auto"/>
        <w:jc w:val="center"/>
        <w:rPr>
          <w:rFonts w:ascii="Century Gothic" w:hAnsi="Century Gothic" w:cs="Arial"/>
          <w:sz w:val="20"/>
          <w:szCs w:val="20"/>
        </w:rPr>
      </w:pPr>
    </w:p>
    <w:p w14:paraId="5701C871"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Dr. Dalia B. Kirschbaum, NASA Goddard Space Flight Center (Science </w:t>
      </w:r>
      <w:commentRangeStart w:id="3"/>
      <w:r w:rsidRPr="003F56BA">
        <w:rPr>
          <w:rFonts w:ascii="Century Gothic" w:hAnsi="Century Gothic" w:cs="Arial"/>
          <w:sz w:val="20"/>
          <w:szCs w:val="20"/>
        </w:rPr>
        <w:t>Advisor</w:t>
      </w:r>
      <w:commentRangeEnd w:id="3"/>
      <w:r w:rsidRPr="003F56BA">
        <w:rPr>
          <w:rFonts w:ascii="Century Gothic" w:hAnsi="Century Gothic" w:cs="Arial"/>
          <w:sz w:val="20"/>
          <w:szCs w:val="20"/>
        </w:rPr>
        <w:commentReference w:id="3"/>
      </w:r>
      <w:r w:rsidRPr="003F56BA">
        <w:rPr>
          <w:rFonts w:ascii="Century Gothic" w:hAnsi="Century Gothic" w:cs="Arial"/>
          <w:sz w:val="20"/>
          <w:szCs w:val="20"/>
        </w:rPr>
        <w:t>)</w:t>
      </w:r>
    </w:p>
    <w:p w14:paraId="7A7378E7"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Dr. John D. Bolten (NASA Goddard Space Flight Center)</w:t>
      </w:r>
    </w:p>
    <w:p w14:paraId="3AF23EAA"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Thomas A. Stanley (NASA Goddard Space Flight Center)</w:t>
      </w:r>
    </w:p>
    <w:p w14:paraId="7A5AC643" w14:textId="77777777" w:rsidR="003F56BA" w:rsidRPr="003F56BA" w:rsidRDefault="003F56BA" w:rsidP="003F56BA">
      <w:pPr>
        <w:spacing w:after="0" w:line="240" w:lineRule="auto"/>
        <w:jc w:val="center"/>
        <w:rPr>
          <w:rFonts w:ascii="Century Gothic" w:hAnsi="Century Gothic" w:cs="Arial"/>
          <w:sz w:val="20"/>
          <w:szCs w:val="20"/>
        </w:rPr>
      </w:pPr>
    </w:p>
    <w:p w14:paraId="0774F5A0"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 </w:t>
      </w:r>
    </w:p>
    <w:p w14:paraId="2CFFA337"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Previous Contributors:</w:t>
      </w:r>
    </w:p>
    <w:p w14:paraId="66252F46"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Amanda Rumsey</w:t>
      </w:r>
    </w:p>
    <w:p w14:paraId="3B937668"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Jamie Shiplet</w:t>
      </w:r>
    </w:p>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4"/>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4A3C1190" w14:textId="77777777" w:rsidR="003F56BA" w:rsidRPr="003F56BA" w:rsidRDefault="003F56BA" w:rsidP="003F56BA">
      <w:pPr>
        <w:spacing w:after="0" w:line="240" w:lineRule="auto"/>
        <w:rPr>
          <w:rFonts w:ascii="Century Gothic" w:hAnsi="Century Gothic" w:cs="Arial"/>
        </w:rPr>
      </w:pPr>
      <w:r>
        <w:rPr>
          <w:rFonts w:ascii="Century Gothic" w:hAnsi="Century Gothic" w:cs="Arial"/>
        </w:rPr>
        <w:t>Landslides</w:t>
      </w:r>
      <w:r w:rsidRPr="003F56BA">
        <w:rPr>
          <w:rFonts w:ascii="Century Gothic" w:hAnsi="Century Gothic" w:cs="Arial"/>
        </w:rPr>
        <w:t xml:space="preserve">, Precipitation, Remote Sensing, Mass Movement, GPM, Landsat, Risk Assessment </w:t>
      </w:r>
    </w:p>
    <w:p w14:paraId="36F9FEF5" w14:textId="2B29AF7E" w:rsidR="002C4C2E" w:rsidRPr="00494746" w:rsidRDefault="002C4C2E" w:rsidP="008975BD">
      <w:pPr>
        <w:spacing w:after="0" w:line="240" w:lineRule="auto"/>
        <w:rPr>
          <w:rFonts w:ascii="Century Gothic" w:hAnsi="Century Gothic" w:cs="Arial"/>
        </w:rPr>
      </w:pPr>
    </w:p>
    <w:p w14:paraId="2FB6D409" w14:textId="77777777" w:rsidR="00FB5846" w:rsidRPr="00B265D9" w:rsidRDefault="008B7071" w:rsidP="00D3013B">
      <w:pPr>
        <w:pStyle w:val="Heading1"/>
        <w:rPr>
          <w:rFonts w:ascii="Century Gothic" w:hAnsi="Century Gothic"/>
        </w:rPr>
      </w:pPr>
      <w:bookmarkStart w:id="5" w:name="_Toc334198720"/>
      <w:r>
        <w:rPr>
          <w:rFonts w:ascii="Century Gothic" w:hAnsi="Century Gothic"/>
        </w:rPr>
        <w:t xml:space="preserve">II. </w:t>
      </w:r>
      <w:r w:rsidR="00FB5846" w:rsidRPr="00B265D9">
        <w:rPr>
          <w:rFonts w:ascii="Century Gothic" w:hAnsi="Century Gothic"/>
        </w:rPr>
        <w:t>Introduction</w:t>
      </w:r>
      <w:bookmarkEnd w:id="5"/>
    </w:p>
    <w:p w14:paraId="73F7C24C" w14:textId="018BE21D"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A landslide is a type of mass wasting event that occurs when down-slope forces exceed the strength of the slope materials (Cruden, 1991). Changes in slope stability can occur due to natural forcings like intense rainfall, rapid snowmelt, fluctuating water levels, and seismicity (Caine, 1980; Wieczoreck, 1996), as well as anthropogenic factors like deforestation and land use change (Swanson and Dyrness, 1975). Nepal and the Himalayan region is highly susceptible to landslides due to mountainous topography, active seismicity, complex terrain, and monsoon rains. Additionally, Nepal’s underdeveloped infrastructure coupled with its vulnerable location results in hundreds of fatalities and millions of dollars in losses caused by landslides in the region annually (Dahal and Hasegawa, 2008). </w:t>
      </w:r>
    </w:p>
    <w:p w14:paraId="02E5E502" w14:textId="77777777" w:rsidR="003F56BA" w:rsidRPr="003F56BA" w:rsidRDefault="003F56BA" w:rsidP="003F56BA">
      <w:pPr>
        <w:spacing w:after="0" w:line="240" w:lineRule="auto"/>
        <w:rPr>
          <w:rFonts w:ascii="Century Gothic" w:hAnsi="Century Gothic" w:cs="Arial"/>
        </w:rPr>
      </w:pPr>
    </w:p>
    <w:p w14:paraId="488F39E5" w14:textId="77777777"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On April 25, 2015, the M7.8 Gorkha earthquake struck Nepal, causing more than 9,000 fatalities, 21,000 injuries, and $1-2 billion in damages. Given the approaching monsoon season, rainfall-triggered landslides are likely to emerge as a significant induced hazard in the region. While the Gorkha earthquake is thought to have caused over 900 landslides (British Geological Survey and ICIMOD), historic data shows that more than 80% of landslides in the region occur between June and August due to increased levels of precipitation associated with the summer monsoon season (Dahal and Hasegawa, 2008). As such, more attention must be given to mitigating loss of life and economic damages during the monsoon period.</w:t>
      </w:r>
    </w:p>
    <w:p w14:paraId="39ACDA90" w14:textId="77777777" w:rsidR="003F56BA" w:rsidRPr="003F56BA" w:rsidRDefault="003F56BA" w:rsidP="003F56BA">
      <w:pPr>
        <w:spacing w:after="0" w:line="240" w:lineRule="auto"/>
        <w:rPr>
          <w:rFonts w:ascii="Century Gothic" w:hAnsi="Century Gothic" w:cs="Arial"/>
        </w:rPr>
      </w:pPr>
    </w:p>
    <w:p w14:paraId="3749A506" w14:textId="77777777"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The devastating Gorkha earthquake has garnered (awkward, maybe attracted?) the attention of international organizations who have increased landslide mapping efforts and high-resolution imagery acquisition. These collaborative developments present an exciting research opportunity to prevent loss of life and economic damages caused by rainfall-induced landslides in the region by developing near real-time automatic detection products, hazard assessments, and decision support tools for end-users. With current underestimation of landslide impacts and the increasing trend in frequency and intensity of landslide events due to anthropogenic factors (Petley et al., 2007), this work is critical even outside the scope of the earthquake. </w:t>
      </w:r>
    </w:p>
    <w:p w14:paraId="1F4CA170" w14:textId="77777777" w:rsidR="003F56BA" w:rsidRPr="003F56BA" w:rsidRDefault="003F56BA" w:rsidP="003F56BA">
      <w:pPr>
        <w:spacing w:after="0" w:line="240" w:lineRule="auto"/>
        <w:rPr>
          <w:rFonts w:ascii="Century Gothic" w:hAnsi="Century Gothic" w:cs="Arial"/>
        </w:rPr>
      </w:pPr>
    </w:p>
    <w:p w14:paraId="59D9F963" w14:textId="77777777"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Previous work in this study aimed to collate and mine available landslide inventories including NASA’s Global Landslide Catalog (GLC) and The International Centre for Integrated Mountain Development’s (ICIMOD) landslide datasets to create a 23-year landslide database detailing landslide event information from 1992 to 2015 for the Nepal and Himalaya region. Along with event data collection, a Sudden Landslide </w:t>
      </w:r>
      <w:r w:rsidRPr="003F56BA">
        <w:rPr>
          <w:rFonts w:ascii="Century Gothic" w:hAnsi="Century Gothic" w:cs="Arial"/>
        </w:rPr>
        <w:lastRenderedPageBreak/>
        <w:t xml:space="preserve">Identification Product (SLIP) was generated to identify landslides that were not recorded in the GLC and the ICIMOD landslide datasets. A landslide susceptibility map was created using an empirical frequency ratio model to analyze the impact of anthropogenic and natural variables on slope stability, and event information from the 2010 ICIMOD dataset was used as a validation tool. </w:t>
      </w:r>
    </w:p>
    <w:p w14:paraId="1A41318B" w14:textId="77777777" w:rsidR="003F56BA" w:rsidRPr="003F56BA" w:rsidRDefault="003F56BA" w:rsidP="003F56BA">
      <w:pPr>
        <w:spacing w:after="0" w:line="240" w:lineRule="auto"/>
        <w:rPr>
          <w:rFonts w:ascii="Century Gothic" w:hAnsi="Century Gothic" w:cs="Arial"/>
        </w:rPr>
      </w:pPr>
    </w:p>
    <w:p w14:paraId="52166E86" w14:textId="77777777" w:rsidR="003F56BA" w:rsidRPr="003F56BA" w:rsidRDefault="003F56BA" w:rsidP="003F56BA">
      <w:pPr>
        <w:spacing w:after="0" w:line="240" w:lineRule="auto"/>
        <w:rPr>
          <w:rFonts w:ascii="Century Gothic" w:hAnsi="Century Gothic" w:cs="Arial"/>
        </w:rPr>
      </w:pPr>
      <w:commentRangeStart w:id="6"/>
      <w:r w:rsidRPr="003F56BA">
        <w:rPr>
          <w:rFonts w:ascii="Century Gothic" w:hAnsi="Century Gothic" w:cs="Arial"/>
        </w:rPr>
        <w:t xml:space="preserve">The current phase of this study seeks to leverage SLIP, the Susceptibility Map and Earth Observation data like the Global Precipitation Measurement Mission (GPM) and Tropical Rainfall Measuring Mission (TRMM) to develop a near real-time landslide hazard assessment model for Nepal and the Himalaya region. This product will serve end-users, including The International Centre for Integrated Mountain Development, with the intention to </w:t>
      </w:r>
      <w:commentRangeStart w:id="7"/>
      <w:r w:rsidRPr="003F56BA">
        <w:rPr>
          <w:rFonts w:ascii="Century Gothic" w:hAnsi="Century Gothic" w:cs="Arial"/>
        </w:rPr>
        <w:t xml:space="preserve">mitigate loss of life and economic damage. </w:t>
      </w:r>
      <w:commentRangeEnd w:id="6"/>
      <w:r w:rsidRPr="003F56BA">
        <w:rPr>
          <w:rFonts w:ascii="Century Gothic" w:hAnsi="Century Gothic" w:cs="Arial"/>
        </w:rPr>
        <w:commentReference w:id="6"/>
      </w:r>
      <w:commentRangeEnd w:id="7"/>
      <w:r w:rsidRPr="003F56BA">
        <w:rPr>
          <w:rFonts w:ascii="Century Gothic" w:hAnsi="Century Gothic" w:cs="Arial"/>
        </w:rPr>
        <w:commentReference w:id="7"/>
      </w:r>
    </w:p>
    <w:p w14:paraId="78FAF590" w14:textId="11FD1B0B" w:rsidR="00242822" w:rsidRPr="003F56BA" w:rsidRDefault="003F56BA" w:rsidP="003F56BA">
      <w:pPr>
        <w:spacing w:after="0" w:line="240" w:lineRule="auto"/>
        <w:rPr>
          <w:rFonts w:ascii="Century Gothic" w:hAnsi="Century Gothic" w:cs="Arial"/>
        </w:rPr>
      </w:pPr>
      <w:r w:rsidRPr="003F56BA">
        <w:rPr>
          <w:rFonts w:ascii="Century Gothic" w:hAnsi="Century Gothic" w:cs="Arial"/>
        </w:rPr>
        <w:br/>
        <w:t xml:space="preserve">Our partner and boundary organization, </w:t>
      </w:r>
      <w:r w:rsidRPr="003F56BA">
        <w:rPr>
          <w:rFonts w:ascii="Century Gothic" w:hAnsi="Century Gothic" w:cs="Arial"/>
        </w:rPr>
        <w:commentReference w:id="8"/>
      </w:r>
      <w:r w:rsidRPr="003F56BA">
        <w:rPr>
          <w:rFonts w:ascii="Century Gothic" w:hAnsi="Century Gothic" w:cs="Arial"/>
        </w:rPr>
        <w:t>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 the fragile mountainous ecosystems as well as local communities. ICIMOD oversees a variety of programs that were constructed to generate innovative forecasting products. ICIMOD’s Koshi Basin Program was assembled to enhance the management of the Koshi River Basin within Nepal and to improve the wellbeing of local communities through evaluation of water-related pathways. As of now, few efforts have been made to use remotely sensed information to document landslide locations and estimate potential landslide conditions in near-real time within the region. The hazard model and nowcasting product provided as an outcome of this study will be used by ICIMOD to protect and manage the river basin ecosystem and to reduce casualties, injuries, damage to infrastructure, and poverty through integrated natural resources management and basin-wide cooperation.</w:t>
      </w:r>
    </w:p>
    <w:p w14:paraId="4EAB8422" w14:textId="1B8143E8" w:rsidR="00E41324" w:rsidRPr="00B265D9" w:rsidRDefault="008B7071" w:rsidP="00D3013B">
      <w:pPr>
        <w:pStyle w:val="Heading1"/>
        <w:rPr>
          <w:rFonts w:ascii="Century Gothic" w:hAnsi="Century Gothic"/>
        </w:rPr>
      </w:pPr>
      <w:bookmarkStart w:id="9" w:name="_Toc334198726"/>
      <w:r>
        <w:rPr>
          <w:rFonts w:ascii="Century Gothic" w:hAnsi="Century Gothic"/>
        </w:rPr>
        <w:t xml:space="preserve">III. </w:t>
      </w:r>
      <w:r w:rsidR="00E41324" w:rsidRPr="00B265D9">
        <w:rPr>
          <w:rFonts w:ascii="Century Gothic" w:hAnsi="Century Gothic"/>
        </w:rPr>
        <w:t>Methodology</w:t>
      </w:r>
      <w:bookmarkEnd w:id="9"/>
    </w:p>
    <w:p w14:paraId="24F8D8B5" w14:textId="5EE3C505" w:rsidR="00E41324" w:rsidRDefault="00E03B8E" w:rsidP="008975BD">
      <w:pPr>
        <w:spacing w:after="0" w:line="240" w:lineRule="auto"/>
        <w:rPr>
          <w:rFonts w:ascii="Century Gothic" w:hAnsi="Century Gothic" w:cs="Arial"/>
          <w:szCs w:val="24"/>
        </w:rPr>
      </w:pPr>
      <w:r>
        <w:rPr>
          <w:rFonts w:ascii="Century Gothic" w:hAnsi="Century Gothic" w:cs="Arial"/>
          <w:szCs w:val="24"/>
        </w:rPr>
        <w:t>This</w:t>
      </w:r>
      <w:r w:rsidR="003F56BA">
        <w:rPr>
          <w:rFonts w:ascii="Century Gothic" w:hAnsi="Century Gothic" w:cs="Arial"/>
          <w:szCs w:val="24"/>
        </w:rPr>
        <w:t xml:space="preserve"> </w:t>
      </w:r>
      <w:r>
        <w:rPr>
          <w:rFonts w:ascii="Century Gothic" w:hAnsi="Century Gothic" w:cs="Arial"/>
          <w:szCs w:val="24"/>
        </w:rPr>
        <w:t xml:space="preserve">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10" w:name="_Toc334198727"/>
      <w:r w:rsidRPr="00E03B8E">
        <w:rPr>
          <w:rFonts w:ascii="Century Gothic" w:hAnsi="Century Gothic"/>
        </w:rPr>
        <w:t>Data Acquisition</w:t>
      </w:r>
      <w:bookmarkEnd w:id="10"/>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bookmarkStart w:id="11" w:name="_GoBack"/>
      <w:bookmarkEnd w:id="11"/>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12" w:name="_Toc334198728"/>
      <w:r w:rsidRPr="00E03B8E">
        <w:rPr>
          <w:rFonts w:ascii="Century Gothic" w:hAnsi="Century Gothic"/>
        </w:rPr>
        <w:t>Data Processing</w:t>
      </w:r>
      <w:bookmarkEnd w:id="12"/>
      <w:r w:rsidR="00E03B8E">
        <w:rPr>
          <w:rFonts w:ascii="Century Gothic" w:hAnsi="Century Gothic"/>
        </w:rPr>
        <w:t xml:space="preserve">: </w:t>
      </w:r>
      <w:r w:rsidR="00242822" w:rsidRPr="00E03B8E">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p>
    <w:p w14:paraId="630A29C1" w14:textId="4685F44C" w:rsidR="003F56BA" w:rsidRDefault="00E03B8E" w:rsidP="003F56BA">
      <w:pPr>
        <w:pStyle w:val="NoSpacing"/>
        <w:numPr>
          <w:ilvl w:val="0"/>
          <w:numId w:val="5"/>
        </w:numPr>
        <w:rPr>
          <w:rFonts w:ascii="Century Gothic" w:hAnsi="Century Gothic"/>
        </w:rPr>
      </w:pPr>
      <w:bookmarkStart w:id="13" w:name="_Toc334198729"/>
      <w:r>
        <w:rPr>
          <w:rFonts w:ascii="Century Gothic" w:hAnsi="Century Gothic"/>
        </w:rPr>
        <w:t>D</w:t>
      </w:r>
      <w:r w:rsidR="00E41324" w:rsidRPr="00E03B8E">
        <w:rPr>
          <w:rFonts w:ascii="Century Gothic" w:hAnsi="Century Gothic"/>
        </w:rPr>
        <w:t>ata Analysis</w:t>
      </w:r>
      <w:bookmarkEnd w:id="13"/>
      <w:r>
        <w:rPr>
          <w:rFonts w:ascii="Century Gothic" w:hAnsi="Century Gothic"/>
        </w:rPr>
        <w:t xml:space="preserve">: </w:t>
      </w:r>
      <w:r w:rsidR="00242822" w:rsidRPr="00E03B8E">
        <w:rPr>
          <w:rFonts w:ascii="Century Gothic" w:hAnsi="Century Gothic"/>
        </w:rPr>
        <w:t>How did you analyze the data? What methods did you use?</w:t>
      </w:r>
    </w:p>
    <w:p w14:paraId="1BF9E6C5" w14:textId="77777777" w:rsidR="003F56BA" w:rsidRDefault="003F56BA" w:rsidP="003F56BA">
      <w:pPr>
        <w:pStyle w:val="NoSpacing"/>
        <w:rPr>
          <w:rFonts w:ascii="Century Gothic" w:hAnsi="Century Gothic"/>
        </w:rPr>
      </w:pPr>
    </w:p>
    <w:p w14:paraId="4832528F" w14:textId="77777777" w:rsidR="003F56BA" w:rsidRDefault="003F56BA" w:rsidP="003F56BA">
      <w:pPr>
        <w:spacing w:after="0" w:line="240" w:lineRule="auto"/>
        <w:rPr>
          <w:rFonts w:ascii="Century Gothic" w:hAnsi="Century Gothic" w:cs="Arial"/>
          <w:b/>
          <w:szCs w:val="24"/>
          <w:u w:val="single"/>
        </w:rPr>
      </w:pPr>
    </w:p>
    <w:p w14:paraId="07865DC9"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b/>
          <w:szCs w:val="24"/>
          <w:u w:val="single"/>
        </w:rPr>
        <w:lastRenderedPageBreak/>
        <w:t>Sudden Landslide Identification Product (SLIP)</w:t>
      </w:r>
    </w:p>
    <w:p w14:paraId="48C8AED4" w14:textId="77777777" w:rsidR="003F56BA" w:rsidRPr="003F56BA" w:rsidRDefault="003F56BA" w:rsidP="003F56BA">
      <w:pPr>
        <w:spacing w:after="0" w:line="240" w:lineRule="auto"/>
        <w:rPr>
          <w:rFonts w:ascii="Century Gothic" w:hAnsi="Century Gothic" w:cs="Arial"/>
          <w:szCs w:val="24"/>
        </w:rPr>
      </w:pPr>
    </w:p>
    <w:p w14:paraId="55E7C771"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Algorithm (**Methodology in this section still being developed **)</w:t>
      </w:r>
    </w:p>
    <w:p w14:paraId="37DB1E61" w14:textId="629769AE"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The initial development of the Sudden Landslide Identification Product (SLIP) detection algorithm involved downloading a single Landsat 8 scene from </w:t>
      </w:r>
      <w:commentRangeStart w:id="14"/>
      <w:r w:rsidRPr="003F56BA">
        <w:rPr>
          <w:rFonts w:ascii="Century Gothic" w:hAnsi="Century Gothic" w:cs="Arial"/>
          <w:szCs w:val="24"/>
        </w:rPr>
        <w:t xml:space="preserve">January 2015 </w:t>
      </w:r>
      <w:commentRangeEnd w:id="14"/>
      <w:r w:rsidRPr="003F56BA">
        <w:rPr>
          <w:rFonts w:ascii="Century Gothic" w:hAnsi="Century Gothic" w:cs="Arial"/>
          <w:szCs w:val="24"/>
        </w:rPr>
        <w:commentReference w:id="14"/>
      </w:r>
      <w:r w:rsidRPr="003F56BA">
        <w:rPr>
          <w:rFonts w:ascii="Century Gothic" w:hAnsi="Century Gothic" w:cs="Arial"/>
          <w:szCs w:val="24"/>
        </w:rPr>
        <w:t xml:space="preserve">to quantify the spectral characteristics of a specific landslide event, the Jure Landslide, </w:t>
      </w:r>
      <w:r>
        <w:rPr>
          <w:rFonts w:ascii="Century Gothic" w:hAnsi="Century Gothic" w:cs="Arial"/>
          <w:szCs w:val="24"/>
        </w:rPr>
        <w:t>which</w:t>
      </w:r>
      <w:r w:rsidRPr="003F56BA">
        <w:rPr>
          <w:rFonts w:ascii="Century Gothic" w:hAnsi="Century Gothic" w:cs="Arial"/>
          <w:szCs w:val="24"/>
        </w:rPr>
        <w:t xml:space="preserve"> occurred in </w:t>
      </w:r>
      <w:commentRangeStart w:id="15"/>
      <w:r w:rsidRPr="003F56BA">
        <w:rPr>
          <w:rFonts w:ascii="Century Gothic" w:hAnsi="Century Gothic" w:cs="Arial"/>
          <w:szCs w:val="24"/>
        </w:rPr>
        <w:t>November 2014</w:t>
      </w:r>
      <w:commentRangeEnd w:id="15"/>
      <w:r w:rsidRPr="003F56BA">
        <w:rPr>
          <w:rFonts w:ascii="Century Gothic" w:hAnsi="Century Gothic" w:cs="Arial"/>
          <w:szCs w:val="24"/>
        </w:rPr>
        <w:commentReference w:id="15"/>
      </w:r>
      <w:r w:rsidRPr="003F56BA">
        <w:rPr>
          <w:rFonts w:ascii="Century Gothic" w:hAnsi="Century Gothic" w:cs="Arial"/>
          <w:szCs w:val="24"/>
        </w:rPr>
        <w:t xml:space="preserve">. The original algorithm focused on the combination of the visible red, green, and blue wavelengths to find areas that matched the color of a landslide. Testing and validation indicated that increases in red wavelengths better captured the spectral characteristics of landslides. Therefore, percent red wavelength was calculated for each pixel, and a comparison was made between consecutive Landsat scenes to flag areas of interest. </w:t>
      </w:r>
      <w:commentRangeStart w:id="16"/>
      <w:r w:rsidRPr="003F56BA">
        <w:rPr>
          <w:rFonts w:ascii="Century Gothic" w:hAnsi="Century Gothic" w:cs="Arial"/>
          <w:szCs w:val="24"/>
        </w:rPr>
        <w:t>Large percentage increases in the red wavelengths (Band 4) are indicative of bare soil areas that are more likely to be landslides. Red wavelengths are calculated using a s</w:t>
      </w:r>
      <w:r w:rsidR="00723770">
        <w:rPr>
          <w:rFonts w:ascii="Century Gothic" w:hAnsi="Century Gothic" w:cs="Arial"/>
          <w:szCs w:val="24"/>
        </w:rPr>
        <w:t xml:space="preserve">imple percent change technique: </w:t>
      </w:r>
      <w:r w:rsidRPr="003F56BA">
        <w:rPr>
          <w:rFonts w:ascii="Century Gothic" w:hAnsi="Century Gothic" w:cs="Arial"/>
          <w:szCs w:val="24"/>
        </w:rPr>
        <w:t>((Red Date 2-Red Date 1)/Red Date 1)*100. In addition, the near infrared and short-wave infrared bands are used to calculate a moisture index (Modified from Qu), and (IR-SWIR)/(IR+SWIR). This product is calculate</w:t>
      </w:r>
      <w:r w:rsidR="00723770">
        <w:rPr>
          <w:rFonts w:ascii="Century Gothic" w:hAnsi="Century Gothic" w:cs="Arial"/>
          <w:szCs w:val="24"/>
        </w:rPr>
        <w:t>d over each scene individually</w:t>
      </w:r>
      <w:r w:rsidRPr="003F56BA">
        <w:rPr>
          <w:rFonts w:ascii="Century Gothic" w:hAnsi="Century Gothic" w:cs="Arial"/>
          <w:szCs w:val="24"/>
        </w:rPr>
        <w:t xml:space="preserve"> and then between dates to identify change. Values falling within the range of expected values for a landslide event are translated into binary matrices, and then summed. </w:t>
      </w:r>
      <w:commentRangeEnd w:id="16"/>
      <w:r w:rsidRPr="003F56BA">
        <w:rPr>
          <w:rFonts w:ascii="Century Gothic" w:hAnsi="Century Gothic" w:cs="Arial"/>
          <w:szCs w:val="24"/>
        </w:rPr>
        <w:commentReference w:id="16"/>
      </w:r>
    </w:p>
    <w:p w14:paraId="6C295164" w14:textId="77777777" w:rsidR="003F56BA" w:rsidRPr="003F56BA" w:rsidRDefault="003F56BA" w:rsidP="003F56BA">
      <w:pPr>
        <w:spacing w:after="0" w:line="240" w:lineRule="auto"/>
        <w:rPr>
          <w:rFonts w:ascii="Century Gothic" w:hAnsi="Century Gothic" w:cs="Arial"/>
          <w:szCs w:val="24"/>
        </w:rPr>
      </w:pPr>
    </w:p>
    <w:p w14:paraId="08246796" w14:textId="77777777" w:rsidR="003F56BA" w:rsidRPr="003F56BA" w:rsidRDefault="003F56BA" w:rsidP="003F56BA">
      <w:pPr>
        <w:spacing w:after="0" w:line="240" w:lineRule="auto"/>
        <w:rPr>
          <w:rFonts w:ascii="Century Gothic" w:hAnsi="Century Gothic" w:cs="Arial"/>
          <w:szCs w:val="24"/>
        </w:rPr>
      </w:pPr>
      <w:commentRangeStart w:id="17"/>
      <w:r w:rsidRPr="003F56BA">
        <w:rPr>
          <w:rFonts w:ascii="Century Gothic" w:hAnsi="Century Gothic" w:cs="Arial"/>
          <w:szCs w:val="24"/>
        </w:rPr>
        <w:t>Cloud</w:t>
      </w:r>
      <w:commentRangeEnd w:id="17"/>
      <w:r w:rsidRPr="003F56BA">
        <w:rPr>
          <w:rFonts w:ascii="Century Gothic" w:hAnsi="Century Gothic" w:cs="Arial"/>
          <w:szCs w:val="24"/>
        </w:rPr>
        <w:commentReference w:id="17"/>
      </w:r>
      <w:r w:rsidRPr="003F56BA">
        <w:rPr>
          <w:rFonts w:ascii="Century Gothic" w:hAnsi="Century Gothic" w:cs="Arial"/>
          <w:szCs w:val="24"/>
        </w:rPr>
        <w:t xml:space="preserve"> cover is a well-documented issue in remote sensing and image analysis (e.g. Asner, 1999). Clouds alter the overall spectral signature of Landsat images and obscure relevant information on the landscape. This study sought to expand on previous work by applying corrective measures (TBD either masking or backfilling) to Landsat imagery in order to account for their influence, or pixels classified as clouds by the Landsat 8 Quality Assurance band </w:t>
      </w:r>
      <w:commentRangeStart w:id="18"/>
      <w:r w:rsidRPr="003F56BA">
        <w:rPr>
          <w:rFonts w:ascii="Century Gothic" w:hAnsi="Century Gothic" w:cs="Arial"/>
          <w:szCs w:val="24"/>
        </w:rPr>
        <w:t>were</w:t>
      </w:r>
      <w:commentRangeEnd w:id="18"/>
      <w:r w:rsidRPr="003F56BA">
        <w:rPr>
          <w:rFonts w:ascii="Century Gothic" w:hAnsi="Century Gothic" w:cs="Arial"/>
          <w:szCs w:val="24"/>
        </w:rPr>
        <w:commentReference w:id="18"/>
      </w:r>
      <w:r w:rsidRPr="003F56BA">
        <w:rPr>
          <w:rFonts w:ascii="Century Gothic" w:hAnsi="Century Gothic" w:cs="Arial"/>
          <w:szCs w:val="24"/>
        </w:rPr>
        <w:t xml:space="preserve"> masked and not considered in the SLIP analysis. </w:t>
      </w:r>
    </w:p>
    <w:p w14:paraId="77A69B83" w14:textId="77777777" w:rsidR="003F56BA" w:rsidRPr="003F56BA" w:rsidRDefault="003F56BA" w:rsidP="003F56BA">
      <w:pPr>
        <w:spacing w:after="0" w:line="240" w:lineRule="auto"/>
        <w:rPr>
          <w:rFonts w:ascii="Century Gothic" w:hAnsi="Century Gothic" w:cs="Arial"/>
          <w:szCs w:val="24"/>
        </w:rPr>
      </w:pPr>
    </w:p>
    <w:p w14:paraId="4DA8EF5E"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 xml:space="preserve">Automation </w:t>
      </w:r>
    </w:p>
    <w:p w14:paraId="64F3CFE0"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In order to apply SLIP to near-real time satellite imagery, a Python program was written to automatically download Landsat 8 scenes in the Nepal and Himalaya region (Paths 139-145; Rows 37-41) when they become available every 16 days. The SLIP algorithm is applied to each new scene, and new scenes are compared against old scenes in order to identify areas where spectral changes have occurred at the pixel level. Changed pixels are flagged as potential landslides that merit further inspection. </w:t>
      </w:r>
    </w:p>
    <w:p w14:paraId="787A9F56" w14:textId="77777777" w:rsidR="003F56BA" w:rsidRPr="003F56BA" w:rsidRDefault="003F56BA" w:rsidP="003F56BA">
      <w:pPr>
        <w:spacing w:after="0" w:line="240" w:lineRule="auto"/>
        <w:rPr>
          <w:rFonts w:ascii="Century Gothic" w:hAnsi="Century Gothic" w:cs="Arial"/>
          <w:szCs w:val="24"/>
        </w:rPr>
      </w:pPr>
    </w:p>
    <w:p w14:paraId="133F93B7"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Integration with Ancillary Datasets</w:t>
      </w:r>
    </w:p>
    <w:p w14:paraId="0912957F"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Other datasets and analytical techniques were considered in order to assess the likelihood that pixels characterized as “changed” from one Landsat scene to the next did in fact reflect landslides. Considered datasets include 30-meter Digital Elevation Model (DEM) mosaicked from Advanced Spaceborne Thermal Emission and Reflection Radiometer (ASTER) imagery, a Normalized Difference Vegetation Index (NDVI) calculated from Landsat imagery, and near-realtime precipitation data from GPM. TBD: Pixels flagged as landslides with &lt;15° slope were eliminated from consideration. Pixels falling outside the NDVI range X &lt; Y were eliminated from consideration. Areas experiencing &lt;X mm/hr precipitation were excluded from consideration.</w:t>
      </w:r>
    </w:p>
    <w:p w14:paraId="28FDDD97" w14:textId="77777777" w:rsidR="003F56BA" w:rsidRPr="003F56BA" w:rsidRDefault="003F56BA" w:rsidP="003F56BA">
      <w:pPr>
        <w:spacing w:after="0" w:line="240" w:lineRule="auto"/>
        <w:rPr>
          <w:rFonts w:ascii="Century Gothic" w:hAnsi="Century Gothic" w:cs="Arial"/>
          <w:szCs w:val="24"/>
        </w:rPr>
      </w:pPr>
    </w:p>
    <w:p w14:paraId="2E2AA307" w14:textId="77777777" w:rsidR="003F56BA" w:rsidRPr="003F56BA" w:rsidRDefault="003F56BA" w:rsidP="003F56BA">
      <w:pPr>
        <w:spacing w:after="0" w:line="240" w:lineRule="auto"/>
        <w:rPr>
          <w:rFonts w:ascii="Century Gothic" w:hAnsi="Century Gothic" w:cs="Arial"/>
          <w:szCs w:val="24"/>
        </w:rPr>
      </w:pPr>
    </w:p>
    <w:p w14:paraId="34BD0DB9"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b/>
          <w:szCs w:val="24"/>
          <w:u w:val="single"/>
        </w:rPr>
        <w:t>TBD: Precipitation Analysis using GPM, TRMM, and Historic Gauge Data</w:t>
      </w:r>
    </w:p>
    <w:p w14:paraId="53C4454D" w14:textId="77777777" w:rsidR="003F56BA" w:rsidRPr="003F56BA" w:rsidRDefault="003F56BA" w:rsidP="003F56BA">
      <w:pPr>
        <w:spacing w:after="0" w:line="240" w:lineRule="auto"/>
        <w:rPr>
          <w:rFonts w:ascii="Century Gothic" w:hAnsi="Century Gothic" w:cs="Arial"/>
          <w:szCs w:val="24"/>
        </w:rPr>
      </w:pPr>
    </w:p>
    <w:p w14:paraId="2BA385AC"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 xml:space="preserve">Intensity Duration Frequency (IDF) Thresholds </w:t>
      </w:r>
    </w:p>
    <w:p w14:paraId="3B4BE423"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Following the methods of Elsebaie (2012), IDF curves were developed by applying the Gumbel Distribution technique to GPM data. IDF curves characterize the frequency at which a given rainfall intensity (mm/hr) will occur, and the corresponding durations for a given intensity. </w:t>
      </w:r>
    </w:p>
    <w:p w14:paraId="697BE595" w14:textId="77777777" w:rsidR="003F56BA" w:rsidRPr="003F56BA" w:rsidRDefault="003F56BA" w:rsidP="003F56BA">
      <w:pPr>
        <w:spacing w:after="0" w:line="240" w:lineRule="auto"/>
        <w:rPr>
          <w:rFonts w:ascii="Century Gothic" w:hAnsi="Century Gothic" w:cs="Arial"/>
          <w:szCs w:val="24"/>
        </w:rPr>
      </w:pPr>
    </w:p>
    <w:p w14:paraId="51238149"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Historic Daily Maximum Precipitation from Gauge Data</w:t>
      </w:r>
    </w:p>
    <w:p w14:paraId="5A23A688"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Historic accumulated rainfall data was acquired through ICIMOD, spanning the eastern region of Nepal with 65 gauge stations with daily accumulation data from 1970-2010, offering a rare perspective into long-term precipitation trends in Nepal. The gauge data was processed and analyzed in MATLAB by examining the provided daily accumulated rainfall, as well as 3-day, 5-day, and 7-day summations. These summations were then graphed by average and by sum to determine climatology trends in this region of Nepal. </w:t>
      </w:r>
    </w:p>
    <w:p w14:paraId="24B8A785" w14:textId="77777777" w:rsidR="003F56BA" w:rsidRPr="003F56BA" w:rsidRDefault="003F56BA" w:rsidP="003F56BA">
      <w:pPr>
        <w:spacing w:after="0" w:line="240" w:lineRule="auto"/>
        <w:rPr>
          <w:rFonts w:ascii="Century Gothic" w:hAnsi="Century Gothic" w:cs="Arial"/>
          <w:szCs w:val="24"/>
        </w:rPr>
      </w:pPr>
    </w:p>
    <w:p w14:paraId="5AFF534F"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Slope Failure Threshold Determination Analysis</w:t>
      </w:r>
    </w:p>
    <w:p w14:paraId="102BEE2B"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**Being developed**</w:t>
      </w:r>
    </w:p>
    <w:p w14:paraId="005CB3C1" w14:textId="77777777" w:rsidR="003F56BA" w:rsidRPr="003F56BA" w:rsidRDefault="003F56BA" w:rsidP="003F56BA">
      <w:pPr>
        <w:spacing w:after="0" w:line="240" w:lineRule="auto"/>
        <w:rPr>
          <w:rFonts w:ascii="Century Gothic" w:hAnsi="Century Gothic" w:cs="Arial"/>
          <w:szCs w:val="24"/>
        </w:rPr>
      </w:pPr>
    </w:p>
    <w:p w14:paraId="7F689534"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 xml:space="preserve">Forecasting Landslides using Near Real Time GPM Data </w:t>
      </w:r>
    </w:p>
    <w:p w14:paraId="6A30DE88"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**Being developed**</w:t>
      </w:r>
    </w:p>
    <w:p w14:paraId="5D16E144" w14:textId="77777777" w:rsidR="003F56BA" w:rsidRPr="003F56BA" w:rsidRDefault="003F56BA" w:rsidP="003F56BA">
      <w:pPr>
        <w:pStyle w:val="NoSpacing"/>
        <w:rPr>
          <w:rFonts w:ascii="Century Gothic" w:hAnsi="Century Gothic"/>
        </w:rPr>
      </w:pPr>
    </w:p>
    <w:p w14:paraId="1F53876F" w14:textId="77777777" w:rsidR="00E41324" w:rsidRPr="00B265D9" w:rsidRDefault="008B7071" w:rsidP="00D3013B">
      <w:pPr>
        <w:pStyle w:val="Heading1"/>
        <w:rPr>
          <w:rFonts w:ascii="Century Gothic" w:hAnsi="Century Gothic"/>
        </w:rPr>
      </w:pPr>
      <w:bookmarkStart w:id="19" w:name="_Toc334198730"/>
      <w:r>
        <w:rPr>
          <w:rFonts w:ascii="Century Gothic" w:hAnsi="Century Gothic"/>
        </w:rPr>
        <w:t xml:space="preserve">IV. </w:t>
      </w:r>
      <w:r w:rsidR="00E41324" w:rsidRPr="00B265D9">
        <w:rPr>
          <w:rFonts w:ascii="Century Gothic" w:hAnsi="Century Gothic"/>
        </w:rPr>
        <w:t>Results</w:t>
      </w:r>
      <w:bookmarkEnd w:id="19"/>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20" w:name="_Toc334198732"/>
      <w:r w:rsidRPr="001F1328">
        <w:rPr>
          <w:rFonts w:ascii="Century Gothic" w:hAnsi="Century Gothic"/>
          <w:szCs w:val="24"/>
        </w:rPr>
        <w:t>Analysis of Results</w:t>
      </w:r>
      <w:bookmarkEnd w:id="20"/>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21" w:name="_Toc334198733"/>
      <w:r w:rsidRPr="001F1328">
        <w:rPr>
          <w:rFonts w:ascii="Century Gothic" w:hAnsi="Century Gothic"/>
          <w:szCs w:val="24"/>
        </w:rPr>
        <w:t>Errors &amp; Uncertainty</w:t>
      </w:r>
      <w:bookmarkEnd w:id="21"/>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22" w:name="_Toc334198734"/>
      <w:r w:rsidRPr="001F1328">
        <w:rPr>
          <w:rFonts w:ascii="Century Gothic" w:hAnsi="Century Gothic"/>
          <w:szCs w:val="24"/>
        </w:rPr>
        <w:t>Future Work</w:t>
      </w:r>
      <w:bookmarkEnd w:id="22"/>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23" w:name="_Toc334198735"/>
      <w:r>
        <w:rPr>
          <w:rFonts w:ascii="Century Gothic" w:hAnsi="Century Gothic"/>
        </w:rPr>
        <w:t xml:space="preserve">V. </w:t>
      </w:r>
      <w:r w:rsidR="00E41324" w:rsidRPr="00B265D9">
        <w:rPr>
          <w:rFonts w:ascii="Century Gothic" w:hAnsi="Century Gothic"/>
        </w:rPr>
        <w:t>Conclusions</w:t>
      </w:r>
      <w:bookmarkEnd w:id="23"/>
    </w:p>
    <w:p w14:paraId="12B00220" w14:textId="13E20C6E" w:rsidR="003F56BA" w:rsidRPr="003F56BA" w:rsidRDefault="00242822" w:rsidP="003F56BA">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bookmarkStart w:id="24" w:name="_Toc334198736"/>
    </w:p>
    <w:p w14:paraId="55C82D67" w14:textId="77777777" w:rsidR="003F56BA" w:rsidRDefault="003F56BA" w:rsidP="00D3013B">
      <w:pPr>
        <w:pStyle w:val="Heading1"/>
        <w:rPr>
          <w:rFonts w:ascii="Century Gothic" w:hAnsi="Century Gothic"/>
        </w:rPr>
      </w:pPr>
    </w:p>
    <w:bookmarkEnd w:id="24"/>
    <w:p w14:paraId="4DC45C9E" w14:textId="77777777" w:rsidR="003F56BA" w:rsidRDefault="003F56BA" w:rsidP="003F56BA">
      <w:pPr>
        <w:spacing w:after="0" w:line="240" w:lineRule="auto"/>
        <w:ind w:left="1080"/>
        <w:rPr>
          <w:rFonts w:ascii="Century Gothic" w:hAnsi="Century Gothic"/>
          <w:szCs w:val="24"/>
        </w:rPr>
      </w:pPr>
    </w:p>
    <w:p w14:paraId="0121F9D6" w14:textId="77777777" w:rsidR="003F56BA" w:rsidRDefault="003F56BA" w:rsidP="003F56BA">
      <w:pPr>
        <w:spacing w:after="0" w:line="240" w:lineRule="auto"/>
        <w:ind w:left="1080"/>
        <w:rPr>
          <w:rFonts w:ascii="Century Gothic" w:hAnsi="Century Gothic"/>
          <w:szCs w:val="24"/>
        </w:rPr>
      </w:pPr>
    </w:p>
    <w:p w14:paraId="1FFCB099" w14:textId="77777777" w:rsidR="003F56BA" w:rsidRPr="00B265D9" w:rsidRDefault="003F56BA" w:rsidP="003F56BA">
      <w:pPr>
        <w:pStyle w:val="Heading1"/>
        <w:rPr>
          <w:rFonts w:ascii="Century Gothic" w:hAnsi="Century Gothic"/>
        </w:rPr>
      </w:pPr>
      <w:r>
        <w:rPr>
          <w:rFonts w:ascii="Century Gothic" w:hAnsi="Century Gothic"/>
        </w:rPr>
        <w:lastRenderedPageBreak/>
        <w:t xml:space="preserve">VI. </w:t>
      </w:r>
      <w:r w:rsidRPr="00B265D9">
        <w:rPr>
          <w:rFonts w:ascii="Century Gothic" w:hAnsi="Century Gothic"/>
        </w:rPr>
        <w:t>Acknowledgments</w:t>
      </w:r>
    </w:p>
    <w:p w14:paraId="12AD5E05" w14:textId="77777777" w:rsidR="003F56BA" w:rsidRDefault="003F56BA" w:rsidP="003F56BA">
      <w:pPr>
        <w:spacing w:after="0" w:line="240" w:lineRule="auto"/>
        <w:ind w:left="1080"/>
        <w:rPr>
          <w:rFonts w:ascii="Century Gothic" w:hAnsi="Century Gothic"/>
          <w:szCs w:val="24"/>
        </w:rPr>
      </w:pPr>
    </w:p>
    <w:p w14:paraId="7AB35B59" w14:textId="56C9B18D" w:rsidR="003F56BA" w:rsidRPr="003F56BA" w:rsidRDefault="003F56BA" w:rsidP="003F56BA">
      <w:pPr>
        <w:numPr>
          <w:ilvl w:val="0"/>
          <w:numId w:val="6"/>
        </w:numPr>
        <w:spacing w:after="0" w:line="240" w:lineRule="auto"/>
        <w:rPr>
          <w:rFonts w:ascii="Century Gothic" w:hAnsi="Century Gothic"/>
          <w:szCs w:val="24"/>
        </w:rPr>
      </w:pPr>
      <w:commentRangeStart w:id="25"/>
      <w:r w:rsidRPr="003F56BA">
        <w:rPr>
          <w:rFonts w:ascii="Century Gothic" w:hAnsi="Century Gothic"/>
          <w:szCs w:val="24"/>
        </w:rPr>
        <w:t>Dr. Dalia B. Kirschbaum</w:t>
      </w:r>
    </w:p>
    <w:p w14:paraId="3753B6A8"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Dr. John D. Bolten</w:t>
      </w:r>
    </w:p>
    <w:p w14:paraId="219310B7"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Thomas Stanley</w:t>
      </w:r>
    </w:p>
    <w:p w14:paraId="21F51379"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Binu Maharajan</w:t>
      </w:r>
    </w:p>
    <w:p w14:paraId="51F8DE60"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Amanda Schochet</w:t>
      </w:r>
    </w:p>
    <w:p w14:paraId="5377E569"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Kanti Sen Ojha</w:t>
      </w:r>
    </w:p>
    <w:p w14:paraId="39A8D37F"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Ang Dawa Sherpa</w:t>
      </w:r>
    </w:p>
    <w:p w14:paraId="1CC68DA0"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 xml:space="preserve">Colin Doyle </w:t>
      </w:r>
    </w:p>
    <w:p w14:paraId="0833E87A"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David Royce</w:t>
      </w:r>
      <w:commentRangeEnd w:id="25"/>
      <w:r w:rsidRPr="003F56BA">
        <w:rPr>
          <w:rFonts w:ascii="Century Gothic" w:hAnsi="Century Gothic"/>
          <w:szCs w:val="24"/>
        </w:rPr>
        <w:commentReference w:id="25"/>
      </w:r>
    </w:p>
    <w:p w14:paraId="4A6A5062" w14:textId="77777777" w:rsidR="003F56BA" w:rsidRP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 </w:t>
      </w:r>
    </w:p>
    <w:p w14:paraId="108F742C" w14:textId="2C654120" w:rsidR="00FC670A" w:rsidRDefault="003F56BA" w:rsidP="003F56BA">
      <w:pPr>
        <w:spacing w:after="0" w:line="240" w:lineRule="auto"/>
        <w:rPr>
          <w:rFonts w:ascii="Century Gothic" w:hAnsi="Century Gothic"/>
          <w:szCs w:val="24"/>
        </w:rPr>
      </w:pPr>
      <w:r w:rsidRPr="003F56BA">
        <w:rPr>
          <w:rFonts w:ascii="Century Gothic" w:hAnsi="Century Gothic"/>
          <w:szCs w:val="24"/>
        </w:rPr>
        <w:t>This material [LMC4]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bookmarkStart w:id="26" w:name="_Toc334198737"/>
      <w:r>
        <w:rPr>
          <w:rFonts w:ascii="Century Gothic" w:hAnsi="Century Gothic"/>
        </w:rPr>
        <w:t xml:space="preserve">VII. </w:t>
      </w:r>
      <w:commentRangeStart w:id="27"/>
      <w:r w:rsidR="00E41324" w:rsidRPr="00B265D9">
        <w:rPr>
          <w:rFonts w:ascii="Century Gothic" w:hAnsi="Century Gothic"/>
        </w:rPr>
        <w:t>References</w:t>
      </w:r>
      <w:bookmarkEnd w:id="26"/>
      <w:commentRangeEnd w:id="27"/>
      <w:r w:rsidR="009A20ED">
        <w:rPr>
          <w:rStyle w:val="CommentReference"/>
          <w:rFonts w:asciiTheme="minorHAnsi" w:eastAsiaTheme="minorEastAsia" w:hAnsiTheme="minorHAnsi" w:cstheme="minorBidi"/>
          <w:b w:val="0"/>
          <w:bCs w:val="0"/>
          <w:color w:val="auto"/>
        </w:rPr>
        <w:commentReference w:id="27"/>
      </w:r>
    </w:p>
    <w:p w14:paraId="4A9ADAB3"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Asner, G. P. (2001). Cloud cover in Landsat observations of the Brazilian Amazon. International Journal of Remote Sensing, 22(18), 3855-3862. </w:t>
      </w:r>
    </w:p>
    <w:p w14:paraId="5C211866" w14:textId="77777777" w:rsidR="003F56BA" w:rsidRPr="003F56BA" w:rsidRDefault="003F56BA" w:rsidP="003F56BA">
      <w:pPr>
        <w:spacing w:after="0" w:line="240" w:lineRule="auto"/>
        <w:rPr>
          <w:rFonts w:ascii="Century Gothic" w:hAnsi="Century Gothic"/>
          <w:szCs w:val="24"/>
        </w:rPr>
      </w:pPr>
    </w:p>
    <w:p w14:paraId="31C4EE3A" w14:textId="77777777" w:rsidR="003F56BA" w:rsidRDefault="003F56BA" w:rsidP="003F56BA">
      <w:pPr>
        <w:spacing w:after="0" w:line="240" w:lineRule="auto"/>
        <w:rPr>
          <w:rFonts w:ascii="Century Gothic" w:hAnsi="Century Gothic"/>
          <w:szCs w:val="24"/>
        </w:rPr>
      </w:pPr>
      <w:bookmarkStart w:id="28" w:name="h.2s8eyo1" w:colFirst="0" w:colLast="0"/>
      <w:bookmarkEnd w:id="28"/>
      <w:r w:rsidRPr="003F56BA">
        <w:rPr>
          <w:rFonts w:ascii="Century Gothic" w:hAnsi="Century Gothic"/>
          <w:szCs w:val="24"/>
        </w:rPr>
        <w:t>Broxton, Patrick D., Xubin Zeng, Damien Sulla-Menashe, and Peter A. Troch. (2014) "A Global Land Cover Climatology Using MODIS Data." </w:t>
      </w:r>
      <w:r w:rsidRPr="003F56BA">
        <w:rPr>
          <w:rFonts w:ascii="Century Gothic" w:hAnsi="Century Gothic"/>
          <w:i/>
          <w:szCs w:val="24"/>
        </w:rPr>
        <w:t>Journal of Applied Meteorology and Climatology,</w:t>
      </w:r>
      <w:r w:rsidRPr="003F56BA">
        <w:rPr>
          <w:rFonts w:ascii="Century Gothic" w:hAnsi="Century Gothic"/>
          <w:szCs w:val="24"/>
        </w:rPr>
        <w:t> 53, 1593-605.</w:t>
      </w:r>
    </w:p>
    <w:p w14:paraId="7CB1E468" w14:textId="77777777" w:rsidR="003F56BA" w:rsidRPr="003F56BA" w:rsidRDefault="003F56BA" w:rsidP="003F56BA">
      <w:pPr>
        <w:spacing w:after="0" w:line="240" w:lineRule="auto"/>
        <w:rPr>
          <w:rFonts w:ascii="Century Gothic" w:hAnsi="Century Gothic"/>
          <w:szCs w:val="24"/>
        </w:rPr>
      </w:pPr>
    </w:p>
    <w:p w14:paraId="6AF401CE"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Caine, N. (1980). The rainfall intensity: duration control of shallow landslides and debris flows. </w:t>
      </w:r>
      <w:r w:rsidRPr="003F56BA">
        <w:rPr>
          <w:rFonts w:ascii="Century Gothic" w:hAnsi="Century Gothic"/>
          <w:i/>
          <w:szCs w:val="24"/>
        </w:rPr>
        <w:t>Geografiska Annaler. Series A. Physical Geography</w:t>
      </w:r>
      <w:r w:rsidRPr="003F56BA">
        <w:rPr>
          <w:rFonts w:ascii="Century Gothic" w:hAnsi="Century Gothic"/>
          <w:szCs w:val="24"/>
        </w:rPr>
        <w:t>, 23-27.</w:t>
      </w:r>
    </w:p>
    <w:p w14:paraId="4F946470" w14:textId="77777777" w:rsidR="003F56BA" w:rsidRPr="003F56BA" w:rsidRDefault="003F56BA" w:rsidP="003F56BA">
      <w:pPr>
        <w:spacing w:after="0" w:line="240" w:lineRule="auto"/>
        <w:rPr>
          <w:rFonts w:ascii="Century Gothic" w:hAnsi="Century Gothic"/>
          <w:szCs w:val="24"/>
        </w:rPr>
      </w:pPr>
    </w:p>
    <w:p w14:paraId="2DF63AC4"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Cruden, D. M. (1991). A simple definition of a landslide. </w:t>
      </w:r>
      <w:r w:rsidRPr="003F56BA">
        <w:rPr>
          <w:rFonts w:ascii="Century Gothic" w:hAnsi="Century Gothic"/>
          <w:i/>
          <w:szCs w:val="24"/>
        </w:rPr>
        <w:t>Bulletin of Engineering Geology and the Environment</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27-29.</w:t>
      </w:r>
    </w:p>
    <w:p w14:paraId="0ADE03DE" w14:textId="77777777" w:rsidR="003F56BA" w:rsidRPr="003F56BA" w:rsidRDefault="003F56BA" w:rsidP="003F56BA">
      <w:pPr>
        <w:spacing w:after="0" w:line="240" w:lineRule="auto"/>
        <w:rPr>
          <w:rFonts w:ascii="Century Gothic" w:hAnsi="Century Gothic"/>
          <w:szCs w:val="24"/>
        </w:rPr>
      </w:pPr>
    </w:p>
    <w:p w14:paraId="5A393FA7"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Dahal, R. K., &amp; Hasegawa, S. (2008). Representative rainfall thresholds for landslides in the Nepal Himalaya. </w:t>
      </w:r>
      <w:r w:rsidRPr="003F56BA">
        <w:rPr>
          <w:rFonts w:ascii="Century Gothic" w:hAnsi="Century Gothic"/>
          <w:i/>
          <w:szCs w:val="24"/>
        </w:rPr>
        <w:t>Geomorphology</w:t>
      </w:r>
      <w:r w:rsidRPr="003F56BA">
        <w:rPr>
          <w:rFonts w:ascii="Century Gothic" w:hAnsi="Century Gothic"/>
          <w:szCs w:val="24"/>
        </w:rPr>
        <w:t xml:space="preserve">, </w:t>
      </w:r>
      <w:r w:rsidRPr="003F56BA">
        <w:rPr>
          <w:rFonts w:ascii="Century Gothic" w:hAnsi="Century Gothic"/>
          <w:i/>
          <w:szCs w:val="24"/>
        </w:rPr>
        <w:t>100</w:t>
      </w:r>
      <w:r w:rsidRPr="003F56BA">
        <w:rPr>
          <w:rFonts w:ascii="Century Gothic" w:hAnsi="Century Gothic"/>
          <w:szCs w:val="24"/>
        </w:rPr>
        <w:t>(3), 429-443.</w:t>
      </w:r>
    </w:p>
    <w:p w14:paraId="024713B3" w14:textId="77777777" w:rsidR="003F56BA" w:rsidRPr="003F56BA" w:rsidRDefault="003F56BA" w:rsidP="003F56BA">
      <w:pPr>
        <w:spacing w:after="0" w:line="240" w:lineRule="auto"/>
        <w:rPr>
          <w:rFonts w:ascii="Century Gothic" w:hAnsi="Century Gothic"/>
          <w:szCs w:val="24"/>
        </w:rPr>
      </w:pPr>
    </w:p>
    <w:p w14:paraId="614BCA53"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Elsebaie, I. H. (2012). Developing rainfall intensity–duration–frequency relationship for two regions in Saudi Arabia. </w:t>
      </w:r>
      <w:r w:rsidRPr="003F56BA">
        <w:rPr>
          <w:rFonts w:ascii="Century Gothic" w:hAnsi="Century Gothic"/>
          <w:i/>
          <w:szCs w:val="24"/>
        </w:rPr>
        <w:t>Journal of King Saud University-Engineering Sciences</w:t>
      </w:r>
      <w:r w:rsidRPr="003F56BA">
        <w:rPr>
          <w:rFonts w:ascii="Century Gothic" w:hAnsi="Century Gothic"/>
          <w:szCs w:val="24"/>
        </w:rPr>
        <w:t xml:space="preserve">, </w:t>
      </w:r>
      <w:r w:rsidRPr="003F56BA">
        <w:rPr>
          <w:rFonts w:ascii="Century Gothic" w:hAnsi="Century Gothic"/>
          <w:i/>
          <w:szCs w:val="24"/>
        </w:rPr>
        <w:t>24</w:t>
      </w:r>
      <w:r w:rsidRPr="003F56BA">
        <w:rPr>
          <w:rFonts w:ascii="Century Gothic" w:hAnsi="Century Gothic"/>
          <w:szCs w:val="24"/>
        </w:rPr>
        <w:t>(2), 131-140.</w:t>
      </w:r>
    </w:p>
    <w:p w14:paraId="7BCB6868" w14:textId="77777777" w:rsidR="003F56BA" w:rsidRPr="003F56BA" w:rsidRDefault="003F56BA" w:rsidP="003F56BA">
      <w:pPr>
        <w:spacing w:after="0" w:line="240" w:lineRule="auto"/>
        <w:rPr>
          <w:rFonts w:ascii="Century Gothic" w:hAnsi="Century Gothic"/>
          <w:szCs w:val="24"/>
        </w:rPr>
      </w:pPr>
    </w:p>
    <w:p w14:paraId="339DB821" w14:textId="77777777" w:rsidR="003F56BA" w:rsidRP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Petley, D. N., Hearn, G. J., Hart, A., Rosser, N. J., Dunning, S. A., Oven, K., &amp; Mitchell, W. A. (2007). Trends in landslide occurrence in Nepal. </w:t>
      </w:r>
      <w:r w:rsidRPr="003F56BA">
        <w:rPr>
          <w:rFonts w:ascii="Century Gothic" w:hAnsi="Century Gothic"/>
          <w:i/>
          <w:szCs w:val="24"/>
        </w:rPr>
        <w:t>Natural Hazards</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23-44.</w:t>
      </w:r>
    </w:p>
    <w:p w14:paraId="44ADABFF"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Podger, G., and Bobinskas, C. “Transboundary Water Management in the Koshi River Basin.” 2013, November 28. </w:t>
      </w:r>
    </w:p>
    <w:p w14:paraId="45714855" w14:textId="77777777" w:rsidR="003F56BA" w:rsidRPr="003F56BA" w:rsidRDefault="003F56BA" w:rsidP="003F56BA">
      <w:pPr>
        <w:spacing w:after="0" w:line="240" w:lineRule="auto"/>
        <w:rPr>
          <w:rFonts w:ascii="Century Gothic" w:hAnsi="Century Gothic"/>
          <w:szCs w:val="24"/>
        </w:rPr>
      </w:pPr>
    </w:p>
    <w:p w14:paraId="55AC1F97" w14:textId="77777777" w:rsidR="003F56BA" w:rsidRPr="003F56BA" w:rsidRDefault="003F56BA" w:rsidP="003F56BA">
      <w:pPr>
        <w:spacing w:after="0" w:line="240" w:lineRule="auto"/>
        <w:rPr>
          <w:rFonts w:ascii="Century Gothic" w:hAnsi="Century Gothic"/>
          <w:szCs w:val="24"/>
        </w:rPr>
      </w:pPr>
      <w:r w:rsidRPr="003F56BA">
        <w:rPr>
          <w:rFonts w:ascii="Century Gothic" w:hAnsi="Century Gothic"/>
          <w:szCs w:val="24"/>
        </w:rPr>
        <w:t>Shanker, D., Harihar Paudyal, and H. N. Singh. "Discourse on Seismotectonics of Nepal Himalaya and Vicinity:Appraisal to Earthquake Hazard." </w:t>
      </w:r>
      <w:r w:rsidRPr="003F56BA">
        <w:rPr>
          <w:rFonts w:ascii="Century Gothic" w:hAnsi="Century Gothic"/>
          <w:i/>
          <w:szCs w:val="24"/>
        </w:rPr>
        <w:t>Journal of Geo-sciences</w:t>
      </w:r>
      <w:r w:rsidRPr="003F56BA">
        <w:rPr>
          <w:rFonts w:ascii="Century Gothic" w:hAnsi="Century Gothic"/>
          <w:szCs w:val="24"/>
        </w:rPr>
        <w:t> 1, no. 1 (2011): 1-15.</w:t>
      </w:r>
    </w:p>
    <w:p w14:paraId="4744C869"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lastRenderedPageBreak/>
        <w:t xml:space="preserve">Swanson, F. J., and Dyrness, C. T. (1975). Impact of clear-cutting and road construction on soil erosion by landslides in the western Cascade Range, Oregon. </w:t>
      </w:r>
      <w:r w:rsidRPr="003F56BA">
        <w:rPr>
          <w:rFonts w:ascii="Century Gothic" w:hAnsi="Century Gothic"/>
          <w:i/>
          <w:szCs w:val="24"/>
        </w:rPr>
        <w:t>Geology</w:t>
      </w:r>
      <w:r w:rsidRPr="003F56BA">
        <w:rPr>
          <w:rFonts w:ascii="Century Gothic" w:hAnsi="Century Gothic"/>
          <w:szCs w:val="24"/>
        </w:rPr>
        <w:t xml:space="preserve">, </w:t>
      </w:r>
      <w:r w:rsidRPr="003F56BA">
        <w:rPr>
          <w:rFonts w:ascii="Century Gothic" w:hAnsi="Century Gothic"/>
          <w:i/>
          <w:szCs w:val="24"/>
        </w:rPr>
        <w:t>3</w:t>
      </w:r>
      <w:r w:rsidRPr="003F56BA">
        <w:rPr>
          <w:rFonts w:ascii="Century Gothic" w:hAnsi="Century Gothic"/>
          <w:szCs w:val="24"/>
        </w:rPr>
        <w:t>(7), 393-396.</w:t>
      </w:r>
    </w:p>
    <w:p w14:paraId="25F0BAAC" w14:textId="77777777" w:rsidR="003F56BA" w:rsidRPr="003F56BA" w:rsidRDefault="003F56BA" w:rsidP="003F56BA">
      <w:pPr>
        <w:spacing w:after="0" w:line="240" w:lineRule="auto"/>
        <w:rPr>
          <w:rFonts w:ascii="Century Gothic" w:hAnsi="Century Gothic"/>
          <w:szCs w:val="24"/>
        </w:rPr>
      </w:pPr>
    </w:p>
    <w:p w14:paraId="34C934D8"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Wang, Lingli, and John J. Qu. 2007. "NMDI: A normalized multi-band drought index for monitoring soil and vegetation moisture with satellite remote sensing." </w:t>
      </w:r>
      <w:r w:rsidRPr="003F56BA">
        <w:rPr>
          <w:rFonts w:ascii="Century Gothic" w:hAnsi="Century Gothic"/>
          <w:i/>
          <w:szCs w:val="24"/>
        </w:rPr>
        <w:t>Geophysical Research Letters</w:t>
      </w:r>
      <w:r w:rsidRPr="003F56BA">
        <w:rPr>
          <w:rFonts w:ascii="Century Gothic" w:hAnsi="Century Gothic"/>
          <w:szCs w:val="24"/>
        </w:rPr>
        <w:t xml:space="preserve"> 1-5.   </w:t>
      </w:r>
    </w:p>
    <w:p w14:paraId="1F363180" w14:textId="77777777" w:rsidR="003F56BA" w:rsidRPr="003F56BA" w:rsidRDefault="003F56BA" w:rsidP="003F56BA">
      <w:pPr>
        <w:spacing w:after="0" w:line="240" w:lineRule="auto"/>
        <w:rPr>
          <w:rFonts w:ascii="Century Gothic" w:hAnsi="Century Gothic"/>
          <w:szCs w:val="24"/>
        </w:rPr>
      </w:pPr>
    </w:p>
    <w:p w14:paraId="1F6E458E" w14:textId="25FD0E00" w:rsidR="00494746" w:rsidRPr="00494746" w:rsidRDefault="003F56BA" w:rsidP="003F56BA">
      <w:pPr>
        <w:spacing w:after="0" w:line="240" w:lineRule="auto"/>
        <w:rPr>
          <w:rFonts w:ascii="Century Gothic" w:hAnsi="Century Gothic"/>
          <w:szCs w:val="24"/>
        </w:rPr>
      </w:pPr>
      <w:r w:rsidRPr="003F56BA">
        <w:rPr>
          <w:rFonts w:ascii="Century Gothic" w:hAnsi="Century Gothic"/>
          <w:szCs w:val="24"/>
        </w:rPr>
        <w:t>Wieczoreck, G.F., 1996. Landslide triggering mechanisms, In: A.K. Turner and R.L. Schuster (Editors), Landslides: Investigation and Mitigation. Transportation Research Board, National Academy of Sciences, Washington, D.C., Special Report 247, pp. 76-90.</w:t>
      </w:r>
    </w:p>
    <w:p w14:paraId="646F2E87" w14:textId="54152A40" w:rsidR="00E41324" w:rsidRPr="00B265D9" w:rsidRDefault="008B7071" w:rsidP="00D3013B">
      <w:pPr>
        <w:pStyle w:val="Heading1"/>
        <w:rPr>
          <w:rFonts w:ascii="Century Gothic" w:hAnsi="Century Gothic"/>
        </w:rPr>
      </w:pPr>
      <w:bookmarkStart w:id="29" w:name="_Toc334198738"/>
      <w:r>
        <w:rPr>
          <w:rFonts w:ascii="Century Gothic" w:hAnsi="Century Gothic"/>
        </w:rPr>
        <w:t xml:space="preserve">VIII. </w:t>
      </w:r>
      <w:r w:rsidR="006528A0">
        <w:rPr>
          <w:rFonts w:ascii="Century Gothic" w:hAnsi="Century Gothic"/>
        </w:rPr>
        <w:t>Content Innovation</w:t>
      </w:r>
      <w:bookmarkEnd w:id="29"/>
    </w:p>
    <w:p w14:paraId="6AFF2BCC"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Planning to collaborate with ICIMOD. </w:t>
      </w:r>
    </w:p>
    <w:p w14:paraId="67FEE66E" w14:textId="77777777" w:rsidR="003F56BA" w:rsidRPr="003F56BA" w:rsidRDefault="003F56BA" w:rsidP="003F56BA">
      <w:pPr>
        <w:spacing w:after="0" w:line="240" w:lineRule="auto"/>
        <w:rPr>
          <w:rFonts w:ascii="Century Gothic" w:hAnsi="Century Gothic"/>
          <w:szCs w:val="24"/>
        </w:rPr>
      </w:pPr>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30"/>
      <w:r w:rsidR="00482519">
        <w:rPr>
          <w:rFonts w:ascii="Century Gothic" w:hAnsi="Century Gothic"/>
          <w:szCs w:val="24"/>
        </w:rPr>
        <w:t>t</w:t>
      </w:r>
      <w:r w:rsidR="00F24FCE">
        <w:rPr>
          <w:rFonts w:ascii="Century Gothic" w:hAnsi="Century Gothic"/>
          <w:szCs w:val="24"/>
        </w:rPr>
        <w:t>wo</w:t>
      </w:r>
      <w:commentRangeEnd w:id="30"/>
      <w:r w:rsidR="00482519">
        <w:rPr>
          <w:rStyle w:val="CommentReference"/>
        </w:rPr>
        <w:commentReference w:id="30"/>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31"/>
      <w:r>
        <w:rPr>
          <w:rFonts w:ascii="Century Gothic" w:hAnsi="Century Gothic"/>
          <w:szCs w:val="24"/>
        </w:rPr>
        <w:t>file name</w:t>
      </w:r>
      <w:commentRangeEnd w:id="31"/>
      <w:r w:rsidR="00482519">
        <w:rPr>
          <w:rStyle w:val="CommentReference"/>
        </w:rPr>
        <w:commentReference w:id="31"/>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32"/>
      <w:r w:rsidRPr="00732B10">
        <w:rPr>
          <w:rFonts w:ascii="Century Gothic" w:hAnsi="Century Gothic"/>
          <w:b/>
          <w:szCs w:val="24"/>
        </w:rPr>
        <w:t>Some options include</w:t>
      </w:r>
      <w:commentRangeEnd w:id="32"/>
      <w:r w:rsidRPr="00732B10">
        <w:rPr>
          <w:rStyle w:val="CommentReference"/>
          <w:b/>
        </w:rPr>
        <w:commentReference w:id="32"/>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33"/>
      <w:r>
        <w:rPr>
          <w:rFonts w:ascii="Century Gothic" w:hAnsi="Century Gothic"/>
          <w:szCs w:val="24"/>
        </w:rPr>
        <w:t>Data Profile</w:t>
      </w:r>
      <w:commentRangeEnd w:id="33"/>
      <w:r>
        <w:rPr>
          <w:rStyle w:val="CommentReference"/>
        </w:rPr>
        <w:commentReference w:id="33"/>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neatocleoyeah@yahoo.com" w:date="2015-06-24T19:14:00Z" w:initials="n">
    <w:p w14:paraId="6363D398" w14:textId="77777777" w:rsidR="003F56BA" w:rsidRPr="003057A2" w:rsidRDefault="003F56BA" w:rsidP="003F56BA">
      <w:pPr>
        <w:pStyle w:val="CommentText"/>
      </w:pPr>
      <w:r>
        <w:rPr>
          <w:rStyle w:val="CommentReference"/>
        </w:rPr>
        <w:annotationRef/>
      </w:r>
      <w:r>
        <w:t xml:space="preserve">Since you didn’t put “CL” at the end of this title name, be sure to name this file something </w:t>
      </w:r>
      <w:r>
        <w:rPr>
          <w:b/>
        </w:rPr>
        <w:t xml:space="preserve">different </w:t>
      </w:r>
      <w:r>
        <w:t>for the submission that goes to NPO since DEVELOPedia cannot have multiple files of the same name (I suggest adding a 2 at the end)</w:t>
      </w: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neatocleoyeah@yahoo.com" w:date="2015-06-24T18:50:00Z" w:initials="n">
    <w:p w14:paraId="233255CA" w14:textId="77777777" w:rsidR="003F56BA" w:rsidRDefault="003F56BA" w:rsidP="003F56BA">
      <w:pPr>
        <w:pStyle w:val="CommentText"/>
      </w:pPr>
      <w:r>
        <w:rPr>
          <w:rStyle w:val="CommentReference"/>
        </w:rPr>
        <w:annotationRef/>
      </w:r>
      <w:r>
        <w:t>Follow same format for other advisors.</w:t>
      </w:r>
    </w:p>
  </w:comment>
  <w:comment w:id="4"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6" w:author="neatocleoyeah@yahoo.com" w:date="2015-06-24T18:56:00Z" w:initials="n">
    <w:p w14:paraId="6CAB2617" w14:textId="77777777" w:rsidR="003F56BA" w:rsidRDefault="003F56BA" w:rsidP="003F56BA">
      <w:pPr>
        <w:pStyle w:val="CommentText"/>
      </w:pPr>
      <w:r>
        <w:rPr>
          <w:rStyle w:val="CommentReference"/>
        </w:rPr>
        <w:annotationRef/>
      </w:r>
      <w:r>
        <w:t>This is a very long sentence. Consider breaking it up.</w:t>
      </w:r>
    </w:p>
  </w:comment>
  <w:comment w:id="7" w:author="neatocleoyeah@yahoo.com" w:date="2015-06-24T18:57:00Z" w:initials="n">
    <w:p w14:paraId="7CE1419A" w14:textId="77777777" w:rsidR="003F56BA" w:rsidRDefault="003F56BA" w:rsidP="003F56BA">
      <w:pPr>
        <w:pStyle w:val="CommentText"/>
      </w:pPr>
      <w:r>
        <w:rPr>
          <w:rStyle w:val="CommentReference"/>
        </w:rPr>
        <w:annotationRef/>
      </w:r>
      <w:r>
        <w:t xml:space="preserve">You’ve used this exact phrase 2 times already, word a little differently. </w:t>
      </w:r>
    </w:p>
  </w:comment>
  <w:comment w:id="8" w:author="neatocleoyeah@yahoo.com" w:date="2015-06-24T18:59:00Z" w:initials="n">
    <w:p w14:paraId="689EBDE2" w14:textId="77777777" w:rsidR="003F56BA" w:rsidRDefault="003F56BA" w:rsidP="003F56BA">
      <w:pPr>
        <w:pStyle w:val="CommentText"/>
      </w:pPr>
      <w:r>
        <w:rPr>
          <w:rStyle w:val="CommentReference"/>
        </w:rPr>
        <w:annotationRef/>
      </w:r>
      <w:r>
        <w:t>Already defined earlier.</w:t>
      </w:r>
    </w:p>
  </w:comment>
  <w:comment w:id="14" w:author="neatocleoyeah@yahoo.com" w:date="2015-06-24T19:00:00Z" w:initials="n">
    <w:p w14:paraId="6FD5EC2F" w14:textId="77777777" w:rsidR="003F56BA" w:rsidRDefault="003F56BA" w:rsidP="003F56BA">
      <w:pPr>
        <w:pStyle w:val="CommentText"/>
      </w:pPr>
      <w:r>
        <w:rPr>
          <w:rStyle w:val="CommentReference"/>
        </w:rPr>
        <w:annotationRef/>
      </w:r>
      <w:r>
        <w:t>Use exact dates when possible</w:t>
      </w:r>
    </w:p>
  </w:comment>
  <w:comment w:id="15" w:author="neatocleoyeah@yahoo.com" w:date="2015-06-24T19:01:00Z" w:initials="n">
    <w:p w14:paraId="7CD2ACAC" w14:textId="77777777" w:rsidR="003F56BA" w:rsidRDefault="003F56BA" w:rsidP="003F56BA">
      <w:pPr>
        <w:pStyle w:val="CommentText"/>
      </w:pPr>
      <w:r>
        <w:rPr>
          <w:rStyle w:val="CommentReference"/>
        </w:rPr>
        <w:annotationRef/>
      </w:r>
      <w:r>
        <w:t>Where did it occur?</w:t>
      </w:r>
    </w:p>
  </w:comment>
  <w:comment w:id="16" w:author="neatocleoyeah@yahoo.com" w:date="2015-06-24T19:05:00Z" w:initials="n">
    <w:p w14:paraId="39374E60" w14:textId="77777777" w:rsidR="003F56BA" w:rsidRDefault="003F56BA" w:rsidP="003F56BA">
      <w:pPr>
        <w:pStyle w:val="CommentText"/>
      </w:pPr>
      <w:r>
        <w:rPr>
          <w:rStyle w:val="CommentReference"/>
        </w:rPr>
        <w:annotationRef/>
      </w:r>
      <w:r>
        <w:t>This paragraph should be integrated with the first since that is where you discuss using the red wavelengths. But, if this was done this term, then denote that (We expanded on XYZ)</w:t>
      </w:r>
    </w:p>
  </w:comment>
  <w:comment w:id="17" w:author="neatocleoyeah@yahoo.com" w:date="2015-06-24T19:03:00Z" w:initials="n">
    <w:p w14:paraId="19C69783" w14:textId="77777777" w:rsidR="003F56BA" w:rsidRDefault="003F56BA" w:rsidP="003F56BA">
      <w:pPr>
        <w:pStyle w:val="CommentText"/>
      </w:pPr>
      <w:r>
        <w:rPr>
          <w:rStyle w:val="CommentReference"/>
        </w:rPr>
        <w:annotationRef/>
      </w:r>
      <w:r>
        <w:t>Since the previous paragraph outlined work that was done before, you should start the work you did clearly, i.e. “This study is expanding on the SLIP model by  XYZ”</w:t>
      </w:r>
    </w:p>
  </w:comment>
  <w:comment w:id="18" w:author="neatocleoyeah@yahoo.com" w:date="2015-06-24T19:04:00Z" w:initials="n">
    <w:p w14:paraId="72AF3FDF" w14:textId="77777777" w:rsidR="003F56BA" w:rsidRDefault="003F56BA" w:rsidP="003F56BA">
      <w:pPr>
        <w:pStyle w:val="CommentText"/>
      </w:pPr>
      <w:r>
        <w:rPr>
          <w:rStyle w:val="CommentReference"/>
        </w:rPr>
        <w:annotationRef/>
      </w:r>
      <w:r>
        <w:t>General note for the paper (that I didn’t correct everywhere) should be in past tense unless it’s awkward in the sentence.</w:t>
      </w:r>
    </w:p>
  </w:comment>
  <w:comment w:id="25" w:author="neatocleoyeah@yahoo.com" w:date="2015-06-24T19:10:00Z" w:initials="n">
    <w:p w14:paraId="26BAE1AE" w14:textId="77777777" w:rsidR="003F56BA" w:rsidRDefault="003F56BA" w:rsidP="003F56BA">
      <w:pPr>
        <w:pStyle w:val="CommentText"/>
      </w:pPr>
      <w:r>
        <w:rPr>
          <w:rStyle w:val="CommentReference"/>
        </w:rPr>
        <w:annotationRef/>
      </w:r>
      <w:r>
        <w:t xml:space="preserve">Although this is acceptable for DEVELOP, if you consider publishing at some point, this should be in paragraph form. </w:t>
      </w:r>
    </w:p>
  </w:comment>
  <w:comment w:id="27"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30"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31"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32"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33"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6363D398" w15:done="0"/>
  <w15:commentEx w15:paraId="7F975087" w15:done="0"/>
  <w15:commentEx w15:paraId="233255CA" w15:done="0"/>
  <w15:commentEx w15:paraId="6AF945C6" w15:done="0"/>
  <w15:commentEx w15:paraId="6CAB2617" w15:done="0"/>
  <w15:commentEx w15:paraId="7CE1419A" w15:done="0"/>
  <w15:commentEx w15:paraId="689EBDE2" w15:done="0"/>
  <w15:commentEx w15:paraId="6FD5EC2F" w15:done="0"/>
  <w15:commentEx w15:paraId="7CD2ACAC" w15:done="0"/>
  <w15:commentEx w15:paraId="39374E60" w15:done="0"/>
  <w15:commentEx w15:paraId="19C69783" w15:done="0"/>
  <w15:commentEx w15:paraId="72AF3FDF" w15:done="0"/>
  <w15:commentEx w15:paraId="26BAE1AE"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2F67C" w14:textId="77777777" w:rsidR="00A4346B" w:rsidRDefault="00A4346B" w:rsidP="00242822">
      <w:pPr>
        <w:spacing w:after="0" w:line="240" w:lineRule="auto"/>
      </w:pPr>
      <w:r>
        <w:separator/>
      </w:r>
    </w:p>
  </w:endnote>
  <w:endnote w:type="continuationSeparator" w:id="0">
    <w:p w14:paraId="7305CFFE" w14:textId="77777777" w:rsidR="00A4346B" w:rsidRDefault="00A4346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723770">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31F2D" w14:textId="77777777" w:rsidR="00A4346B" w:rsidRDefault="00A4346B" w:rsidP="00242822">
      <w:pPr>
        <w:spacing w:after="0" w:line="240" w:lineRule="auto"/>
      </w:pPr>
      <w:r>
        <w:separator/>
      </w:r>
    </w:p>
  </w:footnote>
  <w:footnote w:type="continuationSeparator" w:id="0">
    <w:p w14:paraId="2F444341" w14:textId="77777777" w:rsidR="00A4346B" w:rsidRDefault="00A4346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E43C5"/>
    <w:multiLevelType w:val="multilevel"/>
    <w:tmpl w:val="40903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neatocleoyeah@yahoo.com">
    <w15:presenceInfo w15:providerId="Windows Live" w15:userId="3027e48efae80895"/>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821EB"/>
    <w:rsid w:val="00195D23"/>
    <w:rsid w:val="001F1328"/>
    <w:rsid w:val="0023574D"/>
    <w:rsid w:val="00242822"/>
    <w:rsid w:val="00293F47"/>
    <w:rsid w:val="002A37F8"/>
    <w:rsid w:val="002B2BE4"/>
    <w:rsid w:val="002C4C2E"/>
    <w:rsid w:val="00366BA2"/>
    <w:rsid w:val="003F39BF"/>
    <w:rsid w:val="003F56BA"/>
    <w:rsid w:val="0041150E"/>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6586"/>
    <w:rsid w:val="00723770"/>
    <w:rsid w:val="00732B10"/>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4346B"/>
    <w:rsid w:val="00A44FFF"/>
    <w:rsid w:val="00A60645"/>
    <w:rsid w:val="00AB12D0"/>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A7F96"/>
    <w:rsid w:val="00E00E6B"/>
    <w:rsid w:val="00E03B8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AE34-02D4-4BBC-932C-B7855D84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Roberts-Pierel, Justin D. (GSFC-6104)[UNIVERSITY OF MARYLAND BALTIMORE COUNTY]</cp:lastModifiedBy>
  <cp:revision>2</cp:revision>
  <dcterms:created xsi:type="dcterms:W3CDTF">2015-06-25T14:09:00Z</dcterms:created>
  <dcterms:modified xsi:type="dcterms:W3CDTF">2015-06-25T14:09:00Z</dcterms:modified>
</cp:coreProperties>
</file>