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C62EF" w:rsidRDefault="00AE6F6F">
      <w:pPr>
        <w:spacing w:after="0" w:line="240" w:lineRule="auto"/>
        <w:jc w:val="right"/>
      </w:pPr>
      <w:r>
        <w:rPr>
          <w:rFonts w:ascii="Century Gothic" w:eastAsia="Century Gothic" w:hAnsi="Century Gothic" w:cs="Century Gothic"/>
          <w:b/>
          <w:sz w:val="28"/>
        </w:rPr>
        <w:t>DEVELOP National Program</w:t>
      </w:r>
    </w:p>
    <w:p w:rsidR="00CC62EF" w:rsidRDefault="00AE6F6F">
      <w:pPr>
        <w:spacing w:after="0" w:line="240" w:lineRule="auto"/>
        <w:jc w:val="right"/>
      </w:pPr>
      <w:r>
        <w:rPr>
          <w:rFonts w:ascii="Century Gothic" w:eastAsia="Century Gothic" w:hAnsi="Century Gothic" w:cs="Century Gothic"/>
          <w:sz w:val="24"/>
        </w:rPr>
        <w:t>Marshall Space Flight Center</w:t>
      </w:r>
    </w:p>
    <w:p w:rsidR="00CC62EF" w:rsidRDefault="00AE6F6F">
      <w:pPr>
        <w:spacing w:after="0" w:line="240" w:lineRule="auto"/>
        <w:jc w:val="right"/>
      </w:pPr>
      <w:r>
        <w:rPr>
          <w:rFonts w:ascii="Century Gothic" w:eastAsia="Century Gothic" w:hAnsi="Century Gothic" w:cs="Century Gothic"/>
          <w:b/>
        </w:rPr>
        <w:t>Spring 2013</w:t>
      </w:r>
    </w:p>
    <w:p w:rsidR="00CC62EF" w:rsidRDefault="00CC62EF">
      <w:pPr>
        <w:spacing w:after="0" w:line="240" w:lineRule="auto"/>
      </w:pPr>
    </w:p>
    <w:p w:rsidR="00CC62EF" w:rsidRDefault="00AE6F6F">
      <w:pPr>
        <w:spacing w:after="0" w:line="240" w:lineRule="auto"/>
        <w:jc w:val="center"/>
      </w:pPr>
      <w:r>
        <w:rPr>
          <w:rFonts w:ascii="Century Gothic" w:eastAsia="Century Gothic" w:hAnsi="Century Gothic" w:cs="Century Gothic"/>
          <w:b/>
        </w:rPr>
        <w:t>South Carolina Ecological Forecasting</w:t>
      </w:r>
    </w:p>
    <w:p w:rsidR="00CC62EF" w:rsidRDefault="00AE6F6F">
      <w:pPr>
        <w:spacing w:after="0" w:line="240" w:lineRule="auto"/>
        <w:jc w:val="center"/>
      </w:pPr>
      <w:r>
        <w:rPr>
          <w:rFonts w:ascii="Century Gothic" w:eastAsia="Century Gothic" w:hAnsi="Century Gothic" w:cs="Century Gothic"/>
          <w:i/>
        </w:rPr>
        <w:t>Utilizing NASA Earth Observations to Analyze Wetland Gain and Loss in Threatened Wetland Areas in South Carolina</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b/>
        </w:rPr>
        <w:t>Team Lead:</w:t>
      </w:r>
      <w:r>
        <w:rPr>
          <w:rFonts w:ascii="Century Gothic" w:eastAsia="Century Gothic" w:hAnsi="Century Gothic" w:cs="Century Gothic"/>
        </w:rPr>
        <w:t xml:space="preserve"> Katelyn Salem, University of Alabama in Huntsville, katesalem08@gmail.com</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b/>
        </w:rPr>
        <w:t>Team Members:</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rPr>
        <w:t>Rebecca Frye, University of Alabama in Huntsville</w:t>
      </w:r>
    </w:p>
    <w:p w:rsidR="00CC62EF" w:rsidRDefault="00AE6F6F">
      <w:pPr>
        <w:spacing w:after="0" w:line="240" w:lineRule="auto"/>
      </w:pPr>
      <w:r>
        <w:rPr>
          <w:rFonts w:ascii="Century Gothic" w:eastAsia="Century Gothic" w:hAnsi="Century Gothic" w:cs="Century Gothic"/>
        </w:rPr>
        <w:t>Ralph Evans, University of Alabama in Huntsville</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b/>
        </w:rPr>
        <w:t>Advisors &amp; Mentors:</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rPr>
        <w:t>Dr. Jeff Luvall, NASA MSFC NSSTC Global Hydr</w:t>
      </w:r>
      <w:r>
        <w:rPr>
          <w:rFonts w:ascii="Century Gothic" w:eastAsia="Century Gothic" w:hAnsi="Century Gothic" w:cs="Century Gothic"/>
        </w:rPr>
        <w:t>ology and Climate Center</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b/>
        </w:rPr>
        <w:t>Applied Sciences National Applications Addressed:</w:t>
      </w:r>
      <w:r>
        <w:rPr>
          <w:rFonts w:ascii="Century Gothic" w:eastAsia="Century Gothic" w:hAnsi="Century Gothic" w:cs="Century Gothic"/>
        </w:rPr>
        <w:t xml:space="preserve"> </w:t>
      </w:r>
    </w:p>
    <w:p w:rsidR="00CC62EF" w:rsidRDefault="00AE6F6F">
      <w:pPr>
        <w:spacing w:after="0" w:line="240" w:lineRule="auto"/>
      </w:pPr>
      <w:r>
        <w:rPr>
          <w:rFonts w:ascii="Century Gothic" w:eastAsia="Century Gothic" w:hAnsi="Century Gothic" w:cs="Century Gothic"/>
        </w:rPr>
        <w:t>Ecological Forecasting</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b/>
        </w:rPr>
        <w:t>Study Area:</w:t>
      </w:r>
      <w:r>
        <w:rPr>
          <w:rFonts w:ascii="Century Gothic" w:eastAsia="Century Gothic" w:hAnsi="Century Gothic" w:cs="Century Gothic"/>
        </w:rPr>
        <w:t xml:space="preserve"> South Carolina; Charleston area and Bulls Island.</w:t>
      </w:r>
    </w:p>
    <w:p w:rsidR="00CC62EF" w:rsidRDefault="00AE6F6F">
      <w:pPr>
        <w:spacing w:after="0" w:line="240" w:lineRule="auto"/>
      </w:pPr>
      <w:r>
        <w:rPr>
          <w:rFonts w:ascii="Century Gothic" w:eastAsia="Century Gothic" w:hAnsi="Century Gothic" w:cs="Century Gothic"/>
          <w:b/>
        </w:rPr>
        <w:t>Study Period:</w:t>
      </w:r>
      <w:r>
        <w:rPr>
          <w:rFonts w:ascii="Century Gothic" w:eastAsia="Century Gothic" w:hAnsi="Century Gothic" w:cs="Century Gothic"/>
        </w:rPr>
        <w:t xml:space="preserve"> 1989 and Summer 1984 through Summer 2011</w:t>
      </w:r>
    </w:p>
    <w:p w:rsidR="00CC62EF" w:rsidRDefault="00AE6F6F">
      <w:pPr>
        <w:spacing w:after="0" w:line="240" w:lineRule="auto"/>
      </w:pPr>
      <w:r>
        <w:rPr>
          <w:rFonts w:ascii="Century Gothic" w:eastAsia="Century Gothic" w:hAnsi="Century Gothic" w:cs="Century Gothic"/>
          <w:b/>
        </w:rPr>
        <w:t>Community Concerns</w:t>
      </w:r>
    </w:p>
    <w:p w:rsidR="00CC62EF" w:rsidRDefault="00AE6F6F">
      <w:pPr>
        <w:numPr>
          <w:ilvl w:val="0"/>
          <w:numId w:val="3"/>
        </w:numPr>
        <w:spacing w:after="0" w:line="240" w:lineRule="auto"/>
        <w:ind w:hanging="359"/>
      </w:pPr>
      <w:r>
        <w:rPr>
          <w:rFonts w:ascii="Century Gothic" w:eastAsia="Century Gothic" w:hAnsi="Century Gothic" w:cs="Century Gothic"/>
        </w:rPr>
        <w:t>Wetland loss affects unique habitats for wildlife and migratory birds as well as threatened and endangered specie</w:t>
      </w:r>
      <w:bookmarkStart w:id="0" w:name="_GoBack"/>
      <w:bookmarkEnd w:id="0"/>
      <w:r>
        <w:rPr>
          <w:rFonts w:ascii="Century Gothic" w:eastAsia="Century Gothic" w:hAnsi="Century Gothic" w:cs="Century Gothic"/>
        </w:rPr>
        <w:t>s.</w:t>
      </w:r>
    </w:p>
    <w:p w:rsidR="00CC62EF" w:rsidRDefault="00AE6F6F">
      <w:pPr>
        <w:numPr>
          <w:ilvl w:val="0"/>
          <w:numId w:val="3"/>
        </w:numPr>
        <w:spacing w:after="0" w:line="240" w:lineRule="auto"/>
        <w:ind w:hanging="359"/>
      </w:pPr>
      <w:r>
        <w:rPr>
          <w:rFonts w:ascii="Century Gothic" w:eastAsia="Century Gothic" w:hAnsi="Century Gothic" w:cs="Century Gothic"/>
        </w:rPr>
        <w:t>Erosion occurring on the north-east coast of Bulls Island threatens the Jacks Pond managed wetland impoundment.</w:t>
      </w:r>
    </w:p>
    <w:p w:rsidR="00CC62EF" w:rsidRDefault="00AE6F6F">
      <w:pPr>
        <w:numPr>
          <w:ilvl w:val="0"/>
          <w:numId w:val="3"/>
        </w:numPr>
        <w:spacing w:after="0" w:line="240" w:lineRule="auto"/>
        <w:ind w:hanging="359"/>
      </w:pPr>
      <w:r>
        <w:rPr>
          <w:rFonts w:ascii="Century Gothic" w:eastAsia="Century Gothic" w:hAnsi="Century Gothic" w:cs="Century Gothic"/>
        </w:rPr>
        <w:t>Living conditions of freshwa</w:t>
      </w:r>
      <w:r>
        <w:rPr>
          <w:rFonts w:ascii="Century Gothic" w:eastAsia="Century Gothic" w:hAnsi="Century Gothic" w:cs="Century Gothic"/>
        </w:rPr>
        <w:t>ter plants within c</w:t>
      </w:r>
      <w:r>
        <w:rPr>
          <w:rFonts w:ascii="Century Gothic" w:eastAsia="Century Gothic" w:hAnsi="Century Gothic" w:cs="Century Gothic"/>
        </w:rPr>
        <w:t>oastal freshwater marshes can be impacted by saltwater brought in by hurricanes</w:t>
      </w:r>
      <w:r>
        <w:rPr>
          <w:rFonts w:ascii="Century Gothic" w:eastAsia="Century Gothic" w:hAnsi="Century Gothic" w:cs="Century Gothic"/>
        </w:rPr>
        <w:t>.</w:t>
      </w:r>
    </w:p>
    <w:p w:rsidR="00CC62EF" w:rsidRDefault="00AE6F6F">
      <w:pPr>
        <w:numPr>
          <w:ilvl w:val="0"/>
          <w:numId w:val="3"/>
        </w:numPr>
        <w:spacing w:after="0" w:line="240" w:lineRule="auto"/>
        <w:ind w:hanging="359"/>
      </w:pPr>
      <w:r>
        <w:rPr>
          <w:rFonts w:ascii="Century Gothic" w:eastAsia="Century Gothic" w:hAnsi="Century Gothic" w:cs="Century Gothic"/>
        </w:rPr>
        <w:t xml:space="preserve">Wetlands around urban areas need </w:t>
      </w:r>
      <w:r>
        <w:rPr>
          <w:rFonts w:ascii="Century Gothic" w:eastAsia="Century Gothic" w:hAnsi="Century Gothic" w:cs="Century Gothic"/>
        </w:rPr>
        <w:t xml:space="preserve">to be sustained to </w:t>
      </w:r>
      <w:r>
        <w:rPr>
          <w:rFonts w:ascii="Century Gothic" w:eastAsia="Century Gothic" w:hAnsi="Century Gothic" w:cs="Century Gothic"/>
        </w:rPr>
        <w:t>help alleviate flooding due to runoff from streets and buildings.</w:t>
      </w:r>
    </w:p>
    <w:p w:rsidR="00CC62EF" w:rsidRDefault="00CC62EF">
      <w:pPr>
        <w:spacing w:after="0" w:line="240" w:lineRule="auto"/>
        <w:ind w:left="720"/>
      </w:pPr>
    </w:p>
    <w:p w:rsidR="00CC62EF" w:rsidRDefault="00AE6F6F">
      <w:pPr>
        <w:spacing w:after="0" w:line="240" w:lineRule="auto"/>
      </w:pPr>
      <w:r>
        <w:rPr>
          <w:rFonts w:ascii="Century Gothic" w:eastAsia="Century Gothic" w:hAnsi="Century Gothic" w:cs="Century Gothic"/>
          <w:b/>
        </w:rPr>
        <w:t>80-100 Word Blurb</w:t>
      </w:r>
    </w:p>
    <w:p w:rsidR="00CC62EF" w:rsidRDefault="00AE6F6F">
      <w:pPr>
        <w:spacing w:after="0" w:line="240" w:lineRule="auto"/>
      </w:pPr>
      <w:bookmarkStart w:id="1" w:name="h.gjdgxs" w:colFirst="0" w:colLast="0"/>
      <w:bookmarkEnd w:id="1"/>
      <w:r>
        <w:rPr>
          <w:rFonts w:ascii="Century Gothic" w:eastAsia="Century Gothic" w:hAnsi="Century Gothic" w:cs="Century Gothic"/>
        </w:rPr>
        <w:t>Wetlands are an imp</w:t>
      </w:r>
      <w:r>
        <w:rPr>
          <w:rFonts w:ascii="Century Gothic" w:eastAsia="Century Gothic" w:hAnsi="Century Gothic" w:cs="Century Gothic"/>
        </w:rPr>
        <w:t>ortant component in maintaining a healthy ecosystem. They improve water quality by acting as a filter for sediments and chemicals, while also alleviating flood waters, which is especially important for urban areas which build up surface water runoff from s</w:t>
      </w:r>
      <w:r>
        <w:rPr>
          <w:rFonts w:ascii="Century Gothic" w:eastAsia="Century Gothic" w:hAnsi="Century Gothic" w:cs="Century Gothic"/>
        </w:rPr>
        <w:t>treets and buildings. They are also considered to be some of the most diverse ecosystems in the world, supporting endangered species and providing homes for various plants and wildlife. Wetland maps are a prerequisite for wetland inventory and provide basi</w:t>
      </w:r>
      <w:r>
        <w:rPr>
          <w:rFonts w:ascii="Century Gothic" w:eastAsia="Century Gothic" w:hAnsi="Century Gothic" w:cs="Century Gothic"/>
        </w:rPr>
        <w:t>c spatial data for wetland development planning, management, protection, and restoration. This project’s goal is to create land gain loss maps in the chosen study areas to aid regional agencies in monitoring wetlands.</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b/>
        </w:rPr>
        <w:t>Abstract</w:t>
      </w:r>
    </w:p>
    <w:p w:rsidR="00CC62EF" w:rsidRDefault="00AE6F6F">
      <w:pPr>
        <w:spacing w:after="0" w:line="240" w:lineRule="auto"/>
      </w:pPr>
      <w:r>
        <w:rPr>
          <w:rFonts w:ascii="Century Gothic" w:eastAsia="Century Gothic" w:hAnsi="Century Gothic" w:cs="Century Gothic"/>
        </w:rPr>
        <w:lastRenderedPageBreak/>
        <w:t>The concerns of wetland regu</w:t>
      </w:r>
      <w:r>
        <w:rPr>
          <w:rFonts w:ascii="Century Gothic" w:eastAsia="Century Gothic" w:hAnsi="Century Gothic" w:cs="Century Gothic"/>
        </w:rPr>
        <w:t>lation and conservation are significant in South Carolina which has one of the largest ranges of wetlands in the Southeast. The South Carolina Department of Health and Environmental Control (SCDHEC), the US Army Corps of Engineers, National Wildlife Federa</w:t>
      </w:r>
      <w:r>
        <w:rPr>
          <w:rFonts w:ascii="Century Gothic" w:eastAsia="Century Gothic" w:hAnsi="Century Gothic" w:cs="Century Gothic"/>
        </w:rPr>
        <w:t xml:space="preserve">tion (NWF) and other federal and regional agencies provide regulations but do not actively monitor wetland gain and loss. Research was completed to aid the analysis of wetland standings with land loss and gain data for the end-users. This project combined </w:t>
      </w:r>
      <w:r>
        <w:rPr>
          <w:rFonts w:ascii="Century Gothic" w:eastAsia="Century Gothic" w:hAnsi="Century Gothic" w:cs="Century Gothic"/>
        </w:rPr>
        <w:t xml:space="preserve">Normalized Difference Water Index (NDWI), Normalized Difference Vegetation Index (NDVI), and Normalized Difference Soil Index (NDSI) to form a product named “NDXI” to aid in land cover classification along with land cover classes from USDA CropScape. Land </w:t>
      </w:r>
      <w:r>
        <w:rPr>
          <w:rFonts w:ascii="Century Gothic" w:eastAsia="Century Gothic" w:hAnsi="Century Gothic" w:cs="Century Gothic"/>
        </w:rPr>
        <w:t>cover categories were created using Landsat data from 1984 and 2011 for Charleston and Bulls Island. Change detection on the classified images was displayed as four classes; land without change, water without change, land that changed to water, and water t</w:t>
      </w:r>
      <w:r>
        <w:rPr>
          <w:rFonts w:ascii="Century Gothic" w:eastAsia="Century Gothic" w:hAnsi="Century Gothic" w:cs="Century Gothic"/>
        </w:rPr>
        <w:t>hat changed to land. Using a combination of band ratios, change detection was also completed for the coastline of Charleston before and after Hurricane Hugo in 1989. This project resulted in wetland gain and loss data for the aid of wetland regulation in S</w:t>
      </w:r>
      <w:r>
        <w:rPr>
          <w:rFonts w:ascii="Century Gothic" w:eastAsia="Century Gothic" w:hAnsi="Century Gothic" w:cs="Century Gothic"/>
        </w:rPr>
        <w:t>outh Carolina.</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b/>
        </w:rPr>
        <w:t>Earth Observations &amp; Parameters</w:t>
      </w:r>
    </w:p>
    <w:p w:rsidR="00CC62EF" w:rsidRDefault="00AE6F6F">
      <w:pPr>
        <w:spacing w:after="0" w:line="240" w:lineRule="auto"/>
      </w:pPr>
      <w:r>
        <w:rPr>
          <w:rFonts w:ascii="Century Gothic" w:eastAsia="Century Gothic" w:hAnsi="Century Gothic" w:cs="Century Gothic"/>
        </w:rPr>
        <w:t>Landsat 5, TM – land cover, NDVI, NDWI, NDSI</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b/>
        </w:rPr>
        <w:t>Future Applicable NASA Missions</w:t>
      </w:r>
    </w:p>
    <w:p w:rsidR="00CC62EF" w:rsidRDefault="00AE6F6F">
      <w:pPr>
        <w:spacing w:after="0" w:line="240" w:lineRule="auto"/>
      </w:pPr>
      <w:r>
        <w:rPr>
          <w:rFonts w:ascii="Century Gothic" w:eastAsia="Century Gothic" w:hAnsi="Century Gothic" w:cs="Century Gothic"/>
        </w:rPr>
        <w:t>LDCM - Land cover</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b/>
        </w:rPr>
        <w:t>Models Utilized</w:t>
      </w:r>
    </w:p>
    <w:p w:rsidR="00CC62EF" w:rsidRDefault="00AE6F6F">
      <w:pPr>
        <w:spacing w:after="0" w:line="240" w:lineRule="auto"/>
      </w:pPr>
      <w:r>
        <w:rPr>
          <w:rFonts w:ascii="Century Gothic" w:eastAsia="Century Gothic" w:hAnsi="Century Gothic" w:cs="Century Gothic"/>
        </w:rPr>
        <w:t>NDXI (NDVI, NDSI, NDWI)</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b/>
        </w:rPr>
        <w:t>Ancillary Datasets Utilized</w:t>
      </w:r>
    </w:p>
    <w:p w:rsidR="00CC62EF" w:rsidRDefault="00AE6F6F">
      <w:pPr>
        <w:spacing w:after="0" w:line="240" w:lineRule="auto"/>
      </w:pPr>
      <w:r>
        <w:rPr>
          <w:rFonts w:ascii="Century Gothic" w:eastAsia="Century Gothic" w:hAnsi="Century Gothic" w:cs="Century Gothic"/>
        </w:rPr>
        <w:t>USDA CropScape</w:t>
      </w:r>
    </w:p>
    <w:p w:rsidR="00CC62EF" w:rsidRDefault="00AE6F6F">
      <w:pPr>
        <w:spacing w:after="0" w:line="240" w:lineRule="auto"/>
      </w:pPr>
      <w:r>
        <w:rPr>
          <w:rFonts w:ascii="Century Gothic" w:eastAsia="Century Gothic" w:hAnsi="Century Gothic" w:cs="Century Gothic"/>
        </w:rPr>
        <w:t>GIS shapefiles for each study area</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b/>
        </w:rPr>
        <w:t>Software Utilized</w:t>
      </w:r>
    </w:p>
    <w:p w:rsidR="00CC62EF" w:rsidRDefault="00AE6F6F">
      <w:pPr>
        <w:spacing w:after="0" w:line="240" w:lineRule="auto"/>
        <w:ind w:left="720"/>
      </w:pPr>
      <w:r>
        <w:rPr>
          <w:rFonts w:ascii="Century Gothic" w:eastAsia="Century Gothic" w:hAnsi="Century Gothic" w:cs="Century Gothic"/>
        </w:rPr>
        <w:t>ENVI – QUAC, atmospheric correction of Landsat 5 TM images</w:t>
      </w:r>
    </w:p>
    <w:p w:rsidR="00CC62EF" w:rsidRDefault="00AE6F6F">
      <w:pPr>
        <w:spacing w:after="0" w:line="240" w:lineRule="auto"/>
      </w:pPr>
      <w:r>
        <w:rPr>
          <w:rFonts w:ascii="Century Gothic" w:eastAsia="Century Gothic" w:hAnsi="Century Gothic" w:cs="Century Gothic"/>
        </w:rPr>
        <w:t>ArcGIS - Raster Manipulation/Analysis, Image Enhancement &amp; Map Creation of Landsat5 TM</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b/>
        </w:rPr>
        <w:t>Decision Support Tools</w:t>
      </w:r>
      <w:r>
        <w:rPr>
          <w:rFonts w:ascii="Century Gothic" w:eastAsia="Century Gothic" w:hAnsi="Century Gothic" w:cs="Century Gothic"/>
        </w:rPr>
        <w:t xml:space="preserve"> </w:t>
      </w:r>
    </w:p>
    <w:p w:rsidR="00CC62EF" w:rsidRDefault="00AE6F6F">
      <w:pPr>
        <w:numPr>
          <w:ilvl w:val="0"/>
          <w:numId w:val="2"/>
        </w:numPr>
        <w:spacing w:after="0" w:line="240" w:lineRule="auto"/>
        <w:ind w:hanging="359"/>
      </w:pPr>
      <w:r>
        <w:rPr>
          <w:rFonts w:ascii="Century Gothic" w:eastAsia="Century Gothic" w:hAnsi="Century Gothic" w:cs="Century Gothic"/>
        </w:rPr>
        <w:t>Change detection for 1984 through 2012 land/water gain and loss to assess wetland and coastal statuses of the study areas.</w:t>
      </w:r>
    </w:p>
    <w:p w:rsidR="00CC62EF" w:rsidRDefault="00AE6F6F">
      <w:pPr>
        <w:numPr>
          <w:ilvl w:val="0"/>
          <w:numId w:val="2"/>
        </w:numPr>
        <w:spacing w:after="0" w:line="240" w:lineRule="auto"/>
        <w:ind w:hanging="359"/>
      </w:pPr>
      <w:r>
        <w:rPr>
          <w:rFonts w:ascii="Century Gothic" w:eastAsia="Century Gothic" w:hAnsi="Century Gothic" w:cs="Century Gothic"/>
        </w:rPr>
        <w:t xml:space="preserve">Coastline change detection of Charleston before and after Hurricane Hugo in 1989 to analyze the effects of hurricanes on urban areas </w:t>
      </w:r>
      <w:r>
        <w:rPr>
          <w:rFonts w:ascii="Century Gothic" w:eastAsia="Century Gothic" w:hAnsi="Century Gothic" w:cs="Century Gothic"/>
        </w:rPr>
        <w:t>and wetlands</w:t>
      </w:r>
      <w:r>
        <w:rPr>
          <w:rFonts w:ascii="Century Gothic" w:eastAsia="Century Gothic" w:hAnsi="Century Gothic" w:cs="Century Gothic"/>
        </w:rPr>
        <w:t>.</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b/>
        </w:rPr>
        <w:t>Partners/Collaborators</w:t>
      </w:r>
    </w:p>
    <w:p w:rsidR="00CC62EF" w:rsidRDefault="00AE6F6F">
      <w:pPr>
        <w:spacing w:after="0" w:line="240" w:lineRule="auto"/>
      </w:pPr>
      <w:r>
        <w:rPr>
          <w:rFonts w:ascii="Century Gothic" w:eastAsia="Century Gothic" w:hAnsi="Century Gothic" w:cs="Century Gothic"/>
        </w:rPr>
        <w:t>US Fish and Wildlife Service, Raye Nilius, Project Leader, South Carolina Lowcountry Refuge Complex</w:t>
      </w:r>
    </w:p>
    <w:p w:rsidR="00CC62EF" w:rsidRDefault="00AE6F6F">
      <w:pPr>
        <w:spacing w:after="0" w:line="240" w:lineRule="auto"/>
      </w:pPr>
      <w:r>
        <w:rPr>
          <w:rFonts w:ascii="Century Gothic" w:eastAsia="Century Gothic" w:hAnsi="Century Gothic" w:cs="Century Gothic"/>
        </w:rPr>
        <w:t>South Carolina Department of Health and Environmental Control</w:t>
      </w:r>
    </w:p>
    <w:p w:rsidR="00CC62EF" w:rsidRDefault="00AE6F6F">
      <w:pPr>
        <w:spacing w:after="0" w:line="240" w:lineRule="auto"/>
      </w:pPr>
      <w:r>
        <w:rPr>
          <w:rFonts w:ascii="Century Gothic" w:eastAsia="Century Gothic" w:hAnsi="Century Gothic" w:cs="Century Gothic"/>
        </w:rPr>
        <w:t>US Army Corps of Engineers</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b/>
        </w:rPr>
        <w:t>Current Management Practices</w:t>
      </w:r>
      <w:r>
        <w:rPr>
          <w:rFonts w:ascii="Century Gothic" w:eastAsia="Century Gothic" w:hAnsi="Century Gothic" w:cs="Century Gothic"/>
          <w:b/>
        </w:rPr>
        <w:t xml:space="preserve"> &amp; Policies</w:t>
      </w:r>
      <w:r>
        <w:rPr>
          <w:rFonts w:ascii="Century Gothic" w:eastAsia="Century Gothic" w:hAnsi="Century Gothic" w:cs="Century Gothic"/>
        </w:rPr>
        <w:t xml:space="preserve"> </w:t>
      </w:r>
    </w:p>
    <w:p w:rsidR="00CC62EF" w:rsidRDefault="00AE6F6F">
      <w:pPr>
        <w:spacing w:after="0" w:line="240" w:lineRule="auto"/>
      </w:pPr>
      <w:r>
        <w:rPr>
          <w:rFonts w:ascii="Century Gothic" w:eastAsia="Century Gothic" w:hAnsi="Century Gothic" w:cs="Century Gothic"/>
        </w:rPr>
        <w:lastRenderedPageBreak/>
        <w:t xml:space="preserve">South Carolina coastal wetland policies and regulations have been adopted in accordance to a </w:t>
      </w:r>
      <w:r>
        <w:rPr>
          <w:rFonts w:ascii="Century Gothic" w:eastAsia="Century Gothic" w:hAnsi="Century Gothic" w:cs="Century Gothic"/>
          <w:highlight w:val="white"/>
        </w:rPr>
        <w:t>Section 401 Water Quality Certification Program. Regulations of wetlands are administered by the South Carolina Department of Health and Environmental</w:t>
      </w:r>
      <w:r>
        <w:rPr>
          <w:rFonts w:ascii="Century Gothic" w:eastAsia="Century Gothic" w:hAnsi="Century Gothic" w:cs="Century Gothic"/>
          <w:highlight w:val="white"/>
        </w:rPr>
        <w:t xml:space="preserve"> Control (SCDHEC)</w:t>
      </w:r>
      <w:r>
        <w:rPr>
          <w:rFonts w:ascii="Century Gothic" w:eastAsia="Century Gothic" w:hAnsi="Century Gothic" w:cs="Century Gothic"/>
          <w:highlight w:val="white"/>
        </w:rPr>
        <w:t xml:space="preserve"> </w:t>
      </w:r>
      <w:r>
        <w:rPr>
          <w:rFonts w:ascii="Century Gothic" w:eastAsia="Century Gothic" w:hAnsi="Century Gothic" w:cs="Century Gothic"/>
          <w:highlight w:val="white"/>
        </w:rPr>
        <w:t>Office of Ocean and Coastal Resource Management (OCRM) which issues permits for certain activities under the state’s Coastal Zone Management Act for critical areas of the state’s coastal zone including coastal water, tidelands, beach/dune</w:t>
      </w:r>
      <w:r>
        <w:rPr>
          <w:rFonts w:ascii="Century Gothic" w:eastAsia="Century Gothic" w:hAnsi="Century Gothic" w:cs="Century Gothic"/>
          <w:highlight w:val="white"/>
        </w:rPr>
        <w:t xml:space="preserve"> systems, and beaches. For non-critical zones, the SCDHEC’s Office of Environmental Quality Control, Bureau of Water regulates state waters under Section 404 of the Clean Water Act.</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highlight w:val="white"/>
        </w:rPr>
        <w:t xml:space="preserve">On average, the OCRM reviews </w:t>
      </w:r>
      <w:r>
        <w:rPr>
          <w:rFonts w:ascii="Century Gothic" w:eastAsia="Century Gothic" w:hAnsi="Century Gothic" w:cs="Century Gothic"/>
          <w:highlight w:val="white"/>
        </w:rPr>
        <w:t xml:space="preserve">about 1,000 permit applications </w:t>
      </w:r>
      <w:r>
        <w:rPr>
          <w:rFonts w:ascii="Century Gothic" w:eastAsia="Century Gothic" w:hAnsi="Century Gothic" w:cs="Century Gothic"/>
          <w:highlight w:val="white"/>
        </w:rPr>
        <w:t xml:space="preserve">a year </w:t>
      </w:r>
      <w:r>
        <w:rPr>
          <w:rFonts w:ascii="Century Gothic" w:eastAsia="Century Gothic" w:hAnsi="Century Gothic" w:cs="Century Gothic"/>
          <w:highlight w:val="white"/>
        </w:rPr>
        <w:t xml:space="preserve">with </w:t>
      </w:r>
      <w:r>
        <w:rPr>
          <w:rFonts w:ascii="Century Gothic" w:eastAsia="Century Gothic" w:hAnsi="Century Gothic" w:cs="Century Gothic"/>
          <w:highlight w:val="white"/>
        </w:rPr>
        <w:t xml:space="preserve">anywhere from three to five percent of them being denied. Both the OCRM and the Bureau of Water’s budget </w:t>
      </w:r>
      <w:r w:rsidR="003551F6">
        <w:rPr>
          <w:rFonts w:ascii="Century Gothic" w:eastAsia="Century Gothic" w:hAnsi="Century Gothic" w:cs="Century Gothic"/>
          <w:highlight w:val="white"/>
        </w:rPr>
        <w:t>are</w:t>
      </w:r>
      <w:r>
        <w:rPr>
          <w:rFonts w:ascii="Century Gothic" w:eastAsia="Century Gothic" w:hAnsi="Century Gothic" w:cs="Century Gothic"/>
          <w:highlight w:val="white"/>
        </w:rPr>
        <w:t xml:space="preserve"> primarily from state appropriations, with some additional funding for the Bureau provided by the USEPA Wetland Program Development Grants. The OCRM </w:t>
      </w:r>
      <w:r>
        <w:rPr>
          <w:rFonts w:ascii="Century Gothic" w:eastAsia="Century Gothic" w:hAnsi="Century Gothic" w:cs="Century Gothic"/>
          <w:highlight w:val="white"/>
        </w:rPr>
        <w:t>and Bureau of Water have been building up a database of proposed impacts, locations, mitigation activities, restoration methodologies, and monitoring reports including GIS maps but do not a</w:t>
      </w:r>
      <w:r>
        <w:rPr>
          <w:rFonts w:ascii="Century Gothic" w:eastAsia="Century Gothic" w:hAnsi="Century Gothic" w:cs="Century Gothic"/>
          <w:highlight w:val="white"/>
        </w:rPr>
        <w:t>ctively monitor the statuses of all wetlands in South Carolina</w:t>
      </w:r>
      <w:r>
        <w:rPr>
          <w:rFonts w:ascii="Century Gothic" w:eastAsia="Century Gothic" w:hAnsi="Century Gothic" w:cs="Century Gothic"/>
          <w:highlight w:val="white"/>
        </w:rPr>
        <w:t>. Mon</w:t>
      </w:r>
      <w:r>
        <w:rPr>
          <w:rFonts w:ascii="Century Gothic" w:eastAsia="Century Gothic" w:hAnsi="Century Gothic" w:cs="Century Gothic"/>
          <w:highlight w:val="white"/>
        </w:rPr>
        <w:t>thly meetings are also held between the US Army Corps of Engineers, SCDHEC, EPA, US Fish and Wildlife Service, National Marine Fisheries Service, SCDNR, and South Carolina Department of Archives and History to discuss permits and their applications.</w:t>
      </w:r>
    </w:p>
    <w:p w:rsidR="00CC62EF" w:rsidRDefault="00CC62EF">
      <w:pPr>
        <w:spacing w:after="0" w:line="240" w:lineRule="auto"/>
      </w:pPr>
    </w:p>
    <w:p w:rsidR="00CC62EF" w:rsidRDefault="00AE6F6F">
      <w:pPr>
        <w:spacing w:after="0" w:line="240" w:lineRule="auto"/>
      </w:pPr>
      <w:r>
        <w:rPr>
          <w:rFonts w:ascii="Century Gothic" w:eastAsia="Century Gothic" w:hAnsi="Century Gothic" w:cs="Century Gothic"/>
          <w:b/>
        </w:rPr>
        <w:t>Benef</w:t>
      </w:r>
      <w:r>
        <w:rPr>
          <w:rFonts w:ascii="Century Gothic" w:eastAsia="Century Gothic" w:hAnsi="Century Gothic" w:cs="Century Gothic"/>
          <w:b/>
        </w:rPr>
        <w:t>it to End-User:</w:t>
      </w:r>
    </w:p>
    <w:p w:rsidR="00CC62EF" w:rsidRDefault="00AE6F6F">
      <w:pPr>
        <w:numPr>
          <w:ilvl w:val="0"/>
          <w:numId w:val="1"/>
        </w:numPr>
        <w:spacing w:after="0" w:line="240" w:lineRule="auto"/>
        <w:ind w:hanging="359"/>
      </w:pPr>
      <w:r>
        <w:rPr>
          <w:rFonts w:ascii="Century Gothic" w:eastAsia="Century Gothic" w:hAnsi="Century Gothic" w:cs="Century Gothic"/>
        </w:rPr>
        <w:t>A technical paper providing methodologies and techniques that may be applied by the end-user to other research areas.</w:t>
      </w:r>
    </w:p>
    <w:p w:rsidR="00CC62EF" w:rsidRDefault="00AE6F6F">
      <w:pPr>
        <w:numPr>
          <w:ilvl w:val="0"/>
          <w:numId w:val="1"/>
        </w:numPr>
        <w:spacing w:after="0" w:line="240" w:lineRule="auto"/>
        <w:ind w:hanging="359"/>
      </w:pPr>
      <w:r>
        <w:rPr>
          <w:rFonts w:ascii="Century Gothic" w:eastAsia="Century Gothic" w:hAnsi="Century Gothic" w:cs="Century Gothic"/>
        </w:rPr>
        <w:t>Information on how remote sensing may be applied for classification of land gain and loss maps.</w:t>
      </w:r>
    </w:p>
    <w:p w:rsidR="00CC62EF" w:rsidRDefault="00AE6F6F">
      <w:pPr>
        <w:numPr>
          <w:ilvl w:val="0"/>
          <w:numId w:val="1"/>
        </w:numPr>
        <w:spacing w:after="0" w:line="240" w:lineRule="auto"/>
        <w:ind w:hanging="359"/>
      </w:pPr>
      <w:r>
        <w:rPr>
          <w:rFonts w:ascii="Century Gothic" w:eastAsia="Century Gothic" w:hAnsi="Century Gothic" w:cs="Century Gothic"/>
        </w:rPr>
        <w:t xml:space="preserve">Project results analyzing </w:t>
      </w:r>
      <w:r>
        <w:rPr>
          <w:rFonts w:ascii="Century Gothic" w:eastAsia="Century Gothic" w:hAnsi="Century Gothic" w:cs="Century Gothic"/>
        </w:rPr>
        <w:t>the effects of hurricanes on urban areas and wetlands for future planning and restoration projects.</w:t>
      </w:r>
    </w:p>
    <w:p w:rsidR="00CC62EF" w:rsidRDefault="00CC62EF">
      <w:pPr>
        <w:spacing w:after="0" w:line="240" w:lineRule="auto"/>
      </w:pPr>
    </w:p>
    <w:p w:rsidR="00CC62EF" w:rsidRDefault="00CC62EF">
      <w:pPr>
        <w:spacing w:after="0" w:line="240" w:lineRule="auto"/>
      </w:pPr>
    </w:p>
    <w:sectPr w:rsidR="00CC62EF">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6F6F">
      <w:pPr>
        <w:spacing w:after="0" w:line="240" w:lineRule="auto"/>
      </w:pPr>
      <w:r>
        <w:separator/>
      </w:r>
    </w:p>
  </w:endnote>
  <w:endnote w:type="continuationSeparator" w:id="0">
    <w:p w:rsidR="00000000" w:rsidRDefault="00AE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EF" w:rsidRDefault="00AE6F6F">
    <w:pPr>
      <w:tabs>
        <w:tab w:val="center" w:pos="4680"/>
        <w:tab w:val="right" w:pos="9360"/>
      </w:tabs>
      <w:jc w:val="center"/>
    </w:pPr>
    <w:r>
      <w:rPr>
        <w:noProof/>
      </w:rPr>
      <w:drawing>
        <wp:inline distT="0" distB="0" distL="0" distR="0">
          <wp:extent cx="1497330" cy="28575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
                  <a:stretch>
                    <a:fillRect/>
                  </a:stretch>
                </pic:blipFill>
                <pic:spPr>
                  <a:xfrm>
                    <a:off x="0" y="0"/>
                    <a:ext cx="1497330" cy="2857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6F6F">
      <w:pPr>
        <w:spacing w:after="0" w:line="240" w:lineRule="auto"/>
      </w:pPr>
      <w:r>
        <w:separator/>
      </w:r>
    </w:p>
  </w:footnote>
  <w:footnote w:type="continuationSeparator" w:id="0">
    <w:p w:rsidR="00000000" w:rsidRDefault="00AE6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23E5E"/>
    <w:multiLevelType w:val="multilevel"/>
    <w:tmpl w:val="D1089DD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6F27679E"/>
    <w:multiLevelType w:val="multilevel"/>
    <w:tmpl w:val="EB1C1DE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70F53DD1"/>
    <w:multiLevelType w:val="multilevel"/>
    <w:tmpl w:val="68F61DB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C62EF"/>
    <w:rsid w:val="003551F6"/>
    <w:rsid w:val="00AE6F6F"/>
    <w:rsid w:val="00CC6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35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1F6"/>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35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1F6"/>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C4DD-D793-4F18-9F05-44220D5B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5227</Characters>
  <Application>Microsoft Office Word</Application>
  <DocSecurity>0</DocSecurity>
  <Lines>43</Lines>
  <Paragraphs>12</Paragraphs>
  <ScaleCrop>false</ScaleCrop>
  <Company>NSSTC-UAH</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MSFC_2013 SC Eco Forecasting Project Summary_updated.docx.docx</dc:title>
  <cp:lastModifiedBy>Katelyn Salem</cp:lastModifiedBy>
  <cp:revision>3</cp:revision>
  <dcterms:created xsi:type="dcterms:W3CDTF">2013-03-20T17:15:00Z</dcterms:created>
  <dcterms:modified xsi:type="dcterms:W3CDTF">2013-03-20T17:16:00Z</dcterms:modified>
</cp:coreProperties>
</file>