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1B721629" w14:textId="77777777" w:rsidR="00A67E5E" w:rsidRPr="00A67E5E" w:rsidRDefault="00A67E5E" w:rsidP="00A67E5E">
      <w:pPr>
        <w:spacing w:after="0" w:line="240" w:lineRule="auto"/>
        <w:jc w:val="right"/>
        <w:rPr>
          <w:rFonts w:ascii="Garamond" w:hAnsi="Garamond" w:cs="Arial"/>
          <w:sz w:val="40"/>
          <w:szCs w:val="40"/>
        </w:rPr>
      </w:pPr>
      <w:r w:rsidRPr="00A67E5E">
        <w:rPr>
          <w:rFonts w:ascii="Garamond" w:hAnsi="Garamond" w:cs="Arial"/>
          <w:sz w:val="40"/>
          <w:szCs w:val="40"/>
        </w:rPr>
        <w:t>Great Lakes Water Resources</w:t>
      </w:r>
    </w:p>
    <w:p w14:paraId="0F963EE5" w14:textId="02C8EF66" w:rsidR="009830D6" w:rsidRPr="00D022EB" w:rsidRDefault="00A67E5E" w:rsidP="00A67E5E">
      <w:pPr>
        <w:spacing w:after="0" w:line="240" w:lineRule="auto"/>
        <w:jc w:val="right"/>
        <w:rPr>
          <w:rFonts w:ascii="Garamond" w:hAnsi="Garamond" w:cs="Arial"/>
          <w:sz w:val="28"/>
        </w:rPr>
      </w:pPr>
      <w:r w:rsidRPr="00D022EB">
        <w:rPr>
          <w:rFonts w:ascii="Garamond" w:hAnsi="Garamond" w:cs="Arial"/>
          <w:sz w:val="28"/>
        </w:rPr>
        <w:t>Improving Wetland Change Mapping using Optical and Radar Satellite Sensors to Assess Wetland Gain and Loss Metrics in Minnesota</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Default="00FC670A" w:rsidP="0066138C">
      <w:pPr>
        <w:spacing w:after="0" w:line="240" w:lineRule="auto"/>
        <w:jc w:val="center"/>
        <w:rPr>
          <w:rFonts w:ascii="Garamond" w:hAnsi="Garamond" w:cs="Arial"/>
          <w:b/>
          <w:sz w:val="32"/>
        </w:rPr>
      </w:pPr>
    </w:p>
    <w:p w14:paraId="074C501F" w14:textId="77777777" w:rsidR="00381D3B" w:rsidRPr="0066138C" w:rsidRDefault="00381D3B"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54A8582" w14:textId="32DDFA77" w:rsidR="00916AAB" w:rsidRDefault="00A67E5E" w:rsidP="0066138C">
      <w:pPr>
        <w:spacing w:after="0" w:line="240" w:lineRule="auto"/>
        <w:jc w:val="center"/>
        <w:rPr>
          <w:rFonts w:ascii="Garamond" w:hAnsi="Garamond" w:cs="Arial"/>
          <w:sz w:val="28"/>
          <w:szCs w:val="28"/>
        </w:rPr>
      </w:pPr>
      <w:r w:rsidRPr="00A67E5E">
        <w:rPr>
          <w:rFonts w:ascii="Garamond" w:hAnsi="Garamond" w:cs="Arial"/>
          <w:sz w:val="28"/>
          <w:szCs w:val="28"/>
        </w:rPr>
        <w:t>Final Draft – April 4</w:t>
      </w:r>
      <w:r w:rsidRPr="003949EB">
        <w:rPr>
          <w:rFonts w:ascii="Garamond" w:hAnsi="Garamond" w:cs="Arial"/>
          <w:sz w:val="28"/>
          <w:szCs w:val="28"/>
          <w:vertAlign w:val="superscript"/>
        </w:rPr>
        <w:t>th</w:t>
      </w:r>
      <w:r w:rsidRPr="00A67E5E">
        <w:rPr>
          <w:rFonts w:ascii="Garamond" w:hAnsi="Garamond" w:cs="Arial"/>
          <w:sz w:val="28"/>
          <w:szCs w:val="28"/>
        </w:rPr>
        <w:t>, 2019</w:t>
      </w:r>
    </w:p>
    <w:p w14:paraId="08DE6ECA" w14:textId="77777777" w:rsidR="003D46C0" w:rsidRPr="00381D3B" w:rsidRDefault="003D46C0" w:rsidP="0066138C">
      <w:pPr>
        <w:spacing w:after="0" w:line="240" w:lineRule="auto"/>
        <w:jc w:val="center"/>
        <w:rPr>
          <w:rFonts w:ascii="Garamond" w:hAnsi="Garamond" w:cs="Arial"/>
          <w:sz w:val="24"/>
          <w:szCs w:val="28"/>
        </w:rPr>
      </w:pPr>
    </w:p>
    <w:p w14:paraId="2B65DBD0" w14:textId="77777777" w:rsidR="00A67E5E" w:rsidRPr="00A67E5E" w:rsidRDefault="00A67E5E" w:rsidP="00A67E5E">
      <w:pPr>
        <w:spacing w:after="0" w:line="240" w:lineRule="auto"/>
        <w:jc w:val="center"/>
        <w:rPr>
          <w:rFonts w:ascii="Garamond" w:hAnsi="Garamond" w:cs="Arial"/>
          <w:bCs/>
          <w:sz w:val="20"/>
          <w:szCs w:val="20"/>
        </w:rPr>
      </w:pPr>
      <w:r w:rsidRPr="00A67E5E">
        <w:rPr>
          <w:rFonts w:ascii="Garamond" w:hAnsi="Garamond" w:cs="Arial"/>
          <w:bCs/>
          <w:sz w:val="20"/>
          <w:szCs w:val="20"/>
        </w:rPr>
        <w:t>Erica O’Connor (Project Lead)</w:t>
      </w:r>
    </w:p>
    <w:p w14:paraId="7DAE7920" w14:textId="77777777" w:rsidR="00A67E5E" w:rsidRPr="00A67E5E" w:rsidRDefault="00A67E5E" w:rsidP="00A67E5E">
      <w:pPr>
        <w:spacing w:after="0" w:line="240" w:lineRule="auto"/>
        <w:jc w:val="center"/>
        <w:rPr>
          <w:rFonts w:ascii="Garamond" w:hAnsi="Garamond" w:cs="Arial"/>
          <w:bCs/>
          <w:sz w:val="20"/>
          <w:szCs w:val="20"/>
        </w:rPr>
      </w:pPr>
      <w:r w:rsidRPr="00A67E5E">
        <w:rPr>
          <w:rFonts w:ascii="Garamond" w:hAnsi="Garamond" w:cs="Arial"/>
          <w:bCs/>
          <w:sz w:val="20"/>
          <w:szCs w:val="20"/>
        </w:rPr>
        <w:t xml:space="preserve">Melissa </w:t>
      </w:r>
      <w:proofErr w:type="spellStart"/>
      <w:r w:rsidRPr="00A67E5E">
        <w:rPr>
          <w:rFonts w:ascii="Garamond" w:hAnsi="Garamond" w:cs="Arial"/>
          <w:bCs/>
          <w:sz w:val="20"/>
          <w:szCs w:val="20"/>
        </w:rPr>
        <w:t>Ferriter</w:t>
      </w:r>
      <w:proofErr w:type="spellEnd"/>
    </w:p>
    <w:p w14:paraId="2969B42B" w14:textId="77777777" w:rsidR="00A67E5E" w:rsidRPr="00A67E5E" w:rsidRDefault="00A67E5E" w:rsidP="00A67E5E">
      <w:pPr>
        <w:spacing w:after="0" w:line="240" w:lineRule="auto"/>
        <w:jc w:val="center"/>
        <w:rPr>
          <w:rFonts w:ascii="Garamond" w:hAnsi="Garamond" w:cs="Arial"/>
          <w:bCs/>
          <w:sz w:val="20"/>
          <w:szCs w:val="20"/>
        </w:rPr>
      </w:pPr>
      <w:r w:rsidRPr="00A67E5E">
        <w:rPr>
          <w:rFonts w:ascii="Garamond" w:hAnsi="Garamond" w:cs="Arial"/>
          <w:bCs/>
          <w:sz w:val="20"/>
          <w:szCs w:val="20"/>
        </w:rPr>
        <w:t>Alice Lin</w:t>
      </w:r>
    </w:p>
    <w:p w14:paraId="57318CB1" w14:textId="77777777" w:rsidR="00A67E5E" w:rsidRPr="00A67E5E" w:rsidRDefault="00A67E5E" w:rsidP="00A67E5E">
      <w:pPr>
        <w:spacing w:after="0" w:line="240" w:lineRule="auto"/>
        <w:jc w:val="center"/>
        <w:rPr>
          <w:rFonts w:ascii="Garamond" w:hAnsi="Garamond" w:cs="Arial"/>
          <w:bCs/>
          <w:sz w:val="20"/>
          <w:szCs w:val="20"/>
        </w:rPr>
      </w:pPr>
      <w:r w:rsidRPr="00A67E5E">
        <w:rPr>
          <w:rFonts w:ascii="Garamond" w:hAnsi="Garamond" w:cs="Arial"/>
          <w:bCs/>
          <w:sz w:val="20"/>
          <w:szCs w:val="20"/>
        </w:rPr>
        <w:t xml:space="preserve">Christopher </w:t>
      </w:r>
      <w:proofErr w:type="spellStart"/>
      <w:r w:rsidRPr="00A67E5E">
        <w:rPr>
          <w:rFonts w:ascii="Garamond" w:hAnsi="Garamond" w:cs="Arial"/>
          <w:bCs/>
          <w:sz w:val="20"/>
          <w:szCs w:val="20"/>
        </w:rPr>
        <w:t>Notto</w:t>
      </w:r>
      <w:proofErr w:type="spellEnd"/>
    </w:p>
    <w:p w14:paraId="22EF4F8C" w14:textId="77777777" w:rsidR="00A67E5E" w:rsidRPr="00A67E5E" w:rsidRDefault="00A67E5E" w:rsidP="00A67E5E">
      <w:pPr>
        <w:spacing w:after="0" w:line="240" w:lineRule="auto"/>
        <w:jc w:val="center"/>
        <w:rPr>
          <w:rFonts w:ascii="Garamond" w:hAnsi="Garamond" w:cs="Arial"/>
          <w:bCs/>
          <w:sz w:val="20"/>
          <w:szCs w:val="20"/>
        </w:rPr>
      </w:pPr>
    </w:p>
    <w:p w14:paraId="51CB8141" w14:textId="77777777" w:rsidR="00A67E5E" w:rsidRPr="00A67E5E" w:rsidRDefault="00A67E5E" w:rsidP="00A67E5E">
      <w:pPr>
        <w:spacing w:after="0" w:line="240" w:lineRule="auto"/>
        <w:jc w:val="center"/>
        <w:rPr>
          <w:rFonts w:ascii="Garamond" w:hAnsi="Garamond" w:cs="Arial"/>
          <w:bCs/>
          <w:sz w:val="20"/>
          <w:szCs w:val="20"/>
        </w:rPr>
      </w:pPr>
      <w:r w:rsidRPr="00A67E5E">
        <w:rPr>
          <w:rFonts w:ascii="Garamond" w:hAnsi="Garamond" w:cs="Arial"/>
          <w:bCs/>
          <w:sz w:val="20"/>
          <w:szCs w:val="20"/>
        </w:rPr>
        <w:t>Bruce Chapman, NASA Jet Propulsion Laboratory, California Institute of Technology (Science Advisor)</w:t>
      </w:r>
    </w:p>
    <w:p w14:paraId="2558426B" w14:textId="072A7AD3" w:rsidR="0064280B" w:rsidRPr="0066138C" w:rsidRDefault="00A67E5E" w:rsidP="00A67E5E">
      <w:pPr>
        <w:spacing w:after="0" w:line="240" w:lineRule="auto"/>
        <w:jc w:val="center"/>
        <w:rPr>
          <w:rFonts w:ascii="Garamond" w:hAnsi="Garamond" w:cs="Arial"/>
          <w:sz w:val="20"/>
          <w:szCs w:val="20"/>
        </w:rPr>
      </w:pPr>
      <w:r w:rsidRPr="00A67E5E">
        <w:rPr>
          <w:rFonts w:ascii="Garamond" w:hAnsi="Garamond" w:cs="Arial"/>
          <w:bCs/>
          <w:sz w:val="20"/>
          <w:szCs w:val="20"/>
        </w:rPr>
        <w:t>Benjamin Holt, NASA Jet Propulsion Laboratory, California Institute of Technology (Science Advisor)</w:t>
      </w:r>
      <w:r w:rsidR="0064280B"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7F3B8AC2" w14:textId="35FDCD97" w:rsidR="00B46325" w:rsidRPr="00381D3B" w:rsidRDefault="00381D3B" w:rsidP="00381D3B">
      <w:pPr>
        <w:spacing w:after="0" w:line="240" w:lineRule="auto"/>
        <w:contextualSpacing/>
        <w:rPr>
          <w:rFonts w:ascii="Garamond" w:eastAsia="Garamond" w:hAnsi="Garamond" w:cs="Garamond"/>
        </w:rPr>
      </w:pPr>
      <w:r w:rsidRPr="00381D3B">
        <w:rPr>
          <w:rFonts w:ascii="Garamond" w:eastAsia="Garamond" w:hAnsi="Garamond" w:cs="Garamond"/>
        </w:rPr>
        <w:t xml:space="preserve">Wetlands are a critical feature of our landscape for the ecological services they provide, including protecting water quality, providing habitat to rare species, mitigating erosion, and providing opportunities for recreation. Despite this, wetlands are facing increasing threats from a variety of anthropogenic sources, including pollution, change in climate, and commercial development. Although an accurate baseline inventory of wetland extent is essential for addressing these threats and quantifying future wetland change, traditional wetland mapping methods are time intensive, costly, and difficult to implement on a large scale. Here we show that statewide, fully-automated wetland mapping is possible to a high degree of accuracy by combining recent advances in remote sensing and cloud computing. Using a multi-source, multi-temporal, object-based random forest classification approach in Google Earth Engine, we generated 30 m resolution maps of wetland extent and change for the growing seasons (May through September) of 2017 and 2018 in Minnesota. In particular, </w:t>
      </w:r>
      <w:r w:rsidR="00800491">
        <w:rPr>
          <w:rFonts w:ascii="Garamond" w:eastAsia="Garamond" w:hAnsi="Garamond" w:cs="Garamond"/>
        </w:rPr>
        <w:t xml:space="preserve">the </w:t>
      </w:r>
      <w:r w:rsidRPr="00381D3B">
        <w:rPr>
          <w:rFonts w:ascii="Garamond" w:eastAsia="Garamond" w:hAnsi="Garamond" w:cs="Garamond"/>
        </w:rPr>
        <w:t>inclusion of Sentinel-1 C-Band Synthetic Aperture Radar (C-SAR) composites, Landsat 8 Operational Land Imager (OLI) composites, and a topographically derived wetness index allowed us to achieve an overall accuracy of 87%</w:t>
      </w:r>
      <w:r w:rsidRPr="00381D3B">
        <w:rPr>
          <w:rFonts w:ascii="Garamond" w:eastAsia="Garamond" w:hAnsi="Garamond" w:cs="Garamond"/>
          <w:b/>
        </w:rPr>
        <w:t xml:space="preserve"> </w:t>
      </w:r>
      <w:r w:rsidRPr="00381D3B">
        <w:rPr>
          <w:rFonts w:ascii="Garamond" w:eastAsia="Garamond" w:hAnsi="Garamond" w:cs="Garamond"/>
        </w:rPr>
        <w:t xml:space="preserve">when compared to the National Wetland Inventory. Our partners included US Fish and Wildlife Service (USFWS) National Wetlands Inventory (NWI), Minnesota Department of Natural Resources (MN DNR), Environmental Protection Agency (EPA), Ducks Unlimited (DU), National Oceanic and Atmospheric Administration (NOAA) Office for Coastal Management, and the University </w:t>
      </w:r>
      <w:proofErr w:type="gramStart"/>
      <w:r w:rsidRPr="00381D3B">
        <w:rPr>
          <w:rFonts w:ascii="Garamond" w:eastAsia="Garamond" w:hAnsi="Garamond" w:cs="Garamond"/>
        </w:rPr>
        <w:t>of</w:t>
      </w:r>
      <w:proofErr w:type="gramEnd"/>
      <w:r w:rsidRPr="00381D3B">
        <w:rPr>
          <w:rFonts w:ascii="Garamond" w:eastAsia="Garamond" w:hAnsi="Garamond" w:cs="Garamond"/>
        </w:rPr>
        <w:t xml:space="preserve"> Minnesota (UMN). We anticipate that our tool can be of immediate use to these end users in Minnesota who rely on accurate wetland data to inform their research, policy, and development decisions. Furthermore, these methods can quickly be applied to any region of the United States for which adequate training data exists.</w:t>
      </w:r>
    </w:p>
    <w:p w14:paraId="60088666" w14:textId="77777777" w:rsidR="00381D3B" w:rsidRDefault="00381D3B" w:rsidP="0066138C">
      <w:pPr>
        <w:spacing w:after="0" w:line="240" w:lineRule="auto"/>
        <w:rPr>
          <w:rFonts w:ascii="Garamond" w:hAnsi="Garamond" w:cs="Arial"/>
          <w:b/>
        </w:rPr>
      </w:pPr>
    </w:p>
    <w:p w14:paraId="350BBE67" w14:textId="1DDE965F"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469EDF2B" w14:textId="3038D23F" w:rsidR="00B46325" w:rsidRDefault="00084F36" w:rsidP="0066138C">
      <w:pPr>
        <w:spacing w:after="0" w:line="240" w:lineRule="auto"/>
        <w:rPr>
          <w:rFonts w:ascii="Garamond" w:hAnsi="Garamond" w:cs="Arial"/>
        </w:rPr>
      </w:pPr>
      <w:bookmarkStart w:id="0" w:name="_Toc334198720"/>
      <w:r w:rsidRPr="00084F36">
        <w:rPr>
          <w:rFonts w:ascii="Garamond" w:hAnsi="Garamond" w:cs="Arial"/>
        </w:rPr>
        <w:t>remote sensing, GIS, Google Earth Engine (GEE), Landsat 8 Operational Land Imager (OLI), Sentinel-1 C-Band Synthetic Aperture Radar (C-SAR), automation</w:t>
      </w:r>
    </w:p>
    <w:p w14:paraId="0EE696E7" w14:textId="77777777" w:rsidR="00084F36" w:rsidRPr="003949EB" w:rsidRDefault="00084F36" w:rsidP="0066138C">
      <w:pPr>
        <w:spacing w:after="0" w:line="240" w:lineRule="auto"/>
        <w:rPr>
          <w:rFonts w:ascii="Garamond" w:hAnsi="Garamond" w:cs="Arial"/>
          <w:sz w:val="28"/>
          <w:szCs w:val="28"/>
        </w:rPr>
      </w:pPr>
    </w:p>
    <w:p w14:paraId="24D6C1A2" w14:textId="16FF2967" w:rsidR="00E03B8E" w:rsidRPr="00284854" w:rsidRDefault="00C15E9C" w:rsidP="00284854">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Start w:id="1" w:name="_GoBack"/>
      <w:bookmarkEnd w:id="0"/>
      <w:bookmarkEnd w:id="1"/>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2" w:name="_Toc334198721"/>
      <w:r w:rsidRPr="0066138C">
        <w:rPr>
          <w:rFonts w:ascii="Garamond" w:hAnsi="Garamond"/>
          <w:b/>
          <w:i/>
        </w:rPr>
        <w:t>Background Information</w:t>
      </w:r>
    </w:p>
    <w:bookmarkEnd w:id="2"/>
    <w:p w14:paraId="75238BBE" w14:textId="367A5324" w:rsidR="00B46325" w:rsidRPr="00B46325" w:rsidRDefault="00B46325" w:rsidP="00B46325">
      <w:pPr>
        <w:spacing w:after="0" w:line="240" w:lineRule="auto"/>
        <w:rPr>
          <w:rFonts w:ascii="Garamond" w:hAnsi="Garamond"/>
          <w:bCs/>
        </w:rPr>
      </w:pPr>
      <w:r w:rsidRPr="00B46325">
        <w:rPr>
          <w:rFonts w:ascii="Garamond" w:hAnsi="Garamond"/>
          <w:bCs/>
        </w:rPr>
        <w:t xml:space="preserve">Wetlands provide crucial ecosystem services, including flood mitigation, carbon sequestration, regulation of erosion and water quality, and habitat to rare species (Nyman, 2011). The importance of these functions and the subsequent need to track and maintain them is internationally recognized by the </w:t>
      </w:r>
      <w:proofErr w:type="spellStart"/>
      <w:r w:rsidRPr="00B46325">
        <w:rPr>
          <w:rFonts w:ascii="Garamond" w:hAnsi="Garamond"/>
          <w:bCs/>
        </w:rPr>
        <w:t>Ramsar</w:t>
      </w:r>
      <w:proofErr w:type="spellEnd"/>
      <w:r w:rsidRPr="00B46325">
        <w:rPr>
          <w:rFonts w:ascii="Garamond" w:hAnsi="Garamond"/>
          <w:bCs/>
        </w:rPr>
        <w:t xml:space="preserve"> Convention, an intergovernmental treaty aimed at the conservation of wetland ecosystems (Nyman, 2011). It is also acknowledged within the United States as the U</w:t>
      </w:r>
      <w:r w:rsidR="00381D3B">
        <w:rPr>
          <w:rFonts w:ascii="Garamond" w:hAnsi="Garamond"/>
          <w:bCs/>
        </w:rPr>
        <w:t>S Fish and Wildlife Service (US</w:t>
      </w:r>
      <w:r w:rsidRPr="00B46325">
        <w:rPr>
          <w:rFonts w:ascii="Garamond" w:hAnsi="Garamond"/>
          <w:bCs/>
        </w:rPr>
        <w:t xml:space="preserve">FWS) is mandated by the United States Congress under the Emergency Wetlands Resources Act to monitor and update the status of our nation’s wetlands (Dahl, 2011). To accomplish this, the USFWS maintains the National Wetlands Inventory (NWI), which disseminates wetland maps that inform stakeholders on wetland change, extent, and characteristics (US Fish &amp; Wildlife Service, 2018a). </w:t>
      </w:r>
    </w:p>
    <w:p w14:paraId="6FB4F6B9" w14:textId="77777777" w:rsidR="00B46325" w:rsidRPr="00B46325" w:rsidRDefault="00B46325" w:rsidP="00B46325">
      <w:pPr>
        <w:spacing w:after="0" w:line="240" w:lineRule="auto"/>
        <w:rPr>
          <w:rFonts w:ascii="Garamond" w:hAnsi="Garamond"/>
          <w:bCs/>
        </w:rPr>
      </w:pPr>
    </w:p>
    <w:p w14:paraId="0C6A1D68" w14:textId="470A8F91" w:rsidR="00B46325" w:rsidRPr="00B46325" w:rsidRDefault="00B46325" w:rsidP="00B46325">
      <w:pPr>
        <w:spacing w:after="0" w:line="240" w:lineRule="auto"/>
        <w:rPr>
          <w:rFonts w:ascii="Garamond" w:hAnsi="Garamond"/>
          <w:bCs/>
        </w:rPr>
      </w:pPr>
      <w:r w:rsidRPr="00B46325">
        <w:rPr>
          <w:rFonts w:ascii="Garamond" w:hAnsi="Garamond"/>
          <w:bCs/>
        </w:rPr>
        <w:t xml:space="preserve">Traditionally, wetland delineation has involved interpretation of aerial orthophotography in conjunction with </w:t>
      </w:r>
      <w:r w:rsidRPr="003949EB">
        <w:rPr>
          <w:rFonts w:ascii="Garamond" w:hAnsi="Garamond"/>
          <w:bCs/>
          <w:i/>
        </w:rPr>
        <w:t>in</w:t>
      </w:r>
      <w:r w:rsidR="00381D3B">
        <w:rPr>
          <w:rFonts w:ascii="Garamond" w:hAnsi="Garamond"/>
          <w:bCs/>
          <w:i/>
        </w:rPr>
        <w:t xml:space="preserve"> </w:t>
      </w:r>
      <w:r w:rsidRPr="003949EB">
        <w:rPr>
          <w:rFonts w:ascii="Garamond" w:hAnsi="Garamond"/>
          <w:bCs/>
          <w:i/>
        </w:rPr>
        <w:t>situ</w:t>
      </w:r>
      <w:r w:rsidRPr="00B46325">
        <w:rPr>
          <w:rFonts w:ascii="Garamond" w:hAnsi="Garamond"/>
          <w:bCs/>
        </w:rPr>
        <w:t xml:space="preserve"> data (US Fish &amp; Wildlife Service, 2018a). Due to the resource intensive nature of conventional mapping methods, it is difficult to consistently update such geospatial inventories in a reliable and comprehensive manner. As a result, there are still portions of the NWI that have not been updated since the 1970s (US Fish &amp; Wildlife Service, 2018b). </w:t>
      </w:r>
    </w:p>
    <w:p w14:paraId="5DF6DE8B" w14:textId="77777777" w:rsidR="00B46325" w:rsidRPr="00B46325" w:rsidRDefault="00B46325" w:rsidP="00B46325">
      <w:pPr>
        <w:spacing w:after="0" w:line="240" w:lineRule="auto"/>
        <w:rPr>
          <w:rFonts w:ascii="Garamond" w:hAnsi="Garamond"/>
          <w:bCs/>
        </w:rPr>
      </w:pPr>
    </w:p>
    <w:p w14:paraId="62C46A70" w14:textId="732FF2C3" w:rsidR="00B46325" w:rsidRPr="00B46325" w:rsidRDefault="00B46325" w:rsidP="00B46325">
      <w:pPr>
        <w:spacing w:after="0" w:line="240" w:lineRule="auto"/>
        <w:rPr>
          <w:rFonts w:ascii="Garamond" w:hAnsi="Garamond"/>
          <w:bCs/>
        </w:rPr>
      </w:pPr>
      <w:r w:rsidRPr="00B46325">
        <w:rPr>
          <w:rFonts w:ascii="Garamond" w:hAnsi="Garamond"/>
          <w:bCs/>
        </w:rPr>
        <w:t>Various groups have investigated the utility of remote sensing to address this issue. T</w:t>
      </w:r>
      <w:r w:rsidR="00381D3B">
        <w:rPr>
          <w:rFonts w:ascii="Garamond" w:hAnsi="Garamond"/>
          <w:bCs/>
        </w:rPr>
        <w:t xml:space="preserve">he advantages of using remotely </w:t>
      </w:r>
      <w:r w:rsidRPr="00B46325">
        <w:rPr>
          <w:rFonts w:ascii="Garamond" w:hAnsi="Garamond"/>
          <w:bCs/>
        </w:rPr>
        <w:t>sensed data include a high frequency of data collection, landscape-scale data coverage, and access to multispectral information (</w:t>
      </w:r>
      <w:proofErr w:type="spellStart"/>
      <w:r w:rsidRPr="00B46325">
        <w:rPr>
          <w:rFonts w:ascii="Garamond" w:hAnsi="Garamond"/>
          <w:bCs/>
        </w:rPr>
        <w:t>Tiner</w:t>
      </w:r>
      <w:proofErr w:type="spellEnd"/>
      <w:r w:rsidRPr="00B46325">
        <w:rPr>
          <w:rFonts w:ascii="Garamond" w:hAnsi="Garamond"/>
          <w:bCs/>
        </w:rPr>
        <w:t xml:space="preserve">, Lang, &amp; </w:t>
      </w:r>
      <w:proofErr w:type="spellStart"/>
      <w:r w:rsidRPr="00B46325">
        <w:rPr>
          <w:rFonts w:ascii="Garamond" w:hAnsi="Garamond"/>
          <w:bCs/>
        </w:rPr>
        <w:t>Klemas</w:t>
      </w:r>
      <w:proofErr w:type="spellEnd"/>
      <w:r w:rsidRPr="00B46325">
        <w:rPr>
          <w:rFonts w:ascii="Garamond" w:hAnsi="Garamond"/>
          <w:bCs/>
        </w:rPr>
        <w:t>, 2015). These qualities allow for the monitoring of wetland extent and interaction between land cover types that could illuminate drivers of wetland changes (</w:t>
      </w:r>
      <w:proofErr w:type="spellStart"/>
      <w:r w:rsidRPr="00B46325">
        <w:rPr>
          <w:rFonts w:ascii="Garamond" w:hAnsi="Garamond"/>
          <w:bCs/>
        </w:rPr>
        <w:t>Tiner</w:t>
      </w:r>
      <w:proofErr w:type="spellEnd"/>
      <w:r w:rsidR="00056070">
        <w:rPr>
          <w:rFonts w:ascii="Garamond" w:hAnsi="Garamond"/>
          <w:bCs/>
        </w:rPr>
        <w:t xml:space="preserve"> et al.</w:t>
      </w:r>
      <w:r w:rsidRPr="00B46325">
        <w:rPr>
          <w:rFonts w:ascii="Garamond" w:hAnsi="Garamond"/>
          <w:bCs/>
        </w:rPr>
        <w:t xml:space="preserve">, 2015). Several studies have investigated the use of optical datasets, such as data from the US Geological Survey (USGS) Landsat program, for wetland mapping (Huang, Peng, Lang, Yeo, &amp; McCarty, 2014). One challenge with using optical imagery is that the occurrence of clouds and other atmospheric effects hinder the </w:t>
      </w:r>
      <w:r w:rsidRPr="00B46325">
        <w:rPr>
          <w:rFonts w:ascii="Garamond" w:hAnsi="Garamond"/>
          <w:bCs/>
        </w:rPr>
        <w:lastRenderedPageBreak/>
        <w:t>ability to detect features on the ground (</w:t>
      </w:r>
      <w:proofErr w:type="spellStart"/>
      <w:r w:rsidRPr="00B46325">
        <w:rPr>
          <w:rFonts w:ascii="Garamond" w:hAnsi="Garamond"/>
          <w:bCs/>
        </w:rPr>
        <w:t>Ozesmi</w:t>
      </w:r>
      <w:proofErr w:type="spellEnd"/>
      <w:r w:rsidRPr="00B46325">
        <w:rPr>
          <w:rFonts w:ascii="Garamond" w:hAnsi="Garamond"/>
          <w:bCs/>
        </w:rPr>
        <w:t xml:space="preserve"> &amp; Bauer, 2002). In response, there have been recent efforts in investigating the efficacy of </w:t>
      </w:r>
      <w:r w:rsidR="00381D3B">
        <w:rPr>
          <w:rFonts w:ascii="Garamond" w:hAnsi="Garamond"/>
          <w:bCs/>
        </w:rPr>
        <w:t xml:space="preserve">using </w:t>
      </w:r>
      <w:r w:rsidRPr="00B46325">
        <w:rPr>
          <w:rFonts w:ascii="Garamond" w:hAnsi="Garamond"/>
          <w:bCs/>
        </w:rPr>
        <w:t xml:space="preserve">synthetic </w:t>
      </w:r>
      <w:r w:rsidR="00381D3B">
        <w:rPr>
          <w:rFonts w:ascii="Garamond" w:hAnsi="Garamond"/>
          <w:bCs/>
        </w:rPr>
        <w:t xml:space="preserve">aperture radar (SAR) satellite sensors </w:t>
      </w:r>
      <w:r w:rsidRPr="00B46325">
        <w:rPr>
          <w:rFonts w:ascii="Garamond" w:hAnsi="Garamond"/>
          <w:bCs/>
        </w:rPr>
        <w:t xml:space="preserve">to map wetlands due to the ability of radar to penetrate cloud cover and its sensitivity to moisture (Huang et al., 2018; Lang, </w:t>
      </w:r>
      <w:proofErr w:type="spellStart"/>
      <w:r w:rsidRPr="00B46325">
        <w:rPr>
          <w:rFonts w:ascii="Garamond" w:hAnsi="Garamond"/>
          <w:bCs/>
        </w:rPr>
        <w:t>Kasischke</w:t>
      </w:r>
      <w:proofErr w:type="spellEnd"/>
      <w:r w:rsidRPr="00B46325">
        <w:rPr>
          <w:rFonts w:ascii="Garamond" w:hAnsi="Garamond"/>
          <w:bCs/>
        </w:rPr>
        <w:t xml:space="preserve">, Prince, &amp; Pittman, 2008; </w:t>
      </w:r>
      <w:proofErr w:type="spellStart"/>
      <w:r w:rsidRPr="00B46325">
        <w:rPr>
          <w:rFonts w:ascii="Garamond" w:hAnsi="Garamond"/>
          <w:bCs/>
        </w:rPr>
        <w:t>Mahdianpari</w:t>
      </w:r>
      <w:proofErr w:type="spellEnd"/>
      <w:r w:rsidRPr="00B46325">
        <w:rPr>
          <w:rFonts w:ascii="Garamond" w:hAnsi="Garamond"/>
          <w:bCs/>
        </w:rPr>
        <w:t xml:space="preserve">, </w:t>
      </w:r>
      <w:proofErr w:type="spellStart"/>
      <w:r w:rsidRPr="00B46325">
        <w:rPr>
          <w:rFonts w:ascii="Garamond" w:hAnsi="Garamond"/>
          <w:bCs/>
        </w:rPr>
        <w:t>Salehi</w:t>
      </w:r>
      <w:proofErr w:type="spellEnd"/>
      <w:r w:rsidRPr="00B46325">
        <w:rPr>
          <w:rFonts w:ascii="Garamond" w:hAnsi="Garamond"/>
          <w:bCs/>
        </w:rPr>
        <w:t xml:space="preserve">, </w:t>
      </w:r>
      <w:proofErr w:type="spellStart"/>
      <w:r w:rsidRPr="00B46325">
        <w:rPr>
          <w:rFonts w:ascii="Garamond" w:hAnsi="Garamond"/>
          <w:bCs/>
        </w:rPr>
        <w:t>Mohammadimanesh</w:t>
      </w:r>
      <w:proofErr w:type="spellEnd"/>
      <w:r w:rsidRPr="00B46325">
        <w:rPr>
          <w:rFonts w:ascii="Garamond" w:hAnsi="Garamond"/>
          <w:bCs/>
        </w:rPr>
        <w:t xml:space="preserve">, &amp; </w:t>
      </w:r>
      <w:proofErr w:type="spellStart"/>
      <w:r w:rsidRPr="00B46325">
        <w:rPr>
          <w:rFonts w:ascii="Garamond" w:hAnsi="Garamond"/>
          <w:bCs/>
        </w:rPr>
        <w:t>Motagh</w:t>
      </w:r>
      <w:proofErr w:type="spellEnd"/>
      <w:r w:rsidRPr="00B46325">
        <w:rPr>
          <w:rFonts w:ascii="Garamond" w:hAnsi="Garamond"/>
          <w:bCs/>
        </w:rPr>
        <w:t xml:space="preserve">, 2017). Synthesizing optical and radar datasets has allowed for an enhanced ability to detect not only </w:t>
      </w:r>
      <w:r w:rsidR="00633EAB">
        <w:rPr>
          <w:rFonts w:ascii="Garamond" w:hAnsi="Garamond"/>
          <w:bCs/>
        </w:rPr>
        <w:t xml:space="preserve">the extent of wetland features </w:t>
      </w:r>
      <w:r w:rsidRPr="00B46325">
        <w:rPr>
          <w:rFonts w:ascii="Garamond" w:hAnsi="Garamond"/>
          <w:bCs/>
        </w:rPr>
        <w:t>but also the determination of wetland classes (</w:t>
      </w:r>
      <w:proofErr w:type="spellStart"/>
      <w:r w:rsidRPr="00B46325">
        <w:rPr>
          <w:rFonts w:ascii="Garamond" w:hAnsi="Garamond"/>
          <w:bCs/>
        </w:rPr>
        <w:t>Mahdianpari</w:t>
      </w:r>
      <w:proofErr w:type="spellEnd"/>
      <w:r w:rsidRPr="00B46325">
        <w:rPr>
          <w:rFonts w:ascii="Garamond" w:hAnsi="Garamond"/>
          <w:bCs/>
        </w:rPr>
        <w:t xml:space="preserve">, </w:t>
      </w:r>
      <w:proofErr w:type="spellStart"/>
      <w:r w:rsidRPr="00B46325">
        <w:rPr>
          <w:rFonts w:ascii="Garamond" w:hAnsi="Garamond"/>
          <w:bCs/>
        </w:rPr>
        <w:t>Salehi</w:t>
      </w:r>
      <w:proofErr w:type="spellEnd"/>
      <w:r w:rsidRPr="00B46325">
        <w:rPr>
          <w:rFonts w:ascii="Garamond" w:hAnsi="Garamond"/>
          <w:bCs/>
        </w:rPr>
        <w:t xml:space="preserve">, </w:t>
      </w:r>
      <w:proofErr w:type="spellStart"/>
      <w:r w:rsidRPr="00B46325">
        <w:rPr>
          <w:rFonts w:ascii="Garamond" w:hAnsi="Garamond"/>
          <w:bCs/>
        </w:rPr>
        <w:t>Mohammadimanesh</w:t>
      </w:r>
      <w:proofErr w:type="spellEnd"/>
      <w:r w:rsidRPr="00B46325">
        <w:rPr>
          <w:rFonts w:ascii="Garamond" w:hAnsi="Garamond"/>
          <w:bCs/>
        </w:rPr>
        <w:t xml:space="preserve">, </w:t>
      </w:r>
      <w:proofErr w:type="spellStart"/>
      <w:r w:rsidRPr="00B46325">
        <w:rPr>
          <w:rFonts w:ascii="Garamond" w:hAnsi="Garamond"/>
          <w:bCs/>
        </w:rPr>
        <w:t>Homayouni</w:t>
      </w:r>
      <w:proofErr w:type="spellEnd"/>
      <w:r w:rsidRPr="00B46325">
        <w:rPr>
          <w:rFonts w:ascii="Garamond" w:hAnsi="Garamond"/>
          <w:bCs/>
        </w:rPr>
        <w:t>, &amp; Gill, 2019). Achieving the latter has been streamlined by using machine learning algorithms, such as the random forest method (Corcoran, Knight, &amp; Gallant, 2013).</w:t>
      </w:r>
    </w:p>
    <w:p w14:paraId="243432C4" w14:textId="77777777" w:rsidR="00B46325" w:rsidRPr="00B46325" w:rsidRDefault="00B46325" w:rsidP="00B46325">
      <w:pPr>
        <w:spacing w:after="0" w:line="240" w:lineRule="auto"/>
        <w:rPr>
          <w:rFonts w:ascii="Garamond" w:hAnsi="Garamond"/>
          <w:bCs/>
        </w:rPr>
      </w:pPr>
    </w:p>
    <w:p w14:paraId="018C4826" w14:textId="77777777" w:rsidR="00B46325" w:rsidRPr="00B46325" w:rsidRDefault="00B46325" w:rsidP="00B46325">
      <w:pPr>
        <w:spacing w:after="0" w:line="240" w:lineRule="auto"/>
        <w:rPr>
          <w:rFonts w:ascii="Garamond" w:hAnsi="Garamond"/>
          <w:bCs/>
        </w:rPr>
      </w:pPr>
      <w:r w:rsidRPr="00B46325">
        <w:rPr>
          <w:rFonts w:ascii="Garamond" w:hAnsi="Garamond"/>
          <w:bCs/>
        </w:rPr>
        <w:t>The abundance of remote sensing data and the desire to combine large datasets are often hindered by the hardware and software limits for most remote sensing scientists. However, the rise of cloud computing services has provided a new way to remotely access data that can be pre-processed and analyzed on-demand. For example, Google Earth Engine (GEE) is a cloud computing platform that allows for the processing of datasets that are hosted on its servers (Gorelick et al., 2017). It contains a suite of algorithms and functions that can be incorporated in a JavaScript code, which makes batch processing possible. Past studies have utilized GEE to access and process both optical and SAR data to produce wetland maps (</w:t>
      </w:r>
      <w:proofErr w:type="spellStart"/>
      <w:r w:rsidRPr="00B46325">
        <w:rPr>
          <w:rFonts w:ascii="Garamond" w:hAnsi="Garamond"/>
          <w:bCs/>
        </w:rPr>
        <w:t>Mahdianpari</w:t>
      </w:r>
      <w:proofErr w:type="spellEnd"/>
      <w:r w:rsidRPr="00B46325">
        <w:rPr>
          <w:rFonts w:ascii="Garamond" w:hAnsi="Garamond"/>
          <w:bCs/>
        </w:rPr>
        <w:t xml:space="preserve"> et al., 2019; Tang et al., 2016).</w:t>
      </w:r>
    </w:p>
    <w:p w14:paraId="7DB87D18" w14:textId="77777777" w:rsidR="00B46325" w:rsidRPr="00B46325" w:rsidRDefault="00B46325" w:rsidP="00B46325">
      <w:pPr>
        <w:spacing w:after="0" w:line="240" w:lineRule="auto"/>
        <w:rPr>
          <w:rFonts w:ascii="Garamond" w:hAnsi="Garamond"/>
          <w:bCs/>
        </w:rPr>
      </w:pPr>
    </w:p>
    <w:p w14:paraId="2DE6A585" w14:textId="2159011E" w:rsidR="00C15E9C" w:rsidRDefault="00B46325" w:rsidP="00B46325">
      <w:pPr>
        <w:spacing w:after="0" w:line="240" w:lineRule="auto"/>
        <w:rPr>
          <w:rFonts w:ascii="Garamond" w:hAnsi="Garamond"/>
          <w:bCs/>
        </w:rPr>
      </w:pPr>
      <w:r w:rsidRPr="00B46325">
        <w:rPr>
          <w:rFonts w:ascii="Garamond" w:hAnsi="Garamond"/>
          <w:bCs/>
        </w:rPr>
        <w:t>This study focused on wetlands in the state of Minnesota (</w:t>
      </w:r>
      <w:r w:rsidRPr="00D17912">
        <w:rPr>
          <w:rFonts w:ascii="Garamond" w:hAnsi="Garamond"/>
          <w:bCs/>
          <w:i/>
        </w:rPr>
        <w:t>Figure 1</w:t>
      </w:r>
      <w:r w:rsidRPr="00B46325">
        <w:rPr>
          <w:rFonts w:ascii="Garamond" w:hAnsi="Garamond"/>
          <w:bCs/>
        </w:rPr>
        <w:t xml:space="preserve">) with future plans to expand across the Great Lakes region. Our study period was the growing seasons (May through September) for 2017 and 2018, as wetlands during these dates were not frozen. Anderson </w:t>
      </w:r>
      <w:r w:rsidR="00384C12">
        <w:rPr>
          <w:rFonts w:ascii="Garamond" w:hAnsi="Garamond"/>
          <w:bCs/>
        </w:rPr>
        <w:t>&amp;</w:t>
      </w:r>
      <w:r w:rsidRPr="00B46325">
        <w:rPr>
          <w:rFonts w:ascii="Garamond" w:hAnsi="Garamond"/>
          <w:bCs/>
        </w:rPr>
        <w:t xml:space="preserve"> Craig (1984) have estimated that Minnesota has lost about half of its original wetlands. To mitigate wetland losses, the state has enacted a “no net-loss” policy regarding wetland area and quality (Minnesota Office of the </w:t>
      </w:r>
      <w:proofErr w:type="spellStart"/>
      <w:r w:rsidRPr="00B46325">
        <w:rPr>
          <w:rFonts w:ascii="Garamond" w:hAnsi="Garamond"/>
          <w:bCs/>
        </w:rPr>
        <w:t>Revisor</w:t>
      </w:r>
      <w:proofErr w:type="spellEnd"/>
      <w:r w:rsidRPr="00B46325">
        <w:rPr>
          <w:rFonts w:ascii="Garamond" w:hAnsi="Garamond"/>
          <w:bCs/>
        </w:rPr>
        <w:t xml:space="preserve"> of Statutes, 2018). Ensuring the success of this policy requires a wetland inventory with a reliable degree of confidence and frequent updates.</w:t>
      </w:r>
    </w:p>
    <w:p w14:paraId="30E6A77C" w14:textId="77777777" w:rsidR="008E2848" w:rsidRDefault="008E2848" w:rsidP="00B46325">
      <w:pPr>
        <w:spacing w:after="0" w:line="240" w:lineRule="auto"/>
        <w:rPr>
          <w:rFonts w:ascii="Garamond" w:hAnsi="Garamond"/>
          <w:bCs/>
        </w:rPr>
      </w:pPr>
    </w:p>
    <w:p w14:paraId="49984889" w14:textId="212567F7" w:rsidR="00B46325" w:rsidRDefault="008E2848" w:rsidP="008E2848">
      <w:pPr>
        <w:spacing w:after="0" w:line="240" w:lineRule="auto"/>
        <w:jc w:val="center"/>
        <w:rPr>
          <w:rFonts w:ascii="Garamond" w:hAnsi="Garamond"/>
          <w:bCs/>
        </w:rPr>
      </w:pPr>
      <w:r>
        <w:rPr>
          <w:rFonts w:ascii="Garamond" w:hAnsi="Garamond"/>
          <w:noProof/>
          <w:color w:val="000000"/>
        </w:rPr>
        <w:drawing>
          <wp:inline distT="0" distB="0" distL="0" distR="0" wp14:anchorId="1F3E4852" wp14:editId="2A266524">
            <wp:extent cx="3242827" cy="3918857"/>
            <wp:effectExtent l="0" t="0" r="0" b="5715"/>
            <wp:docPr id="4" name="Picture 4" descr="https://lh6.googleusercontent.com/Mqh6vfYzd8O9e7CsKbHN0uMSxSv068smzGaDh-DkalT6L-wA2_6Emn1iUhNRNHdnlcazjs2jhaux7emAwD9ss75KYt0RwbjLlCHJhpdLgGIXzfGQNAMqU2FDnjDcfS9cIKSZCA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qh6vfYzd8O9e7CsKbHN0uMSxSv068smzGaDh-DkalT6L-wA2_6Emn1iUhNRNHdnlcazjs2jhaux7emAwD9ss75KYt0RwbjLlCHJhpdLgGIXzfGQNAMqU2FDnjDcfS9cIKSZCA2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712" cy="4020230"/>
                    </a:xfrm>
                    <a:prstGeom prst="rect">
                      <a:avLst/>
                    </a:prstGeom>
                    <a:noFill/>
                    <a:ln>
                      <a:noFill/>
                    </a:ln>
                  </pic:spPr>
                </pic:pic>
              </a:graphicData>
            </a:graphic>
          </wp:inline>
        </w:drawing>
      </w:r>
    </w:p>
    <w:p w14:paraId="33124353" w14:textId="64C4ED66" w:rsidR="008E2848" w:rsidRDefault="008E2848" w:rsidP="008E2848">
      <w:pPr>
        <w:spacing w:after="0" w:line="240" w:lineRule="auto"/>
        <w:jc w:val="center"/>
        <w:rPr>
          <w:rFonts w:ascii="Garamond" w:hAnsi="Garamond"/>
          <w:bCs/>
        </w:rPr>
      </w:pPr>
      <w:r w:rsidRPr="008E2848">
        <w:rPr>
          <w:rFonts w:ascii="Garamond" w:hAnsi="Garamond"/>
          <w:bCs/>
          <w:i/>
        </w:rPr>
        <w:t>Figure 1</w:t>
      </w:r>
      <w:r w:rsidR="00D17912">
        <w:rPr>
          <w:rFonts w:ascii="Garamond" w:hAnsi="Garamond"/>
          <w:bCs/>
        </w:rPr>
        <w:t xml:space="preserve">. Map of </w:t>
      </w:r>
      <w:r w:rsidR="00800491">
        <w:rPr>
          <w:rFonts w:ascii="Garamond" w:hAnsi="Garamond"/>
          <w:bCs/>
        </w:rPr>
        <w:t xml:space="preserve">the </w:t>
      </w:r>
      <w:r w:rsidR="00D17912">
        <w:rPr>
          <w:rFonts w:ascii="Garamond" w:hAnsi="Garamond"/>
          <w:bCs/>
        </w:rPr>
        <w:t xml:space="preserve">study area with </w:t>
      </w:r>
      <w:r w:rsidR="005773E5">
        <w:rPr>
          <w:rFonts w:ascii="Garamond" w:hAnsi="Garamond"/>
          <w:bCs/>
        </w:rPr>
        <w:t>the</w:t>
      </w:r>
      <w:r w:rsidRPr="008E2848">
        <w:rPr>
          <w:rFonts w:ascii="Garamond" w:hAnsi="Garamond"/>
          <w:bCs/>
        </w:rPr>
        <w:t xml:space="preserve"> Minnesota state boundary</w:t>
      </w:r>
      <w:r w:rsidR="00D17912">
        <w:rPr>
          <w:rFonts w:ascii="Garamond" w:hAnsi="Garamond"/>
          <w:bCs/>
        </w:rPr>
        <w:t xml:space="preserve"> in yellow</w:t>
      </w:r>
      <w:r w:rsidR="005773E5">
        <w:rPr>
          <w:rFonts w:ascii="Garamond" w:hAnsi="Garamond"/>
          <w:bCs/>
        </w:rPr>
        <w:t>.</w:t>
      </w:r>
    </w:p>
    <w:p w14:paraId="5B95CF4E" w14:textId="77777777" w:rsidR="008E2848" w:rsidRPr="0066138C" w:rsidRDefault="008E2848" w:rsidP="008E2848">
      <w:pPr>
        <w:spacing w:after="0" w:line="240" w:lineRule="auto"/>
        <w:jc w:val="center"/>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lastRenderedPageBreak/>
        <w:t xml:space="preserve">Project </w:t>
      </w:r>
      <w:r w:rsidR="00B468A3" w:rsidRPr="0066138C">
        <w:rPr>
          <w:rFonts w:ascii="Garamond" w:hAnsi="Garamond"/>
          <w:b/>
          <w:bCs/>
          <w:i/>
        </w:rPr>
        <w:t>Partners &amp; Objectives</w:t>
      </w:r>
    </w:p>
    <w:p w14:paraId="44E57457" w14:textId="48FAAB0E" w:rsidR="008E2848" w:rsidRPr="008E2848" w:rsidRDefault="008E2848" w:rsidP="008E2848">
      <w:pPr>
        <w:spacing w:after="0" w:line="240" w:lineRule="auto"/>
        <w:rPr>
          <w:rFonts w:ascii="Garamond" w:hAnsi="Garamond"/>
        </w:rPr>
      </w:pPr>
      <w:r w:rsidRPr="008E2848">
        <w:rPr>
          <w:rFonts w:ascii="Garamond" w:hAnsi="Garamond"/>
        </w:rPr>
        <w:t xml:space="preserve">The NASA DEVELOP Great Lakes Water Resources team worked in conjunction with end users and collaborators at the US Fish and Wildlife Service National Wetland Inventory (USFWS NWI), Minnesota Department of Natural Resources (MN DNR), the Environmental Protection Agency (EPA), Ducks Unlimited (DU), the National Oceanic and Atmospheric Administration Office for Coastal Management (NOAA), and the University of Minnesota (UMN) to create an automated wetland delineation tool hosted on GEE. Each of these partners was interested in the project because this preliminary tool will benefit them by providing accurate and current wetland maps that can inform their decisions regarding conservation and restoration. Typically for these partners, wetland mapping in Minnesota has been laborious and time-consuming, but with the creation of this delineation tool, mapping the extent of wetland inundation is automated. Our partners were involved in a recent update to the NWI </w:t>
      </w:r>
      <w:r w:rsidR="00D17912">
        <w:rPr>
          <w:rFonts w:ascii="Garamond" w:hAnsi="Garamond"/>
        </w:rPr>
        <w:t xml:space="preserve">map </w:t>
      </w:r>
      <w:r w:rsidRPr="008E2848">
        <w:rPr>
          <w:rFonts w:ascii="Garamond" w:hAnsi="Garamond"/>
        </w:rPr>
        <w:t xml:space="preserve">for the state of Minnesota that involved a semi-automated process that incorporated optical imagery, radar imagery, </w:t>
      </w:r>
      <w:r w:rsidR="00D17912">
        <w:rPr>
          <w:rFonts w:ascii="Garamond" w:hAnsi="Garamond"/>
        </w:rPr>
        <w:t xml:space="preserve">and </w:t>
      </w:r>
      <w:r w:rsidRPr="008E2848">
        <w:rPr>
          <w:rFonts w:ascii="Garamond" w:hAnsi="Garamond"/>
        </w:rPr>
        <w:t>topograp</w:t>
      </w:r>
      <w:r w:rsidR="00D17912">
        <w:rPr>
          <w:rFonts w:ascii="Garamond" w:hAnsi="Garamond"/>
        </w:rPr>
        <w:t xml:space="preserve">hy and soil datasets </w:t>
      </w:r>
      <w:r w:rsidRPr="008E2848">
        <w:rPr>
          <w:rFonts w:ascii="Garamond" w:hAnsi="Garamond"/>
        </w:rPr>
        <w:t>(</w:t>
      </w:r>
      <w:proofErr w:type="spellStart"/>
      <w:r w:rsidRPr="008E2848">
        <w:rPr>
          <w:rFonts w:ascii="Garamond" w:hAnsi="Garamond"/>
        </w:rPr>
        <w:t>Kloiber</w:t>
      </w:r>
      <w:proofErr w:type="spellEnd"/>
      <w:r w:rsidRPr="008E2848">
        <w:rPr>
          <w:rFonts w:ascii="Garamond" w:hAnsi="Garamond"/>
        </w:rPr>
        <w:t xml:space="preserve">, Macleod, Smith, Knight, &amp; </w:t>
      </w:r>
      <w:proofErr w:type="spellStart"/>
      <w:r w:rsidRPr="008E2848">
        <w:rPr>
          <w:rFonts w:ascii="Garamond" w:hAnsi="Garamond"/>
        </w:rPr>
        <w:t>Huberty</w:t>
      </w:r>
      <w:proofErr w:type="spellEnd"/>
      <w:r w:rsidRPr="008E2848">
        <w:rPr>
          <w:rFonts w:ascii="Garamond" w:hAnsi="Garamond"/>
        </w:rPr>
        <w:t>, 2015). However, a completely automated tool could complement their wetland mapping efforts.</w:t>
      </w:r>
    </w:p>
    <w:p w14:paraId="31AD195B" w14:textId="77777777" w:rsidR="008E2848" w:rsidRPr="008E2848" w:rsidRDefault="008E2848" w:rsidP="008E2848">
      <w:pPr>
        <w:spacing w:after="0" w:line="240" w:lineRule="auto"/>
        <w:rPr>
          <w:rFonts w:ascii="Garamond" w:hAnsi="Garamond"/>
        </w:rPr>
      </w:pPr>
    </w:p>
    <w:p w14:paraId="1E6FDF6A" w14:textId="39E187BA" w:rsidR="0066138C" w:rsidRDefault="008E2848" w:rsidP="008E2848">
      <w:pPr>
        <w:spacing w:after="0" w:line="240" w:lineRule="auto"/>
        <w:rPr>
          <w:rFonts w:ascii="Garamond" w:hAnsi="Garamond"/>
        </w:rPr>
      </w:pPr>
      <w:r w:rsidRPr="008E2848">
        <w:rPr>
          <w:rFonts w:ascii="Garamond" w:hAnsi="Garamond"/>
        </w:rPr>
        <w:t>The objective of this project was to improve wetland change mapping using both radar and optical datasets, including NASA Earth observations (EO), by creating an automated tool in GEE. This tool utilizes Landsat 8 Operational Land</w:t>
      </w:r>
      <w:r w:rsidR="00D17912">
        <w:rPr>
          <w:rFonts w:ascii="Garamond" w:hAnsi="Garamond"/>
        </w:rPr>
        <w:t xml:space="preserve"> Imager (OLI) and Sentinel-1 C-B</w:t>
      </w:r>
      <w:r w:rsidRPr="008E2848">
        <w:rPr>
          <w:rFonts w:ascii="Garamond" w:hAnsi="Garamond"/>
        </w:rPr>
        <w:t>and Synthetic Aperture Radar (C-SAR) datasets hosted on the cloud to generate classified wetland maps. By directly and freely accessing the datasets from the GEE platform, the partners can use and build upon the tool that we built. The tool also builds and improves their capacities to use the GEE platform in conjunction with radar imagery and NASA EO data. A</w:t>
      </w:r>
      <w:r w:rsidR="00D17912">
        <w:rPr>
          <w:rFonts w:ascii="Garamond" w:hAnsi="Garamond"/>
        </w:rPr>
        <w:t xml:space="preserve"> host of ancillary datasets are also used in the</w:t>
      </w:r>
      <w:r w:rsidRPr="008E2848">
        <w:rPr>
          <w:rFonts w:ascii="Garamond" w:hAnsi="Garamond"/>
        </w:rPr>
        <w:t xml:space="preserve"> classification and validation process. Ultimately, this automated tool saves time and resources that would otherwise be spent on field surveying and traditional mapping and remote sensing approaches.</w:t>
      </w:r>
    </w:p>
    <w:p w14:paraId="2CC225A7" w14:textId="77777777" w:rsidR="008E2848" w:rsidRPr="003949EB" w:rsidRDefault="008E2848" w:rsidP="008E2848">
      <w:pPr>
        <w:spacing w:after="0" w:line="240" w:lineRule="auto"/>
        <w:rPr>
          <w:rFonts w:ascii="Garamond" w:hAnsi="Garamond"/>
          <w:sz w:val="28"/>
          <w:szCs w:val="28"/>
        </w:rPr>
      </w:pPr>
    </w:p>
    <w:p w14:paraId="4EAB8422" w14:textId="0513B259" w:rsidR="00E41324" w:rsidRPr="0066138C" w:rsidRDefault="00A43059" w:rsidP="0066138C">
      <w:pPr>
        <w:pStyle w:val="Heading1"/>
        <w:spacing w:before="0" w:line="240" w:lineRule="auto"/>
        <w:rPr>
          <w:rFonts w:ascii="Garamond" w:hAnsi="Garamond"/>
        </w:rPr>
      </w:pPr>
      <w:bookmarkStart w:id="3"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70FEEBED" w14:textId="62360205" w:rsidR="00095609" w:rsidRPr="00095609" w:rsidRDefault="00095609" w:rsidP="00095609">
      <w:pPr>
        <w:spacing w:after="0" w:line="240" w:lineRule="auto"/>
        <w:rPr>
          <w:rFonts w:ascii="Garamond" w:hAnsi="Garamond" w:cs="Arial"/>
        </w:rPr>
      </w:pPr>
      <w:r w:rsidRPr="00095609">
        <w:rPr>
          <w:rFonts w:ascii="Garamond" w:hAnsi="Garamond" w:cs="Arial"/>
        </w:rPr>
        <w:t xml:space="preserve">Our team acquired Landsat 8 OLI Level-2 Surface Reflectance and Sentinel-1 C-SAR Level-1 Ground Range Detected (GRD) </w:t>
      </w:r>
      <w:r w:rsidR="00521625">
        <w:rPr>
          <w:rFonts w:ascii="Garamond" w:hAnsi="Garamond" w:cs="Arial"/>
        </w:rPr>
        <w:t xml:space="preserve">imagery </w:t>
      </w:r>
      <w:r w:rsidRPr="00095609">
        <w:rPr>
          <w:rFonts w:ascii="Garamond" w:hAnsi="Garamond" w:cs="Arial"/>
        </w:rPr>
        <w:t>within a date range determined to be the last frost of spring to the first frost of fall in northern Minnesota (</w:t>
      </w:r>
      <w:r w:rsidR="00384C12">
        <w:rPr>
          <w:rFonts w:ascii="Garamond" w:hAnsi="Garamond" w:cs="Arial"/>
        </w:rPr>
        <w:t>Minnesota Department of Natural Resources</w:t>
      </w:r>
      <w:r w:rsidRPr="00095609">
        <w:rPr>
          <w:rFonts w:ascii="Garamond" w:hAnsi="Garamond" w:cs="Arial"/>
        </w:rPr>
        <w:t>, 2017) (Table 1). Additionally, we acquired Dual polarized C-Band Level 1 Ground Range Detected (GRD) Sentinel-1 C</w:t>
      </w:r>
      <w:r w:rsidR="00157779">
        <w:rPr>
          <w:rFonts w:ascii="Garamond" w:hAnsi="Garamond" w:cs="Arial"/>
        </w:rPr>
        <w:t>-</w:t>
      </w:r>
      <w:r w:rsidRPr="00095609">
        <w:rPr>
          <w:rFonts w:ascii="Garamond" w:hAnsi="Garamond" w:cs="Arial"/>
        </w:rPr>
        <w:t xml:space="preserve">SAR imagery for the growing seasons of 2017 and 2018 through the GEE </w:t>
      </w:r>
      <w:r w:rsidR="00B93AAF">
        <w:rPr>
          <w:rFonts w:ascii="Garamond" w:hAnsi="Garamond" w:cs="Arial"/>
          <w:szCs w:val="24"/>
        </w:rPr>
        <w:t>application programming interface</w:t>
      </w:r>
      <w:r w:rsidR="00B93AAF" w:rsidRPr="00095609">
        <w:rPr>
          <w:rFonts w:ascii="Garamond" w:hAnsi="Garamond" w:cs="Arial"/>
        </w:rPr>
        <w:t xml:space="preserve"> </w:t>
      </w:r>
      <w:r w:rsidR="00B93AAF">
        <w:rPr>
          <w:rFonts w:ascii="Garamond" w:hAnsi="Garamond" w:cs="Arial"/>
        </w:rPr>
        <w:t>(</w:t>
      </w:r>
      <w:r w:rsidRPr="00095609">
        <w:rPr>
          <w:rFonts w:ascii="Garamond" w:hAnsi="Garamond" w:cs="Arial"/>
        </w:rPr>
        <w:t>API</w:t>
      </w:r>
      <w:r w:rsidR="00B93AAF">
        <w:rPr>
          <w:rFonts w:ascii="Garamond" w:hAnsi="Garamond" w:cs="Arial"/>
        </w:rPr>
        <w:t>)</w:t>
      </w:r>
      <w:r w:rsidRPr="00095609">
        <w:rPr>
          <w:rFonts w:ascii="Garamond" w:hAnsi="Garamond" w:cs="Arial"/>
        </w:rPr>
        <w:t>. Although a variety of resolutions and polarizations are distributed through Sentinel</w:t>
      </w:r>
      <w:r w:rsidR="00157779">
        <w:rPr>
          <w:rFonts w:ascii="Garamond" w:hAnsi="Garamond" w:cs="Arial"/>
        </w:rPr>
        <w:t>-</w:t>
      </w:r>
      <w:r w:rsidRPr="00095609">
        <w:rPr>
          <w:rFonts w:ascii="Garamond" w:hAnsi="Garamond" w:cs="Arial"/>
        </w:rPr>
        <w:t xml:space="preserve">1, we focused on the combination of 10 m dual polarized vertical transmit vertical receive and vertical transit horizontal receive (VV and </w:t>
      </w:r>
      <w:r w:rsidR="005773E5" w:rsidRPr="00095609">
        <w:rPr>
          <w:rFonts w:ascii="Garamond" w:hAnsi="Garamond" w:cs="Arial"/>
        </w:rPr>
        <w:t>VH)</w:t>
      </w:r>
      <w:r w:rsidRPr="00095609">
        <w:rPr>
          <w:rFonts w:ascii="Garamond" w:hAnsi="Garamond" w:cs="Arial"/>
        </w:rPr>
        <w:t xml:space="preserve"> imagery available. Despite only providing half the information of a fully polarimetric dataset, dually polarized datasets like this one cover a larger area and have been used to produce highly accurate wetland classification maps (</w:t>
      </w:r>
      <w:proofErr w:type="spellStart"/>
      <w:r w:rsidRPr="00095609">
        <w:rPr>
          <w:rFonts w:ascii="Garamond" w:hAnsi="Garamond" w:cs="Arial"/>
        </w:rPr>
        <w:t>Mahdianpari</w:t>
      </w:r>
      <w:proofErr w:type="spellEnd"/>
      <w:r w:rsidRPr="00095609">
        <w:rPr>
          <w:rFonts w:ascii="Garamond" w:hAnsi="Garamond" w:cs="Arial"/>
        </w:rPr>
        <w:t xml:space="preserve"> et al., 2017).</w:t>
      </w:r>
    </w:p>
    <w:p w14:paraId="7EADC9F9" w14:textId="77777777" w:rsidR="00095609" w:rsidRPr="00095609" w:rsidRDefault="00095609" w:rsidP="00095609">
      <w:pPr>
        <w:spacing w:after="0" w:line="240" w:lineRule="auto"/>
        <w:rPr>
          <w:rFonts w:ascii="Garamond" w:hAnsi="Garamond" w:cs="Arial"/>
        </w:rPr>
      </w:pPr>
    </w:p>
    <w:p w14:paraId="7E6F3030" w14:textId="62C2580C" w:rsidR="00A43059" w:rsidRDefault="00095609" w:rsidP="00095609">
      <w:pPr>
        <w:spacing w:after="0" w:line="240" w:lineRule="auto"/>
        <w:rPr>
          <w:rFonts w:ascii="Garamond" w:hAnsi="Garamond" w:cs="Arial"/>
        </w:rPr>
      </w:pPr>
      <w:r w:rsidRPr="00095609">
        <w:rPr>
          <w:rFonts w:ascii="Garamond" w:hAnsi="Garamond" w:cs="Arial"/>
        </w:rPr>
        <w:t xml:space="preserve">We gathered </w:t>
      </w:r>
      <w:r w:rsidR="00157779">
        <w:rPr>
          <w:rFonts w:ascii="Garamond" w:hAnsi="Garamond" w:cs="Arial"/>
        </w:rPr>
        <w:t>a</w:t>
      </w:r>
      <w:r w:rsidRPr="00095609">
        <w:rPr>
          <w:rFonts w:ascii="Garamond" w:hAnsi="Garamond" w:cs="Arial"/>
        </w:rPr>
        <w:t xml:space="preserve">ncillary data and utilized them for </w:t>
      </w:r>
      <w:r w:rsidR="00157779">
        <w:rPr>
          <w:rFonts w:ascii="Garamond" w:hAnsi="Garamond" w:cs="Arial"/>
        </w:rPr>
        <w:t xml:space="preserve">the </w:t>
      </w:r>
      <w:r w:rsidRPr="00095609">
        <w:rPr>
          <w:rFonts w:ascii="Garamond" w:hAnsi="Garamond" w:cs="Arial"/>
        </w:rPr>
        <w:t xml:space="preserve">creation of the wetland delineation tool from our partner sources. These data include an updated and revised NWI map for the state of Minnesota that was provided by </w:t>
      </w:r>
      <w:r w:rsidR="00B93AAF">
        <w:rPr>
          <w:rFonts w:ascii="Garamond" w:hAnsi="Garamond" w:cs="Arial"/>
        </w:rPr>
        <w:t xml:space="preserve">the </w:t>
      </w:r>
      <w:r w:rsidRPr="00095609">
        <w:rPr>
          <w:rFonts w:ascii="Garamond" w:hAnsi="Garamond" w:cs="Arial"/>
        </w:rPr>
        <w:t>MN DNR. Also provided by MN DNR were 7,723 field validation points that were used to test and assess the accuracy of the developed delineation tool. We were provided a 3</w:t>
      </w:r>
      <w:r w:rsidR="00157779">
        <w:rPr>
          <w:rFonts w:ascii="Garamond" w:hAnsi="Garamond" w:cs="Arial"/>
        </w:rPr>
        <w:t>-</w:t>
      </w:r>
      <w:r w:rsidRPr="00095609">
        <w:rPr>
          <w:rFonts w:ascii="Garamond" w:hAnsi="Garamond" w:cs="Arial"/>
        </w:rPr>
        <w:t xml:space="preserve">meter Digital Elevation Model (DEM) from our partners at </w:t>
      </w:r>
      <w:r w:rsidR="00B93AAF">
        <w:rPr>
          <w:rFonts w:ascii="Garamond" w:hAnsi="Garamond" w:cs="Arial"/>
        </w:rPr>
        <w:t xml:space="preserve">the </w:t>
      </w:r>
      <w:r w:rsidRPr="00095609">
        <w:rPr>
          <w:rFonts w:ascii="Garamond" w:hAnsi="Garamond" w:cs="Arial"/>
        </w:rPr>
        <w:t>MN DNR</w:t>
      </w:r>
      <w:r>
        <w:rPr>
          <w:rFonts w:ascii="Garamond" w:hAnsi="Garamond" w:cs="Arial"/>
        </w:rPr>
        <w:t xml:space="preserve">, which we used to calculate a </w:t>
      </w:r>
      <w:r w:rsidRPr="00095609">
        <w:rPr>
          <w:rFonts w:ascii="Garamond" w:hAnsi="Garamond" w:cs="Arial"/>
        </w:rPr>
        <w:t>Topographic Wetness Index (TWI). This topographic dataset was originally used in conjunction with the ArcGIS toolkit, Arc Hydro, in order to identify flow pathways and potential riparian areas that could contain wetlands (</w:t>
      </w:r>
      <w:proofErr w:type="spellStart"/>
      <w:r w:rsidRPr="00095609">
        <w:rPr>
          <w:rFonts w:ascii="Garamond" w:hAnsi="Garamond" w:cs="Arial"/>
        </w:rPr>
        <w:t>Kloiber</w:t>
      </w:r>
      <w:proofErr w:type="spellEnd"/>
      <w:r w:rsidRPr="00095609">
        <w:rPr>
          <w:rFonts w:ascii="Garamond" w:hAnsi="Garamond" w:cs="Arial"/>
        </w:rPr>
        <w:t xml:space="preserve"> et al., 2015). The combination of the field validation</w:t>
      </w:r>
      <w:r w:rsidR="00B93AAF">
        <w:rPr>
          <w:rFonts w:ascii="Garamond" w:hAnsi="Garamond" w:cs="Arial"/>
        </w:rPr>
        <w:t xml:space="preserve"> points and LiDAR elevation data </w:t>
      </w:r>
      <w:r w:rsidRPr="00095609">
        <w:rPr>
          <w:rFonts w:ascii="Garamond" w:hAnsi="Garamond" w:cs="Arial"/>
        </w:rPr>
        <w:t>allowed our team to have a more comprehensive analysis o</w:t>
      </w:r>
      <w:r w:rsidR="002A3283">
        <w:rPr>
          <w:rFonts w:ascii="Garamond" w:hAnsi="Garamond" w:cs="Arial"/>
        </w:rPr>
        <w:t>f</w:t>
      </w:r>
      <w:r w:rsidRPr="00095609">
        <w:rPr>
          <w:rFonts w:ascii="Garamond" w:hAnsi="Garamond" w:cs="Arial"/>
        </w:rPr>
        <w:t xml:space="preserve"> the factors that affect and determine wetland delineation.</w:t>
      </w:r>
    </w:p>
    <w:p w14:paraId="7BD59399" w14:textId="77777777" w:rsidR="00987986" w:rsidRDefault="00987986" w:rsidP="00095609">
      <w:pPr>
        <w:spacing w:after="0" w:line="240" w:lineRule="auto"/>
        <w:rPr>
          <w:rFonts w:ascii="Garamond" w:hAnsi="Garamond" w:cs="Arial"/>
        </w:rPr>
      </w:pPr>
    </w:p>
    <w:p w14:paraId="4C44E0E1" w14:textId="77777777" w:rsidR="00987986" w:rsidRPr="00987986" w:rsidRDefault="00987986" w:rsidP="0098798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193"/>
        <w:gridCol w:w="1054"/>
        <w:gridCol w:w="1112"/>
        <w:gridCol w:w="1708"/>
        <w:gridCol w:w="1302"/>
        <w:gridCol w:w="2991"/>
      </w:tblGrid>
      <w:tr w:rsidR="00987986" w:rsidRPr="00987986" w14:paraId="6AABADC0" w14:textId="77777777" w:rsidTr="00281532">
        <w:trPr>
          <w:trHeight w:val="420"/>
        </w:trPr>
        <w:tc>
          <w:tcPr>
            <w:tcW w:w="0" w:type="auto"/>
            <w:gridSpan w:val="6"/>
            <w:tcBorders>
              <w:bottom w:val="single" w:sz="6" w:space="0" w:color="000000"/>
            </w:tcBorders>
            <w:tcMar>
              <w:top w:w="100" w:type="dxa"/>
              <w:left w:w="100" w:type="dxa"/>
              <w:bottom w:w="100" w:type="dxa"/>
              <w:right w:w="100" w:type="dxa"/>
            </w:tcMar>
            <w:hideMark/>
          </w:tcPr>
          <w:p w14:paraId="0973FB66" w14:textId="4C4C1789" w:rsidR="00987986" w:rsidRPr="00987986" w:rsidRDefault="002D7D54" w:rsidP="0082491E">
            <w:pPr>
              <w:spacing w:after="0" w:line="240" w:lineRule="auto"/>
              <w:rPr>
                <w:rFonts w:ascii="Times New Roman" w:eastAsia="Times New Roman" w:hAnsi="Times New Roman" w:cs="Times New Roman"/>
                <w:sz w:val="24"/>
                <w:szCs w:val="24"/>
              </w:rPr>
            </w:pPr>
            <w:r w:rsidRPr="007B1581">
              <w:rPr>
                <w:rFonts w:ascii="Garamond" w:eastAsia="Times New Roman" w:hAnsi="Garamond" w:cs="Times New Roman"/>
                <w:color w:val="000000"/>
              </w:rPr>
              <w:t>Table 1</w:t>
            </w:r>
          </w:p>
          <w:p w14:paraId="41801B7F" w14:textId="71C6B28E" w:rsidR="00987986" w:rsidRPr="00987986" w:rsidRDefault="00987986" w:rsidP="0082491E">
            <w:pPr>
              <w:spacing w:after="0" w:line="240" w:lineRule="auto"/>
              <w:rPr>
                <w:rFonts w:ascii="Times New Roman" w:eastAsia="Times New Roman" w:hAnsi="Times New Roman" w:cs="Times New Roman"/>
                <w:sz w:val="24"/>
                <w:szCs w:val="24"/>
              </w:rPr>
            </w:pPr>
            <w:r w:rsidRPr="00987986">
              <w:rPr>
                <w:rFonts w:ascii="Garamond" w:eastAsia="Times New Roman" w:hAnsi="Garamond" w:cs="Times New Roman"/>
                <w:i/>
                <w:iCs/>
                <w:color w:val="000000"/>
              </w:rPr>
              <w:lastRenderedPageBreak/>
              <w:t xml:space="preserve">Description of </w:t>
            </w:r>
            <w:r w:rsidR="00157779">
              <w:rPr>
                <w:rFonts w:ascii="Garamond" w:eastAsia="Times New Roman" w:hAnsi="Garamond" w:cs="Times New Roman"/>
                <w:i/>
                <w:iCs/>
                <w:color w:val="000000"/>
              </w:rPr>
              <w:t>E</w:t>
            </w:r>
            <w:r w:rsidRPr="00987986">
              <w:rPr>
                <w:rFonts w:ascii="Garamond" w:eastAsia="Times New Roman" w:hAnsi="Garamond" w:cs="Times New Roman"/>
                <w:i/>
                <w:iCs/>
                <w:color w:val="000000"/>
              </w:rPr>
              <w:t>arth observations used in classification</w:t>
            </w:r>
            <w:r w:rsidR="00E41436">
              <w:rPr>
                <w:rFonts w:ascii="Garamond" w:eastAsia="Times New Roman" w:hAnsi="Garamond" w:cs="Times New Roman"/>
                <w:i/>
                <w:iCs/>
                <w:color w:val="000000"/>
              </w:rPr>
              <w:t>s</w:t>
            </w:r>
          </w:p>
        </w:tc>
      </w:tr>
      <w:tr w:rsidR="00521625" w:rsidRPr="00987986" w14:paraId="0100CC39" w14:textId="77777777" w:rsidTr="00281532">
        <w:trPr>
          <w:trHeight w:val="360"/>
        </w:trPr>
        <w:tc>
          <w:tcPr>
            <w:tcW w:w="0" w:type="auto"/>
            <w:tcBorders>
              <w:top w:val="single" w:sz="6" w:space="0" w:color="000000"/>
              <w:bottom w:val="single" w:sz="12" w:space="0" w:color="000000"/>
            </w:tcBorders>
            <w:tcMar>
              <w:top w:w="100" w:type="dxa"/>
              <w:left w:w="100" w:type="dxa"/>
              <w:bottom w:w="100" w:type="dxa"/>
              <w:right w:w="100" w:type="dxa"/>
            </w:tcMar>
            <w:hideMark/>
          </w:tcPr>
          <w:p w14:paraId="57359E0D"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lastRenderedPageBreak/>
              <w:t>Platform &amp; Sensor</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3EFD49DD"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Product Level</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160787C4"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Image Dates</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1223F394" w14:textId="59AB7C05" w:rsidR="00521625" w:rsidRDefault="00987986" w:rsidP="00521625">
            <w:pPr>
              <w:spacing w:after="0" w:line="240" w:lineRule="auto"/>
              <w:jc w:val="center"/>
              <w:rPr>
                <w:rFonts w:ascii="Garamond" w:eastAsia="Times New Roman" w:hAnsi="Garamond" w:cs="Times New Roman"/>
                <w:b/>
                <w:bCs/>
                <w:color w:val="000000"/>
              </w:rPr>
            </w:pPr>
            <w:r w:rsidRPr="003949EB">
              <w:rPr>
                <w:rFonts w:ascii="Garamond" w:eastAsia="Times New Roman" w:hAnsi="Garamond" w:cs="Times New Roman"/>
                <w:b/>
                <w:bCs/>
                <w:color w:val="000000"/>
              </w:rPr>
              <w:t>Image</w:t>
            </w:r>
          </w:p>
          <w:p w14:paraId="39F033EF" w14:textId="0844234D"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Source</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4F052779"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Parameter</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13C82A05"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Use</w:t>
            </w:r>
          </w:p>
        </w:tc>
      </w:tr>
      <w:tr w:rsidR="00521625" w:rsidRPr="00987986" w14:paraId="40290F92" w14:textId="77777777" w:rsidTr="00281532">
        <w:tc>
          <w:tcPr>
            <w:tcW w:w="0" w:type="auto"/>
            <w:tcBorders>
              <w:top w:val="single" w:sz="12" w:space="0" w:color="000000"/>
            </w:tcBorders>
            <w:tcMar>
              <w:top w:w="100" w:type="dxa"/>
              <w:left w:w="100" w:type="dxa"/>
              <w:bottom w:w="100" w:type="dxa"/>
              <w:right w:w="100" w:type="dxa"/>
            </w:tcMar>
            <w:hideMark/>
          </w:tcPr>
          <w:p w14:paraId="16A76859" w14:textId="390AECBB"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Landsat 8 OLI</w:t>
            </w:r>
          </w:p>
        </w:tc>
        <w:tc>
          <w:tcPr>
            <w:tcW w:w="0" w:type="auto"/>
            <w:tcBorders>
              <w:top w:val="single" w:sz="12" w:space="0" w:color="000000"/>
            </w:tcBorders>
            <w:tcMar>
              <w:top w:w="100" w:type="dxa"/>
              <w:left w:w="100" w:type="dxa"/>
              <w:bottom w:w="100" w:type="dxa"/>
              <w:right w:w="100" w:type="dxa"/>
            </w:tcMar>
            <w:hideMark/>
          </w:tcPr>
          <w:p w14:paraId="2F5AD64E"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Level-2</w:t>
            </w:r>
          </w:p>
        </w:tc>
        <w:tc>
          <w:tcPr>
            <w:tcW w:w="0" w:type="auto"/>
            <w:tcBorders>
              <w:top w:val="single" w:sz="12" w:space="0" w:color="000000"/>
            </w:tcBorders>
            <w:tcMar>
              <w:top w:w="100" w:type="dxa"/>
              <w:left w:w="100" w:type="dxa"/>
              <w:bottom w:w="100" w:type="dxa"/>
              <w:right w:w="100" w:type="dxa"/>
            </w:tcMar>
            <w:hideMark/>
          </w:tcPr>
          <w:p w14:paraId="785FC76D" w14:textId="77777777"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05/24/17</w:t>
            </w:r>
          </w:p>
          <w:p w14:paraId="7FCF3E64" w14:textId="5386178E"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to</w:t>
            </w:r>
          </w:p>
          <w:p w14:paraId="4ADC479D" w14:textId="45C5ED65"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09/23/17</w:t>
            </w:r>
          </w:p>
          <w:p w14:paraId="7FB428FC" w14:textId="77777777" w:rsidR="00987986" w:rsidRPr="003949EB" w:rsidRDefault="00987986" w:rsidP="00521625">
            <w:pPr>
              <w:spacing w:after="0" w:line="240" w:lineRule="auto"/>
              <w:jc w:val="center"/>
              <w:rPr>
                <w:rFonts w:ascii="Times New Roman" w:eastAsia="Times New Roman" w:hAnsi="Times New Roman" w:cs="Times New Roman"/>
              </w:rPr>
            </w:pPr>
          </w:p>
          <w:p w14:paraId="469A7184" w14:textId="77777777"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05/27/18</w:t>
            </w:r>
          </w:p>
          <w:p w14:paraId="115396A7" w14:textId="16724649"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to</w:t>
            </w:r>
          </w:p>
          <w:p w14:paraId="3D955710" w14:textId="5531250A"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09/26/18</w:t>
            </w:r>
          </w:p>
        </w:tc>
        <w:tc>
          <w:tcPr>
            <w:tcW w:w="0" w:type="auto"/>
            <w:tcBorders>
              <w:top w:val="single" w:sz="12" w:space="0" w:color="000000"/>
            </w:tcBorders>
            <w:tcMar>
              <w:top w:w="100" w:type="dxa"/>
              <w:left w:w="100" w:type="dxa"/>
              <w:bottom w:w="100" w:type="dxa"/>
              <w:right w:w="100" w:type="dxa"/>
            </w:tcMar>
            <w:hideMark/>
          </w:tcPr>
          <w:p w14:paraId="2539E30C"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USGS via Google Earth Engine</w:t>
            </w:r>
          </w:p>
        </w:tc>
        <w:tc>
          <w:tcPr>
            <w:tcW w:w="0" w:type="auto"/>
            <w:tcBorders>
              <w:top w:val="single" w:sz="12" w:space="0" w:color="000000"/>
            </w:tcBorders>
            <w:tcMar>
              <w:top w:w="100" w:type="dxa"/>
              <w:left w:w="100" w:type="dxa"/>
              <w:bottom w:w="100" w:type="dxa"/>
              <w:right w:w="100" w:type="dxa"/>
            </w:tcMar>
            <w:hideMark/>
          </w:tcPr>
          <w:p w14:paraId="38C7FBDB"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Surface reflectance</w:t>
            </w:r>
          </w:p>
        </w:tc>
        <w:tc>
          <w:tcPr>
            <w:tcW w:w="0" w:type="auto"/>
            <w:tcBorders>
              <w:top w:val="single" w:sz="12" w:space="0" w:color="000000"/>
            </w:tcBorders>
            <w:tcMar>
              <w:top w:w="100" w:type="dxa"/>
              <w:left w:w="100" w:type="dxa"/>
              <w:bottom w:w="100" w:type="dxa"/>
              <w:right w:w="100" w:type="dxa"/>
            </w:tcMar>
            <w:hideMark/>
          </w:tcPr>
          <w:p w14:paraId="6B15D8BF" w14:textId="78C0FC23"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Optical and infrared bands in addition to spectral indices w</w:t>
            </w:r>
            <w:r w:rsidR="00521625">
              <w:rPr>
                <w:rFonts w:ascii="Garamond" w:eastAsia="Times New Roman" w:hAnsi="Garamond" w:cs="Times New Roman"/>
                <w:color w:val="000000"/>
              </w:rPr>
              <w:t xml:space="preserve">ere </w:t>
            </w:r>
            <w:r w:rsidRPr="003949EB">
              <w:rPr>
                <w:rFonts w:ascii="Garamond" w:eastAsia="Times New Roman" w:hAnsi="Garamond" w:cs="Times New Roman"/>
                <w:color w:val="000000"/>
              </w:rPr>
              <w:t>u</w:t>
            </w:r>
            <w:r w:rsidR="00521625">
              <w:rPr>
                <w:rFonts w:ascii="Garamond" w:eastAsia="Times New Roman" w:hAnsi="Garamond" w:cs="Times New Roman"/>
                <w:color w:val="000000"/>
              </w:rPr>
              <w:t>sed to classify wetland areas</w:t>
            </w:r>
            <w:r w:rsidRPr="003949EB">
              <w:rPr>
                <w:rFonts w:ascii="Garamond" w:eastAsia="Times New Roman" w:hAnsi="Garamond" w:cs="Times New Roman"/>
                <w:color w:val="000000"/>
              </w:rPr>
              <w:t xml:space="preserve"> a</w:t>
            </w:r>
            <w:r w:rsidR="00521625">
              <w:rPr>
                <w:rFonts w:ascii="Garamond" w:eastAsia="Times New Roman" w:hAnsi="Garamond" w:cs="Times New Roman"/>
                <w:color w:val="000000"/>
              </w:rPr>
              <w:t xml:space="preserve">t a spatial </w:t>
            </w:r>
            <w:r w:rsidRPr="003949EB">
              <w:rPr>
                <w:rFonts w:ascii="Garamond" w:eastAsia="Times New Roman" w:hAnsi="Garamond" w:cs="Times New Roman"/>
                <w:color w:val="000000"/>
              </w:rPr>
              <w:t>resolution of 30</w:t>
            </w:r>
            <w:r w:rsidR="00521625">
              <w:rPr>
                <w:rFonts w:ascii="Garamond" w:eastAsia="Times New Roman" w:hAnsi="Garamond" w:cs="Times New Roman"/>
                <w:color w:val="000000"/>
              </w:rPr>
              <w:t xml:space="preserve"> </w:t>
            </w:r>
            <w:r w:rsidRPr="003949EB">
              <w:rPr>
                <w:rFonts w:ascii="Garamond" w:eastAsia="Times New Roman" w:hAnsi="Garamond" w:cs="Times New Roman"/>
                <w:color w:val="000000"/>
              </w:rPr>
              <w:t>m</w:t>
            </w:r>
          </w:p>
        </w:tc>
      </w:tr>
      <w:tr w:rsidR="00521625" w:rsidRPr="00987986" w14:paraId="2BECBA41" w14:textId="77777777" w:rsidTr="00281532">
        <w:tc>
          <w:tcPr>
            <w:tcW w:w="0" w:type="auto"/>
            <w:tcMar>
              <w:top w:w="100" w:type="dxa"/>
              <w:left w:w="100" w:type="dxa"/>
              <w:bottom w:w="100" w:type="dxa"/>
              <w:right w:w="100" w:type="dxa"/>
            </w:tcMar>
            <w:hideMark/>
          </w:tcPr>
          <w:p w14:paraId="02473B5F" w14:textId="4EC751FE"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Sentinel-1 C-SAR</w:t>
            </w:r>
          </w:p>
        </w:tc>
        <w:tc>
          <w:tcPr>
            <w:tcW w:w="0" w:type="auto"/>
            <w:tcMar>
              <w:top w:w="100" w:type="dxa"/>
              <w:left w:w="100" w:type="dxa"/>
              <w:bottom w:w="100" w:type="dxa"/>
              <w:right w:w="100" w:type="dxa"/>
            </w:tcMar>
            <w:hideMark/>
          </w:tcPr>
          <w:p w14:paraId="01BD4B23"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Level-1</w:t>
            </w:r>
          </w:p>
        </w:tc>
        <w:tc>
          <w:tcPr>
            <w:tcW w:w="0" w:type="auto"/>
            <w:tcMar>
              <w:top w:w="100" w:type="dxa"/>
              <w:left w:w="100" w:type="dxa"/>
              <w:bottom w:w="100" w:type="dxa"/>
              <w:right w:w="100" w:type="dxa"/>
            </w:tcMar>
            <w:hideMark/>
          </w:tcPr>
          <w:p w14:paraId="38FF25ED" w14:textId="4A94B3E3" w:rsidR="00521625" w:rsidRDefault="00987986" w:rsidP="00521625">
            <w:pPr>
              <w:spacing w:after="0" w:line="240" w:lineRule="auto"/>
              <w:jc w:val="center"/>
              <w:rPr>
                <w:rFonts w:ascii="Garamond" w:eastAsia="Times New Roman" w:hAnsi="Garamond" w:cs="Times New Roman"/>
                <w:color w:val="000000"/>
              </w:rPr>
            </w:pPr>
            <w:r w:rsidRPr="003949EB">
              <w:rPr>
                <w:rFonts w:ascii="Garamond" w:eastAsia="Times New Roman" w:hAnsi="Garamond" w:cs="Times New Roman"/>
                <w:color w:val="000000"/>
              </w:rPr>
              <w:t>0</w:t>
            </w:r>
            <w:r w:rsidR="00521625">
              <w:rPr>
                <w:rFonts w:ascii="Garamond" w:eastAsia="Times New Roman" w:hAnsi="Garamond" w:cs="Times New Roman"/>
                <w:color w:val="000000"/>
              </w:rPr>
              <w:t>5/21/17</w:t>
            </w:r>
          </w:p>
          <w:p w14:paraId="63CDF801" w14:textId="007A6FC4"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to</w:t>
            </w:r>
          </w:p>
          <w:p w14:paraId="55F823DB" w14:textId="5966D94E"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09/26/17</w:t>
            </w:r>
          </w:p>
          <w:p w14:paraId="2B84647E" w14:textId="77777777" w:rsidR="00987986" w:rsidRPr="003949EB" w:rsidRDefault="00987986" w:rsidP="00521625">
            <w:pPr>
              <w:spacing w:after="0" w:line="240" w:lineRule="auto"/>
              <w:jc w:val="center"/>
              <w:rPr>
                <w:rFonts w:ascii="Times New Roman" w:eastAsia="Times New Roman" w:hAnsi="Times New Roman" w:cs="Times New Roman"/>
              </w:rPr>
            </w:pPr>
          </w:p>
          <w:p w14:paraId="7E1EC01C" w14:textId="77777777"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05/21/18</w:t>
            </w:r>
          </w:p>
          <w:p w14:paraId="3ABF2283" w14:textId="082C4F46" w:rsidR="00521625" w:rsidRDefault="00521625" w:rsidP="00521625">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to</w:t>
            </w:r>
          </w:p>
          <w:p w14:paraId="1110031A" w14:textId="519BD1FB" w:rsidR="00987986" w:rsidRPr="00521625" w:rsidRDefault="00987986" w:rsidP="00521625">
            <w:pPr>
              <w:spacing w:after="0" w:line="240" w:lineRule="auto"/>
              <w:jc w:val="center"/>
              <w:rPr>
                <w:rFonts w:ascii="Garamond" w:eastAsia="Times New Roman" w:hAnsi="Garamond" w:cs="Times New Roman"/>
                <w:color w:val="000000"/>
              </w:rPr>
            </w:pPr>
            <w:r w:rsidRPr="003949EB">
              <w:rPr>
                <w:rFonts w:ascii="Garamond" w:eastAsia="Times New Roman" w:hAnsi="Garamond" w:cs="Times New Roman"/>
                <w:color w:val="000000"/>
              </w:rPr>
              <w:t>09/26/18</w:t>
            </w:r>
          </w:p>
        </w:tc>
        <w:tc>
          <w:tcPr>
            <w:tcW w:w="0" w:type="auto"/>
            <w:tcMar>
              <w:top w:w="100" w:type="dxa"/>
              <w:left w:w="100" w:type="dxa"/>
              <w:bottom w:w="100" w:type="dxa"/>
              <w:right w:w="100" w:type="dxa"/>
            </w:tcMar>
            <w:hideMark/>
          </w:tcPr>
          <w:p w14:paraId="2E53C14E"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ESA Copernicus via Google Earth Engine</w:t>
            </w:r>
          </w:p>
        </w:tc>
        <w:tc>
          <w:tcPr>
            <w:tcW w:w="0" w:type="auto"/>
            <w:tcMar>
              <w:top w:w="100" w:type="dxa"/>
              <w:left w:w="100" w:type="dxa"/>
              <w:bottom w:w="100" w:type="dxa"/>
              <w:right w:w="100" w:type="dxa"/>
            </w:tcMar>
            <w:hideMark/>
          </w:tcPr>
          <w:p w14:paraId="5E2BA467"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Backscatter</w:t>
            </w:r>
          </w:p>
        </w:tc>
        <w:tc>
          <w:tcPr>
            <w:tcW w:w="0" w:type="auto"/>
            <w:tcMar>
              <w:top w:w="100" w:type="dxa"/>
              <w:left w:w="100" w:type="dxa"/>
              <w:bottom w:w="100" w:type="dxa"/>
              <w:right w:w="100" w:type="dxa"/>
            </w:tcMar>
            <w:hideMark/>
          </w:tcPr>
          <w:p w14:paraId="4B4EDFCE" w14:textId="77777777" w:rsidR="00987986" w:rsidRPr="003949EB" w:rsidRDefault="00987986" w:rsidP="00521625">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Used to identify inundated areas</w:t>
            </w:r>
          </w:p>
        </w:tc>
      </w:tr>
    </w:tbl>
    <w:p w14:paraId="4A8AADB0" w14:textId="77777777" w:rsidR="00095609" w:rsidRPr="0066138C" w:rsidRDefault="00095609" w:rsidP="00095609">
      <w:pPr>
        <w:spacing w:after="0" w:line="240" w:lineRule="auto"/>
        <w:rPr>
          <w:rFonts w:ascii="Garamond" w:hAnsi="Garamond" w:cs="Arial"/>
        </w:rPr>
      </w:pPr>
    </w:p>
    <w:p w14:paraId="0AD897BD" w14:textId="3241D23A" w:rsidR="00B768DB" w:rsidRPr="00B768DB" w:rsidRDefault="00B768DB" w:rsidP="00983B03">
      <w:pPr>
        <w:spacing w:after="0" w:line="240" w:lineRule="auto"/>
        <w:rPr>
          <w:rFonts w:ascii="Garamond" w:hAnsi="Garamond" w:cs="Arial"/>
          <w:b/>
          <w:i/>
          <w:szCs w:val="24"/>
        </w:rPr>
      </w:pPr>
      <w:r>
        <w:rPr>
          <w:rFonts w:ascii="Garamond" w:hAnsi="Garamond" w:cs="Arial"/>
          <w:b/>
          <w:i/>
          <w:szCs w:val="24"/>
        </w:rPr>
        <w:t>3.2 Data Processing</w:t>
      </w:r>
    </w:p>
    <w:p w14:paraId="13550367" w14:textId="77777777" w:rsidR="00983B03" w:rsidRPr="00B768DB" w:rsidRDefault="00983B03" w:rsidP="00983B03">
      <w:pPr>
        <w:spacing w:after="0" w:line="240" w:lineRule="auto"/>
        <w:rPr>
          <w:rFonts w:ascii="Garamond" w:hAnsi="Garamond" w:cs="Arial"/>
          <w:i/>
          <w:szCs w:val="24"/>
        </w:rPr>
      </w:pPr>
      <w:r w:rsidRPr="00B768DB">
        <w:rPr>
          <w:rFonts w:ascii="Garamond" w:hAnsi="Garamond" w:cs="Arial"/>
          <w:i/>
          <w:szCs w:val="24"/>
        </w:rPr>
        <w:t>3.2.1 Overview</w:t>
      </w:r>
    </w:p>
    <w:p w14:paraId="3F703DA4" w14:textId="16B2DEBC" w:rsidR="00983B03" w:rsidRPr="00983B03" w:rsidRDefault="00983B03" w:rsidP="00983B03">
      <w:pPr>
        <w:spacing w:after="0" w:line="240" w:lineRule="auto"/>
        <w:rPr>
          <w:rFonts w:ascii="Garamond" w:hAnsi="Garamond" w:cs="Arial"/>
          <w:szCs w:val="24"/>
        </w:rPr>
      </w:pPr>
      <w:r w:rsidRPr="00983B03">
        <w:rPr>
          <w:rFonts w:ascii="Garamond" w:hAnsi="Garamond" w:cs="Arial"/>
          <w:szCs w:val="24"/>
        </w:rPr>
        <w:t>We produced a 30 m resolution wetland map for 2017 and 2018 from our Sentinel-1 C-SAR composite and Landsat 8 OLI optical indices composites in addi</w:t>
      </w:r>
      <w:r w:rsidR="00B93AAF">
        <w:rPr>
          <w:rFonts w:ascii="Garamond" w:hAnsi="Garamond" w:cs="Arial"/>
          <w:szCs w:val="24"/>
        </w:rPr>
        <w:t>tion to our DEM-derived layers</w:t>
      </w:r>
      <w:r w:rsidRPr="00983B03">
        <w:rPr>
          <w:rFonts w:ascii="Garamond" w:hAnsi="Garamond" w:cs="Arial"/>
          <w:szCs w:val="24"/>
        </w:rPr>
        <w:t>. Our team followed four primary steps to produce this wetland classification map for Minnesota, including pre-processing, segmentation, classification via manual thresholding or the random forest algorithm, and validation. Data from each satellite w</w:t>
      </w:r>
      <w:r w:rsidR="002A3283">
        <w:rPr>
          <w:rFonts w:ascii="Garamond" w:hAnsi="Garamond" w:cs="Arial"/>
          <w:szCs w:val="24"/>
        </w:rPr>
        <w:t>ere</w:t>
      </w:r>
      <w:r w:rsidRPr="00983B03">
        <w:rPr>
          <w:rFonts w:ascii="Garamond" w:hAnsi="Garamond" w:cs="Arial"/>
          <w:szCs w:val="24"/>
        </w:rPr>
        <w:t xml:space="preserve"> filtered to only include scenes within the Minnesota state boundary and the date range of Minnesota’s growing season. Landsat 8 surface reflectance data were filtered for cloud cover and Sentinel-1 data were also filtered for interferometric width (IW) </w:t>
      </w:r>
      <w:r w:rsidR="00B93AAF">
        <w:rPr>
          <w:rFonts w:ascii="Garamond" w:hAnsi="Garamond" w:cs="Arial"/>
          <w:szCs w:val="24"/>
        </w:rPr>
        <w:t xml:space="preserve">and </w:t>
      </w:r>
      <w:r w:rsidRPr="00983B03">
        <w:rPr>
          <w:rFonts w:ascii="Garamond" w:hAnsi="Garamond" w:cs="Arial"/>
          <w:szCs w:val="24"/>
        </w:rPr>
        <w:t>resampled from 10</w:t>
      </w:r>
      <w:r w:rsidR="002A3283">
        <w:rPr>
          <w:rFonts w:ascii="Garamond" w:hAnsi="Garamond" w:cs="Arial"/>
          <w:szCs w:val="24"/>
        </w:rPr>
        <w:t xml:space="preserve"> </w:t>
      </w:r>
      <w:r w:rsidRPr="00983B03">
        <w:rPr>
          <w:rFonts w:ascii="Garamond" w:hAnsi="Garamond" w:cs="Arial"/>
          <w:szCs w:val="24"/>
        </w:rPr>
        <w:t>m to 30</w:t>
      </w:r>
      <w:r w:rsidR="002A3283">
        <w:rPr>
          <w:rFonts w:ascii="Garamond" w:hAnsi="Garamond" w:cs="Arial"/>
          <w:szCs w:val="24"/>
        </w:rPr>
        <w:t xml:space="preserve"> </w:t>
      </w:r>
      <w:r w:rsidRPr="00983B03">
        <w:rPr>
          <w:rFonts w:ascii="Garamond" w:hAnsi="Garamond" w:cs="Arial"/>
          <w:szCs w:val="24"/>
        </w:rPr>
        <w:t xml:space="preserve">m resolution. </w:t>
      </w:r>
    </w:p>
    <w:p w14:paraId="4FF99165" w14:textId="77777777" w:rsidR="00983B03" w:rsidRPr="00983B03" w:rsidRDefault="00983B03" w:rsidP="00983B03">
      <w:pPr>
        <w:spacing w:after="0" w:line="240" w:lineRule="auto"/>
        <w:rPr>
          <w:rFonts w:ascii="Garamond" w:hAnsi="Garamond" w:cs="Arial"/>
          <w:b/>
          <w:szCs w:val="24"/>
        </w:rPr>
      </w:pPr>
    </w:p>
    <w:p w14:paraId="344BC135" w14:textId="2971B925" w:rsidR="00983B03" w:rsidRPr="00B768DB" w:rsidRDefault="00B768DB" w:rsidP="00983B03">
      <w:pPr>
        <w:spacing w:after="0" w:line="240" w:lineRule="auto"/>
        <w:rPr>
          <w:rFonts w:ascii="Garamond" w:hAnsi="Garamond" w:cs="Arial"/>
          <w:i/>
          <w:szCs w:val="24"/>
        </w:rPr>
      </w:pPr>
      <w:r>
        <w:rPr>
          <w:rFonts w:ascii="Garamond" w:hAnsi="Garamond" w:cs="Arial"/>
          <w:i/>
          <w:szCs w:val="24"/>
        </w:rPr>
        <w:t>3.2</w:t>
      </w:r>
      <w:r w:rsidR="00983B03" w:rsidRPr="00B768DB">
        <w:rPr>
          <w:rFonts w:ascii="Garamond" w:hAnsi="Garamond" w:cs="Arial"/>
          <w:i/>
          <w:szCs w:val="24"/>
        </w:rPr>
        <w:t xml:space="preserve">.2 Software and Scripting </w:t>
      </w:r>
    </w:p>
    <w:p w14:paraId="073B424E" w14:textId="335A1862" w:rsidR="00BD1A87" w:rsidRDefault="00983B03" w:rsidP="00983B03">
      <w:pPr>
        <w:spacing w:after="0" w:line="240" w:lineRule="auto"/>
        <w:rPr>
          <w:rFonts w:ascii="Garamond" w:hAnsi="Garamond" w:cs="Arial"/>
          <w:szCs w:val="24"/>
        </w:rPr>
      </w:pPr>
      <w:r w:rsidRPr="00983B03">
        <w:rPr>
          <w:rFonts w:ascii="Garamond" w:hAnsi="Garamond" w:cs="Arial"/>
          <w:szCs w:val="24"/>
        </w:rPr>
        <w:t>A combination of software was used in the process of creating the wetland delineation tool. The automated tool for remote sensing data collection, pre-processi</w:t>
      </w:r>
      <w:r w:rsidR="00B93AAF">
        <w:rPr>
          <w:rFonts w:ascii="Garamond" w:hAnsi="Garamond" w:cs="Arial"/>
          <w:szCs w:val="24"/>
        </w:rPr>
        <w:t>ng, and delineation of wetlands</w:t>
      </w:r>
      <w:r w:rsidRPr="00983B03">
        <w:rPr>
          <w:rFonts w:ascii="Garamond" w:hAnsi="Garamond" w:cs="Arial"/>
          <w:szCs w:val="24"/>
        </w:rPr>
        <w:t xml:space="preserve"> was created entirely using the GEE API. </w:t>
      </w:r>
      <w:r w:rsidR="00B93AAF">
        <w:rPr>
          <w:rFonts w:ascii="Garamond" w:hAnsi="Garamond" w:cs="Arial"/>
          <w:szCs w:val="24"/>
        </w:rPr>
        <w:t xml:space="preserve">Harris Corporation </w:t>
      </w:r>
      <w:r w:rsidRPr="00983B03">
        <w:rPr>
          <w:rFonts w:ascii="Garamond" w:hAnsi="Garamond" w:cs="Arial"/>
          <w:szCs w:val="24"/>
        </w:rPr>
        <w:t>ENVI, a remote sensing image analysis software, was used in order to assess the accuracy of the map products created by the GEE tool, while map product visualizations wer</w:t>
      </w:r>
      <w:r w:rsidR="00F06EA6">
        <w:rPr>
          <w:rFonts w:ascii="Garamond" w:hAnsi="Garamond" w:cs="Arial"/>
          <w:szCs w:val="24"/>
        </w:rPr>
        <w:t>e created with ESRI ArcMap. The final end product</w:t>
      </w:r>
      <w:r w:rsidRPr="00983B03">
        <w:rPr>
          <w:rFonts w:ascii="Garamond" w:hAnsi="Garamond" w:cs="Arial"/>
          <w:szCs w:val="24"/>
        </w:rPr>
        <w:t xml:space="preserve"> tool utilizes Landsat 8 OLI and Sentinel-1 C-SAR datasets hosted on Google’s cloud to generate classified wetland maps.</w:t>
      </w:r>
    </w:p>
    <w:p w14:paraId="31244BE4" w14:textId="77777777" w:rsidR="00983B03" w:rsidRDefault="00983B03" w:rsidP="00983B03">
      <w:pPr>
        <w:spacing w:after="0" w:line="240" w:lineRule="auto"/>
        <w:rPr>
          <w:rFonts w:ascii="Garamond" w:hAnsi="Garamond" w:cs="Arial"/>
          <w:szCs w:val="24"/>
        </w:rPr>
      </w:pPr>
    </w:p>
    <w:p w14:paraId="09C9A8D1" w14:textId="77777777" w:rsidR="00983B03" w:rsidRPr="00B768DB" w:rsidRDefault="00983B03" w:rsidP="00983B03">
      <w:pPr>
        <w:spacing w:after="0" w:line="240" w:lineRule="auto"/>
        <w:rPr>
          <w:rFonts w:ascii="Garamond" w:hAnsi="Garamond" w:cs="Arial"/>
          <w:i/>
          <w:szCs w:val="24"/>
        </w:rPr>
      </w:pPr>
      <w:r w:rsidRPr="00B768DB">
        <w:rPr>
          <w:rFonts w:ascii="Garamond" w:hAnsi="Garamond" w:cs="Arial"/>
          <w:i/>
          <w:szCs w:val="24"/>
        </w:rPr>
        <w:t>3.2.3 SAR Imagery</w:t>
      </w:r>
    </w:p>
    <w:p w14:paraId="0BBC91FD" w14:textId="435E46C5" w:rsidR="000745AD" w:rsidRDefault="00983B03" w:rsidP="000745AD">
      <w:pPr>
        <w:spacing w:after="0" w:line="240" w:lineRule="auto"/>
        <w:rPr>
          <w:rFonts w:ascii="Garamond" w:hAnsi="Garamond" w:cs="Arial"/>
          <w:szCs w:val="24"/>
        </w:rPr>
      </w:pPr>
      <w:r w:rsidRPr="00983B03">
        <w:rPr>
          <w:rFonts w:ascii="Garamond" w:hAnsi="Garamond" w:cs="Arial"/>
          <w:szCs w:val="24"/>
        </w:rPr>
        <w:t xml:space="preserve">SAR imagery was accessed and filtered by state bounds, our predetermined date ranges for the growing season, Interferometric Wide instrument mode in GEE, and resampled from 10 m to 30 m resolution. </w:t>
      </w:r>
      <w:r w:rsidR="00F06EA6">
        <w:rPr>
          <w:rFonts w:ascii="Garamond" w:hAnsi="Garamond" w:cs="Arial"/>
          <w:szCs w:val="24"/>
        </w:rPr>
        <w:t>The s</w:t>
      </w:r>
      <w:r w:rsidRPr="00983B03">
        <w:rPr>
          <w:rFonts w:ascii="Garamond" w:hAnsi="Garamond" w:cs="Arial"/>
          <w:szCs w:val="24"/>
        </w:rPr>
        <w:t xml:space="preserve">patial coverage of our image collection is shown in </w:t>
      </w:r>
      <w:r w:rsidR="00F06EA6" w:rsidRPr="00F06EA6">
        <w:rPr>
          <w:rFonts w:ascii="Garamond" w:hAnsi="Garamond" w:cs="Arial"/>
          <w:szCs w:val="24"/>
        </w:rPr>
        <w:t>Appendix A</w:t>
      </w:r>
      <w:r w:rsidRPr="00983B03">
        <w:rPr>
          <w:rFonts w:ascii="Garamond" w:hAnsi="Garamond" w:cs="Arial"/>
          <w:szCs w:val="24"/>
        </w:rPr>
        <w:t>. After this initial extraction, the resulting image collection was processed image-by-image before any analysis was performed. The SAR scenes hosted by GEE undergo processing by the European Space Agency (ESA) Sentinel</w:t>
      </w:r>
      <w:r w:rsidR="00221251">
        <w:rPr>
          <w:rFonts w:ascii="Garamond" w:hAnsi="Garamond" w:cs="Arial"/>
          <w:szCs w:val="24"/>
        </w:rPr>
        <w:t>-</w:t>
      </w:r>
      <w:r w:rsidRPr="00983B03">
        <w:rPr>
          <w:rFonts w:ascii="Garamond" w:hAnsi="Garamond" w:cs="Arial"/>
          <w:szCs w:val="24"/>
        </w:rPr>
        <w:t>1 toolbox that includes terrain correction using a digital elevation model (DEM), the application of an orbit file, noisy border removal, radiometric calibration, and conversion from natural values to decibels (dB) (Google Developers, 2019). For the purposes of this project, we converted dB values back to natural values (Equation 1). Some scenes retained dark borders, which were removed using a threshold value determined through visual inspection. The resulting VV and VH geo-coded backscatter intensity image collection was then reduced to mean composites for the growing seasons of 2017 and 2018.</w:t>
      </w:r>
    </w:p>
    <w:p w14:paraId="0CDBFAC7" w14:textId="79158ED0" w:rsidR="00983B03" w:rsidRDefault="005773E5" w:rsidP="000745AD">
      <w:pPr>
        <w:spacing w:after="0" w:line="240" w:lineRule="auto"/>
        <w:jc w:val="right"/>
        <w:rPr>
          <w:rFonts w:ascii="Garamond" w:hAnsi="Garamond"/>
          <w:color w:val="000000"/>
        </w:rPr>
      </w:pPr>
      <w:r w:rsidRPr="00983B03">
        <w:rPr>
          <w:rFonts w:ascii="Garamond" w:hAnsi="Garamond"/>
          <w:i/>
          <w:color w:val="000000"/>
        </w:rPr>
        <w:lastRenderedPageBreak/>
        <w:t>Natural</w:t>
      </w:r>
      <w:r w:rsidR="00983B03" w:rsidRPr="00983B03">
        <w:rPr>
          <w:rFonts w:ascii="Garamond" w:hAnsi="Garamond"/>
          <w:i/>
          <w:color w:val="000000"/>
        </w:rPr>
        <w:t xml:space="preserve"> values</w:t>
      </w:r>
      <w:r w:rsidR="00F06EA6">
        <w:rPr>
          <w:rFonts w:ascii="Garamond" w:hAnsi="Garamond"/>
          <w:i/>
          <w:color w:val="000000"/>
        </w:rPr>
        <w:t xml:space="preserve"> </w:t>
      </w:r>
      <w:r w:rsidR="00983B03">
        <w:rPr>
          <w:rFonts w:ascii="Garamond" w:hAnsi="Garamond"/>
          <w:color w:val="000000"/>
        </w:rPr>
        <w:t>=</w:t>
      </w:r>
      <m:oMath>
        <m:sSup>
          <m:sSupPr>
            <m:ctrlPr>
              <w:rPr>
                <w:rFonts w:ascii="Cambria Math" w:hAnsi="Cambria Math"/>
                <w:i/>
                <w:color w:val="000000"/>
              </w:rPr>
            </m:ctrlPr>
          </m:sSupPr>
          <m:e>
            <m:r>
              <m:rPr>
                <m:nor/>
              </m:rPr>
              <w:rPr>
                <w:rFonts w:ascii="Garamond" w:hAnsi="Garamond"/>
                <w:color w:val="000000"/>
              </w:rPr>
              <m:t xml:space="preserve"> 10</m:t>
            </m:r>
          </m:e>
          <m:sup>
            <m:f>
              <m:fPr>
                <m:ctrlPr>
                  <w:rPr>
                    <w:rFonts w:ascii="Cambria Math" w:hAnsi="Cambria Math"/>
                    <w:i/>
                    <w:color w:val="000000"/>
                  </w:rPr>
                </m:ctrlPr>
              </m:fPr>
              <m:num>
                <m:r>
                  <m:rPr>
                    <m:nor/>
                  </m:rPr>
                  <w:rPr>
                    <w:rFonts w:ascii="Garamond" w:hAnsi="Garamond"/>
                    <w:color w:val="000000"/>
                  </w:rPr>
                  <m:t>dB</m:t>
                </m:r>
              </m:num>
              <m:den>
                <m:r>
                  <m:rPr>
                    <m:nor/>
                  </m:rPr>
                  <w:rPr>
                    <w:rFonts w:ascii="Garamond" w:hAnsi="Garamond"/>
                    <w:color w:val="000000"/>
                  </w:rPr>
                  <m:t>10</m:t>
                </m:r>
              </m:den>
            </m:f>
          </m:sup>
        </m:sSup>
      </m:oMath>
      <w:r w:rsidR="000745AD">
        <w:rPr>
          <w:rFonts w:ascii="Garamond" w:hAnsi="Garamond"/>
          <w:color w:val="000000"/>
        </w:rPr>
        <w:t xml:space="preserve">        </w:t>
      </w:r>
      <w:r w:rsidR="00F06EA6">
        <w:rPr>
          <w:rFonts w:ascii="Garamond" w:hAnsi="Garamond"/>
          <w:color w:val="000000"/>
        </w:rPr>
        <w:t xml:space="preserve">    </w:t>
      </w:r>
      <w:r w:rsidR="000745AD">
        <w:rPr>
          <w:rFonts w:ascii="Garamond" w:hAnsi="Garamond"/>
          <w:color w:val="000000"/>
        </w:rPr>
        <w:t xml:space="preserve">                                                       </w:t>
      </w:r>
      <w:r w:rsidR="00983B03">
        <w:rPr>
          <w:rFonts w:ascii="Garamond" w:hAnsi="Garamond"/>
          <w:color w:val="000000"/>
        </w:rPr>
        <w:t>(1)</w:t>
      </w:r>
    </w:p>
    <w:p w14:paraId="7B6FE655" w14:textId="77777777" w:rsidR="00282021" w:rsidRDefault="00282021" w:rsidP="000745AD">
      <w:pPr>
        <w:spacing w:after="0" w:line="240" w:lineRule="auto"/>
        <w:jc w:val="right"/>
        <w:rPr>
          <w:rFonts w:ascii="Garamond" w:hAnsi="Garamond"/>
          <w:color w:val="000000"/>
        </w:rPr>
      </w:pPr>
    </w:p>
    <w:p w14:paraId="7A052BB4" w14:textId="77777777" w:rsidR="00282021" w:rsidRPr="00B768DB" w:rsidRDefault="00282021" w:rsidP="00282021">
      <w:pPr>
        <w:spacing w:after="0" w:line="240" w:lineRule="auto"/>
        <w:rPr>
          <w:rFonts w:ascii="Times New Roman" w:eastAsia="Times New Roman" w:hAnsi="Times New Roman" w:cs="Times New Roman"/>
          <w:sz w:val="24"/>
          <w:szCs w:val="24"/>
        </w:rPr>
      </w:pPr>
      <w:r w:rsidRPr="00B768DB">
        <w:rPr>
          <w:rFonts w:ascii="Garamond" w:eastAsia="Times New Roman" w:hAnsi="Garamond" w:cs="Times New Roman"/>
          <w:bCs/>
          <w:i/>
          <w:iCs/>
          <w:color w:val="000000"/>
        </w:rPr>
        <w:t xml:space="preserve">3.2.4 Optical Imagery </w:t>
      </w:r>
    </w:p>
    <w:p w14:paraId="336A94FF" w14:textId="67357B98" w:rsidR="00282021" w:rsidRPr="00282021" w:rsidRDefault="00282021" w:rsidP="00282021">
      <w:pPr>
        <w:spacing w:after="0" w:line="240" w:lineRule="auto"/>
        <w:rPr>
          <w:rFonts w:ascii="Times New Roman" w:eastAsia="Times New Roman" w:hAnsi="Times New Roman" w:cs="Times New Roman"/>
          <w:sz w:val="24"/>
          <w:szCs w:val="24"/>
        </w:rPr>
      </w:pPr>
      <w:r w:rsidRPr="00282021">
        <w:rPr>
          <w:rFonts w:ascii="Garamond" w:eastAsia="Times New Roman" w:hAnsi="Garamond" w:cs="Times New Roman"/>
          <w:color w:val="000000"/>
        </w:rPr>
        <w:t xml:space="preserve">The presence of clouds and snow complicates the classification of wetlands, especially in regions like Minnesota that have year-round cloud cover and dense snow during the winter and spring months. To mitigate these issues, we excluded highly cloudy scenes and masked out the remaining cloudy pixels. Additionally, we created composites for only the growing </w:t>
      </w:r>
      <w:r w:rsidR="00F06EA6">
        <w:rPr>
          <w:rFonts w:ascii="Garamond" w:eastAsia="Times New Roman" w:hAnsi="Garamond" w:cs="Times New Roman"/>
          <w:color w:val="000000"/>
        </w:rPr>
        <w:t xml:space="preserve">season months of 2017 and 2018 </w:t>
      </w:r>
      <w:r w:rsidRPr="00282021">
        <w:rPr>
          <w:rFonts w:ascii="Garamond" w:eastAsia="Times New Roman" w:hAnsi="Garamond" w:cs="Times New Roman"/>
          <w:color w:val="000000"/>
        </w:rPr>
        <w:t>when the area is not frozen. By creating these cloud free composites, we preserved phenological information and simplified the pre-processing of optical imagery (Tang et al., 2016).</w:t>
      </w:r>
    </w:p>
    <w:p w14:paraId="1AE2D72D" w14:textId="77777777" w:rsidR="00282021" w:rsidRPr="00282021" w:rsidRDefault="00282021" w:rsidP="00282021">
      <w:pPr>
        <w:spacing w:after="0" w:line="240" w:lineRule="auto"/>
        <w:rPr>
          <w:rFonts w:ascii="Times New Roman" w:eastAsia="Times New Roman" w:hAnsi="Times New Roman" w:cs="Times New Roman"/>
          <w:sz w:val="24"/>
          <w:szCs w:val="24"/>
        </w:rPr>
      </w:pPr>
    </w:p>
    <w:p w14:paraId="0B659957" w14:textId="744C4585" w:rsidR="00282021" w:rsidRDefault="00282021" w:rsidP="00282021">
      <w:pPr>
        <w:spacing w:after="0" w:line="240" w:lineRule="auto"/>
        <w:rPr>
          <w:rFonts w:ascii="Garamond" w:eastAsia="Times New Roman" w:hAnsi="Garamond" w:cs="Times New Roman"/>
          <w:color w:val="000000"/>
        </w:rPr>
      </w:pPr>
      <w:r w:rsidRPr="00282021">
        <w:rPr>
          <w:rFonts w:ascii="Garamond" w:eastAsia="Times New Roman" w:hAnsi="Garamond" w:cs="Times New Roman"/>
          <w:color w:val="000000"/>
        </w:rPr>
        <w:t xml:space="preserve">We used Landsat 8 Surface Reflectance Tier 1 data in this study to create cloud free composites. The tier 1 Landsat collections hosted on GEE were already </w:t>
      </w:r>
      <w:proofErr w:type="spellStart"/>
      <w:r w:rsidRPr="00282021">
        <w:rPr>
          <w:rFonts w:ascii="Garamond" w:eastAsia="Times New Roman" w:hAnsi="Garamond" w:cs="Times New Roman"/>
          <w:color w:val="000000"/>
        </w:rPr>
        <w:t>radiometrically</w:t>
      </w:r>
      <w:proofErr w:type="spellEnd"/>
      <w:r w:rsidRPr="00282021">
        <w:rPr>
          <w:rFonts w:ascii="Garamond" w:eastAsia="Times New Roman" w:hAnsi="Garamond" w:cs="Times New Roman"/>
          <w:color w:val="000000"/>
        </w:rPr>
        <w:t xml:space="preserve"> and geometrically corrected</w:t>
      </w:r>
      <w:r w:rsidR="00F06EA6">
        <w:rPr>
          <w:rFonts w:ascii="Garamond" w:eastAsia="Times New Roman" w:hAnsi="Garamond" w:cs="Times New Roman"/>
          <w:color w:val="000000"/>
        </w:rPr>
        <w:t>,</w:t>
      </w:r>
      <w:r w:rsidRPr="00282021">
        <w:rPr>
          <w:rFonts w:ascii="Garamond" w:eastAsia="Times New Roman" w:hAnsi="Garamond" w:cs="Times New Roman"/>
          <w:color w:val="000000"/>
        </w:rPr>
        <w:t xml:space="preserve"> so we took no further calibratio</w:t>
      </w:r>
      <w:r>
        <w:rPr>
          <w:rFonts w:ascii="Garamond" w:eastAsia="Times New Roman" w:hAnsi="Garamond" w:cs="Times New Roman"/>
          <w:color w:val="000000"/>
        </w:rPr>
        <w:t xml:space="preserve">n steps. In total, 183 and 193 </w:t>
      </w:r>
      <w:r w:rsidRPr="00282021">
        <w:rPr>
          <w:rFonts w:ascii="Garamond" w:eastAsia="Times New Roman" w:hAnsi="Garamond" w:cs="Times New Roman"/>
          <w:color w:val="000000"/>
        </w:rPr>
        <w:t>images at 30 m resolution were available for 2017 and 2018, respectively (</w:t>
      </w:r>
      <w:r w:rsidR="00F06EA6">
        <w:rPr>
          <w:rFonts w:ascii="Garamond" w:eastAsia="Times New Roman" w:hAnsi="Garamond" w:cs="Times New Roman"/>
          <w:iCs/>
          <w:color w:val="000000"/>
        </w:rPr>
        <w:t>Appendix A</w:t>
      </w:r>
      <w:r w:rsidRPr="00282021">
        <w:rPr>
          <w:rFonts w:ascii="Garamond" w:eastAsia="Times New Roman" w:hAnsi="Garamond" w:cs="Times New Roman"/>
          <w:color w:val="000000"/>
        </w:rPr>
        <w:t>). Initially, we filtered the collections by the state boundary of Minnesota and by the growing season d</w:t>
      </w:r>
      <w:r w:rsidR="002D7D54">
        <w:rPr>
          <w:rFonts w:ascii="Garamond" w:eastAsia="Times New Roman" w:hAnsi="Garamond" w:cs="Times New Roman"/>
          <w:color w:val="000000"/>
        </w:rPr>
        <w:t>ate ranges</w:t>
      </w:r>
      <w:r w:rsidRPr="00282021">
        <w:rPr>
          <w:rFonts w:ascii="Garamond" w:eastAsia="Times New Roman" w:hAnsi="Garamond" w:cs="Times New Roman"/>
          <w:color w:val="000000"/>
        </w:rPr>
        <w:t>. To address the frequent cloud cover present in these time periods, we used bits 3 and 5 from the pixel Quality Assessment (QA) band of the Landsat 8 data to mask out cloud shadows and clouds. Specifically, by setting both flags to zero, we filtered the images to only display clear condition</w:t>
      </w:r>
      <w:r w:rsidRPr="00282021">
        <w:rPr>
          <w:rFonts w:ascii="Garamond" w:eastAsia="Times New Roman" w:hAnsi="Garamond" w:cs="Times New Roman"/>
          <w:color w:val="222222"/>
        </w:rPr>
        <w:t>s. We composited the resulting collections by year using a mean reducer and calculated both the Modified Normalized Difference Water Index (MNDWI</w:t>
      </w:r>
      <w:r w:rsidR="00840E79">
        <w:rPr>
          <w:rFonts w:ascii="Garamond" w:eastAsia="Times New Roman" w:hAnsi="Garamond" w:cs="Times New Roman"/>
          <w:color w:val="222222"/>
        </w:rPr>
        <w:t>)</w:t>
      </w:r>
      <w:r w:rsidRPr="00282021">
        <w:rPr>
          <w:rFonts w:ascii="Garamond" w:eastAsia="Times New Roman" w:hAnsi="Garamond" w:cs="Times New Roman"/>
          <w:color w:val="222222"/>
        </w:rPr>
        <w:t xml:space="preserve"> and the Tasseled Cap Wetness Greenness Difference Index (TCWG</w:t>
      </w:r>
      <w:r w:rsidR="00840E79">
        <w:rPr>
          <w:rFonts w:ascii="Garamond" w:eastAsia="Times New Roman" w:hAnsi="Garamond" w:cs="Times New Roman"/>
          <w:color w:val="222222"/>
        </w:rPr>
        <w:t>D</w:t>
      </w:r>
      <w:r w:rsidRPr="00282021">
        <w:rPr>
          <w:rFonts w:ascii="Garamond" w:eastAsia="Times New Roman" w:hAnsi="Garamond" w:cs="Times New Roman"/>
          <w:color w:val="222222"/>
        </w:rPr>
        <w:t>) for each yearly composite. We used the Tasseled Cap Transformation (TCT) coefficients specifically for the Landsat 8 OLI sensor.</w:t>
      </w:r>
      <w:r w:rsidRPr="00282021">
        <w:rPr>
          <w:rFonts w:ascii="Garamond" w:eastAsia="Times New Roman" w:hAnsi="Garamond" w:cs="Times New Roman"/>
          <w:color w:val="000000"/>
        </w:rPr>
        <w:t xml:space="preserve"> MNDWI (Equation 2) and TCWGD (</w:t>
      </w:r>
      <w:r w:rsidR="002D7D54">
        <w:rPr>
          <w:rFonts w:ascii="Garamond" w:eastAsia="Times New Roman" w:hAnsi="Garamond" w:cs="Times New Roman"/>
          <w:color w:val="000000"/>
        </w:rPr>
        <w:t>Table 2</w:t>
      </w:r>
      <w:r w:rsidR="00672A0D">
        <w:rPr>
          <w:rFonts w:ascii="Garamond" w:eastAsia="Times New Roman" w:hAnsi="Garamond" w:cs="Times New Roman"/>
          <w:color w:val="000000"/>
        </w:rPr>
        <w:t xml:space="preserve">) are two widely </w:t>
      </w:r>
      <w:r w:rsidRPr="00282021">
        <w:rPr>
          <w:rFonts w:ascii="Garamond" w:eastAsia="Times New Roman" w:hAnsi="Garamond" w:cs="Times New Roman"/>
          <w:color w:val="000000"/>
        </w:rPr>
        <w:t>used indices for wetland classification that aid in discriminating vegetation, wetlands, and water from other landscape features (Gao, 1996; Rouse Jr., Haas, Schell, Deering, &amp; Harlan, 1974). The red (band 4), Near</w:t>
      </w:r>
      <w:r w:rsidR="00840E79">
        <w:rPr>
          <w:rFonts w:ascii="Garamond" w:eastAsia="Times New Roman" w:hAnsi="Garamond" w:cs="Times New Roman"/>
          <w:color w:val="000000"/>
        </w:rPr>
        <w:t>-</w:t>
      </w:r>
      <w:r w:rsidRPr="00282021">
        <w:rPr>
          <w:rFonts w:ascii="Garamond" w:eastAsia="Times New Roman" w:hAnsi="Garamond" w:cs="Times New Roman"/>
          <w:color w:val="000000"/>
        </w:rPr>
        <w:t xml:space="preserve">Infrared (NIR band 5), green (band 3), and </w:t>
      </w:r>
      <w:r w:rsidR="00840E79" w:rsidRPr="00282021">
        <w:rPr>
          <w:rFonts w:ascii="Garamond" w:eastAsia="Times New Roman" w:hAnsi="Garamond" w:cs="Times New Roman"/>
          <w:color w:val="000000"/>
        </w:rPr>
        <w:t>Short-Wave</w:t>
      </w:r>
      <w:r w:rsidRPr="00282021">
        <w:rPr>
          <w:rFonts w:ascii="Garamond" w:eastAsia="Times New Roman" w:hAnsi="Garamond" w:cs="Times New Roman"/>
          <w:color w:val="000000"/>
        </w:rPr>
        <w:t xml:space="preserve"> Infrared (SWIR band 6) bands from all image dates were used to compute these optical indices.</w:t>
      </w:r>
    </w:p>
    <w:p w14:paraId="3EE994AE" w14:textId="77777777" w:rsidR="00E544FC" w:rsidRDefault="00E544FC" w:rsidP="00282021">
      <w:pPr>
        <w:spacing w:after="0" w:line="240" w:lineRule="auto"/>
        <w:rPr>
          <w:rFonts w:ascii="Garamond" w:eastAsia="Times New Roman" w:hAnsi="Garamond" w:cs="Times New Roman"/>
          <w:color w:val="000000"/>
        </w:rPr>
      </w:pPr>
    </w:p>
    <w:p w14:paraId="450376EB" w14:textId="4C92271B" w:rsidR="007E304E" w:rsidRPr="007E304E" w:rsidRDefault="007E304E" w:rsidP="007E304E">
      <w:pPr>
        <w:pStyle w:val="NormalWeb"/>
        <w:spacing w:before="0" w:beforeAutospacing="0" w:after="200" w:afterAutospacing="0"/>
        <w:jc w:val="right"/>
        <w:rPr>
          <w:rFonts w:ascii="Cambria Math" w:hAnsi="Cambria Math"/>
          <w:color w:val="000000"/>
          <w:sz w:val="22"/>
          <w:szCs w:val="22"/>
        </w:rPr>
      </w:pPr>
      <w:r w:rsidRPr="00672A0D">
        <w:rPr>
          <w:rFonts w:ascii="Garamond" w:hAnsi="Garamond"/>
          <w:iCs/>
          <w:color w:val="000000"/>
          <w:sz w:val="22"/>
          <w:szCs w:val="22"/>
        </w:rPr>
        <w:t>MNDWI</w:t>
      </w:r>
      <w:r w:rsidRPr="00672A0D">
        <w:rPr>
          <w:rFonts w:ascii="Garamond" w:hAnsi="Garamond"/>
          <w:i/>
          <w:iCs/>
          <w:color w:val="000000"/>
          <w:sz w:val="22"/>
          <w:szCs w:val="22"/>
        </w:rPr>
        <w:t xml:space="preserve"> </w:t>
      </w:r>
      <w:r w:rsidRPr="00672A0D">
        <w:rPr>
          <w:rFonts w:ascii="Garamond" w:hAnsi="Garamond"/>
          <w:color w:val="000000"/>
          <w:sz w:val="22"/>
          <w:szCs w:val="22"/>
        </w:rPr>
        <w:t>=</w:t>
      </w:r>
      <m:oMath>
        <m:r>
          <w:rPr>
            <w:rFonts w:ascii="Cambria Math" w:hAnsi="Cambria Math"/>
            <w:color w:val="000000"/>
            <w:sz w:val="22"/>
            <w:szCs w:val="22"/>
          </w:rPr>
          <m:t xml:space="preserve"> </m:t>
        </m:r>
        <m:f>
          <m:fPr>
            <m:ctrlPr>
              <w:rPr>
                <w:rFonts w:ascii="Cambria Math" w:hAnsi="Cambria Math"/>
                <w:i/>
                <w:color w:val="000000"/>
                <w:sz w:val="22"/>
                <w:szCs w:val="22"/>
              </w:rPr>
            </m:ctrlPr>
          </m:fPr>
          <m:num>
            <m:r>
              <m:rPr>
                <m:nor/>
              </m:rPr>
              <w:rPr>
                <w:rFonts w:ascii="Garamond" w:hAnsi="Garamond"/>
                <w:color w:val="000000"/>
                <w:sz w:val="22"/>
                <w:szCs w:val="22"/>
              </w:rPr>
              <m:t>Green - NIR</m:t>
            </m:r>
          </m:num>
          <m:den>
            <m:r>
              <m:rPr>
                <m:nor/>
              </m:rPr>
              <w:rPr>
                <w:rFonts w:ascii="Garamond" w:hAnsi="Garamond"/>
                <w:color w:val="000000"/>
                <w:sz w:val="22"/>
                <w:szCs w:val="22"/>
              </w:rPr>
              <m:t>Green</m:t>
            </m:r>
            <m:r>
              <m:rPr>
                <m:nor/>
              </m:rPr>
              <w:rPr>
                <w:rFonts w:ascii="Cambria Math" w:hAnsi="Garamond"/>
                <w:color w:val="000000"/>
                <w:sz w:val="22"/>
                <w:szCs w:val="22"/>
              </w:rPr>
              <m:t xml:space="preserve"> </m:t>
            </m:r>
            <m:r>
              <m:rPr>
                <m:nor/>
              </m:rPr>
              <w:rPr>
                <w:rFonts w:ascii="Garamond" w:hAnsi="Garamond"/>
                <w:color w:val="000000"/>
                <w:sz w:val="22"/>
                <w:szCs w:val="22"/>
              </w:rPr>
              <m:t>+</m:t>
            </m:r>
            <m:r>
              <m:rPr>
                <m:nor/>
              </m:rPr>
              <w:rPr>
                <w:rFonts w:ascii="Cambria Math" w:hAnsi="Garamond"/>
                <w:color w:val="000000"/>
                <w:sz w:val="22"/>
                <w:szCs w:val="22"/>
              </w:rPr>
              <m:t xml:space="preserve"> </m:t>
            </m:r>
            <m:r>
              <m:rPr>
                <m:nor/>
              </m:rPr>
              <w:rPr>
                <w:rFonts w:ascii="Garamond" w:hAnsi="Garamond"/>
                <w:color w:val="000000"/>
                <w:sz w:val="22"/>
                <w:szCs w:val="22"/>
              </w:rPr>
              <m:t>NIR</m:t>
            </m:r>
          </m:den>
        </m:f>
      </m:oMath>
      <w:r>
        <w:rPr>
          <w:rStyle w:val="apple-tab-span"/>
          <w:rFonts w:ascii="Arial" w:hAnsi="Arial" w:cs="Arial"/>
          <w:color w:val="000000"/>
          <w:sz w:val="22"/>
          <w:szCs w:val="22"/>
        </w:rPr>
        <w:tab/>
      </w:r>
      <w:r>
        <w:rPr>
          <w:rFonts w:ascii="Arial" w:hAnsi="Arial" w:cs="Arial"/>
          <w:color w:val="000000"/>
          <w:sz w:val="22"/>
          <w:szCs w:val="22"/>
        </w:rPr>
        <w:t xml:space="preserve">   </w:t>
      </w:r>
      <w:r>
        <w:rPr>
          <w:rStyle w:val="apple-tab-span"/>
          <w:rFonts w:ascii="Arial" w:hAnsi="Arial" w:cs="Arial"/>
          <w:color w:val="000000"/>
          <w:sz w:val="22"/>
          <w:szCs w:val="22"/>
        </w:rPr>
        <w:tab/>
        <w:t xml:space="preserve">                                       </w:t>
      </w:r>
      <w:r>
        <w:rPr>
          <w:rFonts w:ascii="Garamond" w:hAnsi="Garamond"/>
          <w:color w:val="000000"/>
          <w:sz w:val="22"/>
          <w:szCs w:val="22"/>
        </w:rPr>
        <w:t>(2)</w:t>
      </w:r>
    </w:p>
    <w:p w14:paraId="218AA7E4" w14:textId="77777777" w:rsidR="007E304E" w:rsidRPr="007E304E" w:rsidRDefault="007E304E" w:rsidP="007E304E">
      <w:pPr>
        <w:spacing w:after="0" w:line="240" w:lineRule="auto"/>
        <w:rPr>
          <w:rFonts w:ascii="Times New Roman" w:eastAsia="Times New Roman" w:hAnsi="Times New Roman" w:cs="Times New Roman"/>
          <w:sz w:val="24"/>
          <w:szCs w:val="24"/>
        </w:rPr>
      </w:pPr>
    </w:p>
    <w:tbl>
      <w:tblPr>
        <w:tblW w:w="8909" w:type="dxa"/>
        <w:jc w:val="center"/>
        <w:tblCellMar>
          <w:top w:w="15" w:type="dxa"/>
          <w:left w:w="15" w:type="dxa"/>
          <w:bottom w:w="15" w:type="dxa"/>
          <w:right w:w="15" w:type="dxa"/>
        </w:tblCellMar>
        <w:tblLook w:val="04A0" w:firstRow="1" w:lastRow="0" w:firstColumn="1" w:lastColumn="0" w:noHBand="0" w:noVBand="1"/>
      </w:tblPr>
      <w:tblGrid>
        <w:gridCol w:w="1659"/>
        <w:gridCol w:w="1150"/>
        <w:gridCol w:w="1150"/>
        <w:gridCol w:w="1254"/>
        <w:gridCol w:w="1150"/>
        <w:gridCol w:w="1261"/>
        <w:gridCol w:w="1285"/>
      </w:tblGrid>
      <w:tr w:rsidR="007E304E" w:rsidRPr="007E304E" w14:paraId="27173489" w14:textId="77777777" w:rsidTr="0082491E">
        <w:trPr>
          <w:trHeight w:val="442"/>
          <w:jc w:val="center"/>
        </w:trPr>
        <w:tc>
          <w:tcPr>
            <w:tcW w:w="0" w:type="auto"/>
            <w:gridSpan w:val="7"/>
            <w:tcBorders>
              <w:bottom w:val="single" w:sz="6" w:space="0" w:color="000000"/>
            </w:tcBorders>
            <w:tcMar>
              <w:top w:w="100" w:type="dxa"/>
              <w:left w:w="100" w:type="dxa"/>
              <w:bottom w:w="100" w:type="dxa"/>
              <w:right w:w="100" w:type="dxa"/>
            </w:tcMar>
            <w:hideMark/>
          </w:tcPr>
          <w:p w14:paraId="5F579FA2" w14:textId="7ADC7D18" w:rsidR="007E304E" w:rsidRPr="007E304E" w:rsidRDefault="002D7D54" w:rsidP="0082491E">
            <w:pPr>
              <w:spacing w:after="0" w:line="240" w:lineRule="auto"/>
              <w:rPr>
                <w:rFonts w:ascii="Times New Roman" w:eastAsia="Times New Roman" w:hAnsi="Times New Roman" w:cs="Times New Roman"/>
                <w:sz w:val="24"/>
                <w:szCs w:val="24"/>
              </w:rPr>
            </w:pPr>
            <w:r w:rsidRPr="007B1581">
              <w:rPr>
                <w:rFonts w:ascii="Garamond" w:eastAsia="Times New Roman" w:hAnsi="Garamond" w:cs="Times New Roman"/>
                <w:color w:val="000000"/>
              </w:rPr>
              <w:t>Table 2</w:t>
            </w:r>
          </w:p>
          <w:p w14:paraId="3F93E078" w14:textId="77777777" w:rsidR="007E304E" w:rsidRPr="007E304E" w:rsidRDefault="007E304E" w:rsidP="0082491E">
            <w:pPr>
              <w:spacing w:after="0" w:line="240" w:lineRule="auto"/>
              <w:rPr>
                <w:rFonts w:ascii="Times New Roman" w:eastAsia="Times New Roman" w:hAnsi="Times New Roman" w:cs="Times New Roman"/>
                <w:sz w:val="24"/>
                <w:szCs w:val="24"/>
              </w:rPr>
            </w:pPr>
            <w:r w:rsidRPr="007E304E">
              <w:rPr>
                <w:rFonts w:ascii="Garamond" w:eastAsia="Times New Roman" w:hAnsi="Garamond" w:cs="Times New Roman"/>
                <w:i/>
                <w:iCs/>
                <w:color w:val="000000"/>
              </w:rPr>
              <w:t>Tasseled cap transformation coefficients</w:t>
            </w:r>
          </w:p>
        </w:tc>
      </w:tr>
      <w:tr w:rsidR="007E304E" w:rsidRPr="007E304E" w14:paraId="78F541A8" w14:textId="77777777" w:rsidTr="0082491E">
        <w:trPr>
          <w:trHeight w:val="378"/>
          <w:jc w:val="center"/>
        </w:trPr>
        <w:tc>
          <w:tcPr>
            <w:tcW w:w="0" w:type="auto"/>
            <w:tcBorders>
              <w:top w:val="single" w:sz="6" w:space="0" w:color="000000"/>
              <w:bottom w:val="single" w:sz="12" w:space="0" w:color="000000"/>
            </w:tcBorders>
            <w:tcMar>
              <w:top w:w="100" w:type="dxa"/>
              <w:left w:w="100" w:type="dxa"/>
              <w:bottom w:w="100" w:type="dxa"/>
              <w:right w:w="100" w:type="dxa"/>
            </w:tcMar>
            <w:hideMark/>
          </w:tcPr>
          <w:p w14:paraId="4047368C"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Index</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07047D58"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Blue</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52493C56"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Green</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5E9C7EE4"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Red</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34BCCDE4"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NIR</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4A336E3B"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SWIR1</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3218B56F"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SWIR2</w:t>
            </w:r>
          </w:p>
        </w:tc>
      </w:tr>
      <w:tr w:rsidR="007E304E" w:rsidRPr="007E304E" w14:paraId="4069EB54" w14:textId="77777777" w:rsidTr="0082491E">
        <w:trPr>
          <w:trHeight w:val="221"/>
          <w:jc w:val="center"/>
        </w:trPr>
        <w:tc>
          <w:tcPr>
            <w:tcW w:w="0" w:type="auto"/>
            <w:tcBorders>
              <w:top w:val="single" w:sz="12" w:space="0" w:color="000000"/>
            </w:tcBorders>
            <w:tcMar>
              <w:top w:w="100" w:type="dxa"/>
              <w:left w:w="100" w:type="dxa"/>
              <w:bottom w:w="100" w:type="dxa"/>
              <w:right w:w="100" w:type="dxa"/>
            </w:tcMar>
            <w:hideMark/>
          </w:tcPr>
          <w:p w14:paraId="73E4BE2B"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Greenness</w:t>
            </w:r>
          </w:p>
        </w:tc>
        <w:tc>
          <w:tcPr>
            <w:tcW w:w="0" w:type="auto"/>
            <w:tcBorders>
              <w:top w:val="single" w:sz="12" w:space="0" w:color="000000"/>
            </w:tcBorders>
            <w:tcMar>
              <w:top w:w="100" w:type="dxa"/>
              <w:left w:w="100" w:type="dxa"/>
              <w:bottom w:w="100" w:type="dxa"/>
              <w:right w:w="100" w:type="dxa"/>
            </w:tcMar>
            <w:hideMark/>
          </w:tcPr>
          <w:p w14:paraId="29606671"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-0.294</w:t>
            </w:r>
          </w:p>
        </w:tc>
        <w:tc>
          <w:tcPr>
            <w:tcW w:w="0" w:type="auto"/>
            <w:tcBorders>
              <w:top w:val="single" w:sz="12" w:space="0" w:color="000000"/>
            </w:tcBorders>
            <w:tcMar>
              <w:top w:w="100" w:type="dxa"/>
              <w:left w:w="100" w:type="dxa"/>
              <w:bottom w:w="100" w:type="dxa"/>
              <w:right w:w="100" w:type="dxa"/>
            </w:tcMar>
            <w:hideMark/>
          </w:tcPr>
          <w:p w14:paraId="7246C966"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-0.243</w:t>
            </w:r>
          </w:p>
        </w:tc>
        <w:tc>
          <w:tcPr>
            <w:tcW w:w="0" w:type="auto"/>
            <w:tcBorders>
              <w:top w:val="single" w:sz="12" w:space="0" w:color="000000"/>
            </w:tcBorders>
            <w:tcMar>
              <w:top w:w="100" w:type="dxa"/>
              <w:left w:w="100" w:type="dxa"/>
              <w:bottom w:w="100" w:type="dxa"/>
              <w:right w:w="100" w:type="dxa"/>
            </w:tcMar>
            <w:hideMark/>
          </w:tcPr>
          <w:p w14:paraId="20A951C8"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-0.5424</w:t>
            </w:r>
          </w:p>
        </w:tc>
        <w:tc>
          <w:tcPr>
            <w:tcW w:w="0" w:type="auto"/>
            <w:tcBorders>
              <w:top w:val="single" w:sz="12" w:space="0" w:color="000000"/>
            </w:tcBorders>
            <w:tcMar>
              <w:top w:w="100" w:type="dxa"/>
              <w:left w:w="100" w:type="dxa"/>
              <w:bottom w:w="100" w:type="dxa"/>
              <w:right w:w="100" w:type="dxa"/>
            </w:tcMar>
            <w:hideMark/>
          </w:tcPr>
          <w:p w14:paraId="1AB325B9"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0.7276</w:t>
            </w:r>
          </w:p>
        </w:tc>
        <w:tc>
          <w:tcPr>
            <w:tcW w:w="0" w:type="auto"/>
            <w:tcBorders>
              <w:top w:val="single" w:sz="12" w:space="0" w:color="000000"/>
            </w:tcBorders>
            <w:tcMar>
              <w:top w:w="100" w:type="dxa"/>
              <w:left w:w="100" w:type="dxa"/>
              <w:bottom w:w="100" w:type="dxa"/>
              <w:right w:w="100" w:type="dxa"/>
            </w:tcMar>
            <w:hideMark/>
          </w:tcPr>
          <w:p w14:paraId="65BAE94B"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0.0713</w:t>
            </w:r>
          </w:p>
        </w:tc>
        <w:tc>
          <w:tcPr>
            <w:tcW w:w="0" w:type="auto"/>
            <w:tcBorders>
              <w:top w:val="single" w:sz="12" w:space="0" w:color="000000"/>
            </w:tcBorders>
            <w:tcMar>
              <w:top w:w="100" w:type="dxa"/>
              <w:left w:w="100" w:type="dxa"/>
              <w:bottom w:w="100" w:type="dxa"/>
              <w:right w:w="100" w:type="dxa"/>
            </w:tcMar>
            <w:hideMark/>
          </w:tcPr>
          <w:p w14:paraId="4E94E033"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-0.1608</w:t>
            </w:r>
          </w:p>
        </w:tc>
      </w:tr>
      <w:tr w:rsidR="007E304E" w:rsidRPr="007E304E" w14:paraId="6BB43890" w14:textId="77777777" w:rsidTr="0082491E">
        <w:trPr>
          <w:trHeight w:val="26"/>
          <w:jc w:val="center"/>
        </w:trPr>
        <w:tc>
          <w:tcPr>
            <w:tcW w:w="0" w:type="auto"/>
            <w:tcMar>
              <w:top w:w="100" w:type="dxa"/>
              <w:left w:w="100" w:type="dxa"/>
              <w:bottom w:w="100" w:type="dxa"/>
              <w:right w:w="100" w:type="dxa"/>
            </w:tcMar>
            <w:hideMark/>
          </w:tcPr>
          <w:p w14:paraId="3A75D773"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Wetness</w:t>
            </w:r>
          </w:p>
        </w:tc>
        <w:tc>
          <w:tcPr>
            <w:tcW w:w="0" w:type="auto"/>
            <w:tcMar>
              <w:top w:w="100" w:type="dxa"/>
              <w:left w:w="100" w:type="dxa"/>
              <w:bottom w:w="100" w:type="dxa"/>
              <w:right w:w="100" w:type="dxa"/>
            </w:tcMar>
            <w:hideMark/>
          </w:tcPr>
          <w:p w14:paraId="55D719C3"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0.1511</w:t>
            </w:r>
          </w:p>
        </w:tc>
        <w:tc>
          <w:tcPr>
            <w:tcW w:w="0" w:type="auto"/>
            <w:tcMar>
              <w:top w:w="100" w:type="dxa"/>
              <w:left w:w="100" w:type="dxa"/>
              <w:bottom w:w="100" w:type="dxa"/>
              <w:right w:w="100" w:type="dxa"/>
            </w:tcMar>
            <w:hideMark/>
          </w:tcPr>
          <w:p w14:paraId="38043684"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0.1973</w:t>
            </w:r>
          </w:p>
        </w:tc>
        <w:tc>
          <w:tcPr>
            <w:tcW w:w="0" w:type="auto"/>
            <w:tcMar>
              <w:top w:w="100" w:type="dxa"/>
              <w:left w:w="100" w:type="dxa"/>
              <w:bottom w:w="100" w:type="dxa"/>
              <w:right w:w="100" w:type="dxa"/>
            </w:tcMar>
            <w:hideMark/>
          </w:tcPr>
          <w:p w14:paraId="14AC3647"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0.3283</w:t>
            </w:r>
          </w:p>
        </w:tc>
        <w:tc>
          <w:tcPr>
            <w:tcW w:w="0" w:type="auto"/>
            <w:tcMar>
              <w:top w:w="100" w:type="dxa"/>
              <w:left w:w="100" w:type="dxa"/>
              <w:bottom w:w="100" w:type="dxa"/>
              <w:right w:w="100" w:type="dxa"/>
            </w:tcMar>
            <w:hideMark/>
          </w:tcPr>
          <w:p w14:paraId="2DAB10D8"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0.3407</w:t>
            </w:r>
          </w:p>
        </w:tc>
        <w:tc>
          <w:tcPr>
            <w:tcW w:w="0" w:type="auto"/>
            <w:tcMar>
              <w:top w:w="100" w:type="dxa"/>
              <w:left w:w="100" w:type="dxa"/>
              <w:bottom w:w="100" w:type="dxa"/>
              <w:right w:w="100" w:type="dxa"/>
            </w:tcMar>
            <w:hideMark/>
          </w:tcPr>
          <w:p w14:paraId="16B1FA26"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-0.7117</w:t>
            </w:r>
          </w:p>
        </w:tc>
        <w:tc>
          <w:tcPr>
            <w:tcW w:w="0" w:type="auto"/>
            <w:tcMar>
              <w:top w:w="100" w:type="dxa"/>
              <w:left w:w="100" w:type="dxa"/>
              <w:bottom w:w="100" w:type="dxa"/>
              <w:right w:w="100" w:type="dxa"/>
            </w:tcMar>
            <w:hideMark/>
          </w:tcPr>
          <w:p w14:paraId="44D648D0" w14:textId="77777777" w:rsidR="007E304E" w:rsidRPr="003949EB" w:rsidRDefault="007E304E" w:rsidP="00281532">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-0.4599</w:t>
            </w:r>
          </w:p>
        </w:tc>
      </w:tr>
      <w:tr w:rsidR="009552AE" w:rsidRPr="007E304E" w14:paraId="29306907" w14:textId="77777777" w:rsidTr="0082491E">
        <w:trPr>
          <w:trHeight w:val="236"/>
          <w:jc w:val="center"/>
        </w:trPr>
        <w:tc>
          <w:tcPr>
            <w:tcW w:w="0" w:type="auto"/>
            <w:tcMar>
              <w:top w:w="100" w:type="dxa"/>
              <w:left w:w="100" w:type="dxa"/>
              <w:bottom w:w="100" w:type="dxa"/>
              <w:right w:w="100" w:type="dxa"/>
            </w:tcMar>
          </w:tcPr>
          <w:p w14:paraId="7AC510EE"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752765E8"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037D6168"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7C0E8A73"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54E25C68"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0AFFDABA"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c>
          <w:tcPr>
            <w:tcW w:w="0" w:type="auto"/>
            <w:tcMar>
              <w:top w:w="100" w:type="dxa"/>
              <w:left w:w="100" w:type="dxa"/>
              <w:bottom w:w="100" w:type="dxa"/>
              <w:right w:w="100" w:type="dxa"/>
            </w:tcMar>
          </w:tcPr>
          <w:p w14:paraId="1476B5FD" w14:textId="77777777" w:rsidR="009552AE" w:rsidRPr="007E304E" w:rsidRDefault="009552AE" w:rsidP="00281532">
            <w:pPr>
              <w:spacing w:after="0" w:line="240" w:lineRule="auto"/>
              <w:jc w:val="center"/>
              <w:rPr>
                <w:rFonts w:ascii="Garamond" w:eastAsia="Times New Roman" w:hAnsi="Garamond" w:cs="Times New Roman"/>
                <w:color w:val="000000"/>
                <w:sz w:val="20"/>
                <w:szCs w:val="20"/>
              </w:rPr>
            </w:pPr>
          </w:p>
        </w:tc>
      </w:tr>
    </w:tbl>
    <w:p w14:paraId="30104122" w14:textId="77777777" w:rsidR="009552AE" w:rsidRPr="00B768DB" w:rsidRDefault="009552AE" w:rsidP="009552AE">
      <w:pPr>
        <w:spacing w:after="0" w:line="240" w:lineRule="auto"/>
        <w:rPr>
          <w:rFonts w:ascii="Garamond" w:hAnsi="Garamond" w:cs="Arial"/>
          <w:i/>
          <w:szCs w:val="24"/>
        </w:rPr>
      </w:pPr>
      <w:r w:rsidRPr="00B768DB">
        <w:rPr>
          <w:rFonts w:ascii="Garamond" w:hAnsi="Garamond" w:cs="Arial"/>
          <w:i/>
          <w:szCs w:val="24"/>
        </w:rPr>
        <w:t>3.2.5 Ancillary Data</w:t>
      </w:r>
    </w:p>
    <w:p w14:paraId="7A9F7350" w14:textId="24767102" w:rsidR="009552AE" w:rsidRPr="009552AE" w:rsidRDefault="009552AE" w:rsidP="009552AE">
      <w:pPr>
        <w:spacing w:after="0" w:line="240" w:lineRule="auto"/>
        <w:rPr>
          <w:rFonts w:ascii="Garamond" w:hAnsi="Garamond" w:cs="Arial"/>
          <w:szCs w:val="24"/>
        </w:rPr>
      </w:pPr>
      <w:r w:rsidRPr="009552AE">
        <w:rPr>
          <w:rFonts w:ascii="Garamond" w:hAnsi="Garamond" w:cs="Arial"/>
          <w:szCs w:val="24"/>
        </w:rPr>
        <w:t>Digital elevation models (DEMs) derived from lidar data were used to determine various topographic metrics, including slope, contributing area, and Topographic Wetness Index (TWI). Topography not only affects wetland hydrology, one of the defining variables in delineation, but also wetland type and position. Several studies have noted increased classification accuracy of wetland location and inundation periodicity when topographic input data are included, especially in difficult to map regions (</w:t>
      </w:r>
      <w:proofErr w:type="spellStart"/>
      <w:r w:rsidRPr="009552AE">
        <w:rPr>
          <w:rFonts w:ascii="Garamond" w:hAnsi="Garamond" w:cs="Arial"/>
          <w:szCs w:val="24"/>
        </w:rPr>
        <w:t>Cocoran</w:t>
      </w:r>
      <w:proofErr w:type="spellEnd"/>
      <w:r w:rsidRPr="009552AE">
        <w:rPr>
          <w:rFonts w:ascii="Garamond" w:hAnsi="Garamond" w:cs="Arial"/>
          <w:szCs w:val="24"/>
        </w:rPr>
        <w:t xml:space="preserve"> et al., 2013; Lang, McCarty, </w:t>
      </w:r>
      <w:proofErr w:type="spellStart"/>
      <w:r w:rsidRPr="009552AE">
        <w:rPr>
          <w:rFonts w:ascii="Garamond" w:hAnsi="Garamond" w:cs="Arial"/>
          <w:szCs w:val="24"/>
        </w:rPr>
        <w:t>Oesterling</w:t>
      </w:r>
      <w:proofErr w:type="spellEnd"/>
      <w:r w:rsidRPr="009552AE">
        <w:rPr>
          <w:rFonts w:ascii="Garamond" w:hAnsi="Garamond" w:cs="Arial"/>
          <w:szCs w:val="24"/>
        </w:rPr>
        <w:t xml:space="preserve">, &amp; Yeo, 2013). Slope and contributing area were the primary topographic metrics we derived using the flow accumulation function </w:t>
      </w:r>
      <w:r w:rsidR="00672A0D">
        <w:rPr>
          <w:rFonts w:ascii="Garamond" w:hAnsi="Garamond" w:cs="Arial"/>
          <w:szCs w:val="24"/>
        </w:rPr>
        <w:t>in ESRI</w:t>
      </w:r>
      <w:r w:rsidRPr="009552AE">
        <w:rPr>
          <w:rFonts w:ascii="Garamond" w:hAnsi="Garamond" w:cs="Arial"/>
          <w:szCs w:val="24"/>
        </w:rPr>
        <w:t xml:space="preserve"> ArcGIS. The TWI is the second derivative of slope and contributing area that is traditionally used to map vegetation and characterize soils. However, TWI has also been used to suc</w:t>
      </w:r>
      <w:r w:rsidR="00672A0D">
        <w:rPr>
          <w:rFonts w:ascii="Garamond" w:hAnsi="Garamond" w:cs="Arial"/>
          <w:szCs w:val="24"/>
        </w:rPr>
        <w:t>cessfully map wetlands (</w:t>
      </w:r>
      <w:proofErr w:type="spellStart"/>
      <w:r w:rsidR="00672A0D">
        <w:rPr>
          <w:rFonts w:ascii="Garamond" w:hAnsi="Garamond" w:cs="Arial"/>
          <w:szCs w:val="24"/>
        </w:rPr>
        <w:t>Kloiber</w:t>
      </w:r>
      <w:proofErr w:type="spellEnd"/>
      <w:r w:rsidRPr="009552AE">
        <w:rPr>
          <w:rFonts w:ascii="Garamond" w:hAnsi="Garamond" w:cs="Arial"/>
          <w:szCs w:val="24"/>
        </w:rPr>
        <w:t xml:space="preserve"> et al., 2015). Higher TWI values correspond to areas </w:t>
      </w:r>
      <w:r w:rsidRPr="009552AE">
        <w:rPr>
          <w:rFonts w:ascii="Garamond" w:hAnsi="Garamond" w:cs="Arial"/>
          <w:szCs w:val="24"/>
        </w:rPr>
        <w:lastRenderedPageBreak/>
        <w:t xml:space="preserve">that are likely to be wetter when compared to areas with low values (Lang et al., 2013). </w:t>
      </w:r>
      <w:r w:rsidR="00642D0A">
        <w:rPr>
          <w:rFonts w:ascii="Garamond" w:hAnsi="Garamond" w:cs="Arial"/>
          <w:szCs w:val="24"/>
        </w:rPr>
        <w:t xml:space="preserve">The </w:t>
      </w:r>
      <w:r w:rsidRPr="009552AE">
        <w:rPr>
          <w:rFonts w:ascii="Garamond" w:hAnsi="Garamond" w:cs="Arial"/>
          <w:szCs w:val="24"/>
        </w:rPr>
        <w:t>MN DNR provided LiDAR data at 3 m resolution, and we resampled our derived DEMs to 30 m.</w:t>
      </w:r>
    </w:p>
    <w:p w14:paraId="5217CC95" w14:textId="77777777" w:rsidR="009552AE" w:rsidRPr="009552AE" w:rsidRDefault="009552AE" w:rsidP="009552AE">
      <w:pPr>
        <w:spacing w:after="0" w:line="240" w:lineRule="auto"/>
        <w:rPr>
          <w:rFonts w:ascii="Garamond" w:hAnsi="Garamond" w:cs="Arial"/>
          <w:szCs w:val="24"/>
        </w:rPr>
      </w:pPr>
    </w:p>
    <w:p w14:paraId="7610482B" w14:textId="33D6B7AE" w:rsidR="009552AE" w:rsidRPr="009552AE" w:rsidRDefault="009552AE" w:rsidP="009552AE">
      <w:pPr>
        <w:spacing w:after="0" w:line="240" w:lineRule="auto"/>
        <w:rPr>
          <w:rFonts w:ascii="Garamond" w:hAnsi="Garamond" w:cs="Arial"/>
          <w:szCs w:val="24"/>
        </w:rPr>
      </w:pPr>
      <w:r w:rsidRPr="009552AE">
        <w:rPr>
          <w:rFonts w:ascii="Garamond" w:hAnsi="Garamond" w:cs="Arial"/>
          <w:szCs w:val="24"/>
        </w:rPr>
        <w:t>Our partners at the MN DNR provided 7,723 reliable reference points compiled from field site visits, existing wetla</w:t>
      </w:r>
      <w:r w:rsidR="00672A0D">
        <w:rPr>
          <w:rFonts w:ascii="Garamond" w:hAnsi="Garamond" w:cs="Arial"/>
          <w:szCs w:val="24"/>
        </w:rPr>
        <w:t>nd monitoring programs, and</w:t>
      </w:r>
      <w:r w:rsidRPr="009552AE">
        <w:rPr>
          <w:rFonts w:ascii="Garamond" w:hAnsi="Garamond" w:cs="Arial"/>
          <w:szCs w:val="24"/>
        </w:rPr>
        <w:t xml:space="preserve"> manual photo interpretation of high-resolution imagery. These points contain information on the wetland classification based on the </w:t>
      </w:r>
      <w:proofErr w:type="spellStart"/>
      <w:r w:rsidRPr="009552AE">
        <w:rPr>
          <w:rFonts w:ascii="Garamond" w:hAnsi="Garamond" w:cs="Arial"/>
          <w:szCs w:val="24"/>
        </w:rPr>
        <w:t>Cowardin</w:t>
      </w:r>
      <w:proofErr w:type="spellEnd"/>
      <w:r w:rsidRPr="009552AE">
        <w:rPr>
          <w:rFonts w:ascii="Garamond" w:hAnsi="Garamond" w:cs="Arial"/>
          <w:szCs w:val="24"/>
        </w:rPr>
        <w:t xml:space="preserve"> system as well as other details describing the biotic and abiotic characteristics of those location</w:t>
      </w:r>
      <w:r w:rsidR="00642D0A">
        <w:rPr>
          <w:rFonts w:ascii="Garamond" w:hAnsi="Garamond" w:cs="Arial"/>
          <w:szCs w:val="24"/>
        </w:rPr>
        <w:t>s</w:t>
      </w:r>
      <w:r w:rsidRPr="009552AE">
        <w:rPr>
          <w:rFonts w:ascii="Garamond" w:hAnsi="Garamond" w:cs="Arial"/>
          <w:szCs w:val="24"/>
        </w:rPr>
        <w:t xml:space="preserve">. After a discussion with our partners, we reclassified the field points into three classes: upland, wetland, </w:t>
      </w:r>
      <w:r w:rsidR="00672A0D">
        <w:rPr>
          <w:rFonts w:ascii="Garamond" w:hAnsi="Garamond" w:cs="Arial"/>
          <w:szCs w:val="24"/>
        </w:rPr>
        <w:t xml:space="preserve">and </w:t>
      </w:r>
      <w:r w:rsidRPr="009552AE">
        <w:rPr>
          <w:rFonts w:ascii="Garamond" w:hAnsi="Garamond" w:cs="Arial"/>
          <w:szCs w:val="24"/>
        </w:rPr>
        <w:t>open water. The reclassification c</w:t>
      </w:r>
      <w:r w:rsidR="007B1581">
        <w:rPr>
          <w:rFonts w:ascii="Garamond" w:hAnsi="Garamond" w:cs="Arial"/>
          <w:szCs w:val="24"/>
        </w:rPr>
        <w:t xml:space="preserve">riteria </w:t>
      </w:r>
      <w:r w:rsidR="00642D0A">
        <w:rPr>
          <w:rFonts w:ascii="Garamond" w:hAnsi="Garamond" w:cs="Arial"/>
          <w:szCs w:val="24"/>
        </w:rPr>
        <w:t>are</w:t>
      </w:r>
      <w:r w:rsidR="007B1581">
        <w:rPr>
          <w:rFonts w:ascii="Garamond" w:hAnsi="Garamond" w:cs="Arial"/>
          <w:szCs w:val="24"/>
        </w:rPr>
        <w:t xml:space="preserve"> described in </w:t>
      </w:r>
      <w:r w:rsidR="00672A0D">
        <w:rPr>
          <w:rFonts w:ascii="Garamond" w:hAnsi="Garamond" w:cs="Arial"/>
          <w:szCs w:val="24"/>
        </w:rPr>
        <w:t xml:space="preserve">Appendix </w:t>
      </w:r>
      <w:r w:rsidR="007B1581">
        <w:rPr>
          <w:rFonts w:ascii="Garamond" w:hAnsi="Garamond" w:cs="Arial"/>
          <w:szCs w:val="24"/>
        </w:rPr>
        <w:t>Table B1</w:t>
      </w:r>
      <w:r w:rsidRPr="009552AE">
        <w:rPr>
          <w:rFonts w:ascii="Garamond" w:hAnsi="Garamond" w:cs="Arial"/>
          <w:szCs w:val="24"/>
        </w:rPr>
        <w:t>. Their recent NWI update for the state of Minnesota was also provided and re</w:t>
      </w:r>
      <w:r w:rsidR="007B1581">
        <w:rPr>
          <w:rFonts w:ascii="Garamond" w:hAnsi="Garamond" w:cs="Arial"/>
          <w:szCs w:val="24"/>
        </w:rPr>
        <w:t xml:space="preserve">classified according to </w:t>
      </w:r>
      <w:r w:rsidR="00672A0D">
        <w:rPr>
          <w:rFonts w:ascii="Garamond" w:hAnsi="Garamond" w:cs="Arial"/>
          <w:szCs w:val="24"/>
        </w:rPr>
        <w:t xml:space="preserve">Appendix </w:t>
      </w:r>
      <w:r w:rsidR="007B1581">
        <w:rPr>
          <w:rFonts w:ascii="Garamond" w:hAnsi="Garamond" w:cs="Arial"/>
          <w:szCs w:val="24"/>
        </w:rPr>
        <w:t>Table B2</w:t>
      </w:r>
      <w:r w:rsidRPr="009552AE">
        <w:rPr>
          <w:rFonts w:ascii="Garamond" w:hAnsi="Garamond" w:cs="Arial"/>
          <w:szCs w:val="24"/>
        </w:rPr>
        <w:t>.</w:t>
      </w:r>
    </w:p>
    <w:p w14:paraId="69AD83DE" w14:textId="77777777" w:rsidR="009552AE" w:rsidRPr="009552AE" w:rsidRDefault="009552AE" w:rsidP="009552AE">
      <w:pPr>
        <w:spacing w:after="0" w:line="240" w:lineRule="auto"/>
        <w:rPr>
          <w:rFonts w:ascii="Garamond" w:hAnsi="Garamond" w:cs="Arial"/>
          <w:b/>
          <w:i/>
          <w:szCs w:val="24"/>
        </w:rPr>
      </w:pPr>
    </w:p>
    <w:p w14:paraId="268EA852" w14:textId="5E25D81C" w:rsidR="009552AE" w:rsidRPr="009552AE" w:rsidRDefault="009552AE" w:rsidP="009552AE">
      <w:pPr>
        <w:spacing w:after="0" w:line="240" w:lineRule="auto"/>
        <w:rPr>
          <w:rFonts w:ascii="Garamond" w:hAnsi="Garamond" w:cs="Arial"/>
          <w:b/>
          <w:i/>
          <w:szCs w:val="24"/>
        </w:rPr>
      </w:pPr>
      <w:r w:rsidRPr="009552AE">
        <w:rPr>
          <w:rFonts w:ascii="Garamond" w:hAnsi="Garamond" w:cs="Arial"/>
          <w:b/>
          <w:i/>
          <w:szCs w:val="24"/>
        </w:rPr>
        <w:t>3</w:t>
      </w:r>
      <w:r w:rsidR="00B768DB">
        <w:rPr>
          <w:rFonts w:ascii="Garamond" w:hAnsi="Garamond" w:cs="Arial"/>
          <w:b/>
          <w:i/>
          <w:szCs w:val="24"/>
        </w:rPr>
        <w:t xml:space="preserve">.3 Object-Based Image Analysis </w:t>
      </w:r>
    </w:p>
    <w:p w14:paraId="49DC1D17" w14:textId="77777777" w:rsidR="009552AE" w:rsidRPr="00B768DB" w:rsidRDefault="009552AE" w:rsidP="009552AE">
      <w:pPr>
        <w:spacing w:after="0" w:line="240" w:lineRule="auto"/>
        <w:rPr>
          <w:rFonts w:ascii="Garamond" w:hAnsi="Garamond" w:cs="Arial"/>
          <w:i/>
          <w:szCs w:val="24"/>
        </w:rPr>
      </w:pPr>
      <w:r w:rsidRPr="00B768DB">
        <w:rPr>
          <w:rFonts w:ascii="Garamond" w:hAnsi="Garamond" w:cs="Arial"/>
          <w:i/>
          <w:szCs w:val="24"/>
        </w:rPr>
        <w:t>3.3.1 SNIC Segmentation</w:t>
      </w:r>
    </w:p>
    <w:p w14:paraId="1C54EA40" w14:textId="79EF15A5" w:rsidR="009552AE" w:rsidRPr="009552AE" w:rsidRDefault="009552AE" w:rsidP="009552AE">
      <w:pPr>
        <w:spacing w:after="0" w:line="240" w:lineRule="auto"/>
        <w:rPr>
          <w:rFonts w:ascii="Garamond" w:hAnsi="Garamond" w:cs="Arial"/>
          <w:szCs w:val="24"/>
        </w:rPr>
      </w:pPr>
      <w:r w:rsidRPr="009552AE">
        <w:rPr>
          <w:rFonts w:ascii="Garamond" w:hAnsi="Garamond" w:cs="Arial"/>
          <w:szCs w:val="24"/>
        </w:rPr>
        <w:t>Object-based image segmentation reduces noise in final classification maps by integrating spectral and contextual information about an image neighborhood. Pixel-based classification, on the other hand, relies solely on single pixel values, which results in lower accuracy speckled classification maps (</w:t>
      </w:r>
      <w:proofErr w:type="spellStart"/>
      <w:r w:rsidRPr="009552AE">
        <w:rPr>
          <w:rFonts w:ascii="Garamond" w:hAnsi="Garamond" w:cs="Arial"/>
          <w:szCs w:val="24"/>
        </w:rPr>
        <w:t>Blaschke</w:t>
      </w:r>
      <w:proofErr w:type="spellEnd"/>
      <w:r w:rsidRPr="009552AE">
        <w:rPr>
          <w:rFonts w:ascii="Garamond" w:hAnsi="Garamond" w:cs="Arial"/>
          <w:szCs w:val="24"/>
        </w:rPr>
        <w:t xml:space="preserve">, 2010). Simple Non-Iterative Clustering (SNIC) is a faster, noniterative version of Simple Linear Iterative Clustering (SLIC) </w:t>
      </w:r>
      <w:proofErr w:type="spellStart"/>
      <w:r w:rsidRPr="009552AE">
        <w:rPr>
          <w:rFonts w:ascii="Garamond" w:hAnsi="Garamond" w:cs="Arial"/>
          <w:szCs w:val="24"/>
        </w:rPr>
        <w:t>superpixel</w:t>
      </w:r>
      <w:proofErr w:type="spellEnd"/>
      <w:r w:rsidRPr="009552AE">
        <w:rPr>
          <w:rFonts w:ascii="Garamond" w:hAnsi="Garamond" w:cs="Arial"/>
          <w:szCs w:val="24"/>
        </w:rPr>
        <w:t xml:space="preserve"> segmentation that has shown increased segmentation quality. Both methods rely on small clusters of connected pixels called </w:t>
      </w:r>
      <w:proofErr w:type="spellStart"/>
      <w:r w:rsidRPr="009552AE">
        <w:rPr>
          <w:rFonts w:ascii="Garamond" w:hAnsi="Garamond" w:cs="Arial"/>
          <w:szCs w:val="24"/>
        </w:rPr>
        <w:t>superpixels</w:t>
      </w:r>
      <w:proofErr w:type="spellEnd"/>
      <w:r w:rsidRPr="009552AE">
        <w:rPr>
          <w:rFonts w:ascii="Garamond" w:hAnsi="Garamond" w:cs="Arial"/>
          <w:szCs w:val="24"/>
        </w:rPr>
        <w:t xml:space="preserve">, which are roughly uniform and compact, but the SNIC algorithm visits all pixels only once when creating objects whereas lengthy iterative pixel visits are </w:t>
      </w:r>
      <w:r w:rsidR="006F6D6B">
        <w:rPr>
          <w:rFonts w:ascii="Garamond" w:hAnsi="Garamond" w:cs="Arial"/>
          <w:szCs w:val="24"/>
        </w:rPr>
        <w:t>performed</w:t>
      </w:r>
      <w:r w:rsidRPr="009552AE">
        <w:rPr>
          <w:rFonts w:ascii="Garamond" w:hAnsi="Garamond" w:cs="Arial"/>
          <w:szCs w:val="24"/>
        </w:rPr>
        <w:t xml:space="preserve"> during the SLIC method (</w:t>
      </w:r>
      <w:proofErr w:type="spellStart"/>
      <w:r w:rsidRPr="009552AE">
        <w:rPr>
          <w:rFonts w:ascii="Garamond" w:hAnsi="Garamond" w:cs="Arial"/>
          <w:szCs w:val="24"/>
        </w:rPr>
        <w:t>Achanta</w:t>
      </w:r>
      <w:proofErr w:type="spellEnd"/>
      <w:r w:rsidRPr="009552AE">
        <w:rPr>
          <w:rFonts w:ascii="Garamond" w:hAnsi="Garamond" w:cs="Arial"/>
          <w:szCs w:val="24"/>
        </w:rPr>
        <w:t xml:space="preserve"> &amp; </w:t>
      </w:r>
      <w:proofErr w:type="spellStart"/>
      <w:r w:rsidRPr="009552AE">
        <w:rPr>
          <w:rFonts w:ascii="Garamond" w:hAnsi="Garamond" w:cs="Arial"/>
          <w:szCs w:val="24"/>
        </w:rPr>
        <w:t>Süsstrunk</w:t>
      </w:r>
      <w:proofErr w:type="spellEnd"/>
      <w:r w:rsidRPr="009552AE">
        <w:rPr>
          <w:rFonts w:ascii="Garamond" w:hAnsi="Garamond" w:cs="Arial"/>
          <w:szCs w:val="24"/>
        </w:rPr>
        <w:t xml:space="preserve">, 2017). By enforcing connectivity from the start, the SNIC algorithm only selects candidate pixels that are 4 or </w:t>
      </w:r>
      <w:r w:rsidR="005773E5" w:rsidRPr="009552AE">
        <w:rPr>
          <w:rFonts w:ascii="Garamond" w:hAnsi="Garamond" w:cs="Arial"/>
          <w:szCs w:val="24"/>
        </w:rPr>
        <w:t>8 pixel</w:t>
      </w:r>
      <w:r w:rsidR="000944EA">
        <w:rPr>
          <w:rFonts w:ascii="Garamond" w:hAnsi="Garamond" w:cs="Arial"/>
          <w:szCs w:val="24"/>
        </w:rPr>
        <w:t>s</w:t>
      </w:r>
      <w:r w:rsidRPr="009552AE">
        <w:rPr>
          <w:rFonts w:ascii="Garamond" w:hAnsi="Garamond" w:cs="Arial"/>
          <w:szCs w:val="24"/>
        </w:rPr>
        <w:t xml:space="preserve"> connected to the growing cluster to deter</w:t>
      </w:r>
      <w:r w:rsidR="006F6D6B">
        <w:rPr>
          <w:rFonts w:ascii="Garamond" w:hAnsi="Garamond" w:cs="Arial"/>
          <w:szCs w:val="24"/>
        </w:rPr>
        <w:t>mine which pixels are added in. T</w:t>
      </w:r>
      <w:r w:rsidRPr="009552AE">
        <w:rPr>
          <w:rFonts w:ascii="Garamond" w:hAnsi="Garamond" w:cs="Arial"/>
          <w:szCs w:val="24"/>
        </w:rPr>
        <w:t>herefore</w:t>
      </w:r>
      <w:r w:rsidR="006F6D6B">
        <w:rPr>
          <w:rFonts w:ascii="Garamond" w:hAnsi="Garamond" w:cs="Arial"/>
          <w:szCs w:val="24"/>
        </w:rPr>
        <w:t>,</w:t>
      </w:r>
      <w:r w:rsidRPr="009552AE">
        <w:rPr>
          <w:rFonts w:ascii="Garamond" w:hAnsi="Garamond" w:cs="Arial"/>
          <w:szCs w:val="24"/>
        </w:rPr>
        <w:t xml:space="preserve"> computing fewer distances between pixels and reducing computation time (</w:t>
      </w:r>
      <w:proofErr w:type="spellStart"/>
      <w:r w:rsidRPr="009552AE">
        <w:rPr>
          <w:rFonts w:ascii="Garamond" w:hAnsi="Garamond" w:cs="Arial"/>
          <w:szCs w:val="24"/>
        </w:rPr>
        <w:t>Mahdianpari</w:t>
      </w:r>
      <w:proofErr w:type="spellEnd"/>
      <w:r w:rsidRPr="009552AE">
        <w:rPr>
          <w:rFonts w:ascii="Garamond" w:hAnsi="Garamond" w:cs="Arial"/>
          <w:szCs w:val="24"/>
        </w:rPr>
        <w:t xml:space="preserve"> et al., 2019). Compared to other similar clustering algorithms, SNIC demonstrates low segmentation error and increased efficiency and accuracy. </w:t>
      </w:r>
    </w:p>
    <w:p w14:paraId="00AB6C80" w14:textId="77777777" w:rsidR="009552AE" w:rsidRPr="009552AE" w:rsidRDefault="009552AE" w:rsidP="009552AE">
      <w:pPr>
        <w:spacing w:after="0" w:line="240" w:lineRule="auto"/>
        <w:rPr>
          <w:rFonts w:ascii="Garamond" w:hAnsi="Garamond" w:cs="Arial"/>
          <w:szCs w:val="24"/>
        </w:rPr>
      </w:pPr>
    </w:p>
    <w:p w14:paraId="4B6E1668" w14:textId="1C89B257" w:rsidR="009552AE" w:rsidRPr="009552AE" w:rsidRDefault="009552AE" w:rsidP="009552AE">
      <w:pPr>
        <w:spacing w:after="0" w:line="240" w:lineRule="auto"/>
        <w:rPr>
          <w:rFonts w:ascii="Garamond" w:hAnsi="Garamond" w:cs="Arial"/>
          <w:szCs w:val="24"/>
        </w:rPr>
      </w:pPr>
      <w:r w:rsidRPr="009552AE">
        <w:rPr>
          <w:rFonts w:ascii="Garamond" w:hAnsi="Garamond" w:cs="Arial"/>
          <w:szCs w:val="24"/>
        </w:rPr>
        <w:t>We carried out an object-based image analysis (OBIA</w:t>
      </w:r>
      <w:r w:rsidR="006F6D6B">
        <w:rPr>
          <w:rFonts w:ascii="Garamond" w:hAnsi="Garamond" w:cs="Arial"/>
          <w:szCs w:val="24"/>
        </w:rPr>
        <w:t>) in a two-stage approach: first,</w:t>
      </w:r>
      <w:r w:rsidRPr="009552AE">
        <w:rPr>
          <w:rFonts w:ascii="Garamond" w:hAnsi="Garamond" w:cs="Arial"/>
          <w:szCs w:val="24"/>
        </w:rPr>
        <w:t xml:space="preserve"> </w:t>
      </w:r>
      <w:r w:rsidR="006F6D6B">
        <w:rPr>
          <w:rFonts w:ascii="Garamond" w:hAnsi="Garamond" w:cs="Arial"/>
          <w:szCs w:val="24"/>
        </w:rPr>
        <w:t>segmentation using SNIC and second,</w:t>
      </w:r>
      <w:r w:rsidRPr="009552AE">
        <w:rPr>
          <w:rFonts w:ascii="Garamond" w:hAnsi="Garamond" w:cs="Arial"/>
          <w:szCs w:val="24"/>
        </w:rPr>
        <w:t xml:space="preserve"> classification using a random forest (RF) classifier and manual thresholds. We chose to use both thresholds and RF to compare the accuracy between these two classification methods. Before segmenting our layers, we used </w:t>
      </w:r>
      <w:r w:rsidR="005773E5" w:rsidRPr="009552AE">
        <w:rPr>
          <w:rFonts w:ascii="Garamond" w:hAnsi="Garamond" w:cs="Arial"/>
          <w:szCs w:val="24"/>
        </w:rPr>
        <w:t>the GEE</w:t>
      </w:r>
      <w:r w:rsidRPr="009552AE">
        <w:rPr>
          <w:rFonts w:ascii="Garamond" w:hAnsi="Garamond" w:cs="Arial"/>
          <w:szCs w:val="24"/>
        </w:rPr>
        <w:t xml:space="preserve"> “</w:t>
      </w:r>
      <w:proofErr w:type="spellStart"/>
      <w:r w:rsidRPr="009552AE">
        <w:rPr>
          <w:rFonts w:ascii="Garamond" w:hAnsi="Garamond" w:cs="Arial"/>
          <w:szCs w:val="24"/>
        </w:rPr>
        <w:t>addBands</w:t>
      </w:r>
      <w:proofErr w:type="spellEnd"/>
      <w:r w:rsidRPr="009552AE">
        <w:rPr>
          <w:rFonts w:ascii="Garamond" w:hAnsi="Garamond" w:cs="Arial"/>
          <w:szCs w:val="24"/>
        </w:rPr>
        <w:t>” function to combine our five inputs into a single image with a separate band for each dataset. The resulting image contained bands for a Sentinel-1 VV and VH backscatter composite, a Landsat 8 OLI MNDWI and TCGWD compo</w:t>
      </w:r>
      <w:r w:rsidR="00C67FB7">
        <w:rPr>
          <w:rFonts w:ascii="Garamond" w:hAnsi="Garamond" w:cs="Arial"/>
          <w:szCs w:val="24"/>
        </w:rPr>
        <w:t>site, and a TWI layer</w:t>
      </w:r>
      <w:r w:rsidRPr="009552AE">
        <w:rPr>
          <w:rFonts w:ascii="Garamond" w:hAnsi="Garamond" w:cs="Arial"/>
          <w:szCs w:val="24"/>
        </w:rPr>
        <w:t xml:space="preserve">. This aggregating method was repeated for the 2017 and 2018 date ranges and then each image was segmented using the SNIC algorithm. Conveniently, GEE provides a built-in SNIC segmentation algorithm with the ability to adjust </w:t>
      </w:r>
      <w:r w:rsidR="000944EA">
        <w:rPr>
          <w:rFonts w:ascii="Garamond" w:hAnsi="Garamond" w:cs="Arial"/>
          <w:szCs w:val="24"/>
        </w:rPr>
        <w:t xml:space="preserve">the </w:t>
      </w:r>
      <w:r w:rsidRPr="009552AE">
        <w:rPr>
          <w:rFonts w:ascii="Garamond" w:hAnsi="Garamond" w:cs="Arial"/>
          <w:szCs w:val="24"/>
        </w:rPr>
        <w:t>size, compactness, connectiv</w:t>
      </w:r>
      <w:r w:rsidR="00C67FB7">
        <w:rPr>
          <w:rFonts w:ascii="Garamond" w:hAnsi="Garamond" w:cs="Arial"/>
          <w:szCs w:val="24"/>
        </w:rPr>
        <w:t xml:space="preserve">ity, neighborhood size, and </w:t>
      </w:r>
      <w:r w:rsidRPr="009552AE">
        <w:rPr>
          <w:rFonts w:ascii="Garamond" w:hAnsi="Garamond" w:cs="Arial"/>
          <w:szCs w:val="24"/>
        </w:rPr>
        <w:t xml:space="preserve">configuration of seeds. </w:t>
      </w:r>
    </w:p>
    <w:p w14:paraId="1929ECAC" w14:textId="77777777" w:rsidR="009552AE" w:rsidRPr="009552AE" w:rsidRDefault="009552AE" w:rsidP="009552AE">
      <w:pPr>
        <w:spacing w:after="0" w:line="240" w:lineRule="auto"/>
        <w:rPr>
          <w:rFonts w:ascii="Garamond" w:hAnsi="Garamond" w:cs="Arial"/>
          <w:b/>
          <w:i/>
          <w:szCs w:val="24"/>
        </w:rPr>
      </w:pPr>
    </w:p>
    <w:p w14:paraId="78694937" w14:textId="008AC6D9" w:rsidR="009552AE" w:rsidRPr="00B768DB" w:rsidRDefault="00B768DB" w:rsidP="009552AE">
      <w:pPr>
        <w:spacing w:after="0" w:line="240" w:lineRule="auto"/>
        <w:rPr>
          <w:rFonts w:ascii="Garamond" w:hAnsi="Garamond" w:cs="Arial"/>
          <w:i/>
          <w:szCs w:val="24"/>
        </w:rPr>
      </w:pPr>
      <w:r w:rsidRPr="00B768DB">
        <w:rPr>
          <w:rFonts w:ascii="Garamond" w:hAnsi="Garamond" w:cs="Arial"/>
          <w:i/>
          <w:szCs w:val="24"/>
        </w:rPr>
        <w:t>3.3.2</w:t>
      </w:r>
      <w:r w:rsidR="009552AE" w:rsidRPr="00B768DB">
        <w:rPr>
          <w:rFonts w:ascii="Garamond" w:hAnsi="Garamond" w:cs="Arial"/>
          <w:i/>
          <w:szCs w:val="24"/>
        </w:rPr>
        <w:t xml:space="preserve"> Index Value Thresholding </w:t>
      </w:r>
    </w:p>
    <w:p w14:paraId="3A85428F" w14:textId="600E5EC6" w:rsidR="00BD1A87" w:rsidRDefault="009552AE" w:rsidP="009552AE">
      <w:pPr>
        <w:spacing w:after="0" w:line="240" w:lineRule="auto"/>
        <w:rPr>
          <w:rFonts w:ascii="Garamond" w:hAnsi="Garamond" w:cs="Arial"/>
          <w:szCs w:val="24"/>
        </w:rPr>
      </w:pPr>
      <w:r w:rsidRPr="009552AE">
        <w:rPr>
          <w:rFonts w:ascii="Garamond" w:hAnsi="Garamond" w:cs="Arial"/>
          <w:szCs w:val="24"/>
        </w:rPr>
        <w:t>We performed a manual index value thr</w:t>
      </w:r>
      <w:r w:rsidR="00466D3D">
        <w:rPr>
          <w:rFonts w:ascii="Garamond" w:hAnsi="Garamond" w:cs="Arial"/>
          <w:szCs w:val="24"/>
        </w:rPr>
        <w:t>esholding in GEE using our SNIC-</w:t>
      </w:r>
      <w:r w:rsidRPr="009552AE">
        <w:rPr>
          <w:rFonts w:ascii="Garamond" w:hAnsi="Garamond" w:cs="Arial"/>
          <w:szCs w:val="24"/>
        </w:rPr>
        <w:t>derived image objects. We first identified indices that were likely to distinguish between land cover types by extracting pixel values of each index located at our training data points. We then visualized the distribution of these values compared to each land cover type using box-and-whisker plots (</w:t>
      </w:r>
      <w:r w:rsidR="002D7D54" w:rsidRPr="005773E5">
        <w:rPr>
          <w:rFonts w:ascii="Garamond" w:hAnsi="Garamond" w:cs="Arial"/>
          <w:i/>
          <w:szCs w:val="24"/>
        </w:rPr>
        <w:t>Figure</w:t>
      </w:r>
      <w:r w:rsidR="002D7D54" w:rsidRPr="002D7D54">
        <w:rPr>
          <w:rFonts w:ascii="Garamond" w:hAnsi="Garamond" w:cs="Arial"/>
          <w:szCs w:val="24"/>
        </w:rPr>
        <w:t xml:space="preserve"> 2</w:t>
      </w:r>
      <w:r w:rsidRPr="002D7D54">
        <w:rPr>
          <w:rFonts w:ascii="Garamond" w:hAnsi="Garamond" w:cs="Arial"/>
          <w:szCs w:val="24"/>
        </w:rPr>
        <w:t>).</w:t>
      </w:r>
      <w:r w:rsidRPr="009552AE">
        <w:rPr>
          <w:rFonts w:ascii="Garamond" w:hAnsi="Garamond" w:cs="Arial"/>
          <w:szCs w:val="24"/>
        </w:rPr>
        <w:t xml:space="preserve"> After omitting indices that contained considerable overlap between land cover types, we qualitatively identified thresholds for the remaining indices that could be used to classify our image objects (</w:t>
      </w:r>
      <w:r w:rsidR="002D7D54" w:rsidRPr="002D7D54">
        <w:rPr>
          <w:rFonts w:ascii="Garamond" w:hAnsi="Garamond" w:cs="Arial"/>
          <w:szCs w:val="24"/>
        </w:rPr>
        <w:t>Table 3</w:t>
      </w:r>
      <w:r w:rsidRPr="009552AE">
        <w:rPr>
          <w:rFonts w:ascii="Garamond" w:hAnsi="Garamond" w:cs="Arial"/>
          <w:szCs w:val="24"/>
        </w:rPr>
        <w:t>). Our thresholding procedure consisted of independently identifying open water and wetland areas, combining these into one raster, and reclassifying overlapping areas as open water. The last step was included after a visual inspection indicating that most</w:t>
      </w:r>
      <w:r w:rsidR="00946AA2">
        <w:rPr>
          <w:rFonts w:ascii="Garamond" w:hAnsi="Garamond" w:cs="Arial"/>
          <w:szCs w:val="24"/>
        </w:rPr>
        <w:t xml:space="preserve"> </w:t>
      </w:r>
      <w:r w:rsidR="00CA65E0">
        <w:rPr>
          <w:rFonts w:ascii="Garamond" w:hAnsi="Garamond" w:cs="Arial"/>
          <w:szCs w:val="24"/>
        </w:rPr>
        <w:t>of</w:t>
      </w:r>
      <w:r w:rsidRPr="009552AE">
        <w:rPr>
          <w:rFonts w:ascii="Garamond" w:hAnsi="Garamond" w:cs="Arial"/>
          <w:szCs w:val="24"/>
        </w:rPr>
        <w:t xml:space="preserve"> these overlapping areas were located on open water. We classified all remaining areas as upland, and the thresholds were adjusted until it resembled the most recent NWI update of Minnesota.</w:t>
      </w:r>
    </w:p>
    <w:p w14:paraId="296AA6F0" w14:textId="77777777" w:rsidR="009A63BF" w:rsidRDefault="009A63BF" w:rsidP="009552AE">
      <w:pPr>
        <w:spacing w:after="0" w:line="240" w:lineRule="auto"/>
        <w:rPr>
          <w:rFonts w:ascii="Garamond" w:hAnsi="Garamond" w:cs="Arial"/>
          <w:szCs w:val="24"/>
        </w:rPr>
      </w:pPr>
    </w:p>
    <w:p w14:paraId="211A4C1E" w14:textId="77777777" w:rsidR="009A63BF" w:rsidRDefault="009A63BF" w:rsidP="009A63BF">
      <w:pPr>
        <w:pStyle w:val="NormalWeb"/>
        <w:spacing w:before="0" w:beforeAutospacing="0" w:after="0" w:afterAutospacing="0"/>
        <w:rPr>
          <w:rFonts w:ascii="Garamond" w:hAnsi="Garamond"/>
          <w:color w:val="000000"/>
          <w:sz w:val="22"/>
          <w:szCs w:val="22"/>
          <w:shd w:val="clear" w:color="auto" w:fill="A6D9B5"/>
        </w:rPr>
      </w:pPr>
    </w:p>
    <w:p w14:paraId="72AAD455" w14:textId="77777777" w:rsidR="009A63BF" w:rsidRDefault="009A63BF" w:rsidP="009A63BF">
      <w:pPr>
        <w:pStyle w:val="NormalWeb"/>
        <w:spacing w:before="0" w:beforeAutospacing="0" w:after="0" w:afterAutospacing="0"/>
        <w:rPr>
          <w:rFonts w:ascii="Garamond" w:hAnsi="Garamond"/>
          <w:color w:val="000000"/>
          <w:sz w:val="22"/>
          <w:szCs w:val="22"/>
          <w:shd w:val="clear" w:color="auto" w:fill="A6D9B5"/>
        </w:rPr>
      </w:pPr>
    </w:p>
    <w:p w14:paraId="25AB8A27" w14:textId="77777777" w:rsidR="009A63BF" w:rsidRDefault="009A63BF" w:rsidP="009A63BF">
      <w:pPr>
        <w:pStyle w:val="NormalWeb"/>
        <w:spacing w:before="0" w:beforeAutospacing="0" w:after="0" w:afterAutospacing="0"/>
        <w:rPr>
          <w:rFonts w:ascii="Garamond" w:hAnsi="Garamond"/>
          <w:color w:val="000000"/>
          <w:sz w:val="22"/>
          <w:szCs w:val="22"/>
          <w:shd w:val="clear" w:color="auto" w:fill="A6D9B5"/>
        </w:rPr>
      </w:pPr>
    </w:p>
    <w:p w14:paraId="4C92A768" w14:textId="77777777" w:rsidR="009A63BF" w:rsidRDefault="009A63BF" w:rsidP="009A63BF">
      <w:pPr>
        <w:pStyle w:val="NormalWeb"/>
        <w:spacing w:before="0" w:beforeAutospacing="0" w:after="0" w:afterAutospacing="0"/>
        <w:rPr>
          <w:rFonts w:ascii="Garamond" w:hAnsi="Garamond"/>
          <w:color w:val="000000"/>
          <w:sz w:val="22"/>
          <w:szCs w:val="22"/>
          <w:shd w:val="clear" w:color="auto" w:fill="A6D9B5"/>
        </w:rPr>
      </w:pPr>
    </w:p>
    <w:p w14:paraId="15C10F40" w14:textId="77777777" w:rsidR="009A63BF" w:rsidRDefault="009A63BF" w:rsidP="009A63BF">
      <w:pPr>
        <w:pStyle w:val="NormalWeb"/>
        <w:spacing w:before="0" w:beforeAutospacing="0" w:after="0" w:afterAutospacing="0"/>
      </w:pPr>
    </w:p>
    <w:p w14:paraId="61D2AF74" w14:textId="111015C9" w:rsidR="009A63BF" w:rsidRDefault="009A63BF" w:rsidP="003949EB">
      <w:pPr>
        <w:spacing w:after="0" w:line="240" w:lineRule="auto"/>
        <w:jc w:val="center"/>
        <w:rPr>
          <w:rFonts w:ascii="Garamond" w:hAnsi="Garamond" w:cs="Arial"/>
          <w:szCs w:val="24"/>
        </w:rPr>
      </w:pPr>
      <w:r>
        <w:rPr>
          <w:rFonts w:ascii="Garamond" w:hAnsi="Garamond"/>
          <w:b/>
          <w:bCs/>
          <w:i/>
          <w:iCs/>
          <w:noProof/>
          <w:color w:val="000000"/>
        </w:rPr>
        <w:drawing>
          <wp:inline distT="0" distB="0" distL="0" distR="0" wp14:anchorId="3BDD9DC8" wp14:editId="3379E96E">
            <wp:extent cx="5640917" cy="1952625"/>
            <wp:effectExtent l="0" t="0" r="0" b="0"/>
            <wp:docPr id="5" name="Picture 5" descr="https://lh4.googleusercontent.com/YX8yx8a76X77mRbjT3znoizsjyKC0XgNSBbKyAbx8cZ15yyEWXmvQu29AMKgSaubIpPwEtbWUFB5ryt2uxKiHENmooK5OoPCflXQcUlsq6lQm_r9ZgxEpmNejIWh7vJL_EBpDB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X8yx8a76X77mRbjT3znoizsjyKC0XgNSBbKyAbx8cZ15yyEWXmvQu29AMKgSaubIpPwEtbWUFB5ryt2uxKiHENmooK5OoPCflXQcUlsq6lQm_r9ZgxEpmNejIWh7vJL_EBpDB7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556" cy="1952846"/>
                    </a:xfrm>
                    <a:prstGeom prst="rect">
                      <a:avLst/>
                    </a:prstGeom>
                    <a:noFill/>
                    <a:ln>
                      <a:noFill/>
                    </a:ln>
                  </pic:spPr>
                </pic:pic>
              </a:graphicData>
            </a:graphic>
          </wp:inline>
        </w:drawing>
      </w:r>
    </w:p>
    <w:p w14:paraId="3120863B" w14:textId="30A4A49E" w:rsidR="009A63BF" w:rsidRDefault="009A63BF" w:rsidP="003949EB">
      <w:pPr>
        <w:spacing w:after="0" w:line="240" w:lineRule="auto"/>
        <w:jc w:val="center"/>
        <w:rPr>
          <w:rFonts w:ascii="Garamond" w:hAnsi="Garamond" w:cs="Arial"/>
          <w:szCs w:val="24"/>
        </w:rPr>
      </w:pPr>
      <w:r>
        <w:rPr>
          <w:rFonts w:ascii="Garamond" w:hAnsi="Garamond"/>
          <w:b/>
          <w:bCs/>
          <w:i/>
          <w:iCs/>
          <w:noProof/>
          <w:color w:val="000000"/>
        </w:rPr>
        <w:drawing>
          <wp:inline distT="0" distB="0" distL="0" distR="0" wp14:anchorId="742BABB4" wp14:editId="7334452F">
            <wp:extent cx="5075013" cy="1752600"/>
            <wp:effectExtent l="0" t="0" r="0" b="0"/>
            <wp:docPr id="7" name="Picture 7" descr="https://lh5.googleusercontent.com/YHDIMs6NCBGENNXe7s0kkP-__mxvs-4USuP2A-DhI0lZVBgcUKcBCwdOrQEY2GrmwUaIv-VQmCxfdaYMth4ybcUDrtIounzg8NO1ae8F6mefHwLgiIcCbZDhusjrz1OVQOn1G5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HDIMs6NCBGENNXe7s0kkP-__mxvs-4USuP2A-DhI0lZVBgcUKcBCwdOrQEY2GrmwUaIv-VQmCxfdaYMth4ybcUDrtIounzg8NO1ae8F6mefHwLgiIcCbZDhusjrz1OVQOn1G5Vj"/>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0289" cy="1754422"/>
                    </a:xfrm>
                    <a:prstGeom prst="rect">
                      <a:avLst/>
                    </a:prstGeom>
                    <a:noFill/>
                    <a:ln>
                      <a:noFill/>
                    </a:ln>
                  </pic:spPr>
                </pic:pic>
              </a:graphicData>
            </a:graphic>
          </wp:inline>
        </w:drawing>
      </w:r>
    </w:p>
    <w:p w14:paraId="7E9A20D9" w14:textId="22CD7766" w:rsidR="009A63BF" w:rsidRPr="00B768DB" w:rsidRDefault="002D7D54" w:rsidP="00B768DB">
      <w:pPr>
        <w:jc w:val="center"/>
        <w:rPr>
          <w:rFonts w:ascii="Garamond" w:hAnsi="Garamond"/>
          <w:i/>
        </w:rPr>
      </w:pPr>
      <w:r w:rsidRPr="002D7D54">
        <w:rPr>
          <w:rFonts w:ascii="Garamond" w:hAnsi="Garamond"/>
          <w:i/>
        </w:rPr>
        <w:t>Figure 2</w:t>
      </w:r>
      <w:r>
        <w:rPr>
          <w:rFonts w:ascii="Garamond" w:hAnsi="Garamond"/>
          <w:i/>
        </w:rPr>
        <w:t xml:space="preserve">. </w:t>
      </w:r>
      <w:r w:rsidR="00466D3D">
        <w:rPr>
          <w:rFonts w:ascii="Garamond" w:hAnsi="Garamond"/>
          <w:iCs/>
          <w:color w:val="000000"/>
        </w:rPr>
        <w:t>Boxplots of thresholding index v</w:t>
      </w:r>
      <w:r w:rsidRPr="00466D3D">
        <w:rPr>
          <w:rFonts w:ascii="Garamond" w:hAnsi="Garamond"/>
          <w:iCs/>
          <w:color w:val="000000"/>
        </w:rPr>
        <w:t>alues</w:t>
      </w:r>
      <w:r w:rsidR="00466D3D">
        <w:rPr>
          <w:rFonts w:ascii="Garamond" w:hAnsi="Garamond"/>
          <w:iCs/>
          <w:color w:val="000000"/>
        </w:rPr>
        <w:t>.</w:t>
      </w:r>
    </w:p>
    <w:tbl>
      <w:tblPr>
        <w:tblW w:w="9612" w:type="dxa"/>
        <w:tblCellMar>
          <w:top w:w="15" w:type="dxa"/>
          <w:left w:w="15" w:type="dxa"/>
          <w:bottom w:w="15" w:type="dxa"/>
          <w:right w:w="15" w:type="dxa"/>
        </w:tblCellMar>
        <w:tblLook w:val="04A0" w:firstRow="1" w:lastRow="0" w:firstColumn="1" w:lastColumn="0" w:noHBand="0" w:noVBand="1"/>
      </w:tblPr>
      <w:tblGrid>
        <w:gridCol w:w="2054"/>
        <w:gridCol w:w="2509"/>
        <w:gridCol w:w="5049"/>
      </w:tblGrid>
      <w:tr w:rsidR="009A63BF" w:rsidRPr="009A63BF" w14:paraId="68F48DEC" w14:textId="77777777" w:rsidTr="0082491E">
        <w:trPr>
          <w:trHeight w:val="380"/>
        </w:trPr>
        <w:tc>
          <w:tcPr>
            <w:tcW w:w="0" w:type="auto"/>
            <w:gridSpan w:val="3"/>
            <w:tcBorders>
              <w:bottom w:val="single" w:sz="6" w:space="0" w:color="000000"/>
            </w:tcBorders>
            <w:tcMar>
              <w:top w:w="100" w:type="dxa"/>
              <w:left w:w="100" w:type="dxa"/>
              <w:bottom w:w="100" w:type="dxa"/>
              <w:right w:w="100" w:type="dxa"/>
            </w:tcMar>
            <w:hideMark/>
          </w:tcPr>
          <w:p w14:paraId="79EB1E10" w14:textId="5A28EF61" w:rsidR="009A63BF" w:rsidRPr="009A63BF" w:rsidRDefault="002D7D54" w:rsidP="0082491E">
            <w:pPr>
              <w:spacing w:after="0" w:line="240" w:lineRule="auto"/>
              <w:rPr>
                <w:rFonts w:ascii="Times New Roman" w:eastAsia="Times New Roman" w:hAnsi="Times New Roman" w:cs="Times New Roman"/>
                <w:sz w:val="24"/>
                <w:szCs w:val="24"/>
              </w:rPr>
            </w:pPr>
            <w:r w:rsidRPr="007B1581">
              <w:rPr>
                <w:rFonts w:ascii="Garamond" w:eastAsia="Times New Roman" w:hAnsi="Garamond" w:cs="Times New Roman"/>
                <w:color w:val="000000"/>
              </w:rPr>
              <w:t>Table 3</w:t>
            </w:r>
          </w:p>
          <w:p w14:paraId="4BED481E" w14:textId="77777777" w:rsidR="009A63BF" w:rsidRPr="009A63BF" w:rsidRDefault="009A63BF" w:rsidP="0082491E">
            <w:pPr>
              <w:spacing w:after="0" w:line="240" w:lineRule="auto"/>
              <w:rPr>
                <w:rFonts w:ascii="Times New Roman" w:eastAsia="Times New Roman" w:hAnsi="Times New Roman" w:cs="Times New Roman"/>
                <w:sz w:val="24"/>
                <w:szCs w:val="24"/>
              </w:rPr>
            </w:pPr>
            <w:r w:rsidRPr="009A63BF">
              <w:rPr>
                <w:rFonts w:ascii="Garamond" w:eastAsia="Times New Roman" w:hAnsi="Garamond" w:cs="Times New Roman"/>
                <w:i/>
                <w:iCs/>
                <w:color w:val="000000"/>
              </w:rPr>
              <w:t>Threshold rules for each cover type</w:t>
            </w:r>
          </w:p>
        </w:tc>
      </w:tr>
      <w:tr w:rsidR="009A63BF" w:rsidRPr="009A63BF" w14:paraId="6C7184F0" w14:textId="77777777" w:rsidTr="0082491E">
        <w:trPr>
          <w:trHeight w:val="360"/>
        </w:trPr>
        <w:tc>
          <w:tcPr>
            <w:tcW w:w="0" w:type="auto"/>
            <w:tcBorders>
              <w:top w:val="single" w:sz="6" w:space="0" w:color="000000"/>
              <w:bottom w:val="single" w:sz="12" w:space="0" w:color="000000"/>
            </w:tcBorders>
            <w:tcMar>
              <w:top w:w="100" w:type="dxa"/>
              <w:left w:w="100" w:type="dxa"/>
              <w:bottom w:w="100" w:type="dxa"/>
              <w:right w:w="100" w:type="dxa"/>
            </w:tcMar>
            <w:hideMark/>
          </w:tcPr>
          <w:p w14:paraId="08F58D93"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Land cover type</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4F44F706"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Indices/bands used</w:t>
            </w:r>
          </w:p>
        </w:tc>
        <w:tc>
          <w:tcPr>
            <w:tcW w:w="0" w:type="auto"/>
            <w:tcBorders>
              <w:top w:val="single" w:sz="6" w:space="0" w:color="000000"/>
              <w:bottom w:val="single" w:sz="12" w:space="0" w:color="000000"/>
            </w:tcBorders>
            <w:tcMar>
              <w:top w:w="100" w:type="dxa"/>
              <w:left w:w="100" w:type="dxa"/>
              <w:bottom w:w="100" w:type="dxa"/>
              <w:right w:w="100" w:type="dxa"/>
            </w:tcMar>
            <w:hideMark/>
          </w:tcPr>
          <w:p w14:paraId="23C58AFB"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Thresholds</w:t>
            </w:r>
          </w:p>
        </w:tc>
      </w:tr>
      <w:tr w:rsidR="009A63BF" w:rsidRPr="009A63BF" w14:paraId="7D8F037C" w14:textId="77777777" w:rsidTr="0082491E">
        <w:trPr>
          <w:trHeight w:val="210"/>
        </w:trPr>
        <w:tc>
          <w:tcPr>
            <w:tcW w:w="0" w:type="auto"/>
            <w:tcBorders>
              <w:top w:val="single" w:sz="12" w:space="0" w:color="000000"/>
            </w:tcBorders>
            <w:tcMar>
              <w:top w:w="100" w:type="dxa"/>
              <w:left w:w="100" w:type="dxa"/>
              <w:bottom w:w="100" w:type="dxa"/>
              <w:right w:w="100" w:type="dxa"/>
            </w:tcMar>
            <w:hideMark/>
          </w:tcPr>
          <w:p w14:paraId="5A05EF82"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Open water</w:t>
            </w:r>
          </w:p>
        </w:tc>
        <w:tc>
          <w:tcPr>
            <w:tcW w:w="0" w:type="auto"/>
            <w:tcBorders>
              <w:top w:val="single" w:sz="12" w:space="0" w:color="000000"/>
            </w:tcBorders>
            <w:tcMar>
              <w:top w:w="100" w:type="dxa"/>
              <w:left w:w="100" w:type="dxa"/>
              <w:bottom w:w="100" w:type="dxa"/>
              <w:right w:w="100" w:type="dxa"/>
            </w:tcMar>
            <w:hideMark/>
          </w:tcPr>
          <w:p w14:paraId="30C2460A"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MNDWI, VV, VH</w:t>
            </w:r>
          </w:p>
        </w:tc>
        <w:tc>
          <w:tcPr>
            <w:tcW w:w="0" w:type="auto"/>
            <w:tcBorders>
              <w:top w:val="single" w:sz="12" w:space="0" w:color="000000"/>
            </w:tcBorders>
            <w:tcMar>
              <w:top w:w="100" w:type="dxa"/>
              <w:left w:w="100" w:type="dxa"/>
              <w:bottom w:w="100" w:type="dxa"/>
              <w:right w:w="100" w:type="dxa"/>
            </w:tcMar>
            <w:hideMark/>
          </w:tcPr>
          <w:p w14:paraId="2805B21E"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VV &lt; 0.1 and VH &lt; 0.02 and MNDWI &gt; -0.4</w:t>
            </w:r>
          </w:p>
        </w:tc>
      </w:tr>
      <w:tr w:rsidR="009A63BF" w:rsidRPr="009A63BF" w14:paraId="5C9ADF8F" w14:textId="77777777" w:rsidTr="0082491E">
        <w:trPr>
          <w:trHeight w:val="377"/>
        </w:trPr>
        <w:tc>
          <w:tcPr>
            <w:tcW w:w="0" w:type="auto"/>
            <w:tcMar>
              <w:top w:w="100" w:type="dxa"/>
              <w:left w:w="100" w:type="dxa"/>
              <w:bottom w:w="100" w:type="dxa"/>
              <w:right w:w="100" w:type="dxa"/>
            </w:tcMar>
            <w:hideMark/>
          </w:tcPr>
          <w:p w14:paraId="72859D09"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Wetland</w:t>
            </w:r>
          </w:p>
        </w:tc>
        <w:tc>
          <w:tcPr>
            <w:tcW w:w="0" w:type="auto"/>
            <w:tcMar>
              <w:top w:w="100" w:type="dxa"/>
              <w:left w:w="100" w:type="dxa"/>
              <w:bottom w:w="100" w:type="dxa"/>
              <w:right w:w="100" w:type="dxa"/>
            </w:tcMar>
            <w:hideMark/>
          </w:tcPr>
          <w:p w14:paraId="0AE65F2E"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MNDWI, TWI</w:t>
            </w:r>
          </w:p>
        </w:tc>
        <w:tc>
          <w:tcPr>
            <w:tcW w:w="0" w:type="auto"/>
            <w:tcMar>
              <w:top w:w="100" w:type="dxa"/>
              <w:left w:w="100" w:type="dxa"/>
              <w:bottom w:w="100" w:type="dxa"/>
              <w:right w:w="100" w:type="dxa"/>
            </w:tcMar>
            <w:hideMark/>
          </w:tcPr>
          <w:p w14:paraId="42DE1365" w14:textId="77777777" w:rsidR="009A63BF" w:rsidRPr="003949EB" w:rsidRDefault="009A63BF" w:rsidP="005D010C">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TWI &gt; 0.2 and MNDWI &lt; -0.4</w:t>
            </w:r>
          </w:p>
        </w:tc>
      </w:tr>
    </w:tbl>
    <w:p w14:paraId="331B0DE2" w14:textId="77777777" w:rsidR="00B768DB" w:rsidRDefault="00B768DB" w:rsidP="009A63BF">
      <w:pPr>
        <w:spacing w:after="0" w:line="240" w:lineRule="auto"/>
        <w:rPr>
          <w:rFonts w:ascii="Garamond" w:hAnsi="Garamond" w:cs="Arial"/>
          <w:i/>
        </w:rPr>
      </w:pPr>
    </w:p>
    <w:p w14:paraId="258F16FD" w14:textId="493C15ED" w:rsidR="009A63BF" w:rsidRPr="00B768DB" w:rsidRDefault="009A63BF" w:rsidP="009A63BF">
      <w:pPr>
        <w:spacing w:after="0" w:line="240" w:lineRule="auto"/>
        <w:rPr>
          <w:rFonts w:ascii="Garamond" w:hAnsi="Garamond" w:cs="Arial"/>
          <w:i/>
        </w:rPr>
      </w:pPr>
      <w:r w:rsidRPr="00B768DB">
        <w:rPr>
          <w:rFonts w:ascii="Garamond" w:hAnsi="Garamond" w:cs="Arial"/>
          <w:i/>
        </w:rPr>
        <w:t>3.3.</w:t>
      </w:r>
      <w:r w:rsidR="00B768DB" w:rsidRPr="00B768DB">
        <w:rPr>
          <w:rFonts w:ascii="Garamond" w:hAnsi="Garamond" w:cs="Arial"/>
          <w:i/>
        </w:rPr>
        <w:t>3</w:t>
      </w:r>
      <w:r w:rsidRPr="00B768DB">
        <w:rPr>
          <w:rFonts w:ascii="Garamond" w:hAnsi="Garamond" w:cs="Arial"/>
          <w:i/>
        </w:rPr>
        <w:t xml:space="preserve"> Random Forest Classification</w:t>
      </w:r>
    </w:p>
    <w:p w14:paraId="7D71A160" w14:textId="177619E6" w:rsidR="009A63BF" w:rsidRPr="009A63BF" w:rsidRDefault="009A63BF" w:rsidP="009A63BF">
      <w:pPr>
        <w:spacing w:after="0" w:line="240" w:lineRule="auto"/>
        <w:rPr>
          <w:rFonts w:ascii="Garamond" w:hAnsi="Garamond" w:cs="Arial"/>
        </w:rPr>
      </w:pPr>
      <w:r w:rsidRPr="009A63BF">
        <w:rPr>
          <w:rFonts w:ascii="Garamond" w:hAnsi="Garamond" w:cs="Arial"/>
        </w:rPr>
        <w:t>The RF classifier is a non-parametric ensemble learning technique that has been widely used for land cover classification (Rodriguez-</w:t>
      </w:r>
      <w:proofErr w:type="spellStart"/>
      <w:r w:rsidRPr="009A63BF">
        <w:rPr>
          <w:rFonts w:ascii="Garamond" w:hAnsi="Garamond" w:cs="Arial"/>
        </w:rPr>
        <w:t>Galiano</w:t>
      </w:r>
      <w:proofErr w:type="spellEnd"/>
      <w:r w:rsidRPr="009A63BF">
        <w:rPr>
          <w:rFonts w:ascii="Garamond" w:hAnsi="Garamond" w:cs="Arial"/>
        </w:rPr>
        <w:t xml:space="preserve">, </w:t>
      </w:r>
      <w:proofErr w:type="spellStart"/>
      <w:r w:rsidRPr="009A63BF">
        <w:rPr>
          <w:rFonts w:ascii="Garamond" w:hAnsi="Garamond" w:cs="Arial"/>
        </w:rPr>
        <w:t>Ghimire</w:t>
      </w:r>
      <w:proofErr w:type="spellEnd"/>
      <w:r w:rsidRPr="009A63BF">
        <w:rPr>
          <w:rFonts w:ascii="Garamond" w:hAnsi="Garamond" w:cs="Arial"/>
        </w:rPr>
        <w:t xml:space="preserve">, Rogan, </w:t>
      </w:r>
      <w:proofErr w:type="spellStart"/>
      <w:r w:rsidRPr="009A63BF">
        <w:rPr>
          <w:rFonts w:ascii="Garamond" w:hAnsi="Garamond" w:cs="Arial"/>
        </w:rPr>
        <w:t>Chica-Olmo</w:t>
      </w:r>
      <w:proofErr w:type="spellEnd"/>
      <w:r w:rsidRPr="009A63BF">
        <w:rPr>
          <w:rFonts w:ascii="Garamond" w:hAnsi="Garamond" w:cs="Arial"/>
        </w:rPr>
        <w:t xml:space="preserve"> &amp; </w:t>
      </w:r>
      <w:proofErr w:type="spellStart"/>
      <w:r w:rsidRPr="009A63BF">
        <w:rPr>
          <w:rFonts w:ascii="Garamond" w:hAnsi="Garamond" w:cs="Arial"/>
        </w:rPr>
        <w:t>Rigol</w:t>
      </w:r>
      <w:proofErr w:type="spellEnd"/>
      <w:r w:rsidRPr="009A63BF">
        <w:rPr>
          <w:rFonts w:ascii="Garamond" w:hAnsi="Garamond" w:cs="Arial"/>
        </w:rPr>
        <w:t>-Sanchez, 2012). We selected this classification method because it can handle non-</w:t>
      </w:r>
      <w:r w:rsidR="00466D3D">
        <w:rPr>
          <w:rFonts w:ascii="Garamond" w:hAnsi="Garamond" w:cs="Arial"/>
        </w:rPr>
        <w:t xml:space="preserve">normally distributed inputs, </w:t>
      </w:r>
      <w:r w:rsidRPr="009A63BF">
        <w:rPr>
          <w:rFonts w:ascii="Garamond" w:hAnsi="Garamond" w:cs="Arial"/>
        </w:rPr>
        <w:t>has a higher classification accuracy than</w:t>
      </w:r>
      <w:r w:rsidR="00466D3D">
        <w:rPr>
          <w:rFonts w:ascii="Garamond" w:hAnsi="Garamond" w:cs="Arial"/>
        </w:rPr>
        <w:t xml:space="preserve"> other advanced learning tools (</w:t>
      </w:r>
      <w:r w:rsidRPr="009A63BF">
        <w:rPr>
          <w:rFonts w:ascii="Garamond" w:hAnsi="Garamond" w:cs="Arial"/>
        </w:rPr>
        <w:t xml:space="preserve">such as support vector machine </w:t>
      </w:r>
      <w:r w:rsidR="00466D3D">
        <w:rPr>
          <w:rFonts w:ascii="Garamond" w:hAnsi="Garamond" w:cs="Arial"/>
        </w:rPr>
        <w:t xml:space="preserve">and decision trees), and </w:t>
      </w:r>
      <w:r w:rsidRPr="009A63BF">
        <w:rPr>
          <w:rFonts w:ascii="Garamond" w:hAnsi="Garamond" w:cs="Arial"/>
        </w:rPr>
        <w:t>can also handle highly dimensional multisource data while remaining insensitive to overfitting and noise (</w:t>
      </w:r>
      <w:proofErr w:type="spellStart"/>
      <w:r w:rsidRPr="009A63BF">
        <w:rPr>
          <w:rFonts w:ascii="Garamond" w:hAnsi="Garamond" w:cs="Arial"/>
        </w:rPr>
        <w:t>Mahdianpari</w:t>
      </w:r>
      <w:proofErr w:type="spellEnd"/>
      <w:r w:rsidRPr="009A63BF">
        <w:rPr>
          <w:rFonts w:ascii="Garamond" w:hAnsi="Garamond" w:cs="Arial"/>
        </w:rPr>
        <w:t xml:space="preserve"> et al., 2019). Although computation time is not as operationally important when using GEE, the RF method is considered to be much lighter and efficient when compared to other classifiers with similar error rates (</w:t>
      </w:r>
      <w:proofErr w:type="spellStart"/>
      <w:r w:rsidRPr="009A63BF">
        <w:rPr>
          <w:rFonts w:ascii="Garamond" w:hAnsi="Garamond" w:cs="Arial"/>
        </w:rPr>
        <w:t>Gislason</w:t>
      </w:r>
      <w:proofErr w:type="spellEnd"/>
      <w:r w:rsidRPr="009A63BF">
        <w:rPr>
          <w:rFonts w:ascii="Garamond" w:hAnsi="Garamond" w:cs="Arial"/>
        </w:rPr>
        <w:t xml:space="preserve">, </w:t>
      </w:r>
      <w:proofErr w:type="spellStart"/>
      <w:r w:rsidRPr="009A63BF">
        <w:rPr>
          <w:rFonts w:ascii="Garamond" w:hAnsi="Garamond" w:cs="Arial"/>
        </w:rPr>
        <w:t>Benediktsson</w:t>
      </w:r>
      <w:proofErr w:type="spellEnd"/>
      <w:r w:rsidRPr="009A63BF">
        <w:rPr>
          <w:rFonts w:ascii="Garamond" w:hAnsi="Garamond" w:cs="Arial"/>
        </w:rPr>
        <w:t xml:space="preserve">, &amp; </w:t>
      </w:r>
      <w:proofErr w:type="spellStart"/>
      <w:r w:rsidRPr="009A63BF">
        <w:rPr>
          <w:rFonts w:ascii="Garamond" w:hAnsi="Garamond" w:cs="Arial"/>
        </w:rPr>
        <w:t>Sveinsson</w:t>
      </w:r>
      <w:proofErr w:type="spellEnd"/>
      <w:r w:rsidRPr="009A63BF">
        <w:rPr>
          <w:rFonts w:ascii="Garamond" w:hAnsi="Garamond" w:cs="Arial"/>
        </w:rPr>
        <w:t>, 2006).</w:t>
      </w:r>
    </w:p>
    <w:p w14:paraId="0B48EC4B" w14:textId="77777777" w:rsidR="009A63BF" w:rsidRPr="009A63BF" w:rsidRDefault="009A63BF" w:rsidP="009A63BF">
      <w:pPr>
        <w:spacing w:after="0" w:line="240" w:lineRule="auto"/>
        <w:rPr>
          <w:rFonts w:ascii="Garamond" w:hAnsi="Garamond" w:cs="Arial"/>
        </w:rPr>
      </w:pPr>
    </w:p>
    <w:p w14:paraId="1C1AF7CD" w14:textId="4B14BD1E" w:rsidR="00F121FB" w:rsidRDefault="009A63BF" w:rsidP="009A63BF">
      <w:pPr>
        <w:spacing w:after="0" w:line="240" w:lineRule="auto"/>
        <w:rPr>
          <w:rFonts w:ascii="Garamond" w:hAnsi="Garamond" w:cs="Arial"/>
        </w:rPr>
      </w:pPr>
      <w:r w:rsidRPr="009A63BF">
        <w:rPr>
          <w:rFonts w:ascii="Garamond" w:hAnsi="Garamond" w:cs="Arial"/>
        </w:rPr>
        <w:t>We implemented a</w:t>
      </w:r>
      <w:r w:rsidR="00800491">
        <w:rPr>
          <w:rFonts w:ascii="Garamond" w:hAnsi="Garamond" w:cs="Arial"/>
        </w:rPr>
        <w:t>n</w:t>
      </w:r>
      <w:r w:rsidRPr="009A63BF">
        <w:rPr>
          <w:rFonts w:ascii="Garamond" w:hAnsi="Garamond" w:cs="Arial"/>
        </w:rPr>
        <w:t xml:space="preserve"> RF classification in GEE using the “</w:t>
      </w:r>
      <w:proofErr w:type="spellStart"/>
      <w:r w:rsidRPr="009A63BF">
        <w:rPr>
          <w:rFonts w:ascii="Garamond" w:hAnsi="Garamond" w:cs="Arial"/>
        </w:rPr>
        <w:t>Classifier.randomForest</w:t>
      </w:r>
      <w:proofErr w:type="spellEnd"/>
      <w:r w:rsidRPr="009A63BF">
        <w:rPr>
          <w:rFonts w:ascii="Garamond" w:hAnsi="Garamond" w:cs="Arial"/>
        </w:rPr>
        <w:t>” algorithm. The main objective of our classification was to identify three land cover types: upland, open wat</w:t>
      </w:r>
      <w:r w:rsidR="00466D3D">
        <w:rPr>
          <w:rFonts w:ascii="Garamond" w:hAnsi="Garamond" w:cs="Arial"/>
        </w:rPr>
        <w:t>er, and wetland (Table 4</w:t>
      </w:r>
      <w:r w:rsidRPr="009A63BF">
        <w:rPr>
          <w:rFonts w:ascii="Garamond" w:hAnsi="Garamond" w:cs="Arial"/>
        </w:rPr>
        <w:t>). Our classifier used a stratified random sample of 50</w:t>
      </w:r>
      <w:r w:rsidR="00CA65E0">
        <w:rPr>
          <w:rFonts w:ascii="Garamond" w:hAnsi="Garamond" w:cs="Arial"/>
        </w:rPr>
        <w:t xml:space="preserve"> percent</w:t>
      </w:r>
      <w:r w:rsidRPr="009A63BF">
        <w:rPr>
          <w:rFonts w:ascii="Garamond" w:hAnsi="Garamond" w:cs="Arial"/>
        </w:rPr>
        <w:t xml:space="preserve"> of the 7,723 reference samples provided by the MN DNR for both 2017 and 2018, and we determined through trial and error that the optimal number of </w:t>
      </w:r>
      <w:r w:rsidRPr="009A63BF">
        <w:rPr>
          <w:rFonts w:ascii="Garamond" w:hAnsi="Garamond" w:cs="Arial"/>
        </w:rPr>
        <w:lastRenderedPageBreak/>
        <w:t>trees was 100 for both years. We compared the original NWI and the updated Minnesota wetland inventory to our classified results and created additional training polygons for weak land cover classes.</w:t>
      </w:r>
    </w:p>
    <w:p w14:paraId="3CCEA307" w14:textId="77777777" w:rsidR="001233B1" w:rsidRPr="00466D3D" w:rsidRDefault="001233B1" w:rsidP="001233B1">
      <w:pPr>
        <w:spacing w:after="0" w:line="240" w:lineRule="auto"/>
        <w:rPr>
          <w:rFonts w:ascii="Garamond" w:eastAsia="Times New Roman" w:hAnsi="Garamond" w:cs="Times New Roman"/>
          <w:szCs w:val="24"/>
        </w:rPr>
      </w:pPr>
    </w:p>
    <w:tbl>
      <w:tblPr>
        <w:tblW w:w="9737" w:type="dxa"/>
        <w:tblCellMar>
          <w:top w:w="15" w:type="dxa"/>
          <w:left w:w="15" w:type="dxa"/>
          <w:bottom w:w="15" w:type="dxa"/>
          <w:right w:w="15" w:type="dxa"/>
        </w:tblCellMar>
        <w:tblLook w:val="04A0" w:firstRow="1" w:lastRow="0" w:firstColumn="1" w:lastColumn="0" w:noHBand="0" w:noVBand="1"/>
      </w:tblPr>
      <w:tblGrid>
        <w:gridCol w:w="3804"/>
        <w:gridCol w:w="5933"/>
      </w:tblGrid>
      <w:tr w:rsidR="001233B1" w:rsidRPr="001233B1" w14:paraId="0EE49F45" w14:textId="77777777" w:rsidTr="002014F3">
        <w:trPr>
          <w:trHeight w:val="78"/>
        </w:trPr>
        <w:tc>
          <w:tcPr>
            <w:tcW w:w="0" w:type="auto"/>
            <w:gridSpan w:val="2"/>
            <w:tcBorders>
              <w:bottom w:val="single" w:sz="6" w:space="0" w:color="000000"/>
            </w:tcBorders>
            <w:tcMar>
              <w:top w:w="100" w:type="dxa"/>
              <w:left w:w="100" w:type="dxa"/>
              <w:bottom w:w="100" w:type="dxa"/>
              <w:right w:w="100" w:type="dxa"/>
            </w:tcMar>
            <w:hideMark/>
          </w:tcPr>
          <w:p w14:paraId="5E510F5E" w14:textId="3745B174" w:rsidR="001233B1" w:rsidRPr="001233B1" w:rsidRDefault="002014F3" w:rsidP="002014F3">
            <w:pPr>
              <w:spacing w:after="0" w:line="240" w:lineRule="auto"/>
              <w:rPr>
                <w:rFonts w:ascii="Times New Roman" w:eastAsia="Times New Roman" w:hAnsi="Times New Roman" w:cs="Times New Roman"/>
                <w:sz w:val="24"/>
                <w:szCs w:val="24"/>
              </w:rPr>
            </w:pPr>
            <w:r w:rsidRPr="002014F3">
              <w:rPr>
                <w:rFonts w:ascii="Garamond" w:eastAsia="Times New Roman" w:hAnsi="Garamond" w:cs="Times New Roman"/>
                <w:color w:val="000000"/>
              </w:rPr>
              <w:t>Table 4</w:t>
            </w:r>
          </w:p>
          <w:p w14:paraId="66C78275" w14:textId="77777777" w:rsidR="001233B1" w:rsidRPr="001233B1" w:rsidRDefault="001233B1" w:rsidP="002014F3">
            <w:pPr>
              <w:spacing w:after="0" w:line="240" w:lineRule="auto"/>
              <w:rPr>
                <w:rFonts w:ascii="Times New Roman" w:eastAsia="Times New Roman" w:hAnsi="Times New Roman" w:cs="Times New Roman"/>
                <w:sz w:val="24"/>
                <w:szCs w:val="24"/>
              </w:rPr>
            </w:pPr>
            <w:r w:rsidRPr="001233B1">
              <w:rPr>
                <w:rFonts w:ascii="Garamond" w:eastAsia="Times New Roman" w:hAnsi="Garamond" w:cs="Times New Roman"/>
                <w:i/>
                <w:iCs/>
                <w:color w:val="000000"/>
              </w:rPr>
              <w:t>Descriptions of primary land cover classes</w:t>
            </w:r>
          </w:p>
        </w:tc>
      </w:tr>
      <w:tr w:rsidR="001233B1" w:rsidRPr="001233B1" w14:paraId="37F1413A" w14:textId="77777777" w:rsidTr="002014F3">
        <w:trPr>
          <w:trHeight w:val="74"/>
        </w:trPr>
        <w:tc>
          <w:tcPr>
            <w:tcW w:w="0" w:type="auto"/>
            <w:tcBorders>
              <w:top w:val="single" w:sz="6" w:space="0" w:color="000000"/>
              <w:bottom w:val="single" w:sz="6" w:space="0" w:color="000000"/>
            </w:tcBorders>
            <w:tcMar>
              <w:top w:w="100" w:type="dxa"/>
              <w:left w:w="100" w:type="dxa"/>
              <w:bottom w:w="100" w:type="dxa"/>
              <w:right w:w="100" w:type="dxa"/>
            </w:tcMar>
            <w:hideMark/>
          </w:tcPr>
          <w:p w14:paraId="73BEC898"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Class</w:t>
            </w:r>
          </w:p>
        </w:tc>
        <w:tc>
          <w:tcPr>
            <w:tcW w:w="0" w:type="auto"/>
            <w:tcBorders>
              <w:top w:val="single" w:sz="6" w:space="0" w:color="000000"/>
              <w:bottom w:val="single" w:sz="6" w:space="0" w:color="000000"/>
            </w:tcBorders>
            <w:tcMar>
              <w:top w:w="100" w:type="dxa"/>
              <w:left w:w="100" w:type="dxa"/>
              <w:bottom w:w="100" w:type="dxa"/>
              <w:right w:w="100" w:type="dxa"/>
            </w:tcMar>
            <w:hideMark/>
          </w:tcPr>
          <w:p w14:paraId="792267B3"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b/>
                <w:bCs/>
                <w:color w:val="000000"/>
              </w:rPr>
              <w:t>Description</w:t>
            </w:r>
          </w:p>
        </w:tc>
      </w:tr>
      <w:tr w:rsidR="001233B1" w:rsidRPr="001233B1" w14:paraId="67557CC0" w14:textId="77777777" w:rsidTr="002014F3">
        <w:trPr>
          <w:trHeight w:val="41"/>
        </w:trPr>
        <w:tc>
          <w:tcPr>
            <w:tcW w:w="0" w:type="auto"/>
            <w:tcBorders>
              <w:top w:val="single" w:sz="6" w:space="0" w:color="000000"/>
            </w:tcBorders>
            <w:tcMar>
              <w:top w:w="100" w:type="dxa"/>
              <w:left w:w="100" w:type="dxa"/>
              <w:bottom w:w="100" w:type="dxa"/>
              <w:right w:w="100" w:type="dxa"/>
            </w:tcMar>
            <w:hideMark/>
          </w:tcPr>
          <w:p w14:paraId="3D602A02"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Upland</w:t>
            </w:r>
          </w:p>
        </w:tc>
        <w:tc>
          <w:tcPr>
            <w:tcW w:w="0" w:type="auto"/>
            <w:tcBorders>
              <w:top w:val="single" w:sz="6" w:space="0" w:color="000000"/>
            </w:tcBorders>
            <w:tcMar>
              <w:top w:w="100" w:type="dxa"/>
              <w:left w:w="100" w:type="dxa"/>
              <w:bottom w:w="100" w:type="dxa"/>
              <w:right w:w="100" w:type="dxa"/>
            </w:tcMar>
            <w:hideMark/>
          </w:tcPr>
          <w:p w14:paraId="2D3863B2" w14:textId="75A815F7" w:rsidR="001233B1" w:rsidRPr="003949EB" w:rsidRDefault="001233B1" w:rsidP="0080049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Dryland</w:t>
            </w:r>
          </w:p>
        </w:tc>
      </w:tr>
      <w:tr w:rsidR="001233B1" w:rsidRPr="001233B1" w14:paraId="013D5519" w14:textId="77777777" w:rsidTr="002014F3">
        <w:trPr>
          <w:trHeight w:val="41"/>
        </w:trPr>
        <w:tc>
          <w:tcPr>
            <w:tcW w:w="0" w:type="auto"/>
            <w:tcMar>
              <w:top w:w="100" w:type="dxa"/>
              <w:left w:w="100" w:type="dxa"/>
              <w:bottom w:w="100" w:type="dxa"/>
              <w:right w:w="100" w:type="dxa"/>
            </w:tcMar>
            <w:hideMark/>
          </w:tcPr>
          <w:p w14:paraId="559FD0D4"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Wetland</w:t>
            </w:r>
          </w:p>
        </w:tc>
        <w:tc>
          <w:tcPr>
            <w:tcW w:w="0" w:type="auto"/>
            <w:tcMar>
              <w:top w:w="100" w:type="dxa"/>
              <w:left w:w="100" w:type="dxa"/>
              <w:bottom w:w="100" w:type="dxa"/>
              <w:right w:w="100" w:type="dxa"/>
            </w:tcMar>
            <w:hideMark/>
          </w:tcPr>
          <w:p w14:paraId="6F1B3140"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Inundated land</w:t>
            </w:r>
          </w:p>
        </w:tc>
      </w:tr>
      <w:tr w:rsidR="001233B1" w:rsidRPr="001233B1" w14:paraId="46E77795" w14:textId="77777777" w:rsidTr="002014F3">
        <w:trPr>
          <w:trHeight w:val="45"/>
        </w:trPr>
        <w:tc>
          <w:tcPr>
            <w:tcW w:w="0" w:type="auto"/>
            <w:tcMar>
              <w:top w:w="100" w:type="dxa"/>
              <w:left w:w="100" w:type="dxa"/>
              <w:bottom w:w="100" w:type="dxa"/>
              <w:right w:w="100" w:type="dxa"/>
            </w:tcMar>
            <w:hideMark/>
          </w:tcPr>
          <w:p w14:paraId="28F6427A"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Open water</w:t>
            </w:r>
          </w:p>
        </w:tc>
        <w:tc>
          <w:tcPr>
            <w:tcW w:w="0" w:type="auto"/>
            <w:tcMar>
              <w:top w:w="100" w:type="dxa"/>
              <w:left w:w="100" w:type="dxa"/>
              <w:bottom w:w="100" w:type="dxa"/>
              <w:right w:w="100" w:type="dxa"/>
            </w:tcMar>
            <w:hideMark/>
          </w:tcPr>
          <w:p w14:paraId="0A61041D" w14:textId="77777777" w:rsidR="001233B1" w:rsidRPr="003949EB" w:rsidRDefault="001233B1" w:rsidP="001233B1">
            <w:pPr>
              <w:spacing w:after="0" w:line="240" w:lineRule="auto"/>
              <w:jc w:val="center"/>
              <w:rPr>
                <w:rFonts w:ascii="Times New Roman" w:eastAsia="Times New Roman" w:hAnsi="Times New Roman" w:cs="Times New Roman"/>
              </w:rPr>
            </w:pPr>
            <w:r w:rsidRPr="003949EB">
              <w:rPr>
                <w:rFonts w:ascii="Garamond" w:eastAsia="Times New Roman" w:hAnsi="Garamond" w:cs="Times New Roman"/>
                <w:color w:val="000000"/>
              </w:rPr>
              <w:t>Rivers, lakes, ponds</w:t>
            </w:r>
          </w:p>
        </w:tc>
      </w:tr>
    </w:tbl>
    <w:p w14:paraId="30BD4000" w14:textId="77777777" w:rsidR="001233B1" w:rsidRPr="001233B1" w:rsidRDefault="001233B1" w:rsidP="001233B1">
      <w:pPr>
        <w:pStyle w:val="Heading1"/>
        <w:spacing w:line="240" w:lineRule="auto"/>
        <w:rPr>
          <w:rFonts w:ascii="Garamond" w:hAnsi="Garamond"/>
          <w:i/>
          <w:color w:val="auto"/>
          <w:sz w:val="22"/>
          <w:szCs w:val="22"/>
        </w:rPr>
      </w:pPr>
      <w:bookmarkStart w:id="4" w:name="_Toc334198730"/>
      <w:r w:rsidRPr="001233B1">
        <w:rPr>
          <w:rFonts w:ascii="Garamond" w:hAnsi="Garamond"/>
          <w:i/>
          <w:color w:val="auto"/>
          <w:sz w:val="22"/>
          <w:szCs w:val="22"/>
        </w:rPr>
        <w:t>3.4 Accuracy Assessment</w:t>
      </w:r>
    </w:p>
    <w:p w14:paraId="64747759" w14:textId="7DCA981F" w:rsidR="001233B1" w:rsidRPr="00545AAB" w:rsidRDefault="001233B1" w:rsidP="00545AAB">
      <w:pPr>
        <w:spacing w:line="240" w:lineRule="auto"/>
        <w:rPr>
          <w:rFonts w:ascii="Garamond" w:hAnsi="Garamond"/>
        </w:rPr>
      </w:pPr>
      <w:r w:rsidRPr="00545AAB">
        <w:rPr>
          <w:rFonts w:ascii="Garamond" w:hAnsi="Garamond"/>
        </w:rPr>
        <w:t>Accuracy assessment is an important part of wetland classification since the Federal Geographic Data Committee (FGDC) Wetland Mapping Standard requires wetland attribute accuracy to be at least 85</w:t>
      </w:r>
      <w:r w:rsidR="00CA65E0">
        <w:rPr>
          <w:rFonts w:ascii="Garamond" w:hAnsi="Garamond"/>
        </w:rPr>
        <w:t xml:space="preserve"> percent</w:t>
      </w:r>
      <w:r w:rsidRPr="00545AAB">
        <w:rPr>
          <w:rFonts w:ascii="Garamond" w:hAnsi="Garamond"/>
        </w:rPr>
        <w:t xml:space="preserve"> and wetland feature accuracy to be at least 98</w:t>
      </w:r>
      <w:r w:rsidR="00CA65E0">
        <w:rPr>
          <w:rFonts w:ascii="Garamond" w:hAnsi="Garamond"/>
        </w:rPr>
        <w:t xml:space="preserve"> percent</w:t>
      </w:r>
      <w:r w:rsidRPr="00545AAB">
        <w:rPr>
          <w:rFonts w:ascii="Garamond" w:hAnsi="Garamond"/>
        </w:rPr>
        <w:t xml:space="preserve"> in order for a classification to be included in the National Spatial Data Infrastructure (NSDI). Using the recent NWI update for Minnesota as a proxy for ground truth data, we evaluated the positional and thematic accuracy of the classification results using four standard indices, including overall accuracy, Kappa coefficient, user’s accuracy, and producer’s accuracy. Overall accuracy indicates what percentage of reference sites were correctly classified and the Kappa coefficient evaluates how well the classification performed compared to a random classification of pixels. User’s and producer’s accuracy are important indicators of</w:t>
      </w:r>
      <w:r w:rsidR="00466D3D">
        <w:rPr>
          <w:rFonts w:ascii="Garamond" w:hAnsi="Garamond"/>
        </w:rPr>
        <w:t xml:space="preserve"> commission and omission error </w:t>
      </w:r>
      <w:r w:rsidRPr="00545AAB">
        <w:rPr>
          <w:rFonts w:ascii="Garamond" w:hAnsi="Garamond"/>
        </w:rPr>
        <w:t xml:space="preserve">and are a measure of how often the class on the map will actually be present on the ground and how often real features on the ground are correctly shown on the classified </w:t>
      </w:r>
      <w:r w:rsidR="00B768DB">
        <w:rPr>
          <w:rFonts w:ascii="Garamond" w:hAnsi="Garamond"/>
        </w:rPr>
        <w:t>map, respectively (</w:t>
      </w:r>
      <w:proofErr w:type="spellStart"/>
      <w:r w:rsidR="00B768DB">
        <w:rPr>
          <w:rFonts w:ascii="Garamond" w:hAnsi="Garamond"/>
        </w:rPr>
        <w:t>Redmon</w:t>
      </w:r>
      <w:proofErr w:type="spellEnd"/>
      <w:r w:rsidR="00B768DB">
        <w:rPr>
          <w:rFonts w:ascii="Garamond" w:hAnsi="Garamond"/>
        </w:rPr>
        <w:t>, 1995</w:t>
      </w:r>
      <w:r w:rsidRPr="00545AAB">
        <w:rPr>
          <w:rFonts w:ascii="Garamond" w:hAnsi="Garamond"/>
        </w:rPr>
        <w:t>).</w:t>
      </w:r>
    </w:p>
    <w:p w14:paraId="560B6A60" w14:textId="0EFCC550" w:rsidR="00DF22D8" w:rsidRPr="00DF22D8" w:rsidRDefault="00621AB9" w:rsidP="00DF22D8">
      <w:pPr>
        <w:pStyle w:val="Heading1"/>
        <w:spacing w:before="0" w:line="240" w:lineRule="auto"/>
        <w:rPr>
          <w:rFonts w:ascii="Garamond" w:hAnsi="Garamond"/>
        </w:rPr>
      </w:pPr>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2127F699" w14:textId="77777777" w:rsidR="003538BC" w:rsidRPr="003538BC" w:rsidRDefault="003538BC" w:rsidP="003538BC">
      <w:pPr>
        <w:pStyle w:val="NoSpacing"/>
        <w:rPr>
          <w:rFonts w:ascii="Garamond" w:hAnsi="Garamond"/>
          <w:b/>
          <w:i/>
          <w:szCs w:val="24"/>
        </w:rPr>
      </w:pPr>
      <w:bookmarkStart w:id="5" w:name="_Toc334198734"/>
      <w:r w:rsidRPr="003538BC">
        <w:rPr>
          <w:rFonts w:ascii="Garamond" w:hAnsi="Garamond"/>
          <w:b/>
          <w:i/>
          <w:szCs w:val="24"/>
        </w:rPr>
        <w:t>4.1 Index Evaluation</w:t>
      </w:r>
    </w:p>
    <w:p w14:paraId="152C03B5" w14:textId="1F85E4CE" w:rsidR="003538BC" w:rsidRPr="003538BC" w:rsidRDefault="003538BC" w:rsidP="003538BC">
      <w:pPr>
        <w:pStyle w:val="NoSpacing"/>
        <w:rPr>
          <w:rFonts w:ascii="Garamond" w:hAnsi="Garamond"/>
          <w:szCs w:val="24"/>
        </w:rPr>
      </w:pPr>
      <w:r w:rsidRPr="003538BC">
        <w:rPr>
          <w:rFonts w:ascii="Garamond" w:hAnsi="Garamond"/>
          <w:szCs w:val="24"/>
        </w:rPr>
        <w:t>The ability to discriminate between our land cover classes varied depending on the index or band of interest. The VV and VH pixel value distributions strongly resembled each other with the lowest backscatter values for the open water class and the highest values for the wetland class. Lower values are expected over open water as the smooth surface would result in specular scattering. Wetland areas tend to result in higher backscatter values due to a double bounce effect occurring when emitted energy reflects off the water surface and then the vertical structure of vegetation before retur</w:t>
      </w:r>
      <w:r w:rsidR="00384C12">
        <w:rPr>
          <w:rFonts w:ascii="Garamond" w:hAnsi="Garamond"/>
          <w:szCs w:val="24"/>
        </w:rPr>
        <w:t>ning to the SAR sensor (Lang et</w:t>
      </w:r>
      <w:r w:rsidRPr="003538BC">
        <w:rPr>
          <w:rFonts w:ascii="Garamond" w:hAnsi="Garamond"/>
          <w:szCs w:val="24"/>
        </w:rPr>
        <w:t xml:space="preserve"> al</w:t>
      </w:r>
      <w:r w:rsidR="00384C12">
        <w:rPr>
          <w:rFonts w:ascii="Garamond" w:hAnsi="Garamond"/>
          <w:szCs w:val="24"/>
        </w:rPr>
        <w:t>.</w:t>
      </w:r>
      <w:r w:rsidRPr="003538BC">
        <w:rPr>
          <w:rFonts w:ascii="Garamond" w:hAnsi="Garamond"/>
          <w:szCs w:val="24"/>
        </w:rPr>
        <w:t>, 2008). Due to the strong resemblance between VV and VH distributions, the resulting VV/VH ratio distributions were not as useful in discerning between our classes. Between our optical indices, the TCWGD best distinguished between all three classes. However, MNDWI is most useful for extracting open water bodies from other land cover types. There was considerable overlap in the NDVI distributions for each class, resulting in removal from our final threshold equation. The TWI distributions for open water and wetland were similar, indicating that this index could be useful for identifying areas of high water content. The TWI range of values was much lower than the other two classes, indicating its ability to distinguish</w:t>
      </w:r>
      <w:r w:rsidR="00E051F2">
        <w:rPr>
          <w:rFonts w:ascii="Garamond" w:hAnsi="Garamond"/>
          <w:szCs w:val="24"/>
        </w:rPr>
        <w:t xml:space="preserve"> between wet and dry areas. The </w:t>
      </w:r>
      <w:r w:rsidRPr="003538BC">
        <w:rPr>
          <w:rFonts w:ascii="Garamond" w:hAnsi="Garamond"/>
          <w:szCs w:val="24"/>
        </w:rPr>
        <w:t>final inputs into our random forest classification include</w:t>
      </w:r>
      <w:r w:rsidR="00E051F2">
        <w:rPr>
          <w:rFonts w:ascii="Garamond" w:hAnsi="Garamond"/>
          <w:szCs w:val="24"/>
        </w:rPr>
        <w:t>d</w:t>
      </w:r>
      <w:r w:rsidRPr="003538BC">
        <w:rPr>
          <w:rFonts w:ascii="Garamond" w:hAnsi="Garamond"/>
          <w:szCs w:val="24"/>
        </w:rPr>
        <w:t xml:space="preserve"> the TCWGD, MNDWI, VV, VH, and TWI layers. </w:t>
      </w:r>
    </w:p>
    <w:p w14:paraId="5496EC1A" w14:textId="77777777" w:rsidR="003538BC" w:rsidRPr="003538BC" w:rsidRDefault="003538BC" w:rsidP="003538BC">
      <w:pPr>
        <w:pStyle w:val="NoSpacing"/>
        <w:rPr>
          <w:rFonts w:ascii="Garamond" w:hAnsi="Garamond"/>
          <w:b/>
          <w:i/>
          <w:szCs w:val="24"/>
        </w:rPr>
      </w:pPr>
    </w:p>
    <w:p w14:paraId="3CEC87DF" w14:textId="77777777" w:rsidR="003538BC" w:rsidRPr="003538BC" w:rsidRDefault="003538BC" w:rsidP="003538BC">
      <w:pPr>
        <w:pStyle w:val="NoSpacing"/>
        <w:rPr>
          <w:rFonts w:ascii="Garamond" w:hAnsi="Garamond"/>
          <w:b/>
          <w:i/>
          <w:szCs w:val="24"/>
        </w:rPr>
      </w:pPr>
      <w:r w:rsidRPr="003538BC">
        <w:rPr>
          <w:rFonts w:ascii="Garamond" w:hAnsi="Garamond"/>
          <w:b/>
          <w:i/>
          <w:szCs w:val="24"/>
        </w:rPr>
        <w:t>4.2 Classifications</w:t>
      </w:r>
    </w:p>
    <w:p w14:paraId="7A5C4E16" w14:textId="533492FF" w:rsidR="003538BC" w:rsidRPr="003538BC" w:rsidRDefault="00E051F2" w:rsidP="003538BC">
      <w:pPr>
        <w:pStyle w:val="NoSpacing"/>
        <w:rPr>
          <w:rFonts w:ascii="Garamond" w:hAnsi="Garamond"/>
          <w:szCs w:val="24"/>
        </w:rPr>
      </w:pPr>
      <w:r>
        <w:rPr>
          <w:rFonts w:ascii="Garamond" w:hAnsi="Garamond"/>
          <w:szCs w:val="24"/>
        </w:rPr>
        <w:t xml:space="preserve">Final classification results maps are found in Appendix C as </w:t>
      </w:r>
      <w:r>
        <w:rPr>
          <w:rFonts w:ascii="Garamond" w:hAnsi="Garamond"/>
          <w:i/>
          <w:szCs w:val="24"/>
        </w:rPr>
        <w:t>Figures C1 to C3</w:t>
      </w:r>
      <w:r>
        <w:rPr>
          <w:rFonts w:ascii="Garamond" w:hAnsi="Garamond"/>
          <w:szCs w:val="24"/>
        </w:rPr>
        <w:t xml:space="preserve">. </w:t>
      </w:r>
      <w:r w:rsidR="00FF5484">
        <w:rPr>
          <w:rFonts w:ascii="Garamond" w:hAnsi="Garamond"/>
          <w:szCs w:val="24"/>
        </w:rPr>
        <w:t xml:space="preserve">Our random forest classification </w:t>
      </w:r>
      <w:r w:rsidR="003538BC" w:rsidRPr="003538BC">
        <w:rPr>
          <w:rFonts w:ascii="Garamond" w:hAnsi="Garamond"/>
          <w:szCs w:val="24"/>
        </w:rPr>
        <w:t xml:space="preserve">map for the year 2017 achieved an overall accuracy of </w:t>
      </w:r>
      <w:r w:rsidR="00FF5484">
        <w:rPr>
          <w:rFonts w:ascii="Garamond" w:hAnsi="Garamond"/>
          <w:szCs w:val="24"/>
        </w:rPr>
        <w:t>87</w:t>
      </w:r>
      <w:r w:rsidR="00795384">
        <w:rPr>
          <w:rFonts w:ascii="Garamond" w:hAnsi="Garamond"/>
          <w:szCs w:val="24"/>
        </w:rPr>
        <w:t xml:space="preserve"> percent</w:t>
      </w:r>
      <w:r w:rsidR="00FF5484">
        <w:rPr>
          <w:rFonts w:ascii="Garamond" w:hAnsi="Garamond"/>
          <w:szCs w:val="24"/>
        </w:rPr>
        <w:t xml:space="preserve"> when compared to the field data</w:t>
      </w:r>
      <w:r w:rsidR="003538BC" w:rsidRPr="003538BC">
        <w:rPr>
          <w:rFonts w:ascii="Garamond" w:hAnsi="Garamond"/>
          <w:szCs w:val="24"/>
        </w:rPr>
        <w:t xml:space="preserve">, which was most </w:t>
      </w:r>
      <w:r w:rsidR="00FF5484">
        <w:rPr>
          <w:rFonts w:ascii="Garamond" w:hAnsi="Garamond"/>
          <w:szCs w:val="24"/>
        </w:rPr>
        <w:t>recently updated in 2013</w:t>
      </w:r>
      <w:r w:rsidR="003538BC" w:rsidRPr="003538BC">
        <w:rPr>
          <w:rFonts w:ascii="Garamond" w:hAnsi="Garamond"/>
          <w:szCs w:val="24"/>
        </w:rPr>
        <w:t xml:space="preserve">. Although our </w:t>
      </w:r>
      <w:r w:rsidR="00FF5484">
        <w:rPr>
          <w:rFonts w:ascii="Garamond" w:hAnsi="Garamond"/>
          <w:szCs w:val="24"/>
        </w:rPr>
        <w:t xml:space="preserve">random forest </w:t>
      </w:r>
      <w:r w:rsidR="003538BC" w:rsidRPr="003538BC">
        <w:rPr>
          <w:rFonts w:ascii="Garamond" w:hAnsi="Garamond"/>
          <w:szCs w:val="24"/>
        </w:rPr>
        <w:t xml:space="preserve">map accurately classified </w:t>
      </w:r>
      <w:r w:rsidR="00FF5484">
        <w:rPr>
          <w:rFonts w:ascii="Garamond" w:hAnsi="Garamond"/>
          <w:szCs w:val="24"/>
        </w:rPr>
        <w:t>77</w:t>
      </w:r>
      <w:r w:rsidR="00654A42">
        <w:rPr>
          <w:rFonts w:ascii="Garamond" w:hAnsi="Garamond"/>
          <w:szCs w:val="24"/>
        </w:rPr>
        <w:t xml:space="preserve"> percent</w:t>
      </w:r>
      <w:r w:rsidR="00FF5484">
        <w:rPr>
          <w:rFonts w:ascii="Garamond" w:hAnsi="Garamond"/>
          <w:szCs w:val="24"/>
        </w:rPr>
        <w:t xml:space="preserve"> of upland areas and 87</w:t>
      </w:r>
      <w:r w:rsidR="00654A42">
        <w:rPr>
          <w:rFonts w:ascii="Garamond" w:hAnsi="Garamond"/>
          <w:szCs w:val="24"/>
        </w:rPr>
        <w:t xml:space="preserve"> percent</w:t>
      </w:r>
      <w:r w:rsidR="003538BC" w:rsidRPr="003538BC">
        <w:rPr>
          <w:rFonts w:ascii="Garamond" w:hAnsi="Garamond"/>
          <w:szCs w:val="24"/>
        </w:rPr>
        <w:t xml:space="preserve"> of wetland areas</w:t>
      </w:r>
      <w:r>
        <w:rPr>
          <w:rFonts w:ascii="Garamond" w:hAnsi="Garamond"/>
          <w:szCs w:val="24"/>
        </w:rPr>
        <w:t xml:space="preserve"> </w:t>
      </w:r>
      <w:r w:rsidR="00FF5484">
        <w:rPr>
          <w:rFonts w:ascii="Garamond" w:hAnsi="Garamond"/>
          <w:szCs w:val="24"/>
        </w:rPr>
        <w:t>when compared to the NWI, it had much lower accuracy for wetland areas, 59</w:t>
      </w:r>
      <w:r w:rsidR="00654A42">
        <w:rPr>
          <w:rFonts w:ascii="Garamond" w:hAnsi="Garamond"/>
          <w:szCs w:val="24"/>
        </w:rPr>
        <w:t xml:space="preserve"> percent</w:t>
      </w:r>
      <w:r w:rsidR="00FF5484">
        <w:rPr>
          <w:rFonts w:ascii="Garamond" w:hAnsi="Garamond"/>
          <w:szCs w:val="24"/>
        </w:rPr>
        <w:t>,</w:t>
      </w:r>
      <w:r w:rsidR="005773E5">
        <w:rPr>
          <w:rFonts w:ascii="Garamond" w:hAnsi="Garamond"/>
          <w:szCs w:val="24"/>
        </w:rPr>
        <w:t xml:space="preserve"> (</w:t>
      </w:r>
      <w:r w:rsidR="005773E5" w:rsidRPr="005773E5">
        <w:rPr>
          <w:rFonts w:ascii="Garamond" w:hAnsi="Garamond"/>
          <w:i/>
          <w:szCs w:val="24"/>
        </w:rPr>
        <w:t>Figure</w:t>
      </w:r>
      <w:r w:rsidR="005773E5">
        <w:rPr>
          <w:rFonts w:ascii="Garamond" w:hAnsi="Garamond"/>
          <w:szCs w:val="24"/>
        </w:rPr>
        <w:t xml:space="preserve"> </w:t>
      </w:r>
      <w:r w:rsidR="005773E5" w:rsidRPr="00E051F2">
        <w:rPr>
          <w:rFonts w:ascii="Garamond" w:hAnsi="Garamond"/>
          <w:i/>
          <w:szCs w:val="24"/>
        </w:rPr>
        <w:t>3</w:t>
      </w:r>
      <w:r w:rsidR="005773E5">
        <w:rPr>
          <w:rFonts w:ascii="Garamond" w:hAnsi="Garamond"/>
          <w:szCs w:val="24"/>
        </w:rPr>
        <w:t>)</w:t>
      </w:r>
      <w:r w:rsidR="00FF5484">
        <w:rPr>
          <w:rFonts w:ascii="Garamond" w:hAnsi="Garamond"/>
          <w:szCs w:val="24"/>
        </w:rPr>
        <w:t xml:space="preserve"> and had trouble differentiating between open water and wetland (</w:t>
      </w:r>
      <w:r>
        <w:rPr>
          <w:rFonts w:ascii="Garamond" w:hAnsi="Garamond"/>
          <w:szCs w:val="24"/>
        </w:rPr>
        <w:t>Appendix Tables D2 and D4</w:t>
      </w:r>
      <w:r w:rsidR="003538BC" w:rsidRPr="003538BC">
        <w:rPr>
          <w:rFonts w:ascii="Garamond" w:hAnsi="Garamond"/>
          <w:szCs w:val="24"/>
        </w:rPr>
        <w:t>). We concluded that further spectral separation of open w</w:t>
      </w:r>
      <w:r>
        <w:rPr>
          <w:rFonts w:ascii="Garamond" w:hAnsi="Garamond"/>
          <w:szCs w:val="24"/>
        </w:rPr>
        <w:t xml:space="preserve">ater from wetland was necessary </w:t>
      </w:r>
      <w:r w:rsidR="003538BC" w:rsidRPr="003538BC">
        <w:rPr>
          <w:rFonts w:ascii="Garamond" w:hAnsi="Garamond"/>
          <w:szCs w:val="24"/>
        </w:rPr>
        <w:lastRenderedPageBreak/>
        <w:t>since our threshold tool mapped</w:t>
      </w:r>
      <w:r w:rsidR="00FF5484">
        <w:rPr>
          <w:rFonts w:ascii="Garamond" w:hAnsi="Garamond"/>
          <w:szCs w:val="24"/>
        </w:rPr>
        <w:t xml:space="preserve"> 39</w:t>
      </w:r>
      <w:r w:rsidR="00654A42">
        <w:rPr>
          <w:rFonts w:ascii="Garamond" w:hAnsi="Garamond"/>
          <w:szCs w:val="24"/>
        </w:rPr>
        <w:t xml:space="preserve"> percent</w:t>
      </w:r>
      <w:r w:rsidR="003538BC" w:rsidRPr="003538BC">
        <w:rPr>
          <w:rFonts w:ascii="Garamond" w:hAnsi="Garamond"/>
          <w:szCs w:val="24"/>
        </w:rPr>
        <w:t xml:space="preserve"> wetland areas as open water</w:t>
      </w:r>
      <w:r w:rsidR="00FF5484">
        <w:rPr>
          <w:rFonts w:ascii="Garamond" w:hAnsi="Garamond"/>
          <w:szCs w:val="24"/>
        </w:rPr>
        <w:t xml:space="preserve"> when compared to the field data points</w:t>
      </w:r>
      <w:r w:rsidR="003538BC" w:rsidRPr="003538BC">
        <w:rPr>
          <w:rFonts w:ascii="Garamond" w:hAnsi="Garamond"/>
          <w:szCs w:val="24"/>
        </w:rPr>
        <w:t>. Wh</w:t>
      </w:r>
      <w:r w:rsidR="00FF5484">
        <w:rPr>
          <w:rFonts w:ascii="Garamond" w:hAnsi="Garamond"/>
          <w:szCs w:val="24"/>
        </w:rPr>
        <w:t>en comparing our 2017 threshold</w:t>
      </w:r>
      <w:r w:rsidR="003538BC" w:rsidRPr="003538BC">
        <w:rPr>
          <w:rFonts w:ascii="Garamond" w:hAnsi="Garamond"/>
          <w:szCs w:val="24"/>
        </w:rPr>
        <w:t xml:space="preserve"> map to the field validation points provided by our partners, our tool achieved an overall accuracy of 48.9</w:t>
      </w:r>
      <w:r w:rsidR="00654A42">
        <w:rPr>
          <w:rFonts w:ascii="Garamond" w:hAnsi="Garamond"/>
          <w:szCs w:val="24"/>
        </w:rPr>
        <w:t xml:space="preserve"> percent</w:t>
      </w:r>
      <w:r w:rsidR="003538BC" w:rsidRPr="003538BC">
        <w:rPr>
          <w:rFonts w:ascii="Garamond" w:hAnsi="Garamond"/>
          <w:szCs w:val="24"/>
        </w:rPr>
        <w:t>. Our threshold tool correctly classified 44.8</w:t>
      </w:r>
      <w:r w:rsidR="00654A42">
        <w:rPr>
          <w:rFonts w:ascii="Garamond" w:hAnsi="Garamond"/>
          <w:szCs w:val="24"/>
        </w:rPr>
        <w:t xml:space="preserve"> percent</w:t>
      </w:r>
      <w:r w:rsidR="003538BC" w:rsidRPr="003538BC">
        <w:rPr>
          <w:rFonts w:ascii="Garamond" w:hAnsi="Garamond"/>
          <w:szCs w:val="24"/>
        </w:rPr>
        <w:t xml:space="preserve"> of upland areas, 27.1</w:t>
      </w:r>
      <w:r w:rsidR="00654A42">
        <w:rPr>
          <w:rFonts w:ascii="Garamond" w:hAnsi="Garamond"/>
          <w:szCs w:val="24"/>
        </w:rPr>
        <w:t xml:space="preserve"> percent</w:t>
      </w:r>
      <w:r w:rsidR="003538BC" w:rsidRPr="003538BC">
        <w:rPr>
          <w:rFonts w:ascii="Garamond" w:hAnsi="Garamond"/>
          <w:szCs w:val="24"/>
        </w:rPr>
        <w:t xml:space="preserve"> of open water areas, and 63.1</w:t>
      </w:r>
      <w:r w:rsidR="00654A42">
        <w:rPr>
          <w:rFonts w:ascii="Garamond" w:hAnsi="Garamond"/>
          <w:szCs w:val="24"/>
        </w:rPr>
        <w:t xml:space="preserve"> percent</w:t>
      </w:r>
      <w:r w:rsidR="003538BC" w:rsidRPr="003538BC">
        <w:rPr>
          <w:rFonts w:ascii="Garamond" w:hAnsi="Garamond"/>
          <w:szCs w:val="24"/>
        </w:rPr>
        <w:t xml:space="preserve"> of wetland areas. However, when comparing the updated 2018 Minnesota NWI to our partner’s field validation points, they had an overall accuracy of 69.9</w:t>
      </w:r>
      <w:r w:rsidR="00654A42">
        <w:rPr>
          <w:rFonts w:ascii="Garamond" w:hAnsi="Garamond"/>
          <w:szCs w:val="24"/>
        </w:rPr>
        <w:t xml:space="preserve"> percent</w:t>
      </w:r>
      <w:r w:rsidR="003538BC" w:rsidRPr="003538BC">
        <w:rPr>
          <w:rFonts w:ascii="Garamond" w:hAnsi="Garamond"/>
          <w:szCs w:val="24"/>
        </w:rPr>
        <w:t xml:space="preserve"> and a correct classification of 57.2</w:t>
      </w:r>
      <w:r w:rsidR="00654A42">
        <w:rPr>
          <w:rFonts w:ascii="Garamond" w:hAnsi="Garamond"/>
          <w:szCs w:val="24"/>
        </w:rPr>
        <w:t xml:space="preserve"> percent</w:t>
      </w:r>
      <w:r w:rsidR="003538BC" w:rsidRPr="003538BC">
        <w:rPr>
          <w:rFonts w:ascii="Garamond" w:hAnsi="Garamond"/>
          <w:szCs w:val="24"/>
        </w:rPr>
        <w:t xml:space="preserve"> of wetland areas. These discrepancies highlight the need for updated field validation points to improve and test the accuracy of these classification methods.</w:t>
      </w:r>
    </w:p>
    <w:p w14:paraId="422CAA49" w14:textId="77777777" w:rsidR="003538BC" w:rsidRPr="003538BC" w:rsidRDefault="003538BC" w:rsidP="003538BC">
      <w:pPr>
        <w:pStyle w:val="NoSpacing"/>
        <w:rPr>
          <w:rFonts w:ascii="Garamond" w:hAnsi="Garamond"/>
          <w:szCs w:val="24"/>
        </w:rPr>
      </w:pPr>
    </w:p>
    <w:p w14:paraId="26652EBC" w14:textId="1E4E8AD0" w:rsidR="00E91B1A" w:rsidRPr="003538BC" w:rsidRDefault="003538BC" w:rsidP="003538BC">
      <w:pPr>
        <w:pStyle w:val="NoSpacing"/>
        <w:rPr>
          <w:rFonts w:ascii="Garamond" w:hAnsi="Garamond"/>
          <w:szCs w:val="24"/>
        </w:rPr>
      </w:pPr>
      <w:r w:rsidRPr="003538BC">
        <w:rPr>
          <w:rFonts w:ascii="Garamond" w:hAnsi="Garamond"/>
          <w:szCs w:val="24"/>
        </w:rPr>
        <w:t>Our random forest classified map for the year 2017 achieved an overall accuracy of 86.36</w:t>
      </w:r>
      <w:r w:rsidR="00654A42">
        <w:rPr>
          <w:rFonts w:ascii="Garamond" w:hAnsi="Garamond"/>
          <w:szCs w:val="24"/>
        </w:rPr>
        <w:t xml:space="preserve"> percent</w:t>
      </w:r>
      <w:r w:rsidRPr="003538BC">
        <w:rPr>
          <w:rFonts w:ascii="Garamond" w:hAnsi="Garamond"/>
          <w:szCs w:val="24"/>
        </w:rPr>
        <w:t xml:space="preserve"> when compared to the NWI. The random forest </w:t>
      </w:r>
      <w:r w:rsidR="00FF5484">
        <w:rPr>
          <w:rFonts w:ascii="Garamond" w:hAnsi="Garamond"/>
          <w:szCs w:val="24"/>
        </w:rPr>
        <w:t>tool accurately classified 80</w:t>
      </w:r>
      <w:r w:rsidR="00654A42">
        <w:rPr>
          <w:rFonts w:ascii="Garamond" w:hAnsi="Garamond"/>
          <w:szCs w:val="24"/>
        </w:rPr>
        <w:t xml:space="preserve"> percent</w:t>
      </w:r>
      <w:r w:rsidRPr="003538BC">
        <w:rPr>
          <w:rFonts w:ascii="Garamond" w:hAnsi="Garamond"/>
          <w:szCs w:val="24"/>
        </w:rPr>
        <w:t xml:space="preserve"> of upland areas and </w:t>
      </w:r>
      <w:r w:rsidR="00FF5484">
        <w:rPr>
          <w:rFonts w:ascii="Garamond" w:hAnsi="Garamond"/>
          <w:szCs w:val="24"/>
        </w:rPr>
        <w:t>12</w:t>
      </w:r>
      <w:r w:rsidR="00654A42">
        <w:rPr>
          <w:rFonts w:ascii="Garamond" w:hAnsi="Garamond"/>
          <w:szCs w:val="24"/>
        </w:rPr>
        <w:t xml:space="preserve"> percent</w:t>
      </w:r>
      <w:r w:rsidRPr="003538BC">
        <w:rPr>
          <w:rFonts w:ascii="Garamond" w:hAnsi="Garamond"/>
          <w:szCs w:val="24"/>
        </w:rPr>
        <w:t xml:space="preserve"> of open water areas, although what the NWI classified as open water is being confused for wetland 48.6</w:t>
      </w:r>
      <w:r w:rsidR="00654A42">
        <w:rPr>
          <w:rFonts w:ascii="Garamond" w:hAnsi="Garamond"/>
          <w:szCs w:val="24"/>
        </w:rPr>
        <w:t xml:space="preserve"> percent</w:t>
      </w:r>
      <w:r w:rsidRPr="003538BC">
        <w:rPr>
          <w:rFonts w:ascii="Garamond" w:hAnsi="Garamond"/>
          <w:szCs w:val="24"/>
        </w:rPr>
        <w:t xml:space="preserve"> of the time. Our user’s accuracy for our wetland class was </w:t>
      </w:r>
      <w:r w:rsidR="00FF5484">
        <w:rPr>
          <w:rFonts w:ascii="Garamond" w:hAnsi="Garamond"/>
          <w:szCs w:val="24"/>
        </w:rPr>
        <w:t>59</w:t>
      </w:r>
      <w:r w:rsidR="00654A42">
        <w:rPr>
          <w:rFonts w:ascii="Garamond" w:hAnsi="Garamond"/>
          <w:szCs w:val="24"/>
        </w:rPr>
        <w:t xml:space="preserve"> percent</w:t>
      </w:r>
      <w:r w:rsidRPr="003538BC">
        <w:rPr>
          <w:rFonts w:ascii="Garamond" w:hAnsi="Garamond"/>
          <w:szCs w:val="24"/>
        </w:rPr>
        <w:t>, most likely due to over classifying wetland areas as open water. When comparing our 2017 random forest map to the field validation points gi</w:t>
      </w:r>
      <w:r w:rsidR="00E051F2">
        <w:rPr>
          <w:rFonts w:ascii="Garamond" w:hAnsi="Garamond"/>
          <w:szCs w:val="24"/>
        </w:rPr>
        <w:t>ven to us by our partners, the</w:t>
      </w:r>
      <w:r w:rsidRPr="003538BC">
        <w:rPr>
          <w:rFonts w:ascii="Garamond" w:hAnsi="Garamond"/>
          <w:szCs w:val="24"/>
        </w:rPr>
        <w:t xml:space="preserve"> overall accuracy was 86.6</w:t>
      </w:r>
      <w:r w:rsidR="00654A42">
        <w:rPr>
          <w:rFonts w:ascii="Garamond" w:hAnsi="Garamond"/>
          <w:szCs w:val="24"/>
        </w:rPr>
        <w:t xml:space="preserve"> percent</w:t>
      </w:r>
      <w:r w:rsidR="00E051F2">
        <w:rPr>
          <w:rFonts w:ascii="Garamond" w:hAnsi="Garamond"/>
          <w:szCs w:val="24"/>
        </w:rPr>
        <w:t>,</w:t>
      </w:r>
      <w:r w:rsidRPr="003538BC">
        <w:rPr>
          <w:rFonts w:ascii="Garamond" w:hAnsi="Garamond"/>
          <w:szCs w:val="24"/>
        </w:rPr>
        <w:t xml:space="preserve"> and we successfully classified 87.2</w:t>
      </w:r>
      <w:r w:rsidR="00654A42">
        <w:rPr>
          <w:rFonts w:ascii="Garamond" w:hAnsi="Garamond"/>
          <w:szCs w:val="24"/>
        </w:rPr>
        <w:t xml:space="preserve"> percent</w:t>
      </w:r>
      <w:r w:rsidRPr="003538BC">
        <w:rPr>
          <w:rFonts w:ascii="Garamond" w:hAnsi="Garamond"/>
          <w:szCs w:val="24"/>
        </w:rPr>
        <w:t xml:space="preserve"> of upland areas, 76.9</w:t>
      </w:r>
      <w:r w:rsidR="00654A42">
        <w:rPr>
          <w:rFonts w:ascii="Garamond" w:hAnsi="Garamond"/>
          <w:szCs w:val="24"/>
        </w:rPr>
        <w:t xml:space="preserve"> percent</w:t>
      </w:r>
      <w:r w:rsidRPr="003538BC">
        <w:rPr>
          <w:rFonts w:ascii="Garamond" w:hAnsi="Garamond"/>
          <w:szCs w:val="24"/>
        </w:rPr>
        <w:t xml:space="preserve"> of open water areas and 90.3</w:t>
      </w:r>
      <w:r w:rsidR="00654A42">
        <w:rPr>
          <w:rFonts w:ascii="Garamond" w:hAnsi="Garamond"/>
          <w:szCs w:val="24"/>
        </w:rPr>
        <w:t xml:space="preserve"> percent</w:t>
      </w:r>
      <w:r w:rsidRPr="003538BC">
        <w:rPr>
          <w:rFonts w:ascii="Garamond" w:hAnsi="Garamond"/>
          <w:szCs w:val="24"/>
        </w:rPr>
        <w:t xml:space="preserve"> of wetland areas.</w:t>
      </w:r>
    </w:p>
    <w:p w14:paraId="30A430C3" w14:textId="77777777" w:rsidR="003538BC" w:rsidRDefault="003538BC" w:rsidP="003538BC">
      <w:pPr>
        <w:pStyle w:val="NoSpacing"/>
        <w:rPr>
          <w:rFonts w:ascii="Garamond" w:hAnsi="Garamond"/>
          <w:b/>
          <w:i/>
          <w:szCs w:val="24"/>
        </w:rPr>
      </w:pPr>
    </w:p>
    <w:p w14:paraId="4DC552AC" w14:textId="4A8E379F" w:rsidR="00935630" w:rsidRPr="003538BC" w:rsidRDefault="007B7A7A" w:rsidP="00935630">
      <w:pPr>
        <w:pStyle w:val="NoSpacing"/>
        <w:jc w:val="center"/>
        <w:rPr>
          <w:rFonts w:ascii="Garamond" w:hAnsi="Garamond"/>
          <w:i/>
          <w:szCs w:val="24"/>
        </w:rPr>
      </w:pPr>
      <w:r>
        <w:rPr>
          <w:rFonts w:ascii="Garamond" w:hAnsi="Garamond"/>
          <w:b/>
          <w:bCs/>
          <w:i/>
          <w:iCs/>
          <w:noProof/>
          <w:color w:val="000000"/>
        </w:rPr>
        <w:drawing>
          <wp:inline distT="0" distB="0" distL="0" distR="0" wp14:anchorId="1F7F077F" wp14:editId="000E959C">
            <wp:extent cx="5229225" cy="3686175"/>
            <wp:effectExtent l="0" t="0" r="9525" b="9525"/>
            <wp:docPr id="9" name="Picture 9" descr="https://lh4.googleusercontent.com/XZHygceFMfZZo4daolaWDG4h0wJ31ukFQTi2avlyMVbYWqSykSBaTLsFBi0NJIOd69YoT9q16l3EVVx8CKR9hkjosntJaUaHZgvKNGHSBkh6CarVn0sLECXHr0a86Bc9iBXf6x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ZHygceFMfZZo4daolaWDG4h0wJ31ukFQTi2avlyMVbYWqSykSBaTLsFBi0NJIOd69YoT9q16l3EVVx8CKR9hkjosntJaUaHZgvKNGHSBkh6CarVn0sLECXHr0a86Bc9iBXf6xs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225" cy="3686175"/>
                    </a:xfrm>
                    <a:prstGeom prst="rect">
                      <a:avLst/>
                    </a:prstGeom>
                    <a:noFill/>
                    <a:ln>
                      <a:noFill/>
                    </a:ln>
                  </pic:spPr>
                </pic:pic>
              </a:graphicData>
            </a:graphic>
          </wp:inline>
        </w:drawing>
      </w:r>
    </w:p>
    <w:p w14:paraId="037329E2" w14:textId="08F2465C" w:rsidR="0056152E" w:rsidRDefault="0056152E" w:rsidP="0066138C">
      <w:pPr>
        <w:pStyle w:val="NoSpacing"/>
        <w:rPr>
          <w:rFonts w:ascii="Garamond" w:hAnsi="Garamond"/>
          <w:b/>
          <w:i/>
          <w:szCs w:val="24"/>
        </w:rPr>
      </w:pPr>
    </w:p>
    <w:p w14:paraId="37767746" w14:textId="0886F1E4" w:rsidR="002014F3" w:rsidRPr="0038027F" w:rsidRDefault="002014F3" w:rsidP="003949EB">
      <w:pPr>
        <w:pStyle w:val="NoSpacing"/>
        <w:jc w:val="center"/>
        <w:rPr>
          <w:rFonts w:ascii="Garamond" w:hAnsi="Garamond"/>
          <w:i/>
          <w:szCs w:val="24"/>
        </w:rPr>
      </w:pPr>
      <w:r w:rsidRPr="0038027F">
        <w:rPr>
          <w:rFonts w:ascii="Garamond" w:hAnsi="Garamond"/>
          <w:i/>
          <w:szCs w:val="24"/>
        </w:rPr>
        <w:t xml:space="preserve">Figure 3. </w:t>
      </w:r>
      <w:r w:rsidR="007B7A7A" w:rsidRPr="005773E5">
        <w:rPr>
          <w:rFonts w:ascii="Garamond" w:hAnsi="Garamond"/>
          <w:iCs/>
          <w:color w:val="000000"/>
        </w:rPr>
        <w:t>Confusion matrices obtained from the</w:t>
      </w:r>
      <w:r w:rsidR="00E051F2">
        <w:rPr>
          <w:rFonts w:ascii="Garamond" w:hAnsi="Garamond"/>
          <w:iCs/>
          <w:color w:val="000000"/>
        </w:rPr>
        <w:t>: (A) r</w:t>
      </w:r>
      <w:r w:rsidR="007B7A7A" w:rsidRPr="005773E5">
        <w:rPr>
          <w:rFonts w:ascii="Garamond" w:hAnsi="Garamond"/>
          <w:iCs/>
          <w:color w:val="000000"/>
        </w:rPr>
        <w:t xml:space="preserve">andom </w:t>
      </w:r>
      <w:r w:rsidR="00E051F2">
        <w:rPr>
          <w:rFonts w:ascii="Garamond" w:hAnsi="Garamond"/>
          <w:iCs/>
          <w:color w:val="000000"/>
        </w:rPr>
        <w:t>forest m</w:t>
      </w:r>
      <w:r w:rsidR="007B7A7A" w:rsidRPr="005773E5">
        <w:rPr>
          <w:rFonts w:ascii="Garamond" w:hAnsi="Garamond"/>
          <w:iCs/>
          <w:color w:val="000000"/>
        </w:rPr>
        <w:t>ap</w:t>
      </w:r>
      <w:r w:rsidR="00E051F2">
        <w:rPr>
          <w:rFonts w:ascii="Garamond" w:hAnsi="Garamond"/>
          <w:iCs/>
          <w:color w:val="000000"/>
        </w:rPr>
        <w:t xml:space="preserve"> compared to field points, (B) r</w:t>
      </w:r>
      <w:r w:rsidR="00F30EEA">
        <w:rPr>
          <w:rFonts w:ascii="Garamond" w:hAnsi="Garamond"/>
          <w:iCs/>
          <w:color w:val="000000"/>
        </w:rPr>
        <w:t>andom forest m</w:t>
      </w:r>
      <w:r w:rsidR="007B7A7A" w:rsidRPr="005773E5">
        <w:rPr>
          <w:rFonts w:ascii="Garamond" w:hAnsi="Garamond"/>
          <w:iCs/>
          <w:color w:val="000000"/>
        </w:rPr>
        <w:t xml:space="preserve">ap compared to </w:t>
      </w:r>
      <w:r w:rsidR="00E051F2">
        <w:rPr>
          <w:rFonts w:ascii="Garamond" w:hAnsi="Garamond"/>
          <w:iCs/>
          <w:color w:val="000000"/>
        </w:rPr>
        <w:t xml:space="preserve">the updated </w:t>
      </w:r>
      <w:r w:rsidR="007B7A7A" w:rsidRPr="005773E5">
        <w:rPr>
          <w:rFonts w:ascii="Garamond" w:hAnsi="Garamond"/>
          <w:iCs/>
          <w:color w:val="000000"/>
        </w:rPr>
        <w:t>NWI</w:t>
      </w:r>
      <w:r w:rsidR="00E051F2">
        <w:rPr>
          <w:rFonts w:ascii="Garamond" w:hAnsi="Garamond"/>
          <w:iCs/>
          <w:color w:val="000000"/>
        </w:rPr>
        <w:t xml:space="preserve"> map</w:t>
      </w:r>
      <w:r w:rsidR="00F30EEA">
        <w:rPr>
          <w:rFonts w:ascii="Garamond" w:hAnsi="Garamond"/>
          <w:iCs/>
          <w:color w:val="000000"/>
        </w:rPr>
        <w:t>, (C) threshold m</w:t>
      </w:r>
      <w:r w:rsidR="007B7A7A" w:rsidRPr="005773E5">
        <w:rPr>
          <w:rFonts w:ascii="Garamond" w:hAnsi="Garamond"/>
          <w:iCs/>
          <w:color w:val="000000"/>
        </w:rPr>
        <w:t>ap com</w:t>
      </w:r>
      <w:r w:rsidR="00F30EEA">
        <w:rPr>
          <w:rFonts w:ascii="Garamond" w:hAnsi="Garamond"/>
          <w:iCs/>
          <w:color w:val="000000"/>
        </w:rPr>
        <w:t>pared to field points, and (D) threshold m</w:t>
      </w:r>
      <w:r w:rsidR="007B7A7A" w:rsidRPr="005773E5">
        <w:rPr>
          <w:rFonts w:ascii="Garamond" w:hAnsi="Garamond"/>
          <w:iCs/>
          <w:color w:val="000000"/>
        </w:rPr>
        <w:t xml:space="preserve">ap compared </w:t>
      </w:r>
      <w:r w:rsidR="00F30EEA">
        <w:rPr>
          <w:rFonts w:ascii="Garamond" w:hAnsi="Garamond"/>
          <w:iCs/>
          <w:color w:val="000000"/>
        </w:rPr>
        <w:t>to the updated</w:t>
      </w:r>
      <w:r w:rsidR="007B7A7A" w:rsidRPr="005773E5">
        <w:rPr>
          <w:rFonts w:ascii="Garamond" w:hAnsi="Garamond"/>
          <w:iCs/>
          <w:color w:val="000000"/>
        </w:rPr>
        <w:t xml:space="preserve"> NWI</w:t>
      </w:r>
      <w:r w:rsidR="00F30EEA">
        <w:rPr>
          <w:rFonts w:ascii="Garamond" w:hAnsi="Garamond"/>
          <w:iCs/>
          <w:color w:val="000000"/>
        </w:rPr>
        <w:t xml:space="preserve"> map</w:t>
      </w:r>
      <w:r w:rsidR="005773E5" w:rsidRPr="005773E5">
        <w:rPr>
          <w:rFonts w:ascii="Garamond" w:hAnsi="Garamond"/>
          <w:iCs/>
          <w:color w:val="000000"/>
        </w:rPr>
        <w:t>.</w:t>
      </w:r>
    </w:p>
    <w:p w14:paraId="45034E45" w14:textId="77777777" w:rsidR="003538BC" w:rsidRDefault="003538BC" w:rsidP="0066138C">
      <w:pPr>
        <w:pStyle w:val="NoSpacing"/>
        <w:rPr>
          <w:rFonts w:ascii="Garamond" w:hAnsi="Garamond"/>
          <w:b/>
          <w:i/>
          <w:szCs w:val="24"/>
        </w:rPr>
      </w:pPr>
    </w:p>
    <w:p w14:paraId="4EB6DFAB" w14:textId="5609DE55" w:rsidR="00621AB9" w:rsidRPr="0066138C" w:rsidRDefault="00B768DB" w:rsidP="0066138C">
      <w:pPr>
        <w:pStyle w:val="NoSpacing"/>
        <w:rPr>
          <w:rFonts w:ascii="Garamond" w:hAnsi="Garamond"/>
          <w:b/>
          <w:i/>
          <w:szCs w:val="24"/>
        </w:rPr>
      </w:pPr>
      <w:r>
        <w:rPr>
          <w:rFonts w:ascii="Garamond" w:hAnsi="Garamond"/>
          <w:b/>
          <w:i/>
          <w:szCs w:val="24"/>
        </w:rPr>
        <w:t>4.3</w:t>
      </w:r>
      <w:r w:rsidR="00621AB9" w:rsidRPr="0066138C">
        <w:rPr>
          <w:rFonts w:ascii="Garamond" w:hAnsi="Garamond"/>
          <w:b/>
          <w:i/>
          <w:szCs w:val="24"/>
        </w:rPr>
        <w:t xml:space="preserve"> Future Work</w:t>
      </w:r>
    </w:p>
    <w:p w14:paraId="0511C42E" w14:textId="6C6CB147" w:rsidR="00A316C1" w:rsidRPr="00A316C1" w:rsidRDefault="00A316C1" w:rsidP="00A316C1">
      <w:pPr>
        <w:spacing w:line="240" w:lineRule="auto"/>
        <w:rPr>
          <w:rFonts w:ascii="Garamond" w:hAnsi="Garamond"/>
        </w:rPr>
      </w:pPr>
      <w:bookmarkStart w:id="6" w:name="_Toc334198735"/>
      <w:bookmarkEnd w:id="5"/>
      <w:r w:rsidRPr="00A316C1">
        <w:rPr>
          <w:rFonts w:ascii="Garamond" w:hAnsi="Garamond"/>
        </w:rPr>
        <w:t>The approach in this study can be further expanded upon by including multiple levels of wetland classification and extending the study area to the neighboring states around Minnesota. Creating a multi-state</w:t>
      </w:r>
      <w:r w:rsidR="00B008E6">
        <w:rPr>
          <w:rFonts w:ascii="Garamond" w:hAnsi="Garamond"/>
        </w:rPr>
        <w:t>,</w:t>
      </w:r>
      <w:r w:rsidRPr="00A316C1">
        <w:rPr>
          <w:rFonts w:ascii="Garamond" w:hAnsi="Garamond"/>
        </w:rPr>
        <w:t xml:space="preserve"> hierarchical classification poses challenges in finding consistent high cov</w:t>
      </w:r>
      <w:r w:rsidR="00B008E6">
        <w:rPr>
          <w:rFonts w:ascii="Garamond" w:hAnsi="Garamond"/>
        </w:rPr>
        <w:t>erage imagery and training data</w:t>
      </w:r>
      <w:r w:rsidRPr="00A316C1">
        <w:rPr>
          <w:rFonts w:ascii="Garamond" w:hAnsi="Garamond"/>
        </w:rPr>
        <w:t xml:space="preserve"> as well as in having the processing power to support automated large</w:t>
      </w:r>
      <w:r w:rsidR="00654A42">
        <w:rPr>
          <w:rFonts w:ascii="Garamond" w:hAnsi="Garamond"/>
        </w:rPr>
        <w:t>-</w:t>
      </w:r>
      <w:r w:rsidRPr="00A316C1">
        <w:rPr>
          <w:rFonts w:ascii="Garamond" w:hAnsi="Garamond"/>
        </w:rPr>
        <w:t xml:space="preserve">scale mapping. Although GEE addresses some of these concerns by hosting and processing a wide variety of imagery and spatial data, it has limitations in analyzing big data and providing statistical, classification, and validation tools that are readily available on </w:t>
      </w:r>
      <w:r w:rsidRPr="00A316C1">
        <w:rPr>
          <w:rFonts w:ascii="Garamond" w:hAnsi="Garamond"/>
        </w:rPr>
        <w:lastRenderedPageBreak/>
        <w:t xml:space="preserve">other platforms. As GEE </w:t>
      </w:r>
      <w:r w:rsidR="00B008E6">
        <w:rPr>
          <w:rFonts w:ascii="Garamond" w:hAnsi="Garamond"/>
        </w:rPr>
        <w:t>adds more functionality, future research can</w:t>
      </w:r>
      <w:r w:rsidRPr="00A316C1">
        <w:rPr>
          <w:rFonts w:ascii="Garamond" w:hAnsi="Garamond"/>
        </w:rPr>
        <w:t xml:space="preserve"> validate and adjust our tool using Ducks </w:t>
      </w:r>
      <w:proofErr w:type="spellStart"/>
      <w:r w:rsidRPr="00A316C1">
        <w:rPr>
          <w:rFonts w:ascii="Garamond" w:hAnsi="Garamond"/>
        </w:rPr>
        <w:t>Unlimited’s</w:t>
      </w:r>
      <w:proofErr w:type="spellEnd"/>
      <w:r w:rsidRPr="00A316C1">
        <w:rPr>
          <w:rFonts w:ascii="Garamond" w:hAnsi="Garamond"/>
        </w:rPr>
        <w:t xml:space="preserve"> recent wetland mapping data and perform further comparisons with </w:t>
      </w:r>
      <w:proofErr w:type="spellStart"/>
      <w:r w:rsidRPr="00A316C1">
        <w:rPr>
          <w:rFonts w:ascii="Garamond" w:hAnsi="Garamond"/>
        </w:rPr>
        <w:t>DigitalGlobe</w:t>
      </w:r>
      <w:proofErr w:type="spellEnd"/>
      <w:r w:rsidRPr="00A316C1">
        <w:rPr>
          <w:rFonts w:ascii="Garamond" w:hAnsi="Garamond"/>
        </w:rPr>
        <w:t xml:space="preserve"> and RADARSAT-2 imagery that has been acquired over 10 pilot sites in Minnesota. Additionally, to identify which method produces the most accurate wetland classification in Minnesota, </w:t>
      </w:r>
      <w:r w:rsidR="00B008E6">
        <w:rPr>
          <w:rFonts w:ascii="Garamond" w:hAnsi="Garamond"/>
        </w:rPr>
        <w:t xml:space="preserve">we propose the </w:t>
      </w:r>
      <w:r w:rsidRPr="00A316C1">
        <w:rPr>
          <w:rFonts w:ascii="Garamond" w:hAnsi="Garamond"/>
        </w:rPr>
        <w:t>further exploration of pixel</w:t>
      </w:r>
      <w:r w:rsidR="00B008E6">
        <w:rPr>
          <w:rFonts w:ascii="Garamond" w:hAnsi="Garamond"/>
        </w:rPr>
        <w:t>-</w:t>
      </w:r>
      <w:r w:rsidRPr="00A316C1">
        <w:rPr>
          <w:rFonts w:ascii="Garamond" w:hAnsi="Garamond"/>
        </w:rPr>
        <w:t xml:space="preserve"> and object</w:t>
      </w:r>
      <w:r w:rsidR="00E11FBC">
        <w:rPr>
          <w:rFonts w:ascii="Garamond" w:hAnsi="Garamond"/>
        </w:rPr>
        <w:t>-</w:t>
      </w:r>
      <w:r w:rsidRPr="00A316C1">
        <w:rPr>
          <w:rFonts w:ascii="Garamond" w:hAnsi="Garamond"/>
        </w:rPr>
        <w:t>based classification techniques and experiment</w:t>
      </w:r>
      <w:r w:rsidR="00B008E6">
        <w:rPr>
          <w:rFonts w:ascii="Garamond" w:hAnsi="Garamond"/>
        </w:rPr>
        <w:t>ation</w:t>
      </w:r>
      <w:r w:rsidRPr="00A316C1">
        <w:rPr>
          <w:rFonts w:ascii="Garamond" w:hAnsi="Garamond"/>
        </w:rPr>
        <w:t xml:space="preserve"> with the inclusion of supplemen</w:t>
      </w:r>
      <w:r w:rsidR="00B008E6">
        <w:rPr>
          <w:rFonts w:ascii="Garamond" w:hAnsi="Garamond"/>
        </w:rPr>
        <w:t>tal radar and optical datasets.</w:t>
      </w:r>
    </w:p>
    <w:p w14:paraId="4F2200B0" w14:textId="5B0F9F2E" w:rsidR="00AB104D" w:rsidRPr="00A316C1" w:rsidRDefault="00A316C1" w:rsidP="00A316C1">
      <w:pPr>
        <w:spacing w:line="240" w:lineRule="auto"/>
        <w:rPr>
          <w:rFonts w:ascii="Garamond" w:hAnsi="Garamond"/>
        </w:rPr>
      </w:pPr>
      <w:r w:rsidRPr="00A316C1">
        <w:rPr>
          <w:rFonts w:ascii="Garamond" w:hAnsi="Garamond"/>
        </w:rPr>
        <w:t>Future work th</w:t>
      </w:r>
      <w:r w:rsidR="00B008E6">
        <w:rPr>
          <w:rFonts w:ascii="Garamond" w:hAnsi="Garamond"/>
        </w:rPr>
        <w:t xml:space="preserve">at would need to be done on our tool hosted on GEE </w:t>
      </w:r>
      <w:r w:rsidRPr="00A316C1">
        <w:rPr>
          <w:rFonts w:ascii="Garamond" w:hAnsi="Garamond"/>
        </w:rPr>
        <w:t>would be to further separate the classification classes into a level-2 classification. Spectrally separating wetland areas from open water areas would be important to successfully classify specific wetla</w:t>
      </w:r>
      <w:r w:rsidR="00B008E6">
        <w:rPr>
          <w:rFonts w:ascii="Garamond" w:hAnsi="Garamond"/>
        </w:rPr>
        <w:t>nd types that usually have</w:t>
      </w:r>
      <w:r w:rsidRPr="00A316C1">
        <w:rPr>
          <w:rFonts w:ascii="Garamond" w:hAnsi="Garamond"/>
        </w:rPr>
        <w:t xml:space="preserve"> vegetation and water in one area. Furthermore, collecting updated and evenly distributed field validation points would be crucial to achieving this class separation.</w:t>
      </w:r>
    </w:p>
    <w:p w14:paraId="5B3A3C44" w14:textId="1BA51D82" w:rsidR="002308F2" w:rsidRPr="002308F2" w:rsidRDefault="00621AB9" w:rsidP="002308F2">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Start w:id="7" w:name="_Toc334198736"/>
      <w:bookmarkEnd w:id="6"/>
    </w:p>
    <w:p w14:paraId="017EDF19" w14:textId="0B4D21C0" w:rsidR="00AB104D" w:rsidRPr="00AB104D" w:rsidRDefault="00AB104D" w:rsidP="00AB104D">
      <w:pPr>
        <w:spacing w:line="240" w:lineRule="auto"/>
        <w:rPr>
          <w:rFonts w:ascii="Garamond" w:hAnsi="Garamond"/>
        </w:rPr>
      </w:pPr>
      <w:r w:rsidRPr="00AB104D">
        <w:rPr>
          <w:rFonts w:ascii="Garamond" w:hAnsi="Garamond"/>
        </w:rPr>
        <w:t>Advances in cloud computing and the widespread availability of high</w:t>
      </w:r>
      <w:r w:rsidR="00800491">
        <w:rPr>
          <w:rFonts w:ascii="Garamond" w:hAnsi="Garamond"/>
        </w:rPr>
        <w:t>-</w:t>
      </w:r>
      <w:r w:rsidRPr="00AB104D">
        <w:rPr>
          <w:rFonts w:ascii="Garamond" w:hAnsi="Garamond"/>
        </w:rPr>
        <w:t>re</w:t>
      </w:r>
      <w:r w:rsidR="00B008E6">
        <w:rPr>
          <w:rFonts w:ascii="Garamond" w:hAnsi="Garamond"/>
        </w:rPr>
        <w:t>solution remote sensing data have</w:t>
      </w:r>
      <w:r w:rsidRPr="00AB104D">
        <w:rPr>
          <w:rFonts w:ascii="Garamond" w:hAnsi="Garamond"/>
        </w:rPr>
        <w:t xml:space="preserve"> made the creation of on-demand land cover maps possible. Leveraging these advances and using radar and optical datasets in addition to training and elevation data provided by our partners, we produced the first fully automated tool to map wetland change and extent in the state of Minnesota. Specifically, we created a statewide growing season composite wetland inventory for 201</w:t>
      </w:r>
      <w:r w:rsidR="00B008E6">
        <w:rPr>
          <w:rFonts w:ascii="Garamond" w:hAnsi="Garamond"/>
        </w:rPr>
        <w:t>7 and 2018</w:t>
      </w:r>
      <w:r w:rsidRPr="00AB104D">
        <w:rPr>
          <w:rFonts w:ascii="Garamond" w:hAnsi="Garamond"/>
        </w:rPr>
        <w:t xml:space="preserve"> with the option to adjust the spatial and temporal scale. </w:t>
      </w:r>
    </w:p>
    <w:p w14:paraId="7EF42CEC" w14:textId="35F8C819" w:rsidR="0056152E" w:rsidRPr="00945CF5" w:rsidRDefault="00945CF5" w:rsidP="00945CF5">
      <w:pPr>
        <w:spacing w:line="240" w:lineRule="auto"/>
        <w:rPr>
          <w:rFonts w:ascii="Garamond" w:hAnsi="Garamond"/>
        </w:rPr>
      </w:pPr>
      <w:r w:rsidRPr="00945CF5">
        <w:rPr>
          <w:rFonts w:ascii="Garamond" w:hAnsi="Garamond"/>
        </w:rPr>
        <w:t>After exploring which methods and datasets were best able to discriminate between our land cover types, we concluded that an object</w:t>
      </w:r>
      <w:r w:rsidR="000E09EF">
        <w:rPr>
          <w:rFonts w:ascii="Garamond" w:hAnsi="Garamond"/>
        </w:rPr>
        <w:t>-</w:t>
      </w:r>
      <w:r w:rsidRPr="00945CF5">
        <w:rPr>
          <w:rFonts w:ascii="Garamond" w:hAnsi="Garamond"/>
        </w:rPr>
        <w:t>based random forest classification that included VV backscatter, VH backscatter</w:t>
      </w:r>
      <w:r w:rsidR="00173BC1" w:rsidRPr="00945CF5">
        <w:rPr>
          <w:rFonts w:ascii="Garamond" w:hAnsi="Garamond"/>
        </w:rPr>
        <w:t>, TCWGD</w:t>
      </w:r>
      <w:r w:rsidRPr="00945CF5">
        <w:rPr>
          <w:rFonts w:ascii="Garamond" w:hAnsi="Garamond"/>
        </w:rPr>
        <w:t>, MNDWI</w:t>
      </w:r>
      <w:r w:rsidR="000E09EF">
        <w:rPr>
          <w:rFonts w:ascii="Garamond" w:hAnsi="Garamond"/>
        </w:rPr>
        <w:t>,</w:t>
      </w:r>
      <w:r w:rsidRPr="00945CF5">
        <w:rPr>
          <w:rFonts w:ascii="Garamond" w:hAnsi="Garamond"/>
        </w:rPr>
        <w:t xml:space="preserve"> and TWI yielded the highest overall accuracy of 87</w:t>
      </w:r>
      <w:r w:rsidR="000E09EF">
        <w:rPr>
          <w:rFonts w:ascii="Garamond" w:hAnsi="Garamond"/>
        </w:rPr>
        <w:t xml:space="preserve"> percent</w:t>
      </w:r>
      <w:r w:rsidRPr="00945CF5">
        <w:rPr>
          <w:rFonts w:ascii="Garamond" w:hAnsi="Garamond"/>
        </w:rPr>
        <w:t>. Although the manual thresholds produced were able to sufficiently classify the wetland class, it had a lower overall accuracy of 49</w:t>
      </w:r>
      <w:r w:rsidR="000E09EF">
        <w:rPr>
          <w:rFonts w:ascii="Garamond" w:hAnsi="Garamond"/>
        </w:rPr>
        <w:t xml:space="preserve"> percent</w:t>
      </w:r>
      <w:r w:rsidRPr="00945CF5">
        <w:rPr>
          <w:rFonts w:ascii="Garamond" w:hAnsi="Garamond"/>
        </w:rPr>
        <w:t xml:space="preserve"> and failed to accurately classify open water. Though our results are preliminary, our tool provides a scalable solution to the urgent need to update and standardize wetland inventories across the country. This study benefits stakeho</w:t>
      </w:r>
      <w:r w:rsidR="00B008E6">
        <w:rPr>
          <w:rFonts w:ascii="Garamond" w:hAnsi="Garamond"/>
        </w:rPr>
        <w:t>lders in Minnesota specifically</w:t>
      </w:r>
      <w:r w:rsidRPr="00945CF5">
        <w:rPr>
          <w:rFonts w:ascii="Garamond" w:hAnsi="Garamond"/>
        </w:rPr>
        <w:t xml:space="preserve"> by providing accurate maps that will inform their conservation, agriculture, and infrastructure decisions and contribute to their efforts to update wetland inventories on local scales.</w:t>
      </w: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7"/>
    </w:p>
    <w:p w14:paraId="5876376B" w14:textId="38859E59" w:rsidR="00AB104D" w:rsidRPr="00AB104D" w:rsidRDefault="00AB104D" w:rsidP="00AB104D">
      <w:pPr>
        <w:spacing w:after="0" w:line="240" w:lineRule="auto"/>
        <w:rPr>
          <w:rFonts w:ascii="Garamond" w:hAnsi="Garamond"/>
        </w:rPr>
      </w:pPr>
      <w:r w:rsidRPr="00AB104D">
        <w:rPr>
          <w:rFonts w:ascii="Garamond" w:hAnsi="Garamond"/>
        </w:rPr>
        <w:t>We would like to thank our Science Advisors Bruce Chapma</w:t>
      </w:r>
      <w:r w:rsidR="003717C4">
        <w:rPr>
          <w:rFonts w:ascii="Garamond" w:hAnsi="Garamond"/>
        </w:rPr>
        <w:t xml:space="preserve">n </w:t>
      </w:r>
      <w:r w:rsidRPr="00AB104D">
        <w:rPr>
          <w:rFonts w:ascii="Garamond" w:hAnsi="Garamond"/>
        </w:rPr>
        <w:t xml:space="preserve">and Benjamin Holt </w:t>
      </w:r>
      <w:r w:rsidR="003717C4">
        <w:rPr>
          <w:rFonts w:ascii="Garamond" w:hAnsi="Garamond"/>
        </w:rPr>
        <w:t xml:space="preserve">at NASA JPL </w:t>
      </w:r>
      <w:r w:rsidRPr="00AB104D">
        <w:rPr>
          <w:rFonts w:ascii="Garamond" w:hAnsi="Garamond"/>
        </w:rPr>
        <w:t xml:space="preserve">for their guidance on creating our wetland mapping tool. We would also like to thank our Center Lead Erika </w:t>
      </w:r>
      <w:proofErr w:type="spellStart"/>
      <w:r w:rsidRPr="00AB104D">
        <w:rPr>
          <w:rFonts w:ascii="Garamond" w:hAnsi="Garamond"/>
        </w:rPr>
        <w:t>Higa</w:t>
      </w:r>
      <w:proofErr w:type="spellEnd"/>
      <w:r w:rsidRPr="00AB104D">
        <w:rPr>
          <w:rFonts w:ascii="Garamond" w:hAnsi="Garamond"/>
        </w:rPr>
        <w:t xml:space="preserve"> and Assistant Center Lead Neda </w:t>
      </w:r>
      <w:proofErr w:type="spellStart"/>
      <w:r w:rsidRPr="00AB104D">
        <w:rPr>
          <w:rFonts w:ascii="Garamond" w:hAnsi="Garamond"/>
        </w:rPr>
        <w:t>Kasraee</w:t>
      </w:r>
      <w:proofErr w:type="spellEnd"/>
      <w:r w:rsidRPr="00AB104D">
        <w:rPr>
          <w:rFonts w:ascii="Garamond" w:hAnsi="Garamond"/>
        </w:rPr>
        <w:t>.</w:t>
      </w:r>
    </w:p>
    <w:p w14:paraId="4A38E354" w14:textId="77777777" w:rsidR="00AB104D" w:rsidRPr="00AB104D" w:rsidRDefault="00AB104D" w:rsidP="00AB104D">
      <w:pPr>
        <w:spacing w:after="0" w:line="240" w:lineRule="auto"/>
        <w:rPr>
          <w:rFonts w:ascii="Garamond" w:hAnsi="Garamond"/>
        </w:rPr>
      </w:pPr>
    </w:p>
    <w:p w14:paraId="0375F718" w14:textId="3DF2B6EB" w:rsidR="00AB104D" w:rsidRPr="00AB104D" w:rsidRDefault="00AB104D" w:rsidP="00AB104D">
      <w:pPr>
        <w:spacing w:after="0" w:line="240" w:lineRule="auto"/>
        <w:rPr>
          <w:rFonts w:ascii="Garamond" w:hAnsi="Garamond"/>
        </w:rPr>
      </w:pPr>
      <w:r w:rsidRPr="00AB104D">
        <w:rPr>
          <w:rFonts w:ascii="Garamond" w:hAnsi="Garamond"/>
        </w:rPr>
        <w:t xml:space="preserve">Finally, we would like to acknowledge the contributions of our project partners Brian </w:t>
      </w:r>
      <w:proofErr w:type="spellStart"/>
      <w:r w:rsidRPr="00AB104D">
        <w:rPr>
          <w:rFonts w:ascii="Garamond" w:hAnsi="Garamond"/>
        </w:rPr>
        <w:t>Huberty</w:t>
      </w:r>
      <w:proofErr w:type="spellEnd"/>
      <w:r w:rsidRPr="00AB104D">
        <w:rPr>
          <w:rFonts w:ascii="Garamond" w:hAnsi="Garamond"/>
        </w:rPr>
        <w:t xml:space="preserve">, Steve </w:t>
      </w:r>
      <w:proofErr w:type="spellStart"/>
      <w:r w:rsidRPr="00AB104D">
        <w:rPr>
          <w:rFonts w:ascii="Garamond" w:hAnsi="Garamond"/>
        </w:rPr>
        <w:t>Kloiber</w:t>
      </w:r>
      <w:proofErr w:type="spellEnd"/>
      <w:r w:rsidRPr="00AB104D">
        <w:rPr>
          <w:rFonts w:ascii="Garamond" w:hAnsi="Garamond"/>
        </w:rPr>
        <w:t xml:space="preserve">, Tom </w:t>
      </w:r>
      <w:proofErr w:type="spellStart"/>
      <w:r w:rsidRPr="00AB104D">
        <w:rPr>
          <w:rFonts w:ascii="Garamond" w:hAnsi="Garamond"/>
        </w:rPr>
        <w:t>Hollenhorst</w:t>
      </w:r>
      <w:proofErr w:type="spellEnd"/>
      <w:r w:rsidRPr="00AB104D">
        <w:rPr>
          <w:rFonts w:ascii="Garamond" w:hAnsi="Garamond"/>
        </w:rPr>
        <w:t>, Robb Macleod, Br</w:t>
      </w:r>
      <w:r w:rsidR="003717C4">
        <w:rPr>
          <w:rFonts w:ascii="Garamond" w:hAnsi="Garamond"/>
        </w:rPr>
        <w:t xml:space="preserve">andon </w:t>
      </w:r>
      <w:proofErr w:type="spellStart"/>
      <w:r w:rsidR="003717C4">
        <w:rPr>
          <w:rFonts w:ascii="Garamond" w:hAnsi="Garamond"/>
        </w:rPr>
        <w:t>Krumwiede</w:t>
      </w:r>
      <w:proofErr w:type="spellEnd"/>
      <w:r w:rsidR="003717C4">
        <w:rPr>
          <w:rFonts w:ascii="Garamond" w:hAnsi="Garamond"/>
        </w:rPr>
        <w:t>, and Joe Knight</w:t>
      </w:r>
      <w:r w:rsidRPr="00AB104D">
        <w:rPr>
          <w:rFonts w:ascii="Garamond" w:hAnsi="Garamond"/>
        </w:rPr>
        <w:t xml:space="preserve"> whose expert knowledge and field data made this project possible.</w:t>
      </w:r>
    </w:p>
    <w:p w14:paraId="5F950492" w14:textId="77777777" w:rsidR="00AB104D" w:rsidRPr="00AB104D" w:rsidRDefault="00AB104D" w:rsidP="00AB104D">
      <w:pPr>
        <w:spacing w:after="0" w:line="240" w:lineRule="auto"/>
        <w:rPr>
          <w:rFonts w:ascii="Garamond" w:hAnsi="Garamond"/>
        </w:rPr>
      </w:pPr>
    </w:p>
    <w:p w14:paraId="72DD3F5C" w14:textId="77777777" w:rsidR="00AB104D" w:rsidRPr="00AB104D" w:rsidRDefault="00AB104D" w:rsidP="00AB104D">
      <w:pPr>
        <w:spacing w:after="0" w:line="240" w:lineRule="auto"/>
        <w:rPr>
          <w:rFonts w:ascii="Garamond" w:hAnsi="Garamond"/>
        </w:rPr>
      </w:pPr>
      <w:r w:rsidRPr="00AB104D">
        <w:rPr>
          <w:rFonts w:ascii="Garamond" w:hAnsi="Garamond"/>
        </w:rPr>
        <w:t xml:space="preserve">This material contains modified Copernicus Sentinel data (2017-2018), processed by ESA. </w:t>
      </w:r>
    </w:p>
    <w:p w14:paraId="2CD4A2F6" w14:textId="77777777" w:rsidR="00AB104D" w:rsidRPr="00AB104D" w:rsidRDefault="00AB104D" w:rsidP="00AB104D">
      <w:pPr>
        <w:spacing w:after="0" w:line="240" w:lineRule="auto"/>
        <w:rPr>
          <w:rFonts w:ascii="Garamond" w:hAnsi="Garamond"/>
        </w:rPr>
      </w:pPr>
    </w:p>
    <w:p w14:paraId="747C78A0" w14:textId="77777777" w:rsidR="00AB104D" w:rsidRPr="00AB104D" w:rsidRDefault="00AB104D" w:rsidP="00AB104D">
      <w:pPr>
        <w:spacing w:after="0" w:line="240" w:lineRule="auto"/>
        <w:rPr>
          <w:rFonts w:ascii="Garamond" w:hAnsi="Garamond"/>
        </w:rPr>
      </w:pPr>
      <w:r w:rsidRPr="00AB104D">
        <w:rPr>
          <w:rFonts w:ascii="Garamond" w:hAnsi="Garamond"/>
        </w:rPr>
        <w:t>Any opinions, findings, and conclusions or recommendations expressed in this material are those of the author(s) and do not necessarily reflect the views of the National Aeronautics and Space Administration.</w:t>
      </w:r>
    </w:p>
    <w:p w14:paraId="662C9A58" w14:textId="77777777" w:rsidR="00AB104D" w:rsidRPr="00AB104D" w:rsidRDefault="00AB104D" w:rsidP="00AB104D">
      <w:pPr>
        <w:spacing w:after="0" w:line="240" w:lineRule="auto"/>
        <w:rPr>
          <w:rFonts w:ascii="Garamond" w:hAnsi="Garamond"/>
        </w:rPr>
      </w:pPr>
    </w:p>
    <w:p w14:paraId="108F742C" w14:textId="582A0480" w:rsidR="00FC670A" w:rsidRPr="0066138C" w:rsidRDefault="00AB104D" w:rsidP="00AB104D">
      <w:pPr>
        <w:spacing w:after="0" w:line="240" w:lineRule="auto"/>
        <w:rPr>
          <w:rFonts w:ascii="Garamond" w:hAnsi="Garamond"/>
        </w:rPr>
      </w:pPr>
      <w:r w:rsidRPr="00AB104D">
        <w:rPr>
          <w:rFonts w:ascii="Garamond" w:hAnsi="Garamond"/>
        </w:rPr>
        <w:t>This material is based upon work supported by NASA through contract NNL16AA05C.</w:t>
      </w:r>
    </w:p>
    <w:p w14:paraId="208BE60E" w14:textId="77777777" w:rsidR="0056152E" w:rsidRDefault="0056152E" w:rsidP="0066138C">
      <w:pPr>
        <w:pStyle w:val="Heading1"/>
        <w:spacing w:before="0" w:line="240" w:lineRule="auto"/>
        <w:rPr>
          <w:rFonts w:ascii="Garamond" w:hAnsi="Garamond"/>
        </w:rPr>
      </w:pPr>
      <w:bookmarkStart w:id="8"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61FE3483" w14:textId="77777777" w:rsidR="00AB104D" w:rsidRPr="00AB104D" w:rsidRDefault="00AB104D" w:rsidP="00AB104D">
      <w:pPr>
        <w:spacing w:after="0" w:line="240" w:lineRule="auto"/>
        <w:rPr>
          <w:rFonts w:ascii="Garamond" w:hAnsi="Garamond"/>
        </w:rPr>
      </w:pPr>
      <w:r w:rsidRPr="00AB104D">
        <w:rPr>
          <w:rFonts w:ascii="Garamond" w:hAnsi="Garamond"/>
          <w:b/>
        </w:rPr>
        <w:t>Earth observations</w:t>
      </w:r>
      <w:r w:rsidRPr="00AB104D">
        <w:rPr>
          <w:rFonts w:ascii="Garamond" w:hAnsi="Garamond"/>
        </w:rPr>
        <w:t xml:space="preserve"> – Satellites and sensors that collect information about the Earth’s physical, chemical, and biological systems over space and time</w:t>
      </w:r>
    </w:p>
    <w:p w14:paraId="34436F62" w14:textId="7F0E8A05" w:rsidR="00AB104D" w:rsidRPr="00AB104D" w:rsidRDefault="00AB104D" w:rsidP="00AB104D">
      <w:pPr>
        <w:spacing w:after="0" w:line="240" w:lineRule="auto"/>
        <w:rPr>
          <w:rFonts w:ascii="Garamond" w:hAnsi="Garamond"/>
        </w:rPr>
      </w:pPr>
      <w:r w:rsidRPr="00AB104D">
        <w:rPr>
          <w:rFonts w:ascii="Garamond" w:hAnsi="Garamond"/>
          <w:b/>
        </w:rPr>
        <w:t>Google Earth Engine</w:t>
      </w:r>
      <w:r w:rsidRPr="00AB104D">
        <w:rPr>
          <w:rFonts w:ascii="Garamond" w:hAnsi="Garamond"/>
        </w:rPr>
        <w:t xml:space="preserve"> – Cloud-based programming platform for various planetary-scale environmental data a</w:t>
      </w:r>
      <w:r w:rsidR="00337B65">
        <w:rPr>
          <w:rFonts w:ascii="Garamond" w:hAnsi="Garamond"/>
        </w:rPr>
        <w:t xml:space="preserve">nalysis that can perform highly </w:t>
      </w:r>
      <w:r w:rsidRPr="00AB104D">
        <w:rPr>
          <w:rFonts w:ascii="Garamond" w:hAnsi="Garamond"/>
        </w:rPr>
        <w:t>interactive algorithm development</w:t>
      </w:r>
    </w:p>
    <w:p w14:paraId="1A14D314" w14:textId="6BE1A21E" w:rsidR="00AB104D" w:rsidRPr="00AB104D" w:rsidRDefault="00AB104D" w:rsidP="00AB104D">
      <w:pPr>
        <w:spacing w:after="0" w:line="240" w:lineRule="auto"/>
        <w:rPr>
          <w:rFonts w:ascii="Garamond" w:hAnsi="Garamond"/>
        </w:rPr>
      </w:pPr>
      <w:r w:rsidRPr="00AB104D">
        <w:rPr>
          <w:rFonts w:ascii="Garamond" w:hAnsi="Garamond"/>
          <w:b/>
        </w:rPr>
        <w:lastRenderedPageBreak/>
        <w:t>Landsat 8</w:t>
      </w:r>
      <w:r w:rsidRPr="00AB104D">
        <w:rPr>
          <w:rFonts w:ascii="Garamond" w:hAnsi="Garamond"/>
        </w:rPr>
        <w:t xml:space="preserve"> – Global satellite that consists of two science instruments: </w:t>
      </w:r>
      <w:r w:rsidR="00337B65">
        <w:rPr>
          <w:rFonts w:ascii="Garamond" w:hAnsi="Garamond"/>
        </w:rPr>
        <w:t xml:space="preserve">the </w:t>
      </w:r>
      <w:r w:rsidRPr="00AB104D">
        <w:rPr>
          <w:rFonts w:ascii="Garamond" w:hAnsi="Garamond"/>
        </w:rPr>
        <w:t>Operational Land Imager (OLI) and the Thermal Infrared Sensor (TIRS); these two sensors provide seasonal coverage of the global landmass at a spatial resolution of 30 meters</w:t>
      </w:r>
    </w:p>
    <w:p w14:paraId="2BF25CE4" w14:textId="77777777" w:rsidR="00AB104D" w:rsidRPr="00AB104D" w:rsidRDefault="00AB104D" w:rsidP="00AB104D">
      <w:pPr>
        <w:spacing w:after="0" w:line="240" w:lineRule="auto"/>
        <w:rPr>
          <w:rFonts w:ascii="Garamond" w:hAnsi="Garamond"/>
        </w:rPr>
      </w:pPr>
      <w:r w:rsidRPr="00AB104D">
        <w:rPr>
          <w:rFonts w:ascii="Garamond" w:hAnsi="Garamond"/>
          <w:b/>
        </w:rPr>
        <w:t>LiDAR</w:t>
      </w:r>
      <w:r w:rsidRPr="00AB104D">
        <w:rPr>
          <w:rFonts w:ascii="Garamond" w:hAnsi="Garamond"/>
        </w:rPr>
        <w:t xml:space="preserve"> – A remote sensing method that uses light in the form of a pulsed laser to measure ranges to the Earth; these light pulses, combined with other data recorded by the airborne system, generate precise, three-dimensional information about the shape of the Earth and its surface characteristics</w:t>
      </w:r>
    </w:p>
    <w:p w14:paraId="0BE25A44" w14:textId="28B6DD1A" w:rsidR="00AB104D" w:rsidRPr="00AB104D" w:rsidRDefault="00337B65" w:rsidP="00AB104D">
      <w:pPr>
        <w:spacing w:after="0" w:line="240" w:lineRule="auto"/>
        <w:rPr>
          <w:rFonts w:ascii="Garamond" w:hAnsi="Garamond"/>
        </w:rPr>
      </w:pPr>
      <w:r>
        <w:rPr>
          <w:rFonts w:ascii="Garamond" w:hAnsi="Garamond"/>
          <w:b/>
        </w:rPr>
        <w:t>Random forest (RF) c</w:t>
      </w:r>
      <w:r w:rsidR="00AB104D" w:rsidRPr="00AB104D">
        <w:rPr>
          <w:rFonts w:ascii="Garamond" w:hAnsi="Garamond"/>
          <w:b/>
        </w:rPr>
        <w:t>lassifier</w:t>
      </w:r>
      <w:r w:rsidR="00AB104D" w:rsidRPr="00AB104D">
        <w:rPr>
          <w:rFonts w:ascii="Garamond" w:hAnsi="Garamond"/>
        </w:rPr>
        <w:t xml:space="preserve"> – An ensemble learning method for classification, regression, and other tasks that operates by constructing a multitude of decision trees at training time and outputting the class that is the mode of the classes (classification) or mean prediction (regression) of the individual trees</w:t>
      </w:r>
    </w:p>
    <w:p w14:paraId="09CA9BA8" w14:textId="26E80960" w:rsidR="00AB104D" w:rsidRDefault="00AB104D" w:rsidP="00B768DB">
      <w:pPr>
        <w:spacing w:after="0" w:line="240" w:lineRule="auto"/>
        <w:rPr>
          <w:rFonts w:ascii="Garamond" w:hAnsi="Garamond"/>
        </w:rPr>
      </w:pPr>
      <w:r w:rsidRPr="00AB104D">
        <w:rPr>
          <w:rFonts w:ascii="Garamond" w:hAnsi="Garamond"/>
          <w:b/>
        </w:rPr>
        <w:t>Sentinel-1 C-SAR</w:t>
      </w:r>
      <w:r w:rsidRPr="00AB104D">
        <w:rPr>
          <w:rFonts w:ascii="Garamond" w:hAnsi="Garamond"/>
        </w:rPr>
        <w:t xml:space="preserve"> – A satellite sensor that carries an advanced radar instrument to provide an all-weather, day-and-night suppl</w:t>
      </w:r>
      <w:r w:rsidR="00515A3C">
        <w:rPr>
          <w:rFonts w:ascii="Garamond" w:hAnsi="Garamond"/>
        </w:rPr>
        <w:t>y of imagery of Earth’s surface</w:t>
      </w:r>
    </w:p>
    <w:p w14:paraId="3C03667C" w14:textId="77777777" w:rsidR="00B768DB" w:rsidRPr="00B768DB" w:rsidRDefault="00B768DB" w:rsidP="00B768DB">
      <w:pPr>
        <w:spacing w:after="0" w:line="240" w:lineRule="auto"/>
        <w:rPr>
          <w:rFonts w:ascii="Garamond" w:hAnsi="Garamond"/>
        </w:rPr>
      </w:pPr>
    </w:p>
    <w:p w14:paraId="6A686CFC" w14:textId="63B3B983" w:rsidR="00E41324" w:rsidRPr="0066138C" w:rsidRDefault="001A67C2" w:rsidP="0066138C">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8"/>
    </w:p>
    <w:p w14:paraId="68B48F96" w14:textId="45AD0705"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Ach</w:t>
      </w:r>
      <w:r w:rsidR="00384C12">
        <w:rPr>
          <w:rFonts w:ascii="Garamond" w:hAnsi="Garamond"/>
        </w:rPr>
        <w:t>anta</w:t>
      </w:r>
      <w:proofErr w:type="spellEnd"/>
      <w:r w:rsidR="00384C12">
        <w:rPr>
          <w:rFonts w:ascii="Garamond" w:hAnsi="Garamond"/>
        </w:rPr>
        <w:t xml:space="preserve">, R., &amp; </w:t>
      </w:r>
      <w:proofErr w:type="spellStart"/>
      <w:r w:rsidR="00384C12">
        <w:rPr>
          <w:rFonts w:ascii="Garamond" w:hAnsi="Garamond"/>
        </w:rPr>
        <w:t>Süsstrunk</w:t>
      </w:r>
      <w:proofErr w:type="spellEnd"/>
      <w:r w:rsidR="00384C12">
        <w:rPr>
          <w:rFonts w:ascii="Garamond" w:hAnsi="Garamond"/>
        </w:rPr>
        <w:t>, S. (2017</w:t>
      </w:r>
      <w:r w:rsidRPr="00AB104D">
        <w:rPr>
          <w:rFonts w:ascii="Garamond" w:hAnsi="Garamond"/>
        </w:rPr>
        <w:t xml:space="preserve">). </w:t>
      </w:r>
      <w:proofErr w:type="spellStart"/>
      <w:r w:rsidRPr="00E41436">
        <w:rPr>
          <w:rFonts w:ascii="Garamond" w:hAnsi="Garamond"/>
          <w:i/>
        </w:rPr>
        <w:t>Superpixels</w:t>
      </w:r>
      <w:proofErr w:type="spellEnd"/>
      <w:r w:rsidRPr="00E41436">
        <w:rPr>
          <w:rFonts w:ascii="Garamond" w:hAnsi="Garamond"/>
          <w:i/>
        </w:rPr>
        <w:t xml:space="preserve"> and polygons using simple non-iterative clustering</w:t>
      </w:r>
      <w:r w:rsidRPr="00AB104D">
        <w:rPr>
          <w:rFonts w:ascii="Garamond" w:hAnsi="Garamond"/>
        </w:rPr>
        <w:t>. Paper presented at the 2017 IEEE Conference on Computer Vision and Pattern Recognition (CVPR). https://doi.org/10.1109/CVPR.2017.520</w:t>
      </w:r>
    </w:p>
    <w:p w14:paraId="770DAEC9" w14:textId="77777777" w:rsidR="00AB104D" w:rsidRPr="00AB104D" w:rsidRDefault="00AB104D" w:rsidP="003949EB">
      <w:pPr>
        <w:spacing w:after="0" w:line="240" w:lineRule="auto"/>
        <w:rPr>
          <w:rFonts w:ascii="Garamond" w:hAnsi="Garamond"/>
        </w:rPr>
      </w:pPr>
    </w:p>
    <w:p w14:paraId="62F7426A"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Anderson, J. P., &amp; Craig, W. J. (1984). </w:t>
      </w:r>
      <w:r w:rsidRPr="00E41436">
        <w:rPr>
          <w:rFonts w:ascii="Garamond" w:hAnsi="Garamond"/>
          <w:i/>
        </w:rPr>
        <w:t>Growing energy crops on Minnesota’s wetlands</w:t>
      </w:r>
      <w:r w:rsidRPr="00AB104D">
        <w:rPr>
          <w:rFonts w:ascii="Garamond" w:hAnsi="Garamond"/>
        </w:rPr>
        <w:t>: The land use perspective. Retrieved from http://www.cura.umn.edu/publications/catalog/e1037</w:t>
      </w:r>
    </w:p>
    <w:p w14:paraId="42BBBDD7" w14:textId="77777777" w:rsidR="00AB104D" w:rsidRPr="00AB104D" w:rsidRDefault="00AB104D" w:rsidP="00CC7D98">
      <w:pPr>
        <w:spacing w:after="0" w:line="240" w:lineRule="auto"/>
        <w:ind w:left="720" w:hanging="720"/>
        <w:rPr>
          <w:rFonts w:ascii="Garamond" w:hAnsi="Garamond"/>
        </w:rPr>
      </w:pPr>
    </w:p>
    <w:p w14:paraId="376EB912"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Blaschke</w:t>
      </w:r>
      <w:proofErr w:type="spellEnd"/>
      <w:r w:rsidRPr="00AB104D">
        <w:rPr>
          <w:rFonts w:ascii="Garamond" w:hAnsi="Garamond"/>
        </w:rPr>
        <w:t xml:space="preserve">, T. (2010). </w:t>
      </w:r>
      <w:r w:rsidRPr="00E41436">
        <w:rPr>
          <w:rFonts w:ascii="Garamond" w:hAnsi="Garamond"/>
          <w:i/>
        </w:rPr>
        <w:t>Object based image analysis for remote sensing.</w:t>
      </w:r>
      <w:r w:rsidRPr="00AB104D">
        <w:rPr>
          <w:rFonts w:ascii="Garamond" w:hAnsi="Garamond"/>
        </w:rPr>
        <w:t xml:space="preserve"> </w:t>
      </w:r>
      <w:r w:rsidRPr="00384C12">
        <w:rPr>
          <w:rFonts w:ascii="Garamond" w:hAnsi="Garamond"/>
          <w:i/>
        </w:rPr>
        <w:t>ISPRS Journal of Photogrammetry and Remote Sensing, 65</w:t>
      </w:r>
      <w:r w:rsidRPr="00AB104D">
        <w:rPr>
          <w:rFonts w:ascii="Garamond" w:hAnsi="Garamond"/>
        </w:rPr>
        <w:t>(1), 2-16. https://doi.org/10.1016/j.isprsjprs.2009.06.004</w:t>
      </w:r>
    </w:p>
    <w:p w14:paraId="2DBECAD2" w14:textId="77777777" w:rsidR="00AB104D" w:rsidRPr="00AB104D" w:rsidRDefault="00AB104D" w:rsidP="00CC7D98">
      <w:pPr>
        <w:spacing w:after="0" w:line="240" w:lineRule="auto"/>
        <w:ind w:left="720" w:hanging="720"/>
        <w:rPr>
          <w:rFonts w:ascii="Garamond" w:hAnsi="Garamond"/>
        </w:rPr>
      </w:pPr>
    </w:p>
    <w:p w14:paraId="0B77A79E"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Corcoran, J. M., Knight, J. F., &amp; Gallant, A. L. (2013). </w:t>
      </w:r>
      <w:r w:rsidRPr="003949EB">
        <w:rPr>
          <w:rFonts w:ascii="Garamond" w:hAnsi="Garamond"/>
        </w:rPr>
        <w:t>Influence of multi-source and multi-temporal remotely sensed and ancillary data on the accuracy of random forest classification of wetlands in northern Minnesota</w:t>
      </w:r>
      <w:r w:rsidRPr="007435BA">
        <w:rPr>
          <w:rFonts w:ascii="Garamond" w:hAnsi="Garamond"/>
        </w:rPr>
        <w:t>.</w:t>
      </w:r>
      <w:r w:rsidRPr="00AB104D">
        <w:rPr>
          <w:rFonts w:ascii="Garamond" w:hAnsi="Garamond"/>
        </w:rPr>
        <w:t xml:space="preserve"> </w:t>
      </w:r>
      <w:r w:rsidRPr="003949EB">
        <w:rPr>
          <w:rFonts w:ascii="Garamond" w:hAnsi="Garamond"/>
          <w:i/>
        </w:rPr>
        <w:t>Remote Sensing, 5</w:t>
      </w:r>
      <w:r w:rsidRPr="00AB104D">
        <w:rPr>
          <w:rFonts w:ascii="Garamond" w:hAnsi="Garamond"/>
        </w:rPr>
        <w:t>(7), 3212-3238. https://doi.org/10.3390/rs5073212</w:t>
      </w:r>
    </w:p>
    <w:p w14:paraId="08661D43" w14:textId="77777777" w:rsidR="00AB104D" w:rsidRPr="00AB104D" w:rsidRDefault="00AB104D" w:rsidP="00CC7D98">
      <w:pPr>
        <w:spacing w:after="0" w:line="240" w:lineRule="auto"/>
        <w:ind w:left="720" w:hanging="720"/>
        <w:rPr>
          <w:rFonts w:ascii="Garamond" w:hAnsi="Garamond"/>
        </w:rPr>
      </w:pPr>
    </w:p>
    <w:p w14:paraId="507D440B"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Dahl, T. E. (2011). </w:t>
      </w:r>
      <w:r w:rsidRPr="00E41436">
        <w:rPr>
          <w:rFonts w:ascii="Garamond" w:hAnsi="Garamond"/>
          <w:i/>
        </w:rPr>
        <w:t>Status and trends of wetlands in the conterminous United States 2004 to 2009.</w:t>
      </w:r>
      <w:r w:rsidRPr="00AB104D">
        <w:rPr>
          <w:rFonts w:ascii="Garamond" w:hAnsi="Garamond"/>
        </w:rPr>
        <w:t xml:space="preserve"> Washington DC: US Department of the Interior, Fish and Wildlife Service. Retrieved from https://www.fws.gov/wetlands/documents/Status-and-Trends-of-Wetlands-in-the-Conterminous-United-States-2004-to-2009.pdf</w:t>
      </w:r>
    </w:p>
    <w:p w14:paraId="782E4E2D" w14:textId="77777777" w:rsidR="00AB104D" w:rsidRPr="00AB104D" w:rsidRDefault="00AB104D" w:rsidP="00384C12">
      <w:pPr>
        <w:spacing w:after="0" w:line="240" w:lineRule="auto"/>
        <w:rPr>
          <w:rFonts w:ascii="Garamond" w:hAnsi="Garamond"/>
        </w:rPr>
      </w:pPr>
    </w:p>
    <w:p w14:paraId="237A15AD" w14:textId="77777777" w:rsidR="00AB104D" w:rsidRPr="00AB104D" w:rsidRDefault="00AB104D" w:rsidP="00CC7D98">
      <w:pPr>
        <w:spacing w:after="0" w:line="240" w:lineRule="auto"/>
        <w:ind w:left="720" w:hanging="720"/>
        <w:rPr>
          <w:rFonts w:ascii="Garamond" w:hAnsi="Garamond"/>
        </w:rPr>
      </w:pPr>
      <w:proofErr w:type="gramStart"/>
      <w:r w:rsidRPr="00AB104D">
        <w:rPr>
          <w:rFonts w:ascii="Garamond" w:hAnsi="Garamond"/>
        </w:rPr>
        <w:t>Gao</w:t>
      </w:r>
      <w:proofErr w:type="gramEnd"/>
      <w:r w:rsidRPr="00AB104D">
        <w:rPr>
          <w:rFonts w:ascii="Garamond" w:hAnsi="Garamond"/>
        </w:rPr>
        <w:t>, B. (1996). NDWI—</w:t>
      </w:r>
      <w:r w:rsidRPr="003949EB">
        <w:rPr>
          <w:rFonts w:ascii="Garamond" w:hAnsi="Garamond"/>
        </w:rPr>
        <w:t>A normalized difference water index for remote sensing of vegetation liquid water from space</w:t>
      </w:r>
      <w:r w:rsidRPr="00AB104D">
        <w:rPr>
          <w:rFonts w:ascii="Garamond" w:hAnsi="Garamond"/>
        </w:rPr>
        <w:t xml:space="preserve">. </w:t>
      </w:r>
      <w:r w:rsidRPr="003949EB">
        <w:rPr>
          <w:rFonts w:ascii="Garamond" w:hAnsi="Garamond"/>
          <w:i/>
        </w:rPr>
        <w:t>Remote Sensing of Environment, 58</w:t>
      </w:r>
      <w:r w:rsidRPr="00AB104D">
        <w:rPr>
          <w:rFonts w:ascii="Garamond" w:hAnsi="Garamond"/>
        </w:rPr>
        <w:t xml:space="preserve">(3), 257-266. https://doi.org/10.1016/S0034-4257(96)00067-3  </w:t>
      </w:r>
    </w:p>
    <w:p w14:paraId="1D9E6358" w14:textId="77777777" w:rsidR="00AB104D" w:rsidRPr="00AB104D" w:rsidRDefault="00AB104D" w:rsidP="00CC7D98">
      <w:pPr>
        <w:spacing w:after="0" w:line="240" w:lineRule="auto"/>
        <w:ind w:left="720" w:hanging="720"/>
        <w:rPr>
          <w:rFonts w:ascii="Garamond" w:hAnsi="Garamond"/>
        </w:rPr>
      </w:pPr>
    </w:p>
    <w:p w14:paraId="6055E41C"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Gislason</w:t>
      </w:r>
      <w:proofErr w:type="spellEnd"/>
      <w:r w:rsidRPr="00AB104D">
        <w:rPr>
          <w:rFonts w:ascii="Garamond" w:hAnsi="Garamond"/>
        </w:rPr>
        <w:t xml:space="preserve">, P. O., </w:t>
      </w:r>
      <w:proofErr w:type="spellStart"/>
      <w:r w:rsidRPr="00AB104D">
        <w:rPr>
          <w:rFonts w:ascii="Garamond" w:hAnsi="Garamond"/>
        </w:rPr>
        <w:t>Benediktsson</w:t>
      </w:r>
      <w:proofErr w:type="spellEnd"/>
      <w:r w:rsidRPr="00AB104D">
        <w:rPr>
          <w:rFonts w:ascii="Garamond" w:hAnsi="Garamond"/>
        </w:rPr>
        <w:t xml:space="preserve">, J. A., &amp; </w:t>
      </w:r>
      <w:proofErr w:type="spellStart"/>
      <w:r w:rsidRPr="00AB104D">
        <w:rPr>
          <w:rFonts w:ascii="Garamond" w:hAnsi="Garamond"/>
        </w:rPr>
        <w:t>Sveinsson</w:t>
      </w:r>
      <w:proofErr w:type="spellEnd"/>
      <w:r w:rsidRPr="00AB104D">
        <w:rPr>
          <w:rFonts w:ascii="Garamond" w:hAnsi="Garamond"/>
        </w:rPr>
        <w:t xml:space="preserve">, J. R. (2006). </w:t>
      </w:r>
      <w:r w:rsidRPr="003949EB">
        <w:rPr>
          <w:rFonts w:ascii="Garamond" w:hAnsi="Garamond"/>
        </w:rPr>
        <w:t>Random forests for land cover classification</w:t>
      </w:r>
      <w:r w:rsidRPr="00E41436">
        <w:rPr>
          <w:rFonts w:ascii="Garamond" w:hAnsi="Garamond"/>
          <w:i/>
        </w:rPr>
        <w:t>.</w:t>
      </w:r>
      <w:r w:rsidRPr="00AB104D">
        <w:rPr>
          <w:rFonts w:ascii="Garamond" w:hAnsi="Garamond"/>
        </w:rPr>
        <w:t xml:space="preserve"> </w:t>
      </w:r>
      <w:r w:rsidRPr="003949EB">
        <w:rPr>
          <w:rFonts w:ascii="Garamond" w:hAnsi="Garamond"/>
          <w:i/>
        </w:rPr>
        <w:t>Pattern Recognition Letters, 27</w:t>
      </w:r>
      <w:r w:rsidRPr="00AB104D">
        <w:rPr>
          <w:rFonts w:ascii="Garamond" w:hAnsi="Garamond"/>
        </w:rPr>
        <w:t>(4), 294-300. https://doi.org/10.1016/j.patrec.2005.08.011</w:t>
      </w:r>
    </w:p>
    <w:p w14:paraId="5A1CE867" w14:textId="77777777" w:rsidR="00AB104D" w:rsidRPr="00AB104D" w:rsidRDefault="00AB104D" w:rsidP="00CC7D98">
      <w:pPr>
        <w:spacing w:after="0" w:line="240" w:lineRule="auto"/>
        <w:ind w:left="720" w:hanging="720"/>
        <w:rPr>
          <w:rFonts w:ascii="Garamond" w:hAnsi="Garamond"/>
        </w:rPr>
      </w:pPr>
    </w:p>
    <w:p w14:paraId="220C9648" w14:textId="52073E09"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Google Developers. (2019, February 15). Sentinel-1 algorithms. </w:t>
      </w:r>
      <w:r w:rsidRPr="00E41436">
        <w:rPr>
          <w:rFonts w:ascii="Garamond" w:hAnsi="Garamond"/>
          <w:i/>
        </w:rPr>
        <w:t>Google Earth Engine API</w:t>
      </w:r>
      <w:r w:rsidRPr="00AB104D">
        <w:rPr>
          <w:rFonts w:ascii="Garamond" w:hAnsi="Garamond"/>
        </w:rPr>
        <w:t xml:space="preserve">. Retrieved </w:t>
      </w:r>
      <w:r w:rsidR="00384C12">
        <w:rPr>
          <w:rFonts w:ascii="Garamond" w:hAnsi="Garamond"/>
        </w:rPr>
        <w:t xml:space="preserve">28 March </w:t>
      </w:r>
      <w:r w:rsidRPr="00AB104D">
        <w:rPr>
          <w:rFonts w:ascii="Garamond" w:hAnsi="Garamond"/>
        </w:rPr>
        <w:t>2019 from https://developers.google.com/earth-engine/sentinel1</w:t>
      </w:r>
    </w:p>
    <w:p w14:paraId="57EDF9FC" w14:textId="77777777" w:rsidR="00AB104D" w:rsidRPr="00AB104D" w:rsidRDefault="00AB104D" w:rsidP="00CC7D98">
      <w:pPr>
        <w:spacing w:after="0" w:line="240" w:lineRule="auto"/>
        <w:ind w:left="720" w:hanging="720"/>
        <w:rPr>
          <w:rFonts w:ascii="Garamond" w:hAnsi="Garamond"/>
        </w:rPr>
      </w:pPr>
    </w:p>
    <w:p w14:paraId="5F9C0A5E"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Gorelick, N., </w:t>
      </w:r>
      <w:proofErr w:type="spellStart"/>
      <w:r w:rsidRPr="00AB104D">
        <w:rPr>
          <w:rFonts w:ascii="Garamond" w:hAnsi="Garamond"/>
        </w:rPr>
        <w:t>Hancher</w:t>
      </w:r>
      <w:proofErr w:type="spellEnd"/>
      <w:r w:rsidRPr="00AB104D">
        <w:rPr>
          <w:rFonts w:ascii="Garamond" w:hAnsi="Garamond"/>
        </w:rPr>
        <w:t xml:space="preserve">, M., Dixon, M., </w:t>
      </w:r>
      <w:proofErr w:type="spellStart"/>
      <w:r w:rsidRPr="00AB104D">
        <w:rPr>
          <w:rFonts w:ascii="Garamond" w:hAnsi="Garamond"/>
        </w:rPr>
        <w:t>Ilyushchenko</w:t>
      </w:r>
      <w:proofErr w:type="spellEnd"/>
      <w:r w:rsidRPr="00AB104D">
        <w:rPr>
          <w:rFonts w:ascii="Garamond" w:hAnsi="Garamond"/>
        </w:rPr>
        <w:t xml:space="preserve">, S., </w:t>
      </w:r>
      <w:proofErr w:type="spellStart"/>
      <w:r w:rsidRPr="00AB104D">
        <w:rPr>
          <w:rFonts w:ascii="Garamond" w:hAnsi="Garamond"/>
        </w:rPr>
        <w:t>Thau</w:t>
      </w:r>
      <w:proofErr w:type="spellEnd"/>
      <w:r w:rsidRPr="00AB104D">
        <w:rPr>
          <w:rFonts w:ascii="Garamond" w:hAnsi="Garamond"/>
        </w:rPr>
        <w:t>, D., &amp; Moore, R. (2017).</w:t>
      </w:r>
      <w:r w:rsidRPr="00E41436">
        <w:rPr>
          <w:rFonts w:ascii="Garamond" w:hAnsi="Garamond"/>
          <w:i/>
        </w:rPr>
        <w:t xml:space="preserve"> </w:t>
      </w:r>
      <w:r w:rsidRPr="003949EB">
        <w:rPr>
          <w:rFonts w:ascii="Garamond" w:hAnsi="Garamond"/>
        </w:rPr>
        <w:t>Google Earth Engine: Planetary-scale geospatial analysis for everyone</w:t>
      </w:r>
      <w:r w:rsidRPr="007435BA">
        <w:rPr>
          <w:rFonts w:ascii="Garamond" w:hAnsi="Garamond"/>
        </w:rPr>
        <w:t>.</w:t>
      </w:r>
      <w:r w:rsidRPr="00AB104D">
        <w:rPr>
          <w:rFonts w:ascii="Garamond" w:hAnsi="Garamond"/>
        </w:rPr>
        <w:t xml:space="preserve"> </w:t>
      </w:r>
      <w:r w:rsidRPr="003949EB">
        <w:rPr>
          <w:rFonts w:ascii="Garamond" w:hAnsi="Garamond"/>
          <w:i/>
        </w:rPr>
        <w:t>Remote Sensing of Environment, 202</w:t>
      </w:r>
      <w:r w:rsidRPr="00AB104D">
        <w:rPr>
          <w:rFonts w:ascii="Garamond" w:hAnsi="Garamond"/>
        </w:rPr>
        <w:t>, 18-27. https://doi.org/10.1016/j.rse.2017.06.031</w:t>
      </w:r>
    </w:p>
    <w:p w14:paraId="00469F7B" w14:textId="77777777" w:rsidR="00AB104D" w:rsidRPr="00AB104D" w:rsidRDefault="00AB104D" w:rsidP="00CC7D98">
      <w:pPr>
        <w:spacing w:after="0" w:line="240" w:lineRule="auto"/>
        <w:ind w:left="720" w:hanging="720"/>
        <w:rPr>
          <w:rFonts w:ascii="Garamond" w:hAnsi="Garamond"/>
        </w:rPr>
      </w:pPr>
    </w:p>
    <w:p w14:paraId="3060D14E"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Huang, C., Peng, Y., Lang, M., Yeo, I.-Y., &amp; McCarty, G. (2014). </w:t>
      </w:r>
      <w:r w:rsidRPr="003949EB">
        <w:rPr>
          <w:rFonts w:ascii="Garamond" w:hAnsi="Garamond"/>
        </w:rPr>
        <w:t>Wetland inundation mapping and change monitoring using Landsat and airborne LiDAR data</w:t>
      </w:r>
      <w:r w:rsidRPr="007435BA">
        <w:rPr>
          <w:rFonts w:ascii="Garamond" w:hAnsi="Garamond"/>
        </w:rPr>
        <w:t>.</w:t>
      </w:r>
      <w:r w:rsidRPr="00AB104D">
        <w:rPr>
          <w:rFonts w:ascii="Garamond" w:hAnsi="Garamond"/>
        </w:rPr>
        <w:t xml:space="preserve"> </w:t>
      </w:r>
      <w:r w:rsidRPr="003949EB">
        <w:rPr>
          <w:rFonts w:ascii="Garamond" w:hAnsi="Garamond"/>
          <w:i/>
        </w:rPr>
        <w:t>Remote Sensing of Environment, 141</w:t>
      </w:r>
      <w:r w:rsidRPr="00AB104D">
        <w:rPr>
          <w:rFonts w:ascii="Garamond" w:hAnsi="Garamond"/>
        </w:rPr>
        <w:t>, 231-242. https://doi.org/10.1016/j.rse.2013.10.020</w:t>
      </w:r>
    </w:p>
    <w:p w14:paraId="0D4A69D8" w14:textId="77777777" w:rsidR="00AB104D" w:rsidRPr="00AB104D" w:rsidRDefault="00AB104D" w:rsidP="00CC7D98">
      <w:pPr>
        <w:spacing w:after="0" w:line="240" w:lineRule="auto"/>
        <w:ind w:left="720" w:hanging="720"/>
        <w:rPr>
          <w:rFonts w:ascii="Garamond" w:hAnsi="Garamond"/>
        </w:rPr>
      </w:pPr>
    </w:p>
    <w:p w14:paraId="7ACB306C" w14:textId="4FA5397F" w:rsidR="00AB104D" w:rsidRPr="00AB104D" w:rsidRDefault="00AB104D" w:rsidP="00CC7D98">
      <w:pPr>
        <w:spacing w:after="0" w:line="240" w:lineRule="auto"/>
        <w:ind w:left="720" w:hanging="720"/>
        <w:rPr>
          <w:rFonts w:ascii="Garamond" w:hAnsi="Garamond"/>
        </w:rPr>
      </w:pPr>
      <w:r w:rsidRPr="00AB104D">
        <w:rPr>
          <w:rFonts w:ascii="Garamond" w:hAnsi="Garamond"/>
        </w:rPr>
        <w:lastRenderedPageBreak/>
        <w:t xml:space="preserve">Huang, W., DeVries, B., Huang, C., Lang. M. W., Jones, J. W., Creed, I. F., &amp; Carroll, M. L. (2018). </w:t>
      </w:r>
      <w:r w:rsidRPr="003949EB">
        <w:rPr>
          <w:rFonts w:ascii="Garamond" w:hAnsi="Garamond"/>
        </w:rPr>
        <w:t>Automated extraction of surface water extent from Sentinel-1 data</w:t>
      </w:r>
      <w:r w:rsidRPr="007435BA">
        <w:rPr>
          <w:rFonts w:ascii="Garamond" w:hAnsi="Garamond"/>
        </w:rPr>
        <w:t xml:space="preserve">. </w:t>
      </w:r>
      <w:r w:rsidRPr="003949EB">
        <w:rPr>
          <w:rFonts w:ascii="Garamond" w:hAnsi="Garamond"/>
          <w:i/>
        </w:rPr>
        <w:t>Remote Sensing, 10</w:t>
      </w:r>
      <w:r w:rsidR="007435BA">
        <w:rPr>
          <w:rFonts w:ascii="Garamond" w:hAnsi="Garamond"/>
        </w:rPr>
        <w:t>(</w:t>
      </w:r>
      <w:r w:rsidRPr="00AB104D">
        <w:rPr>
          <w:rFonts w:ascii="Garamond" w:hAnsi="Garamond"/>
        </w:rPr>
        <w:t>5</w:t>
      </w:r>
      <w:r w:rsidR="007435BA">
        <w:rPr>
          <w:rFonts w:ascii="Garamond" w:hAnsi="Garamond"/>
        </w:rPr>
        <w:t>)</w:t>
      </w:r>
      <w:r w:rsidRPr="00AB104D">
        <w:rPr>
          <w:rFonts w:ascii="Garamond" w:hAnsi="Garamond"/>
        </w:rPr>
        <w:t>, 797. http://doi.org/10.3390/rs10050797</w:t>
      </w:r>
    </w:p>
    <w:p w14:paraId="600D9ED6" w14:textId="77777777" w:rsidR="00AB104D" w:rsidRPr="00AB104D" w:rsidRDefault="00AB104D" w:rsidP="00CC7D98">
      <w:pPr>
        <w:spacing w:after="0" w:line="240" w:lineRule="auto"/>
        <w:ind w:left="720" w:hanging="720"/>
        <w:rPr>
          <w:rFonts w:ascii="Garamond" w:hAnsi="Garamond"/>
        </w:rPr>
      </w:pPr>
    </w:p>
    <w:p w14:paraId="0FC40B00" w14:textId="79767E49" w:rsidR="00384C12" w:rsidRPr="00384C12" w:rsidRDefault="00384C12" w:rsidP="00384C12">
      <w:pPr>
        <w:spacing w:after="0"/>
        <w:ind w:left="720" w:hanging="720"/>
        <w:rPr>
          <w:rFonts w:ascii="Garamond" w:hAnsi="Garamond" w:cs="Consolas"/>
          <w:color w:val="000000"/>
          <w:shd w:val="clear" w:color="auto" w:fill="FFFFFF"/>
        </w:rPr>
      </w:pPr>
      <w:proofErr w:type="spellStart"/>
      <w:r w:rsidRPr="00CD2214">
        <w:rPr>
          <w:rFonts w:ascii="Garamond" w:hAnsi="Garamond" w:cs="Consolas"/>
          <w:color w:val="000000"/>
          <w:shd w:val="clear" w:color="auto" w:fill="FFFFFF"/>
        </w:rPr>
        <w:t>Kautz</w:t>
      </w:r>
      <w:proofErr w:type="spellEnd"/>
      <w:r w:rsidRPr="00CD2214">
        <w:rPr>
          <w:rFonts w:ascii="Garamond" w:hAnsi="Garamond" w:cs="Consolas"/>
          <w:color w:val="000000"/>
          <w:shd w:val="clear" w:color="auto" w:fill="FFFFFF"/>
        </w:rPr>
        <w:t xml:space="preserve">, S. (2018). Landsat 8 OLI (Operational Land Imager) </w:t>
      </w:r>
      <w:r>
        <w:rPr>
          <w:rFonts w:ascii="Garamond" w:hAnsi="Garamond" w:cs="Consolas"/>
          <w:color w:val="000000"/>
          <w:shd w:val="clear" w:color="auto" w:fill="FFFFFF"/>
        </w:rPr>
        <w:t>[Dataset]. US</w:t>
      </w:r>
      <w:r w:rsidRPr="00CD2214">
        <w:rPr>
          <w:rFonts w:ascii="Garamond" w:hAnsi="Garamond" w:cs="Consolas"/>
          <w:color w:val="000000"/>
          <w:shd w:val="clear" w:color="auto" w:fill="FFFFFF"/>
        </w:rPr>
        <w:t xml:space="preserve"> Geological Survey. https://doi.org/10.5066/f71835s6</w:t>
      </w:r>
    </w:p>
    <w:p w14:paraId="6EE6BAB7" w14:textId="77777777" w:rsidR="00384C12" w:rsidRDefault="00384C12" w:rsidP="00CC7D98">
      <w:pPr>
        <w:spacing w:after="0" w:line="240" w:lineRule="auto"/>
        <w:ind w:left="720" w:hanging="720"/>
        <w:rPr>
          <w:rFonts w:ascii="Garamond" w:hAnsi="Garamond"/>
        </w:rPr>
      </w:pPr>
    </w:p>
    <w:p w14:paraId="05935E79"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Kloiber</w:t>
      </w:r>
      <w:proofErr w:type="spellEnd"/>
      <w:r w:rsidRPr="00AB104D">
        <w:rPr>
          <w:rFonts w:ascii="Garamond" w:hAnsi="Garamond"/>
        </w:rPr>
        <w:t xml:space="preserve">, S. M., Macleod, R. D., Smith, A. J., Knight, J. F., &amp; </w:t>
      </w:r>
      <w:proofErr w:type="spellStart"/>
      <w:r w:rsidRPr="00AB104D">
        <w:rPr>
          <w:rFonts w:ascii="Garamond" w:hAnsi="Garamond"/>
        </w:rPr>
        <w:t>Huberty</w:t>
      </w:r>
      <w:proofErr w:type="spellEnd"/>
      <w:r w:rsidRPr="00AB104D">
        <w:rPr>
          <w:rFonts w:ascii="Garamond" w:hAnsi="Garamond"/>
        </w:rPr>
        <w:t>, B. J. (2015</w:t>
      </w:r>
      <w:r w:rsidRPr="00E41436">
        <w:rPr>
          <w:rFonts w:ascii="Garamond" w:hAnsi="Garamond"/>
          <w:i/>
        </w:rPr>
        <w:t xml:space="preserve">). </w:t>
      </w:r>
      <w:r w:rsidRPr="003949EB">
        <w:rPr>
          <w:rFonts w:ascii="Garamond" w:hAnsi="Garamond"/>
        </w:rPr>
        <w:t>A semi-automated, multi-source data fusion update of a wetland inventory for East-Central Minnesota, USA</w:t>
      </w:r>
      <w:r w:rsidRPr="007435BA">
        <w:rPr>
          <w:rFonts w:ascii="Garamond" w:hAnsi="Garamond"/>
        </w:rPr>
        <w:t xml:space="preserve">. </w:t>
      </w:r>
      <w:r w:rsidRPr="003949EB">
        <w:rPr>
          <w:rFonts w:ascii="Garamond" w:hAnsi="Garamond"/>
          <w:i/>
        </w:rPr>
        <w:t>Wetlands, 35</w:t>
      </w:r>
      <w:r w:rsidRPr="00AB104D">
        <w:rPr>
          <w:rFonts w:ascii="Garamond" w:hAnsi="Garamond"/>
        </w:rPr>
        <w:t>(2), 335-348. https://doi.org/10.1007/s13157-014-0621-3</w:t>
      </w:r>
    </w:p>
    <w:p w14:paraId="019BFC90" w14:textId="77777777" w:rsidR="00AB104D" w:rsidRPr="00AB104D" w:rsidRDefault="00AB104D" w:rsidP="00CC7D98">
      <w:pPr>
        <w:spacing w:after="0" w:line="240" w:lineRule="auto"/>
        <w:ind w:left="720" w:hanging="720"/>
        <w:rPr>
          <w:rFonts w:ascii="Garamond" w:hAnsi="Garamond"/>
        </w:rPr>
      </w:pPr>
    </w:p>
    <w:p w14:paraId="5834C10E"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Lang, M., McCarty, G., </w:t>
      </w:r>
      <w:proofErr w:type="spellStart"/>
      <w:r w:rsidRPr="00AB104D">
        <w:rPr>
          <w:rFonts w:ascii="Garamond" w:hAnsi="Garamond"/>
        </w:rPr>
        <w:t>Oesterling</w:t>
      </w:r>
      <w:proofErr w:type="spellEnd"/>
      <w:r w:rsidRPr="00AB104D">
        <w:rPr>
          <w:rFonts w:ascii="Garamond" w:hAnsi="Garamond"/>
        </w:rPr>
        <w:t xml:space="preserve">, R., &amp; Yeo, I.-Y. (2013). </w:t>
      </w:r>
      <w:r w:rsidRPr="003949EB">
        <w:rPr>
          <w:rFonts w:ascii="Garamond" w:hAnsi="Garamond"/>
        </w:rPr>
        <w:t>Topographic metrics for improved mapping of forested wetland</w:t>
      </w:r>
      <w:r w:rsidRPr="007435BA">
        <w:rPr>
          <w:rFonts w:ascii="Garamond" w:hAnsi="Garamond"/>
        </w:rPr>
        <w:t>s.</w:t>
      </w:r>
      <w:r w:rsidRPr="00AB104D">
        <w:rPr>
          <w:rFonts w:ascii="Garamond" w:hAnsi="Garamond"/>
        </w:rPr>
        <w:t xml:space="preserve"> </w:t>
      </w:r>
      <w:r w:rsidRPr="003949EB">
        <w:rPr>
          <w:rFonts w:ascii="Garamond" w:hAnsi="Garamond"/>
          <w:i/>
        </w:rPr>
        <w:t>Wetlands, 33</w:t>
      </w:r>
      <w:r w:rsidRPr="00AB104D">
        <w:rPr>
          <w:rFonts w:ascii="Garamond" w:hAnsi="Garamond"/>
        </w:rPr>
        <w:t>(1), 141-155. http://doi.org/10.1007/s13157-012-0359-8</w:t>
      </w:r>
    </w:p>
    <w:p w14:paraId="7ADF1E62" w14:textId="77777777" w:rsidR="00AB104D" w:rsidRPr="00AB104D" w:rsidRDefault="00AB104D" w:rsidP="00CC7D98">
      <w:pPr>
        <w:spacing w:after="0" w:line="240" w:lineRule="auto"/>
        <w:ind w:left="720" w:hanging="720"/>
        <w:rPr>
          <w:rFonts w:ascii="Garamond" w:hAnsi="Garamond"/>
        </w:rPr>
      </w:pPr>
    </w:p>
    <w:p w14:paraId="5C9D9B46"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Lang, M. W., </w:t>
      </w:r>
      <w:proofErr w:type="spellStart"/>
      <w:r w:rsidRPr="00AB104D">
        <w:rPr>
          <w:rFonts w:ascii="Garamond" w:hAnsi="Garamond"/>
        </w:rPr>
        <w:t>Kasischke</w:t>
      </w:r>
      <w:proofErr w:type="spellEnd"/>
      <w:r w:rsidRPr="00AB104D">
        <w:rPr>
          <w:rFonts w:ascii="Garamond" w:hAnsi="Garamond"/>
        </w:rPr>
        <w:t xml:space="preserve">, E. S., Prince, S. D., &amp; Pittman, K. W. (2008). </w:t>
      </w:r>
      <w:r w:rsidRPr="003949EB">
        <w:rPr>
          <w:rFonts w:ascii="Garamond" w:hAnsi="Garamond"/>
        </w:rPr>
        <w:t>Assessment of C-band synthetic aperture radar data for mapping and monitoring Coastal Plain forested wetlands in the Mid-Atlantic Region, U.S.A</w:t>
      </w:r>
      <w:r w:rsidRPr="007435BA">
        <w:rPr>
          <w:rFonts w:ascii="Garamond" w:hAnsi="Garamond"/>
        </w:rPr>
        <w:t>.</w:t>
      </w:r>
      <w:r w:rsidRPr="00AB104D">
        <w:rPr>
          <w:rFonts w:ascii="Garamond" w:hAnsi="Garamond"/>
        </w:rPr>
        <w:t xml:space="preserve"> </w:t>
      </w:r>
      <w:r w:rsidRPr="003949EB">
        <w:rPr>
          <w:rFonts w:ascii="Garamond" w:hAnsi="Garamond"/>
          <w:i/>
        </w:rPr>
        <w:t>Remote Sensing of Environment, 112(</w:t>
      </w:r>
      <w:r w:rsidRPr="00AB104D">
        <w:rPr>
          <w:rFonts w:ascii="Garamond" w:hAnsi="Garamond"/>
        </w:rPr>
        <w:t>11), 4120-4130. https://doi.org/10.1016/j.rse.2007.08.026</w:t>
      </w:r>
    </w:p>
    <w:p w14:paraId="255AA812" w14:textId="77777777" w:rsidR="00AB104D" w:rsidRPr="00AB104D" w:rsidRDefault="00AB104D" w:rsidP="00CC7D98">
      <w:pPr>
        <w:spacing w:after="0" w:line="240" w:lineRule="auto"/>
        <w:ind w:left="720" w:hanging="720"/>
        <w:rPr>
          <w:rFonts w:ascii="Garamond" w:hAnsi="Garamond"/>
        </w:rPr>
      </w:pPr>
    </w:p>
    <w:p w14:paraId="21EE73A3"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Mahdianpari</w:t>
      </w:r>
      <w:proofErr w:type="spellEnd"/>
      <w:r w:rsidRPr="00AB104D">
        <w:rPr>
          <w:rFonts w:ascii="Garamond" w:hAnsi="Garamond"/>
        </w:rPr>
        <w:t xml:space="preserve">, M., Salehi, B., </w:t>
      </w:r>
      <w:proofErr w:type="spellStart"/>
      <w:r w:rsidRPr="00AB104D">
        <w:rPr>
          <w:rFonts w:ascii="Garamond" w:hAnsi="Garamond"/>
        </w:rPr>
        <w:t>Mohammadimanesh</w:t>
      </w:r>
      <w:proofErr w:type="spellEnd"/>
      <w:r w:rsidRPr="00AB104D">
        <w:rPr>
          <w:rFonts w:ascii="Garamond" w:hAnsi="Garamond"/>
        </w:rPr>
        <w:t xml:space="preserve">, F., </w:t>
      </w:r>
      <w:proofErr w:type="spellStart"/>
      <w:r w:rsidRPr="00AB104D">
        <w:rPr>
          <w:rFonts w:ascii="Garamond" w:hAnsi="Garamond"/>
        </w:rPr>
        <w:t>Homayouni</w:t>
      </w:r>
      <w:proofErr w:type="spellEnd"/>
      <w:r w:rsidRPr="00AB104D">
        <w:rPr>
          <w:rFonts w:ascii="Garamond" w:hAnsi="Garamond"/>
        </w:rPr>
        <w:t xml:space="preserve">, S., &amp; Gill, E. (2019). </w:t>
      </w:r>
      <w:r w:rsidRPr="003949EB">
        <w:rPr>
          <w:rFonts w:ascii="Garamond" w:hAnsi="Garamond"/>
        </w:rPr>
        <w:t>The first wetland inventory map of Newfoundland at a spatial resolution of 10 m using Sentinel-1 and Sentinel-2 Data on the Google Earth Engine cloud computing platform</w:t>
      </w:r>
      <w:r w:rsidRPr="007435BA">
        <w:rPr>
          <w:rFonts w:ascii="Garamond" w:hAnsi="Garamond"/>
        </w:rPr>
        <w:t xml:space="preserve">. </w:t>
      </w:r>
      <w:r w:rsidRPr="003949EB">
        <w:rPr>
          <w:rFonts w:ascii="Garamond" w:hAnsi="Garamond"/>
          <w:i/>
        </w:rPr>
        <w:t>Remote Sensing, 11</w:t>
      </w:r>
      <w:r w:rsidRPr="00AB104D">
        <w:rPr>
          <w:rFonts w:ascii="Garamond" w:hAnsi="Garamond"/>
        </w:rPr>
        <w:t>(1), 43. https://doi.org/10.3390/rs11010043</w:t>
      </w:r>
    </w:p>
    <w:p w14:paraId="53D6F76D" w14:textId="77777777" w:rsidR="00AB104D" w:rsidRPr="00AB104D" w:rsidRDefault="00AB104D" w:rsidP="00CC7D98">
      <w:pPr>
        <w:spacing w:after="0" w:line="240" w:lineRule="auto"/>
        <w:ind w:left="720" w:hanging="720"/>
        <w:rPr>
          <w:rFonts w:ascii="Garamond" w:hAnsi="Garamond"/>
        </w:rPr>
      </w:pPr>
    </w:p>
    <w:p w14:paraId="78DEE7D0" w14:textId="5B56FD17" w:rsidR="00AB104D" w:rsidRDefault="00AB104D" w:rsidP="00CC7D98">
      <w:pPr>
        <w:spacing w:after="0" w:line="240" w:lineRule="auto"/>
        <w:ind w:left="720" w:hanging="720"/>
        <w:rPr>
          <w:rFonts w:ascii="Garamond" w:hAnsi="Garamond"/>
        </w:rPr>
      </w:pPr>
      <w:proofErr w:type="spellStart"/>
      <w:r w:rsidRPr="00AB104D">
        <w:rPr>
          <w:rFonts w:ascii="Garamond" w:hAnsi="Garamond"/>
        </w:rPr>
        <w:t>Mahdianpari</w:t>
      </w:r>
      <w:proofErr w:type="spellEnd"/>
      <w:r w:rsidRPr="00AB104D">
        <w:rPr>
          <w:rFonts w:ascii="Garamond" w:hAnsi="Garamond"/>
        </w:rPr>
        <w:t xml:space="preserve">, M., Salehi, B., </w:t>
      </w:r>
      <w:proofErr w:type="spellStart"/>
      <w:r w:rsidRPr="00AB104D">
        <w:rPr>
          <w:rFonts w:ascii="Garamond" w:hAnsi="Garamond"/>
        </w:rPr>
        <w:t>Mohammadimanesh</w:t>
      </w:r>
      <w:proofErr w:type="spellEnd"/>
      <w:r w:rsidRPr="00AB104D">
        <w:rPr>
          <w:rFonts w:ascii="Garamond" w:hAnsi="Garamond"/>
        </w:rPr>
        <w:t xml:space="preserve">, F., &amp; </w:t>
      </w:r>
      <w:proofErr w:type="spellStart"/>
      <w:r w:rsidRPr="00AB104D">
        <w:rPr>
          <w:rFonts w:ascii="Garamond" w:hAnsi="Garamond"/>
        </w:rPr>
        <w:t>Motagh</w:t>
      </w:r>
      <w:proofErr w:type="spellEnd"/>
      <w:r w:rsidRPr="00AB104D">
        <w:rPr>
          <w:rFonts w:ascii="Garamond" w:hAnsi="Garamond"/>
        </w:rPr>
        <w:t xml:space="preserve">, M. (2017). </w:t>
      </w:r>
      <w:r w:rsidRPr="003949EB">
        <w:rPr>
          <w:rFonts w:ascii="Garamond" w:hAnsi="Garamond"/>
        </w:rPr>
        <w:t xml:space="preserve">Random forest wetland classification using ALOS-2 L-band, RADARSAT-2 C-band, and </w:t>
      </w:r>
      <w:proofErr w:type="spellStart"/>
      <w:r w:rsidRPr="003949EB">
        <w:rPr>
          <w:rFonts w:ascii="Garamond" w:hAnsi="Garamond"/>
        </w:rPr>
        <w:t>TerraSAR</w:t>
      </w:r>
      <w:proofErr w:type="spellEnd"/>
      <w:r w:rsidRPr="003949EB">
        <w:rPr>
          <w:rFonts w:ascii="Garamond" w:hAnsi="Garamond"/>
        </w:rPr>
        <w:t>-X imagery</w:t>
      </w:r>
      <w:r w:rsidRPr="007435BA">
        <w:rPr>
          <w:rFonts w:ascii="Garamond" w:hAnsi="Garamond"/>
        </w:rPr>
        <w:t>.</w:t>
      </w:r>
      <w:r w:rsidRPr="00AB104D">
        <w:rPr>
          <w:rFonts w:ascii="Garamond" w:hAnsi="Garamond"/>
        </w:rPr>
        <w:t xml:space="preserve"> </w:t>
      </w:r>
      <w:r w:rsidRPr="003949EB">
        <w:rPr>
          <w:rFonts w:ascii="Garamond" w:hAnsi="Garamond"/>
          <w:i/>
        </w:rPr>
        <w:t>ISPRS Journal of Photogrammetry and Remote Sensing, 130</w:t>
      </w:r>
      <w:r w:rsidRPr="00AB104D">
        <w:rPr>
          <w:rFonts w:ascii="Garamond" w:hAnsi="Garamond"/>
        </w:rPr>
        <w:t xml:space="preserve">, 13-31. </w:t>
      </w:r>
      <w:r w:rsidR="000E09EF" w:rsidRPr="00B768DB">
        <w:rPr>
          <w:rFonts w:ascii="Garamond" w:hAnsi="Garamond"/>
        </w:rPr>
        <w:t>https://doi.org/10.1016/j.isprsjprs.2017.05.010</w:t>
      </w:r>
    </w:p>
    <w:p w14:paraId="6FB8EC4D" w14:textId="4156A512" w:rsidR="000E09EF" w:rsidRDefault="000E09EF" w:rsidP="00CC7D98">
      <w:pPr>
        <w:spacing w:after="0" w:line="240" w:lineRule="auto"/>
        <w:ind w:left="720" w:hanging="720"/>
        <w:rPr>
          <w:rFonts w:ascii="Garamond" w:hAnsi="Garamond"/>
        </w:rPr>
      </w:pPr>
    </w:p>
    <w:p w14:paraId="7E206B4D" w14:textId="4D3031F4" w:rsidR="000E09EF" w:rsidRPr="00AB104D" w:rsidRDefault="000E09EF" w:rsidP="000E09EF">
      <w:pPr>
        <w:spacing w:after="0" w:line="240" w:lineRule="auto"/>
        <w:ind w:left="720" w:hanging="720"/>
        <w:rPr>
          <w:rFonts w:ascii="Garamond" w:hAnsi="Garamond"/>
        </w:rPr>
      </w:pPr>
      <w:r w:rsidRPr="00AB104D">
        <w:rPr>
          <w:rFonts w:ascii="Garamond" w:hAnsi="Garamond"/>
        </w:rPr>
        <w:t xml:space="preserve">Minnesota Department of Natural Resources. </w:t>
      </w:r>
      <w:r w:rsidRPr="00E41436">
        <w:rPr>
          <w:rFonts w:ascii="Garamond" w:hAnsi="Garamond"/>
          <w:i/>
        </w:rPr>
        <w:t>Climate</w:t>
      </w:r>
      <w:r w:rsidRPr="00AB104D">
        <w:rPr>
          <w:rFonts w:ascii="Garamond" w:hAnsi="Garamond"/>
        </w:rPr>
        <w:t>. (2017). Retrieved from https://www.dnr.state.mn.us/faq/mnfacts/climate.html</w:t>
      </w:r>
    </w:p>
    <w:p w14:paraId="1A7000E3" w14:textId="77777777" w:rsidR="00AB104D" w:rsidRPr="00AB104D" w:rsidRDefault="00AB104D" w:rsidP="003949EB">
      <w:pPr>
        <w:spacing w:after="0" w:line="240" w:lineRule="auto"/>
        <w:rPr>
          <w:rFonts w:ascii="Garamond" w:hAnsi="Garamond"/>
        </w:rPr>
      </w:pPr>
    </w:p>
    <w:p w14:paraId="55DED4B6"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Minnesota Office of the </w:t>
      </w:r>
      <w:proofErr w:type="spellStart"/>
      <w:r w:rsidRPr="00AB104D">
        <w:rPr>
          <w:rFonts w:ascii="Garamond" w:hAnsi="Garamond"/>
        </w:rPr>
        <w:t>Revisor</w:t>
      </w:r>
      <w:proofErr w:type="spellEnd"/>
      <w:r w:rsidRPr="00AB104D">
        <w:rPr>
          <w:rFonts w:ascii="Garamond" w:hAnsi="Garamond"/>
        </w:rPr>
        <w:t xml:space="preserve"> of Statutes. (2018). </w:t>
      </w:r>
      <w:r w:rsidRPr="00384C12">
        <w:rPr>
          <w:rFonts w:ascii="Garamond" w:hAnsi="Garamond"/>
          <w:i/>
        </w:rPr>
        <w:t>2018 Minnesota Statutes: 103A.201 Regulatory Policy</w:t>
      </w:r>
      <w:r w:rsidRPr="00AB104D">
        <w:rPr>
          <w:rFonts w:ascii="Garamond" w:hAnsi="Garamond"/>
        </w:rPr>
        <w:t>. Retrieved from https://www.revisor.mn.gov/statutes/cite/103A.201</w:t>
      </w:r>
    </w:p>
    <w:p w14:paraId="6093388F" w14:textId="77777777" w:rsidR="00AB104D" w:rsidRPr="00AB104D" w:rsidRDefault="00AB104D" w:rsidP="00CC7D98">
      <w:pPr>
        <w:spacing w:after="0" w:line="240" w:lineRule="auto"/>
        <w:ind w:left="720" w:hanging="720"/>
        <w:rPr>
          <w:rFonts w:ascii="Garamond" w:hAnsi="Garamond"/>
        </w:rPr>
      </w:pPr>
    </w:p>
    <w:p w14:paraId="0AEDBC1D"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Nyman, J. A. (2011). Ecological functions of wetlands. In B. A. LePage (Ed.), </w:t>
      </w:r>
      <w:r w:rsidRPr="00E41436">
        <w:rPr>
          <w:rFonts w:ascii="Garamond" w:hAnsi="Garamond"/>
          <w:i/>
        </w:rPr>
        <w:t xml:space="preserve">Wetlands: Integrating Multidisciplinary Concepts </w:t>
      </w:r>
      <w:r w:rsidRPr="00AB104D">
        <w:rPr>
          <w:rFonts w:ascii="Garamond" w:hAnsi="Garamond"/>
        </w:rPr>
        <w:t>(pp. 115–128). Dordrecht: Springer Netherlands. https://doi.org/10.1007/978-94-007-0551-7_6</w:t>
      </w:r>
    </w:p>
    <w:p w14:paraId="5D56692B" w14:textId="77777777" w:rsidR="00AB104D" w:rsidRPr="00AB104D" w:rsidRDefault="00AB104D" w:rsidP="00CC7D98">
      <w:pPr>
        <w:spacing w:after="0" w:line="240" w:lineRule="auto"/>
        <w:ind w:left="720" w:hanging="720"/>
        <w:rPr>
          <w:rFonts w:ascii="Garamond" w:hAnsi="Garamond"/>
        </w:rPr>
      </w:pPr>
    </w:p>
    <w:p w14:paraId="570D7F25"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Ozesmi</w:t>
      </w:r>
      <w:proofErr w:type="spellEnd"/>
      <w:r w:rsidRPr="00AB104D">
        <w:rPr>
          <w:rFonts w:ascii="Garamond" w:hAnsi="Garamond"/>
        </w:rPr>
        <w:t xml:space="preserve">, S. L., &amp; Bauer, M. E. (2002). </w:t>
      </w:r>
      <w:r w:rsidRPr="003949EB">
        <w:rPr>
          <w:rFonts w:ascii="Garamond" w:hAnsi="Garamond"/>
        </w:rPr>
        <w:t>Satellite remote sensing of wetlands.</w:t>
      </w:r>
      <w:r w:rsidRPr="00E41436">
        <w:rPr>
          <w:rFonts w:ascii="Garamond" w:hAnsi="Garamond"/>
          <w:i/>
        </w:rPr>
        <w:t xml:space="preserve"> Wetlands Ecology and Managemen</w:t>
      </w:r>
      <w:r w:rsidRPr="00AB104D">
        <w:rPr>
          <w:rFonts w:ascii="Garamond" w:hAnsi="Garamond"/>
        </w:rPr>
        <w:t xml:space="preserve">t, </w:t>
      </w:r>
      <w:r w:rsidRPr="003949EB">
        <w:rPr>
          <w:rFonts w:ascii="Garamond" w:hAnsi="Garamond"/>
          <w:i/>
        </w:rPr>
        <w:t>10</w:t>
      </w:r>
      <w:r w:rsidRPr="008926BC">
        <w:rPr>
          <w:rFonts w:ascii="Garamond" w:hAnsi="Garamond"/>
        </w:rPr>
        <w:t>(</w:t>
      </w:r>
      <w:r w:rsidRPr="00AB104D">
        <w:rPr>
          <w:rFonts w:ascii="Garamond" w:hAnsi="Garamond"/>
        </w:rPr>
        <w:t>5), 381-402. https://doi.org/10.1023/A:1020908432489</w:t>
      </w:r>
    </w:p>
    <w:p w14:paraId="3BD39731" w14:textId="77777777" w:rsidR="00AB104D" w:rsidRPr="00AB104D" w:rsidRDefault="00AB104D" w:rsidP="00CC7D98">
      <w:pPr>
        <w:spacing w:after="0" w:line="240" w:lineRule="auto"/>
        <w:ind w:left="720" w:hanging="720"/>
        <w:rPr>
          <w:rFonts w:ascii="Garamond" w:hAnsi="Garamond"/>
        </w:rPr>
      </w:pPr>
    </w:p>
    <w:p w14:paraId="3F5C0A18"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Redmond, R. (1995). </w:t>
      </w:r>
      <w:r w:rsidRPr="00E41436">
        <w:rPr>
          <w:rFonts w:ascii="Garamond" w:hAnsi="Garamond"/>
          <w:i/>
        </w:rPr>
        <w:t>Tau coefficients for accuracy assessment of classification of remote sensing data,</w:t>
      </w:r>
      <w:r w:rsidRPr="00AB104D">
        <w:rPr>
          <w:rFonts w:ascii="Garamond" w:hAnsi="Garamond"/>
        </w:rPr>
        <w:t xml:space="preserve"> 5. Retrieved from https://www.asprs.org/wp-content/uploads/pers/1995journal/apr/1995_apr_435-439.pdf</w:t>
      </w:r>
    </w:p>
    <w:p w14:paraId="48FC05A6" w14:textId="77777777" w:rsidR="00AB104D" w:rsidRPr="00AB104D" w:rsidRDefault="00AB104D" w:rsidP="00CC7D98">
      <w:pPr>
        <w:spacing w:after="0" w:line="240" w:lineRule="auto"/>
        <w:ind w:left="720" w:hanging="720"/>
        <w:rPr>
          <w:rFonts w:ascii="Garamond" w:hAnsi="Garamond"/>
        </w:rPr>
      </w:pPr>
    </w:p>
    <w:p w14:paraId="07717D5C" w14:textId="0EA94D61"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Rodriguez-Galiano, V. F., Ghimire, B., Rogan, J., </w:t>
      </w:r>
      <w:proofErr w:type="spellStart"/>
      <w:r w:rsidRPr="00AB104D">
        <w:rPr>
          <w:rFonts w:ascii="Garamond" w:hAnsi="Garamond"/>
        </w:rPr>
        <w:t>Chica-Olmo</w:t>
      </w:r>
      <w:proofErr w:type="spellEnd"/>
      <w:r w:rsidRPr="00AB104D">
        <w:rPr>
          <w:rFonts w:ascii="Garamond" w:hAnsi="Garamond"/>
        </w:rPr>
        <w:t xml:space="preserve">, M., &amp; </w:t>
      </w:r>
      <w:proofErr w:type="spellStart"/>
      <w:r w:rsidRPr="00AB104D">
        <w:rPr>
          <w:rFonts w:ascii="Garamond" w:hAnsi="Garamond"/>
        </w:rPr>
        <w:t>Rigol</w:t>
      </w:r>
      <w:proofErr w:type="spellEnd"/>
      <w:r w:rsidRPr="00AB104D">
        <w:rPr>
          <w:rFonts w:ascii="Garamond" w:hAnsi="Garamond"/>
        </w:rPr>
        <w:t xml:space="preserve">-Sanchez, J. P. (2012). </w:t>
      </w:r>
      <w:r w:rsidRPr="003949EB">
        <w:rPr>
          <w:rFonts w:ascii="Garamond" w:hAnsi="Garamond"/>
        </w:rPr>
        <w:t>An assessment of the effectiveness of a random forest classifier for land-cover classification.</w:t>
      </w:r>
      <w:r w:rsidRPr="007435BA">
        <w:rPr>
          <w:rFonts w:ascii="Garamond" w:hAnsi="Garamond"/>
        </w:rPr>
        <w:t xml:space="preserve"> </w:t>
      </w:r>
      <w:r w:rsidRPr="003949EB">
        <w:rPr>
          <w:rFonts w:ascii="Garamond" w:hAnsi="Garamond"/>
          <w:i/>
        </w:rPr>
        <w:t>ISPRS Journal of Photogrammetry and Remote Sensing, 67</w:t>
      </w:r>
      <w:r w:rsidR="008926BC">
        <w:rPr>
          <w:rFonts w:ascii="Garamond" w:hAnsi="Garamond"/>
        </w:rPr>
        <w:t xml:space="preserve">, 93–104. </w:t>
      </w:r>
      <w:r w:rsidRPr="00AB104D">
        <w:rPr>
          <w:rFonts w:ascii="Garamond" w:hAnsi="Garamond"/>
        </w:rPr>
        <w:t>https://doi.org/10.1016/j.isprsjprs.2011.11.002</w:t>
      </w:r>
    </w:p>
    <w:p w14:paraId="27E2F3E9" w14:textId="77777777" w:rsidR="00AB104D" w:rsidRPr="00AB104D" w:rsidRDefault="00AB104D" w:rsidP="00CC7D98">
      <w:pPr>
        <w:spacing w:after="0" w:line="240" w:lineRule="auto"/>
        <w:ind w:left="720" w:hanging="720"/>
        <w:rPr>
          <w:rFonts w:ascii="Garamond" w:hAnsi="Garamond"/>
        </w:rPr>
      </w:pPr>
    </w:p>
    <w:p w14:paraId="48B4020B"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Rouse Jr., J. W., Haas, R. H., Deering, D. W., Schell, J. A., &amp; Harlan, J. C. (1974</w:t>
      </w:r>
      <w:r w:rsidRPr="00E41436">
        <w:rPr>
          <w:rFonts w:ascii="Garamond" w:hAnsi="Garamond"/>
          <w:i/>
        </w:rPr>
        <w:t xml:space="preserve">). Monitoring the vernal advancement and </w:t>
      </w:r>
      <w:proofErr w:type="spellStart"/>
      <w:r w:rsidRPr="00E41436">
        <w:rPr>
          <w:rFonts w:ascii="Garamond" w:hAnsi="Garamond"/>
          <w:i/>
        </w:rPr>
        <w:t>retrogradation</w:t>
      </w:r>
      <w:proofErr w:type="spellEnd"/>
      <w:r w:rsidRPr="00E41436">
        <w:rPr>
          <w:rFonts w:ascii="Garamond" w:hAnsi="Garamond"/>
          <w:i/>
        </w:rPr>
        <w:t xml:space="preserve"> (</w:t>
      </w:r>
      <w:proofErr w:type="spellStart"/>
      <w:r w:rsidRPr="00E41436">
        <w:rPr>
          <w:rFonts w:ascii="Garamond" w:hAnsi="Garamond"/>
          <w:i/>
        </w:rPr>
        <w:t>greenwave</w:t>
      </w:r>
      <w:proofErr w:type="spellEnd"/>
      <w:r w:rsidRPr="00E41436">
        <w:rPr>
          <w:rFonts w:ascii="Garamond" w:hAnsi="Garamond"/>
          <w:i/>
        </w:rPr>
        <w:t xml:space="preserve"> effect) of natural vegetation</w:t>
      </w:r>
      <w:r w:rsidRPr="00AB104D">
        <w:rPr>
          <w:rFonts w:ascii="Garamond" w:hAnsi="Garamond"/>
        </w:rPr>
        <w:t xml:space="preserve">. College Stations, TX: Texas A&amp;M </w:t>
      </w:r>
      <w:r w:rsidRPr="00AB104D">
        <w:rPr>
          <w:rFonts w:ascii="Garamond" w:hAnsi="Garamond"/>
        </w:rPr>
        <w:lastRenderedPageBreak/>
        <w:t>University Remote Sensing Center. Retrieved from https://ntrs.nasa.gov/search.jsp?R=19750020419&amp;hterms=Monitoring+Vernal+Advancement+Retrogradation+Greenwave+Effect+Natural+Vegetation&amp;qs=N%3D0%26Ntk%3DAll%26Ntt%3DMonitoring%2520The%2520Vernal%2520Advancement%2520and%2520Retrogradation%2520%28Greenwave%2520Effect%29%2520of%2520Natural%2520Vegetation%26Ntx%3Dmode%2520matchallpartial</w:t>
      </w:r>
    </w:p>
    <w:p w14:paraId="3CBF3604" w14:textId="77777777" w:rsidR="00AB104D" w:rsidRPr="00AB104D" w:rsidRDefault="00AB104D" w:rsidP="00CC7D98">
      <w:pPr>
        <w:spacing w:after="0" w:line="240" w:lineRule="auto"/>
        <w:ind w:left="720" w:hanging="720"/>
        <w:rPr>
          <w:rFonts w:ascii="Garamond" w:hAnsi="Garamond"/>
        </w:rPr>
      </w:pPr>
    </w:p>
    <w:p w14:paraId="0E87FF03"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Tang, Z., Li, Y., Gu, Y., Jiang, W., </w:t>
      </w:r>
      <w:proofErr w:type="spellStart"/>
      <w:r w:rsidRPr="00AB104D">
        <w:rPr>
          <w:rFonts w:ascii="Garamond" w:hAnsi="Garamond"/>
        </w:rPr>
        <w:t>Xue</w:t>
      </w:r>
      <w:proofErr w:type="spellEnd"/>
      <w:r w:rsidRPr="00AB104D">
        <w:rPr>
          <w:rFonts w:ascii="Garamond" w:hAnsi="Garamond"/>
        </w:rPr>
        <w:t>, Y., Hu, Q., … Li, R. (2016</w:t>
      </w:r>
      <w:r w:rsidRPr="00E41436">
        <w:rPr>
          <w:rFonts w:ascii="Garamond" w:hAnsi="Garamond"/>
          <w:i/>
        </w:rPr>
        <w:t xml:space="preserve">). </w:t>
      </w:r>
      <w:r w:rsidRPr="003949EB">
        <w:rPr>
          <w:rFonts w:ascii="Garamond" w:hAnsi="Garamond"/>
        </w:rPr>
        <w:t>Assessing Nebraska playa wetland inundation status during 1985–2015 using Landsat data and Google Earth Engine</w:t>
      </w:r>
      <w:r w:rsidRPr="007435BA">
        <w:rPr>
          <w:rFonts w:ascii="Garamond" w:hAnsi="Garamond"/>
        </w:rPr>
        <w:t>.</w:t>
      </w:r>
      <w:r w:rsidRPr="00AB104D">
        <w:rPr>
          <w:rFonts w:ascii="Garamond" w:hAnsi="Garamond"/>
        </w:rPr>
        <w:t xml:space="preserve"> </w:t>
      </w:r>
      <w:r w:rsidRPr="003949EB">
        <w:rPr>
          <w:rFonts w:ascii="Garamond" w:hAnsi="Garamond"/>
          <w:i/>
        </w:rPr>
        <w:t>Environmental Monitoring and Assessment, 188</w:t>
      </w:r>
      <w:r w:rsidRPr="00AB104D">
        <w:rPr>
          <w:rFonts w:ascii="Garamond" w:hAnsi="Garamond"/>
        </w:rPr>
        <w:t>(12), 654. https://doi.org/10.1007/s10661-016-5664-x</w:t>
      </w:r>
    </w:p>
    <w:p w14:paraId="124EDB7A" w14:textId="77777777" w:rsidR="00AB104D" w:rsidRPr="00AB104D" w:rsidRDefault="00AB104D" w:rsidP="00CC7D98">
      <w:pPr>
        <w:spacing w:after="0" w:line="240" w:lineRule="auto"/>
        <w:ind w:left="720" w:hanging="720"/>
        <w:rPr>
          <w:rFonts w:ascii="Garamond" w:hAnsi="Garamond"/>
        </w:rPr>
      </w:pPr>
    </w:p>
    <w:p w14:paraId="76469270" w14:textId="77777777" w:rsidR="00AB104D" w:rsidRPr="00AB104D" w:rsidRDefault="00AB104D" w:rsidP="00CC7D98">
      <w:pPr>
        <w:spacing w:after="0" w:line="240" w:lineRule="auto"/>
        <w:ind w:left="720" w:hanging="720"/>
        <w:rPr>
          <w:rFonts w:ascii="Garamond" w:hAnsi="Garamond"/>
        </w:rPr>
      </w:pPr>
      <w:proofErr w:type="spellStart"/>
      <w:r w:rsidRPr="00AB104D">
        <w:rPr>
          <w:rFonts w:ascii="Garamond" w:hAnsi="Garamond"/>
        </w:rPr>
        <w:t>Tiner</w:t>
      </w:r>
      <w:proofErr w:type="spellEnd"/>
      <w:r w:rsidRPr="00AB104D">
        <w:rPr>
          <w:rFonts w:ascii="Garamond" w:hAnsi="Garamond"/>
        </w:rPr>
        <w:t xml:space="preserve">, R. W., Lang, M. W., &amp; </w:t>
      </w:r>
      <w:proofErr w:type="spellStart"/>
      <w:r w:rsidRPr="00AB104D">
        <w:rPr>
          <w:rFonts w:ascii="Garamond" w:hAnsi="Garamond"/>
        </w:rPr>
        <w:t>Klemas</w:t>
      </w:r>
      <w:proofErr w:type="spellEnd"/>
      <w:r w:rsidRPr="00AB104D">
        <w:rPr>
          <w:rFonts w:ascii="Garamond" w:hAnsi="Garamond"/>
        </w:rPr>
        <w:t xml:space="preserve">, V. V. (2015). </w:t>
      </w:r>
      <w:r w:rsidRPr="00E41436">
        <w:rPr>
          <w:rFonts w:ascii="Garamond" w:hAnsi="Garamond"/>
          <w:i/>
        </w:rPr>
        <w:t xml:space="preserve">Remote sensing of wetlands: Applications and advances. </w:t>
      </w:r>
      <w:r w:rsidRPr="00AB104D">
        <w:rPr>
          <w:rFonts w:ascii="Garamond" w:hAnsi="Garamond"/>
        </w:rPr>
        <w:t>Boca Raton, FL: CRC Press. https://doi.org/10.1201/b18210</w:t>
      </w:r>
    </w:p>
    <w:p w14:paraId="0C6CB898" w14:textId="77777777" w:rsidR="00AB104D" w:rsidRPr="00AB104D" w:rsidRDefault="00AB104D" w:rsidP="00CC7D98">
      <w:pPr>
        <w:spacing w:after="0" w:line="240" w:lineRule="auto"/>
        <w:ind w:left="720" w:hanging="720"/>
        <w:rPr>
          <w:rFonts w:ascii="Garamond" w:hAnsi="Garamond"/>
        </w:rPr>
      </w:pPr>
    </w:p>
    <w:p w14:paraId="41F253E5"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 xml:space="preserve">US Fish &amp; Wildlife Service. (2018a). </w:t>
      </w:r>
      <w:r w:rsidRPr="00E41436">
        <w:rPr>
          <w:rFonts w:ascii="Garamond" w:hAnsi="Garamond"/>
          <w:i/>
        </w:rPr>
        <w:t>NWI Program Overview.</w:t>
      </w:r>
      <w:r w:rsidRPr="00AB104D">
        <w:rPr>
          <w:rFonts w:ascii="Garamond" w:hAnsi="Garamond"/>
        </w:rPr>
        <w:t xml:space="preserve"> Retrieved from https://www.fws.gov/wetlands/nwi/Overview.html</w:t>
      </w:r>
    </w:p>
    <w:p w14:paraId="08894645" w14:textId="77777777" w:rsidR="00AB104D" w:rsidRPr="00AB104D" w:rsidRDefault="00AB104D" w:rsidP="00CC7D98">
      <w:pPr>
        <w:spacing w:after="0" w:line="240" w:lineRule="auto"/>
        <w:ind w:left="720" w:hanging="720"/>
        <w:rPr>
          <w:rFonts w:ascii="Garamond" w:hAnsi="Garamond"/>
        </w:rPr>
      </w:pPr>
    </w:p>
    <w:p w14:paraId="155982E3" w14:textId="77777777" w:rsidR="00AB104D" w:rsidRPr="00AB104D" w:rsidRDefault="00AB104D" w:rsidP="00CC7D98">
      <w:pPr>
        <w:spacing w:after="0" w:line="240" w:lineRule="auto"/>
        <w:ind w:left="720" w:hanging="720"/>
        <w:rPr>
          <w:rFonts w:ascii="Garamond" w:hAnsi="Garamond"/>
        </w:rPr>
      </w:pPr>
      <w:r w:rsidRPr="00AB104D">
        <w:rPr>
          <w:rFonts w:ascii="Garamond" w:hAnsi="Garamond"/>
        </w:rPr>
        <w:t>US Fish &amp; Wildlife Service. (2018b</w:t>
      </w:r>
      <w:r w:rsidRPr="00E41436">
        <w:rPr>
          <w:rFonts w:ascii="Garamond" w:hAnsi="Garamond"/>
          <w:i/>
        </w:rPr>
        <w:t>). Wetlands Mapper</w:t>
      </w:r>
      <w:r w:rsidRPr="00AB104D">
        <w:rPr>
          <w:rFonts w:ascii="Garamond" w:hAnsi="Garamond"/>
        </w:rPr>
        <w:t>. Retrieved from https://www.fws.gov/wetlands/data/Mapper.html</w:t>
      </w:r>
    </w:p>
    <w:p w14:paraId="25FEEC53" w14:textId="77777777" w:rsidR="00AB104D" w:rsidRPr="00AB104D" w:rsidRDefault="00AB104D" w:rsidP="00CC7D98">
      <w:pPr>
        <w:spacing w:after="0" w:line="240" w:lineRule="auto"/>
        <w:ind w:left="720" w:hanging="720"/>
        <w:rPr>
          <w:rFonts w:ascii="Garamond" w:hAnsi="Garamond"/>
        </w:rPr>
      </w:pPr>
    </w:p>
    <w:p w14:paraId="358CCEC2" w14:textId="021ABDDB" w:rsidR="00A66C29" w:rsidRPr="00A66C29" w:rsidRDefault="00CE5A9E" w:rsidP="00A66C29">
      <w:pPr>
        <w:pStyle w:val="Heading1"/>
        <w:spacing w:before="0" w:line="240" w:lineRule="auto"/>
        <w:rPr>
          <w:rFonts w:ascii="Garamond" w:hAnsi="Garamond"/>
        </w:rPr>
      </w:pPr>
      <w:r>
        <w:rPr>
          <w:rFonts w:ascii="Garamond" w:hAnsi="Garamond"/>
        </w:rPr>
        <w:br w:type="page"/>
      </w:r>
      <w:r w:rsidR="00824CC4" w:rsidRPr="0066138C">
        <w:rPr>
          <w:rFonts w:ascii="Garamond" w:hAnsi="Garamond"/>
        </w:rPr>
        <w:lastRenderedPageBreak/>
        <w:t>9</w:t>
      </w:r>
      <w:r w:rsidR="00615E3A" w:rsidRPr="0066138C">
        <w:rPr>
          <w:rFonts w:ascii="Garamond" w:hAnsi="Garamond"/>
        </w:rPr>
        <w:t>. Appendices</w:t>
      </w:r>
    </w:p>
    <w:p w14:paraId="14D6F071" w14:textId="77777777" w:rsidR="00B768DB" w:rsidRDefault="00B768DB" w:rsidP="00B768DB">
      <w:pPr>
        <w:rPr>
          <w:rFonts w:ascii="Garamond" w:hAnsi="Garamond"/>
        </w:rPr>
      </w:pPr>
    </w:p>
    <w:p w14:paraId="14D2D108" w14:textId="7FDBA022" w:rsidR="00B768DB" w:rsidRDefault="00D8404A" w:rsidP="00B768DB">
      <w:pPr>
        <w:jc w:val="center"/>
        <w:rPr>
          <w:rFonts w:ascii="Garamond" w:hAnsi="Garamond"/>
        </w:rPr>
      </w:pPr>
      <w:r w:rsidRPr="00B768DB">
        <w:rPr>
          <w:rFonts w:ascii="Garamond" w:hAnsi="Garamond"/>
          <w:b/>
        </w:rPr>
        <w:t>Appendix A</w:t>
      </w:r>
      <w:r w:rsidR="00B768DB" w:rsidRPr="00B768DB">
        <w:rPr>
          <w:rFonts w:ascii="Garamond" w:hAnsi="Garamond"/>
          <w:b/>
        </w:rPr>
        <w:t>.</w:t>
      </w:r>
      <w:r w:rsidR="00B768DB">
        <w:rPr>
          <w:rFonts w:ascii="Garamond" w:hAnsi="Garamond"/>
          <w:b/>
        </w:rPr>
        <w:t xml:space="preserve"> </w:t>
      </w:r>
      <w:r w:rsidRPr="00D8404A">
        <w:rPr>
          <w:rFonts w:ascii="Garamond" w:hAnsi="Garamond"/>
        </w:rPr>
        <w:t>Coverage and density of images fo</w:t>
      </w:r>
      <w:r w:rsidR="00B768DB">
        <w:rPr>
          <w:rFonts w:ascii="Garamond" w:hAnsi="Garamond"/>
        </w:rPr>
        <w:t>r (A) Landsat 8 OLI and (B</w:t>
      </w:r>
      <w:r w:rsidRPr="00D8404A">
        <w:rPr>
          <w:rFonts w:ascii="Garamond" w:hAnsi="Garamond"/>
        </w:rPr>
        <w:t>) Sentinel-1 C-SAR datasets for the g</w:t>
      </w:r>
      <w:r w:rsidR="00FF5CE6">
        <w:rPr>
          <w:rFonts w:ascii="Garamond" w:hAnsi="Garamond"/>
        </w:rPr>
        <w:t>rowing seasons of 2017 and 2018</w:t>
      </w:r>
    </w:p>
    <w:p w14:paraId="6C5B4DB0" w14:textId="76A9D94C" w:rsidR="005F6188" w:rsidRPr="00B768DB" w:rsidRDefault="00D8404A" w:rsidP="00B768DB">
      <w:pPr>
        <w:jc w:val="center"/>
        <w:rPr>
          <w:rFonts w:ascii="Garamond" w:hAnsi="Garamond"/>
          <w:b/>
        </w:rPr>
      </w:pPr>
      <w:r>
        <w:rPr>
          <w:rFonts w:ascii="Garamond" w:hAnsi="Garamond"/>
          <w:i/>
          <w:iCs/>
          <w:noProof/>
          <w:color w:val="000000"/>
        </w:rPr>
        <w:drawing>
          <wp:inline distT="0" distB="0" distL="0" distR="0" wp14:anchorId="584D1597" wp14:editId="7B833C6E">
            <wp:extent cx="5410200" cy="4650294"/>
            <wp:effectExtent l="0" t="0" r="0" b="0"/>
            <wp:docPr id="11" name="Picture 11" descr="https://lh3.googleusercontent.com/tL1xJ5wAEogb-7AfiwrmTH8xl5cGoHg5xX6-oEIvz0tkp02iRdptTbf7cLTBiO9Ow-kJpj5vgd6OG29LIcpD8OYRogb9iu4945BlBT8jYqrRlZWAqVWQHXfA_FhNIluuVfU6gT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tL1xJ5wAEogb-7AfiwrmTH8xl5cGoHg5xX6-oEIvz0tkp02iRdptTbf7cLTBiO9Ow-kJpj5vgd6OG29LIcpD8OYRogb9iu4945BlBT8jYqrRlZWAqVWQHXfA_FhNIluuVfU6gTH5"/>
                    <pic:cNvPicPr>
                      <a:picLocks noChangeAspect="1" noChangeArrowheads="1"/>
                    </pic:cNvPicPr>
                  </pic:nvPicPr>
                  <pic:blipFill rotWithShape="1">
                    <a:blip r:embed="rId13">
                      <a:extLst>
                        <a:ext uri="{28A0092B-C50C-407E-A947-70E740481C1C}">
                          <a14:useLocalDpi xmlns:a14="http://schemas.microsoft.com/office/drawing/2010/main" val="0"/>
                        </a:ext>
                      </a:extLst>
                    </a:blip>
                    <a:srcRect r="28819"/>
                    <a:stretch/>
                  </pic:blipFill>
                  <pic:spPr bwMode="auto">
                    <a:xfrm>
                      <a:off x="0" y="0"/>
                      <a:ext cx="5449324" cy="4683922"/>
                    </a:xfrm>
                    <a:prstGeom prst="rect">
                      <a:avLst/>
                    </a:prstGeom>
                    <a:noFill/>
                    <a:ln>
                      <a:noFill/>
                    </a:ln>
                    <a:extLst>
                      <a:ext uri="{53640926-AAD7-44D8-BBD7-CCE9431645EC}">
                        <a14:shadowObscured xmlns:a14="http://schemas.microsoft.com/office/drawing/2010/main"/>
                      </a:ext>
                    </a:extLst>
                  </pic:spPr>
                </pic:pic>
              </a:graphicData>
            </a:graphic>
          </wp:inline>
        </w:drawing>
      </w:r>
    </w:p>
    <w:p w14:paraId="31C1B82A" w14:textId="77777777" w:rsidR="00A66C29" w:rsidRDefault="00A66C29" w:rsidP="00786D71">
      <w:pPr>
        <w:spacing w:line="240" w:lineRule="auto"/>
        <w:jc w:val="center"/>
        <w:rPr>
          <w:rFonts w:ascii="Garamond" w:eastAsia="Times New Roman" w:hAnsi="Garamond" w:cs="Times New Roman"/>
          <w:color w:val="000000"/>
        </w:rPr>
      </w:pPr>
    </w:p>
    <w:p w14:paraId="361E26A5" w14:textId="77777777" w:rsidR="0038027F" w:rsidRDefault="0038027F" w:rsidP="0038027F">
      <w:pPr>
        <w:spacing w:line="240" w:lineRule="auto"/>
        <w:rPr>
          <w:rFonts w:ascii="Garamond" w:eastAsia="Times New Roman" w:hAnsi="Garamond" w:cs="Times New Roman"/>
          <w:color w:val="000000"/>
        </w:rPr>
      </w:pPr>
    </w:p>
    <w:p w14:paraId="056556D7" w14:textId="77777777" w:rsidR="00C075B6" w:rsidRDefault="00C075B6" w:rsidP="0038027F">
      <w:pPr>
        <w:spacing w:line="240" w:lineRule="auto"/>
        <w:jc w:val="center"/>
        <w:rPr>
          <w:rFonts w:ascii="Garamond" w:eastAsia="Times New Roman" w:hAnsi="Garamond" w:cs="Times New Roman"/>
          <w:color w:val="000000"/>
        </w:rPr>
      </w:pPr>
    </w:p>
    <w:p w14:paraId="0B3F5401" w14:textId="77777777" w:rsidR="00C075B6" w:rsidRDefault="00C075B6" w:rsidP="0038027F">
      <w:pPr>
        <w:spacing w:line="240" w:lineRule="auto"/>
        <w:jc w:val="center"/>
        <w:rPr>
          <w:rFonts w:ascii="Garamond" w:eastAsia="Times New Roman" w:hAnsi="Garamond" w:cs="Times New Roman"/>
          <w:color w:val="000000"/>
        </w:rPr>
      </w:pPr>
    </w:p>
    <w:p w14:paraId="5A45DE8A" w14:textId="77777777" w:rsidR="00C075B6" w:rsidRDefault="00C075B6" w:rsidP="0038027F">
      <w:pPr>
        <w:spacing w:line="240" w:lineRule="auto"/>
        <w:jc w:val="center"/>
        <w:rPr>
          <w:rFonts w:ascii="Garamond" w:eastAsia="Times New Roman" w:hAnsi="Garamond" w:cs="Times New Roman"/>
          <w:color w:val="000000"/>
        </w:rPr>
      </w:pPr>
    </w:p>
    <w:p w14:paraId="29148730" w14:textId="77777777" w:rsidR="00C075B6" w:rsidRDefault="00C075B6" w:rsidP="0038027F">
      <w:pPr>
        <w:spacing w:line="240" w:lineRule="auto"/>
        <w:jc w:val="center"/>
        <w:rPr>
          <w:rFonts w:ascii="Garamond" w:eastAsia="Times New Roman" w:hAnsi="Garamond" w:cs="Times New Roman"/>
          <w:color w:val="000000"/>
        </w:rPr>
      </w:pPr>
    </w:p>
    <w:p w14:paraId="24C77E3B" w14:textId="77777777" w:rsidR="00C075B6" w:rsidRDefault="00C075B6" w:rsidP="0038027F">
      <w:pPr>
        <w:spacing w:line="240" w:lineRule="auto"/>
        <w:jc w:val="center"/>
        <w:rPr>
          <w:rFonts w:ascii="Garamond" w:eastAsia="Times New Roman" w:hAnsi="Garamond" w:cs="Times New Roman"/>
          <w:color w:val="000000"/>
        </w:rPr>
      </w:pPr>
    </w:p>
    <w:p w14:paraId="43C6E860" w14:textId="77777777" w:rsidR="00C075B6" w:rsidRDefault="00C075B6" w:rsidP="0038027F">
      <w:pPr>
        <w:spacing w:line="240" w:lineRule="auto"/>
        <w:jc w:val="center"/>
        <w:rPr>
          <w:rFonts w:ascii="Garamond" w:eastAsia="Times New Roman" w:hAnsi="Garamond" w:cs="Times New Roman"/>
          <w:color w:val="000000"/>
        </w:rPr>
      </w:pPr>
    </w:p>
    <w:p w14:paraId="2D66C097" w14:textId="77777777" w:rsidR="00B768DB" w:rsidRDefault="00B768DB" w:rsidP="00B768DB">
      <w:pPr>
        <w:spacing w:line="240" w:lineRule="auto"/>
        <w:rPr>
          <w:rFonts w:ascii="Garamond" w:eastAsia="Times New Roman" w:hAnsi="Garamond" w:cs="Times New Roman"/>
          <w:color w:val="000000"/>
        </w:rPr>
      </w:pPr>
    </w:p>
    <w:p w14:paraId="0D75D178" w14:textId="0E3FF0BA" w:rsidR="00786D71" w:rsidRPr="00B768DB" w:rsidRDefault="00786D71" w:rsidP="00B768DB">
      <w:pPr>
        <w:spacing w:line="240" w:lineRule="auto"/>
        <w:jc w:val="center"/>
        <w:rPr>
          <w:rFonts w:ascii="Times New Roman" w:eastAsia="Times New Roman" w:hAnsi="Times New Roman" w:cs="Times New Roman"/>
          <w:sz w:val="24"/>
          <w:szCs w:val="24"/>
        </w:rPr>
      </w:pPr>
      <w:r w:rsidRPr="00B768DB">
        <w:rPr>
          <w:rFonts w:ascii="Garamond" w:eastAsia="Times New Roman" w:hAnsi="Garamond" w:cs="Times New Roman"/>
          <w:b/>
          <w:color w:val="000000"/>
        </w:rPr>
        <w:lastRenderedPageBreak/>
        <w:t>Appendix B</w:t>
      </w:r>
      <w:r w:rsidR="00B768DB" w:rsidRPr="00B768DB">
        <w:rPr>
          <w:rFonts w:ascii="Garamond" w:eastAsia="Times New Roman" w:hAnsi="Garamond" w:cs="Times New Roman"/>
          <w:b/>
          <w:color w:val="000000"/>
        </w:rPr>
        <w:t>.</w:t>
      </w:r>
      <w:r w:rsidR="00B768DB">
        <w:rPr>
          <w:rFonts w:ascii="Garamond" w:eastAsia="Times New Roman" w:hAnsi="Garamond" w:cs="Times New Roman"/>
          <w:b/>
          <w:color w:val="000000"/>
        </w:rPr>
        <w:t xml:space="preserve"> </w:t>
      </w:r>
      <w:r w:rsidR="00B768DB">
        <w:rPr>
          <w:rFonts w:ascii="Garamond" w:eastAsia="Times New Roman" w:hAnsi="Garamond" w:cs="Times New Roman"/>
          <w:color w:val="000000"/>
        </w:rPr>
        <w:t>Reclassification schemes</w:t>
      </w:r>
    </w:p>
    <w:tbl>
      <w:tblPr>
        <w:tblW w:w="0" w:type="auto"/>
        <w:tblCellMar>
          <w:top w:w="15" w:type="dxa"/>
          <w:left w:w="15" w:type="dxa"/>
          <w:bottom w:w="15" w:type="dxa"/>
          <w:right w:w="15" w:type="dxa"/>
        </w:tblCellMar>
        <w:tblLook w:val="04A0" w:firstRow="1" w:lastRow="0" w:firstColumn="1" w:lastColumn="0" w:noHBand="0" w:noVBand="1"/>
      </w:tblPr>
      <w:tblGrid>
        <w:gridCol w:w="1520"/>
        <w:gridCol w:w="2041"/>
        <w:gridCol w:w="145"/>
        <w:gridCol w:w="1520"/>
        <w:gridCol w:w="2041"/>
      </w:tblGrid>
      <w:tr w:rsidR="00786D71" w:rsidRPr="00786D71" w14:paraId="04A4A066" w14:textId="77777777" w:rsidTr="00786D71">
        <w:trPr>
          <w:trHeight w:val="300"/>
        </w:trPr>
        <w:tc>
          <w:tcPr>
            <w:tcW w:w="0" w:type="auto"/>
            <w:gridSpan w:val="5"/>
            <w:tcBorders>
              <w:bottom w:val="single" w:sz="8" w:space="0" w:color="000000"/>
            </w:tcBorders>
            <w:tcMar>
              <w:top w:w="40" w:type="dxa"/>
              <w:left w:w="40" w:type="dxa"/>
              <w:bottom w:w="40" w:type="dxa"/>
              <w:right w:w="40" w:type="dxa"/>
            </w:tcMar>
            <w:vAlign w:val="bottom"/>
            <w:hideMark/>
          </w:tcPr>
          <w:p w14:paraId="7BF1994B"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rPr>
              <w:t>Table B1</w:t>
            </w:r>
          </w:p>
          <w:p w14:paraId="62021320" w14:textId="3C3B422A"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i/>
                <w:iCs/>
                <w:color w:val="000000"/>
              </w:rPr>
              <w:t>Reclassification scheme for field validation points where:</w:t>
            </w:r>
            <w:r w:rsidR="00B768DB">
              <w:rPr>
                <w:rFonts w:ascii="Times New Roman" w:eastAsia="Times New Roman" w:hAnsi="Times New Roman" w:cs="Times New Roman"/>
                <w:sz w:val="24"/>
                <w:szCs w:val="24"/>
              </w:rPr>
              <w:t xml:space="preserve"> </w:t>
            </w:r>
            <w:r w:rsidRPr="00786D71">
              <w:rPr>
                <w:rFonts w:ascii="Garamond" w:eastAsia="Times New Roman" w:hAnsi="Garamond" w:cs="Times New Roman"/>
                <w:i/>
                <w:iCs/>
                <w:color w:val="000000"/>
              </w:rPr>
              <w:t>1 = upland; 2 = open water, 3 = wetland</w:t>
            </w:r>
          </w:p>
        </w:tc>
      </w:tr>
      <w:tr w:rsidR="00786D71" w:rsidRPr="00786D71" w14:paraId="036818F5"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AAA2081"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proofErr w:type="spellStart"/>
            <w:r w:rsidRPr="00786D71">
              <w:rPr>
                <w:rFonts w:ascii="Garamond" w:eastAsia="Times New Roman" w:hAnsi="Garamond" w:cs="Times New Roman"/>
                <w:b/>
                <w:bCs/>
                <w:color w:val="000000"/>
                <w:sz w:val="20"/>
                <w:szCs w:val="20"/>
              </w:rPr>
              <w:t>Cowardin</w:t>
            </w:r>
            <w:proofErr w:type="spellEnd"/>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BADB83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b/>
                <w:bCs/>
                <w:color w:val="000000"/>
                <w:sz w:val="20"/>
                <w:szCs w:val="20"/>
              </w:rPr>
              <w:t>Primary class</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428147DC"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4AEA500"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proofErr w:type="spellStart"/>
            <w:r w:rsidRPr="00786D71">
              <w:rPr>
                <w:rFonts w:ascii="Garamond" w:eastAsia="Times New Roman" w:hAnsi="Garamond" w:cs="Times New Roman"/>
                <w:b/>
                <w:bCs/>
                <w:color w:val="000000"/>
                <w:sz w:val="20"/>
                <w:szCs w:val="20"/>
              </w:rPr>
              <w:t>Cowardin</w:t>
            </w:r>
            <w:proofErr w:type="spellEnd"/>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AFCE849"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b/>
                <w:bCs/>
                <w:color w:val="000000"/>
                <w:sz w:val="20"/>
                <w:szCs w:val="20"/>
              </w:rPr>
              <w:t>Primary class</w:t>
            </w:r>
          </w:p>
        </w:tc>
      </w:tr>
      <w:tr w:rsidR="00786D71" w:rsidRPr="00786D71" w14:paraId="013BE3BC"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9219C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L1UB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EF4295C"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37E37322"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BC4A87C"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PSS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2805B50"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0509A68E"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19C4456"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L2AB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2F69B6C"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19B526C6"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59D37A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PSS1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6D8EBD"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3D597706"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E474A69"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L2EM2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FFE7A27"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10A12C79"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233CCA4"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PSS2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83E694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1F4183F5"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C37FDC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L2UB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B101BB3"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3403A2C1"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A87A25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PSS3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06C212D"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0C4CAA10"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F7001D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L2US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703FCB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6F0296E6"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163EC2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PSS3q</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167F5C8"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3B6A158D"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424E853"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6F1AC8E"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40759123"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94DC57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PUB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79DCA63"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1D05FD4A"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FC9970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PEM</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3B44C27"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56DA2ED6"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B43AA34"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proofErr w:type="spellStart"/>
            <w:r w:rsidRPr="00786D71">
              <w:rPr>
                <w:rFonts w:ascii="Garamond" w:eastAsia="Times New Roman" w:hAnsi="Garamond" w:cs="Times New Roman"/>
                <w:color w:val="000000"/>
                <w:sz w:val="20"/>
                <w:szCs w:val="20"/>
              </w:rPr>
              <w:t>PUBx</w:t>
            </w:r>
            <w:proofErr w:type="spellEnd"/>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DE533EE"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2BB7BFC6"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9D2D2D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PEM1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7EEEBC6"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23D80630"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17231A3"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PUS</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4E6F7A9"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34E022B3"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344DD4E"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PEM1f</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3EAD306"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22AE7748"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22C06D"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R2AB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23CE313"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5DB8ED48"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59FFBD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58DB75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18BF0941"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3D2C020"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R2EM</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72190B2"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2F383CB5"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A73BD4C"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531D3C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4396DBA7"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D75656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R2UB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BBF915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34FCEC4A"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B7DADE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PFO1/4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F85D2C2"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0BF333C6"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C15D780"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R3UB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CF8EF30"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4429CA10"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601A347"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7E1D72C"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5E08A0E7"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C11A9AB"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R4SB</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CA6C03E"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5C536F30"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1239A2D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PFO2/4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8295345"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746C623E"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D01DF1A"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UPL</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BD8EEF1"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1</w:t>
            </w:r>
          </w:p>
        </w:tc>
      </w:tr>
      <w:tr w:rsidR="00786D71" w:rsidRPr="00786D71" w14:paraId="07C2DAAB" w14:textId="77777777" w:rsidTr="00786D71">
        <w:trPr>
          <w:trHeight w:val="300"/>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7DD63E6"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PFO4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34E31C4" w14:textId="77777777" w:rsidR="00786D71" w:rsidRPr="00786D71" w:rsidRDefault="00786D71" w:rsidP="00786D71">
            <w:pPr>
              <w:spacing w:after="0" w:line="240" w:lineRule="auto"/>
              <w:jc w:val="right"/>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c>
          <w:tcPr>
            <w:tcW w:w="0" w:type="auto"/>
            <w:tcBorders>
              <w:left w:val="single" w:sz="8" w:space="0" w:color="000000"/>
              <w:right w:val="single" w:sz="8" w:space="0" w:color="000000"/>
            </w:tcBorders>
            <w:tcMar>
              <w:top w:w="40" w:type="dxa"/>
              <w:left w:w="40" w:type="dxa"/>
              <w:bottom w:w="40" w:type="dxa"/>
              <w:right w:w="40" w:type="dxa"/>
            </w:tcMar>
            <w:vAlign w:val="bottom"/>
            <w:hideMark/>
          </w:tcPr>
          <w:p w14:paraId="79D8036B"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F080A31" w14:textId="77777777" w:rsidR="00786D71" w:rsidRPr="00786D71" w:rsidRDefault="00786D71" w:rsidP="00786D71">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27BF06A" w14:textId="77777777" w:rsidR="00786D71" w:rsidRPr="00786D71" w:rsidRDefault="00786D71" w:rsidP="00786D71">
            <w:pPr>
              <w:spacing w:after="0" w:line="240" w:lineRule="auto"/>
              <w:rPr>
                <w:rFonts w:ascii="Times New Roman" w:eastAsia="Times New Roman" w:hAnsi="Times New Roman" w:cs="Times New Roman"/>
                <w:sz w:val="24"/>
                <w:szCs w:val="24"/>
              </w:rPr>
            </w:pPr>
          </w:p>
        </w:tc>
      </w:tr>
    </w:tbl>
    <w:p w14:paraId="594B8286" w14:textId="77777777" w:rsidR="00786D71" w:rsidRPr="00786D71" w:rsidRDefault="00786D71" w:rsidP="00786D71">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500"/>
        <w:gridCol w:w="4419"/>
      </w:tblGrid>
      <w:tr w:rsidR="00786D71" w:rsidRPr="00786D71" w14:paraId="56E88746" w14:textId="77777777" w:rsidTr="00786D71">
        <w:trPr>
          <w:trHeight w:val="300"/>
        </w:trPr>
        <w:tc>
          <w:tcPr>
            <w:tcW w:w="0" w:type="auto"/>
            <w:gridSpan w:val="2"/>
            <w:tcBorders>
              <w:bottom w:val="single" w:sz="8" w:space="0" w:color="000000"/>
            </w:tcBorders>
            <w:tcMar>
              <w:top w:w="40" w:type="dxa"/>
              <w:left w:w="40" w:type="dxa"/>
              <w:bottom w:w="40" w:type="dxa"/>
              <w:right w:w="40" w:type="dxa"/>
            </w:tcMar>
            <w:vAlign w:val="bottom"/>
            <w:hideMark/>
          </w:tcPr>
          <w:p w14:paraId="40DB358E"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rPr>
              <w:t>Table B2</w:t>
            </w:r>
          </w:p>
          <w:p w14:paraId="34A2717D"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i/>
                <w:iCs/>
                <w:color w:val="000000"/>
              </w:rPr>
              <w:t>Reclassification scheme for National Wetlands Inventory Update raster where: 1 = upland; 2 = open water, 3 = wetland</w:t>
            </w:r>
          </w:p>
        </w:tc>
      </w:tr>
      <w:tr w:rsidR="00786D71" w:rsidRPr="00786D71" w14:paraId="5EE99DDA"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19A717B"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b/>
                <w:bCs/>
                <w:color w:val="000000"/>
                <w:sz w:val="20"/>
                <w:szCs w:val="20"/>
              </w:rPr>
              <w:t>NWI Class</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D00487D"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b/>
                <w:bCs/>
                <w:color w:val="000000"/>
                <w:sz w:val="20"/>
                <w:szCs w:val="20"/>
              </w:rPr>
              <w:t>Primary class</w:t>
            </w:r>
          </w:p>
        </w:tc>
      </w:tr>
      <w:tr w:rsidR="00786D71" w:rsidRPr="00786D71" w14:paraId="6270A8E4"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59A81C"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Lake</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19313EF"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39B402C7"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C1057"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Pond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44DBA775"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6F9E11BA"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B6CE0"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Emergent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1ECAC63"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60FF583A"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1AFC85"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Forested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C562CBF"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29309744"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895CB"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Shrub/Emergent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BC755B9"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310E8907"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7C553"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Shrub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8C9CEC7"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2A9328EC"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AB9821"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Riverine</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72F7E182"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2</w:t>
            </w:r>
          </w:p>
        </w:tc>
      </w:tr>
      <w:tr w:rsidR="00786D71" w:rsidRPr="00786D71" w14:paraId="2F186BC7"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95A067"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Forested/Emergent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093771E1"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656B8B03"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EB7D1F"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lastRenderedPageBreak/>
              <w:t>Freshwater Forested/Shrub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32BE136"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2001DBFB"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0ED58"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Shrub Wetland/Pond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295E4175"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0688189F"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0E1B0"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Emergent/Shrub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59BEC493"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04632B60"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52E61"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Emergent Wetland/Pond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37115EE"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46DD7EAE"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3A22B"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Freshwater Pond/Shrub Wetland</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33F1307A"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3</w:t>
            </w:r>
          </w:p>
        </w:tc>
      </w:tr>
      <w:tr w:rsidR="00786D71" w:rsidRPr="00786D71" w14:paraId="5CFAA9AE" w14:textId="77777777" w:rsidTr="00786D71">
        <w:trPr>
          <w:trHeight w:val="300"/>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51A231"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No Data</w:t>
            </w:r>
          </w:p>
        </w:tc>
        <w:tc>
          <w:tcPr>
            <w:tcW w:w="441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hideMark/>
          </w:tcPr>
          <w:p w14:paraId="68C8087E" w14:textId="77777777" w:rsidR="00786D71" w:rsidRPr="00786D71" w:rsidRDefault="00786D71" w:rsidP="00786D71">
            <w:pPr>
              <w:spacing w:after="0" w:line="240" w:lineRule="auto"/>
              <w:rPr>
                <w:rFonts w:ascii="Times New Roman" w:eastAsia="Times New Roman" w:hAnsi="Times New Roman" w:cs="Times New Roman"/>
                <w:sz w:val="24"/>
                <w:szCs w:val="24"/>
              </w:rPr>
            </w:pPr>
            <w:r w:rsidRPr="00786D71">
              <w:rPr>
                <w:rFonts w:ascii="Garamond" w:eastAsia="Times New Roman" w:hAnsi="Garamond" w:cs="Times New Roman"/>
                <w:color w:val="000000"/>
                <w:sz w:val="20"/>
                <w:szCs w:val="20"/>
              </w:rPr>
              <w:t>1</w:t>
            </w:r>
          </w:p>
        </w:tc>
      </w:tr>
    </w:tbl>
    <w:p w14:paraId="208456EF" w14:textId="6899E60C" w:rsidR="00786D71" w:rsidRDefault="00786D71" w:rsidP="0066138C">
      <w:pPr>
        <w:spacing w:after="0" w:line="240" w:lineRule="auto"/>
        <w:rPr>
          <w:rFonts w:ascii="Garamond" w:hAnsi="Garamond"/>
        </w:rPr>
      </w:pPr>
    </w:p>
    <w:p w14:paraId="535EB9CD" w14:textId="77777777" w:rsidR="00A66C29" w:rsidRDefault="00A66C29" w:rsidP="0084232D">
      <w:pPr>
        <w:spacing w:after="0" w:line="240" w:lineRule="auto"/>
        <w:jc w:val="center"/>
        <w:rPr>
          <w:rFonts w:ascii="Garamond" w:hAnsi="Garamond"/>
        </w:rPr>
      </w:pPr>
    </w:p>
    <w:p w14:paraId="1603DF11" w14:textId="77777777" w:rsidR="00A66C29" w:rsidRDefault="00A66C29" w:rsidP="0084232D">
      <w:pPr>
        <w:spacing w:after="0" w:line="240" w:lineRule="auto"/>
        <w:jc w:val="center"/>
        <w:rPr>
          <w:rFonts w:ascii="Garamond" w:hAnsi="Garamond"/>
        </w:rPr>
      </w:pPr>
    </w:p>
    <w:p w14:paraId="3292B416" w14:textId="77777777" w:rsidR="00A66C29" w:rsidRDefault="00A66C29" w:rsidP="0084232D">
      <w:pPr>
        <w:spacing w:after="0" w:line="240" w:lineRule="auto"/>
        <w:jc w:val="center"/>
        <w:rPr>
          <w:rFonts w:ascii="Garamond" w:hAnsi="Garamond"/>
        </w:rPr>
      </w:pPr>
    </w:p>
    <w:p w14:paraId="4E4241C3" w14:textId="77777777" w:rsidR="00A66C29" w:rsidRDefault="00A66C29" w:rsidP="0084232D">
      <w:pPr>
        <w:spacing w:after="0" w:line="240" w:lineRule="auto"/>
        <w:jc w:val="center"/>
        <w:rPr>
          <w:rFonts w:ascii="Garamond" w:hAnsi="Garamond"/>
        </w:rPr>
      </w:pPr>
    </w:p>
    <w:p w14:paraId="2DAA1EBD" w14:textId="77777777" w:rsidR="00A66C29" w:rsidRDefault="00A66C29" w:rsidP="0084232D">
      <w:pPr>
        <w:spacing w:after="0" w:line="240" w:lineRule="auto"/>
        <w:jc w:val="center"/>
        <w:rPr>
          <w:rFonts w:ascii="Garamond" w:hAnsi="Garamond"/>
        </w:rPr>
      </w:pPr>
    </w:p>
    <w:p w14:paraId="7524B8D1" w14:textId="77777777" w:rsidR="00A66C29" w:rsidRDefault="00A66C29" w:rsidP="0084232D">
      <w:pPr>
        <w:spacing w:after="0" w:line="240" w:lineRule="auto"/>
        <w:jc w:val="center"/>
        <w:rPr>
          <w:rFonts w:ascii="Garamond" w:hAnsi="Garamond"/>
        </w:rPr>
      </w:pPr>
    </w:p>
    <w:p w14:paraId="453C7EF5" w14:textId="77777777" w:rsidR="00A66C29" w:rsidRDefault="00A66C29" w:rsidP="0084232D">
      <w:pPr>
        <w:spacing w:after="0" w:line="240" w:lineRule="auto"/>
        <w:jc w:val="center"/>
        <w:rPr>
          <w:rFonts w:ascii="Garamond" w:hAnsi="Garamond"/>
        </w:rPr>
      </w:pPr>
    </w:p>
    <w:p w14:paraId="3E75EB81" w14:textId="77777777" w:rsidR="00A66C29" w:rsidRDefault="00A66C29" w:rsidP="0084232D">
      <w:pPr>
        <w:spacing w:after="0" w:line="240" w:lineRule="auto"/>
        <w:jc w:val="center"/>
        <w:rPr>
          <w:rFonts w:ascii="Garamond" w:hAnsi="Garamond"/>
        </w:rPr>
      </w:pPr>
    </w:p>
    <w:p w14:paraId="6B48C29E" w14:textId="77777777" w:rsidR="00A66C29" w:rsidRDefault="00A66C29" w:rsidP="0084232D">
      <w:pPr>
        <w:spacing w:after="0" w:line="240" w:lineRule="auto"/>
        <w:jc w:val="center"/>
        <w:rPr>
          <w:rFonts w:ascii="Garamond" w:hAnsi="Garamond"/>
        </w:rPr>
      </w:pPr>
    </w:p>
    <w:p w14:paraId="6FA49BD3" w14:textId="77777777" w:rsidR="00A66C29" w:rsidRDefault="00A66C29" w:rsidP="0084232D">
      <w:pPr>
        <w:spacing w:after="0" w:line="240" w:lineRule="auto"/>
        <w:jc w:val="center"/>
        <w:rPr>
          <w:rFonts w:ascii="Garamond" w:hAnsi="Garamond"/>
        </w:rPr>
      </w:pPr>
    </w:p>
    <w:p w14:paraId="72A5F407" w14:textId="77777777" w:rsidR="00A66C29" w:rsidRDefault="00A66C29" w:rsidP="0084232D">
      <w:pPr>
        <w:spacing w:after="0" w:line="240" w:lineRule="auto"/>
        <w:jc w:val="center"/>
        <w:rPr>
          <w:rFonts w:ascii="Garamond" w:hAnsi="Garamond"/>
        </w:rPr>
      </w:pPr>
    </w:p>
    <w:p w14:paraId="137E2E14" w14:textId="77777777" w:rsidR="00A66C29" w:rsidRDefault="00A66C29" w:rsidP="0084232D">
      <w:pPr>
        <w:spacing w:after="0" w:line="240" w:lineRule="auto"/>
        <w:jc w:val="center"/>
        <w:rPr>
          <w:rFonts w:ascii="Garamond" w:hAnsi="Garamond"/>
        </w:rPr>
      </w:pPr>
    </w:p>
    <w:p w14:paraId="03D4E746" w14:textId="77777777" w:rsidR="00A66C29" w:rsidRDefault="00A66C29" w:rsidP="0084232D">
      <w:pPr>
        <w:spacing w:after="0" w:line="240" w:lineRule="auto"/>
        <w:jc w:val="center"/>
        <w:rPr>
          <w:rFonts w:ascii="Garamond" w:hAnsi="Garamond"/>
        </w:rPr>
      </w:pPr>
    </w:p>
    <w:p w14:paraId="3EE8D041" w14:textId="77777777" w:rsidR="00A66C29" w:rsidRDefault="00A66C29" w:rsidP="0084232D">
      <w:pPr>
        <w:spacing w:after="0" w:line="240" w:lineRule="auto"/>
        <w:jc w:val="center"/>
        <w:rPr>
          <w:rFonts w:ascii="Garamond" w:hAnsi="Garamond"/>
        </w:rPr>
      </w:pPr>
    </w:p>
    <w:p w14:paraId="6CE075CD" w14:textId="77777777" w:rsidR="00A66C29" w:rsidRDefault="00A66C29" w:rsidP="0084232D">
      <w:pPr>
        <w:spacing w:after="0" w:line="240" w:lineRule="auto"/>
        <w:jc w:val="center"/>
        <w:rPr>
          <w:rFonts w:ascii="Garamond" w:hAnsi="Garamond"/>
        </w:rPr>
      </w:pPr>
    </w:p>
    <w:p w14:paraId="6FDDD43F" w14:textId="77777777" w:rsidR="00A66C29" w:rsidRDefault="00A66C29" w:rsidP="0084232D">
      <w:pPr>
        <w:spacing w:after="0" w:line="240" w:lineRule="auto"/>
        <w:jc w:val="center"/>
        <w:rPr>
          <w:rFonts w:ascii="Garamond" w:hAnsi="Garamond"/>
        </w:rPr>
      </w:pPr>
    </w:p>
    <w:p w14:paraId="5491822B" w14:textId="77777777" w:rsidR="00A66C29" w:rsidRDefault="00A66C29" w:rsidP="0084232D">
      <w:pPr>
        <w:spacing w:after="0" w:line="240" w:lineRule="auto"/>
        <w:jc w:val="center"/>
        <w:rPr>
          <w:rFonts w:ascii="Garamond" w:hAnsi="Garamond"/>
        </w:rPr>
      </w:pPr>
    </w:p>
    <w:p w14:paraId="638D9441" w14:textId="77777777" w:rsidR="00A66C29" w:rsidRDefault="00A66C29" w:rsidP="0084232D">
      <w:pPr>
        <w:spacing w:after="0" w:line="240" w:lineRule="auto"/>
        <w:jc w:val="center"/>
        <w:rPr>
          <w:rFonts w:ascii="Garamond" w:hAnsi="Garamond"/>
        </w:rPr>
      </w:pPr>
    </w:p>
    <w:p w14:paraId="0BD5CA9E" w14:textId="77777777" w:rsidR="00A66C29" w:rsidRDefault="00A66C29" w:rsidP="0084232D">
      <w:pPr>
        <w:spacing w:after="0" w:line="240" w:lineRule="auto"/>
        <w:jc w:val="center"/>
        <w:rPr>
          <w:rFonts w:ascii="Garamond" w:hAnsi="Garamond"/>
        </w:rPr>
      </w:pPr>
    </w:p>
    <w:p w14:paraId="18B53042" w14:textId="77777777" w:rsidR="00A66C29" w:rsidRDefault="00A66C29" w:rsidP="0084232D">
      <w:pPr>
        <w:spacing w:after="0" w:line="240" w:lineRule="auto"/>
        <w:jc w:val="center"/>
        <w:rPr>
          <w:rFonts w:ascii="Garamond" w:hAnsi="Garamond"/>
        </w:rPr>
      </w:pPr>
    </w:p>
    <w:p w14:paraId="03C4DC66" w14:textId="77777777" w:rsidR="00A66C29" w:rsidRDefault="00A66C29" w:rsidP="0084232D">
      <w:pPr>
        <w:spacing w:after="0" w:line="240" w:lineRule="auto"/>
        <w:jc w:val="center"/>
        <w:rPr>
          <w:rFonts w:ascii="Garamond" w:hAnsi="Garamond"/>
        </w:rPr>
      </w:pPr>
    </w:p>
    <w:p w14:paraId="40E807E9" w14:textId="77777777" w:rsidR="00A66C29" w:rsidRDefault="00A66C29" w:rsidP="0084232D">
      <w:pPr>
        <w:spacing w:after="0" w:line="240" w:lineRule="auto"/>
        <w:jc w:val="center"/>
        <w:rPr>
          <w:rFonts w:ascii="Garamond" w:hAnsi="Garamond"/>
        </w:rPr>
      </w:pPr>
    </w:p>
    <w:p w14:paraId="39A59456" w14:textId="77777777" w:rsidR="0038027F" w:rsidRDefault="0038027F" w:rsidP="0038027F">
      <w:pPr>
        <w:spacing w:after="0" w:line="240" w:lineRule="auto"/>
        <w:rPr>
          <w:rFonts w:ascii="Garamond" w:hAnsi="Garamond"/>
        </w:rPr>
      </w:pPr>
    </w:p>
    <w:p w14:paraId="1BA058B7" w14:textId="77777777" w:rsidR="00B527AA" w:rsidRDefault="00B527AA" w:rsidP="0038027F">
      <w:pPr>
        <w:spacing w:after="0" w:line="240" w:lineRule="auto"/>
        <w:jc w:val="center"/>
        <w:rPr>
          <w:rFonts w:ascii="Garamond" w:hAnsi="Garamond"/>
        </w:rPr>
      </w:pPr>
    </w:p>
    <w:p w14:paraId="38EAA3EA" w14:textId="77777777" w:rsidR="00B527AA" w:rsidRDefault="00B527AA" w:rsidP="0038027F">
      <w:pPr>
        <w:spacing w:after="0" w:line="240" w:lineRule="auto"/>
        <w:jc w:val="center"/>
        <w:rPr>
          <w:rFonts w:ascii="Garamond" w:hAnsi="Garamond"/>
        </w:rPr>
      </w:pPr>
    </w:p>
    <w:p w14:paraId="11E48EE5" w14:textId="77777777" w:rsidR="00B527AA" w:rsidRDefault="00B527AA" w:rsidP="0038027F">
      <w:pPr>
        <w:spacing w:after="0" w:line="240" w:lineRule="auto"/>
        <w:jc w:val="center"/>
        <w:rPr>
          <w:rFonts w:ascii="Garamond" w:hAnsi="Garamond"/>
        </w:rPr>
      </w:pPr>
    </w:p>
    <w:p w14:paraId="78AE7E07" w14:textId="77777777" w:rsidR="00B527AA" w:rsidRDefault="00B527AA" w:rsidP="0038027F">
      <w:pPr>
        <w:spacing w:after="0" w:line="240" w:lineRule="auto"/>
        <w:jc w:val="center"/>
        <w:rPr>
          <w:rFonts w:ascii="Garamond" w:hAnsi="Garamond"/>
        </w:rPr>
      </w:pPr>
    </w:p>
    <w:p w14:paraId="294357DB" w14:textId="77777777" w:rsidR="00B527AA" w:rsidRDefault="00B527AA" w:rsidP="0038027F">
      <w:pPr>
        <w:spacing w:after="0" w:line="240" w:lineRule="auto"/>
        <w:jc w:val="center"/>
        <w:rPr>
          <w:rFonts w:ascii="Garamond" w:hAnsi="Garamond"/>
        </w:rPr>
      </w:pPr>
    </w:p>
    <w:p w14:paraId="06E8C0CA" w14:textId="77777777" w:rsidR="00B527AA" w:rsidRDefault="00B527AA" w:rsidP="0038027F">
      <w:pPr>
        <w:spacing w:after="0" w:line="240" w:lineRule="auto"/>
        <w:jc w:val="center"/>
        <w:rPr>
          <w:rFonts w:ascii="Garamond" w:hAnsi="Garamond"/>
        </w:rPr>
      </w:pPr>
    </w:p>
    <w:p w14:paraId="22059856" w14:textId="77777777" w:rsidR="00B527AA" w:rsidRDefault="00B527AA" w:rsidP="0038027F">
      <w:pPr>
        <w:spacing w:after="0" w:line="240" w:lineRule="auto"/>
        <w:jc w:val="center"/>
        <w:rPr>
          <w:rFonts w:ascii="Garamond" w:hAnsi="Garamond"/>
        </w:rPr>
      </w:pPr>
    </w:p>
    <w:p w14:paraId="5DFA5AA8" w14:textId="77777777" w:rsidR="00B527AA" w:rsidRDefault="00B527AA" w:rsidP="0038027F">
      <w:pPr>
        <w:spacing w:after="0" w:line="240" w:lineRule="auto"/>
        <w:jc w:val="center"/>
        <w:rPr>
          <w:rFonts w:ascii="Garamond" w:hAnsi="Garamond"/>
        </w:rPr>
      </w:pPr>
    </w:p>
    <w:p w14:paraId="2E9FACA4" w14:textId="77777777" w:rsidR="00B527AA" w:rsidRDefault="00B527AA" w:rsidP="0038027F">
      <w:pPr>
        <w:spacing w:after="0" w:line="240" w:lineRule="auto"/>
        <w:jc w:val="center"/>
        <w:rPr>
          <w:rFonts w:ascii="Garamond" w:hAnsi="Garamond"/>
        </w:rPr>
      </w:pPr>
    </w:p>
    <w:p w14:paraId="5A21A25C" w14:textId="77777777" w:rsidR="00C075B6" w:rsidRDefault="00C075B6" w:rsidP="0038027F">
      <w:pPr>
        <w:spacing w:after="0" w:line="240" w:lineRule="auto"/>
        <w:jc w:val="center"/>
        <w:rPr>
          <w:rFonts w:ascii="Garamond" w:hAnsi="Garamond"/>
        </w:rPr>
      </w:pPr>
    </w:p>
    <w:p w14:paraId="65537487" w14:textId="77777777" w:rsidR="00C075B6" w:rsidRDefault="00C075B6" w:rsidP="0038027F">
      <w:pPr>
        <w:spacing w:after="0" w:line="240" w:lineRule="auto"/>
        <w:jc w:val="center"/>
        <w:rPr>
          <w:rFonts w:ascii="Garamond" w:hAnsi="Garamond"/>
        </w:rPr>
      </w:pPr>
    </w:p>
    <w:p w14:paraId="102FC05E" w14:textId="77777777" w:rsidR="00C075B6" w:rsidRDefault="00C075B6" w:rsidP="0038027F">
      <w:pPr>
        <w:spacing w:after="0" w:line="240" w:lineRule="auto"/>
        <w:jc w:val="center"/>
        <w:rPr>
          <w:rFonts w:ascii="Garamond" w:hAnsi="Garamond"/>
        </w:rPr>
      </w:pPr>
    </w:p>
    <w:p w14:paraId="4602C4FF" w14:textId="77777777" w:rsidR="00B768DB" w:rsidRDefault="00B768DB" w:rsidP="0038027F">
      <w:pPr>
        <w:spacing w:after="0" w:line="240" w:lineRule="auto"/>
        <w:jc w:val="center"/>
        <w:rPr>
          <w:rFonts w:ascii="Garamond" w:hAnsi="Garamond"/>
        </w:rPr>
      </w:pPr>
    </w:p>
    <w:p w14:paraId="734C31AA" w14:textId="77777777" w:rsidR="00B768DB" w:rsidRDefault="00B768DB" w:rsidP="0038027F">
      <w:pPr>
        <w:spacing w:after="0" w:line="240" w:lineRule="auto"/>
        <w:jc w:val="center"/>
        <w:rPr>
          <w:rFonts w:ascii="Garamond" w:hAnsi="Garamond"/>
        </w:rPr>
      </w:pPr>
    </w:p>
    <w:p w14:paraId="40CD0317" w14:textId="77777777" w:rsidR="00C075B6" w:rsidRDefault="00C075B6" w:rsidP="0038027F">
      <w:pPr>
        <w:spacing w:after="0" w:line="240" w:lineRule="auto"/>
        <w:jc w:val="center"/>
        <w:rPr>
          <w:rFonts w:ascii="Garamond" w:hAnsi="Garamond"/>
        </w:rPr>
      </w:pPr>
    </w:p>
    <w:p w14:paraId="731B5158" w14:textId="1BF88C93" w:rsidR="0084232D" w:rsidRDefault="0084232D" w:rsidP="0038027F">
      <w:pPr>
        <w:spacing w:after="0" w:line="240" w:lineRule="auto"/>
        <w:jc w:val="center"/>
        <w:rPr>
          <w:rFonts w:ascii="Garamond" w:hAnsi="Garamond"/>
        </w:rPr>
      </w:pPr>
      <w:r w:rsidRPr="00B768DB">
        <w:rPr>
          <w:rFonts w:ascii="Garamond" w:hAnsi="Garamond"/>
          <w:b/>
        </w:rPr>
        <w:lastRenderedPageBreak/>
        <w:t>Appendix C</w:t>
      </w:r>
      <w:r w:rsidR="00B768DB" w:rsidRPr="00B768DB">
        <w:rPr>
          <w:rFonts w:ascii="Garamond" w:hAnsi="Garamond"/>
          <w:b/>
        </w:rPr>
        <w:t>.</w:t>
      </w:r>
      <w:r w:rsidR="00B768DB">
        <w:rPr>
          <w:rFonts w:ascii="Garamond" w:hAnsi="Garamond"/>
        </w:rPr>
        <w:t xml:space="preserve"> Classification results figures</w:t>
      </w:r>
    </w:p>
    <w:p w14:paraId="0540902F" w14:textId="77777777" w:rsidR="00B768DB" w:rsidRDefault="00B768DB" w:rsidP="0038027F">
      <w:pPr>
        <w:spacing w:after="0" w:line="240" w:lineRule="auto"/>
        <w:jc w:val="center"/>
        <w:rPr>
          <w:rFonts w:ascii="Garamond" w:hAnsi="Garamond"/>
        </w:rPr>
      </w:pPr>
    </w:p>
    <w:p w14:paraId="6F50E479" w14:textId="0D01CF21" w:rsidR="0038027F" w:rsidRDefault="0038027F" w:rsidP="0084232D">
      <w:pPr>
        <w:spacing w:after="0" w:line="240" w:lineRule="auto"/>
        <w:jc w:val="center"/>
        <w:rPr>
          <w:rFonts w:ascii="Garamond" w:hAnsi="Garamond"/>
        </w:rPr>
      </w:pPr>
      <w:r>
        <w:rPr>
          <w:rFonts w:ascii="Garamond" w:hAnsi="Garamond"/>
          <w:noProof/>
          <w:color w:val="000000"/>
        </w:rPr>
        <w:drawing>
          <wp:inline distT="0" distB="0" distL="0" distR="0" wp14:anchorId="1A31048A" wp14:editId="135FD023">
            <wp:extent cx="5942330" cy="6471139"/>
            <wp:effectExtent l="0" t="0" r="1270" b="6350"/>
            <wp:docPr id="3" name="Picture 3" descr="https://lh6.googleusercontent.com/pyUtCgN1D4D-8HMINrShIL-N5EB8MnFr1RdDy9wGSLvto01938Tt64BAKtm1XNSOPxHVfRW4TrN1_3wxhPb3cs-kf45m067dxw6yK8B55N8GhMmecGFAK6mmaKS69b-tP4Ml8x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pyUtCgN1D4D-8HMINrShIL-N5EB8MnFr1RdDy9wGSLvto01938Tt64BAKtm1XNSOPxHVfRW4TrN1_3wxhPb3cs-kf45m067dxw6yK8B55N8GhMmecGFAK6mmaKS69b-tP4Ml8xSC"/>
                    <pic:cNvPicPr>
                      <a:picLocks noChangeAspect="1" noChangeArrowheads="1"/>
                    </pic:cNvPicPr>
                  </pic:nvPicPr>
                  <pic:blipFill rotWithShape="1">
                    <a:blip r:embed="rId14">
                      <a:extLst>
                        <a:ext uri="{28A0092B-C50C-407E-A947-70E740481C1C}">
                          <a14:useLocalDpi xmlns:a14="http://schemas.microsoft.com/office/drawing/2010/main" val="0"/>
                        </a:ext>
                      </a:extLst>
                    </a:blip>
                    <a:srcRect t="7001" b="18873"/>
                    <a:stretch/>
                  </pic:blipFill>
                  <pic:spPr bwMode="auto">
                    <a:xfrm>
                      <a:off x="0" y="0"/>
                      <a:ext cx="5952329" cy="6482028"/>
                    </a:xfrm>
                    <a:prstGeom prst="rect">
                      <a:avLst/>
                    </a:prstGeom>
                    <a:noFill/>
                    <a:ln>
                      <a:noFill/>
                    </a:ln>
                    <a:extLst>
                      <a:ext uri="{53640926-AAD7-44D8-BBD7-CCE9431645EC}">
                        <a14:shadowObscured xmlns:a14="http://schemas.microsoft.com/office/drawing/2010/main"/>
                      </a:ext>
                    </a:extLst>
                  </pic:spPr>
                </pic:pic>
              </a:graphicData>
            </a:graphic>
          </wp:inline>
        </w:drawing>
      </w:r>
    </w:p>
    <w:p w14:paraId="4F5B289F" w14:textId="3BE813A4" w:rsidR="00B768DB" w:rsidRDefault="00B768DB" w:rsidP="00B768DB">
      <w:pPr>
        <w:spacing w:after="0" w:line="240" w:lineRule="auto"/>
        <w:jc w:val="center"/>
        <w:rPr>
          <w:rFonts w:ascii="Garamond" w:hAnsi="Garamond"/>
        </w:rPr>
      </w:pPr>
      <w:r>
        <w:rPr>
          <w:rFonts w:ascii="Garamond" w:hAnsi="Garamond"/>
          <w:i/>
        </w:rPr>
        <w:t>Figure C1.</w:t>
      </w:r>
      <w:r w:rsidRPr="0038027F">
        <w:rPr>
          <w:rFonts w:ascii="Garamond" w:hAnsi="Garamond"/>
        </w:rPr>
        <w:t xml:space="preserve"> 2018 statewide National Wetlands Inventory map produced by our partners.</w:t>
      </w:r>
    </w:p>
    <w:p w14:paraId="01A7AFB1" w14:textId="77777777" w:rsidR="00173BC1" w:rsidRDefault="00173BC1" w:rsidP="00B768DB">
      <w:pPr>
        <w:spacing w:after="0" w:line="240" w:lineRule="auto"/>
        <w:rPr>
          <w:rFonts w:ascii="Garamond" w:hAnsi="Garamond"/>
          <w:i/>
        </w:rPr>
      </w:pPr>
    </w:p>
    <w:p w14:paraId="42319B36" w14:textId="77777777" w:rsidR="00173BC1" w:rsidRDefault="00173BC1" w:rsidP="0084232D">
      <w:pPr>
        <w:spacing w:after="0" w:line="240" w:lineRule="auto"/>
        <w:jc w:val="center"/>
        <w:rPr>
          <w:rFonts w:ascii="Garamond" w:hAnsi="Garamond"/>
          <w:i/>
        </w:rPr>
      </w:pPr>
    </w:p>
    <w:p w14:paraId="49AB70F8" w14:textId="77777777" w:rsidR="00173BC1" w:rsidRDefault="00173BC1" w:rsidP="0084232D">
      <w:pPr>
        <w:spacing w:after="0" w:line="240" w:lineRule="auto"/>
        <w:jc w:val="center"/>
        <w:rPr>
          <w:rFonts w:ascii="Garamond" w:hAnsi="Garamond"/>
          <w:i/>
        </w:rPr>
      </w:pPr>
    </w:p>
    <w:p w14:paraId="3FD0431A" w14:textId="77777777" w:rsidR="00173BC1" w:rsidRDefault="00173BC1" w:rsidP="0084232D">
      <w:pPr>
        <w:spacing w:after="0" w:line="240" w:lineRule="auto"/>
        <w:jc w:val="center"/>
        <w:rPr>
          <w:rFonts w:ascii="Garamond" w:hAnsi="Garamond"/>
          <w:i/>
        </w:rPr>
      </w:pPr>
    </w:p>
    <w:p w14:paraId="31E97DF9" w14:textId="77777777" w:rsidR="00173BC1" w:rsidRDefault="00173BC1" w:rsidP="0084232D">
      <w:pPr>
        <w:spacing w:after="0" w:line="240" w:lineRule="auto"/>
        <w:jc w:val="center"/>
        <w:rPr>
          <w:rFonts w:ascii="Garamond" w:hAnsi="Garamond"/>
          <w:i/>
        </w:rPr>
      </w:pPr>
    </w:p>
    <w:p w14:paraId="0EEAF808" w14:textId="77777777" w:rsidR="00173BC1" w:rsidRDefault="00173BC1" w:rsidP="0084232D">
      <w:pPr>
        <w:spacing w:after="0" w:line="240" w:lineRule="auto"/>
        <w:jc w:val="center"/>
        <w:rPr>
          <w:rFonts w:ascii="Garamond" w:hAnsi="Garamond"/>
          <w:i/>
        </w:rPr>
      </w:pPr>
    </w:p>
    <w:p w14:paraId="51463E03" w14:textId="77777777" w:rsidR="00B768DB" w:rsidRDefault="00B768DB" w:rsidP="0084232D">
      <w:pPr>
        <w:spacing w:after="0" w:line="240" w:lineRule="auto"/>
        <w:jc w:val="center"/>
        <w:rPr>
          <w:rFonts w:ascii="Garamond" w:hAnsi="Garamond"/>
          <w:i/>
        </w:rPr>
      </w:pPr>
    </w:p>
    <w:p w14:paraId="630E7371" w14:textId="77777777" w:rsidR="00173BC1" w:rsidRDefault="00173BC1" w:rsidP="0084232D">
      <w:pPr>
        <w:spacing w:after="0" w:line="240" w:lineRule="auto"/>
        <w:jc w:val="center"/>
        <w:rPr>
          <w:rFonts w:ascii="Garamond" w:hAnsi="Garamond"/>
          <w:i/>
        </w:rPr>
      </w:pPr>
    </w:p>
    <w:p w14:paraId="669C6D90" w14:textId="4EDD892A" w:rsidR="00173BC1" w:rsidRDefault="00173BC1" w:rsidP="0084232D">
      <w:pPr>
        <w:spacing w:after="0" w:line="240" w:lineRule="auto"/>
        <w:jc w:val="center"/>
        <w:rPr>
          <w:rFonts w:ascii="Garamond" w:hAnsi="Garamond"/>
        </w:rPr>
      </w:pPr>
      <w:r>
        <w:rPr>
          <w:rFonts w:ascii="Garamond" w:hAnsi="Garamond"/>
          <w:noProof/>
          <w:color w:val="000000"/>
        </w:rPr>
        <w:lastRenderedPageBreak/>
        <w:drawing>
          <wp:inline distT="0" distB="0" distL="0" distR="0" wp14:anchorId="263CCF6E" wp14:editId="3DC08B0A">
            <wp:extent cx="5942330" cy="6732396"/>
            <wp:effectExtent l="0" t="0" r="1270" b="0"/>
            <wp:docPr id="10" name="Picture 10" descr="https://lh3.googleusercontent.com/FwxYlJ6UthjKJDQM7jAOXy_gIj98Sa5gel2SSynAV9ah3knGGYqlxkfx7m74lTNiaVcgqeKeI3LlgdX0dVWAG89HCjJOTf_LxCj-LGAxk-taqz0UYp0ubPN0gfucIvjYXOw2P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FwxYlJ6UthjKJDQM7jAOXy_gIj98Sa5gel2SSynAV9ah3knGGYqlxkfx7m74lTNiaVcgqeKeI3LlgdX0dVWAG89HCjJOTf_LxCj-LGAxk-taqz0UYp0ubPN0gfucIvjYXOw2P8f8"/>
                    <pic:cNvPicPr>
                      <a:picLocks noChangeAspect="1" noChangeArrowheads="1"/>
                    </pic:cNvPicPr>
                  </pic:nvPicPr>
                  <pic:blipFill rotWithShape="1">
                    <a:blip r:embed="rId15">
                      <a:extLst>
                        <a:ext uri="{28A0092B-C50C-407E-A947-70E740481C1C}">
                          <a14:useLocalDpi xmlns:a14="http://schemas.microsoft.com/office/drawing/2010/main" val="0"/>
                        </a:ext>
                      </a:extLst>
                    </a:blip>
                    <a:srcRect t="5798" b="18879"/>
                    <a:stretch/>
                  </pic:blipFill>
                  <pic:spPr bwMode="auto">
                    <a:xfrm>
                      <a:off x="0" y="0"/>
                      <a:ext cx="5953653" cy="6745224"/>
                    </a:xfrm>
                    <a:prstGeom prst="rect">
                      <a:avLst/>
                    </a:prstGeom>
                    <a:noFill/>
                    <a:ln>
                      <a:noFill/>
                    </a:ln>
                    <a:extLst>
                      <a:ext uri="{53640926-AAD7-44D8-BBD7-CCE9431645EC}">
                        <a14:shadowObscured xmlns:a14="http://schemas.microsoft.com/office/drawing/2010/main"/>
                      </a:ext>
                    </a:extLst>
                  </pic:spPr>
                </pic:pic>
              </a:graphicData>
            </a:graphic>
          </wp:inline>
        </w:drawing>
      </w:r>
    </w:p>
    <w:p w14:paraId="5F15285F" w14:textId="6F3F8DF4" w:rsidR="00173BC1" w:rsidRPr="00B768DB" w:rsidRDefault="00B768DB" w:rsidP="00B768DB">
      <w:pPr>
        <w:spacing w:after="0" w:line="240" w:lineRule="auto"/>
        <w:jc w:val="center"/>
        <w:rPr>
          <w:rFonts w:ascii="Garamond" w:hAnsi="Garamond"/>
        </w:rPr>
      </w:pPr>
      <w:r w:rsidRPr="00173BC1">
        <w:rPr>
          <w:rFonts w:ascii="Garamond" w:hAnsi="Garamond"/>
          <w:i/>
        </w:rPr>
        <w:t>Figure C2</w:t>
      </w:r>
      <w:r>
        <w:rPr>
          <w:rFonts w:ascii="Garamond" w:hAnsi="Garamond"/>
        </w:rPr>
        <w:t>.</w:t>
      </w:r>
      <w:r w:rsidRPr="00173BC1">
        <w:rPr>
          <w:rFonts w:ascii="Garamond" w:hAnsi="Garamond"/>
        </w:rPr>
        <w:t xml:space="preserve"> Statewide map produced by thresholding for 2017</w:t>
      </w:r>
      <w:r>
        <w:rPr>
          <w:rFonts w:ascii="Garamond" w:hAnsi="Garamond"/>
        </w:rPr>
        <w:t>.</w:t>
      </w:r>
    </w:p>
    <w:p w14:paraId="09B83B30" w14:textId="45D076CA" w:rsidR="00173BC1" w:rsidRDefault="00173BC1" w:rsidP="0084232D">
      <w:pPr>
        <w:spacing w:after="0" w:line="240" w:lineRule="auto"/>
        <w:jc w:val="center"/>
        <w:rPr>
          <w:rFonts w:ascii="Garamond" w:hAnsi="Garamond"/>
        </w:rPr>
      </w:pPr>
      <w:r>
        <w:rPr>
          <w:rFonts w:ascii="Garamond" w:hAnsi="Garamond"/>
          <w:noProof/>
          <w:color w:val="000000"/>
        </w:rPr>
        <w:lastRenderedPageBreak/>
        <w:drawing>
          <wp:inline distT="0" distB="0" distL="0" distR="0" wp14:anchorId="2523034F" wp14:editId="7B54A9F6">
            <wp:extent cx="5942330" cy="6722347"/>
            <wp:effectExtent l="0" t="0" r="1270" b="2540"/>
            <wp:docPr id="13" name="Picture 13" descr="https://lh5.googleusercontent.com/wtwd905AJGqaRY7pPltFItV8Dgtjjjh8uYOUAPngqM1KeNH9CvCiKE0eR1tiQc-r_bNLFqPHhvuUEDrnCkjozcn2yUK5hQ3xcn8hVdyIUlFnG20CfTbrlfh7fLVCxHKOjcNgJk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wtwd905AJGqaRY7pPltFItV8Dgtjjjh8uYOUAPngqM1KeNH9CvCiKE0eR1tiQc-r_bNLFqPHhvuUEDrnCkjozcn2yUK5hQ3xcn8hVdyIUlFnG20CfTbrlfh7fLVCxHKOjcNgJkNV"/>
                    <pic:cNvPicPr>
                      <a:picLocks noChangeAspect="1" noChangeArrowheads="1"/>
                    </pic:cNvPicPr>
                  </pic:nvPicPr>
                  <pic:blipFill rotWithShape="1">
                    <a:blip r:embed="rId16">
                      <a:extLst>
                        <a:ext uri="{28A0092B-C50C-407E-A947-70E740481C1C}">
                          <a14:useLocalDpi xmlns:a14="http://schemas.microsoft.com/office/drawing/2010/main" val="0"/>
                        </a:ext>
                      </a:extLst>
                    </a:blip>
                    <a:srcRect l="-1282" t="7139" r="1282" b="19116"/>
                    <a:stretch/>
                  </pic:blipFill>
                  <pic:spPr bwMode="auto">
                    <a:xfrm>
                      <a:off x="0" y="0"/>
                      <a:ext cx="5953241" cy="6734690"/>
                    </a:xfrm>
                    <a:prstGeom prst="rect">
                      <a:avLst/>
                    </a:prstGeom>
                    <a:noFill/>
                    <a:ln>
                      <a:noFill/>
                    </a:ln>
                    <a:extLst>
                      <a:ext uri="{53640926-AAD7-44D8-BBD7-CCE9431645EC}">
                        <a14:shadowObscured xmlns:a14="http://schemas.microsoft.com/office/drawing/2010/main"/>
                      </a:ext>
                    </a:extLst>
                  </pic:spPr>
                </pic:pic>
              </a:graphicData>
            </a:graphic>
          </wp:inline>
        </w:drawing>
      </w:r>
    </w:p>
    <w:p w14:paraId="4E7CE1AF" w14:textId="7E4BB93E" w:rsidR="00B768DB" w:rsidRDefault="00B768DB" w:rsidP="00B768DB">
      <w:pPr>
        <w:spacing w:after="0" w:line="240" w:lineRule="auto"/>
        <w:jc w:val="center"/>
        <w:rPr>
          <w:rFonts w:ascii="Garamond" w:hAnsi="Garamond"/>
          <w:color w:val="000000"/>
        </w:rPr>
      </w:pPr>
      <w:r>
        <w:rPr>
          <w:rFonts w:ascii="Garamond" w:hAnsi="Garamond"/>
          <w:i/>
          <w:iCs/>
          <w:color w:val="000000"/>
        </w:rPr>
        <w:t>Figure C3.</w:t>
      </w:r>
      <w:r>
        <w:rPr>
          <w:rFonts w:ascii="Garamond" w:hAnsi="Garamond"/>
          <w:color w:val="000000"/>
        </w:rPr>
        <w:t xml:space="preserve"> Statewide map produced by the random forest algorithm for 2017.</w:t>
      </w:r>
    </w:p>
    <w:p w14:paraId="7A093681" w14:textId="77777777" w:rsidR="00B768DB" w:rsidRDefault="00B768DB" w:rsidP="0084232D">
      <w:pPr>
        <w:spacing w:after="0" w:line="240" w:lineRule="auto"/>
        <w:jc w:val="center"/>
        <w:rPr>
          <w:rFonts w:ascii="Garamond" w:hAnsi="Garamond"/>
        </w:rPr>
      </w:pPr>
    </w:p>
    <w:p w14:paraId="50C19320" w14:textId="77777777" w:rsidR="00E905AD" w:rsidRDefault="00E905AD" w:rsidP="00BA6F20">
      <w:pPr>
        <w:pStyle w:val="NormalWeb"/>
        <w:spacing w:before="0" w:beforeAutospacing="0" w:after="200" w:afterAutospacing="0"/>
        <w:jc w:val="center"/>
        <w:rPr>
          <w:rFonts w:ascii="Garamond" w:hAnsi="Garamond"/>
          <w:color w:val="000000"/>
          <w:sz w:val="22"/>
          <w:szCs w:val="22"/>
        </w:rPr>
      </w:pPr>
    </w:p>
    <w:p w14:paraId="00BA5917" w14:textId="77777777" w:rsidR="00E905AD" w:rsidRDefault="00E905AD" w:rsidP="00BA6F20">
      <w:pPr>
        <w:pStyle w:val="NormalWeb"/>
        <w:spacing w:before="0" w:beforeAutospacing="0" w:after="200" w:afterAutospacing="0"/>
        <w:jc w:val="center"/>
        <w:rPr>
          <w:rFonts w:ascii="Garamond" w:hAnsi="Garamond"/>
          <w:color w:val="000000"/>
          <w:sz w:val="22"/>
          <w:szCs w:val="22"/>
        </w:rPr>
      </w:pPr>
    </w:p>
    <w:p w14:paraId="676D2E3C" w14:textId="77777777" w:rsidR="00C075B6" w:rsidRDefault="00C075B6" w:rsidP="00E905AD">
      <w:pPr>
        <w:pStyle w:val="NormalWeb"/>
        <w:spacing w:before="0" w:beforeAutospacing="0" w:after="200" w:afterAutospacing="0"/>
        <w:jc w:val="center"/>
        <w:rPr>
          <w:rFonts w:ascii="Garamond" w:hAnsi="Garamond"/>
          <w:color w:val="000000"/>
          <w:sz w:val="22"/>
          <w:szCs w:val="22"/>
        </w:rPr>
      </w:pPr>
    </w:p>
    <w:p w14:paraId="3A0E8CB0" w14:textId="77777777" w:rsidR="00B768DB" w:rsidRDefault="00B768DB" w:rsidP="00E905AD">
      <w:pPr>
        <w:pStyle w:val="NormalWeb"/>
        <w:spacing w:before="0" w:beforeAutospacing="0" w:after="200" w:afterAutospacing="0"/>
        <w:jc w:val="center"/>
        <w:rPr>
          <w:rFonts w:ascii="Garamond" w:hAnsi="Garamond"/>
          <w:color w:val="000000"/>
          <w:sz w:val="22"/>
          <w:szCs w:val="22"/>
        </w:rPr>
      </w:pPr>
    </w:p>
    <w:p w14:paraId="6F631511" w14:textId="162F455D" w:rsidR="00BA6F20" w:rsidRPr="00BA6F20" w:rsidRDefault="00BA6F20" w:rsidP="00E905AD">
      <w:pPr>
        <w:pStyle w:val="NormalWeb"/>
        <w:spacing w:before="0" w:beforeAutospacing="0" w:after="200" w:afterAutospacing="0"/>
        <w:jc w:val="center"/>
      </w:pPr>
      <w:r w:rsidRPr="00B93AAF">
        <w:rPr>
          <w:rFonts w:ascii="Garamond" w:hAnsi="Garamond"/>
          <w:b/>
          <w:color w:val="000000"/>
          <w:sz w:val="22"/>
          <w:szCs w:val="22"/>
        </w:rPr>
        <w:lastRenderedPageBreak/>
        <w:t>Appendix D</w:t>
      </w:r>
      <w:r w:rsidR="00B93AAF" w:rsidRPr="00B93AAF">
        <w:rPr>
          <w:rFonts w:ascii="Garamond" w:hAnsi="Garamond"/>
          <w:b/>
          <w:color w:val="000000"/>
          <w:sz w:val="22"/>
          <w:szCs w:val="22"/>
        </w:rPr>
        <w:t>.</w:t>
      </w:r>
      <w:r w:rsidR="00B93AAF">
        <w:rPr>
          <w:rFonts w:ascii="Garamond" w:hAnsi="Garamond"/>
          <w:color w:val="000000"/>
          <w:sz w:val="22"/>
          <w:szCs w:val="22"/>
        </w:rPr>
        <w:t xml:space="preserve"> Accuracy assessment tables</w:t>
      </w:r>
    </w:p>
    <w:tbl>
      <w:tblPr>
        <w:tblW w:w="10334" w:type="dxa"/>
        <w:tblCellMar>
          <w:top w:w="15" w:type="dxa"/>
          <w:left w:w="15" w:type="dxa"/>
          <w:bottom w:w="15" w:type="dxa"/>
          <w:right w:w="15" w:type="dxa"/>
        </w:tblCellMar>
        <w:tblLook w:val="04A0" w:firstRow="1" w:lastRow="0" w:firstColumn="1" w:lastColumn="0" w:noHBand="0" w:noVBand="1"/>
      </w:tblPr>
      <w:tblGrid>
        <w:gridCol w:w="1078"/>
        <w:gridCol w:w="1945"/>
        <w:gridCol w:w="2818"/>
        <w:gridCol w:w="2293"/>
        <w:gridCol w:w="2200"/>
      </w:tblGrid>
      <w:tr w:rsidR="00BA6F20" w:rsidRPr="00BA6F20" w14:paraId="39704356" w14:textId="77777777" w:rsidTr="00173BC1">
        <w:trPr>
          <w:trHeight w:val="177"/>
        </w:trPr>
        <w:tc>
          <w:tcPr>
            <w:tcW w:w="10334" w:type="dxa"/>
            <w:gridSpan w:val="5"/>
            <w:tcBorders>
              <w:right w:val="single" w:sz="8" w:space="0" w:color="000000"/>
            </w:tcBorders>
            <w:tcMar>
              <w:top w:w="100" w:type="dxa"/>
              <w:left w:w="100" w:type="dxa"/>
              <w:bottom w:w="100" w:type="dxa"/>
              <w:right w:w="100" w:type="dxa"/>
            </w:tcMar>
            <w:hideMark/>
          </w:tcPr>
          <w:p w14:paraId="472C10E8"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Table D1</w:t>
            </w:r>
          </w:p>
          <w:p w14:paraId="1892E855" w14:textId="49FBCDD3" w:rsidR="00B93AAF" w:rsidRPr="00B93AAF" w:rsidRDefault="00BA6F20" w:rsidP="00BA6F20">
            <w:pPr>
              <w:spacing w:after="0" w:line="240" w:lineRule="auto"/>
              <w:rPr>
                <w:rFonts w:ascii="Garamond" w:eastAsia="Times New Roman" w:hAnsi="Garamond" w:cs="Times New Roman"/>
                <w:i/>
                <w:iCs/>
                <w:color w:val="000000"/>
              </w:rPr>
            </w:pPr>
            <w:r w:rsidRPr="00BA6F20">
              <w:rPr>
                <w:rFonts w:ascii="Garamond" w:eastAsia="Times New Roman" w:hAnsi="Garamond" w:cs="Times New Roman"/>
                <w:i/>
                <w:iCs/>
                <w:color w:val="000000"/>
              </w:rPr>
              <w:t xml:space="preserve">Accuracy assessment for </w:t>
            </w:r>
            <w:r w:rsidR="00FF5CE6">
              <w:rPr>
                <w:rFonts w:ascii="Garamond" w:eastAsia="Times New Roman" w:hAnsi="Garamond" w:cs="Times New Roman"/>
                <w:i/>
                <w:iCs/>
                <w:color w:val="000000"/>
              </w:rPr>
              <w:t xml:space="preserve">the </w:t>
            </w:r>
            <w:r w:rsidRPr="00BA6F20">
              <w:rPr>
                <w:rFonts w:ascii="Garamond" w:eastAsia="Times New Roman" w:hAnsi="Garamond" w:cs="Times New Roman"/>
                <w:i/>
                <w:iCs/>
                <w:color w:val="000000"/>
              </w:rPr>
              <w:t xml:space="preserve">2017 threshold map compared to </w:t>
            </w:r>
            <w:r w:rsidR="00FF5CE6">
              <w:rPr>
                <w:rFonts w:ascii="Garamond" w:eastAsia="Times New Roman" w:hAnsi="Garamond" w:cs="Times New Roman"/>
                <w:i/>
                <w:iCs/>
                <w:color w:val="000000"/>
              </w:rPr>
              <w:t xml:space="preserve">the </w:t>
            </w:r>
            <w:r w:rsidRPr="00BA6F20">
              <w:rPr>
                <w:rFonts w:ascii="Garamond" w:eastAsia="Times New Roman" w:hAnsi="Garamond" w:cs="Times New Roman"/>
                <w:i/>
                <w:iCs/>
                <w:color w:val="000000"/>
              </w:rPr>
              <w:t>NWI update (values in percent)</w:t>
            </w:r>
          </w:p>
          <w:p w14:paraId="64E17C73"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Overall Accuracy = 43.96%; Kappa Coefficient = 0.023</w:t>
            </w:r>
          </w:p>
        </w:tc>
      </w:tr>
      <w:tr w:rsidR="00BA6F20" w:rsidRPr="00BA6F20" w14:paraId="147CD5C4" w14:textId="77777777" w:rsidTr="00173BC1">
        <w:trPr>
          <w:trHeight w:val="177"/>
        </w:trPr>
        <w:tc>
          <w:tcPr>
            <w:tcW w:w="1076" w:type="dxa"/>
            <w:tcMar>
              <w:top w:w="100" w:type="dxa"/>
              <w:left w:w="100" w:type="dxa"/>
              <w:bottom w:w="100" w:type="dxa"/>
              <w:right w:w="100" w:type="dxa"/>
            </w:tcMar>
            <w:hideMark/>
          </w:tcPr>
          <w:p w14:paraId="22D40D57"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46" w:type="dxa"/>
            <w:tcMar>
              <w:top w:w="100" w:type="dxa"/>
              <w:left w:w="100" w:type="dxa"/>
              <w:bottom w:w="100" w:type="dxa"/>
              <w:right w:w="100" w:type="dxa"/>
            </w:tcMar>
            <w:hideMark/>
          </w:tcPr>
          <w:p w14:paraId="3C1086F1"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7312" w:type="dxa"/>
            <w:gridSpan w:val="3"/>
            <w:tcBorders>
              <w:bottom w:val="single" w:sz="8" w:space="0" w:color="000000"/>
            </w:tcBorders>
            <w:tcMar>
              <w:top w:w="100" w:type="dxa"/>
              <w:left w:w="100" w:type="dxa"/>
              <w:bottom w:w="100" w:type="dxa"/>
              <w:right w:w="100" w:type="dxa"/>
            </w:tcMar>
            <w:hideMark/>
          </w:tcPr>
          <w:p w14:paraId="61159833"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NWI Update</w:t>
            </w:r>
          </w:p>
        </w:tc>
      </w:tr>
      <w:tr w:rsidR="00BA6F20" w:rsidRPr="00BA6F20" w14:paraId="19F9B825" w14:textId="77777777" w:rsidTr="00173BC1">
        <w:trPr>
          <w:trHeight w:val="177"/>
        </w:trPr>
        <w:tc>
          <w:tcPr>
            <w:tcW w:w="1076" w:type="dxa"/>
            <w:vMerge w:val="restart"/>
            <w:tcBorders>
              <w:bottom w:val="single" w:sz="8" w:space="0" w:color="000000"/>
            </w:tcBorders>
            <w:tcMar>
              <w:top w:w="100" w:type="dxa"/>
              <w:left w:w="100" w:type="dxa"/>
              <w:bottom w:w="100" w:type="dxa"/>
              <w:right w:w="100" w:type="dxa"/>
            </w:tcMar>
            <w:vAlign w:val="center"/>
            <w:hideMark/>
          </w:tcPr>
          <w:p w14:paraId="14216FA3"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2017 Threshold Map</w:t>
            </w:r>
          </w:p>
        </w:tc>
        <w:tc>
          <w:tcPr>
            <w:tcW w:w="1946" w:type="dxa"/>
            <w:tcBorders>
              <w:bottom w:val="single" w:sz="8" w:space="0" w:color="000000"/>
              <w:right w:val="single" w:sz="8" w:space="0" w:color="000000"/>
            </w:tcBorders>
            <w:tcMar>
              <w:top w:w="100" w:type="dxa"/>
              <w:left w:w="100" w:type="dxa"/>
              <w:bottom w:w="100" w:type="dxa"/>
              <w:right w:w="100" w:type="dxa"/>
            </w:tcMar>
            <w:hideMark/>
          </w:tcPr>
          <w:p w14:paraId="61C472DD"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28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78065"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22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5830D"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21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153D4"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r>
      <w:tr w:rsidR="00BA6F20" w:rsidRPr="00BA6F20" w14:paraId="78EAEE5D" w14:textId="77777777" w:rsidTr="00173BC1">
        <w:trPr>
          <w:trHeight w:val="177"/>
        </w:trPr>
        <w:tc>
          <w:tcPr>
            <w:tcW w:w="1076" w:type="dxa"/>
            <w:vMerge/>
            <w:tcBorders>
              <w:bottom w:val="single" w:sz="8" w:space="0" w:color="000000"/>
            </w:tcBorders>
            <w:vAlign w:val="center"/>
            <w:hideMark/>
          </w:tcPr>
          <w:p w14:paraId="1C1A2BE6"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2E2D5"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2819"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7694DBC5"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53.48</w:t>
            </w:r>
          </w:p>
        </w:tc>
        <w:tc>
          <w:tcPr>
            <w:tcW w:w="229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47BFFEF7"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50.84</w:t>
            </w:r>
          </w:p>
        </w:tc>
        <w:tc>
          <w:tcPr>
            <w:tcW w:w="2198"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BA520E0"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45.96</w:t>
            </w:r>
          </w:p>
        </w:tc>
      </w:tr>
      <w:tr w:rsidR="00BA6F20" w:rsidRPr="00BA6F20" w14:paraId="07E2AC86" w14:textId="77777777" w:rsidTr="00173BC1">
        <w:trPr>
          <w:trHeight w:val="177"/>
        </w:trPr>
        <w:tc>
          <w:tcPr>
            <w:tcW w:w="1076" w:type="dxa"/>
            <w:vMerge/>
            <w:tcBorders>
              <w:bottom w:val="single" w:sz="8" w:space="0" w:color="000000"/>
            </w:tcBorders>
            <w:vAlign w:val="center"/>
            <w:hideMark/>
          </w:tcPr>
          <w:p w14:paraId="67C76071"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BB63A"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2819"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301AAD7B"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39.71</w:t>
            </w:r>
          </w:p>
        </w:tc>
        <w:tc>
          <w:tcPr>
            <w:tcW w:w="2293"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0A7E1C6E"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44.19</w:t>
            </w:r>
          </w:p>
        </w:tc>
        <w:tc>
          <w:tcPr>
            <w:tcW w:w="2198"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3156C26"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45.15</w:t>
            </w:r>
          </w:p>
        </w:tc>
      </w:tr>
      <w:tr w:rsidR="00BA6F20" w:rsidRPr="00BA6F20" w14:paraId="5C8FDF72" w14:textId="77777777" w:rsidTr="00173BC1">
        <w:trPr>
          <w:trHeight w:val="177"/>
        </w:trPr>
        <w:tc>
          <w:tcPr>
            <w:tcW w:w="1076" w:type="dxa"/>
            <w:vMerge/>
            <w:tcBorders>
              <w:bottom w:val="single" w:sz="8" w:space="0" w:color="000000"/>
            </w:tcBorders>
            <w:vAlign w:val="center"/>
            <w:hideMark/>
          </w:tcPr>
          <w:p w14:paraId="1E01456E"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16201"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c>
          <w:tcPr>
            <w:tcW w:w="2819"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48A9A06C"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6.81</w:t>
            </w:r>
          </w:p>
        </w:tc>
        <w:tc>
          <w:tcPr>
            <w:tcW w:w="2293"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E7C23D4"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4.97</w:t>
            </w:r>
          </w:p>
        </w:tc>
        <w:tc>
          <w:tcPr>
            <w:tcW w:w="2198"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6B7758A0"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8.89</w:t>
            </w:r>
          </w:p>
        </w:tc>
      </w:tr>
    </w:tbl>
    <w:p w14:paraId="167BF2DB" w14:textId="77777777" w:rsidR="00BA6F20" w:rsidRPr="00BA6F20" w:rsidRDefault="00BA6F20" w:rsidP="00BA6F20">
      <w:pPr>
        <w:spacing w:after="0" w:line="240" w:lineRule="auto"/>
        <w:rPr>
          <w:rFonts w:ascii="Times New Roman" w:eastAsia="Times New Roman" w:hAnsi="Times New Roman" w:cs="Times New Roman"/>
          <w:sz w:val="24"/>
          <w:szCs w:val="24"/>
        </w:rPr>
      </w:pPr>
    </w:p>
    <w:tbl>
      <w:tblPr>
        <w:tblW w:w="10335" w:type="dxa"/>
        <w:tblCellMar>
          <w:top w:w="15" w:type="dxa"/>
          <w:left w:w="15" w:type="dxa"/>
          <w:bottom w:w="15" w:type="dxa"/>
          <w:right w:w="15" w:type="dxa"/>
        </w:tblCellMar>
        <w:tblLook w:val="04A0" w:firstRow="1" w:lastRow="0" w:firstColumn="1" w:lastColumn="0" w:noHBand="0" w:noVBand="1"/>
      </w:tblPr>
      <w:tblGrid>
        <w:gridCol w:w="1932"/>
        <w:gridCol w:w="2042"/>
        <w:gridCol w:w="1643"/>
        <w:gridCol w:w="2412"/>
        <w:gridCol w:w="2306"/>
      </w:tblGrid>
      <w:tr w:rsidR="00BA6F20" w:rsidRPr="00BA6F20" w14:paraId="133061B4" w14:textId="77777777" w:rsidTr="00BA6F20">
        <w:trPr>
          <w:trHeight w:val="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07841"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20E08" w14:textId="56F22C89" w:rsidR="00BA6F20" w:rsidRPr="00BA6F20" w:rsidRDefault="007435BA"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Commission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D1407D"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Omission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3F7B8"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Prod.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30E82"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User Accuracy</w:t>
            </w:r>
          </w:p>
        </w:tc>
      </w:tr>
      <w:tr w:rsidR="00BA6F20" w:rsidRPr="00BA6F20" w14:paraId="75443956" w14:textId="77777777" w:rsidTr="00BA6F20">
        <w:trPr>
          <w:trHeight w:val="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ED03"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175E4"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78.89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47195"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46.52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66575"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53.48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E496"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21.21</w:t>
            </w:r>
          </w:p>
        </w:tc>
      </w:tr>
      <w:tr w:rsidR="00BA6F20" w:rsidRPr="00BA6F20" w14:paraId="6B3CC8CA" w14:textId="77777777" w:rsidTr="00BA6F20">
        <w:trPr>
          <w:trHeight w:val="4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89958"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F9D9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24.81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E3EF0"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55.81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17226"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44.19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50A66"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75.19</w:t>
            </w:r>
          </w:p>
        </w:tc>
      </w:tr>
      <w:tr w:rsidR="00BA6F20" w:rsidRPr="00BA6F20" w14:paraId="592E0961" w14:textId="77777777" w:rsidTr="00BA6F20">
        <w:trPr>
          <w:trHeight w:val="3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EFD024"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0B824"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90.43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5065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91.11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1C39F"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8.89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AA08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9.57</w:t>
            </w:r>
          </w:p>
        </w:tc>
      </w:tr>
    </w:tbl>
    <w:p w14:paraId="301902AA" w14:textId="77777777" w:rsidR="00BA6F20" w:rsidRPr="00BA6F20" w:rsidRDefault="00BA6F20" w:rsidP="00BA6F20">
      <w:pPr>
        <w:spacing w:after="0" w:line="240" w:lineRule="auto"/>
        <w:rPr>
          <w:rFonts w:ascii="Times New Roman" w:eastAsia="Times New Roman" w:hAnsi="Times New Roman" w:cs="Times New Roman"/>
          <w:sz w:val="24"/>
          <w:szCs w:val="24"/>
        </w:rPr>
      </w:pPr>
    </w:p>
    <w:tbl>
      <w:tblPr>
        <w:tblW w:w="10350" w:type="dxa"/>
        <w:tblCellMar>
          <w:top w:w="15" w:type="dxa"/>
          <w:left w:w="15" w:type="dxa"/>
          <w:bottom w:w="15" w:type="dxa"/>
          <w:right w:w="15" w:type="dxa"/>
        </w:tblCellMar>
        <w:tblLook w:val="04A0" w:firstRow="1" w:lastRow="0" w:firstColumn="1" w:lastColumn="0" w:noHBand="0" w:noVBand="1"/>
      </w:tblPr>
      <w:tblGrid>
        <w:gridCol w:w="1080"/>
        <w:gridCol w:w="1980"/>
        <w:gridCol w:w="2790"/>
        <w:gridCol w:w="2340"/>
        <w:gridCol w:w="2160"/>
      </w:tblGrid>
      <w:tr w:rsidR="00BA6F20" w:rsidRPr="00BA6F20" w14:paraId="1B2DEB26" w14:textId="77777777" w:rsidTr="004853A8">
        <w:trPr>
          <w:trHeight w:val="1044"/>
        </w:trPr>
        <w:tc>
          <w:tcPr>
            <w:tcW w:w="10350" w:type="dxa"/>
            <w:gridSpan w:val="5"/>
            <w:tcBorders>
              <w:right w:val="single" w:sz="8" w:space="0" w:color="000000"/>
            </w:tcBorders>
            <w:tcMar>
              <w:top w:w="100" w:type="dxa"/>
              <w:left w:w="100" w:type="dxa"/>
              <w:bottom w:w="100" w:type="dxa"/>
              <w:right w:w="100" w:type="dxa"/>
            </w:tcMar>
            <w:hideMark/>
          </w:tcPr>
          <w:p w14:paraId="4A87F159" w14:textId="309F5403" w:rsidR="00BA6F20" w:rsidRPr="00BA6F20" w:rsidRDefault="00E051F2" w:rsidP="00BA6F2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Table D2</w:t>
            </w:r>
          </w:p>
          <w:p w14:paraId="5C42C902" w14:textId="5C13F15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i/>
                <w:iCs/>
                <w:color w:val="000000"/>
              </w:rPr>
              <w:t xml:space="preserve">Accuracy assessment for </w:t>
            </w:r>
            <w:r w:rsidR="00FF5CE6">
              <w:rPr>
                <w:rFonts w:ascii="Garamond" w:eastAsia="Times New Roman" w:hAnsi="Garamond" w:cs="Times New Roman"/>
                <w:i/>
                <w:iCs/>
                <w:color w:val="000000"/>
              </w:rPr>
              <w:t xml:space="preserve">the </w:t>
            </w:r>
            <w:r w:rsidRPr="00BA6F20">
              <w:rPr>
                <w:rFonts w:ascii="Garamond" w:eastAsia="Times New Roman" w:hAnsi="Garamond" w:cs="Times New Roman"/>
                <w:i/>
                <w:iCs/>
                <w:color w:val="000000"/>
              </w:rPr>
              <w:t xml:space="preserve">2017 random forest map compared to </w:t>
            </w:r>
            <w:r w:rsidR="00FF5CE6">
              <w:rPr>
                <w:rFonts w:ascii="Garamond" w:eastAsia="Times New Roman" w:hAnsi="Garamond" w:cs="Times New Roman"/>
                <w:i/>
                <w:iCs/>
                <w:color w:val="000000"/>
              </w:rPr>
              <w:t xml:space="preserve">the </w:t>
            </w:r>
            <w:r w:rsidRPr="00BA6F20">
              <w:rPr>
                <w:rFonts w:ascii="Garamond" w:eastAsia="Times New Roman" w:hAnsi="Garamond" w:cs="Times New Roman"/>
                <w:i/>
                <w:iCs/>
                <w:color w:val="000000"/>
              </w:rPr>
              <w:t>NWI update (values in percent)</w:t>
            </w:r>
          </w:p>
          <w:p w14:paraId="09263E3A" w14:textId="77777777" w:rsidR="00BA6F20" w:rsidRPr="00BA6F20" w:rsidRDefault="00BA6F20" w:rsidP="00BA6F20">
            <w:pPr>
              <w:spacing w:after="0" w:line="240" w:lineRule="auto"/>
              <w:rPr>
                <w:rFonts w:ascii="Times New Roman" w:eastAsia="Times New Roman" w:hAnsi="Times New Roman" w:cs="Times New Roman"/>
                <w:sz w:val="24"/>
                <w:szCs w:val="24"/>
              </w:rPr>
            </w:pPr>
            <w:r w:rsidRPr="00BA6F20">
              <w:rPr>
                <w:rFonts w:ascii="Garamond" w:eastAsia="Times New Roman" w:hAnsi="Garamond" w:cs="Times New Roman"/>
                <w:color w:val="000000"/>
              </w:rPr>
              <w:t>Overall Accuracy = 55.25%; Kappa Coefficient = 0.16</w:t>
            </w:r>
          </w:p>
        </w:tc>
      </w:tr>
      <w:tr w:rsidR="00BA6F20" w:rsidRPr="00BA6F20" w14:paraId="36B5D9F3" w14:textId="77777777" w:rsidTr="004853A8">
        <w:trPr>
          <w:trHeight w:val="447"/>
        </w:trPr>
        <w:tc>
          <w:tcPr>
            <w:tcW w:w="1080" w:type="dxa"/>
            <w:tcMar>
              <w:top w:w="100" w:type="dxa"/>
              <w:left w:w="100" w:type="dxa"/>
              <w:bottom w:w="100" w:type="dxa"/>
              <w:right w:w="100" w:type="dxa"/>
            </w:tcMar>
            <w:hideMark/>
          </w:tcPr>
          <w:p w14:paraId="4BA2CD7F"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80" w:type="dxa"/>
            <w:tcMar>
              <w:top w:w="100" w:type="dxa"/>
              <w:left w:w="100" w:type="dxa"/>
              <w:bottom w:w="100" w:type="dxa"/>
              <w:right w:w="100" w:type="dxa"/>
            </w:tcMar>
            <w:hideMark/>
          </w:tcPr>
          <w:p w14:paraId="3FB25FEC"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7290" w:type="dxa"/>
            <w:gridSpan w:val="3"/>
            <w:tcBorders>
              <w:bottom w:val="single" w:sz="8" w:space="0" w:color="000000"/>
            </w:tcBorders>
            <w:tcMar>
              <w:top w:w="100" w:type="dxa"/>
              <w:left w:w="100" w:type="dxa"/>
              <w:bottom w:w="100" w:type="dxa"/>
              <w:right w:w="100" w:type="dxa"/>
            </w:tcMar>
            <w:hideMark/>
          </w:tcPr>
          <w:p w14:paraId="3916B1F5"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NWI Update</w:t>
            </w:r>
          </w:p>
        </w:tc>
      </w:tr>
      <w:tr w:rsidR="00BA6F20" w:rsidRPr="00BA6F20" w14:paraId="2C227A83" w14:textId="77777777" w:rsidTr="004853A8">
        <w:trPr>
          <w:trHeight w:val="447"/>
        </w:trPr>
        <w:tc>
          <w:tcPr>
            <w:tcW w:w="1080" w:type="dxa"/>
            <w:vMerge w:val="restart"/>
            <w:tcBorders>
              <w:bottom w:val="single" w:sz="8" w:space="0" w:color="000000"/>
            </w:tcBorders>
            <w:tcMar>
              <w:top w:w="100" w:type="dxa"/>
              <w:left w:w="100" w:type="dxa"/>
              <w:bottom w:w="100" w:type="dxa"/>
              <w:right w:w="100" w:type="dxa"/>
            </w:tcMar>
            <w:vAlign w:val="center"/>
            <w:hideMark/>
          </w:tcPr>
          <w:p w14:paraId="7976FFDD"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2017 Random Forest Map</w:t>
            </w:r>
          </w:p>
        </w:tc>
        <w:tc>
          <w:tcPr>
            <w:tcW w:w="1980" w:type="dxa"/>
            <w:tcBorders>
              <w:bottom w:val="single" w:sz="8" w:space="0" w:color="000000"/>
              <w:right w:val="single" w:sz="8" w:space="0" w:color="000000"/>
            </w:tcBorders>
            <w:tcMar>
              <w:top w:w="100" w:type="dxa"/>
              <w:left w:w="100" w:type="dxa"/>
              <w:bottom w:w="100" w:type="dxa"/>
              <w:right w:w="100" w:type="dxa"/>
            </w:tcMar>
            <w:hideMark/>
          </w:tcPr>
          <w:p w14:paraId="6542B127"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2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3065A"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6774BA"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F5C8BA"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r>
      <w:tr w:rsidR="00BA6F20" w:rsidRPr="00BA6F20" w14:paraId="52D4D50E" w14:textId="77777777" w:rsidTr="004853A8">
        <w:trPr>
          <w:trHeight w:val="596"/>
        </w:trPr>
        <w:tc>
          <w:tcPr>
            <w:tcW w:w="1080" w:type="dxa"/>
            <w:vMerge/>
            <w:tcBorders>
              <w:bottom w:val="single" w:sz="8" w:space="0" w:color="000000"/>
            </w:tcBorders>
            <w:vAlign w:val="center"/>
            <w:hideMark/>
          </w:tcPr>
          <w:p w14:paraId="41C2BFA4"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EDE6D"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2790"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71E7F25B"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59.12</w:t>
            </w:r>
          </w:p>
        </w:tc>
        <w:tc>
          <w:tcPr>
            <w:tcW w:w="23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6A498970"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34.98</w:t>
            </w:r>
          </w:p>
        </w:tc>
        <w:tc>
          <w:tcPr>
            <w:tcW w:w="21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22A7B9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50.62</w:t>
            </w:r>
          </w:p>
        </w:tc>
      </w:tr>
      <w:tr w:rsidR="00BA6F20" w:rsidRPr="00BA6F20" w14:paraId="34465BDF" w14:textId="77777777" w:rsidTr="004853A8">
        <w:trPr>
          <w:trHeight w:val="447"/>
        </w:trPr>
        <w:tc>
          <w:tcPr>
            <w:tcW w:w="1080" w:type="dxa"/>
            <w:vMerge/>
            <w:tcBorders>
              <w:bottom w:val="single" w:sz="8" w:space="0" w:color="000000"/>
            </w:tcBorders>
            <w:vAlign w:val="center"/>
            <w:hideMark/>
          </w:tcPr>
          <w:p w14:paraId="49FE5B91"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BAF94"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279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615B9BCD"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31.00</w:t>
            </w:r>
          </w:p>
        </w:tc>
        <w:tc>
          <w:tcPr>
            <w:tcW w:w="2340"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1274FBEA"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57.74</w:t>
            </w:r>
          </w:p>
        </w:tc>
        <w:tc>
          <w:tcPr>
            <w:tcW w:w="216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CF0FDD3"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37.72</w:t>
            </w:r>
          </w:p>
        </w:tc>
      </w:tr>
      <w:tr w:rsidR="00BA6F20" w:rsidRPr="00BA6F20" w14:paraId="754AA20A" w14:textId="77777777" w:rsidTr="004853A8">
        <w:trPr>
          <w:trHeight w:val="447"/>
        </w:trPr>
        <w:tc>
          <w:tcPr>
            <w:tcW w:w="1080" w:type="dxa"/>
            <w:vMerge/>
            <w:tcBorders>
              <w:bottom w:val="single" w:sz="8" w:space="0" w:color="000000"/>
            </w:tcBorders>
            <w:vAlign w:val="center"/>
            <w:hideMark/>
          </w:tcPr>
          <w:p w14:paraId="0A3F5A26" w14:textId="77777777" w:rsidR="00BA6F20" w:rsidRPr="00BA6F20" w:rsidRDefault="00BA6F20" w:rsidP="00BA6F20">
            <w:pPr>
              <w:spacing w:after="0" w:line="240" w:lineRule="auto"/>
              <w:rPr>
                <w:rFonts w:ascii="Times New Roman" w:eastAsia="Times New Roman" w:hAnsi="Times New Roman" w:cs="Times New Roman"/>
                <w:sz w:val="24"/>
                <w:szCs w:val="24"/>
              </w:rPr>
            </w:pP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21901"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c>
          <w:tcPr>
            <w:tcW w:w="279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233613DB"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9.88</w:t>
            </w:r>
          </w:p>
        </w:tc>
        <w:tc>
          <w:tcPr>
            <w:tcW w:w="23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14:paraId="6CA47FE3"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7.28</w:t>
            </w:r>
          </w:p>
        </w:tc>
        <w:tc>
          <w:tcPr>
            <w:tcW w:w="2160" w:type="dxa"/>
            <w:tcBorders>
              <w:top w:val="single" w:sz="8" w:space="0" w:color="000000"/>
              <w:left w:val="single" w:sz="8" w:space="0" w:color="000000"/>
              <w:bottom w:val="single" w:sz="8" w:space="0" w:color="000000"/>
              <w:right w:val="single" w:sz="8" w:space="0" w:color="000000"/>
            </w:tcBorders>
            <w:shd w:val="clear" w:color="auto" w:fill="F3F3F3"/>
            <w:tcMar>
              <w:top w:w="140" w:type="dxa"/>
              <w:left w:w="140" w:type="dxa"/>
              <w:bottom w:w="140" w:type="dxa"/>
              <w:right w:w="140" w:type="dxa"/>
            </w:tcMar>
            <w:hideMark/>
          </w:tcPr>
          <w:p w14:paraId="7DCB24AB"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11.66</w:t>
            </w:r>
          </w:p>
        </w:tc>
      </w:tr>
    </w:tbl>
    <w:p w14:paraId="4B374574" w14:textId="77777777" w:rsidR="00BA6F20" w:rsidRPr="00BA6F20" w:rsidRDefault="00BA6F20" w:rsidP="00BA6F20">
      <w:pPr>
        <w:spacing w:after="0" w:line="240" w:lineRule="auto"/>
        <w:rPr>
          <w:rFonts w:ascii="Times New Roman" w:eastAsia="Times New Roman" w:hAnsi="Times New Roman" w:cs="Times New Roman"/>
          <w:sz w:val="24"/>
          <w:szCs w:val="24"/>
        </w:rPr>
      </w:pPr>
    </w:p>
    <w:tbl>
      <w:tblPr>
        <w:tblW w:w="10093" w:type="dxa"/>
        <w:tblCellMar>
          <w:top w:w="15" w:type="dxa"/>
          <w:left w:w="15" w:type="dxa"/>
          <w:bottom w:w="15" w:type="dxa"/>
          <w:right w:w="15" w:type="dxa"/>
        </w:tblCellMar>
        <w:tblLook w:val="04A0" w:firstRow="1" w:lastRow="0" w:firstColumn="1" w:lastColumn="0" w:noHBand="0" w:noVBand="1"/>
      </w:tblPr>
      <w:tblGrid>
        <w:gridCol w:w="1887"/>
        <w:gridCol w:w="1995"/>
        <w:gridCol w:w="1604"/>
        <w:gridCol w:w="2355"/>
        <w:gridCol w:w="2252"/>
      </w:tblGrid>
      <w:tr w:rsidR="00BA6F20" w:rsidRPr="00BA6F20" w14:paraId="33C0C71D" w14:textId="77777777" w:rsidTr="00E905AD">
        <w:trPr>
          <w:trHeight w:val="6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05BAB"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lastRenderedPageBreak/>
              <w:t>Class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97182" w14:textId="23A36388" w:rsidR="00BA6F20" w:rsidRPr="00BA6F20" w:rsidRDefault="007435BA"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Commission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45F85"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Omission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13C3E"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Prod. Accuracy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108F1"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User Accuracy</w:t>
            </w:r>
          </w:p>
        </w:tc>
      </w:tr>
      <w:tr w:rsidR="00BA6F20" w:rsidRPr="00BA6F20" w14:paraId="67DAE6F7" w14:textId="77777777" w:rsidTr="00E905AD">
        <w:trPr>
          <w:trHeight w:val="7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7AE8"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Wetland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AEC1D0"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70.65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E36D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40.88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9B57C9"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59.12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386E6"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29.35</w:t>
            </w:r>
          </w:p>
        </w:tc>
      </w:tr>
      <w:tr w:rsidR="00BA6F20" w:rsidRPr="00BA6F20" w14:paraId="2EC736A1" w14:textId="77777777" w:rsidTr="00E905AD">
        <w:trPr>
          <w:trHeight w:val="6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B8186"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Upland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04CBD2"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16.71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BFE78"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42.26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E30DD"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57.74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55E15"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83.29</w:t>
            </w:r>
          </w:p>
        </w:tc>
      </w:tr>
      <w:tr w:rsidR="00BA6F20" w:rsidRPr="00BA6F20" w14:paraId="3C9F1456" w14:textId="77777777" w:rsidTr="00E905AD">
        <w:trPr>
          <w:trHeight w:val="7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8780A7" w14:textId="77777777" w:rsidR="00BA6F20" w:rsidRPr="00BA6F20" w:rsidRDefault="00BA6F20" w:rsidP="00BA6F20">
            <w:pPr>
              <w:spacing w:after="0" w:line="240" w:lineRule="auto"/>
              <w:jc w:val="right"/>
              <w:rPr>
                <w:rFonts w:ascii="Times New Roman" w:eastAsia="Times New Roman" w:hAnsi="Times New Roman" w:cs="Times New Roman"/>
                <w:sz w:val="24"/>
                <w:szCs w:val="24"/>
              </w:rPr>
            </w:pPr>
            <w:r w:rsidRPr="00BA6F20">
              <w:rPr>
                <w:rFonts w:ascii="Garamond" w:eastAsia="Times New Roman" w:hAnsi="Garamond" w:cs="Times New Roman"/>
                <w:color w:val="000000"/>
              </w:rPr>
              <w:t>Open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F490F"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91.33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27561"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88.34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D52C"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11.66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79EAD" w14:textId="77777777" w:rsidR="00BA6F20" w:rsidRPr="00BA6F20" w:rsidRDefault="00BA6F20" w:rsidP="00BA6F20">
            <w:pPr>
              <w:spacing w:after="0" w:line="240" w:lineRule="auto"/>
              <w:jc w:val="center"/>
              <w:rPr>
                <w:rFonts w:ascii="Times New Roman" w:eastAsia="Times New Roman" w:hAnsi="Times New Roman" w:cs="Times New Roman"/>
                <w:sz w:val="24"/>
                <w:szCs w:val="24"/>
              </w:rPr>
            </w:pPr>
            <w:r w:rsidRPr="00BA6F20">
              <w:rPr>
                <w:rFonts w:ascii="Garamond" w:eastAsia="Times New Roman" w:hAnsi="Garamond" w:cs="Times New Roman"/>
                <w:color w:val="000000"/>
              </w:rPr>
              <w:t>8.67</w:t>
            </w:r>
          </w:p>
        </w:tc>
      </w:tr>
    </w:tbl>
    <w:p w14:paraId="1BEF49E5" w14:textId="77777777" w:rsidR="00E905AD" w:rsidRPr="00E905AD" w:rsidRDefault="00E905AD" w:rsidP="00E905AD">
      <w:pPr>
        <w:spacing w:after="0" w:line="240" w:lineRule="auto"/>
        <w:rPr>
          <w:rFonts w:ascii="Times New Roman" w:eastAsia="Times New Roman" w:hAnsi="Times New Roman" w:cs="Times New Roman"/>
          <w:sz w:val="24"/>
          <w:szCs w:val="24"/>
        </w:rPr>
      </w:pPr>
    </w:p>
    <w:tbl>
      <w:tblPr>
        <w:tblW w:w="9899" w:type="dxa"/>
        <w:tblCellMar>
          <w:top w:w="15" w:type="dxa"/>
          <w:left w:w="15" w:type="dxa"/>
          <w:bottom w:w="15" w:type="dxa"/>
          <w:right w:w="15" w:type="dxa"/>
        </w:tblCellMar>
        <w:tblLook w:val="04A0" w:firstRow="1" w:lastRow="0" w:firstColumn="1" w:lastColumn="0" w:noHBand="0" w:noVBand="1"/>
      </w:tblPr>
      <w:tblGrid>
        <w:gridCol w:w="1975"/>
        <w:gridCol w:w="1573"/>
        <w:gridCol w:w="1793"/>
        <w:gridCol w:w="2269"/>
        <w:gridCol w:w="2289"/>
      </w:tblGrid>
      <w:tr w:rsidR="00E905AD" w:rsidRPr="00E905AD" w14:paraId="65FAB704" w14:textId="77777777" w:rsidTr="00C075B6">
        <w:trPr>
          <w:trHeight w:val="429"/>
        </w:trPr>
        <w:tc>
          <w:tcPr>
            <w:tcW w:w="9899" w:type="dxa"/>
            <w:gridSpan w:val="5"/>
            <w:tcBorders>
              <w:right w:val="single" w:sz="8" w:space="0" w:color="000000"/>
            </w:tcBorders>
            <w:tcMar>
              <w:top w:w="100" w:type="dxa"/>
              <w:left w:w="100" w:type="dxa"/>
              <w:bottom w:w="100" w:type="dxa"/>
              <w:right w:w="100" w:type="dxa"/>
            </w:tcMar>
            <w:hideMark/>
          </w:tcPr>
          <w:p w14:paraId="45F296A1" w14:textId="60E03DD9" w:rsidR="00E905AD" w:rsidRPr="00E905AD" w:rsidRDefault="00E051F2" w:rsidP="00E905AD">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Table D3</w:t>
            </w:r>
          </w:p>
          <w:p w14:paraId="0689806C" w14:textId="041E80B5" w:rsidR="00E905AD" w:rsidRPr="00E905AD" w:rsidRDefault="00E905AD" w:rsidP="00E905AD">
            <w:pPr>
              <w:spacing w:after="0" w:line="240" w:lineRule="auto"/>
              <w:rPr>
                <w:rFonts w:ascii="Times New Roman" w:eastAsia="Times New Roman" w:hAnsi="Times New Roman" w:cs="Times New Roman"/>
                <w:sz w:val="24"/>
                <w:szCs w:val="24"/>
              </w:rPr>
            </w:pPr>
            <w:r w:rsidRPr="00E905AD">
              <w:rPr>
                <w:rFonts w:ascii="Garamond" w:eastAsia="Times New Roman" w:hAnsi="Garamond" w:cs="Times New Roman"/>
                <w:i/>
                <w:iCs/>
                <w:color w:val="000000"/>
              </w:rPr>
              <w:t xml:space="preserve">Accuracy assessment for </w:t>
            </w:r>
            <w:r w:rsidR="00FF5CE6">
              <w:rPr>
                <w:rFonts w:ascii="Garamond" w:eastAsia="Times New Roman" w:hAnsi="Garamond" w:cs="Times New Roman"/>
                <w:i/>
                <w:iCs/>
                <w:color w:val="000000"/>
              </w:rPr>
              <w:t xml:space="preserve">the </w:t>
            </w:r>
            <w:r w:rsidRPr="00E905AD">
              <w:rPr>
                <w:rFonts w:ascii="Garamond" w:eastAsia="Times New Roman" w:hAnsi="Garamond" w:cs="Times New Roman"/>
                <w:i/>
                <w:iCs/>
                <w:color w:val="000000"/>
              </w:rPr>
              <w:t>2017 threshold map compared to field validation points (values in percent)</w:t>
            </w:r>
          </w:p>
          <w:p w14:paraId="64107238" w14:textId="77777777" w:rsidR="00E905AD" w:rsidRPr="00E905AD" w:rsidRDefault="00E905AD" w:rsidP="00E905AD">
            <w:pPr>
              <w:spacing w:after="0" w:line="240" w:lineRule="auto"/>
              <w:rPr>
                <w:rFonts w:ascii="Times New Roman" w:eastAsia="Times New Roman" w:hAnsi="Times New Roman" w:cs="Times New Roman"/>
                <w:sz w:val="24"/>
                <w:szCs w:val="24"/>
              </w:rPr>
            </w:pPr>
            <w:r w:rsidRPr="00E905AD">
              <w:rPr>
                <w:rFonts w:ascii="Garamond" w:eastAsia="Times New Roman" w:hAnsi="Garamond" w:cs="Times New Roman"/>
                <w:color w:val="000000"/>
              </w:rPr>
              <w:t>Overall Accuracy = 48.88%</w:t>
            </w:r>
          </w:p>
        </w:tc>
      </w:tr>
      <w:tr w:rsidR="00E905AD" w:rsidRPr="00E905AD" w14:paraId="61691921" w14:textId="77777777" w:rsidTr="00C075B6">
        <w:trPr>
          <w:trHeight w:val="429"/>
        </w:trPr>
        <w:tc>
          <w:tcPr>
            <w:tcW w:w="1975" w:type="dxa"/>
            <w:tcMar>
              <w:top w:w="100" w:type="dxa"/>
              <w:left w:w="100" w:type="dxa"/>
              <w:bottom w:w="100" w:type="dxa"/>
              <w:right w:w="100" w:type="dxa"/>
            </w:tcMar>
            <w:hideMark/>
          </w:tcPr>
          <w:p w14:paraId="5E4C0B23"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573" w:type="dxa"/>
            <w:tcMar>
              <w:top w:w="100" w:type="dxa"/>
              <w:left w:w="100" w:type="dxa"/>
              <w:bottom w:w="100" w:type="dxa"/>
              <w:right w:w="100" w:type="dxa"/>
            </w:tcMar>
            <w:hideMark/>
          </w:tcPr>
          <w:p w14:paraId="26543321"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6349" w:type="dxa"/>
            <w:gridSpan w:val="3"/>
            <w:tcBorders>
              <w:bottom w:val="single" w:sz="8" w:space="0" w:color="000000"/>
            </w:tcBorders>
            <w:tcMar>
              <w:top w:w="100" w:type="dxa"/>
              <w:left w:w="100" w:type="dxa"/>
              <w:bottom w:w="100" w:type="dxa"/>
              <w:right w:w="100" w:type="dxa"/>
            </w:tcMar>
            <w:hideMark/>
          </w:tcPr>
          <w:p w14:paraId="073A44AB"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Field Validation Points</w:t>
            </w:r>
          </w:p>
        </w:tc>
      </w:tr>
      <w:tr w:rsidR="00E905AD" w:rsidRPr="00E905AD" w14:paraId="64B5BA54" w14:textId="77777777" w:rsidTr="00C075B6">
        <w:trPr>
          <w:trHeight w:val="429"/>
        </w:trPr>
        <w:tc>
          <w:tcPr>
            <w:tcW w:w="1975" w:type="dxa"/>
            <w:vMerge w:val="restart"/>
            <w:tcBorders>
              <w:bottom w:val="single" w:sz="8" w:space="0" w:color="000000"/>
            </w:tcBorders>
            <w:tcMar>
              <w:top w:w="100" w:type="dxa"/>
              <w:left w:w="100" w:type="dxa"/>
              <w:bottom w:w="100" w:type="dxa"/>
              <w:right w:w="100" w:type="dxa"/>
            </w:tcMar>
            <w:vAlign w:val="center"/>
            <w:hideMark/>
          </w:tcPr>
          <w:p w14:paraId="17F5EBFF"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2017 Threshold Map</w:t>
            </w:r>
          </w:p>
        </w:tc>
        <w:tc>
          <w:tcPr>
            <w:tcW w:w="1573" w:type="dxa"/>
            <w:tcBorders>
              <w:bottom w:val="single" w:sz="8" w:space="0" w:color="000000"/>
              <w:right w:val="single" w:sz="8" w:space="0" w:color="000000"/>
            </w:tcBorders>
            <w:tcMar>
              <w:top w:w="100" w:type="dxa"/>
              <w:left w:w="100" w:type="dxa"/>
              <w:bottom w:w="100" w:type="dxa"/>
              <w:right w:w="100" w:type="dxa"/>
            </w:tcMar>
            <w:hideMark/>
          </w:tcPr>
          <w:p w14:paraId="506B436B"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63909"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Upland</w:t>
            </w:r>
          </w:p>
        </w:tc>
        <w:tc>
          <w:tcPr>
            <w:tcW w:w="22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6EDF5"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Open water</w:t>
            </w:r>
          </w:p>
        </w:tc>
        <w:tc>
          <w:tcPr>
            <w:tcW w:w="2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381C1"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Wetland</w:t>
            </w:r>
          </w:p>
        </w:tc>
      </w:tr>
      <w:tr w:rsidR="00E905AD" w:rsidRPr="00E905AD" w14:paraId="30074223" w14:textId="77777777" w:rsidTr="00C075B6">
        <w:trPr>
          <w:trHeight w:val="429"/>
        </w:trPr>
        <w:tc>
          <w:tcPr>
            <w:tcW w:w="1975" w:type="dxa"/>
            <w:vMerge/>
            <w:tcBorders>
              <w:bottom w:val="single" w:sz="8" w:space="0" w:color="000000"/>
            </w:tcBorders>
            <w:vAlign w:val="center"/>
            <w:hideMark/>
          </w:tcPr>
          <w:p w14:paraId="2ABA13F7"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CB057"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Upland</w:t>
            </w:r>
          </w:p>
        </w:tc>
        <w:tc>
          <w:tcPr>
            <w:tcW w:w="1793"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7925C9A0"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44.75</w:t>
            </w: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9B4FF0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33.97</w:t>
            </w:r>
          </w:p>
        </w:tc>
        <w:tc>
          <w:tcPr>
            <w:tcW w:w="22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FA88BC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34.65</w:t>
            </w:r>
          </w:p>
        </w:tc>
      </w:tr>
      <w:tr w:rsidR="00E905AD" w:rsidRPr="00E905AD" w14:paraId="49313DB0" w14:textId="77777777" w:rsidTr="00C075B6">
        <w:trPr>
          <w:trHeight w:val="429"/>
        </w:trPr>
        <w:tc>
          <w:tcPr>
            <w:tcW w:w="1975" w:type="dxa"/>
            <w:vMerge/>
            <w:tcBorders>
              <w:bottom w:val="single" w:sz="8" w:space="0" w:color="000000"/>
            </w:tcBorders>
            <w:vAlign w:val="center"/>
            <w:hideMark/>
          </w:tcPr>
          <w:p w14:paraId="21810179"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240BE"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Open water</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61AA54B"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0.59</w:t>
            </w:r>
          </w:p>
        </w:tc>
        <w:tc>
          <w:tcPr>
            <w:tcW w:w="2269"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57441A3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27.07</w:t>
            </w:r>
          </w:p>
        </w:tc>
        <w:tc>
          <w:tcPr>
            <w:tcW w:w="228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AAEA65D"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2.23</w:t>
            </w:r>
          </w:p>
        </w:tc>
      </w:tr>
      <w:tr w:rsidR="00E905AD" w:rsidRPr="00E905AD" w14:paraId="5756238D" w14:textId="77777777" w:rsidTr="00C075B6">
        <w:trPr>
          <w:trHeight w:val="429"/>
        </w:trPr>
        <w:tc>
          <w:tcPr>
            <w:tcW w:w="1975" w:type="dxa"/>
            <w:vMerge/>
            <w:tcBorders>
              <w:bottom w:val="single" w:sz="8" w:space="0" w:color="000000"/>
            </w:tcBorders>
            <w:vAlign w:val="center"/>
            <w:hideMark/>
          </w:tcPr>
          <w:p w14:paraId="0118651A"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5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B59F5"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Wetland</w:t>
            </w:r>
          </w:p>
        </w:tc>
        <w:tc>
          <w:tcPr>
            <w:tcW w:w="1793"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2E6D8BC"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54.66</w:t>
            </w:r>
          </w:p>
        </w:tc>
        <w:tc>
          <w:tcPr>
            <w:tcW w:w="226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D15634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38.96</w:t>
            </w:r>
          </w:p>
        </w:tc>
        <w:tc>
          <w:tcPr>
            <w:tcW w:w="2286"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088E54C1"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63.12</w:t>
            </w:r>
          </w:p>
        </w:tc>
      </w:tr>
    </w:tbl>
    <w:p w14:paraId="1E9EB998" w14:textId="77777777" w:rsidR="00E905AD" w:rsidRPr="00E905AD" w:rsidRDefault="00E905AD" w:rsidP="00E905AD">
      <w:pPr>
        <w:spacing w:after="0" w:line="240" w:lineRule="auto"/>
        <w:rPr>
          <w:rFonts w:ascii="Times New Roman" w:eastAsia="Times New Roman" w:hAnsi="Times New Roman" w:cs="Times New Roman"/>
          <w:sz w:val="24"/>
          <w:szCs w:val="24"/>
        </w:rPr>
      </w:pPr>
    </w:p>
    <w:tbl>
      <w:tblPr>
        <w:tblW w:w="10170" w:type="dxa"/>
        <w:tblCellMar>
          <w:top w:w="15" w:type="dxa"/>
          <w:left w:w="15" w:type="dxa"/>
          <w:bottom w:w="15" w:type="dxa"/>
          <w:right w:w="15" w:type="dxa"/>
        </w:tblCellMar>
        <w:tblLook w:val="04A0" w:firstRow="1" w:lastRow="0" w:firstColumn="1" w:lastColumn="0" w:noHBand="0" w:noVBand="1"/>
      </w:tblPr>
      <w:tblGrid>
        <w:gridCol w:w="2010"/>
        <w:gridCol w:w="2052"/>
        <w:gridCol w:w="1428"/>
        <w:gridCol w:w="2340"/>
        <w:gridCol w:w="2340"/>
      </w:tblGrid>
      <w:tr w:rsidR="00E905AD" w:rsidRPr="00E905AD" w14:paraId="1C068265" w14:textId="77777777" w:rsidTr="00E905AD">
        <w:trPr>
          <w:trHeight w:val="420"/>
        </w:trPr>
        <w:tc>
          <w:tcPr>
            <w:tcW w:w="10170" w:type="dxa"/>
            <w:gridSpan w:val="5"/>
            <w:tcBorders>
              <w:right w:val="single" w:sz="8" w:space="0" w:color="000000"/>
            </w:tcBorders>
            <w:tcMar>
              <w:top w:w="100" w:type="dxa"/>
              <w:left w:w="100" w:type="dxa"/>
              <w:bottom w:w="100" w:type="dxa"/>
              <w:right w:w="100" w:type="dxa"/>
            </w:tcMar>
            <w:hideMark/>
          </w:tcPr>
          <w:p w14:paraId="4A42C473" w14:textId="5ABF3457" w:rsidR="00E905AD" w:rsidRPr="00E905AD" w:rsidRDefault="00E051F2" w:rsidP="00E905AD">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Table D4</w:t>
            </w:r>
          </w:p>
          <w:p w14:paraId="7E774D82" w14:textId="213C5B06" w:rsidR="00E905AD" w:rsidRPr="00E905AD" w:rsidRDefault="00E905AD" w:rsidP="00E905AD">
            <w:pPr>
              <w:spacing w:after="0" w:line="240" w:lineRule="auto"/>
              <w:rPr>
                <w:rFonts w:ascii="Times New Roman" w:eastAsia="Times New Roman" w:hAnsi="Times New Roman" w:cs="Times New Roman"/>
                <w:sz w:val="24"/>
                <w:szCs w:val="24"/>
              </w:rPr>
            </w:pPr>
            <w:r w:rsidRPr="00E905AD">
              <w:rPr>
                <w:rFonts w:ascii="Garamond" w:eastAsia="Times New Roman" w:hAnsi="Garamond" w:cs="Times New Roman"/>
                <w:i/>
                <w:iCs/>
                <w:color w:val="000000"/>
              </w:rPr>
              <w:t xml:space="preserve">Accuracy assessment for </w:t>
            </w:r>
            <w:r w:rsidR="00FF5CE6">
              <w:rPr>
                <w:rFonts w:ascii="Garamond" w:eastAsia="Times New Roman" w:hAnsi="Garamond" w:cs="Times New Roman"/>
                <w:i/>
                <w:iCs/>
                <w:color w:val="000000"/>
              </w:rPr>
              <w:t xml:space="preserve">the </w:t>
            </w:r>
            <w:r w:rsidRPr="00E905AD">
              <w:rPr>
                <w:rFonts w:ascii="Garamond" w:eastAsia="Times New Roman" w:hAnsi="Garamond" w:cs="Times New Roman"/>
                <w:i/>
                <w:iCs/>
                <w:color w:val="000000"/>
              </w:rPr>
              <w:t>2017 random forest map compared to field validation points (values in percent)</w:t>
            </w:r>
          </w:p>
          <w:p w14:paraId="41E57D58" w14:textId="77777777" w:rsidR="00E905AD" w:rsidRPr="00E905AD" w:rsidRDefault="00E905AD" w:rsidP="00E905AD">
            <w:pPr>
              <w:spacing w:after="0" w:line="240" w:lineRule="auto"/>
              <w:rPr>
                <w:rFonts w:ascii="Times New Roman" w:eastAsia="Times New Roman" w:hAnsi="Times New Roman" w:cs="Times New Roman"/>
                <w:sz w:val="24"/>
                <w:szCs w:val="24"/>
              </w:rPr>
            </w:pPr>
            <w:r w:rsidRPr="00E905AD">
              <w:rPr>
                <w:rFonts w:ascii="Garamond" w:eastAsia="Times New Roman" w:hAnsi="Garamond" w:cs="Times New Roman"/>
                <w:color w:val="000000"/>
              </w:rPr>
              <w:t>Overall Accuracy = 86.56%</w:t>
            </w:r>
          </w:p>
        </w:tc>
      </w:tr>
      <w:tr w:rsidR="00E905AD" w:rsidRPr="00E905AD" w14:paraId="25D84F72" w14:textId="77777777" w:rsidTr="00E905AD">
        <w:trPr>
          <w:trHeight w:val="420"/>
        </w:trPr>
        <w:tc>
          <w:tcPr>
            <w:tcW w:w="2010" w:type="dxa"/>
            <w:tcMar>
              <w:top w:w="100" w:type="dxa"/>
              <w:left w:w="100" w:type="dxa"/>
              <w:bottom w:w="100" w:type="dxa"/>
              <w:right w:w="100" w:type="dxa"/>
            </w:tcMar>
            <w:hideMark/>
          </w:tcPr>
          <w:p w14:paraId="40C525F9"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2052" w:type="dxa"/>
            <w:tcMar>
              <w:top w:w="100" w:type="dxa"/>
              <w:left w:w="100" w:type="dxa"/>
              <w:bottom w:w="100" w:type="dxa"/>
              <w:right w:w="100" w:type="dxa"/>
            </w:tcMar>
            <w:hideMark/>
          </w:tcPr>
          <w:p w14:paraId="664E8DA8"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6108" w:type="dxa"/>
            <w:gridSpan w:val="3"/>
            <w:tcBorders>
              <w:bottom w:val="single" w:sz="8" w:space="0" w:color="000000"/>
            </w:tcBorders>
            <w:tcMar>
              <w:top w:w="100" w:type="dxa"/>
              <w:left w:w="100" w:type="dxa"/>
              <w:bottom w:w="100" w:type="dxa"/>
              <w:right w:w="100" w:type="dxa"/>
            </w:tcMar>
            <w:hideMark/>
          </w:tcPr>
          <w:p w14:paraId="6E9D5BD1"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Field Validation Points</w:t>
            </w:r>
          </w:p>
        </w:tc>
      </w:tr>
      <w:tr w:rsidR="00E905AD" w:rsidRPr="00E905AD" w14:paraId="46E21354" w14:textId="77777777" w:rsidTr="00E905AD">
        <w:trPr>
          <w:trHeight w:val="420"/>
        </w:trPr>
        <w:tc>
          <w:tcPr>
            <w:tcW w:w="2010" w:type="dxa"/>
            <w:vMerge w:val="restart"/>
            <w:tcBorders>
              <w:bottom w:val="single" w:sz="8" w:space="0" w:color="000000"/>
            </w:tcBorders>
            <w:tcMar>
              <w:top w:w="100" w:type="dxa"/>
              <w:left w:w="100" w:type="dxa"/>
              <w:bottom w:w="100" w:type="dxa"/>
              <w:right w:w="100" w:type="dxa"/>
            </w:tcMar>
            <w:vAlign w:val="center"/>
            <w:hideMark/>
          </w:tcPr>
          <w:p w14:paraId="766C9F41"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2017 Random Forest Map</w:t>
            </w:r>
          </w:p>
        </w:tc>
        <w:tc>
          <w:tcPr>
            <w:tcW w:w="2052" w:type="dxa"/>
            <w:tcBorders>
              <w:bottom w:val="single" w:sz="8" w:space="0" w:color="000000"/>
              <w:right w:val="single" w:sz="8" w:space="0" w:color="000000"/>
            </w:tcBorders>
            <w:tcMar>
              <w:top w:w="100" w:type="dxa"/>
              <w:left w:w="100" w:type="dxa"/>
              <w:bottom w:w="100" w:type="dxa"/>
              <w:right w:w="100" w:type="dxa"/>
            </w:tcMar>
            <w:hideMark/>
          </w:tcPr>
          <w:p w14:paraId="40266E75"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14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68636F"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Wetland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B6680"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Upland</w:t>
            </w:r>
          </w:p>
        </w:tc>
        <w:tc>
          <w:tcPr>
            <w:tcW w:w="2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5819C9"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Open water</w:t>
            </w:r>
          </w:p>
        </w:tc>
      </w:tr>
      <w:tr w:rsidR="00E905AD" w:rsidRPr="00E905AD" w14:paraId="4DA66366" w14:textId="77777777" w:rsidTr="00E905AD">
        <w:trPr>
          <w:trHeight w:val="420"/>
        </w:trPr>
        <w:tc>
          <w:tcPr>
            <w:tcW w:w="2010" w:type="dxa"/>
            <w:vMerge/>
            <w:tcBorders>
              <w:bottom w:val="single" w:sz="8" w:space="0" w:color="000000"/>
            </w:tcBorders>
            <w:vAlign w:val="center"/>
            <w:hideMark/>
          </w:tcPr>
          <w:p w14:paraId="6A0C5927"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50CA0"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Wetland</w:t>
            </w:r>
          </w:p>
        </w:tc>
        <w:tc>
          <w:tcPr>
            <w:tcW w:w="1428"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00823FB4"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87.25</w:t>
            </w:r>
          </w:p>
        </w:tc>
        <w:tc>
          <w:tcPr>
            <w:tcW w:w="2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FD28D52"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7.48</w:t>
            </w:r>
          </w:p>
        </w:tc>
        <w:tc>
          <w:tcPr>
            <w:tcW w:w="2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B844DB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7.32</w:t>
            </w:r>
          </w:p>
        </w:tc>
      </w:tr>
      <w:tr w:rsidR="00E905AD" w:rsidRPr="00E905AD" w14:paraId="3CADA26B" w14:textId="77777777" w:rsidTr="00E905AD">
        <w:trPr>
          <w:trHeight w:val="420"/>
        </w:trPr>
        <w:tc>
          <w:tcPr>
            <w:tcW w:w="2010" w:type="dxa"/>
            <w:vMerge/>
            <w:tcBorders>
              <w:bottom w:val="single" w:sz="8" w:space="0" w:color="000000"/>
            </w:tcBorders>
            <w:vAlign w:val="center"/>
            <w:hideMark/>
          </w:tcPr>
          <w:p w14:paraId="0340104F"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E486B"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Upland</w:t>
            </w:r>
          </w:p>
        </w:tc>
        <w:tc>
          <w:tcPr>
            <w:tcW w:w="14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DED00AC"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2.54</w:t>
            </w:r>
          </w:p>
        </w:tc>
        <w:tc>
          <w:tcPr>
            <w:tcW w:w="2340"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683FA21F"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76.92</w:t>
            </w:r>
          </w:p>
        </w:tc>
        <w:tc>
          <w:tcPr>
            <w:tcW w:w="2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C3B5EB8"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2.33</w:t>
            </w:r>
          </w:p>
        </w:tc>
      </w:tr>
      <w:tr w:rsidR="00E905AD" w:rsidRPr="00E905AD" w14:paraId="7691D891" w14:textId="77777777" w:rsidTr="00E905AD">
        <w:trPr>
          <w:trHeight w:val="420"/>
        </w:trPr>
        <w:tc>
          <w:tcPr>
            <w:tcW w:w="2010" w:type="dxa"/>
            <w:vMerge/>
            <w:tcBorders>
              <w:bottom w:val="single" w:sz="8" w:space="0" w:color="000000"/>
            </w:tcBorders>
            <w:vAlign w:val="center"/>
            <w:hideMark/>
          </w:tcPr>
          <w:p w14:paraId="6C3CBA29" w14:textId="77777777" w:rsidR="00E905AD" w:rsidRPr="00E905AD" w:rsidRDefault="00E905AD" w:rsidP="00E905AD">
            <w:pPr>
              <w:spacing w:after="0" w:line="240" w:lineRule="auto"/>
              <w:rPr>
                <w:rFonts w:ascii="Times New Roman" w:eastAsia="Times New Roman" w:hAnsi="Times New Roman" w:cs="Times New Roman"/>
                <w:sz w:val="24"/>
                <w:szCs w:val="24"/>
              </w:rPr>
            </w:pPr>
          </w:p>
        </w:tc>
        <w:tc>
          <w:tcPr>
            <w:tcW w:w="20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EA82F" w14:textId="77777777" w:rsidR="00E905AD" w:rsidRPr="00E905AD" w:rsidRDefault="00E905AD" w:rsidP="00E905AD">
            <w:pPr>
              <w:spacing w:after="0" w:line="240" w:lineRule="auto"/>
              <w:jc w:val="right"/>
              <w:rPr>
                <w:rFonts w:ascii="Times New Roman" w:eastAsia="Times New Roman" w:hAnsi="Times New Roman" w:cs="Times New Roman"/>
                <w:sz w:val="24"/>
                <w:szCs w:val="24"/>
              </w:rPr>
            </w:pPr>
            <w:r w:rsidRPr="00E905AD">
              <w:rPr>
                <w:rFonts w:ascii="Garamond" w:eastAsia="Times New Roman" w:hAnsi="Garamond" w:cs="Times New Roman"/>
                <w:color w:val="000000"/>
              </w:rPr>
              <w:t>Open water</w:t>
            </w:r>
          </w:p>
        </w:tc>
        <w:tc>
          <w:tcPr>
            <w:tcW w:w="142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D47057D"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10.21</w:t>
            </w:r>
          </w:p>
        </w:tc>
        <w:tc>
          <w:tcPr>
            <w:tcW w:w="23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8AA7457"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15.60</w:t>
            </w:r>
          </w:p>
        </w:tc>
        <w:tc>
          <w:tcPr>
            <w:tcW w:w="2340" w:type="dxa"/>
            <w:tcBorders>
              <w:top w:val="single" w:sz="8" w:space="0" w:color="000000"/>
              <w:left w:val="single" w:sz="8" w:space="0" w:color="000000"/>
              <w:bottom w:val="single" w:sz="8" w:space="0" w:color="000000"/>
              <w:right w:val="single" w:sz="8" w:space="0" w:color="000000"/>
            </w:tcBorders>
            <w:shd w:val="clear" w:color="auto" w:fill="F3F3F3"/>
            <w:tcMar>
              <w:top w:w="40" w:type="dxa"/>
              <w:left w:w="40" w:type="dxa"/>
              <w:bottom w:w="40" w:type="dxa"/>
              <w:right w:w="40" w:type="dxa"/>
            </w:tcMar>
            <w:vAlign w:val="center"/>
            <w:hideMark/>
          </w:tcPr>
          <w:p w14:paraId="0E3DDE9D" w14:textId="77777777" w:rsidR="00E905AD" w:rsidRPr="00E905AD" w:rsidRDefault="00E905AD" w:rsidP="00E905AD">
            <w:pPr>
              <w:spacing w:after="0" w:line="240" w:lineRule="auto"/>
              <w:jc w:val="center"/>
              <w:rPr>
                <w:rFonts w:ascii="Times New Roman" w:eastAsia="Times New Roman" w:hAnsi="Times New Roman" w:cs="Times New Roman"/>
                <w:sz w:val="24"/>
                <w:szCs w:val="24"/>
              </w:rPr>
            </w:pPr>
            <w:r w:rsidRPr="00E905AD">
              <w:rPr>
                <w:rFonts w:ascii="Garamond" w:eastAsia="Times New Roman" w:hAnsi="Garamond" w:cs="Times New Roman"/>
                <w:color w:val="000000"/>
              </w:rPr>
              <w:t>90.35</w:t>
            </w:r>
          </w:p>
        </w:tc>
      </w:tr>
    </w:tbl>
    <w:p w14:paraId="0DB3AABC" w14:textId="77777777" w:rsidR="00CF4E23" w:rsidRPr="0066138C" w:rsidRDefault="00CF4E23" w:rsidP="00CF4E23">
      <w:pPr>
        <w:spacing w:after="0" w:line="240" w:lineRule="auto"/>
        <w:rPr>
          <w:rFonts w:ascii="Garamond" w:hAnsi="Garamond"/>
        </w:rPr>
      </w:pPr>
    </w:p>
    <w:sectPr w:rsidR="00CF4E23" w:rsidRPr="0066138C" w:rsidSect="0064280B">
      <w:footerReference w:type="default" r:id="rId17"/>
      <w:headerReference w:type="first" r:id="rId18"/>
      <w:footerReference w:type="firs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A417D" w14:textId="77777777" w:rsidR="00851FEF" w:rsidRDefault="00851FEF" w:rsidP="00242822">
      <w:pPr>
        <w:spacing w:after="0" w:line="240" w:lineRule="auto"/>
      </w:pPr>
      <w:r>
        <w:separator/>
      </w:r>
    </w:p>
  </w:endnote>
  <w:endnote w:type="continuationSeparator" w:id="0">
    <w:p w14:paraId="0D523AC2" w14:textId="77777777" w:rsidR="00851FEF" w:rsidRDefault="00851FE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062FE9E2" w:rsidR="003949EB" w:rsidRDefault="003949EB">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284854">
          <w:rPr>
            <w:rFonts w:ascii="Garamond" w:hAnsi="Garamond"/>
            <w:noProof/>
          </w:rPr>
          <w:t>20</w:t>
        </w:r>
        <w:r w:rsidRPr="0056152E">
          <w:rPr>
            <w:rFonts w:ascii="Garamond" w:hAnsi="Garamond"/>
            <w:noProof/>
          </w:rPr>
          <w:fldChar w:fldCharType="end"/>
        </w:r>
      </w:p>
    </w:sdtContent>
  </w:sdt>
  <w:p w14:paraId="472788A1" w14:textId="77777777" w:rsidR="003949EB" w:rsidRDefault="003949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3949EB" w:rsidRDefault="003949EB"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516A8" w14:textId="77777777" w:rsidR="00851FEF" w:rsidRDefault="00851FEF" w:rsidP="00242822">
      <w:pPr>
        <w:spacing w:after="0" w:line="240" w:lineRule="auto"/>
      </w:pPr>
      <w:r>
        <w:separator/>
      </w:r>
    </w:p>
  </w:footnote>
  <w:footnote w:type="continuationSeparator" w:id="0">
    <w:p w14:paraId="0A658E8C" w14:textId="77777777" w:rsidR="00851FEF" w:rsidRDefault="00851FEF"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3949EB" w:rsidRPr="000B6E68" w:rsidRDefault="003949EB"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38A73BCF" w:rsidR="003949EB" w:rsidRPr="000B6E68" w:rsidRDefault="003949EB" w:rsidP="00552C75">
    <w:pPr>
      <w:spacing w:after="0" w:line="240" w:lineRule="auto"/>
      <w:jc w:val="right"/>
      <w:rPr>
        <w:rFonts w:ascii="Garamond" w:hAnsi="Garamond"/>
        <w:b/>
        <w:sz w:val="32"/>
        <w:szCs w:val="32"/>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A67E5E">
      <w:rPr>
        <w:rFonts w:ascii="Garamond" w:hAnsi="Garamond"/>
        <w:b/>
        <w:sz w:val="32"/>
        <w:szCs w:val="32"/>
      </w:rPr>
      <w:t>California – JPL</w:t>
    </w:r>
  </w:p>
  <w:p w14:paraId="77B49D9A" w14:textId="5A4556DB" w:rsidR="003949EB" w:rsidRPr="0077554A" w:rsidRDefault="003949EB"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qwUAIAY4jSwAAAA="/>
  </w:docVars>
  <w:rsids>
    <w:rsidRoot w:val="0041150E"/>
    <w:rsid w:val="00001451"/>
    <w:rsid w:val="000057A6"/>
    <w:rsid w:val="00014DAF"/>
    <w:rsid w:val="00030B13"/>
    <w:rsid w:val="000456D3"/>
    <w:rsid w:val="000501ED"/>
    <w:rsid w:val="00054474"/>
    <w:rsid w:val="00056070"/>
    <w:rsid w:val="000745AD"/>
    <w:rsid w:val="00084F36"/>
    <w:rsid w:val="00086B7E"/>
    <w:rsid w:val="000944EA"/>
    <w:rsid w:val="00095609"/>
    <w:rsid w:val="000967A1"/>
    <w:rsid w:val="000B3F87"/>
    <w:rsid w:val="000B6E68"/>
    <w:rsid w:val="000C58B8"/>
    <w:rsid w:val="000D5104"/>
    <w:rsid w:val="000D79AC"/>
    <w:rsid w:val="000E09EF"/>
    <w:rsid w:val="000E741C"/>
    <w:rsid w:val="000F1545"/>
    <w:rsid w:val="000F1EE7"/>
    <w:rsid w:val="000F2ADA"/>
    <w:rsid w:val="00101280"/>
    <w:rsid w:val="00106FD6"/>
    <w:rsid w:val="001233B1"/>
    <w:rsid w:val="001277EC"/>
    <w:rsid w:val="0014039E"/>
    <w:rsid w:val="0014286F"/>
    <w:rsid w:val="0015019B"/>
    <w:rsid w:val="001556CC"/>
    <w:rsid w:val="00157779"/>
    <w:rsid w:val="00163111"/>
    <w:rsid w:val="00163EFB"/>
    <w:rsid w:val="001665E6"/>
    <w:rsid w:val="00171796"/>
    <w:rsid w:val="00173976"/>
    <w:rsid w:val="00173BC1"/>
    <w:rsid w:val="001821EB"/>
    <w:rsid w:val="00194FE1"/>
    <w:rsid w:val="00195D23"/>
    <w:rsid w:val="001A67C2"/>
    <w:rsid w:val="001E158F"/>
    <w:rsid w:val="001F1328"/>
    <w:rsid w:val="001F2623"/>
    <w:rsid w:val="002014F3"/>
    <w:rsid w:val="00206AB6"/>
    <w:rsid w:val="00221251"/>
    <w:rsid w:val="0022176E"/>
    <w:rsid w:val="00221CE5"/>
    <w:rsid w:val="002308F2"/>
    <w:rsid w:val="00234F37"/>
    <w:rsid w:val="0023574D"/>
    <w:rsid w:val="00242822"/>
    <w:rsid w:val="00266755"/>
    <w:rsid w:val="00281532"/>
    <w:rsid w:val="00282021"/>
    <w:rsid w:val="00284854"/>
    <w:rsid w:val="0029214C"/>
    <w:rsid w:val="00293F47"/>
    <w:rsid w:val="002A2D97"/>
    <w:rsid w:val="002A3283"/>
    <w:rsid w:val="002A37F8"/>
    <w:rsid w:val="002B2BE4"/>
    <w:rsid w:val="002C28E6"/>
    <w:rsid w:val="002C4C2E"/>
    <w:rsid w:val="002D5F9B"/>
    <w:rsid w:val="002D6167"/>
    <w:rsid w:val="002D7D54"/>
    <w:rsid w:val="002F204B"/>
    <w:rsid w:val="00307D86"/>
    <w:rsid w:val="00337B65"/>
    <w:rsid w:val="003538BC"/>
    <w:rsid w:val="00366BA2"/>
    <w:rsid w:val="003717C4"/>
    <w:rsid w:val="0038027F"/>
    <w:rsid w:val="00381A01"/>
    <w:rsid w:val="00381D3B"/>
    <w:rsid w:val="00384C12"/>
    <w:rsid w:val="00385239"/>
    <w:rsid w:val="003949EB"/>
    <w:rsid w:val="003C5F62"/>
    <w:rsid w:val="003D3A5B"/>
    <w:rsid w:val="003D46C0"/>
    <w:rsid w:val="003F39BF"/>
    <w:rsid w:val="0041150E"/>
    <w:rsid w:val="0041500B"/>
    <w:rsid w:val="00417A61"/>
    <w:rsid w:val="0043112E"/>
    <w:rsid w:val="00436E69"/>
    <w:rsid w:val="00451695"/>
    <w:rsid w:val="00466D3D"/>
    <w:rsid w:val="00482519"/>
    <w:rsid w:val="004853A8"/>
    <w:rsid w:val="00494746"/>
    <w:rsid w:val="004951A9"/>
    <w:rsid w:val="004A2010"/>
    <w:rsid w:val="004A3ACD"/>
    <w:rsid w:val="004C4352"/>
    <w:rsid w:val="004D19D3"/>
    <w:rsid w:val="004D7212"/>
    <w:rsid w:val="004D75BF"/>
    <w:rsid w:val="004E726C"/>
    <w:rsid w:val="004E730A"/>
    <w:rsid w:val="00515A3C"/>
    <w:rsid w:val="00521625"/>
    <w:rsid w:val="00524715"/>
    <w:rsid w:val="005418C9"/>
    <w:rsid w:val="005447A6"/>
    <w:rsid w:val="00545AAB"/>
    <w:rsid w:val="00552C75"/>
    <w:rsid w:val="0056152E"/>
    <w:rsid w:val="00564AD3"/>
    <w:rsid w:val="00571F90"/>
    <w:rsid w:val="005773E5"/>
    <w:rsid w:val="00583B86"/>
    <w:rsid w:val="0059267E"/>
    <w:rsid w:val="005974B9"/>
    <w:rsid w:val="005A457F"/>
    <w:rsid w:val="005A5711"/>
    <w:rsid w:val="005B6AE3"/>
    <w:rsid w:val="005B776C"/>
    <w:rsid w:val="005C723F"/>
    <w:rsid w:val="005D010C"/>
    <w:rsid w:val="005D5E63"/>
    <w:rsid w:val="005F6188"/>
    <w:rsid w:val="005F6AD4"/>
    <w:rsid w:val="006043FF"/>
    <w:rsid w:val="00615E3A"/>
    <w:rsid w:val="00621AB9"/>
    <w:rsid w:val="00624E1E"/>
    <w:rsid w:val="00633EAB"/>
    <w:rsid w:val="0064280B"/>
    <w:rsid w:val="00642D0A"/>
    <w:rsid w:val="006528A0"/>
    <w:rsid w:val="00654A42"/>
    <w:rsid w:val="0066075C"/>
    <w:rsid w:val="0066138C"/>
    <w:rsid w:val="00662530"/>
    <w:rsid w:val="0066727D"/>
    <w:rsid w:val="00672A0D"/>
    <w:rsid w:val="006822ED"/>
    <w:rsid w:val="00684FE5"/>
    <w:rsid w:val="00695331"/>
    <w:rsid w:val="006A0BCE"/>
    <w:rsid w:val="006A440C"/>
    <w:rsid w:val="006B6FAA"/>
    <w:rsid w:val="006B7A35"/>
    <w:rsid w:val="006C6154"/>
    <w:rsid w:val="006C7B8F"/>
    <w:rsid w:val="006D1A28"/>
    <w:rsid w:val="006E1497"/>
    <w:rsid w:val="006E2A1C"/>
    <w:rsid w:val="006E2B65"/>
    <w:rsid w:val="006F0FAB"/>
    <w:rsid w:val="006F6D6B"/>
    <w:rsid w:val="007152DE"/>
    <w:rsid w:val="00716586"/>
    <w:rsid w:val="00732B10"/>
    <w:rsid w:val="007435BA"/>
    <w:rsid w:val="00753B16"/>
    <w:rsid w:val="007566D3"/>
    <w:rsid w:val="00756C0F"/>
    <w:rsid w:val="00770650"/>
    <w:rsid w:val="00771691"/>
    <w:rsid w:val="0077554A"/>
    <w:rsid w:val="007775D4"/>
    <w:rsid w:val="00781908"/>
    <w:rsid w:val="00786D71"/>
    <w:rsid w:val="00793FBF"/>
    <w:rsid w:val="00795384"/>
    <w:rsid w:val="007B1581"/>
    <w:rsid w:val="007B7A7A"/>
    <w:rsid w:val="007C1AEA"/>
    <w:rsid w:val="007D0214"/>
    <w:rsid w:val="007D208F"/>
    <w:rsid w:val="007D4A3A"/>
    <w:rsid w:val="007E304E"/>
    <w:rsid w:val="007E508C"/>
    <w:rsid w:val="007E68B5"/>
    <w:rsid w:val="007F5769"/>
    <w:rsid w:val="007F6093"/>
    <w:rsid w:val="00800491"/>
    <w:rsid w:val="00803A80"/>
    <w:rsid w:val="0081261B"/>
    <w:rsid w:val="0082491E"/>
    <w:rsid w:val="00824CC4"/>
    <w:rsid w:val="0083391E"/>
    <w:rsid w:val="00840E79"/>
    <w:rsid w:val="0084232D"/>
    <w:rsid w:val="00851FEF"/>
    <w:rsid w:val="00855532"/>
    <w:rsid w:val="00865A53"/>
    <w:rsid w:val="00870E95"/>
    <w:rsid w:val="00871621"/>
    <w:rsid w:val="00872A13"/>
    <w:rsid w:val="008741CE"/>
    <w:rsid w:val="00876DBF"/>
    <w:rsid w:val="008921B2"/>
    <w:rsid w:val="008926BC"/>
    <w:rsid w:val="008975BD"/>
    <w:rsid w:val="008B7071"/>
    <w:rsid w:val="008C0234"/>
    <w:rsid w:val="008C7380"/>
    <w:rsid w:val="008D5500"/>
    <w:rsid w:val="008E14C4"/>
    <w:rsid w:val="008E2848"/>
    <w:rsid w:val="008E5453"/>
    <w:rsid w:val="009046BB"/>
    <w:rsid w:val="0091079C"/>
    <w:rsid w:val="00916AAB"/>
    <w:rsid w:val="009228EC"/>
    <w:rsid w:val="00933965"/>
    <w:rsid w:val="00935394"/>
    <w:rsid w:val="00935630"/>
    <w:rsid w:val="00945CF5"/>
    <w:rsid w:val="00946AA2"/>
    <w:rsid w:val="009552AE"/>
    <w:rsid w:val="009830D6"/>
    <w:rsid w:val="00983B03"/>
    <w:rsid w:val="0098747D"/>
    <w:rsid w:val="00987986"/>
    <w:rsid w:val="00990523"/>
    <w:rsid w:val="009A19B3"/>
    <w:rsid w:val="009A20C2"/>
    <w:rsid w:val="009A20ED"/>
    <w:rsid w:val="009A4203"/>
    <w:rsid w:val="009A5F2A"/>
    <w:rsid w:val="009A63BF"/>
    <w:rsid w:val="009B0301"/>
    <w:rsid w:val="009F5966"/>
    <w:rsid w:val="009F5B6F"/>
    <w:rsid w:val="009F60A9"/>
    <w:rsid w:val="00A11DB7"/>
    <w:rsid w:val="00A12C21"/>
    <w:rsid w:val="00A212CE"/>
    <w:rsid w:val="00A2773A"/>
    <w:rsid w:val="00A316C1"/>
    <w:rsid w:val="00A402E2"/>
    <w:rsid w:val="00A43059"/>
    <w:rsid w:val="00A44FFF"/>
    <w:rsid w:val="00A60645"/>
    <w:rsid w:val="00A66C29"/>
    <w:rsid w:val="00A67E5E"/>
    <w:rsid w:val="00A715D8"/>
    <w:rsid w:val="00A95E7B"/>
    <w:rsid w:val="00AB104D"/>
    <w:rsid w:val="00AB12D0"/>
    <w:rsid w:val="00AD5D0D"/>
    <w:rsid w:val="00AD6E52"/>
    <w:rsid w:val="00B008E6"/>
    <w:rsid w:val="00B00BCB"/>
    <w:rsid w:val="00B173A5"/>
    <w:rsid w:val="00B1778F"/>
    <w:rsid w:val="00B2307C"/>
    <w:rsid w:val="00B24E61"/>
    <w:rsid w:val="00B265D9"/>
    <w:rsid w:val="00B3322E"/>
    <w:rsid w:val="00B35B60"/>
    <w:rsid w:val="00B365F0"/>
    <w:rsid w:val="00B46325"/>
    <w:rsid w:val="00B468A3"/>
    <w:rsid w:val="00B527AA"/>
    <w:rsid w:val="00B64CCF"/>
    <w:rsid w:val="00B768DB"/>
    <w:rsid w:val="00B93AAF"/>
    <w:rsid w:val="00B976A3"/>
    <w:rsid w:val="00BA41F7"/>
    <w:rsid w:val="00BA6F20"/>
    <w:rsid w:val="00BB1B7B"/>
    <w:rsid w:val="00BB78A4"/>
    <w:rsid w:val="00BC113C"/>
    <w:rsid w:val="00BC5578"/>
    <w:rsid w:val="00BD1A87"/>
    <w:rsid w:val="00C075B6"/>
    <w:rsid w:val="00C15E9C"/>
    <w:rsid w:val="00C3045C"/>
    <w:rsid w:val="00C46DF0"/>
    <w:rsid w:val="00C60F7D"/>
    <w:rsid w:val="00C67FB7"/>
    <w:rsid w:val="00C82473"/>
    <w:rsid w:val="00C86E0B"/>
    <w:rsid w:val="00CA65E0"/>
    <w:rsid w:val="00CB1C0F"/>
    <w:rsid w:val="00CB7AFE"/>
    <w:rsid w:val="00CC7D98"/>
    <w:rsid w:val="00CD092A"/>
    <w:rsid w:val="00CD505E"/>
    <w:rsid w:val="00CE5A9E"/>
    <w:rsid w:val="00CE7909"/>
    <w:rsid w:val="00CE7FDD"/>
    <w:rsid w:val="00CF17F8"/>
    <w:rsid w:val="00CF4E23"/>
    <w:rsid w:val="00CF6083"/>
    <w:rsid w:val="00D022EB"/>
    <w:rsid w:val="00D1374C"/>
    <w:rsid w:val="00D17912"/>
    <w:rsid w:val="00D3013B"/>
    <w:rsid w:val="00D37248"/>
    <w:rsid w:val="00D41203"/>
    <w:rsid w:val="00D41B46"/>
    <w:rsid w:val="00D523CD"/>
    <w:rsid w:val="00D61206"/>
    <w:rsid w:val="00D71993"/>
    <w:rsid w:val="00D7644D"/>
    <w:rsid w:val="00D8404A"/>
    <w:rsid w:val="00D94371"/>
    <w:rsid w:val="00DA5145"/>
    <w:rsid w:val="00DA7B77"/>
    <w:rsid w:val="00DA7F96"/>
    <w:rsid w:val="00DF22D8"/>
    <w:rsid w:val="00E00E6B"/>
    <w:rsid w:val="00E02B08"/>
    <w:rsid w:val="00E03B8E"/>
    <w:rsid w:val="00E051F2"/>
    <w:rsid w:val="00E11FBC"/>
    <w:rsid w:val="00E139E4"/>
    <w:rsid w:val="00E16257"/>
    <w:rsid w:val="00E24725"/>
    <w:rsid w:val="00E25BC6"/>
    <w:rsid w:val="00E40B9D"/>
    <w:rsid w:val="00E41324"/>
    <w:rsid w:val="00E41436"/>
    <w:rsid w:val="00E43BB7"/>
    <w:rsid w:val="00E544FC"/>
    <w:rsid w:val="00E578D6"/>
    <w:rsid w:val="00E6105B"/>
    <w:rsid w:val="00E64FEA"/>
    <w:rsid w:val="00E74845"/>
    <w:rsid w:val="00E75D54"/>
    <w:rsid w:val="00E84FC9"/>
    <w:rsid w:val="00E905AD"/>
    <w:rsid w:val="00E91B1A"/>
    <w:rsid w:val="00E91C8B"/>
    <w:rsid w:val="00EB1428"/>
    <w:rsid w:val="00ED4EBF"/>
    <w:rsid w:val="00F06EA6"/>
    <w:rsid w:val="00F121FB"/>
    <w:rsid w:val="00F24FCE"/>
    <w:rsid w:val="00F309D0"/>
    <w:rsid w:val="00F30EEA"/>
    <w:rsid w:val="00F37B0F"/>
    <w:rsid w:val="00F54C5E"/>
    <w:rsid w:val="00F73E48"/>
    <w:rsid w:val="00F8306B"/>
    <w:rsid w:val="00F85D9B"/>
    <w:rsid w:val="00FB2F9A"/>
    <w:rsid w:val="00FB5846"/>
    <w:rsid w:val="00FC670A"/>
    <w:rsid w:val="00FD2E28"/>
    <w:rsid w:val="00FE08DD"/>
    <w:rsid w:val="00FE4304"/>
    <w:rsid w:val="00FE5203"/>
    <w:rsid w:val="00FF5484"/>
    <w:rsid w:val="00FF5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48DBBE6F-34CF-3240-96E7-AC1942C79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9879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83B03"/>
  </w:style>
  <w:style w:type="character" w:styleId="PlaceholderText">
    <w:name w:val="Placeholder Text"/>
    <w:basedOn w:val="DefaultParagraphFont"/>
    <w:uiPriority w:val="99"/>
    <w:semiHidden/>
    <w:rsid w:val="00983B03"/>
    <w:rPr>
      <w:color w:val="808080"/>
    </w:rPr>
  </w:style>
  <w:style w:type="character" w:customStyle="1" w:styleId="UnresolvedMention">
    <w:name w:val="Unresolved Mention"/>
    <w:basedOn w:val="DefaultParagraphFont"/>
    <w:uiPriority w:val="99"/>
    <w:semiHidden/>
    <w:unhideWhenUsed/>
    <w:rsid w:val="000E0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0197">
      <w:bodyDiv w:val="1"/>
      <w:marLeft w:val="0"/>
      <w:marRight w:val="0"/>
      <w:marTop w:val="0"/>
      <w:marBottom w:val="0"/>
      <w:divBdr>
        <w:top w:val="none" w:sz="0" w:space="0" w:color="auto"/>
        <w:left w:val="none" w:sz="0" w:space="0" w:color="auto"/>
        <w:bottom w:val="none" w:sz="0" w:space="0" w:color="auto"/>
        <w:right w:val="none" w:sz="0" w:space="0" w:color="auto"/>
      </w:divBdr>
    </w:div>
    <w:div w:id="66348199">
      <w:bodyDiv w:val="1"/>
      <w:marLeft w:val="0"/>
      <w:marRight w:val="0"/>
      <w:marTop w:val="0"/>
      <w:marBottom w:val="0"/>
      <w:divBdr>
        <w:top w:val="none" w:sz="0" w:space="0" w:color="auto"/>
        <w:left w:val="none" w:sz="0" w:space="0" w:color="auto"/>
        <w:bottom w:val="none" w:sz="0" w:space="0" w:color="auto"/>
        <w:right w:val="none" w:sz="0" w:space="0" w:color="auto"/>
      </w:divBdr>
    </w:div>
    <w:div w:id="187303593">
      <w:bodyDiv w:val="1"/>
      <w:marLeft w:val="0"/>
      <w:marRight w:val="0"/>
      <w:marTop w:val="0"/>
      <w:marBottom w:val="0"/>
      <w:divBdr>
        <w:top w:val="none" w:sz="0" w:space="0" w:color="auto"/>
        <w:left w:val="none" w:sz="0" w:space="0" w:color="auto"/>
        <w:bottom w:val="none" w:sz="0" w:space="0" w:color="auto"/>
        <w:right w:val="none" w:sz="0" w:space="0" w:color="auto"/>
      </w:divBdr>
    </w:div>
    <w:div w:id="192693362">
      <w:bodyDiv w:val="1"/>
      <w:marLeft w:val="0"/>
      <w:marRight w:val="0"/>
      <w:marTop w:val="0"/>
      <w:marBottom w:val="0"/>
      <w:divBdr>
        <w:top w:val="none" w:sz="0" w:space="0" w:color="auto"/>
        <w:left w:val="none" w:sz="0" w:space="0" w:color="auto"/>
        <w:bottom w:val="none" w:sz="0" w:space="0" w:color="auto"/>
        <w:right w:val="none" w:sz="0" w:space="0" w:color="auto"/>
      </w:divBdr>
    </w:div>
    <w:div w:id="244266874">
      <w:bodyDiv w:val="1"/>
      <w:marLeft w:val="0"/>
      <w:marRight w:val="0"/>
      <w:marTop w:val="0"/>
      <w:marBottom w:val="0"/>
      <w:divBdr>
        <w:top w:val="none" w:sz="0" w:space="0" w:color="auto"/>
        <w:left w:val="none" w:sz="0" w:space="0" w:color="auto"/>
        <w:bottom w:val="none" w:sz="0" w:space="0" w:color="auto"/>
        <w:right w:val="none" w:sz="0" w:space="0" w:color="auto"/>
      </w:divBdr>
      <w:divsChild>
        <w:div w:id="1109468266">
          <w:marLeft w:val="0"/>
          <w:marRight w:val="0"/>
          <w:marTop w:val="0"/>
          <w:marBottom w:val="0"/>
          <w:divBdr>
            <w:top w:val="none" w:sz="0" w:space="0" w:color="auto"/>
            <w:left w:val="none" w:sz="0" w:space="0" w:color="auto"/>
            <w:bottom w:val="none" w:sz="0" w:space="0" w:color="auto"/>
            <w:right w:val="none" w:sz="0" w:space="0" w:color="auto"/>
          </w:divBdr>
        </w:div>
      </w:divsChild>
    </w:div>
    <w:div w:id="270087859">
      <w:bodyDiv w:val="1"/>
      <w:marLeft w:val="0"/>
      <w:marRight w:val="0"/>
      <w:marTop w:val="0"/>
      <w:marBottom w:val="0"/>
      <w:divBdr>
        <w:top w:val="none" w:sz="0" w:space="0" w:color="auto"/>
        <w:left w:val="none" w:sz="0" w:space="0" w:color="auto"/>
        <w:bottom w:val="none" w:sz="0" w:space="0" w:color="auto"/>
        <w:right w:val="none" w:sz="0" w:space="0" w:color="auto"/>
      </w:divBdr>
    </w:div>
    <w:div w:id="292491840">
      <w:bodyDiv w:val="1"/>
      <w:marLeft w:val="0"/>
      <w:marRight w:val="0"/>
      <w:marTop w:val="0"/>
      <w:marBottom w:val="0"/>
      <w:divBdr>
        <w:top w:val="none" w:sz="0" w:space="0" w:color="auto"/>
        <w:left w:val="none" w:sz="0" w:space="0" w:color="auto"/>
        <w:bottom w:val="none" w:sz="0" w:space="0" w:color="auto"/>
        <w:right w:val="none" w:sz="0" w:space="0" w:color="auto"/>
      </w:divBdr>
    </w:div>
    <w:div w:id="329796683">
      <w:bodyDiv w:val="1"/>
      <w:marLeft w:val="0"/>
      <w:marRight w:val="0"/>
      <w:marTop w:val="0"/>
      <w:marBottom w:val="0"/>
      <w:divBdr>
        <w:top w:val="none" w:sz="0" w:space="0" w:color="auto"/>
        <w:left w:val="none" w:sz="0" w:space="0" w:color="auto"/>
        <w:bottom w:val="none" w:sz="0" w:space="0" w:color="auto"/>
        <w:right w:val="none" w:sz="0" w:space="0" w:color="auto"/>
      </w:divBdr>
    </w:div>
    <w:div w:id="452406121">
      <w:bodyDiv w:val="1"/>
      <w:marLeft w:val="0"/>
      <w:marRight w:val="0"/>
      <w:marTop w:val="0"/>
      <w:marBottom w:val="0"/>
      <w:divBdr>
        <w:top w:val="none" w:sz="0" w:space="0" w:color="auto"/>
        <w:left w:val="none" w:sz="0" w:space="0" w:color="auto"/>
        <w:bottom w:val="none" w:sz="0" w:space="0" w:color="auto"/>
        <w:right w:val="none" w:sz="0" w:space="0" w:color="auto"/>
      </w:divBdr>
    </w:div>
    <w:div w:id="470171985">
      <w:bodyDiv w:val="1"/>
      <w:marLeft w:val="0"/>
      <w:marRight w:val="0"/>
      <w:marTop w:val="0"/>
      <w:marBottom w:val="0"/>
      <w:divBdr>
        <w:top w:val="none" w:sz="0" w:space="0" w:color="auto"/>
        <w:left w:val="none" w:sz="0" w:space="0" w:color="auto"/>
        <w:bottom w:val="none" w:sz="0" w:space="0" w:color="auto"/>
        <w:right w:val="none" w:sz="0" w:space="0" w:color="auto"/>
      </w:divBdr>
    </w:div>
    <w:div w:id="498811523">
      <w:bodyDiv w:val="1"/>
      <w:marLeft w:val="0"/>
      <w:marRight w:val="0"/>
      <w:marTop w:val="0"/>
      <w:marBottom w:val="0"/>
      <w:divBdr>
        <w:top w:val="none" w:sz="0" w:space="0" w:color="auto"/>
        <w:left w:val="none" w:sz="0" w:space="0" w:color="auto"/>
        <w:bottom w:val="none" w:sz="0" w:space="0" w:color="auto"/>
        <w:right w:val="none" w:sz="0" w:space="0" w:color="auto"/>
      </w:divBdr>
    </w:div>
    <w:div w:id="536939644">
      <w:bodyDiv w:val="1"/>
      <w:marLeft w:val="0"/>
      <w:marRight w:val="0"/>
      <w:marTop w:val="0"/>
      <w:marBottom w:val="0"/>
      <w:divBdr>
        <w:top w:val="none" w:sz="0" w:space="0" w:color="auto"/>
        <w:left w:val="none" w:sz="0" w:space="0" w:color="auto"/>
        <w:bottom w:val="none" w:sz="0" w:space="0" w:color="auto"/>
        <w:right w:val="none" w:sz="0" w:space="0" w:color="auto"/>
      </w:divBdr>
      <w:divsChild>
        <w:div w:id="1089346646">
          <w:marLeft w:val="0"/>
          <w:marRight w:val="0"/>
          <w:marTop w:val="0"/>
          <w:marBottom w:val="0"/>
          <w:divBdr>
            <w:top w:val="none" w:sz="0" w:space="0" w:color="auto"/>
            <w:left w:val="none" w:sz="0" w:space="0" w:color="auto"/>
            <w:bottom w:val="none" w:sz="0" w:space="0" w:color="auto"/>
            <w:right w:val="none" w:sz="0" w:space="0" w:color="auto"/>
          </w:divBdr>
        </w:div>
        <w:div w:id="326831843">
          <w:marLeft w:val="0"/>
          <w:marRight w:val="0"/>
          <w:marTop w:val="0"/>
          <w:marBottom w:val="0"/>
          <w:divBdr>
            <w:top w:val="none" w:sz="0" w:space="0" w:color="auto"/>
            <w:left w:val="none" w:sz="0" w:space="0" w:color="auto"/>
            <w:bottom w:val="none" w:sz="0" w:space="0" w:color="auto"/>
            <w:right w:val="none" w:sz="0" w:space="0" w:color="auto"/>
          </w:divBdr>
        </w:div>
      </w:divsChild>
    </w:div>
    <w:div w:id="568199257">
      <w:bodyDiv w:val="1"/>
      <w:marLeft w:val="0"/>
      <w:marRight w:val="0"/>
      <w:marTop w:val="0"/>
      <w:marBottom w:val="0"/>
      <w:divBdr>
        <w:top w:val="none" w:sz="0" w:space="0" w:color="auto"/>
        <w:left w:val="none" w:sz="0" w:space="0" w:color="auto"/>
        <w:bottom w:val="none" w:sz="0" w:space="0" w:color="auto"/>
        <w:right w:val="none" w:sz="0" w:space="0" w:color="auto"/>
      </w:divBdr>
    </w:div>
    <w:div w:id="662317160">
      <w:bodyDiv w:val="1"/>
      <w:marLeft w:val="0"/>
      <w:marRight w:val="0"/>
      <w:marTop w:val="0"/>
      <w:marBottom w:val="0"/>
      <w:divBdr>
        <w:top w:val="none" w:sz="0" w:space="0" w:color="auto"/>
        <w:left w:val="none" w:sz="0" w:space="0" w:color="auto"/>
        <w:bottom w:val="none" w:sz="0" w:space="0" w:color="auto"/>
        <w:right w:val="none" w:sz="0" w:space="0" w:color="auto"/>
      </w:divBdr>
    </w:div>
    <w:div w:id="695885736">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sChild>
        <w:div w:id="1230457283">
          <w:marLeft w:val="0"/>
          <w:marRight w:val="0"/>
          <w:marTop w:val="0"/>
          <w:marBottom w:val="0"/>
          <w:divBdr>
            <w:top w:val="none" w:sz="0" w:space="0" w:color="auto"/>
            <w:left w:val="none" w:sz="0" w:space="0" w:color="auto"/>
            <w:bottom w:val="none" w:sz="0" w:space="0" w:color="auto"/>
            <w:right w:val="none" w:sz="0" w:space="0" w:color="auto"/>
          </w:divBdr>
        </w:div>
        <w:div w:id="2036035339">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3473604">
      <w:bodyDiv w:val="1"/>
      <w:marLeft w:val="0"/>
      <w:marRight w:val="0"/>
      <w:marTop w:val="0"/>
      <w:marBottom w:val="0"/>
      <w:divBdr>
        <w:top w:val="none" w:sz="0" w:space="0" w:color="auto"/>
        <w:left w:val="none" w:sz="0" w:space="0" w:color="auto"/>
        <w:bottom w:val="none" w:sz="0" w:space="0" w:color="auto"/>
        <w:right w:val="none" w:sz="0" w:space="0" w:color="auto"/>
      </w:divBdr>
    </w:div>
    <w:div w:id="839663742">
      <w:bodyDiv w:val="1"/>
      <w:marLeft w:val="0"/>
      <w:marRight w:val="0"/>
      <w:marTop w:val="0"/>
      <w:marBottom w:val="0"/>
      <w:divBdr>
        <w:top w:val="none" w:sz="0" w:space="0" w:color="auto"/>
        <w:left w:val="none" w:sz="0" w:space="0" w:color="auto"/>
        <w:bottom w:val="none" w:sz="0" w:space="0" w:color="auto"/>
        <w:right w:val="none" w:sz="0" w:space="0" w:color="auto"/>
      </w:divBdr>
    </w:div>
    <w:div w:id="857083849">
      <w:bodyDiv w:val="1"/>
      <w:marLeft w:val="0"/>
      <w:marRight w:val="0"/>
      <w:marTop w:val="0"/>
      <w:marBottom w:val="0"/>
      <w:divBdr>
        <w:top w:val="none" w:sz="0" w:space="0" w:color="auto"/>
        <w:left w:val="none" w:sz="0" w:space="0" w:color="auto"/>
        <w:bottom w:val="none" w:sz="0" w:space="0" w:color="auto"/>
        <w:right w:val="none" w:sz="0" w:space="0" w:color="auto"/>
      </w:divBdr>
    </w:div>
    <w:div w:id="914322043">
      <w:bodyDiv w:val="1"/>
      <w:marLeft w:val="0"/>
      <w:marRight w:val="0"/>
      <w:marTop w:val="0"/>
      <w:marBottom w:val="0"/>
      <w:divBdr>
        <w:top w:val="none" w:sz="0" w:space="0" w:color="auto"/>
        <w:left w:val="none" w:sz="0" w:space="0" w:color="auto"/>
        <w:bottom w:val="none" w:sz="0" w:space="0" w:color="auto"/>
        <w:right w:val="none" w:sz="0" w:space="0" w:color="auto"/>
      </w:divBdr>
    </w:div>
    <w:div w:id="923878432">
      <w:bodyDiv w:val="1"/>
      <w:marLeft w:val="0"/>
      <w:marRight w:val="0"/>
      <w:marTop w:val="0"/>
      <w:marBottom w:val="0"/>
      <w:divBdr>
        <w:top w:val="none" w:sz="0" w:space="0" w:color="auto"/>
        <w:left w:val="none" w:sz="0" w:space="0" w:color="auto"/>
        <w:bottom w:val="none" w:sz="0" w:space="0" w:color="auto"/>
        <w:right w:val="none" w:sz="0" w:space="0" w:color="auto"/>
      </w:divBdr>
      <w:divsChild>
        <w:div w:id="367335460">
          <w:marLeft w:val="0"/>
          <w:marRight w:val="0"/>
          <w:marTop w:val="0"/>
          <w:marBottom w:val="0"/>
          <w:divBdr>
            <w:top w:val="none" w:sz="0" w:space="0" w:color="auto"/>
            <w:left w:val="none" w:sz="0" w:space="0" w:color="auto"/>
            <w:bottom w:val="none" w:sz="0" w:space="0" w:color="auto"/>
            <w:right w:val="none" w:sz="0" w:space="0" w:color="auto"/>
          </w:divBdr>
        </w:div>
      </w:divsChild>
    </w:div>
    <w:div w:id="930159560">
      <w:bodyDiv w:val="1"/>
      <w:marLeft w:val="0"/>
      <w:marRight w:val="0"/>
      <w:marTop w:val="0"/>
      <w:marBottom w:val="0"/>
      <w:divBdr>
        <w:top w:val="none" w:sz="0" w:space="0" w:color="auto"/>
        <w:left w:val="none" w:sz="0" w:space="0" w:color="auto"/>
        <w:bottom w:val="none" w:sz="0" w:space="0" w:color="auto"/>
        <w:right w:val="none" w:sz="0" w:space="0" w:color="auto"/>
      </w:divBdr>
    </w:div>
    <w:div w:id="954364074">
      <w:bodyDiv w:val="1"/>
      <w:marLeft w:val="0"/>
      <w:marRight w:val="0"/>
      <w:marTop w:val="0"/>
      <w:marBottom w:val="0"/>
      <w:divBdr>
        <w:top w:val="none" w:sz="0" w:space="0" w:color="auto"/>
        <w:left w:val="none" w:sz="0" w:space="0" w:color="auto"/>
        <w:bottom w:val="none" w:sz="0" w:space="0" w:color="auto"/>
        <w:right w:val="none" w:sz="0" w:space="0" w:color="auto"/>
      </w:divBdr>
      <w:divsChild>
        <w:div w:id="232132340">
          <w:marLeft w:val="0"/>
          <w:marRight w:val="0"/>
          <w:marTop w:val="0"/>
          <w:marBottom w:val="0"/>
          <w:divBdr>
            <w:top w:val="none" w:sz="0" w:space="0" w:color="auto"/>
            <w:left w:val="none" w:sz="0" w:space="0" w:color="auto"/>
            <w:bottom w:val="none" w:sz="0" w:space="0" w:color="auto"/>
            <w:right w:val="none" w:sz="0" w:space="0" w:color="auto"/>
          </w:divBdr>
        </w:div>
      </w:divsChild>
    </w:div>
    <w:div w:id="1065954689">
      <w:bodyDiv w:val="1"/>
      <w:marLeft w:val="0"/>
      <w:marRight w:val="0"/>
      <w:marTop w:val="0"/>
      <w:marBottom w:val="0"/>
      <w:divBdr>
        <w:top w:val="none" w:sz="0" w:space="0" w:color="auto"/>
        <w:left w:val="none" w:sz="0" w:space="0" w:color="auto"/>
        <w:bottom w:val="none" w:sz="0" w:space="0" w:color="auto"/>
        <w:right w:val="none" w:sz="0" w:space="0" w:color="auto"/>
      </w:divBdr>
    </w:div>
    <w:div w:id="1096176767">
      <w:bodyDiv w:val="1"/>
      <w:marLeft w:val="0"/>
      <w:marRight w:val="0"/>
      <w:marTop w:val="0"/>
      <w:marBottom w:val="0"/>
      <w:divBdr>
        <w:top w:val="none" w:sz="0" w:space="0" w:color="auto"/>
        <w:left w:val="none" w:sz="0" w:space="0" w:color="auto"/>
        <w:bottom w:val="none" w:sz="0" w:space="0" w:color="auto"/>
        <w:right w:val="none" w:sz="0" w:space="0" w:color="auto"/>
      </w:divBdr>
    </w:div>
    <w:div w:id="1201238066">
      <w:bodyDiv w:val="1"/>
      <w:marLeft w:val="0"/>
      <w:marRight w:val="0"/>
      <w:marTop w:val="0"/>
      <w:marBottom w:val="0"/>
      <w:divBdr>
        <w:top w:val="none" w:sz="0" w:space="0" w:color="auto"/>
        <w:left w:val="none" w:sz="0" w:space="0" w:color="auto"/>
        <w:bottom w:val="none" w:sz="0" w:space="0" w:color="auto"/>
        <w:right w:val="none" w:sz="0" w:space="0" w:color="auto"/>
      </w:divBdr>
    </w:div>
    <w:div w:id="1261990021">
      <w:bodyDiv w:val="1"/>
      <w:marLeft w:val="0"/>
      <w:marRight w:val="0"/>
      <w:marTop w:val="0"/>
      <w:marBottom w:val="0"/>
      <w:divBdr>
        <w:top w:val="none" w:sz="0" w:space="0" w:color="auto"/>
        <w:left w:val="none" w:sz="0" w:space="0" w:color="auto"/>
        <w:bottom w:val="none" w:sz="0" w:space="0" w:color="auto"/>
        <w:right w:val="none" w:sz="0" w:space="0" w:color="auto"/>
      </w:divBdr>
    </w:div>
    <w:div w:id="1351640899">
      <w:bodyDiv w:val="1"/>
      <w:marLeft w:val="0"/>
      <w:marRight w:val="0"/>
      <w:marTop w:val="0"/>
      <w:marBottom w:val="0"/>
      <w:divBdr>
        <w:top w:val="none" w:sz="0" w:space="0" w:color="auto"/>
        <w:left w:val="none" w:sz="0" w:space="0" w:color="auto"/>
        <w:bottom w:val="none" w:sz="0" w:space="0" w:color="auto"/>
        <w:right w:val="none" w:sz="0" w:space="0" w:color="auto"/>
      </w:divBdr>
      <w:divsChild>
        <w:div w:id="1719696505">
          <w:marLeft w:val="0"/>
          <w:marRight w:val="0"/>
          <w:marTop w:val="0"/>
          <w:marBottom w:val="0"/>
          <w:divBdr>
            <w:top w:val="none" w:sz="0" w:space="0" w:color="auto"/>
            <w:left w:val="none" w:sz="0" w:space="0" w:color="auto"/>
            <w:bottom w:val="none" w:sz="0" w:space="0" w:color="auto"/>
            <w:right w:val="none" w:sz="0" w:space="0" w:color="auto"/>
          </w:divBdr>
        </w:div>
      </w:divsChild>
    </w:div>
    <w:div w:id="1360551113">
      <w:bodyDiv w:val="1"/>
      <w:marLeft w:val="0"/>
      <w:marRight w:val="0"/>
      <w:marTop w:val="0"/>
      <w:marBottom w:val="0"/>
      <w:divBdr>
        <w:top w:val="none" w:sz="0" w:space="0" w:color="auto"/>
        <w:left w:val="none" w:sz="0" w:space="0" w:color="auto"/>
        <w:bottom w:val="none" w:sz="0" w:space="0" w:color="auto"/>
        <w:right w:val="none" w:sz="0" w:space="0" w:color="auto"/>
      </w:divBdr>
    </w:div>
    <w:div w:id="1371615527">
      <w:bodyDiv w:val="1"/>
      <w:marLeft w:val="0"/>
      <w:marRight w:val="0"/>
      <w:marTop w:val="0"/>
      <w:marBottom w:val="0"/>
      <w:divBdr>
        <w:top w:val="none" w:sz="0" w:space="0" w:color="auto"/>
        <w:left w:val="none" w:sz="0" w:space="0" w:color="auto"/>
        <w:bottom w:val="none" w:sz="0" w:space="0" w:color="auto"/>
        <w:right w:val="none" w:sz="0" w:space="0" w:color="auto"/>
      </w:divBdr>
      <w:divsChild>
        <w:div w:id="595867497">
          <w:marLeft w:val="0"/>
          <w:marRight w:val="0"/>
          <w:marTop w:val="0"/>
          <w:marBottom w:val="0"/>
          <w:divBdr>
            <w:top w:val="none" w:sz="0" w:space="0" w:color="auto"/>
            <w:left w:val="none" w:sz="0" w:space="0" w:color="auto"/>
            <w:bottom w:val="none" w:sz="0" w:space="0" w:color="auto"/>
            <w:right w:val="none" w:sz="0" w:space="0" w:color="auto"/>
          </w:divBdr>
        </w:div>
      </w:divsChild>
    </w:div>
    <w:div w:id="1387677530">
      <w:bodyDiv w:val="1"/>
      <w:marLeft w:val="0"/>
      <w:marRight w:val="0"/>
      <w:marTop w:val="0"/>
      <w:marBottom w:val="0"/>
      <w:divBdr>
        <w:top w:val="none" w:sz="0" w:space="0" w:color="auto"/>
        <w:left w:val="none" w:sz="0" w:space="0" w:color="auto"/>
        <w:bottom w:val="none" w:sz="0" w:space="0" w:color="auto"/>
        <w:right w:val="none" w:sz="0" w:space="0" w:color="auto"/>
      </w:divBdr>
    </w:div>
    <w:div w:id="1400900104">
      <w:bodyDiv w:val="1"/>
      <w:marLeft w:val="0"/>
      <w:marRight w:val="0"/>
      <w:marTop w:val="0"/>
      <w:marBottom w:val="0"/>
      <w:divBdr>
        <w:top w:val="none" w:sz="0" w:space="0" w:color="auto"/>
        <w:left w:val="none" w:sz="0" w:space="0" w:color="auto"/>
        <w:bottom w:val="none" w:sz="0" w:space="0" w:color="auto"/>
        <w:right w:val="none" w:sz="0" w:space="0" w:color="auto"/>
      </w:divBdr>
      <w:divsChild>
        <w:div w:id="1938979150">
          <w:marLeft w:val="0"/>
          <w:marRight w:val="0"/>
          <w:marTop w:val="0"/>
          <w:marBottom w:val="0"/>
          <w:divBdr>
            <w:top w:val="none" w:sz="0" w:space="0" w:color="auto"/>
            <w:left w:val="none" w:sz="0" w:space="0" w:color="auto"/>
            <w:bottom w:val="none" w:sz="0" w:space="0" w:color="auto"/>
            <w:right w:val="none" w:sz="0" w:space="0" w:color="auto"/>
          </w:divBdr>
        </w:div>
      </w:divsChild>
    </w:div>
    <w:div w:id="1532887320">
      <w:bodyDiv w:val="1"/>
      <w:marLeft w:val="0"/>
      <w:marRight w:val="0"/>
      <w:marTop w:val="0"/>
      <w:marBottom w:val="0"/>
      <w:divBdr>
        <w:top w:val="none" w:sz="0" w:space="0" w:color="auto"/>
        <w:left w:val="none" w:sz="0" w:space="0" w:color="auto"/>
        <w:bottom w:val="none" w:sz="0" w:space="0" w:color="auto"/>
        <w:right w:val="none" w:sz="0" w:space="0" w:color="auto"/>
      </w:divBdr>
    </w:div>
    <w:div w:id="1595282244">
      <w:bodyDiv w:val="1"/>
      <w:marLeft w:val="0"/>
      <w:marRight w:val="0"/>
      <w:marTop w:val="0"/>
      <w:marBottom w:val="0"/>
      <w:divBdr>
        <w:top w:val="none" w:sz="0" w:space="0" w:color="auto"/>
        <w:left w:val="none" w:sz="0" w:space="0" w:color="auto"/>
        <w:bottom w:val="none" w:sz="0" w:space="0" w:color="auto"/>
        <w:right w:val="none" w:sz="0" w:space="0" w:color="auto"/>
      </w:divBdr>
    </w:div>
    <w:div w:id="1596748740">
      <w:bodyDiv w:val="1"/>
      <w:marLeft w:val="0"/>
      <w:marRight w:val="0"/>
      <w:marTop w:val="0"/>
      <w:marBottom w:val="0"/>
      <w:divBdr>
        <w:top w:val="none" w:sz="0" w:space="0" w:color="auto"/>
        <w:left w:val="none" w:sz="0" w:space="0" w:color="auto"/>
        <w:bottom w:val="none" w:sz="0" w:space="0" w:color="auto"/>
        <w:right w:val="none" w:sz="0" w:space="0" w:color="auto"/>
      </w:divBdr>
      <w:divsChild>
        <w:div w:id="2104522893">
          <w:marLeft w:val="0"/>
          <w:marRight w:val="0"/>
          <w:marTop w:val="0"/>
          <w:marBottom w:val="0"/>
          <w:divBdr>
            <w:top w:val="none" w:sz="0" w:space="0" w:color="auto"/>
            <w:left w:val="none" w:sz="0" w:space="0" w:color="auto"/>
            <w:bottom w:val="none" w:sz="0" w:space="0" w:color="auto"/>
            <w:right w:val="none" w:sz="0" w:space="0" w:color="auto"/>
          </w:divBdr>
        </w:div>
      </w:divsChild>
    </w:div>
    <w:div w:id="1607081126">
      <w:bodyDiv w:val="1"/>
      <w:marLeft w:val="0"/>
      <w:marRight w:val="0"/>
      <w:marTop w:val="0"/>
      <w:marBottom w:val="0"/>
      <w:divBdr>
        <w:top w:val="none" w:sz="0" w:space="0" w:color="auto"/>
        <w:left w:val="none" w:sz="0" w:space="0" w:color="auto"/>
        <w:bottom w:val="none" w:sz="0" w:space="0" w:color="auto"/>
        <w:right w:val="none" w:sz="0" w:space="0" w:color="auto"/>
      </w:divBdr>
      <w:divsChild>
        <w:div w:id="1906597360">
          <w:marLeft w:val="0"/>
          <w:marRight w:val="0"/>
          <w:marTop w:val="0"/>
          <w:marBottom w:val="0"/>
          <w:divBdr>
            <w:top w:val="none" w:sz="0" w:space="0" w:color="auto"/>
            <w:left w:val="none" w:sz="0" w:space="0" w:color="auto"/>
            <w:bottom w:val="none" w:sz="0" w:space="0" w:color="auto"/>
            <w:right w:val="none" w:sz="0" w:space="0" w:color="auto"/>
          </w:divBdr>
        </w:div>
      </w:divsChild>
    </w:div>
    <w:div w:id="1620139342">
      <w:bodyDiv w:val="1"/>
      <w:marLeft w:val="0"/>
      <w:marRight w:val="0"/>
      <w:marTop w:val="0"/>
      <w:marBottom w:val="0"/>
      <w:divBdr>
        <w:top w:val="none" w:sz="0" w:space="0" w:color="auto"/>
        <w:left w:val="none" w:sz="0" w:space="0" w:color="auto"/>
        <w:bottom w:val="none" w:sz="0" w:space="0" w:color="auto"/>
        <w:right w:val="none" w:sz="0" w:space="0" w:color="auto"/>
      </w:divBdr>
    </w:div>
    <w:div w:id="1658875987">
      <w:bodyDiv w:val="1"/>
      <w:marLeft w:val="0"/>
      <w:marRight w:val="0"/>
      <w:marTop w:val="0"/>
      <w:marBottom w:val="0"/>
      <w:divBdr>
        <w:top w:val="none" w:sz="0" w:space="0" w:color="auto"/>
        <w:left w:val="none" w:sz="0" w:space="0" w:color="auto"/>
        <w:bottom w:val="none" w:sz="0" w:space="0" w:color="auto"/>
        <w:right w:val="none" w:sz="0" w:space="0" w:color="auto"/>
      </w:divBdr>
      <w:divsChild>
        <w:div w:id="1339623933">
          <w:marLeft w:val="0"/>
          <w:marRight w:val="0"/>
          <w:marTop w:val="0"/>
          <w:marBottom w:val="0"/>
          <w:divBdr>
            <w:top w:val="none" w:sz="0" w:space="0" w:color="auto"/>
            <w:left w:val="none" w:sz="0" w:space="0" w:color="auto"/>
            <w:bottom w:val="none" w:sz="0" w:space="0" w:color="auto"/>
            <w:right w:val="none" w:sz="0" w:space="0" w:color="auto"/>
          </w:divBdr>
        </w:div>
        <w:div w:id="1392146897">
          <w:marLeft w:val="0"/>
          <w:marRight w:val="0"/>
          <w:marTop w:val="0"/>
          <w:marBottom w:val="0"/>
          <w:divBdr>
            <w:top w:val="none" w:sz="0" w:space="0" w:color="auto"/>
            <w:left w:val="none" w:sz="0" w:space="0" w:color="auto"/>
            <w:bottom w:val="none" w:sz="0" w:space="0" w:color="auto"/>
            <w:right w:val="none" w:sz="0" w:space="0" w:color="auto"/>
          </w:divBdr>
        </w:div>
      </w:divsChild>
    </w:div>
    <w:div w:id="1672487062">
      <w:bodyDiv w:val="1"/>
      <w:marLeft w:val="0"/>
      <w:marRight w:val="0"/>
      <w:marTop w:val="0"/>
      <w:marBottom w:val="0"/>
      <w:divBdr>
        <w:top w:val="none" w:sz="0" w:space="0" w:color="auto"/>
        <w:left w:val="none" w:sz="0" w:space="0" w:color="auto"/>
        <w:bottom w:val="none" w:sz="0" w:space="0" w:color="auto"/>
        <w:right w:val="none" w:sz="0" w:space="0" w:color="auto"/>
      </w:divBdr>
    </w:div>
    <w:div w:id="1678002488">
      <w:bodyDiv w:val="1"/>
      <w:marLeft w:val="0"/>
      <w:marRight w:val="0"/>
      <w:marTop w:val="0"/>
      <w:marBottom w:val="0"/>
      <w:divBdr>
        <w:top w:val="none" w:sz="0" w:space="0" w:color="auto"/>
        <w:left w:val="none" w:sz="0" w:space="0" w:color="auto"/>
        <w:bottom w:val="none" w:sz="0" w:space="0" w:color="auto"/>
        <w:right w:val="none" w:sz="0" w:space="0" w:color="auto"/>
      </w:divBdr>
    </w:div>
    <w:div w:id="1705404609">
      <w:bodyDiv w:val="1"/>
      <w:marLeft w:val="0"/>
      <w:marRight w:val="0"/>
      <w:marTop w:val="0"/>
      <w:marBottom w:val="0"/>
      <w:divBdr>
        <w:top w:val="none" w:sz="0" w:space="0" w:color="auto"/>
        <w:left w:val="none" w:sz="0" w:space="0" w:color="auto"/>
        <w:bottom w:val="none" w:sz="0" w:space="0" w:color="auto"/>
        <w:right w:val="none" w:sz="0" w:space="0" w:color="auto"/>
      </w:divBdr>
    </w:div>
    <w:div w:id="171137164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1229752">
      <w:bodyDiv w:val="1"/>
      <w:marLeft w:val="0"/>
      <w:marRight w:val="0"/>
      <w:marTop w:val="0"/>
      <w:marBottom w:val="0"/>
      <w:divBdr>
        <w:top w:val="none" w:sz="0" w:space="0" w:color="auto"/>
        <w:left w:val="none" w:sz="0" w:space="0" w:color="auto"/>
        <w:bottom w:val="none" w:sz="0" w:space="0" w:color="auto"/>
        <w:right w:val="none" w:sz="0" w:space="0" w:color="auto"/>
      </w:divBdr>
    </w:div>
    <w:div w:id="1914468792">
      <w:bodyDiv w:val="1"/>
      <w:marLeft w:val="0"/>
      <w:marRight w:val="0"/>
      <w:marTop w:val="0"/>
      <w:marBottom w:val="0"/>
      <w:divBdr>
        <w:top w:val="none" w:sz="0" w:space="0" w:color="auto"/>
        <w:left w:val="none" w:sz="0" w:space="0" w:color="auto"/>
        <w:bottom w:val="none" w:sz="0" w:space="0" w:color="auto"/>
        <w:right w:val="none" w:sz="0" w:space="0" w:color="auto"/>
      </w:divBdr>
    </w:div>
    <w:div w:id="2041005672">
      <w:bodyDiv w:val="1"/>
      <w:marLeft w:val="0"/>
      <w:marRight w:val="0"/>
      <w:marTop w:val="0"/>
      <w:marBottom w:val="0"/>
      <w:divBdr>
        <w:top w:val="none" w:sz="0" w:space="0" w:color="auto"/>
        <w:left w:val="none" w:sz="0" w:space="0" w:color="auto"/>
        <w:bottom w:val="none" w:sz="0" w:space="0" w:color="auto"/>
        <w:right w:val="none" w:sz="0" w:space="0" w:color="auto"/>
      </w:divBdr>
    </w:div>
    <w:div w:id="2051685618">
      <w:bodyDiv w:val="1"/>
      <w:marLeft w:val="0"/>
      <w:marRight w:val="0"/>
      <w:marTop w:val="0"/>
      <w:marBottom w:val="0"/>
      <w:divBdr>
        <w:top w:val="none" w:sz="0" w:space="0" w:color="auto"/>
        <w:left w:val="none" w:sz="0" w:space="0" w:color="auto"/>
        <w:bottom w:val="none" w:sz="0" w:space="0" w:color="auto"/>
        <w:right w:val="none" w:sz="0" w:space="0" w:color="auto"/>
      </w:divBdr>
      <w:divsChild>
        <w:div w:id="1296373201">
          <w:marLeft w:val="0"/>
          <w:marRight w:val="0"/>
          <w:marTop w:val="0"/>
          <w:marBottom w:val="0"/>
          <w:divBdr>
            <w:top w:val="none" w:sz="0" w:space="0" w:color="auto"/>
            <w:left w:val="none" w:sz="0" w:space="0" w:color="auto"/>
            <w:bottom w:val="none" w:sz="0" w:space="0" w:color="auto"/>
            <w:right w:val="none" w:sz="0" w:space="0" w:color="auto"/>
          </w:divBdr>
        </w:div>
        <w:div w:id="130295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3BD49-2123-4328-BB18-E964A35F8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22</Pages>
  <Words>6515</Words>
  <Characters>37142</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Ingram</dc:creator>
  <cp:keywords/>
  <dc:description/>
  <cp:lastModifiedBy>Acdan, Juanito J. (ARC-SGE)[SSAI DEVELOP]</cp:lastModifiedBy>
  <cp:revision>16</cp:revision>
  <dcterms:created xsi:type="dcterms:W3CDTF">2019-04-17T14:30:00Z</dcterms:created>
  <dcterms:modified xsi:type="dcterms:W3CDTF">2019-05-14T01:11:00Z</dcterms:modified>
</cp:coreProperties>
</file>